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14E328">
      <w:pPr>
        <w:spacing w:before="1560" w:beforeLines="500" w:line="560" w:lineRule="exact"/>
        <w:jc w:val="center"/>
        <w:rPr>
          <w:rFonts w:ascii="宋体" w:hAnsi="宋体" w:eastAsia="宋体" w:cs="仿宋"/>
          <w:sz w:val="120"/>
          <w:szCs w:val="120"/>
        </w:rPr>
      </w:pPr>
      <w:r>
        <w:rPr>
          <w:rFonts w:hint="eastAsia" w:ascii="宋体" w:hAnsi="宋体" w:eastAsia="宋体" w:cs="仿宋"/>
          <w:sz w:val="120"/>
          <w:szCs w:val="120"/>
        </w:rPr>
        <w:t>谈 判 文 件</w:t>
      </w:r>
    </w:p>
    <w:p w14:paraId="79940A72">
      <w:pPr>
        <w:spacing w:before="312" w:beforeLines="100" w:line="560" w:lineRule="exact"/>
        <w:ind w:firstLine="598" w:firstLineChars="149"/>
        <w:jc w:val="center"/>
        <w:rPr>
          <w:rFonts w:hint="eastAsia" w:ascii="宋体" w:hAnsi="宋体" w:eastAsia="宋体" w:cs="Times New Roman"/>
          <w:b/>
          <w:bCs/>
          <w:sz w:val="28"/>
          <w:szCs w:val="24"/>
          <w:lang w:eastAsia="zh-CN"/>
        </w:rPr>
      </w:pPr>
      <w:r>
        <w:rPr>
          <w:rFonts w:ascii="宋体" w:hAnsi="宋体" w:eastAsia="宋体" w:cs="Times New Roman"/>
          <w:b/>
          <w:bCs/>
          <w:sz w:val="40"/>
          <w:szCs w:val="24"/>
        </w:rPr>
        <w:t>项目编号：0724-2531XJ602898</w:t>
      </w:r>
    </w:p>
    <w:p w14:paraId="378E5F72">
      <w:pPr>
        <w:spacing w:line="360" w:lineRule="auto"/>
        <w:ind w:firstLine="419" w:firstLineChars="149"/>
        <w:rPr>
          <w:rFonts w:ascii="宋体" w:hAnsi="宋体" w:eastAsia="宋体" w:cs="Times New Roman"/>
          <w:b/>
          <w:bCs/>
          <w:sz w:val="28"/>
          <w:szCs w:val="24"/>
        </w:rPr>
      </w:pPr>
    </w:p>
    <w:p w14:paraId="508080A3">
      <w:pPr>
        <w:spacing w:line="360" w:lineRule="auto"/>
        <w:ind w:firstLine="419" w:firstLineChars="149"/>
        <w:rPr>
          <w:rFonts w:ascii="宋体" w:hAnsi="宋体" w:eastAsia="宋体" w:cs="Times New Roman"/>
          <w:b/>
          <w:bCs/>
          <w:sz w:val="28"/>
          <w:szCs w:val="24"/>
        </w:rPr>
      </w:pPr>
    </w:p>
    <w:p w14:paraId="6A7DDCBC">
      <w:pPr>
        <w:spacing w:line="360" w:lineRule="auto"/>
        <w:ind w:firstLine="419" w:firstLineChars="149"/>
        <w:rPr>
          <w:rFonts w:ascii="宋体" w:hAnsi="宋体" w:eastAsia="宋体" w:cs="Times New Roman"/>
          <w:b/>
          <w:bCs/>
          <w:sz w:val="28"/>
          <w:szCs w:val="24"/>
        </w:rPr>
      </w:pPr>
    </w:p>
    <w:p w14:paraId="52D25506">
      <w:pPr>
        <w:spacing w:line="360" w:lineRule="auto"/>
        <w:ind w:firstLine="419" w:firstLineChars="149"/>
        <w:rPr>
          <w:rFonts w:ascii="宋体" w:hAnsi="宋体" w:eastAsia="宋体" w:cs="Times New Roman"/>
          <w:b/>
          <w:bCs/>
          <w:sz w:val="28"/>
          <w:szCs w:val="24"/>
        </w:rPr>
      </w:pPr>
    </w:p>
    <w:p w14:paraId="3E740FBA">
      <w:pPr>
        <w:spacing w:line="360" w:lineRule="auto"/>
        <w:ind w:firstLine="419" w:firstLineChars="149"/>
        <w:rPr>
          <w:rFonts w:hint="eastAsia" w:ascii="宋体" w:hAnsi="宋体" w:eastAsia="宋体" w:cs="Times New Roman"/>
          <w:b/>
          <w:bCs/>
          <w:sz w:val="28"/>
          <w:szCs w:val="24"/>
          <w:lang w:eastAsia="zh-CN"/>
        </w:rPr>
      </w:pPr>
      <w:r>
        <w:rPr>
          <w:rFonts w:hint="eastAsia" w:ascii="宋体" w:hAnsi="宋体" w:eastAsia="宋体" w:cs="Times New Roman"/>
          <w:b/>
          <w:bCs/>
          <w:sz w:val="28"/>
          <w:szCs w:val="24"/>
        </w:rPr>
        <w:t>项目名称：</w:t>
      </w:r>
      <w:r>
        <w:rPr>
          <w:rFonts w:hint="eastAsia" w:ascii="宋体" w:hAnsi="宋体" w:eastAsia="宋体" w:cs="Times New Roman"/>
          <w:b/>
          <w:bCs/>
          <w:sz w:val="28"/>
          <w:szCs w:val="24"/>
          <w:lang w:eastAsia="zh-CN"/>
        </w:rPr>
        <w:t>中华人民共和国新疆出入境边防检查总站执法记录仪数据管理平台、调度平台维保服务采购项目</w:t>
      </w:r>
    </w:p>
    <w:p w14:paraId="75ECCA69">
      <w:pPr>
        <w:spacing w:line="360" w:lineRule="auto"/>
        <w:ind w:firstLine="419" w:firstLineChars="149"/>
        <w:rPr>
          <w:rFonts w:ascii="宋体" w:hAnsi="宋体" w:eastAsia="宋体" w:cs="Times New Roman"/>
          <w:b/>
          <w:bCs/>
          <w:sz w:val="28"/>
          <w:szCs w:val="24"/>
        </w:rPr>
      </w:pPr>
      <w:r>
        <w:rPr>
          <w:rFonts w:hint="eastAsia" w:ascii="宋体" w:hAnsi="宋体" w:eastAsia="宋体" w:cs="Times New Roman"/>
          <w:b/>
          <w:bCs/>
          <w:sz w:val="28"/>
          <w:szCs w:val="24"/>
        </w:rPr>
        <w:t>采 购 人：中华人民共和国新疆出入境边防检查总站</w:t>
      </w:r>
    </w:p>
    <w:p w14:paraId="5B0C1DF1">
      <w:pPr>
        <w:spacing w:line="360" w:lineRule="auto"/>
        <w:ind w:firstLine="419" w:firstLineChars="149"/>
        <w:rPr>
          <w:rFonts w:hint="eastAsia" w:ascii="宋体" w:hAnsi="宋体" w:eastAsia="宋体" w:cs="Times New Roman"/>
          <w:b/>
          <w:bCs/>
          <w:sz w:val="28"/>
          <w:szCs w:val="24"/>
          <w:lang w:eastAsia="zh-CN"/>
        </w:rPr>
      </w:pPr>
      <w:bookmarkStart w:id="0" w:name="_Toc164944185"/>
      <w:r>
        <w:rPr>
          <w:rFonts w:hint="eastAsia" w:ascii="宋体" w:hAnsi="宋体" w:eastAsia="宋体" w:cs="Times New Roman"/>
          <w:b/>
          <w:bCs/>
          <w:sz w:val="28"/>
          <w:szCs w:val="24"/>
        </w:rPr>
        <w:t>联系人：</w:t>
      </w:r>
      <w:bookmarkEnd w:id="0"/>
      <w:r>
        <w:rPr>
          <w:rFonts w:hint="eastAsia" w:ascii="宋体" w:hAnsi="宋体" w:eastAsia="宋体" w:cs="Times New Roman"/>
          <w:b/>
          <w:bCs/>
          <w:sz w:val="28"/>
          <w:szCs w:val="24"/>
          <w:lang w:val="en-US" w:eastAsia="zh-CN"/>
        </w:rPr>
        <w:t>李警官</w:t>
      </w:r>
    </w:p>
    <w:p w14:paraId="1AD464DB">
      <w:pPr>
        <w:spacing w:line="360" w:lineRule="auto"/>
        <w:ind w:firstLine="419" w:firstLineChars="149"/>
        <w:rPr>
          <w:rFonts w:ascii="宋体" w:hAnsi="宋体" w:eastAsia="宋体" w:cs="Times New Roman"/>
          <w:b/>
          <w:bCs/>
          <w:sz w:val="28"/>
          <w:szCs w:val="24"/>
        </w:rPr>
      </w:pPr>
      <w:r>
        <w:rPr>
          <w:rFonts w:hint="eastAsia" w:ascii="宋体" w:hAnsi="宋体" w:eastAsia="宋体" w:cs="Times New Roman"/>
          <w:b/>
          <w:bCs/>
          <w:sz w:val="28"/>
          <w:szCs w:val="24"/>
        </w:rPr>
        <w:t>电话：0991-85121</w:t>
      </w:r>
      <w:r>
        <w:rPr>
          <w:rFonts w:hint="eastAsia" w:ascii="宋体" w:hAnsi="宋体" w:eastAsia="宋体" w:cs="Times New Roman"/>
          <w:b/>
          <w:bCs/>
          <w:sz w:val="28"/>
          <w:szCs w:val="24"/>
          <w:lang w:val="en-US" w:eastAsia="zh-CN"/>
        </w:rPr>
        <w:t>43</w:t>
      </w:r>
    </w:p>
    <w:p w14:paraId="677A15D9">
      <w:pPr>
        <w:spacing w:line="360" w:lineRule="auto"/>
        <w:ind w:firstLine="419" w:firstLineChars="149"/>
        <w:rPr>
          <w:rFonts w:ascii="宋体" w:hAnsi="宋体" w:eastAsia="宋体" w:cs="Times New Roman"/>
          <w:b/>
          <w:bCs/>
          <w:sz w:val="28"/>
          <w:szCs w:val="24"/>
        </w:rPr>
      </w:pPr>
      <w:r>
        <w:rPr>
          <w:rFonts w:ascii="宋体" w:hAnsi="宋体" w:eastAsia="宋体" w:cs="Times New Roman"/>
          <w:b/>
          <w:bCs/>
          <w:sz w:val="28"/>
          <w:szCs w:val="24"/>
        </w:rPr>
        <mc:AlternateContent>
          <mc:Choice Requires="wps">
            <w:drawing>
              <wp:anchor distT="0" distB="0" distL="114300" distR="114300" simplePos="0" relativeHeight="251661312" behindDoc="0" locked="0" layoutInCell="1" allowOverlap="1">
                <wp:simplePos x="0" y="0"/>
                <wp:positionH relativeFrom="column">
                  <wp:posOffset>466725</wp:posOffset>
                </wp:positionH>
                <wp:positionV relativeFrom="paragraph">
                  <wp:posOffset>100330</wp:posOffset>
                </wp:positionV>
                <wp:extent cx="5000625" cy="0"/>
                <wp:effectExtent l="0" t="0" r="28575" b="19050"/>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5000625" cy="0"/>
                        </a:xfrm>
                        <a:prstGeom prst="line">
                          <a:avLst/>
                        </a:prstGeom>
                        <a:noFill/>
                        <a:ln w="12700" cap="rnd">
                          <a:solidFill>
                            <a:srgbClr val="000000"/>
                          </a:solidFill>
                          <a:prstDash val="sysDot"/>
                          <a:round/>
                        </a:ln>
                        <a:effectLst/>
                      </wps:spPr>
                      <wps:bodyPr/>
                    </wps:wsp>
                  </a:graphicData>
                </a:graphic>
              </wp:anchor>
            </w:drawing>
          </mc:Choice>
          <mc:Fallback>
            <w:pict>
              <v:line id="_x0000_s1026" o:spid="_x0000_s1026" o:spt="20" style="position:absolute;left:0pt;margin-left:36.75pt;margin-top:7.9pt;height:0pt;width:393.75pt;z-index:251661312;mso-width-relative:page;mso-height-relative:page;" filled="f" stroked="t" coordsize="21600,21600" o:gfxdata="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3g0xJ2QAAAAgBAAAPAAAAAAAAAAEAIAAAACIAAABkcnMvZG93bnJl&#10;di54bWxQSwECFAAUAAAACACHTuJARqMoM/wBAADdAwAADgAAAAAAAAABACAAAAAoAQAAZHJzL2Uy&#10;b0RvYy54bWxQSwUGAAAAAAYABgBZAQAAlgUAAAAA&#10;">
                <v:fill on="f" focussize="0,0"/>
                <v:stroke weight="1pt" color="#000000" joinstyle="round" dashstyle="1 1" endcap="round"/>
                <v:imagedata o:title=""/>
                <o:lock v:ext="edit" aspectratio="f"/>
              </v:line>
            </w:pict>
          </mc:Fallback>
        </mc:AlternateContent>
      </w:r>
    </w:p>
    <w:p w14:paraId="55443D17">
      <w:pPr>
        <w:spacing w:line="360" w:lineRule="auto"/>
        <w:ind w:right="-199" w:rightChars="-95" w:firstLine="419" w:firstLineChars="149"/>
        <w:rPr>
          <w:rFonts w:ascii="宋体" w:hAnsi="宋体" w:eastAsia="宋体" w:cs="Times New Roman"/>
          <w:b/>
          <w:bCs/>
          <w:sz w:val="28"/>
          <w:szCs w:val="24"/>
        </w:rPr>
      </w:pPr>
      <w:r>
        <w:rPr>
          <w:rFonts w:hint="eastAsia" w:ascii="宋体" w:hAnsi="宋体" w:eastAsia="宋体" w:cs="Times New Roman"/>
          <w:b/>
          <w:bCs/>
          <w:sz w:val="28"/>
          <w:szCs w:val="24"/>
        </w:rPr>
        <w:t>采购代理机构：国义招标股份有限公司</w:t>
      </w:r>
    </w:p>
    <w:p w14:paraId="0ABF7CFB">
      <w:pPr>
        <w:spacing w:line="360" w:lineRule="auto"/>
        <w:ind w:firstLine="419" w:firstLineChars="149"/>
        <w:rPr>
          <w:rFonts w:ascii="宋体" w:hAnsi="宋体" w:eastAsia="宋体" w:cs="Times New Roman"/>
          <w:b/>
          <w:bCs/>
          <w:sz w:val="28"/>
          <w:szCs w:val="24"/>
        </w:rPr>
      </w:pPr>
      <w:r>
        <w:rPr>
          <w:rFonts w:hint="eastAsia" w:ascii="宋体" w:hAnsi="宋体" w:eastAsia="宋体" w:cs="Times New Roman"/>
          <w:b/>
          <w:bCs/>
          <w:sz w:val="28"/>
          <w:szCs w:val="24"/>
        </w:rPr>
        <w:t>联系人：</w:t>
      </w:r>
      <w:r>
        <w:rPr>
          <w:rFonts w:hint="eastAsia" w:ascii="宋体" w:hAnsi="宋体" w:eastAsia="宋体" w:cs="Times New Roman"/>
          <w:b/>
          <w:bCs/>
          <w:sz w:val="28"/>
          <w:szCs w:val="24"/>
          <w:lang w:val="en-US" w:eastAsia="zh-CN"/>
        </w:rPr>
        <w:t>赵梓杰、周鑫</w:t>
      </w:r>
    </w:p>
    <w:p w14:paraId="4F4621E2">
      <w:pPr>
        <w:spacing w:line="360" w:lineRule="auto"/>
        <w:ind w:firstLine="419" w:firstLineChars="149"/>
        <w:rPr>
          <w:rFonts w:hint="eastAsia" w:ascii="宋体" w:hAnsi="宋体" w:eastAsia="宋体" w:cs="Times New Roman"/>
          <w:b/>
          <w:bCs/>
          <w:sz w:val="28"/>
          <w:szCs w:val="24"/>
          <w:lang w:val="en-US" w:eastAsia="zh-CN"/>
        </w:rPr>
      </w:pPr>
      <w:r>
        <w:rPr>
          <w:rFonts w:hint="eastAsia" w:ascii="宋体" w:hAnsi="宋体" w:eastAsia="宋体" w:cs="Times New Roman"/>
          <w:b/>
          <w:bCs/>
          <w:sz w:val="28"/>
          <w:szCs w:val="24"/>
        </w:rPr>
        <w:t xml:space="preserve">电话: </w:t>
      </w:r>
      <w:r>
        <w:rPr>
          <w:rFonts w:ascii="宋体" w:hAnsi="宋体" w:eastAsia="宋体" w:cs="Times New Roman"/>
          <w:b/>
          <w:bCs/>
          <w:sz w:val="28"/>
          <w:szCs w:val="24"/>
        </w:rPr>
        <w:t>0991-4664267、</w:t>
      </w:r>
      <w:r>
        <w:rPr>
          <w:rFonts w:hint="eastAsia" w:ascii="宋体" w:hAnsi="宋体" w:eastAsia="宋体" w:cs="Times New Roman"/>
          <w:b/>
          <w:bCs/>
          <w:sz w:val="28"/>
          <w:szCs w:val="24"/>
          <w:lang w:val="en-US" w:eastAsia="zh-CN"/>
        </w:rPr>
        <w:t>18109918117</w:t>
      </w:r>
    </w:p>
    <w:p w14:paraId="2E09B5DA">
      <w:pPr>
        <w:spacing w:line="360" w:lineRule="auto"/>
        <w:ind w:firstLine="419" w:firstLineChars="149"/>
        <w:rPr>
          <w:rFonts w:ascii="宋体" w:hAnsi="宋体" w:eastAsia="宋体" w:cs="仿宋"/>
          <w:sz w:val="32"/>
          <w:szCs w:val="32"/>
        </w:rPr>
      </w:pPr>
      <w:r>
        <w:rPr>
          <w:rFonts w:hint="eastAsia" w:ascii="宋体" w:hAnsi="宋体" w:eastAsia="宋体" w:cs="Times New Roman"/>
          <w:b/>
          <w:bCs/>
          <w:sz w:val="28"/>
          <w:szCs w:val="24"/>
        </w:rPr>
        <w:t>详细地址：乌鲁木齐市红光山路8</w:t>
      </w:r>
      <w:r>
        <w:rPr>
          <w:rFonts w:ascii="宋体" w:hAnsi="宋体" w:eastAsia="宋体" w:cs="Times New Roman"/>
          <w:b/>
          <w:bCs/>
          <w:sz w:val="28"/>
          <w:szCs w:val="24"/>
        </w:rPr>
        <w:t>88号绿城广场</w:t>
      </w:r>
      <w:r>
        <w:rPr>
          <w:rFonts w:hint="eastAsia" w:ascii="宋体" w:hAnsi="宋体" w:eastAsia="宋体" w:cs="Times New Roman"/>
          <w:b/>
          <w:bCs/>
          <w:sz w:val="28"/>
          <w:szCs w:val="24"/>
        </w:rPr>
        <w:t>1</w:t>
      </w:r>
      <w:r>
        <w:rPr>
          <w:rFonts w:ascii="宋体" w:hAnsi="宋体" w:eastAsia="宋体" w:cs="Times New Roman"/>
          <w:b/>
          <w:bCs/>
          <w:sz w:val="28"/>
          <w:szCs w:val="24"/>
        </w:rPr>
        <w:t>B-3504</w:t>
      </w:r>
    </w:p>
    <w:p w14:paraId="10CAE32F">
      <w:pPr>
        <w:spacing w:line="360" w:lineRule="auto"/>
        <w:ind w:firstLine="640" w:firstLineChars="200"/>
        <w:rPr>
          <w:rFonts w:ascii="宋体" w:hAnsi="宋体" w:eastAsia="宋体" w:cs="仿宋"/>
          <w:sz w:val="32"/>
          <w:szCs w:val="32"/>
        </w:rPr>
      </w:pPr>
    </w:p>
    <w:p w14:paraId="2E3BF2E6">
      <w:pPr>
        <w:spacing w:line="360" w:lineRule="auto"/>
        <w:ind w:firstLine="720" w:firstLineChars="200"/>
        <w:rPr>
          <w:rFonts w:ascii="宋体" w:hAnsi="宋体" w:eastAsia="宋体" w:cs="仿宋"/>
          <w:sz w:val="36"/>
          <w:szCs w:val="36"/>
        </w:rPr>
      </w:pPr>
    </w:p>
    <w:p w14:paraId="337E3104">
      <w:pPr>
        <w:ind w:firstLine="640"/>
        <w:jc w:val="center"/>
        <w:rPr>
          <w:rFonts w:ascii="宋体" w:hAnsi="宋体" w:eastAsia="宋体" w:cs="仿宋"/>
          <w:sz w:val="32"/>
          <w:szCs w:val="32"/>
        </w:rPr>
      </w:pPr>
      <w:r>
        <w:rPr>
          <w:rFonts w:hint="eastAsia" w:ascii="宋体" w:hAnsi="宋体" w:eastAsia="宋体" w:cs="仿宋"/>
          <w:sz w:val="32"/>
          <w:szCs w:val="32"/>
        </w:rPr>
        <w:br w:type="page"/>
      </w:r>
    </w:p>
    <w:p w14:paraId="73CDD2D5">
      <w:pPr>
        <w:spacing w:line="360" w:lineRule="auto"/>
        <w:ind w:firstLine="480" w:firstLineChars="200"/>
        <w:rPr>
          <w:rFonts w:ascii="宋体" w:hAnsi="宋体" w:eastAsia="宋体" w:cs="仿宋"/>
          <w:sz w:val="24"/>
          <w:szCs w:val="24"/>
        </w:rPr>
        <w:sectPr>
          <w:type w:val="continuous"/>
          <w:pgSz w:w="11906" w:h="16838"/>
          <w:pgMar w:top="1440" w:right="1080" w:bottom="1440" w:left="1080" w:header="851" w:footer="992" w:gutter="0"/>
          <w:pgNumType w:start="1"/>
          <w:cols w:space="720" w:num="1"/>
          <w:titlePg/>
          <w:docGrid w:type="lines" w:linePitch="312" w:charSpace="0"/>
        </w:sectPr>
      </w:pPr>
    </w:p>
    <w:sdt>
      <w:sdtPr>
        <w:rPr>
          <w:rFonts w:asciiTheme="minorHAnsi" w:hAnsiTheme="minorHAnsi" w:eastAsiaTheme="minorEastAsia" w:cstheme="minorBidi"/>
          <w:color w:val="auto"/>
          <w:kern w:val="2"/>
          <w:sz w:val="21"/>
          <w:szCs w:val="22"/>
          <w:lang w:val="zh-CN"/>
        </w:rPr>
        <w:id w:val="1406958983"/>
        <w:docPartObj>
          <w:docPartGallery w:val="Table of Contents"/>
          <w:docPartUnique/>
        </w:docPartObj>
      </w:sdtPr>
      <w:sdtEndPr>
        <w:rPr>
          <w:rFonts w:asciiTheme="minorHAnsi" w:hAnsiTheme="minorHAnsi" w:eastAsiaTheme="minorEastAsia" w:cstheme="minorBidi"/>
          <w:b/>
          <w:bCs/>
          <w:color w:val="auto"/>
          <w:kern w:val="2"/>
          <w:sz w:val="21"/>
          <w:szCs w:val="22"/>
          <w:lang w:val="zh-CN"/>
        </w:rPr>
      </w:sdtEndPr>
      <w:sdtContent>
        <w:p w14:paraId="3BFD09FC">
          <w:pPr>
            <w:pStyle w:val="87"/>
          </w:pPr>
          <w:bookmarkStart w:id="1" w:name="_Toc55990499"/>
          <w:bookmarkStart w:id="2" w:name="_Toc8967"/>
          <w:bookmarkStart w:id="3" w:name="_Toc56170377"/>
          <w:bookmarkStart w:id="4" w:name="_Toc55990498"/>
          <w:r>
            <w:rPr>
              <w:lang w:val="zh-CN"/>
            </w:rPr>
            <w:t>目录</w:t>
          </w:r>
        </w:p>
        <w:p w14:paraId="4F8DC1B7">
          <w:pPr>
            <w:pStyle w:val="32"/>
            <w:tabs>
              <w:tab w:val="right" w:leader="dot" w:pos="9628"/>
            </w:tabs>
            <w:ind w:firstLine="422"/>
            <w:rPr>
              <w:rFonts w:asciiTheme="minorHAnsi" w:hAnsiTheme="minorHAnsi" w:eastAsiaTheme="minorEastAsia" w:cstheme="minorBidi"/>
              <w:b w:val="0"/>
              <w:bCs w:val="0"/>
              <w:caps w:val="0"/>
              <w:sz w:val="21"/>
              <w:szCs w:val="22"/>
            </w:rPr>
          </w:pPr>
          <w:r>
            <w:rPr>
              <w:rFonts w:ascii="宋体" w:hAnsi="宋体"/>
              <w:sz w:val="21"/>
              <w:szCs w:val="21"/>
              <w:lang w:val="zh-CN"/>
            </w:rPr>
            <w:fldChar w:fldCharType="begin"/>
          </w:r>
          <w:r>
            <w:rPr>
              <w:rFonts w:ascii="宋体" w:hAnsi="宋体"/>
              <w:sz w:val="21"/>
              <w:szCs w:val="21"/>
              <w:lang w:val="zh-CN"/>
            </w:rPr>
            <w:instrText xml:space="preserve"> TOC \o "1-3" \h \z \u </w:instrText>
          </w:r>
          <w:r>
            <w:rPr>
              <w:rFonts w:ascii="宋体" w:hAnsi="宋体"/>
              <w:sz w:val="21"/>
              <w:szCs w:val="21"/>
              <w:lang w:val="zh-CN"/>
            </w:rPr>
            <w:fldChar w:fldCharType="separate"/>
          </w:r>
          <w:r>
            <w:fldChar w:fldCharType="begin"/>
          </w:r>
          <w:r>
            <w:instrText xml:space="preserve"> HYPERLINK \l "_Toc195529409" </w:instrText>
          </w:r>
          <w:r>
            <w:fldChar w:fldCharType="separate"/>
          </w:r>
          <w:r>
            <w:rPr>
              <w:rStyle w:val="54"/>
              <w:rFonts w:hint="eastAsia" w:ascii="宋体" w:hAnsi="宋体" w:cs="仿宋"/>
            </w:rPr>
            <w:t>第一章、谈判公告</w:t>
          </w:r>
          <w:r>
            <w:tab/>
          </w:r>
          <w:r>
            <w:fldChar w:fldCharType="begin"/>
          </w:r>
          <w:r>
            <w:instrText xml:space="preserve"> PAGEREF _Toc195529409 \h </w:instrText>
          </w:r>
          <w:r>
            <w:fldChar w:fldCharType="separate"/>
          </w:r>
          <w:r>
            <w:t>1</w:t>
          </w:r>
          <w:r>
            <w:fldChar w:fldCharType="end"/>
          </w:r>
          <w:r>
            <w:fldChar w:fldCharType="end"/>
          </w:r>
        </w:p>
        <w:p w14:paraId="48AAF1A0">
          <w:pPr>
            <w:pStyle w:val="32"/>
            <w:tabs>
              <w:tab w:val="right" w:leader="dot" w:pos="9628"/>
            </w:tabs>
            <w:ind w:firstLine="402"/>
            <w:rPr>
              <w:rFonts w:asciiTheme="minorHAnsi" w:hAnsiTheme="minorHAnsi" w:eastAsiaTheme="minorEastAsia" w:cstheme="minorBidi"/>
              <w:b w:val="0"/>
              <w:bCs w:val="0"/>
              <w:caps w:val="0"/>
              <w:sz w:val="21"/>
              <w:szCs w:val="22"/>
            </w:rPr>
          </w:pPr>
          <w:r>
            <w:fldChar w:fldCharType="begin"/>
          </w:r>
          <w:r>
            <w:instrText xml:space="preserve"> HYPERLINK \l "_Toc195529410" </w:instrText>
          </w:r>
          <w:r>
            <w:fldChar w:fldCharType="separate"/>
          </w:r>
          <w:r>
            <w:rPr>
              <w:rStyle w:val="54"/>
              <w:rFonts w:hint="eastAsia" w:ascii="宋体" w:hAnsi="宋体" w:cs="仿宋"/>
            </w:rPr>
            <w:t>第二章、谈判须知</w:t>
          </w:r>
          <w:r>
            <w:tab/>
          </w:r>
          <w:r>
            <w:fldChar w:fldCharType="begin"/>
          </w:r>
          <w:r>
            <w:instrText xml:space="preserve"> PAGEREF _Toc195529410 \h </w:instrText>
          </w:r>
          <w:r>
            <w:fldChar w:fldCharType="separate"/>
          </w:r>
          <w:r>
            <w:t>5</w:t>
          </w:r>
          <w:r>
            <w:fldChar w:fldCharType="end"/>
          </w:r>
          <w:r>
            <w:fldChar w:fldCharType="end"/>
          </w:r>
        </w:p>
        <w:p w14:paraId="6A33423B">
          <w:pPr>
            <w:pStyle w:val="38"/>
            <w:tabs>
              <w:tab w:val="right" w:leader="dot" w:pos="9628"/>
            </w:tabs>
            <w:ind w:left="210"/>
            <w:rPr>
              <w:rFonts w:asciiTheme="minorHAnsi" w:hAnsiTheme="minorHAnsi" w:eastAsiaTheme="minorEastAsia" w:cstheme="minorBidi"/>
              <w:szCs w:val="22"/>
            </w:rPr>
          </w:pPr>
          <w:r>
            <w:fldChar w:fldCharType="begin"/>
          </w:r>
          <w:r>
            <w:instrText xml:space="preserve"> HYPERLINK \l "_Toc195529411" </w:instrText>
          </w:r>
          <w:r>
            <w:fldChar w:fldCharType="separate"/>
          </w:r>
          <w:r>
            <w:rPr>
              <w:rStyle w:val="54"/>
              <w:rFonts w:hint="eastAsia" w:ascii="宋体" w:hAnsi="宋体" w:cs="仿宋"/>
              <w:b/>
              <w:kern w:val="0"/>
            </w:rPr>
            <w:t>谈判须知前附表</w:t>
          </w:r>
          <w:r>
            <w:tab/>
          </w:r>
          <w:r>
            <w:fldChar w:fldCharType="begin"/>
          </w:r>
          <w:r>
            <w:instrText xml:space="preserve"> PAGEREF _Toc195529411 \h </w:instrText>
          </w:r>
          <w:r>
            <w:fldChar w:fldCharType="separate"/>
          </w:r>
          <w:r>
            <w:t>5</w:t>
          </w:r>
          <w:r>
            <w:fldChar w:fldCharType="end"/>
          </w:r>
          <w:r>
            <w:fldChar w:fldCharType="end"/>
          </w:r>
        </w:p>
        <w:p w14:paraId="0FC44078">
          <w:pPr>
            <w:pStyle w:val="38"/>
            <w:tabs>
              <w:tab w:val="right" w:leader="dot" w:pos="9628"/>
            </w:tabs>
            <w:ind w:left="210"/>
            <w:rPr>
              <w:rFonts w:asciiTheme="minorHAnsi" w:hAnsiTheme="minorHAnsi" w:eastAsiaTheme="minorEastAsia" w:cstheme="minorBidi"/>
              <w:szCs w:val="22"/>
            </w:rPr>
          </w:pPr>
          <w:r>
            <w:fldChar w:fldCharType="begin"/>
          </w:r>
          <w:r>
            <w:instrText xml:space="preserve"> HYPERLINK \l "_Toc195529412" </w:instrText>
          </w:r>
          <w:r>
            <w:fldChar w:fldCharType="separate"/>
          </w:r>
          <w:r>
            <w:rPr>
              <w:rStyle w:val="54"/>
              <w:rFonts w:hint="eastAsia" w:ascii="宋体" w:hAnsi="宋体" w:cs="仿宋"/>
              <w:b/>
              <w:kern w:val="0"/>
            </w:rPr>
            <w:t>一、总</w:t>
          </w:r>
          <w:r>
            <w:rPr>
              <w:rStyle w:val="54"/>
              <w:rFonts w:ascii="宋体" w:hAnsi="宋体" w:cs="仿宋"/>
              <w:b/>
              <w:kern w:val="0"/>
            </w:rPr>
            <w:t xml:space="preserve"> </w:t>
          </w:r>
          <w:r>
            <w:rPr>
              <w:rStyle w:val="54"/>
              <w:rFonts w:hint="eastAsia" w:ascii="宋体" w:hAnsi="宋体" w:cs="仿宋"/>
              <w:b/>
              <w:kern w:val="0"/>
            </w:rPr>
            <w:t>则</w:t>
          </w:r>
          <w:r>
            <w:tab/>
          </w:r>
          <w:r>
            <w:fldChar w:fldCharType="begin"/>
          </w:r>
          <w:r>
            <w:instrText xml:space="preserve"> PAGEREF _Toc195529412 \h </w:instrText>
          </w:r>
          <w:r>
            <w:fldChar w:fldCharType="separate"/>
          </w:r>
          <w:r>
            <w:t>13</w:t>
          </w:r>
          <w:r>
            <w:fldChar w:fldCharType="end"/>
          </w:r>
          <w:r>
            <w:fldChar w:fldCharType="end"/>
          </w:r>
        </w:p>
        <w:p w14:paraId="26DF0337">
          <w:pPr>
            <w:pStyle w:val="38"/>
            <w:tabs>
              <w:tab w:val="right" w:leader="dot" w:pos="9628"/>
            </w:tabs>
            <w:ind w:left="210"/>
            <w:rPr>
              <w:rFonts w:asciiTheme="minorHAnsi" w:hAnsiTheme="minorHAnsi" w:eastAsiaTheme="minorEastAsia" w:cstheme="minorBidi"/>
              <w:szCs w:val="22"/>
            </w:rPr>
          </w:pPr>
          <w:r>
            <w:fldChar w:fldCharType="begin"/>
          </w:r>
          <w:r>
            <w:instrText xml:space="preserve"> HYPERLINK \l "_Toc195529413" </w:instrText>
          </w:r>
          <w:r>
            <w:fldChar w:fldCharType="separate"/>
          </w:r>
          <w:r>
            <w:rPr>
              <w:rStyle w:val="54"/>
              <w:rFonts w:hint="eastAsia" w:ascii="宋体" w:hAnsi="宋体" w:cs="仿宋"/>
              <w:b/>
              <w:kern w:val="0"/>
            </w:rPr>
            <w:t>二、谈判文件</w:t>
          </w:r>
          <w:r>
            <w:tab/>
          </w:r>
          <w:r>
            <w:fldChar w:fldCharType="begin"/>
          </w:r>
          <w:r>
            <w:instrText xml:space="preserve"> PAGEREF _Toc195529413 \h </w:instrText>
          </w:r>
          <w:r>
            <w:fldChar w:fldCharType="separate"/>
          </w:r>
          <w:r>
            <w:t>14</w:t>
          </w:r>
          <w:r>
            <w:fldChar w:fldCharType="end"/>
          </w:r>
          <w:r>
            <w:fldChar w:fldCharType="end"/>
          </w:r>
        </w:p>
        <w:p w14:paraId="0E45C7FE">
          <w:pPr>
            <w:pStyle w:val="38"/>
            <w:tabs>
              <w:tab w:val="right" w:leader="dot" w:pos="9628"/>
            </w:tabs>
            <w:ind w:left="210"/>
            <w:rPr>
              <w:rFonts w:asciiTheme="minorHAnsi" w:hAnsiTheme="minorHAnsi" w:eastAsiaTheme="minorEastAsia" w:cstheme="minorBidi"/>
              <w:szCs w:val="22"/>
            </w:rPr>
          </w:pPr>
          <w:r>
            <w:fldChar w:fldCharType="begin"/>
          </w:r>
          <w:r>
            <w:instrText xml:space="preserve"> HYPERLINK \l "_Toc195529414" </w:instrText>
          </w:r>
          <w:r>
            <w:fldChar w:fldCharType="separate"/>
          </w:r>
          <w:r>
            <w:rPr>
              <w:rStyle w:val="54"/>
              <w:rFonts w:hint="eastAsia" w:ascii="宋体" w:hAnsi="宋体" w:cs="仿宋"/>
              <w:b/>
              <w:kern w:val="0"/>
            </w:rPr>
            <w:t>三、响应文件的编制</w:t>
          </w:r>
          <w:r>
            <w:tab/>
          </w:r>
          <w:r>
            <w:fldChar w:fldCharType="begin"/>
          </w:r>
          <w:r>
            <w:instrText xml:space="preserve"> PAGEREF _Toc195529414 \h </w:instrText>
          </w:r>
          <w:r>
            <w:fldChar w:fldCharType="separate"/>
          </w:r>
          <w:r>
            <w:t>14</w:t>
          </w:r>
          <w:r>
            <w:fldChar w:fldCharType="end"/>
          </w:r>
          <w:r>
            <w:fldChar w:fldCharType="end"/>
          </w:r>
        </w:p>
        <w:p w14:paraId="4AE86F45">
          <w:pPr>
            <w:pStyle w:val="38"/>
            <w:tabs>
              <w:tab w:val="right" w:leader="dot" w:pos="9628"/>
            </w:tabs>
            <w:ind w:left="210"/>
            <w:rPr>
              <w:rFonts w:asciiTheme="minorHAnsi" w:hAnsiTheme="minorHAnsi" w:eastAsiaTheme="minorEastAsia" w:cstheme="minorBidi"/>
              <w:szCs w:val="22"/>
            </w:rPr>
          </w:pPr>
          <w:r>
            <w:fldChar w:fldCharType="begin"/>
          </w:r>
          <w:r>
            <w:instrText xml:space="preserve"> HYPERLINK \l "_Toc195529415" </w:instrText>
          </w:r>
          <w:r>
            <w:fldChar w:fldCharType="separate"/>
          </w:r>
          <w:r>
            <w:rPr>
              <w:rStyle w:val="54"/>
              <w:rFonts w:hint="eastAsia" w:ascii="宋体" w:hAnsi="宋体" w:cs="仿宋"/>
              <w:b/>
              <w:kern w:val="0"/>
            </w:rPr>
            <w:t>四、响应文件的递交</w:t>
          </w:r>
          <w:r>
            <w:tab/>
          </w:r>
          <w:r>
            <w:fldChar w:fldCharType="begin"/>
          </w:r>
          <w:r>
            <w:instrText xml:space="preserve"> PAGEREF _Toc195529415 \h </w:instrText>
          </w:r>
          <w:r>
            <w:fldChar w:fldCharType="separate"/>
          </w:r>
          <w:r>
            <w:t>16</w:t>
          </w:r>
          <w:r>
            <w:fldChar w:fldCharType="end"/>
          </w:r>
          <w:r>
            <w:fldChar w:fldCharType="end"/>
          </w:r>
        </w:p>
        <w:p w14:paraId="0FDEEDB0">
          <w:pPr>
            <w:pStyle w:val="38"/>
            <w:tabs>
              <w:tab w:val="right" w:leader="dot" w:pos="9628"/>
            </w:tabs>
            <w:ind w:left="210"/>
            <w:rPr>
              <w:rFonts w:asciiTheme="minorHAnsi" w:hAnsiTheme="minorHAnsi" w:eastAsiaTheme="minorEastAsia" w:cstheme="minorBidi"/>
              <w:szCs w:val="22"/>
            </w:rPr>
          </w:pPr>
          <w:r>
            <w:fldChar w:fldCharType="begin"/>
          </w:r>
          <w:r>
            <w:instrText xml:space="preserve"> HYPERLINK \l "_Toc195529416" </w:instrText>
          </w:r>
          <w:r>
            <w:fldChar w:fldCharType="separate"/>
          </w:r>
          <w:r>
            <w:rPr>
              <w:rStyle w:val="54"/>
              <w:rFonts w:hint="eastAsia" w:ascii="宋体" w:hAnsi="宋体" w:cs="仿宋"/>
              <w:b/>
              <w:kern w:val="0"/>
            </w:rPr>
            <w:t>五、谈判</w:t>
          </w:r>
          <w:r>
            <w:tab/>
          </w:r>
          <w:r>
            <w:fldChar w:fldCharType="begin"/>
          </w:r>
          <w:r>
            <w:instrText xml:space="preserve"> PAGEREF _Toc195529416 \h </w:instrText>
          </w:r>
          <w:r>
            <w:fldChar w:fldCharType="separate"/>
          </w:r>
          <w:r>
            <w:t>17</w:t>
          </w:r>
          <w:r>
            <w:fldChar w:fldCharType="end"/>
          </w:r>
          <w:r>
            <w:fldChar w:fldCharType="end"/>
          </w:r>
        </w:p>
        <w:p w14:paraId="53372019">
          <w:pPr>
            <w:pStyle w:val="38"/>
            <w:tabs>
              <w:tab w:val="right" w:leader="dot" w:pos="9628"/>
            </w:tabs>
            <w:ind w:left="210"/>
            <w:rPr>
              <w:rFonts w:asciiTheme="minorHAnsi" w:hAnsiTheme="minorHAnsi" w:eastAsiaTheme="minorEastAsia" w:cstheme="minorBidi"/>
              <w:szCs w:val="22"/>
            </w:rPr>
          </w:pPr>
          <w:r>
            <w:fldChar w:fldCharType="begin"/>
          </w:r>
          <w:r>
            <w:instrText xml:space="preserve"> HYPERLINK \l "_Toc195529417" </w:instrText>
          </w:r>
          <w:r>
            <w:fldChar w:fldCharType="separate"/>
          </w:r>
          <w:r>
            <w:rPr>
              <w:rStyle w:val="54"/>
              <w:rFonts w:hint="eastAsia" w:ascii="宋体" w:hAnsi="宋体" w:cs="仿宋"/>
              <w:b/>
              <w:kern w:val="0"/>
            </w:rPr>
            <w:t>六、资格审查</w:t>
          </w:r>
          <w:r>
            <w:tab/>
          </w:r>
          <w:r>
            <w:fldChar w:fldCharType="begin"/>
          </w:r>
          <w:r>
            <w:instrText xml:space="preserve"> PAGEREF _Toc195529417 \h </w:instrText>
          </w:r>
          <w:r>
            <w:fldChar w:fldCharType="separate"/>
          </w:r>
          <w:r>
            <w:t>18</w:t>
          </w:r>
          <w:r>
            <w:fldChar w:fldCharType="end"/>
          </w:r>
          <w:r>
            <w:fldChar w:fldCharType="end"/>
          </w:r>
        </w:p>
        <w:p w14:paraId="04B076FE">
          <w:pPr>
            <w:pStyle w:val="38"/>
            <w:tabs>
              <w:tab w:val="right" w:leader="dot" w:pos="9628"/>
            </w:tabs>
            <w:ind w:left="210"/>
            <w:rPr>
              <w:rFonts w:asciiTheme="minorHAnsi" w:hAnsiTheme="minorHAnsi" w:eastAsiaTheme="minorEastAsia" w:cstheme="minorBidi"/>
              <w:szCs w:val="22"/>
            </w:rPr>
          </w:pPr>
          <w:r>
            <w:fldChar w:fldCharType="begin"/>
          </w:r>
          <w:r>
            <w:instrText xml:space="preserve"> HYPERLINK \l "_Toc195529418" </w:instrText>
          </w:r>
          <w:r>
            <w:fldChar w:fldCharType="separate"/>
          </w:r>
          <w:r>
            <w:rPr>
              <w:rStyle w:val="54"/>
              <w:rFonts w:hint="eastAsia" w:ascii="宋体" w:hAnsi="宋体" w:cs="仿宋"/>
              <w:b/>
              <w:kern w:val="0"/>
            </w:rPr>
            <w:t>七、谈判和定标</w:t>
          </w:r>
          <w:r>
            <w:tab/>
          </w:r>
          <w:r>
            <w:fldChar w:fldCharType="begin"/>
          </w:r>
          <w:r>
            <w:instrText xml:space="preserve"> PAGEREF _Toc195529418 \h </w:instrText>
          </w:r>
          <w:r>
            <w:fldChar w:fldCharType="separate"/>
          </w:r>
          <w:r>
            <w:t>19</w:t>
          </w:r>
          <w:r>
            <w:fldChar w:fldCharType="end"/>
          </w:r>
          <w:r>
            <w:fldChar w:fldCharType="end"/>
          </w:r>
        </w:p>
        <w:p w14:paraId="2D9E7F9C">
          <w:pPr>
            <w:pStyle w:val="38"/>
            <w:tabs>
              <w:tab w:val="right" w:leader="dot" w:pos="9628"/>
            </w:tabs>
            <w:ind w:left="210"/>
            <w:rPr>
              <w:rFonts w:asciiTheme="minorHAnsi" w:hAnsiTheme="minorHAnsi" w:eastAsiaTheme="minorEastAsia" w:cstheme="minorBidi"/>
              <w:szCs w:val="22"/>
            </w:rPr>
          </w:pPr>
          <w:r>
            <w:fldChar w:fldCharType="begin"/>
          </w:r>
          <w:r>
            <w:instrText xml:space="preserve"> HYPERLINK \l "_Toc195529419" </w:instrText>
          </w:r>
          <w:r>
            <w:fldChar w:fldCharType="separate"/>
          </w:r>
          <w:r>
            <w:rPr>
              <w:rStyle w:val="54"/>
              <w:rFonts w:hint="eastAsia" w:ascii="宋体" w:hAnsi="宋体" w:cs="仿宋"/>
              <w:b/>
              <w:kern w:val="0"/>
            </w:rPr>
            <w:t>八、授予合同</w:t>
          </w:r>
          <w:r>
            <w:tab/>
          </w:r>
          <w:r>
            <w:fldChar w:fldCharType="begin"/>
          </w:r>
          <w:r>
            <w:instrText xml:space="preserve"> PAGEREF _Toc195529419 \h </w:instrText>
          </w:r>
          <w:r>
            <w:fldChar w:fldCharType="separate"/>
          </w:r>
          <w:r>
            <w:t>23</w:t>
          </w:r>
          <w:r>
            <w:fldChar w:fldCharType="end"/>
          </w:r>
          <w:r>
            <w:fldChar w:fldCharType="end"/>
          </w:r>
        </w:p>
        <w:p w14:paraId="7797024D">
          <w:pPr>
            <w:pStyle w:val="32"/>
            <w:tabs>
              <w:tab w:val="right" w:leader="dot" w:pos="9628"/>
            </w:tabs>
            <w:ind w:firstLine="402"/>
            <w:rPr>
              <w:rFonts w:asciiTheme="minorHAnsi" w:hAnsiTheme="minorHAnsi" w:eastAsiaTheme="minorEastAsia" w:cstheme="minorBidi"/>
              <w:b w:val="0"/>
              <w:bCs w:val="0"/>
              <w:caps w:val="0"/>
              <w:sz w:val="21"/>
              <w:szCs w:val="22"/>
            </w:rPr>
          </w:pPr>
          <w:r>
            <w:fldChar w:fldCharType="begin"/>
          </w:r>
          <w:r>
            <w:instrText xml:space="preserve"> HYPERLINK \l "_Toc195529420" </w:instrText>
          </w:r>
          <w:r>
            <w:fldChar w:fldCharType="separate"/>
          </w:r>
          <w:r>
            <w:rPr>
              <w:rStyle w:val="54"/>
              <w:rFonts w:hint="eastAsia" w:ascii="宋体" w:hAnsi="宋体" w:cs="仿宋"/>
            </w:rPr>
            <w:t>第三章、采购需求</w:t>
          </w:r>
          <w:r>
            <w:tab/>
          </w:r>
          <w:r>
            <w:fldChar w:fldCharType="begin"/>
          </w:r>
          <w:r>
            <w:instrText xml:space="preserve"> PAGEREF _Toc195529420 \h </w:instrText>
          </w:r>
          <w:r>
            <w:fldChar w:fldCharType="separate"/>
          </w:r>
          <w:r>
            <w:t>24</w:t>
          </w:r>
          <w:r>
            <w:fldChar w:fldCharType="end"/>
          </w:r>
          <w:r>
            <w:fldChar w:fldCharType="end"/>
          </w:r>
        </w:p>
        <w:p w14:paraId="30450C60">
          <w:pPr>
            <w:pStyle w:val="32"/>
            <w:tabs>
              <w:tab w:val="right" w:leader="dot" w:pos="9628"/>
            </w:tabs>
            <w:ind w:firstLine="402"/>
            <w:rPr>
              <w:rFonts w:asciiTheme="minorHAnsi" w:hAnsiTheme="minorHAnsi" w:eastAsiaTheme="minorEastAsia" w:cstheme="minorBidi"/>
              <w:b w:val="0"/>
              <w:bCs w:val="0"/>
              <w:caps w:val="0"/>
              <w:sz w:val="21"/>
              <w:szCs w:val="22"/>
            </w:rPr>
          </w:pPr>
          <w:r>
            <w:fldChar w:fldCharType="begin"/>
          </w:r>
          <w:r>
            <w:instrText xml:space="preserve"> HYPERLINK \l "_Toc195529421" </w:instrText>
          </w:r>
          <w:r>
            <w:fldChar w:fldCharType="separate"/>
          </w:r>
          <w:r>
            <w:rPr>
              <w:rStyle w:val="54"/>
              <w:rFonts w:hint="eastAsia" w:ascii="宋体" w:hAnsi="宋体" w:cs="仿宋"/>
            </w:rPr>
            <w:t>第四章、合同</w:t>
          </w:r>
          <w:r>
            <w:tab/>
          </w:r>
          <w:r>
            <w:fldChar w:fldCharType="begin"/>
          </w:r>
          <w:r>
            <w:instrText xml:space="preserve"> PAGEREF _Toc195529421 \h </w:instrText>
          </w:r>
          <w:r>
            <w:fldChar w:fldCharType="separate"/>
          </w:r>
          <w:r>
            <w:t>25</w:t>
          </w:r>
          <w:r>
            <w:fldChar w:fldCharType="end"/>
          </w:r>
          <w:r>
            <w:fldChar w:fldCharType="end"/>
          </w:r>
        </w:p>
        <w:p w14:paraId="07455172">
          <w:pPr>
            <w:pStyle w:val="32"/>
            <w:tabs>
              <w:tab w:val="right" w:leader="dot" w:pos="9628"/>
            </w:tabs>
            <w:ind w:firstLine="402"/>
            <w:rPr>
              <w:rFonts w:asciiTheme="minorHAnsi" w:hAnsiTheme="minorHAnsi" w:eastAsiaTheme="minorEastAsia" w:cstheme="minorBidi"/>
              <w:b w:val="0"/>
              <w:bCs w:val="0"/>
              <w:caps w:val="0"/>
              <w:sz w:val="21"/>
              <w:szCs w:val="22"/>
            </w:rPr>
          </w:pPr>
          <w:r>
            <w:fldChar w:fldCharType="begin"/>
          </w:r>
          <w:r>
            <w:instrText xml:space="preserve"> HYPERLINK \l "_Toc195529423" </w:instrText>
          </w:r>
          <w:r>
            <w:fldChar w:fldCharType="separate"/>
          </w:r>
          <w:r>
            <w:rPr>
              <w:rStyle w:val="54"/>
              <w:rFonts w:hint="eastAsia" w:ascii="宋体" w:hAnsi="宋体" w:cs="仿宋"/>
            </w:rPr>
            <w:t>第</w:t>
          </w:r>
          <w:r>
            <w:rPr>
              <w:rStyle w:val="54"/>
              <w:rFonts w:hint="eastAsia" w:ascii="宋体" w:hAnsi="宋体" w:cs="仿宋"/>
              <w:lang w:val="en-US" w:eastAsia="zh-CN"/>
            </w:rPr>
            <w:t>五</w:t>
          </w:r>
          <w:r>
            <w:rPr>
              <w:rStyle w:val="54"/>
              <w:rFonts w:hint="eastAsia" w:ascii="宋体" w:hAnsi="宋体" w:cs="仿宋"/>
            </w:rPr>
            <w:t>章、响应文件格式</w:t>
          </w:r>
          <w:r>
            <w:tab/>
          </w:r>
          <w:r>
            <w:fldChar w:fldCharType="begin"/>
          </w:r>
          <w:r>
            <w:instrText xml:space="preserve"> PAGEREF _Toc195529423 \h </w:instrText>
          </w:r>
          <w:r>
            <w:fldChar w:fldCharType="separate"/>
          </w:r>
          <w:r>
            <w:t>61</w:t>
          </w:r>
          <w:r>
            <w:fldChar w:fldCharType="end"/>
          </w:r>
          <w:r>
            <w:fldChar w:fldCharType="end"/>
          </w:r>
        </w:p>
        <w:p w14:paraId="3DCACB31">
          <w:pPr>
            <w:pStyle w:val="38"/>
            <w:tabs>
              <w:tab w:val="right" w:leader="dot" w:pos="9628"/>
            </w:tabs>
            <w:ind w:left="210"/>
            <w:rPr>
              <w:rFonts w:asciiTheme="minorHAnsi" w:hAnsiTheme="minorHAnsi" w:eastAsiaTheme="minorEastAsia" w:cstheme="minorBidi"/>
              <w:szCs w:val="22"/>
            </w:rPr>
          </w:pPr>
          <w:r>
            <w:fldChar w:fldCharType="begin"/>
          </w:r>
          <w:r>
            <w:instrText xml:space="preserve"> HYPERLINK \l "_Toc195529424" </w:instrText>
          </w:r>
          <w:r>
            <w:fldChar w:fldCharType="separate"/>
          </w:r>
          <w:r>
            <w:rPr>
              <w:rStyle w:val="54"/>
              <w:rFonts w:hint="eastAsia" w:ascii="宋体" w:hAnsi="宋体" w:cs="仿宋"/>
              <w:b/>
              <w:kern w:val="0"/>
            </w:rPr>
            <w:t>附件一、投标书</w:t>
          </w:r>
          <w:r>
            <w:tab/>
          </w:r>
          <w:r>
            <w:fldChar w:fldCharType="begin"/>
          </w:r>
          <w:r>
            <w:instrText xml:space="preserve"> PAGEREF _Toc195529424 \h </w:instrText>
          </w:r>
          <w:r>
            <w:fldChar w:fldCharType="separate"/>
          </w:r>
          <w:r>
            <w:t>62</w:t>
          </w:r>
          <w:r>
            <w:fldChar w:fldCharType="end"/>
          </w:r>
          <w:r>
            <w:fldChar w:fldCharType="end"/>
          </w:r>
        </w:p>
        <w:p w14:paraId="7EBE2527">
          <w:pPr>
            <w:pStyle w:val="38"/>
            <w:tabs>
              <w:tab w:val="right" w:leader="dot" w:pos="9628"/>
            </w:tabs>
            <w:ind w:left="210"/>
            <w:rPr>
              <w:rFonts w:asciiTheme="minorHAnsi" w:hAnsiTheme="minorHAnsi" w:eastAsiaTheme="minorEastAsia" w:cstheme="minorBidi"/>
              <w:szCs w:val="22"/>
            </w:rPr>
          </w:pPr>
          <w:r>
            <w:fldChar w:fldCharType="begin"/>
          </w:r>
          <w:r>
            <w:instrText xml:space="preserve"> HYPERLINK \l "_Toc195529425" </w:instrText>
          </w:r>
          <w:r>
            <w:fldChar w:fldCharType="separate"/>
          </w:r>
          <w:r>
            <w:rPr>
              <w:rStyle w:val="54"/>
              <w:rFonts w:hint="eastAsia" w:ascii="宋体" w:hAnsi="宋体" w:cs="仿宋"/>
              <w:b/>
              <w:kern w:val="0"/>
            </w:rPr>
            <w:t>附件二、法定代表人资格证明书</w:t>
          </w:r>
          <w:r>
            <w:tab/>
          </w:r>
          <w:r>
            <w:fldChar w:fldCharType="begin"/>
          </w:r>
          <w:r>
            <w:instrText xml:space="preserve"> PAGEREF _Toc195529425 \h </w:instrText>
          </w:r>
          <w:r>
            <w:fldChar w:fldCharType="separate"/>
          </w:r>
          <w:r>
            <w:t>64</w:t>
          </w:r>
          <w:r>
            <w:fldChar w:fldCharType="end"/>
          </w:r>
          <w:r>
            <w:fldChar w:fldCharType="end"/>
          </w:r>
        </w:p>
        <w:p w14:paraId="17C423A0">
          <w:pPr>
            <w:pStyle w:val="38"/>
            <w:tabs>
              <w:tab w:val="right" w:leader="dot" w:pos="9628"/>
            </w:tabs>
            <w:ind w:left="210"/>
            <w:rPr>
              <w:rFonts w:asciiTheme="minorHAnsi" w:hAnsiTheme="minorHAnsi" w:eastAsiaTheme="minorEastAsia" w:cstheme="minorBidi"/>
              <w:szCs w:val="22"/>
            </w:rPr>
          </w:pPr>
          <w:r>
            <w:fldChar w:fldCharType="begin"/>
          </w:r>
          <w:r>
            <w:instrText xml:space="preserve"> HYPERLINK \l "_Toc195529426" </w:instrText>
          </w:r>
          <w:r>
            <w:fldChar w:fldCharType="separate"/>
          </w:r>
          <w:r>
            <w:rPr>
              <w:rStyle w:val="54"/>
              <w:rFonts w:hint="eastAsia" w:ascii="宋体" w:hAnsi="宋体" w:cs="仿宋"/>
              <w:b/>
              <w:kern w:val="0"/>
            </w:rPr>
            <w:t>附件三、法定代表人授权委托书</w:t>
          </w:r>
          <w:r>
            <w:tab/>
          </w:r>
          <w:r>
            <w:fldChar w:fldCharType="begin"/>
          </w:r>
          <w:r>
            <w:instrText xml:space="preserve"> PAGEREF _Toc195529426 \h </w:instrText>
          </w:r>
          <w:r>
            <w:fldChar w:fldCharType="separate"/>
          </w:r>
          <w:r>
            <w:t>65</w:t>
          </w:r>
          <w:r>
            <w:fldChar w:fldCharType="end"/>
          </w:r>
          <w:r>
            <w:fldChar w:fldCharType="end"/>
          </w:r>
        </w:p>
        <w:p w14:paraId="0C68D113">
          <w:pPr>
            <w:pStyle w:val="38"/>
            <w:tabs>
              <w:tab w:val="right" w:leader="dot" w:pos="9628"/>
            </w:tabs>
            <w:ind w:left="210"/>
            <w:rPr>
              <w:rFonts w:asciiTheme="minorHAnsi" w:hAnsiTheme="minorHAnsi" w:eastAsiaTheme="minorEastAsia" w:cstheme="minorBidi"/>
              <w:szCs w:val="22"/>
            </w:rPr>
          </w:pPr>
          <w:r>
            <w:fldChar w:fldCharType="begin"/>
          </w:r>
          <w:r>
            <w:instrText xml:space="preserve"> HYPERLINK \l "_Toc195529427" </w:instrText>
          </w:r>
          <w:r>
            <w:fldChar w:fldCharType="separate"/>
          </w:r>
          <w:r>
            <w:rPr>
              <w:rStyle w:val="54"/>
              <w:rFonts w:hint="eastAsia" w:ascii="宋体" w:hAnsi="宋体" w:cs="仿宋"/>
              <w:b/>
              <w:kern w:val="0"/>
            </w:rPr>
            <w:t>附件四、关于谈判文件的声明函</w:t>
          </w:r>
          <w:r>
            <w:tab/>
          </w:r>
          <w:r>
            <w:fldChar w:fldCharType="begin"/>
          </w:r>
          <w:r>
            <w:instrText xml:space="preserve"> PAGEREF _Toc195529427 \h </w:instrText>
          </w:r>
          <w:r>
            <w:fldChar w:fldCharType="separate"/>
          </w:r>
          <w:r>
            <w:t>66</w:t>
          </w:r>
          <w:r>
            <w:fldChar w:fldCharType="end"/>
          </w:r>
          <w:r>
            <w:fldChar w:fldCharType="end"/>
          </w:r>
        </w:p>
        <w:p w14:paraId="27B8CAC4">
          <w:pPr>
            <w:pStyle w:val="38"/>
            <w:tabs>
              <w:tab w:val="right" w:leader="dot" w:pos="9628"/>
            </w:tabs>
            <w:ind w:left="210"/>
            <w:rPr>
              <w:rFonts w:asciiTheme="minorHAnsi" w:hAnsiTheme="minorHAnsi" w:eastAsiaTheme="minorEastAsia" w:cstheme="minorBidi"/>
              <w:szCs w:val="22"/>
            </w:rPr>
          </w:pPr>
          <w:r>
            <w:fldChar w:fldCharType="begin"/>
          </w:r>
          <w:r>
            <w:instrText xml:space="preserve"> HYPERLINK \l "_Toc195529428" </w:instrText>
          </w:r>
          <w:r>
            <w:fldChar w:fldCharType="separate"/>
          </w:r>
          <w:r>
            <w:rPr>
              <w:rStyle w:val="54"/>
              <w:rFonts w:hint="eastAsia" w:ascii="宋体" w:hAnsi="宋体" w:cs="仿宋"/>
              <w:b/>
              <w:kern w:val="0"/>
            </w:rPr>
            <w:t>附件五、首次报价一览表</w:t>
          </w:r>
          <w:r>
            <w:tab/>
          </w:r>
          <w:r>
            <w:fldChar w:fldCharType="begin"/>
          </w:r>
          <w:r>
            <w:instrText xml:space="preserve"> PAGEREF _Toc195529428 \h </w:instrText>
          </w:r>
          <w:r>
            <w:fldChar w:fldCharType="separate"/>
          </w:r>
          <w:r>
            <w:t>75</w:t>
          </w:r>
          <w:r>
            <w:fldChar w:fldCharType="end"/>
          </w:r>
          <w:r>
            <w:fldChar w:fldCharType="end"/>
          </w:r>
        </w:p>
        <w:p w14:paraId="1D2BB339">
          <w:pPr>
            <w:pStyle w:val="38"/>
            <w:tabs>
              <w:tab w:val="right" w:leader="dot" w:pos="9628"/>
            </w:tabs>
            <w:ind w:left="210"/>
            <w:rPr>
              <w:rFonts w:asciiTheme="minorHAnsi" w:hAnsiTheme="minorHAnsi" w:eastAsiaTheme="minorEastAsia" w:cstheme="minorBidi"/>
              <w:szCs w:val="22"/>
            </w:rPr>
          </w:pPr>
          <w:r>
            <w:fldChar w:fldCharType="begin"/>
          </w:r>
          <w:r>
            <w:instrText xml:space="preserve"> HYPERLINK \l "_Toc195529429" </w:instrText>
          </w:r>
          <w:r>
            <w:fldChar w:fldCharType="separate"/>
          </w:r>
          <w:r>
            <w:rPr>
              <w:rStyle w:val="54"/>
              <w:rFonts w:hint="eastAsia" w:ascii="宋体" w:hAnsi="宋体" w:cs="仿宋"/>
              <w:b/>
              <w:bCs/>
            </w:rPr>
            <w:t>附件六、商务技术条款偏离表</w:t>
          </w:r>
          <w:r>
            <w:tab/>
          </w:r>
          <w:r>
            <w:fldChar w:fldCharType="begin"/>
          </w:r>
          <w:r>
            <w:instrText xml:space="preserve"> PAGEREF _Toc195529429 \h </w:instrText>
          </w:r>
          <w:r>
            <w:fldChar w:fldCharType="separate"/>
          </w:r>
          <w:r>
            <w:t>77</w:t>
          </w:r>
          <w:r>
            <w:fldChar w:fldCharType="end"/>
          </w:r>
          <w:r>
            <w:fldChar w:fldCharType="end"/>
          </w:r>
        </w:p>
        <w:p w14:paraId="53401414">
          <w:pPr>
            <w:pStyle w:val="38"/>
            <w:tabs>
              <w:tab w:val="right" w:leader="dot" w:pos="9628"/>
            </w:tabs>
            <w:ind w:left="210"/>
            <w:rPr>
              <w:rFonts w:asciiTheme="minorHAnsi" w:hAnsiTheme="minorHAnsi" w:eastAsiaTheme="minorEastAsia" w:cstheme="minorBidi"/>
              <w:szCs w:val="22"/>
            </w:rPr>
          </w:pPr>
          <w:r>
            <w:fldChar w:fldCharType="begin"/>
          </w:r>
          <w:r>
            <w:instrText xml:space="preserve"> HYPERLINK \l "_Toc195529430" </w:instrText>
          </w:r>
          <w:r>
            <w:fldChar w:fldCharType="separate"/>
          </w:r>
          <w:r>
            <w:rPr>
              <w:rStyle w:val="54"/>
              <w:rFonts w:hint="eastAsia" w:ascii="宋体" w:hAnsi="宋体" w:cs="仿宋"/>
              <w:b/>
              <w:kern w:val="0"/>
            </w:rPr>
            <w:t>附件七、近三年（响应截止日前三年）业绩表</w:t>
          </w:r>
          <w:r>
            <w:tab/>
          </w:r>
          <w:r>
            <w:fldChar w:fldCharType="begin"/>
          </w:r>
          <w:r>
            <w:instrText xml:space="preserve"> PAGEREF _Toc195529430 \h </w:instrText>
          </w:r>
          <w:r>
            <w:fldChar w:fldCharType="separate"/>
          </w:r>
          <w:r>
            <w:t>78</w:t>
          </w:r>
          <w:r>
            <w:fldChar w:fldCharType="end"/>
          </w:r>
          <w:r>
            <w:fldChar w:fldCharType="end"/>
          </w:r>
        </w:p>
        <w:p w14:paraId="5A972598">
          <w:pPr>
            <w:pStyle w:val="38"/>
            <w:tabs>
              <w:tab w:val="right" w:leader="dot" w:pos="9628"/>
            </w:tabs>
            <w:ind w:left="210"/>
            <w:rPr>
              <w:rFonts w:asciiTheme="minorHAnsi" w:hAnsiTheme="minorHAnsi" w:eastAsiaTheme="minorEastAsia" w:cstheme="minorBidi"/>
              <w:szCs w:val="22"/>
            </w:rPr>
          </w:pPr>
          <w:r>
            <w:fldChar w:fldCharType="begin"/>
          </w:r>
          <w:r>
            <w:instrText xml:space="preserve"> HYPERLINK \l "_Toc195529431" </w:instrText>
          </w:r>
          <w:r>
            <w:fldChar w:fldCharType="separate"/>
          </w:r>
          <w:r>
            <w:rPr>
              <w:rStyle w:val="54"/>
              <w:rFonts w:hint="eastAsia" w:ascii="宋体" w:hAnsi="宋体" w:cs="仿宋"/>
              <w:b/>
              <w:kern w:val="0"/>
            </w:rPr>
            <w:t>附件八、项目负责人近三年（响应截止日前三年）业绩表</w:t>
          </w:r>
          <w:r>
            <w:tab/>
          </w:r>
          <w:r>
            <w:fldChar w:fldCharType="begin"/>
          </w:r>
          <w:r>
            <w:instrText xml:space="preserve"> PAGEREF _Toc195529431 \h </w:instrText>
          </w:r>
          <w:r>
            <w:fldChar w:fldCharType="separate"/>
          </w:r>
          <w:r>
            <w:t>79</w:t>
          </w:r>
          <w:r>
            <w:fldChar w:fldCharType="end"/>
          </w:r>
          <w:r>
            <w:fldChar w:fldCharType="end"/>
          </w:r>
        </w:p>
        <w:p w14:paraId="191A1E16">
          <w:pPr>
            <w:pStyle w:val="38"/>
            <w:tabs>
              <w:tab w:val="right" w:leader="dot" w:pos="9628"/>
            </w:tabs>
            <w:ind w:left="210"/>
            <w:rPr>
              <w:rFonts w:asciiTheme="minorHAnsi" w:hAnsiTheme="minorHAnsi" w:eastAsiaTheme="minorEastAsia" w:cstheme="minorBidi"/>
              <w:szCs w:val="22"/>
            </w:rPr>
          </w:pPr>
          <w:r>
            <w:fldChar w:fldCharType="begin"/>
          </w:r>
          <w:r>
            <w:instrText xml:space="preserve"> HYPERLINK \l "_Toc195529432" </w:instrText>
          </w:r>
          <w:r>
            <w:fldChar w:fldCharType="separate"/>
          </w:r>
          <w:r>
            <w:rPr>
              <w:rStyle w:val="54"/>
              <w:rFonts w:hint="eastAsia" w:ascii="宋体" w:hAnsi="宋体" w:cs="仿宋"/>
              <w:b/>
              <w:bCs/>
              <w:kern w:val="0"/>
              <w:lang w:bidi="ar"/>
            </w:rPr>
            <w:t>附件九、中小企业声明函</w:t>
          </w:r>
          <w:r>
            <w:tab/>
          </w:r>
          <w:r>
            <w:fldChar w:fldCharType="begin"/>
          </w:r>
          <w:r>
            <w:instrText xml:space="preserve"> PAGEREF _Toc195529432 \h </w:instrText>
          </w:r>
          <w:r>
            <w:fldChar w:fldCharType="separate"/>
          </w:r>
          <w:r>
            <w:t>80</w:t>
          </w:r>
          <w:r>
            <w:fldChar w:fldCharType="end"/>
          </w:r>
          <w:r>
            <w:fldChar w:fldCharType="end"/>
          </w:r>
        </w:p>
        <w:p w14:paraId="46CFDC39">
          <w:pPr>
            <w:pStyle w:val="38"/>
            <w:tabs>
              <w:tab w:val="right" w:leader="dot" w:pos="9628"/>
            </w:tabs>
            <w:ind w:left="210"/>
            <w:rPr>
              <w:rFonts w:asciiTheme="minorHAnsi" w:hAnsiTheme="minorHAnsi" w:eastAsiaTheme="minorEastAsia" w:cstheme="minorBidi"/>
              <w:szCs w:val="22"/>
            </w:rPr>
          </w:pPr>
          <w:r>
            <w:fldChar w:fldCharType="begin"/>
          </w:r>
          <w:r>
            <w:instrText xml:space="preserve"> HYPERLINK \l "_Toc195529433" </w:instrText>
          </w:r>
          <w:r>
            <w:fldChar w:fldCharType="separate"/>
          </w:r>
          <w:r>
            <w:rPr>
              <w:rStyle w:val="54"/>
              <w:rFonts w:hint="eastAsia" w:ascii="宋体" w:hAnsi="宋体" w:cs="仿宋"/>
              <w:b/>
              <w:kern w:val="0"/>
            </w:rPr>
            <w:t>附件十、技术方案</w:t>
          </w:r>
          <w:r>
            <w:tab/>
          </w:r>
          <w:r>
            <w:fldChar w:fldCharType="begin"/>
          </w:r>
          <w:r>
            <w:instrText xml:space="preserve"> PAGEREF _Toc195529433 \h </w:instrText>
          </w:r>
          <w:r>
            <w:fldChar w:fldCharType="separate"/>
          </w:r>
          <w:r>
            <w:t>86</w:t>
          </w:r>
          <w:r>
            <w:fldChar w:fldCharType="end"/>
          </w:r>
          <w:r>
            <w:fldChar w:fldCharType="end"/>
          </w:r>
        </w:p>
        <w:p w14:paraId="108BDFAA">
          <w:pPr>
            <w:pStyle w:val="38"/>
            <w:tabs>
              <w:tab w:val="right" w:leader="dot" w:pos="9628"/>
            </w:tabs>
            <w:ind w:left="210"/>
            <w:rPr>
              <w:rFonts w:asciiTheme="minorHAnsi" w:hAnsiTheme="minorHAnsi" w:eastAsiaTheme="minorEastAsia" w:cstheme="minorBidi"/>
              <w:szCs w:val="22"/>
            </w:rPr>
          </w:pPr>
          <w:r>
            <w:fldChar w:fldCharType="begin"/>
          </w:r>
          <w:r>
            <w:instrText xml:space="preserve"> HYPERLINK \l "_Toc195529434" </w:instrText>
          </w:r>
          <w:r>
            <w:fldChar w:fldCharType="separate"/>
          </w:r>
          <w:r>
            <w:rPr>
              <w:rStyle w:val="54"/>
              <w:rFonts w:hint="eastAsia" w:ascii="宋体" w:hAnsi="宋体" w:cs="仿宋"/>
              <w:b/>
              <w:kern w:val="0"/>
            </w:rPr>
            <w:t>附件十一、其他证明文件</w:t>
          </w:r>
          <w:r>
            <w:tab/>
          </w:r>
          <w:r>
            <w:fldChar w:fldCharType="begin"/>
          </w:r>
          <w:r>
            <w:instrText xml:space="preserve"> PAGEREF _Toc195529434 \h </w:instrText>
          </w:r>
          <w:r>
            <w:fldChar w:fldCharType="separate"/>
          </w:r>
          <w:r>
            <w:t>87</w:t>
          </w:r>
          <w:r>
            <w:fldChar w:fldCharType="end"/>
          </w:r>
          <w:r>
            <w:fldChar w:fldCharType="end"/>
          </w:r>
        </w:p>
        <w:p w14:paraId="59C07D99">
          <w:pPr>
            <w:pStyle w:val="38"/>
            <w:tabs>
              <w:tab w:val="right" w:leader="dot" w:pos="9628"/>
            </w:tabs>
            <w:ind w:left="210"/>
            <w:rPr>
              <w:rFonts w:asciiTheme="minorHAnsi" w:hAnsiTheme="minorHAnsi" w:eastAsiaTheme="minorEastAsia" w:cstheme="minorBidi"/>
              <w:szCs w:val="22"/>
            </w:rPr>
          </w:pPr>
          <w:r>
            <w:fldChar w:fldCharType="begin"/>
          </w:r>
          <w:r>
            <w:instrText xml:space="preserve"> HYPERLINK \l "_Toc195529435" </w:instrText>
          </w:r>
          <w:r>
            <w:fldChar w:fldCharType="separate"/>
          </w:r>
          <w:r>
            <w:rPr>
              <w:rStyle w:val="54"/>
              <w:rFonts w:hint="eastAsia" w:ascii="宋体" w:hAnsi="宋体" w:cs="仿宋"/>
              <w:b/>
              <w:kern w:val="0"/>
            </w:rPr>
            <w:t>附件十二、二次（多次）报价单</w:t>
          </w:r>
          <w:r>
            <w:tab/>
          </w:r>
          <w:r>
            <w:fldChar w:fldCharType="begin"/>
          </w:r>
          <w:r>
            <w:instrText xml:space="preserve"> PAGEREF _Toc195529435 \h </w:instrText>
          </w:r>
          <w:r>
            <w:fldChar w:fldCharType="separate"/>
          </w:r>
          <w:r>
            <w:t>88</w:t>
          </w:r>
          <w:r>
            <w:fldChar w:fldCharType="end"/>
          </w:r>
          <w:r>
            <w:fldChar w:fldCharType="end"/>
          </w:r>
        </w:p>
        <w:p w14:paraId="2E2C304D">
          <w:pPr>
            <w:spacing w:line="360" w:lineRule="auto"/>
            <w:ind w:firstLine="482"/>
            <w:jc w:val="center"/>
            <w:rPr>
              <w:rFonts w:hint="eastAsia" w:ascii="宋体" w:hAnsi="宋体" w:eastAsia="宋体" w:cs="仿宋"/>
              <w:b/>
              <w:bCs/>
              <w:sz w:val="36"/>
              <w:szCs w:val="20"/>
            </w:rPr>
            <w:sectPr>
              <w:headerReference r:id="rId3" w:type="default"/>
              <w:footerReference r:id="rId4" w:type="default"/>
              <w:type w:val="continuous"/>
              <w:pgSz w:w="11906" w:h="16839"/>
              <w:pgMar w:top="1431" w:right="1785" w:bottom="1262" w:left="1785" w:header="0" w:footer="1102" w:gutter="0"/>
              <w:cols w:space="720" w:num="1"/>
            </w:sectPr>
          </w:pPr>
          <w:r>
            <w:rPr>
              <w:rFonts w:ascii="宋体" w:hAnsi="宋体" w:eastAsia="宋体"/>
              <w:b/>
              <w:bCs/>
              <w:szCs w:val="21"/>
              <w:lang w:val="zh-CN"/>
            </w:rPr>
            <w:fldChar w:fldCharType="end"/>
          </w:r>
          <w:bookmarkStart w:id="5" w:name="_Toc25772"/>
          <w:bookmarkStart w:id="6" w:name="_Toc195529409"/>
        </w:p>
      </w:sdtContent>
    </w:sdt>
    <w:p w14:paraId="423C56E2">
      <w:pPr>
        <w:spacing w:line="360" w:lineRule="auto"/>
        <w:jc w:val="center"/>
        <w:outlineLvl w:val="0"/>
        <w:rPr>
          <w:rFonts w:ascii="宋体" w:hAnsi="宋体" w:eastAsia="宋体" w:cs="仿宋"/>
          <w:b/>
          <w:bCs/>
          <w:sz w:val="36"/>
          <w:szCs w:val="20"/>
        </w:rPr>
      </w:pPr>
      <w:r>
        <w:rPr>
          <w:rFonts w:hint="eastAsia" w:ascii="宋体" w:hAnsi="宋体" w:eastAsia="宋体" w:cs="仿宋"/>
          <w:b/>
          <w:bCs/>
          <w:sz w:val="36"/>
          <w:szCs w:val="20"/>
        </w:rPr>
        <w:t>第一章、谈判公告</w:t>
      </w:r>
      <w:bookmarkEnd w:id="1"/>
      <w:bookmarkEnd w:id="2"/>
      <w:bookmarkEnd w:id="3"/>
      <w:bookmarkEnd w:id="5"/>
      <w:bookmarkEnd w:id="6"/>
    </w:p>
    <w:p w14:paraId="31323C3E">
      <w:pPr>
        <w:ind w:firstLine="480"/>
        <w:rPr>
          <w:rFonts w:ascii="宋体" w:hAnsi="宋体" w:eastAsia="宋体"/>
          <w:sz w:val="24"/>
        </w:rPr>
      </w:pPr>
      <w:r>
        <w:rPr>
          <w:rFonts w:hint="eastAsia" w:ascii="宋体" w:hAnsi="宋体" w:eastAsia="宋体"/>
          <w:sz w:val="24"/>
        </w:rPr>
        <w:t xml:space="preserve"> </w:t>
      </w:r>
    </w:p>
    <w:tbl>
      <w:tblPr>
        <w:tblStyle w:val="48"/>
        <w:tblW w:w="8416" w:type="dxa"/>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6"/>
      </w:tblGrid>
      <w:tr w14:paraId="425FF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6" w:type="dxa"/>
          </w:tcPr>
          <w:p w14:paraId="5AB01CC7">
            <w:pPr>
              <w:spacing w:line="360" w:lineRule="auto"/>
              <w:ind w:firstLine="480"/>
              <w:rPr>
                <w:rFonts w:ascii="宋体" w:hAnsi="宋体" w:eastAsia="宋体"/>
                <w:sz w:val="24"/>
                <w:highlight w:val="none"/>
              </w:rPr>
            </w:pPr>
            <w:r>
              <w:rPr>
                <w:rFonts w:hint="eastAsia" w:ascii="宋体" w:hAnsi="宋体" w:eastAsia="宋体"/>
                <w:sz w:val="24"/>
                <w:highlight w:val="none"/>
              </w:rPr>
              <w:t xml:space="preserve">项目概况                                                    </w:t>
            </w:r>
          </w:p>
          <w:p w14:paraId="30840DF9">
            <w:pPr>
              <w:spacing w:line="360" w:lineRule="auto"/>
              <w:ind w:firstLine="480"/>
              <w:rPr>
                <w:rFonts w:ascii="宋体" w:hAnsi="宋体" w:eastAsia="宋体"/>
                <w:sz w:val="24"/>
                <w:highlight w:val="none"/>
              </w:rPr>
            </w:pPr>
            <w:r>
              <w:rPr>
                <w:rFonts w:hint="eastAsia" w:ascii="宋体" w:hAnsi="宋体" w:eastAsia="宋体"/>
                <w:sz w:val="24"/>
                <w:highlight w:val="none"/>
              </w:rPr>
              <w:t xml:space="preserve">   </w:t>
            </w:r>
            <w:r>
              <w:rPr>
                <w:rFonts w:hint="eastAsia" w:ascii="宋体" w:hAnsi="宋体" w:eastAsia="宋体"/>
                <w:sz w:val="24"/>
                <w:highlight w:val="none"/>
                <w:lang w:eastAsia="zh-CN"/>
              </w:rPr>
              <w:t>中华人民共和国新疆出入境边防检查总站执法记录仪数据管理平台、调度平台维保服务采购项目</w:t>
            </w:r>
            <w:r>
              <w:rPr>
                <w:rFonts w:hint="eastAsia" w:ascii="宋体" w:hAnsi="宋体" w:eastAsia="宋体"/>
                <w:sz w:val="24"/>
                <w:highlight w:val="none"/>
              </w:rPr>
              <w:t>的潜在供应商应在政采云平台线上获取采购文件，并于2025年</w:t>
            </w:r>
            <w:r>
              <w:rPr>
                <w:rFonts w:hint="eastAsia" w:ascii="宋体" w:hAnsi="宋体" w:eastAsia="宋体"/>
                <w:sz w:val="24"/>
                <w:highlight w:val="none"/>
                <w:lang w:val="en-US" w:eastAsia="zh-CN"/>
              </w:rPr>
              <w:t>5</w:t>
            </w:r>
            <w:r>
              <w:rPr>
                <w:rFonts w:hint="eastAsia" w:ascii="宋体" w:hAnsi="宋体" w:eastAsia="宋体"/>
                <w:sz w:val="24"/>
                <w:highlight w:val="none"/>
              </w:rPr>
              <w:t>月</w:t>
            </w:r>
            <w:r>
              <w:rPr>
                <w:rFonts w:hint="eastAsia" w:ascii="宋体" w:hAnsi="宋体" w:eastAsia="宋体"/>
                <w:sz w:val="24"/>
                <w:highlight w:val="none"/>
                <w:lang w:val="en-US" w:eastAsia="zh-CN"/>
              </w:rPr>
              <w:t>30</w:t>
            </w:r>
            <w:r>
              <w:rPr>
                <w:rFonts w:hint="eastAsia" w:ascii="宋体" w:hAnsi="宋体" w:eastAsia="宋体"/>
                <w:sz w:val="24"/>
                <w:highlight w:val="none"/>
              </w:rPr>
              <w:t>日</w:t>
            </w:r>
            <w:r>
              <w:rPr>
                <w:rFonts w:hint="eastAsia" w:ascii="宋体" w:hAnsi="宋体" w:eastAsia="宋体"/>
                <w:sz w:val="24"/>
                <w:highlight w:val="none"/>
                <w:lang w:val="en-US" w:eastAsia="zh-CN"/>
              </w:rPr>
              <w:t>10</w:t>
            </w:r>
            <w:r>
              <w:rPr>
                <w:rFonts w:hint="eastAsia" w:ascii="宋体" w:hAnsi="宋体" w:eastAsia="宋体"/>
                <w:sz w:val="24"/>
                <w:highlight w:val="none"/>
              </w:rPr>
              <w:t>：</w:t>
            </w:r>
            <w:r>
              <w:rPr>
                <w:rFonts w:ascii="宋体" w:hAnsi="宋体" w:eastAsia="宋体"/>
                <w:sz w:val="24"/>
                <w:highlight w:val="none"/>
              </w:rPr>
              <w:t>0</w:t>
            </w:r>
            <w:r>
              <w:rPr>
                <w:rFonts w:hint="eastAsia" w:ascii="宋体" w:hAnsi="宋体" w:eastAsia="宋体"/>
                <w:sz w:val="24"/>
                <w:highlight w:val="none"/>
              </w:rPr>
              <w:t>0（北京时间）前提交响应文件。</w:t>
            </w:r>
          </w:p>
        </w:tc>
      </w:tr>
    </w:tbl>
    <w:p w14:paraId="555DDDF8">
      <w:pPr>
        <w:spacing w:line="360" w:lineRule="auto"/>
        <w:ind w:firstLine="480"/>
        <w:rPr>
          <w:rFonts w:ascii="宋体" w:hAnsi="宋体" w:eastAsia="宋体" w:cs="仿宋"/>
          <w:sz w:val="24"/>
          <w:szCs w:val="24"/>
          <w:highlight w:val="none"/>
        </w:rPr>
      </w:pPr>
      <w:r>
        <w:rPr>
          <w:rFonts w:hint="eastAsia" w:ascii="宋体" w:hAnsi="宋体" w:eastAsia="宋体" w:cs="仿宋"/>
          <w:sz w:val="24"/>
          <w:szCs w:val="24"/>
          <w:highlight w:val="none"/>
        </w:rPr>
        <w:t>一、项目基本情况</w:t>
      </w:r>
    </w:p>
    <w:p w14:paraId="20EFFCBB">
      <w:pPr>
        <w:widowControl/>
        <w:shd w:val="clear" w:color="auto" w:fill="FEFEFE"/>
        <w:spacing w:line="360" w:lineRule="auto"/>
        <w:ind w:firstLine="480" w:firstLineChars="200"/>
        <w:jc w:val="left"/>
        <w:rPr>
          <w:rFonts w:hint="eastAsia" w:ascii="宋体" w:hAnsi="宋体" w:eastAsia="宋体" w:cs="Times New Roman"/>
          <w:kern w:val="0"/>
          <w:sz w:val="24"/>
          <w:szCs w:val="24"/>
          <w:highlight w:val="none"/>
          <w:shd w:val="clear" w:color="auto" w:fill="FEFEFE"/>
          <w:lang w:eastAsia="zh-CN"/>
        </w:rPr>
      </w:pPr>
      <w:r>
        <w:rPr>
          <w:rFonts w:hint="eastAsia" w:ascii="宋体" w:hAnsi="宋体" w:eastAsia="宋体" w:cs="Times New Roman"/>
          <w:kern w:val="0"/>
          <w:sz w:val="24"/>
          <w:szCs w:val="24"/>
          <w:highlight w:val="none"/>
          <w:shd w:val="clear" w:color="auto" w:fill="FEFEFE"/>
        </w:rPr>
        <w:t>1</w:t>
      </w:r>
      <w:r>
        <w:rPr>
          <w:rFonts w:ascii="宋体" w:hAnsi="宋体" w:eastAsia="宋体" w:cs="Times New Roman"/>
          <w:kern w:val="0"/>
          <w:sz w:val="24"/>
          <w:szCs w:val="24"/>
          <w:highlight w:val="none"/>
          <w:shd w:val="clear" w:color="auto" w:fill="FEFEFE"/>
        </w:rPr>
        <w:t>、项目编号：0724-2531XJ602898</w:t>
      </w:r>
    </w:p>
    <w:p w14:paraId="4CC34EE0">
      <w:pPr>
        <w:widowControl/>
        <w:shd w:val="clear" w:color="auto" w:fill="FEFEFE"/>
        <w:spacing w:line="360" w:lineRule="auto"/>
        <w:ind w:firstLine="480" w:firstLineChars="200"/>
        <w:jc w:val="left"/>
        <w:rPr>
          <w:rFonts w:hint="eastAsia" w:ascii="宋体" w:hAnsi="宋体" w:eastAsia="宋体" w:cs="Times New Roman"/>
          <w:bCs/>
          <w:sz w:val="24"/>
          <w:szCs w:val="24"/>
          <w:highlight w:val="none"/>
          <w:lang w:eastAsia="zh-CN"/>
        </w:rPr>
      </w:pPr>
      <w:r>
        <w:rPr>
          <w:rFonts w:hint="eastAsia" w:ascii="宋体" w:hAnsi="宋体" w:eastAsia="宋体" w:cs="Times New Roman"/>
          <w:kern w:val="0"/>
          <w:sz w:val="24"/>
          <w:szCs w:val="24"/>
          <w:highlight w:val="none"/>
          <w:shd w:val="clear" w:color="auto" w:fill="FEFEFE"/>
        </w:rPr>
        <w:t>2</w:t>
      </w:r>
      <w:r>
        <w:rPr>
          <w:rFonts w:ascii="宋体" w:hAnsi="宋体" w:eastAsia="宋体" w:cs="Times New Roman"/>
          <w:kern w:val="0"/>
          <w:sz w:val="24"/>
          <w:szCs w:val="24"/>
          <w:highlight w:val="none"/>
          <w:shd w:val="clear" w:color="auto" w:fill="FEFEFE"/>
        </w:rPr>
        <w:t>、项目名称：</w:t>
      </w:r>
      <w:r>
        <w:rPr>
          <w:rFonts w:hint="eastAsia" w:ascii="宋体" w:hAnsi="宋体" w:eastAsia="宋体" w:cs="Times New Roman"/>
          <w:kern w:val="0"/>
          <w:sz w:val="24"/>
          <w:szCs w:val="24"/>
          <w:highlight w:val="none"/>
          <w:shd w:val="clear" w:color="auto" w:fill="FEFEFE"/>
          <w:lang w:eastAsia="zh-CN"/>
        </w:rPr>
        <w:t>中华人民共和国新疆出入境边防检查总站执法记录仪数据管理平台、调度平台维保服务采购项目</w:t>
      </w:r>
    </w:p>
    <w:p w14:paraId="2E82903C">
      <w:pPr>
        <w:tabs>
          <w:tab w:val="left" w:pos="4305"/>
        </w:tabs>
        <w:spacing w:line="360" w:lineRule="auto"/>
        <w:ind w:firstLine="480" w:firstLineChars="200"/>
        <w:rPr>
          <w:rFonts w:ascii="宋体" w:hAnsi="宋体" w:eastAsia="宋体" w:cs="Times New Roman"/>
          <w:kern w:val="0"/>
          <w:sz w:val="24"/>
          <w:szCs w:val="24"/>
          <w:highlight w:val="none"/>
          <w:shd w:val="clear" w:color="auto" w:fill="FEFEFE"/>
        </w:rPr>
      </w:pPr>
      <w:r>
        <w:rPr>
          <w:rFonts w:hint="eastAsia" w:ascii="宋体" w:hAnsi="宋体" w:eastAsia="宋体" w:cs="Times New Roman"/>
          <w:kern w:val="0"/>
          <w:sz w:val="24"/>
          <w:szCs w:val="24"/>
          <w:highlight w:val="none"/>
          <w:shd w:val="clear" w:color="auto" w:fill="FEFEFE"/>
        </w:rPr>
        <w:t>3、采购方式：竞争性谈判</w:t>
      </w:r>
    </w:p>
    <w:p w14:paraId="259B4E5C">
      <w:pPr>
        <w:tabs>
          <w:tab w:val="left" w:pos="4305"/>
        </w:tabs>
        <w:spacing w:line="360" w:lineRule="auto"/>
        <w:ind w:firstLine="480" w:firstLineChars="200"/>
        <w:rPr>
          <w:rFonts w:ascii="宋体" w:hAnsi="宋体" w:eastAsia="宋体" w:cs="Times New Roman"/>
          <w:bCs/>
          <w:sz w:val="24"/>
          <w:szCs w:val="24"/>
          <w:highlight w:val="none"/>
        </w:rPr>
      </w:pPr>
      <w:r>
        <w:rPr>
          <w:rFonts w:ascii="宋体" w:hAnsi="宋体" w:eastAsia="宋体" w:cs="Times New Roman"/>
          <w:bCs/>
          <w:sz w:val="24"/>
          <w:szCs w:val="24"/>
          <w:highlight w:val="none"/>
        </w:rPr>
        <w:t>4</w:t>
      </w:r>
      <w:r>
        <w:rPr>
          <w:rFonts w:hint="eastAsia" w:ascii="宋体" w:hAnsi="宋体" w:eastAsia="宋体" w:cs="Times New Roman"/>
          <w:bCs/>
          <w:sz w:val="24"/>
          <w:szCs w:val="24"/>
          <w:highlight w:val="none"/>
        </w:rPr>
        <w:t>、预算金额（元）：</w:t>
      </w:r>
      <w:r>
        <w:rPr>
          <w:rFonts w:hint="eastAsia" w:ascii="宋体" w:hAnsi="宋体" w:eastAsia="宋体" w:cs="Times New Roman"/>
          <w:bCs/>
          <w:sz w:val="24"/>
          <w:szCs w:val="24"/>
          <w:highlight w:val="none"/>
          <w:lang w:val="en-US" w:eastAsia="zh-CN"/>
        </w:rPr>
        <w:t>250000</w:t>
      </w:r>
      <w:r>
        <w:rPr>
          <w:rFonts w:hint="eastAsia" w:ascii="宋体" w:hAnsi="宋体" w:eastAsia="宋体" w:cs="Times New Roman"/>
          <w:bCs/>
          <w:sz w:val="24"/>
          <w:szCs w:val="24"/>
          <w:highlight w:val="none"/>
        </w:rPr>
        <w:t>.00</w:t>
      </w:r>
    </w:p>
    <w:p w14:paraId="19DB2414">
      <w:pPr>
        <w:tabs>
          <w:tab w:val="left" w:pos="4305"/>
        </w:tabs>
        <w:spacing w:line="360" w:lineRule="auto"/>
        <w:ind w:firstLine="480" w:firstLineChars="200"/>
        <w:rPr>
          <w:rFonts w:hint="eastAsia" w:ascii="宋体" w:hAnsi="宋体" w:eastAsia="宋体" w:cs="Times New Roman"/>
          <w:bCs/>
          <w:sz w:val="24"/>
          <w:szCs w:val="24"/>
          <w:lang w:eastAsia="zh-CN"/>
        </w:rPr>
      </w:pPr>
      <w:r>
        <w:rPr>
          <w:rFonts w:ascii="宋体" w:hAnsi="宋体" w:eastAsia="宋体" w:cs="Times New Roman"/>
          <w:bCs/>
          <w:sz w:val="24"/>
          <w:szCs w:val="24"/>
          <w:highlight w:val="none"/>
        </w:rPr>
        <w:t>5</w:t>
      </w:r>
      <w:r>
        <w:rPr>
          <w:rFonts w:hint="eastAsia" w:ascii="宋体" w:hAnsi="宋体" w:eastAsia="宋体" w:cs="Times New Roman"/>
          <w:bCs/>
          <w:sz w:val="24"/>
          <w:szCs w:val="24"/>
          <w:highlight w:val="none"/>
        </w:rPr>
        <w:t>、最高限价（元）：</w:t>
      </w:r>
      <w:r>
        <w:rPr>
          <w:rFonts w:hint="eastAsia" w:ascii="宋体" w:hAnsi="宋体" w:eastAsia="宋体" w:cs="Times New Roman"/>
          <w:bCs/>
          <w:sz w:val="24"/>
          <w:szCs w:val="24"/>
          <w:highlight w:val="none"/>
          <w:lang w:val="en-US" w:eastAsia="zh-CN"/>
        </w:rPr>
        <w:t>247176.74</w:t>
      </w:r>
    </w:p>
    <w:p w14:paraId="0225A4E7">
      <w:pPr>
        <w:spacing w:line="360" w:lineRule="auto"/>
        <w:ind w:firstLine="480"/>
        <w:rPr>
          <w:rFonts w:ascii="宋体" w:hAnsi="宋体" w:eastAsia="宋体" w:cs="仿宋"/>
          <w:sz w:val="24"/>
          <w:szCs w:val="24"/>
        </w:rPr>
      </w:pPr>
      <w:r>
        <w:rPr>
          <w:rFonts w:ascii="宋体" w:hAnsi="宋体" w:eastAsia="宋体" w:cs="Times New Roman"/>
          <w:bCs/>
          <w:sz w:val="24"/>
          <w:szCs w:val="24"/>
        </w:rPr>
        <w:t>6</w:t>
      </w:r>
      <w:r>
        <w:rPr>
          <w:rFonts w:hint="eastAsia" w:ascii="宋体" w:hAnsi="宋体" w:eastAsia="宋体" w:cs="Times New Roman"/>
          <w:bCs/>
          <w:sz w:val="24"/>
          <w:szCs w:val="24"/>
        </w:rPr>
        <w:t>、采购需求</w:t>
      </w:r>
      <w:r>
        <w:rPr>
          <w:rFonts w:ascii="宋体" w:hAnsi="宋体" w:eastAsia="宋体" w:cs="Times New Roman"/>
          <w:bCs/>
          <w:sz w:val="24"/>
          <w:szCs w:val="24"/>
        </w:rPr>
        <w:t>：</w:t>
      </w:r>
    </w:p>
    <w:tbl>
      <w:tblPr>
        <w:tblStyle w:val="47"/>
        <w:tblW w:w="103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2"/>
        <w:gridCol w:w="2940"/>
        <w:gridCol w:w="1640"/>
        <w:gridCol w:w="3418"/>
        <w:gridCol w:w="1069"/>
      </w:tblGrid>
      <w:tr w14:paraId="15ECB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62" w:type="dxa"/>
            <w:vAlign w:val="center"/>
          </w:tcPr>
          <w:p w14:paraId="0D6A3EC1">
            <w:pPr>
              <w:tabs>
                <w:tab w:val="left" w:pos="4305"/>
              </w:tabs>
              <w:spacing w:line="360" w:lineRule="auto"/>
              <w:jc w:val="center"/>
              <w:rPr>
                <w:rFonts w:ascii="宋体" w:hAnsi="宋体" w:eastAsia="宋体" w:cs="仿宋_GB2312"/>
                <w:bCs/>
                <w:sz w:val="24"/>
                <w:szCs w:val="24"/>
              </w:rPr>
            </w:pPr>
            <w:r>
              <w:rPr>
                <w:rFonts w:hint="eastAsia" w:ascii="宋体" w:hAnsi="宋体" w:eastAsia="宋体" w:cs="仿宋_GB2312"/>
                <w:bCs/>
                <w:sz w:val="24"/>
                <w:szCs w:val="24"/>
              </w:rPr>
              <w:t>标项序号</w:t>
            </w:r>
          </w:p>
        </w:tc>
        <w:tc>
          <w:tcPr>
            <w:tcW w:w="2940" w:type="dxa"/>
            <w:vAlign w:val="center"/>
          </w:tcPr>
          <w:p w14:paraId="129DE85F">
            <w:pPr>
              <w:tabs>
                <w:tab w:val="left" w:pos="4305"/>
              </w:tabs>
              <w:spacing w:line="360" w:lineRule="auto"/>
              <w:jc w:val="center"/>
              <w:rPr>
                <w:rFonts w:ascii="宋体" w:hAnsi="宋体" w:eastAsia="宋体" w:cs="仿宋_GB2312"/>
                <w:bCs/>
                <w:sz w:val="24"/>
                <w:szCs w:val="24"/>
              </w:rPr>
            </w:pPr>
            <w:r>
              <w:rPr>
                <w:rFonts w:hint="eastAsia" w:ascii="宋体" w:hAnsi="宋体" w:eastAsia="宋体" w:cs="仿宋_GB2312"/>
                <w:bCs/>
                <w:sz w:val="24"/>
                <w:szCs w:val="24"/>
              </w:rPr>
              <w:t>标项名称</w:t>
            </w:r>
          </w:p>
        </w:tc>
        <w:tc>
          <w:tcPr>
            <w:tcW w:w="1640" w:type="dxa"/>
            <w:vAlign w:val="center"/>
          </w:tcPr>
          <w:p w14:paraId="3CF01EBF">
            <w:pPr>
              <w:tabs>
                <w:tab w:val="left" w:pos="4305"/>
              </w:tabs>
              <w:spacing w:line="360" w:lineRule="auto"/>
              <w:jc w:val="center"/>
              <w:rPr>
                <w:rFonts w:ascii="宋体" w:hAnsi="宋体" w:eastAsia="宋体" w:cs="仿宋_GB2312"/>
                <w:bCs/>
                <w:sz w:val="24"/>
                <w:szCs w:val="24"/>
              </w:rPr>
            </w:pPr>
            <w:r>
              <w:rPr>
                <w:rFonts w:hint="eastAsia" w:ascii="宋体" w:hAnsi="宋体" w:eastAsia="宋体" w:cs="仿宋_GB2312"/>
                <w:bCs/>
                <w:sz w:val="24"/>
                <w:szCs w:val="24"/>
              </w:rPr>
              <w:t>预算金额（元）</w:t>
            </w:r>
          </w:p>
        </w:tc>
        <w:tc>
          <w:tcPr>
            <w:tcW w:w="3418" w:type="dxa"/>
            <w:vAlign w:val="center"/>
          </w:tcPr>
          <w:p w14:paraId="7538E3FD">
            <w:pPr>
              <w:tabs>
                <w:tab w:val="left" w:pos="4305"/>
              </w:tabs>
              <w:spacing w:line="360" w:lineRule="auto"/>
              <w:jc w:val="center"/>
              <w:rPr>
                <w:rFonts w:ascii="宋体" w:hAnsi="宋体" w:eastAsia="宋体" w:cs="仿宋_GB2312"/>
                <w:bCs/>
                <w:sz w:val="24"/>
                <w:szCs w:val="24"/>
              </w:rPr>
            </w:pPr>
            <w:r>
              <w:rPr>
                <w:rFonts w:hint="eastAsia" w:ascii="宋体" w:hAnsi="宋体" w:eastAsia="宋体" w:cs="仿宋_GB2312"/>
                <w:bCs/>
                <w:sz w:val="24"/>
                <w:szCs w:val="24"/>
              </w:rPr>
              <w:t>简要规格描述</w:t>
            </w:r>
          </w:p>
        </w:tc>
        <w:tc>
          <w:tcPr>
            <w:tcW w:w="1069" w:type="dxa"/>
            <w:vAlign w:val="center"/>
          </w:tcPr>
          <w:p w14:paraId="6D598A12">
            <w:pPr>
              <w:tabs>
                <w:tab w:val="left" w:pos="4305"/>
              </w:tabs>
              <w:spacing w:line="360" w:lineRule="auto"/>
              <w:jc w:val="center"/>
              <w:rPr>
                <w:rFonts w:ascii="宋体" w:hAnsi="宋体" w:eastAsia="宋体" w:cs="仿宋_GB2312"/>
                <w:bCs/>
                <w:sz w:val="24"/>
                <w:szCs w:val="24"/>
              </w:rPr>
            </w:pPr>
            <w:r>
              <w:rPr>
                <w:rFonts w:hint="eastAsia" w:ascii="宋体" w:hAnsi="宋体" w:eastAsia="宋体" w:cs="仿宋_GB2312"/>
                <w:bCs/>
                <w:sz w:val="24"/>
                <w:szCs w:val="24"/>
              </w:rPr>
              <w:t>备注</w:t>
            </w:r>
          </w:p>
        </w:tc>
      </w:tr>
      <w:tr w14:paraId="4DABA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62" w:type="dxa"/>
            <w:vAlign w:val="center"/>
          </w:tcPr>
          <w:p w14:paraId="23ABA52C">
            <w:pPr>
              <w:tabs>
                <w:tab w:val="left" w:pos="4305"/>
              </w:tabs>
              <w:spacing w:line="360" w:lineRule="auto"/>
              <w:jc w:val="center"/>
              <w:rPr>
                <w:rFonts w:ascii="宋体" w:hAnsi="宋体" w:eastAsia="宋体" w:cs="仿宋_GB2312"/>
                <w:bCs/>
                <w:sz w:val="24"/>
                <w:szCs w:val="24"/>
              </w:rPr>
            </w:pPr>
            <w:r>
              <w:rPr>
                <w:rFonts w:hint="eastAsia" w:ascii="宋体" w:hAnsi="宋体" w:eastAsia="宋体" w:cs="仿宋_GB2312"/>
                <w:bCs/>
                <w:sz w:val="24"/>
                <w:szCs w:val="24"/>
              </w:rPr>
              <w:t>1</w:t>
            </w:r>
          </w:p>
        </w:tc>
        <w:tc>
          <w:tcPr>
            <w:tcW w:w="2940" w:type="dxa"/>
            <w:vAlign w:val="center"/>
          </w:tcPr>
          <w:p w14:paraId="12493C42">
            <w:pPr>
              <w:tabs>
                <w:tab w:val="left" w:pos="4305"/>
              </w:tabs>
              <w:spacing w:line="360" w:lineRule="auto"/>
              <w:jc w:val="center"/>
              <w:rPr>
                <w:rFonts w:hint="eastAsia" w:ascii="宋体" w:hAnsi="宋体" w:eastAsia="宋体" w:cs="仿宋_GB2312"/>
                <w:bCs/>
                <w:sz w:val="24"/>
                <w:szCs w:val="24"/>
                <w:lang w:eastAsia="zh-CN"/>
              </w:rPr>
            </w:pPr>
            <w:r>
              <w:rPr>
                <w:rFonts w:hint="eastAsia" w:ascii="宋体" w:hAnsi="宋体" w:eastAsia="宋体" w:cs="宋体"/>
                <w:kern w:val="0"/>
                <w:sz w:val="24"/>
                <w:szCs w:val="24"/>
                <w:shd w:val="clear" w:color="auto" w:fill="FEFEFE"/>
                <w:lang w:eastAsia="zh-CN"/>
              </w:rPr>
              <w:t>中华人民共和国新疆出入境边防检查总站执法记录仪数据管理平台、调度平台维保服务采购项目</w:t>
            </w:r>
          </w:p>
        </w:tc>
        <w:tc>
          <w:tcPr>
            <w:tcW w:w="1640" w:type="dxa"/>
            <w:vAlign w:val="center"/>
          </w:tcPr>
          <w:p w14:paraId="295CFEB5">
            <w:pPr>
              <w:tabs>
                <w:tab w:val="left" w:pos="4305"/>
              </w:tabs>
              <w:spacing w:line="360" w:lineRule="auto"/>
              <w:jc w:val="center"/>
              <w:rPr>
                <w:rFonts w:ascii="宋体" w:hAnsi="宋体" w:eastAsia="宋体" w:cs="仿宋_GB2312"/>
                <w:bCs/>
                <w:sz w:val="24"/>
                <w:szCs w:val="24"/>
              </w:rPr>
            </w:pPr>
            <w:r>
              <w:rPr>
                <w:rFonts w:hint="eastAsia" w:ascii="宋体" w:hAnsi="宋体" w:eastAsia="宋体" w:cs="仿宋_GB2312"/>
                <w:bCs/>
                <w:sz w:val="24"/>
                <w:szCs w:val="24"/>
                <w:lang w:val="en-US" w:eastAsia="zh-CN"/>
              </w:rPr>
              <w:t>25</w:t>
            </w:r>
            <w:r>
              <w:rPr>
                <w:rFonts w:ascii="宋体" w:hAnsi="宋体" w:eastAsia="宋体" w:cs="仿宋_GB2312"/>
                <w:bCs/>
                <w:sz w:val="24"/>
                <w:szCs w:val="24"/>
              </w:rPr>
              <w:t>0000.00</w:t>
            </w:r>
          </w:p>
        </w:tc>
        <w:tc>
          <w:tcPr>
            <w:tcW w:w="3418" w:type="dxa"/>
            <w:vAlign w:val="center"/>
          </w:tcPr>
          <w:p w14:paraId="033B2CD5">
            <w:pPr>
              <w:tabs>
                <w:tab w:val="left" w:pos="4305"/>
              </w:tabs>
              <w:spacing w:line="360" w:lineRule="auto"/>
              <w:rPr>
                <w:rFonts w:ascii="宋体" w:hAnsi="宋体" w:eastAsia="宋体" w:cs="仿宋_GB2312"/>
                <w:bCs/>
                <w:sz w:val="24"/>
                <w:szCs w:val="24"/>
              </w:rPr>
            </w:pPr>
            <w:r>
              <w:rPr>
                <w:rFonts w:ascii="宋体" w:hAnsi="宋体" w:eastAsia="宋体" w:cs="仿宋_GB2312"/>
                <w:bCs/>
                <w:sz w:val="24"/>
                <w:szCs w:val="24"/>
                <w:lang w:val="en-US" w:eastAsia="zh-CN"/>
              </w:rPr>
              <w:t>基于现有执法记录仪管理平台、调度平台，开展平台“</w:t>
            </w:r>
            <w:r>
              <w:rPr>
                <w:rFonts w:hint="default" w:ascii="宋体" w:hAnsi="宋体" w:eastAsia="宋体" w:cs="仿宋_GB2312"/>
                <w:bCs/>
                <w:sz w:val="24"/>
                <w:szCs w:val="24"/>
                <w:lang w:val="en-US" w:eastAsia="zh-CN"/>
              </w:rPr>
              <w:t>二合一”升级、前端采集站巡检、各功能模块配置，及时排查解决故障问题，沟通新增需求，开展平台更新、优化调度功能、数据备份迁移等工作，为全疆平台应用及执法记录仪采集站、执法记录仪运行提供技术支撑。</w:t>
            </w:r>
          </w:p>
        </w:tc>
        <w:tc>
          <w:tcPr>
            <w:tcW w:w="1069" w:type="dxa"/>
            <w:vAlign w:val="center"/>
          </w:tcPr>
          <w:p w14:paraId="617C7708">
            <w:pPr>
              <w:tabs>
                <w:tab w:val="left" w:pos="4305"/>
              </w:tabs>
              <w:spacing w:line="360" w:lineRule="auto"/>
              <w:jc w:val="center"/>
              <w:rPr>
                <w:rFonts w:ascii="宋体" w:hAnsi="宋体" w:eastAsia="宋体" w:cs="仿宋_GB2312"/>
                <w:bCs/>
                <w:sz w:val="24"/>
                <w:szCs w:val="24"/>
              </w:rPr>
            </w:pPr>
            <w:r>
              <w:rPr>
                <w:rFonts w:hint="eastAsia" w:ascii="宋体" w:hAnsi="宋体" w:eastAsia="宋体" w:cs="仿宋_GB2312"/>
                <w:bCs/>
                <w:sz w:val="24"/>
                <w:szCs w:val="24"/>
              </w:rPr>
              <w:t>/</w:t>
            </w:r>
          </w:p>
        </w:tc>
      </w:tr>
    </w:tbl>
    <w:p w14:paraId="302EB843">
      <w:pPr>
        <w:tabs>
          <w:tab w:val="left" w:pos="4305"/>
        </w:tabs>
        <w:spacing w:line="360" w:lineRule="auto"/>
        <w:ind w:firstLine="480" w:firstLineChars="200"/>
        <w:rPr>
          <w:rFonts w:ascii="宋体" w:hAnsi="宋体" w:eastAsia="宋体" w:cs="Times New Roman"/>
          <w:bCs/>
          <w:sz w:val="24"/>
          <w:szCs w:val="24"/>
        </w:rPr>
      </w:pPr>
      <w:r>
        <w:rPr>
          <w:rFonts w:hint="eastAsia" w:ascii="宋体" w:hAnsi="宋体" w:eastAsia="宋体" w:cs="Times New Roman"/>
          <w:bCs/>
          <w:sz w:val="24"/>
          <w:szCs w:val="24"/>
        </w:rPr>
        <w:t>7、合同履约期限：</w:t>
      </w:r>
      <w:r>
        <w:rPr>
          <w:rFonts w:hint="eastAsia" w:ascii="宋体" w:hAnsi="宋体" w:eastAsia="宋体" w:cs="Times New Roman"/>
          <w:bCs/>
          <w:sz w:val="24"/>
          <w:szCs w:val="24"/>
          <w:lang w:val="en-US" w:eastAsia="zh-CN"/>
        </w:rPr>
        <w:t>履约期限为1年，自合同签订后7日内配合完成驻场人员背景审查、工作交接等准备工作，正式开展驻场运维工作。项目履约完成后30日内配合开展项目验收。</w:t>
      </w:r>
    </w:p>
    <w:p w14:paraId="7B067953">
      <w:pPr>
        <w:spacing w:line="360" w:lineRule="auto"/>
        <w:ind w:firstLine="480"/>
        <w:rPr>
          <w:rFonts w:ascii="宋体" w:hAnsi="宋体" w:eastAsia="宋体" w:cs="仿宋"/>
          <w:sz w:val="24"/>
          <w:szCs w:val="24"/>
        </w:rPr>
      </w:pPr>
      <w:r>
        <w:rPr>
          <w:rFonts w:ascii="宋体" w:hAnsi="宋体" w:eastAsia="宋体" w:cs="Times New Roman"/>
          <w:bCs/>
          <w:sz w:val="24"/>
          <w:szCs w:val="24"/>
        </w:rPr>
        <w:t>8</w:t>
      </w:r>
      <w:r>
        <w:rPr>
          <w:rFonts w:hint="eastAsia" w:ascii="宋体" w:hAnsi="宋体" w:eastAsia="宋体" w:cs="Times New Roman"/>
          <w:bCs/>
          <w:sz w:val="24"/>
          <w:szCs w:val="24"/>
        </w:rPr>
        <w:t>、本项目（ 否 ）接受联合体。</w:t>
      </w:r>
    </w:p>
    <w:p w14:paraId="338D2BC8">
      <w:pPr>
        <w:numPr>
          <w:ilvl w:val="0"/>
          <w:numId w:val="2"/>
        </w:numPr>
        <w:spacing w:line="360" w:lineRule="auto"/>
        <w:ind w:firstLine="480"/>
        <w:rPr>
          <w:rFonts w:ascii="宋体" w:hAnsi="宋体" w:eastAsia="宋体" w:cs="仿宋"/>
          <w:sz w:val="24"/>
          <w:szCs w:val="24"/>
        </w:rPr>
      </w:pPr>
      <w:r>
        <w:rPr>
          <w:rFonts w:hint="eastAsia" w:ascii="宋体" w:hAnsi="宋体" w:eastAsia="宋体" w:cs="仿宋"/>
          <w:sz w:val="24"/>
          <w:szCs w:val="24"/>
        </w:rPr>
        <w:t>申请人的资格要求：</w:t>
      </w:r>
    </w:p>
    <w:p w14:paraId="135D86D8">
      <w:pPr>
        <w:spacing w:line="360" w:lineRule="auto"/>
        <w:ind w:firstLine="480" w:firstLineChars="200"/>
        <w:rPr>
          <w:rFonts w:ascii="宋体" w:hAnsi="宋体" w:eastAsia="宋体" w:cs="仿宋"/>
          <w:sz w:val="24"/>
          <w:szCs w:val="24"/>
        </w:rPr>
      </w:pPr>
      <w:r>
        <w:rPr>
          <w:rFonts w:hint="eastAsia" w:ascii="宋体" w:hAnsi="宋体" w:eastAsia="宋体" w:cs="仿宋"/>
          <w:sz w:val="24"/>
          <w:szCs w:val="24"/>
        </w:rPr>
        <w:t>1、满足《中华人民共和国政府采购法》第二十二条规定：</w:t>
      </w:r>
    </w:p>
    <w:p w14:paraId="52FB843A">
      <w:pPr>
        <w:spacing w:line="360" w:lineRule="auto"/>
        <w:ind w:firstLine="480" w:firstLineChars="200"/>
        <w:rPr>
          <w:rFonts w:ascii="宋体" w:hAnsi="宋体" w:eastAsia="宋体" w:cs="仿宋"/>
          <w:sz w:val="24"/>
          <w:szCs w:val="24"/>
          <w:highlight w:val="none"/>
        </w:rPr>
      </w:pPr>
      <w:r>
        <w:rPr>
          <w:rFonts w:hint="eastAsia" w:ascii="宋体" w:hAnsi="宋体" w:eastAsia="宋体" w:cs="仿宋"/>
          <w:sz w:val="24"/>
          <w:szCs w:val="24"/>
          <w:highlight w:val="none"/>
        </w:rPr>
        <w:t>2、落实政府采购政策需满足的资格要求：是，本项目属于专门面向</w:t>
      </w:r>
      <w:r>
        <w:rPr>
          <w:rFonts w:hint="eastAsia" w:ascii="宋体" w:hAnsi="宋体" w:eastAsia="宋体" w:cs="仿宋"/>
          <w:sz w:val="24"/>
          <w:szCs w:val="24"/>
          <w:highlight w:val="none"/>
          <w:lang w:val="en-US" w:eastAsia="zh-CN"/>
        </w:rPr>
        <w:t>中小</w:t>
      </w:r>
      <w:r>
        <w:rPr>
          <w:rFonts w:hint="eastAsia" w:ascii="宋体" w:hAnsi="宋体" w:eastAsia="宋体" w:cs="仿宋"/>
          <w:sz w:val="24"/>
          <w:szCs w:val="24"/>
          <w:highlight w:val="none"/>
        </w:rPr>
        <w:t>企业采购的项目。</w:t>
      </w:r>
    </w:p>
    <w:p w14:paraId="1E86C89D">
      <w:pPr>
        <w:spacing w:line="360" w:lineRule="auto"/>
        <w:ind w:firstLine="480" w:firstLineChars="200"/>
        <w:rPr>
          <w:rFonts w:ascii="宋体" w:hAnsi="宋体" w:eastAsia="宋体" w:cs="仿宋"/>
          <w:sz w:val="24"/>
          <w:szCs w:val="24"/>
        </w:rPr>
      </w:pPr>
      <w:r>
        <w:rPr>
          <w:rFonts w:hint="eastAsia" w:ascii="宋体" w:hAnsi="宋体" w:eastAsia="宋体" w:cs="仿宋"/>
          <w:sz w:val="24"/>
          <w:szCs w:val="24"/>
        </w:rPr>
        <w:t>3、本项目的特定资格要求：\</w:t>
      </w:r>
    </w:p>
    <w:p w14:paraId="6B012CE7">
      <w:pPr>
        <w:spacing w:line="360" w:lineRule="auto"/>
        <w:ind w:firstLine="480" w:firstLineChars="200"/>
        <w:rPr>
          <w:rFonts w:ascii="宋体" w:hAnsi="宋体" w:eastAsia="宋体" w:cs="仿宋"/>
          <w:sz w:val="24"/>
          <w:szCs w:val="24"/>
          <w:highlight w:val="none"/>
        </w:rPr>
      </w:pPr>
      <w:r>
        <w:rPr>
          <w:rFonts w:hint="eastAsia" w:ascii="宋体" w:hAnsi="宋体" w:eastAsia="宋体" w:cs="仿宋"/>
          <w:sz w:val="24"/>
          <w:szCs w:val="24"/>
          <w:highlight w:val="none"/>
        </w:rPr>
        <w:t>4、本项目不接受联合体投标</w:t>
      </w:r>
    </w:p>
    <w:p w14:paraId="75F3621A">
      <w:pPr>
        <w:spacing w:line="360" w:lineRule="auto"/>
        <w:ind w:firstLine="480"/>
        <w:rPr>
          <w:rFonts w:ascii="宋体" w:hAnsi="宋体" w:eastAsia="宋体" w:cs="仿宋"/>
          <w:sz w:val="24"/>
          <w:szCs w:val="24"/>
          <w:highlight w:val="none"/>
        </w:rPr>
      </w:pPr>
      <w:r>
        <w:rPr>
          <w:rFonts w:hint="eastAsia" w:ascii="宋体" w:hAnsi="宋体" w:eastAsia="宋体" w:cs="仿宋"/>
          <w:sz w:val="24"/>
          <w:szCs w:val="24"/>
          <w:highlight w:val="none"/>
        </w:rPr>
        <w:t>三、获取采购文件</w:t>
      </w:r>
    </w:p>
    <w:p w14:paraId="3E96968F">
      <w:pPr>
        <w:widowControl/>
        <w:shd w:val="clear" w:color="auto" w:fill="FEFEFE"/>
        <w:spacing w:line="360" w:lineRule="auto"/>
        <w:ind w:firstLine="480" w:firstLineChars="200"/>
        <w:jc w:val="left"/>
        <w:rPr>
          <w:rFonts w:ascii="宋体" w:hAnsi="宋体" w:eastAsia="宋体" w:cs="Times New Roman"/>
          <w:kern w:val="0"/>
          <w:sz w:val="24"/>
          <w:szCs w:val="24"/>
          <w:highlight w:val="none"/>
          <w:shd w:val="clear" w:color="auto" w:fill="FEFEFE"/>
        </w:rPr>
      </w:pPr>
      <w:r>
        <w:rPr>
          <w:rFonts w:ascii="宋体" w:hAnsi="宋体" w:eastAsia="宋体" w:cs="Times New Roman"/>
          <w:kern w:val="0"/>
          <w:sz w:val="24"/>
          <w:szCs w:val="24"/>
          <w:highlight w:val="none"/>
          <w:shd w:val="clear" w:color="auto" w:fill="FEFEFE"/>
        </w:rPr>
        <w:t>1</w:t>
      </w:r>
      <w:r>
        <w:rPr>
          <w:rFonts w:hint="eastAsia" w:ascii="宋体" w:hAnsi="宋体" w:eastAsia="宋体" w:cs="Times New Roman"/>
          <w:kern w:val="0"/>
          <w:sz w:val="24"/>
          <w:szCs w:val="24"/>
          <w:highlight w:val="none"/>
          <w:shd w:val="clear" w:color="auto" w:fill="FEFEFE"/>
        </w:rPr>
        <w:t>、</w:t>
      </w:r>
      <w:r>
        <w:rPr>
          <w:rFonts w:ascii="宋体" w:hAnsi="宋体" w:eastAsia="宋体" w:cs="Times New Roman"/>
          <w:kern w:val="0"/>
          <w:sz w:val="24"/>
          <w:szCs w:val="24"/>
          <w:highlight w:val="none"/>
          <w:shd w:val="clear" w:color="auto" w:fill="FEFEFE"/>
        </w:rPr>
        <w:t>时间：</w:t>
      </w:r>
      <w:r>
        <w:rPr>
          <w:rFonts w:hint="eastAsia" w:ascii="宋体" w:hAnsi="宋体" w:eastAsia="宋体" w:cs="Times New Roman"/>
          <w:kern w:val="0"/>
          <w:sz w:val="24"/>
          <w:szCs w:val="24"/>
          <w:highlight w:val="none"/>
          <w:shd w:val="clear" w:color="auto" w:fill="FEFEFE"/>
        </w:rPr>
        <w:t>202</w:t>
      </w:r>
      <w:r>
        <w:rPr>
          <w:rFonts w:ascii="宋体" w:hAnsi="宋体" w:eastAsia="宋体" w:cs="Times New Roman"/>
          <w:kern w:val="0"/>
          <w:sz w:val="24"/>
          <w:szCs w:val="24"/>
          <w:highlight w:val="none"/>
          <w:shd w:val="clear" w:color="auto" w:fill="FEFEFE"/>
        </w:rPr>
        <w:t>5</w:t>
      </w:r>
      <w:r>
        <w:rPr>
          <w:rFonts w:hint="eastAsia" w:ascii="宋体" w:hAnsi="宋体" w:eastAsia="宋体" w:cs="Times New Roman"/>
          <w:kern w:val="0"/>
          <w:sz w:val="24"/>
          <w:szCs w:val="24"/>
          <w:highlight w:val="none"/>
          <w:shd w:val="clear" w:color="auto" w:fill="FEFEFE"/>
        </w:rPr>
        <w:t>年</w:t>
      </w:r>
      <w:r>
        <w:rPr>
          <w:rFonts w:hint="eastAsia" w:ascii="宋体" w:hAnsi="宋体" w:eastAsia="宋体" w:cs="Times New Roman"/>
          <w:kern w:val="0"/>
          <w:sz w:val="24"/>
          <w:szCs w:val="24"/>
          <w:highlight w:val="none"/>
          <w:shd w:val="clear" w:color="auto" w:fill="FEFEFE"/>
          <w:lang w:val="en-US" w:eastAsia="zh-CN"/>
        </w:rPr>
        <w:t>5</w:t>
      </w:r>
      <w:r>
        <w:rPr>
          <w:rFonts w:hint="eastAsia" w:ascii="宋体" w:hAnsi="宋体" w:eastAsia="宋体" w:cs="Times New Roman"/>
          <w:kern w:val="0"/>
          <w:sz w:val="24"/>
          <w:szCs w:val="24"/>
          <w:highlight w:val="none"/>
          <w:shd w:val="clear" w:color="auto" w:fill="FEFEFE"/>
        </w:rPr>
        <w:t>月</w:t>
      </w:r>
      <w:r>
        <w:rPr>
          <w:rFonts w:hint="eastAsia" w:ascii="宋体" w:hAnsi="宋体" w:eastAsia="宋体" w:cs="Times New Roman"/>
          <w:kern w:val="0"/>
          <w:sz w:val="24"/>
          <w:szCs w:val="24"/>
          <w:highlight w:val="none"/>
          <w:shd w:val="clear" w:color="auto" w:fill="FEFEFE"/>
          <w:lang w:val="en-US" w:eastAsia="zh-CN"/>
        </w:rPr>
        <w:t>27</w:t>
      </w:r>
      <w:r>
        <w:rPr>
          <w:rFonts w:hint="eastAsia" w:ascii="宋体" w:hAnsi="宋体" w:eastAsia="宋体" w:cs="Times New Roman"/>
          <w:kern w:val="0"/>
          <w:sz w:val="24"/>
          <w:szCs w:val="24"/>
          <w:highlight w:val="none"/>
          <w:shd w:val="clear" w:color="auto" w:fill="FEFEFE"/>
        </w:rPr>
        <w:t>日至 2025年</w:t>
      </w:r>
      <w:r>
        <w:rPr>
          <w:rFonts w:hint="eastAsia" w:ascii="宋体" w:hAnsi="宋体" w:eastAsia="宋体" w:cs="Times New Roman"/>
          <w:kern w:val="0"/>
          <w:sz w:val="24"/>
          <w:szCs w:val="24"/>
          <w:highlight w:val="none"/>
          <w:shd w:val="clear" w:color="auto" w:fill="FEFEFE"/>
          <w:lang w:val="en-US" w:eastAsia="zh-CN"/>
        </w:rPr>
        <w:t>5</w:t>
      </w:r>
      <w:r>
        <w:rPr>
          <w:rFonts w:hint="eastAsia" w:ascii="宋体" w:hAnsi="宋体" w:eastAsia="宋体" w:cs="Times New Roman"/>
          <w:kern w:val="0"/>
          <w:sz w:val="24"/>
          <w:szCs w:val="24"/>
          <w:highlight w:val="none"/>
          <w:shd w:val="clear" w:color="auto" w:fill="FEFEFE"/>
        </w:rPr>
        <w:t>月</w:t>
      </w:r>
      <w:r>
        <w:rPr>
          <w:rFonts w:hint="eastAsia" w:ascii="宋体" w:hAnsi="宋体" w:eastAsia="宋体" w:cs="Times New Roman"/>
          <w:kern w:val="0"/>
          <w:sz w:val="24"/>
          <w:szCs w:val="24"/>
          <w:highlight w:val="none"/>
          <w:shd w:val="clear" w:color="auto" w:fill="FEFEFE"/>
          <w:lang w:val="en-US" w:eastAsia="zh-CN"/>
        </w:rPr>
        <w:t>29</w:t>
      </w:r>
      <w:r>
        <w:rPr>
          <w:rFonts w:hint="eastAsia" w:ascii="宋体" w:hAnsi="宋体" w:eastAsia="宋体" w:cs="Times New Roman"/>
          <w:kern w:val="0"/>
          <w:sz w:val="24"/>
          <w:szCs w:val="24"/>
          <w:highlight w:val="none"/>
          <w:shd w:val="clear" w:color="auto" w:fill="FEFEFE"/>
        </w:rPr>
        <w:t>日，每天上午</w:t>
      </w:r>
      <w:r>
        <w:rPr>
          <w:rFonts w:ascii="宋体" w:hAnsi="宋体" w:eastAsia="宋体" w:cs="Times New Roman"/>
          <w:kern w:val="0"/>
          <w:sz w:val="24"/>
          <w:szCs w:val="24"/>
          <w:highlight w:val="none"/>
          <w:shd w:val="clear" w:color="auto" w:fill="FEFEFE"/>
        </w:rPr>
        <w:t>0</w:t>
      </w:r>
      <w:r>
        <w:rPr>
          <w:rFonts w:hint="eastAsia" w:ascii="宋体" w:hAnsi="宋体" w:eastAsia="宋体" w:cs="Times New Roman"/>
          <w:kern w:val="0"/>
          <w:sz w:val="24"/>
          <w:szCs w:val="24"/>
          <w:highlight w:val="none"/>
          <w:shd w:val="clear" w:color="auto" w:fill="FEFEFE"/>
        </w:rPr>
        <w:t>0:00至1</w:t>
      </w:r>
      <w:r>
        <w:rPr>
          <w:rFonts w:ascii="宋体" w:hAnsi="宋体" w:eastAsia="宋体" w:cs="Times New Roman"/>
          <w:kern w:val="0"/>
          <w:sz w:val="24"/>
          <w:szCs w:val="24"/>
          <w:highlight w:val="none"/>
          <w:shd w:val="clear" w:color="auto" w:fill="FEFEFE"/>
        </w:rPr>
        <w:t>4：</w:t>
      </w:r>
      <w:r>
        <w:rPr>
          <w:rFonts w:hint="eastAsia" w:ascii="宋体" w:hAnsi="宋体" w:eastAsia="宋体" w:cs="Times New Roman"/>
          <w:kern w:val="0"/>
          <w:sz w:val="24"/>
          <w:szCs w:val="24"/>
          <w:highlight w:val="none"/>
          <w:shd w:val="clear" w:color="auto" w:fill="FEFEFE"/>
        </w:rPr>
        <w:t>0</w:t>
      </w:r>
      <w:r>
        <w:rPr>
          <w:rFonts w:ascii="宋体" w:hAnsi="宋体" w:eastAsia="宋体" w:cs="Times New Roman"/>
          <w:kern w:val="0"/>
          <w:sz w:val="24"/>
          <w:szCs w:val="24"/>
          <w:highlight w:val="none"/>
          <w:shd w:val="clear" w:color="auto" w:fill="FEFEFE"/>
        </w:rPr>
        <w:t>0</w:t>
      </w:r>
      <w:r>
        <w:rPr>
          <w:rFonts w:hint="eastAsia" w:ascii="宋体" w:hAnsi="宋体" w:eastAsia="宋体" w:cs="Times New Roman"/>
          <w:kern w:val="0"/>
          <w:sz w:val="24"/>
          <w:szCs w:val="24"/>
          <w:highlight w:val="none"/>
          <w:shd w:val="clear" w:color="auto" w:fill="FEFEFE"/>
        </w:rPr>
        <w:t xml:space="preserve"> ，下午</w:t>
      </w:r>
      <w:r>
        <w:rPr>
          <w:rFonts w:ascii="宋体" w:hAnsi="宋体" w:eastAsia="宋体" w:cs="Times New Roman"/>
          <w:kern w:val="0"/>
          <w:sz w:val="24"/>
          <w:szCs w:val="24"/>
          <w:highlight w:val="none"/>
          <w:shd w:val="clear" w:color="auto" w:fill="FEFEFE"/>
        </w:rPr>
        <w:t>14:00</w:t>
      </w:r>
      <w:r>
        <w:rPr>
          <w:rFonts w:hint="eastAsia" w:ascii="宋体" w:hAnsi="宋体" w:eastAsia="宋体" w:cs="Times New Roman"/>
          <w:kern w:val="0"/>
          <w:sz w:val="24"/>
          <w:szCs w:val="24"/>
          <w:highlight w:val="none"/>
          <w:shd w:val="clear" w:color="auto" w:fill="FEFEFE"/>
        </w:rPr>
        <w:t>至</w:t>
      </w:r>
      <w:r>
        <w:rPr>
          <w:rFonts w:ascii="宋体" w:hAnsi="宋体" w:eastAsia="宋体" w:cs="Times New Roman"/>
          <w:kern w:val="0"/>
          <w:sz w:val="24"/>
          <w:szCs w:val="24"/>
          <w:highlight w:val="none"/>
          <w:shd w:val="clear" w:color="auto" w:fill="FEFEFE"/>
        </w:rPr>
        <w:t>23:59</w:t>
      </w:r>
      <w:r>
        <w:rPr>
          <w:rFonts w:hint="eastAsia" w:ascii="宋体" w:hAnsi="宋体" w:eastAsia="宋体" w:cs="Times New Roman"/>
          <w:kern w:val="0"/>
          <w:sz w:val="24"/>
          <w:szCs w:val="24"/>
          <w:highlight w:val="none"/>
          <w:shd w:val="clear" w:color="auto" w:fill="FEFEFE"/>
        </w:rPr>
        <w:t xml:space="preserve"> （北京时间，获取文件法定节假日除外）</w:t>
      </w:r>
    </w:p>
    <w:p w14:paraId="25C0248E">
      <w:pPr>
        <w:widowControl/>
        <w:shd w:val="clear" w:color="auto" w:fill="FEFEFE"/>
        <w:spacing w:line="360" w:lineRule="auto"/>
        <w:ind w:firstLine="480" w:firstLineChars="200"/>
        <w:jc w:val="left"/>
        <w:rPr>
          <w:rFonts w:ascii="宋体" w:hAnsi="宋体" w:eastAsia="宋体" w:cs="Times New Roman"/>
          <w:kern w:val="0"/>
          <w:sz w:val="24"/>
          <w:szCs w:val="24"/>
          <w:highlight w:val="none"/>
          <w:shd w:val="clear" w:color="auto" w:fill="FEFEFE"/>
        </w:rPr>
      </w:pPr>
      <w:r>
        <w:rPr>
          <w:rFonts w:ascii="宋体" w:hAnsi="宋体" w:eastAsia="宋体" w:cs="Times New Roman"/>
          <w:kern w:val="0"/>
          <w:sz w:val="24"/>
          <w:szCs w:val="24"/>
          <w:highlight w:val="none"/>
          <w:shd w:val="clear" w:color="auto" w:fill="FEFEFE"/>
        </w:rPr>
        <w:t>2</w:t>
      </w:r>
      <w:r>
        <w:rPr>
          <w:rFonts w:hint="eastAsia" w:ascii="宋体" w:hAnsi="宋体" w:eastAsia="宋体" w:cs="Times New Roman"/>
          <w:kern w:val="0"/>
          <w:sz w:val="24"/>
          <w:szCs w:val="24"/>
          <w:highlight w:val="none"/>
          <w:shd w:val="clear" w:color="auto" w:fill="FEFEFE"/>
        </w:rPr>
        <w:t>、地点：</w:t>
      </w:r>
      <w:r>
        <w:rPr>
          <w:rFonts w:hint="eastAsia" w:ascii="宋体" w:hAnsi="宋体" w:eastAsia="宋体" w:cs="Times New Roman"/>
          <w:sz w:val="24"/>
          <w:highlight w:val="none"/>
        </w:rPr>
        <w:t>政采云平台线上获取</w:t>
      </w:r>
      <w:r>
        <w:rPr>
          <w:rFonts w:ascii="宋体" w:hAnsi="宋体" w:eastAsia="宋体" w:cs="Times New Roman"/>
          <w:sz w:val="24"/>
          <w:highlight w:val="none"/>
        </w:rPr>
        <w:t>。</w:t>
      </w:r>
    </w:p>
    <w:p w14:paraId="50A50D07">
      <w:pPr>
        <w:widowControl/>
        <w:shd w:val="clear" w:color="auto" w:fill="FEFEFE"/>
        <w:spacing w:line="360" w:lineRule="auto"/>
        <w:ind w:firstLine="480" w:firstLineChars="200"/>
        <w:jc w:val="left"/>
        <w:rPr>
          <w:rFonts w:ascii="宋体" w:hAnsi="宋体" w:eastAsia="宋体" w:cs="Times New Roman"/>
          <w:kern w:val="0"/>
          <w:sz w:val="24"/>
          <w:szCs w:val="24"/>
          <w:highlight w:val="none"/>
          <w:shd w:val="clear" w:color="auto" w:fill="FEFEFE"/>
        </w:rPr>
      </w:pPr>
      <w:r>
        <w:rPr>
          <w:rFonts w:ascii="宋体" w:hAnsi="宋体" w:eastAsia="宋体" w:cs="Times New Roman"/>
          <w:kern w:val="0"/>
          <w:sz w:val="24"/>
          <w:highlight w:val="none"/>
          <w:shd w:val="clear" w:color="auto" w:fill="FEFEFE"/>
        </w:rPr>
        <w:t>3</w:t>
      </w:r>
      <w:r>
        <w:rPr>
          <w:rFonts w:hint="eastAsia" w:ascii="宋体" w:hAnsi="宋体" w:eastAsia="宋体" w:cs="Times New Roman"/>
          <w:kern w:val="0"/>
          <w:sz w:val="24"/>
          <w:highlight w:val="none"/>
          <w:shd w:val="clear" w:color="auto" w:fill="FEFEFE"/>
        </w:rPr>
        <w:t>、获取方式</w:t>
      </w:r>
      <w:r>
        <w:rPr>
          <w:rFonts w:ascii="宋体" w:hAnsi="宋体" w:eastAsia="宋体" w:cs="Times New Roman"/>
          <w:kern w:val="0"/>
          <w:sz w:val="24"/>
          <w:highlight w:val="none"/>
          <w:shd w:val="clear" w:color="auto" w:fill="FEFEFE"/>
        </w:rPr>
        <w:t>：</w:t>
      </w:r>
      <w:r>
        <w:rPr>
          <w:rFonts w:hint="eastAsia" w:ascii="宋体" w:hAnsi="宋体" w:eastAsia="宋体" w:cs="Times New Roman"/>
          <w:kern w:val="0"/>
          <w:sz w:val="24"/>
          <w:highlight w:val="none"/>
          <w:shd w:val="clear" w:color="auto" w:fill="FEFEFE"/>
        </w:rPr>
        <w:t>供应商登录政采云平台</w:t>
      </w:r>
      <w:r>
        <w:rPr>
          <w:rFonts w:ascii="宋体" w:hAnsi="宋体" w:eastAsia="宋体" w:cs="Times New Roman"/>
          <w:kern w:val="0"/>
          <w:sz w:val="24"/>
          <w:highlight w:val="none"/>
          <w:shd w:val="clear" w:color="auto" w:fill="FEFEFE"/>
        </w:rPr>
        <w:t>https://www.zcygov.cn/在线申请获取采购文件（进入“项目采购”应用，在获取采购文件菜单中选择项目，申请获取采购文件）</w:t>
      </w:r>
    </w:p>
    <w:p w14:paraId="754D7564">
      <w:pPr>
        <w:spacing w:line="360" w:lineRule="auto"/>
        <w:ind w:firstLine="480" w:firstLineChars="200"/>
        <w:rPr>
          <w:rFonts w:ascii="宋体" w:hAnsi="宋体" w:eastAsia="宋体" w:cs="仿宋"/>
          <w:sz w:val="24"/>
          <w:szCs w:val="24"/>
          <w:highlight w:val="none"/>
        </w:rPr>
      </w:pPr>
      <w:r>
        <w:rPr>
          <w:rFonts w:hint="eastAsia" w:ascii="宋体" w:hAnsi="宋体" w:eastAsia="宋体" w:cs="Times New Roman"/>
          <w:kern w:val="0"/>
          <w:sz w:val="24"/>
          <w:szCs w:val="24"/>
          <w:highlight w:val="none"/>
          <w:shd w:val="clear" w:color="auto" w:fill="FEFEFE"/>
        </w:rPr>
        <w:t>4、售价（元）：</w:t>
      </w:r>
      <w:r>
        <w:rPr>
          <w:rFonts w:ascii="宋体" w:hAnsi="宋体" w:eastAsia="宋体" w:cs="Times New Roman"/>
          <w:kern w:val="0"/>
          <w:sz w:val="24"/>
          <w:szCs w:val="24"/>
          <w:highlight w:val="none"/>
          <w:shd w:val="clear" w:color="auto" w:fill="FEFEFE"/>
        </w:rPr>
        <w:t>0</w:t>
      </w:r>
    </w:p>
    <w:p w14:paraId="6FBD2721">
      <w:pPr>
        <w:spacing w:line="360" w:lineRule="auto"/>
        <w:ind w:firstLine="480"/>
        <w:rPr>
          <w:rFonts w:ascii="宋体" w:hAnsi="宋体" w:eastAsia="宋体" w:cs="仿宋"/>
          <w:sz w:val="24"/>
          <w:szCs w:val="24"/>
          <w:highlight w:val="none"/>
        </w:rPr>
      </w:pPr>
      <w:r>
        <w:rPr>
          <w:rFonts w:hint="eastAsia" w:ascii="宋体" w:hAnsi="宋体" w:eastAsia="宋体" w:cs="仿宋"/>
          <w:sz w:val="24"/>
          <w:szCs w:val="24"/>
          <w:highlight w:val="none"/>
        </w:rPr>
        <w:t>四、响应文件提交</w:t>
      </w:r>
    </w:p>
    <w:p w14:paraId="3CCE5DFA">
      <w:pPr>
        <w:autoSpaceDE w:val="0"/>
        <w:spacing w:line="360" w:lineRule="auto"/>
        <w:ind w:firstLine="480" w:firstLineChars="200"/>
        <w:rPr>
          <w:rFonts w:ascii="宋体" w:hAnsi="宋体" w:eastAsia="宋体" w:cs="Times New Roman"/>
          <w:sz w:val="24"/>
          <w:szCs w:val="24"/>
          <w:highlight w:val="none"/>
        </w:rPr>
      </w:pPr>
      <w:r>
        <w:rPr>
          <w:rFonts w:ascii="宋体" w:hAnsi="宋体" w:eastAsia="宋体" w:cs="Times New Roman"/>
          <w:sz w:val="24"/>
          <w:szCs w:val="24"/>
          <w:highlight w:val="none"/>
        </w:rPr>
        <w:t>1</w:t>
      </w:r>
      <w:r>
        <w:rPr>
          <w:rFonts w:hint="eastAsia" w:ascii="宋体" w:hAnsi="宋体" w:eastAsia="宋体" w:cs="Times New Roman"/>
          <w:sz w:val="24"/>
          <w:szCs w:val="24"/>
          <w:highlight w:val="none"/>
        </w:rPr>
        <w:t>、</w:t>
      </w:r>
      <w:r>
        <w:rPr>
          <w:rFonts w:ascii="宋体" w:hAnsi="宋体" w:eastAsia="宋体" w:cs="Times New Roman"/>
          <w:sz w:val="24"/>
          <w:szCs w:val="24"/>
          <w:highlight w:val="none"/>
        </w:rPr>
        <w:t>截止时间：202</w:t>
      </w:r>
      <w:r>
        <w:rPr>
          <w:rFonts w:hint="eastAsia" w:ascii="宋体" w:hAnsi="宋体" w:eastAsia="宋体" w:cs="Times New Roman"/>
          <w:sz w:val="24"/>
          <w:szCs w:val="24"/>
          <w:highlight w:val="none"/>
        </w:rPr>
        <w:t>5</w:t>
      </w:r>
      <w:r>
        <w:rPr>
          <w:rFonts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5</w:t>
      </w:r>
      <w:r>
        <w:rPr>
          <w:rFonts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30</w:t>
      </w:r>
      <w:r>
        <w:rPr>
          <w:rFonts w:ascii="宋体" w:hAnsi="宋体" w:eastAsia="宋体" w:cs="Times New Roman"/>
          <w:sz w:val="24"/>
          <w:szCs w:val="24"/>
          <w:highlight w:val="none"/>
        </w:rPr>
        <w:t>日</w:t>
      </w:r>
      <w:r>
        <w:rPr>
          <w:rFonts w:hint="eastAsia" w:ascii="宋体" w:hAnsi="宋体" w:eastAsia="宋体" w:cs="Times New Roman"/>
          <w:sz w:val="24"/>
          <w:szCs w:val="24"/>
          <w:highlight w:val="none"/>
          <w:lang w:val="en-US" w:eastAsia="zh-CN"/>
        </w:rPr>
        <w:t>10</w:t>
      </w:r>
      <w:r>
        <w:rPr>
          <w:rFonts w:hint="eastAsia" w:ascii="宋体" w:hAnsi="宋体" w:eastAsia="宋体" w:cs="Times New Roman"/>
          <w:sz w:val="24"/>
          <w:szCs w:val="24"/>
          <w:highlight w:val="none"/>
        </w:rPr>
        <w:t>时</w:t>
      </w:r>
      <w:r>
        <w:rPr>
          <w:rFonts w:ascii="宋体" w:hAnsi="宋体" w:eastAsia="宋体" w:cs="Times New Roman"/>
          <w:sz w:val="24"/>
          <w:szCs w:val="24"/>
          <w:highlight w:val="none"/>
        </w:rPr>
        <w:t>00分</w:t>
      </w:r>
      <w:r>
        <w:rPr>
          <w:rFonts w:hint="eastAsia" w:ascii="宋体" w:hAnsi="宋体" w:eastAsia="宋体" w:cs="Times New Roman"/>
          <w:sz w:val="24"/>
          <w:szCs w:val="24"/>
          <w:highlight w:val="none"/>
        </w:rPr>
        <w:t>。</w:t>
      </w:r>
    </w:p>
    <w:p w14:paraId="56E83D2E">
      <w:pPr>
        <w:spacing w:line="360" w:lineRule="auto"/>
        <w:ind w:firstLine="480" w:firstLineChars="200"/>
        <w:rPr>
          <w:rFonts w:ascii="宋体" w:hAnsi="宋体" w:eastAsia="宋体" w:cs="仿宋"/>
          <w:sz w:val="24"/>
          <w:szCs w:val="24"/>
          <w:highlight w:val="none"/>
        </w:rPr>
      </w:pPr>
      <w:r>
        <w:rPr>
          <w:rFonts w:ascii="宋体" w:hAnsi="宋体" w:eastAsia="宋体" w:cs="Times New Roman"/>
          <w:sz w:val="24"/>
          <w:szCs w:val="24"/>
          <w:highlight w:val="none"/>
        </w:rPr>
        <w:t>2</w:t>
      </w:r>
      <w:r>
        <w:rPr>
          <w:rFonts w:hint="eastAsia" w:ascii="宋体" w:hAnsi="宋体" w:eastAsia="宋体" w:cs="Times New Roman"/>
          <w:sz w:val="24"/>
          <w:szCs w:val="24"/>
          <w:highlight w:val="none"/>
        </w:rPr>
        <w:t>、地点：请登录政采云投标客户端投标</w:t>
      </w:r>
    </w:p>
    <w:p w14:paraId="15904831">
      <w:pPr>
        <w:spacing w:line="360" w:lineRule="auto"/>
        <w:ind w:firstLine="480"/>
        <w:rPr>
          <w:rFonts w:ascii="宋体" w:hAnsi="宋体" w:eastAsia="宋体" w:cs="仿宋"/>
          <w:sz w:val="24"/>
          <w:szCs w:val="24"/>
          <w:highlight w:val="none"/>
        </w:rPr>
      </w:pPr>
      <w:r>
        <w:rPr>
          <w:rFonts w:hint="eastAsia" w:ascii="宋体" w:hAnsi="宋体" w:eastAsia="宋体" w:cs="仿宋"/>
          <w:sz w:val="24"/>
          <w:szCs w:val="24"/>
          <w:highlight w:val="none"/>
        </w:rPr>
        <w:t>五、响应文件开启</w:t>
      </w:r>
    </w:p>
    <w:p w14:paraId="209B3709">
      <w:pPr>
        <w:autoSpaceDE w:val="0"/>
        <w:spacing w:line="360" w:lineRule="auto"/>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1、开启时间：</w:t>
      </w:r>
      <w:r>
        <w:rPr>
          <w:rFonts w:ascii="宋体" w:hAnsi="宋体" w:eastAsia="宋体" w:cs="Times New Roman"/>
          <w:sz w:val="24"/>
          <w:szCs w:val="24"/>
          <w:highlight w:val="none"/>
        </w:rPr>
        <w:t>202</w:t>
      </w:r>
      <w:r>
        <w:rPr>
          <w:rFonts w:hint="eastAsia" w:ascii="宋体" w:hAnsi="宋体" w:eastAsia="宋体" w:cs="Times New Roman"/>
          <w:sz w:val="24"/>
          <w:szCs w:val="24"/>
          <w:highlight w:val="none"/>
        </w:rPr>
        <w:t>5</w:t>
      </w:r>
      <w:r>
        <w:rPr>
          <w:rFonts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5</w:t>
      </w:r>
      <w:r>
        <w:rPr>
          <w:rFonts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30</w:t>
      </w:r>
      <w:r>
        <w:rPr>
          <w:rFonts w:ascii="宋体" w:hAnsi="宋体" w:eastAsia="宋体" w:cs="Times New Roman"/>
          <w:sz w:val="24"/>
          <w:szCs w:val="24"/>
          <w:highlight w:val="none"/>
        </w:rPr>
        <w:t>日1</w:t>
      </w:r>
      <w:r>
        <w:rPr>
          <w:rFonts w:hint="eastAsia" w:ascii="宋体" w:hAnsi="宋体" w:eastAsia="宋体" w:cs="Times New Roman"/>
          <w:sz w:val="24"/>
          <w:szCs w:val="24"/>
          <w:highlight w:val="none"/>
          <w:lang w:val="en-US" w:eastAsia="zh-CN"/>
        </w:rPr>
        <w:t>0</w:t>
      </w:r>
      <w:r>
        <w:rPr>
          <w:rFonts w:hint="eastAsia" w:ascii="宋体" w:hAnsi="宋体" w:eastAsia="宋体" w:cs="Times New Roman"/>
          <w:sz w:val="24"/>
          <w:szCs w:val="24"/>
          <w:highlight w:val="none"/>
        </w:rPr>
        <w:t>时</w:t>
      </w:r>
      <w:r>
        <w:rPr>
          <w:rFonts w:ascii="宋体" w:hAnsi="宋体" w:eastAsia="宋体" w:cs="Times New Roman"/>
          <w:sz w:val="24"/>
          <w:szCs w:val="24"/>
          <w:highlight w:val="none"/>
        </w:rPr>
        <w:t>00分</w:t>
      </w:r>
      <w:r>
        <w:rPr>
          <w:rFonts w:hint="eastAsia" w:ascii="宋体" w:hAnsi="宋体" w:eastAsia="宋体" w:cs="Times New Roman"/>
          <w:sz w:val="24"/>
          <w:szCs w:val="24"/>
          <w:highlight w:val="none"/>
        </w:rPr>
        <w:t>。</w:t>
      </w:r>
    </w:p>
    <w:p w14:paraId="031CEFB6">
      <w:pPr>
        <w:spacing w:line="360" w:lineRule="auto"/>
        <w:ind w:firstLine="480" w:firstLineChars="200"/>
        <w:rPr>
          <w:rFonts w:ascii="宋体" w:hAnsi="宋体" w:eastAsia="宋体" w:cs="仿宋"/>
          <w:sz w:val="24"/>
          <w:szCs w:val="24"/>
          <w:highlight w:val="none"/>
        </w:rPr>
      </w:pPr>
      <w:r>
        <w:rPr>
          <w:rFonts w:ascii="宋体" w:hAnsi="宋体" w:eastAsia="宋体" w:cs="Times New Roman"/>
          <w:sz w:val="24"/>
          <w:szCs w:val="24"/>
          <w:highlight w:val="none"/>
        </w:rPr>
        <w:t>2</w:t>
      </w:r>
      <w:r>
        <w:rPr>
          <w:rFonts w:hint="eastAsia" w:ascii="宋体" w:hAnsi="宋体" w:eastAsia="宋体" w:cs="Times New Roman"/>
          <w:sz w:val="24"/>
          <w:szCs w:val="24"/>
          <w:highlight w:val="none"/>
        </w:rPr>
        <w:t>、地点：政采云平台</w:t>
      </w:r>
      <w:r>
        <w:rPr>
          <w:rFonts w:ascii="宋体" w:hAnsi="宋体" w:eastAsia="宋体" w:cs="Times New Roman"/>
          <w:sz w:val="24"/>
          <w:szCs w:val="24"/>
          <w:highlight w:val="none"/>
        </w:rPr>
        <w:t>https://www.zcygov.cn/</w:t>
      </w:r>
      <w:r>
        <w:rPr>
          <w:rFonts w:hint="eastAsia" w:ascii="宋体" w:hAnsi="宋体" w:eastAsia="宋体" w:cs="Times New Roman"/>
          <w:sz w:val="24"/>
          <w:highlight w:val="none"/>
        </w:rPr>
        <w:t>。</w:t>
      </w:r>
    </w:p>
    <w:p w14:paraId="3A6B35E3">
      <w:pPr>
        <w:spacing w:line="360" w:lineRule="auto"/>
        <w:ind w:firstLine="480"/>
        <w:rPr>
          <w:rFonts w:ascii="宋体" w:hAnsi="宋体" w:eastAsia="宋体" w:cs="仿宋"/>
          <w:sz w:val="24"/>
          <w:szCs w:val="24"/>
        </w:rPr>
      </w:pPr>
      <w:r>
        <w:rPr>
          <w:rFonts w:hint="eastAsia" w:ascii="宋体" w:hAnsi="宋体" w:eastAsia="宋体" w:cs="仿宋"/>
          <w:sz w:val="24"/>
          <w:szCs w:val="24"/>
        </w:rPr>
        <w:t>六、公告期限</w:t>
      </w:r>
    </w:p>
    <w:p w14:paraId="5AB44A83">
      <w:pPr>
        <w:spacing w:line="360" w:lineRule="auto"/>
        <w:ind w:firstLine="480" w:firstLineChars="200"/>
        <w:rPr>
          <w:rFonts w:ascii="宋体" w:hAnsi="宋体" w:eastAsia="宋体" w:cs="仿宋"/>
          <w:sz w:val="24"/>
          <w:szCs w:val="24"/>
        </w:rPr>
      </w:pPr>
      <w:r>
        <w:rPr>
          <w:rFonts w:hint="eastAsia" w:ascii="宋体" w:hAnsi="宋体" w:eastAsia="宋体" w:cs="仿宋"/>
          <w:sz w:val="24"/>
          <w:szCs w:val="24"/>
        </w:rPr>
        <w:t>自本公告发布之日起3个工作日。</w:t>
      </w:r>
    </w:p>
    <w:p w14:paraId="3BFBA894">
      <w:pPr>
        <w:spacing w:line="360" w:lineRule="auto"/>
        <w:ind w:firstLine="480"/>
        <w:rPr>
          <w:rFonts w:ascii="宋体" w:hAnsi="宋体" w:eastAsia="宋体" w:cs="仿宋"/>
          <w:sz w:val="24"/>
          <w:szCs w:val="24"/>
        </w:rPr>
      </w:pPr>
      <w:r>
        <w:rPr>
          <w:rFonts w:hint="eastAsia" w:ascii="宋体" w:hAnsi="宋体" w:eastAsia="宋体" w:cs="仿宋"/>
          <w:sz w:val="24"/>
          <w:szCs w:val="24"/>
        </w:rPr>
        <w:t>七、其他补充事宜</w:t>
      </w:r>
    </w:p>
    <w:p w14:paraId="41A4AECF">
      <w:pPr>
        <w:widowControl/>
        <w:spacing w:before="255" w:after="255"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1、本项目实行网上投标，采用电子响应文件；</w:t>
      </w:r>
    </w:p>
    <w:p w14:paraId="7C89C467">
      <w:pPr>
        <w:widowControl/>
        <w:spacing w:before="255" w:after="255"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2、各供应商应在开标前确保成为新疆政府采购网正式注册入库供应商，并完成CA数字证书（符合国密标准）申领。因未注册入库、未办理CA数字证书等原因造成无法投标或投标失败等后果由供应商自行承担。有意向参与电子开评标的供应商，可访问新疆数字证书认证中心官方网站（https://www.xjca.com.cn/）或下载“新疆政务通”APP自行进行申领。如需咨询，请联系新疆CA服务热线0991-2819290；</w:t>
      </w:r>
    </w:p>
    <w:p w14:paraId="70CE9F73">
      <w:pPr>
        <w:widowControl/>
        <w:spacing w:before="255" w:after="255"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3、供应商将政采云电子交易客户端下载、安装完成后，可通过账号密码或CA登录客户端进行响应文件的制作。在使用政采云投标客户端时，建议使用WIN7及以上操作系统。客户端请至新疆政府采购网（http://www.ccgp-xinjiang.gov.cn/）下载专区查看，如有问题可拨打政采云客户服务热线95763进行咨询。如因供应商自身原因导致在规定时间内无法正常解密的（如：浏览器故障、未安装相关驱动、网络故障、加密CA与解密CA不一致等），采购中心/代理机构不予异常处理，视为供应商自动弃标。</w:t>
      </w:r>
    </w:p>
    <w:p w14:paraId="7332C81F">
      <w:pPr>
        <w:widowControl/>
        <w:spacing w:before="255" w:after="255"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4、供应商应当在投标截止时间前,将生成的“电子加密响应文件”上传递交至“政府采购云平台”,投标截止时间以后上传递交的响应文件将被“政府采购云平台”拒收。</w:t>
      </w:r>
    </w:p>
    <w:p w14:paraId="71542B90">
      <w:pPr>
        <w:widowControl/>
        <w:spacing w:before="255" w:after="255"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5、供应商在投标前须提前配置好电脑浏览器（建议使用360 浏览器或谷歌浏览器）, 开标时请使用制作加密电子响应文件的CA锁进行解密及报价确认。本项目响应文件解密时间定为30分钟内,如因自身原因导致无法正常解密,后果由供应商自行承担。</w:t>
      </w:r>
    </w:p>
    <w:p w14:paraId="5707C67A">
      <w:pPr>
        <w:widowControl/>
        <w:spacing w:before="255" w:after="255"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6、供应商登录政采云平台，在投标截止时间后30分钟内用“项目采购-开标评标”功能进行解密响应文件。若供应商在规定时间内未按时解密的，视为无效投标。解密与加密响应文件须使用同一个 CA。</w:t>
      </w:r>
    </w:p>
    <w:p w14:paraId="01CAF1D4">
      <w:pPr>
        <w:spacing w:line="360" w:lineRule="auto"/>
        <w:ind w:firstLine="480" w:firstLineChars="200"/>
        <w:rPr>
          <w:rFonts w:ascii="宋体" w:hAnsi="宋体" w:eastAsia="宋体" w:cs="仿宋"/>
          <w:sz w:val="24"/>
          <w:szCs w:val="24"/>
        </w:rPr>
      </w:pPr>
      <w:r>
        <w:rPr>
          <w:rFonts w:hint="eastAsia" w:ascii="宋体" w:hAnsi="宋体" w:eastAsia="宋体" w:cs="宋体"/>
          <w:kern w:val="0"/>
          <w:sz w:val="24"/>
          <w:szCs w:val="24"/>
        </w:rPr>
        <w:t>7、本项目进行两轮及以上报价，必须使用“点聚签章服务”，请确保报价时已启动该服务。请潜在供应商必须使用具有音频及视频功能的电脑,因本项目是两轮及以上报价,请供应商务必全程守候,电话保持畅通状态,以便及时沟通,如因自身原因导致无法正常报价,后果由供应商自行承担。</w:t>
      </w:r>
    </w:p>
    <w:p w14:paraId="3132F29A">
      <w:pPr>
        <w:spacing w:line="360" w:lineRule="auto"/>
        <w:ind w:firstLine="480"/>
        <w:rPr>
          <w:rFonts w:ascii="宋体" w:hAnsi="宋体" w:eastAsia="宋体" w:cs="仿宋"/>
          <w:sz w:val="24"/>
          <w:szCs w:val="24"/>
        </w:rPr>
      </w:pPr>
      <w:r>
        <w:rPr>
          <w:rFonts w:hint="eastAsia" w:ascii="宋体" w:hAnsi="宋体" w:eastAsia="宋体" w:cs="仿宋"/>
          <w:sz w:val="24"/>
          <w:szCs w:val="24"/>
        </w:rPr>
        <w:t>八、凡对本次招标提出询问，请按以下方式联系</w:t>
      </w:r>
    </w:p>
    <w:bookmarkEnd w:id="4"/>
    <w:p w14:paraId="02535685">
      <w:pPr>
        <w:tabs>
          <w:tab w:val="left" w:pos="4305"/>
        </w:tabs>
        <w:spacing w:line="360" w:lineRule="auto"/>
        <w:ind w:firstLine="480" w:firstLineChars="200"/>
        <w:jc w:val="left"/>
        <w:rPr>
          <w:rFonts w:ascii="宋体" w:hAnsi="宋体" w:eastAsia="宋体" w:cs="Times New Roman"/>
          <w:kern w:val="0"/>
          <w:sz w:val="24"/>
          <w:szCs w:val="24"/>
          <w:shd w:val="clear" w:color="auto" w:fill="FEFEFE"/>
        </w:rPr>
      </w:pPr>
      <w:bookmarkStart w:id="7" w:name="_Toc56170378"/>
      <w:bookmarkStart w:id="8" w:name="_Toc5896489"/>
      <w:bookmarkStart w:id="9" w:name="_Toc55990500"/>
      <w:bookmarkStart w:id="10" w:name="_Toc399523005"/>
      <w:r>
        <w:rPr>
          <w:rFonts w:hint="eastAsia" w:ascii="宋体" w:hAnsi="宋体" w:eastAsia="宋体" w:cs="Times New Roman"/>
          <w:kern w:val="0"/>
          <w:sz w:val="24"/>
          <w:szCs w:val="24"/>
          <w:shd w:val="clear" w:color="auto" w:fill="FEFEFE"/>
        </w:rPr>
        <w:t>1、采购人信息</w:t>
      </w:r>
    </w:p>
    <w:p w14:paraId="1CF30725">
      <w:pPr>
        <w:widowControl/>
        <w:spacing w:before="75" w:after="75" w:line="360" w:lineRule="auto"/>
        <w:ind w:firstLine="420"/>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名 称：</w:t>
      </w:r>
      <w:r>
        <w:rPr>
          <w:rFonts w:hint="eastAsia" w:ascii="宋体" w:hAnsi="宋体" w:eastAsia="宋体" w:cs="宋体"/>
          <w:kern w:val="0"/>
          <w:sz w:val="24"/>
          <w:szCs w:val="24"/>
          <w:lang w:eastAsia="zh-CN"/>
        </w:rPr>
        <w:t>中华人民共和国新疆出入境边防检查总站</w:t>
      </w:r>
    </w:p>
    <w:p w14:paraId="4E15E9C0">
      <w:pPr>
        <w:widowControl/>
        <w:spacing w:before="75" w:after="75" w:line="360" w:lineRule="auto"/>
        <w:ind w:firstLine="420"/>
        <w:jc w:val="left"/>
        <w:rPr>
          <w:rFonts w:ascii="宋体" w:hAnsi="宋体" w:eastAsia="宋体" w:cs="宋体"/>
          <w:kern w:val="0"/>
          <w:sz w:val="24"/>
          <w:szCs w:val="24"/>
        </w:rPr>
      </w:pPr>
      <w:r>
        <w:rPr>
          <w:rFonts w:hint="eastAsia" w:ascii="宋体" w:hAnsi="宋体" w:eastAsia="宋体" w:cs="宋体"/>
          <w:kern w:val="0"/>
          <w:sz w:val="24"/>
          <w:szCs w:val="24"/>
        </w:rPr>
        <w:t>地 址：</w:t>
      </w:r>
      <w:r>
        <w:rPr>
          <w:rFonts w:hint="eastAsia" w:ascii="宋体" w:hAnsi="宋体" w:eastAsia="宋体" w:cs="宋体"/>
          <w:color w:val="000000"/>
          <w:sz w:val="24"/>
        </w:rPr>
        <w:t>新疆乌市天山区团结路1551号</w:t>
      </w:r>
    </w:p>
    <w:p w14:paraId="30DCF55A">
      <w:pPr>
        <w:widowControl/>
        <w:spacing w:before="75" w:after="75" w:line="360" w:lineRule="auto"/>
        <w:ind w:firstLine="420"/>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rPr>
        <w:t>联系方式：</w:t>
      </w:r>
      <w:r>
        <w:rPr>
          <w:rFonts w:hint="eastAsia" w:ascii="MS Gothic" w:hAnsi="MS Gothic" w:eastAsia="MS Gothic" w:cs="MS Gothic"/>
          <w:kern w:val="0"/>
          <w:sz w:val="24"/>
          <w:szCs w:val="24"/>
        </w:rPr>
        <w:t> </w:t>
      </w:r>
      <w:r>
        <w:rPr>
          <w:rFonts w:hint="eastAsia" w:ascii="宋体" w:hAnsi="宋体" w:eastAsia="宋体" w:cs="宋体"/>
          <w:kern w:val="0"/>
          <w:sz w:val="24"/>
          <w:szCs w:val="24"/>
        </w:rPr>
        <w:t>0991-</w:t>
      </w:r>
      <w:r>
        <w:rPr>
          <w:rFonts w:hint="eastAsia" w:ascii="宋体" w:hAnsi="宋体" w:eastAsia="宋体" w:cs="宋体"/>
          <w:kern w:val="0"/>
          <w:sz w:val="24"/>
          <w:szCs w:val="24"/>
          <w:lang w:val="en-US" w:eastAsia="zh-CN"/>
        </w:rPr>
        <w:t>8512143</w:t>
      </w:r>
    </w:p>
    <w:p w14:paraId="5110678E">
      <w:pPr>
        <w:widowControl/>
        <w:spacing w:before="75" w:after="75" w:line="360" w:lineRule="auto"/>
        <w:ind w:firstLine="420"/>
        <w:jc w:val="left"/>
        <w:rPr>
          <w:rFonts w:ascii="宋体" w:hAnsi="宋体" w:eastAsia="宋体" w:cs="宋体"/>
          <w:kern w:val="0"/>
          <w:sz w:val="24"/>
          <w:szCs w:val="24"/>
        </w:rPr>
      </w:pPr>
      <w:r>
        <w:rPr>
          <w:rFonts w:hint="eastAsia" w:ascii="宋体" w:hAnsi="宋体" w:eastAsia="宋体" w:cs="宋体"/>
          <w:kern w:val="0"/>
          <w:sz w:val="24"/>
          <w:szCs w:val="24"/>
        </w:rPr>
        <w:t>2、采购代理机构信息</w:t>
      </w:r>
    </w:p>
    <w:p w14:paraId="3EEEDAAD">
      <w:pPr>
        <w:widowControl/>
        <w:spacing w:before="75" w:after="75" w:line="360" w:lineRule="auto"/>
        <w:ind w:firstLine="420"/>
        <w:jc w:val="left"/>
        <w:rPr>
          <w:rFonts w:ascii="宋体" w:hAnsi="宋体" w:eastAsia="宋体" w:cs="宋体"/>
          <w:kern w:val="0"/>
          <w:sz w:val="24"/>
          <w:szCs w:val="24"/>
        </w:rPr>
      </w:pPr>
      <w:r>
        <w:rPr>
          <w:rFonts w:hint="eastAsia" w:ascii="宋体" w:hAnsi="宋体" w:eastAsia="宋体" w:cs="宋体"/>
          <w:kern w:val="0"/>
          <w:sz w:val="24"/>
          <w:szCs w:val="24"/>
        </w:rPr>
        <w:t>名 称：国义招标股份有限公司</w:t>
      </w:r>
    </w:p>
    <w:p w14:paraId="576F631B">
      <w:pPr>
        <w:widowControl/>
        <w:spacing w:before="75" w:after="75" w:line="360" w:lineRule="auto"/>
        <w:ind w:firstLine="420"/>
        <w:jc w:val="left"/>
        <w:rPr>
          <w:rFonts w:ascii="宋体" w:hAnsi="宋体" w:eastAsia="宋体" w:cs="宋体"/>
          <w:kern w:val="0"/>
          <w:sz w:val="24"/>
          <w:szCs w:val="24"/>
        </w:rPr>
      </w:pPr>
      <w:r>
        <w:rPr>
          <w:rFonts w:hint="eastAsia" w:ascii="宋体" w:hAnsi="宋体" w:eastAsia="宋体" w:cs="宋体"/>
          <w:kern w:val="0"/>
          <w:sz w:val="24"/>
          <w:szCs w:val="24"/>
        </w:rPr>
        <w:t>地 址：乌鲁木齐市红光山路888号绿城广场1B栋3504室</w:t>
      </w:r>
    </w:p>
    <w:p w14:paraId="32CE9F90">
      <w:pPr>
        <w:widowControl/>
        <w:spacing w:before="75" w:after="75" w:line="360" w:lineRule="auto"/>
        <w:ind w:firstLine="420"/>
        <w:jc w:val="left"/>
        <w:rPr>
          <w:rFonts w:ascii="宋体" w:hAnsi="宋体" w:eastAsia="宋体" w:cs="宋体"/>
          <w:kern w:val="0"/>
          <w:sz w:val="24"/>
          <w:szCs w:val="24"/>
        </w:rPr>
      </w:pPr>
      <w:r>
        <w:rPr>
          <w:rFonts w:hint="eastAsia" w:ascii="宋体" w:hAnsi="宋体" w:eastAsia="宋体" w:cs="宋体"/>
          <w:kern w:val="0"/>
          <w:sz w:val="24"/>
          <w:szCs w:val="24"/>
        </w:rPr>
        <w:t>联系方式：</w:t>
      </w:r>
      <w:r>
        <w:rPr>
          <w:rFonts w:ascii="宋体" w:hAnsi="宋体" w:eastAsia="宋体" w:cs="宋体"/>
          <w:kern w:val="0"/>
          <w:sz w:val="24"/>
          <w:szCs w:val="24"/>
        </w:rPr>
        <w:t>0991-4664267</w:t>
      </w:r>
    </w:p>
    <w:p w14:paraId="431E99E1">
      <w:pPr>
        <w:widowControl/>
        <w:spacing w:before="75" w:after="75" w:line="360" w:lineRule="auto"/>
        <w:ind w:firstLine="420"/>
        <w:jc w:val="left"/>
        <w:rPr>
          <w:rFonts w:ascii="宋体" w:hAnsi="宋体" w:eastAsia="宋体" w:cs="宋体"/>
          <w:kern w:val="0"/>
          <w:sz w:val="24"/>
          <w:szCs w:val="24"/>
        </w:rPr>
      </w:pPr>
      <w:r>
        <w:rPr>
          <w:rFonts w:hint="eastAsia" w:ascii="宋体" w:hAnsi="宋体" w:eastAsia="宋体" w:cs="宋体"/>
          <w:kern w:val="0"/>
          <w:sz w:val="24"/>
          <w:szCs w:val="24"/>
        </w:rPr>
        <w:t>3、项目联系方式</w:t>
      </w:r>
    </w:p>
    <w:p w14:paraId="42C16CD2">
      <w:pPr>
        <w:widowControl/>
        <w:spacing w:before="75" w:after="75" w:line="360" w:lineRule="auto"/>
        <w:ind w:firstLine="420"/>
        <w:jc w:val="left"/>
        <w:rPr>
          <w:rFonts w:ascii="宋体" w:hAnsi="宋体" w:eastAsia="宋体" w:cs="宋体"/>
          <w:kern w:val="0"/>
          <w:sz w:val="24"/>
          <w:szCs w:val="24"/>
        </w:rPr>
      </w:pPr>
      <w:r>
        <w:rPr>
          <w:rFonts w:hint="eastAsia" w:ascii="宋体" w:hAnsi="宋体" w:eastAsia="宋体" w:cs="宋体"/>
          <w:kern w:val="0"/>
          <w:sz w:val="24"/>
          <w:szCs w:val="24"/>
        </w:rPr>
        <w:t>项目联系人：周鑫、阿米娜·托汗、陈亮</w:t>
      </w:r>
    </w:p>
    <w:p w14:paraId="3E21BABB">
      <w:pPr>
        <w:spacing w:line="360" w:lineRule="auto"/>
        <w:ind w:firstLine="480" w:firstLineChars="200"/>
        <w:rPr>
          <w:rFonts w:ascii="宋体" w:hAnsi="宋体" w:eastAsia="宋体" w:cs="仿宋"/>
          <w:color w:val="000000"/>
          <w:kern w:val="0"/>
          <w:sz w:val="24"/>
          <w:szCs w:val="24"/>
        </w:rPr>
      </w:pPr>
      <w:r>
        <w:rPr>
          <w:rFonts w:hint="eastAsia" w:ascii="宋体" w:hAnsi="宋体" w:eastAsia="宋体" w:cs="宋体"/>
          <w:kern w:val="0"/>
          <w:sz w:val="24"/>
          <w:szCs w:val="24"/>
        </w:rPr>
        <w:t>电 话：0</w:t>
      </w:r>
      <w:r>
        <w:rPr>
          <w:rFonts w:ascii="宋体" w:hAnsi="宋体" w:eastAsia="宋体" w:cs="宋体"/>
          <w:kern w:val="0"/>
          <w:sz w:val="24"/>
          <w:szCs w:val="24"/>
        </w:rPr>
        <w:t>991-4664267、13079986963</w:t>
      </w:r>
    </w:p>
    <w:p w14:paraId="43DB828C">
      <w:pPr>
        <w:spacing w:line="360" w:lineRule="auto"/>
        <w:ind w:firstLine="480"/>
        <w:jc w:val="center"/>
        <w:outlineLvl w:val="0"/>
        <w:rPr>
          <w:rFonts w:ascii="宋体" w:hAnsi="宋体" w:eastAsia="宋体" w:cs="仿宋"/>
          <w:sz w:val="36"/>
          <w:szCs w:val="20"/>
        </w:rPr>
      </w:pPr>
      <w:r>
        <w:rPr>
          <w:rFonts w:hint="eastAsia" w:ascii="宋体" w:hAnsi="宋体" w:eastAsia="宋体" w:cs="仿宋"/>
          <w:color w:val="000000"/>
          <w:kern w:val="0"/>
          <w:sz w:val="24"/>
          <w:szCs w:val="24"/>
        </w:rPr>
        <w:br w:type="page"/>
      </w:r>
      <w:bookmarkStart w:id="11" w:name="_Toc16090"/>
      <w:bookmarkStart w:id="12" w:name="_Toc9121"/>
      <w:bookmarkStart w:id="13" w:name="_Toc195529410"/>
      <w:r>
        <w:rPr>
          <w:rFonts w:hint="eastAsia" w:ascii="宋体" w:hAnsi="宋体" w:eastAsia="宋体" w:cs="仿宋"/>
          <w:b/>
          <w:bCs/>
          <w:sz w:val="36"/>
          <w:szCs w:val="20"/>
        </w:rPr>
        <w:t>第二章、谈判须知</w:t>
      </w:r>
      <w:bookmarkEnd w:id="7"/>
      <w:bookmarkEnd w:id="8"/>
      <w:bookmarkEnd w:id="9"/>
      <w:bookmarkEnd w:id="11"/>
      <w:bookmarkEnd w:id="12"/>
      <w:bookmarkEnd w:id="13"/>
    </w:p>
    <w:p w14:paraId="5742917F">
      <w:pPr>
        <w:spacing w:before="120" w:after="120" w:line="520" w:lineRule="exact"/>
        <w:ind w:firstLine="562" w:firstLineChars="200"/>
        <w:jc w:val="center"/>
        <w:outlineLvl w:val="1"/>
        <w:rPr>
          <w:rFonts w:ascii="宋体" w:hAnsi="宋体" w:eastAsia="宋体" w:cs="仿宋"/>
          <w:b/>
          <w:kern w:val="0"/>
          <w:sz w:val="28"/>
          <w:szCs w:val="24"/>
        </w:rPr>
      </w:pPr>
      <w:bookmarkStart w:id="14" w:name="_Toc4096"/>
      <w:bookmarkStart w:id="15" w:name="_Toc22212"/>
      <w:bookmarkStart w:id="16" w:name="_Toc195529411"/>
      <w:bookmarkStart w:id="17" w:name="_Toc56170379"/>
      <w:r>
        <w:rPr>
          <w:rFonts w:hint="eastAsia" w:ascii="宋体" w:hAnsi="宋体" w:eastAsia="宋体" w:cs="仿宋"/>
          <w:b/>
          <w:kern w:val="0"/>
          <w:sz w:val="28"/>
          <w:szCs w:val="24"/>
        </w:rPr>
        <w:t>谈判须知前附表</w:t>
      </w:r>
      <w:bookmarkEnd w:id="14"/>
      <w:bookmarkEnd w:id="15"/>
      <w:bookmarkEnd w:id="16"/>
      <w:bookmarkEnd w:id="17"/>
    </w:p>
    <w:tbl>
      <w:tblPr>
        <w:tblStyle w:val="47"/>
        <w:tblW w:w="10203"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979"/>
        <w:gridCol w:w="1399"/>
        <w:gridCol w:w="7825"/>
      </w:tblGrid>
      <w:tr w14:paraId="6606D84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1" w:hRule="atLeast"/>
          <w:tblHeader/>
          <w:jc w:val="center"/>
        </w:trPr>
        <w:tc>
          <w:tcPr>
            <w:tcW w:w="979" w:type="dxa"/>
            <w:vAlign w:val="center"/>
          </w:tcPr>
          <w:p w14:paraId="24BCC2B5">
            <w:pPr>
              <w:snapToGrid w:val="0"/>
              <w:spacing w:line="360" w:lineRule="auto"/>
              <w:rPr>
                <w:rFonts w:ascii="宋体" w:hAnsi="宋体" w:eastAsia="宋体" w:cs="仿宋"/>
                <w:sz w:val="24"/>
                <w:szCs w:val="24"/>
              </w:rPr>
            </w:pPr>
            <w:r>
              <w:rPr>
                <w:rFonts w:hint="eastAsia" w:ascii="宋体" w:hAnsi="宋体" w:eastAsia="宋体" w:cs="仿宋"/>
                <w:sz w:val="24"/>
                <w:szCs w:val="24"/>
              </w:rPr>
              <w:t>序号</w:t>
            </w:r>
          </w:p>
        </w:tc>
        <w:tc>
          <w:tcPr>
            <w:tcW w:w="1399" w:type="dxa"/>
          </w:tcPr>
          <w:p w14:paraId="7B7C4F41">
            <w:pPr>
              <w:snapToGrid w:val="0"/>
              <w:spacing w:line="360" w:lineRule="auto"/>
              <w:jc w:val="center"/>
              <w:rPr>
                <w:rFonts w:ascii="宋体" w:hAnsi="宋体" w:eastAsia="宋体" w:cs="仿宋"/>
                <w:sz w:val="24"/>
                <w:szCs w:val="24"/>
              </w:rPr>
            </w:pPr>
            <w:r>
              <w:rPr>
                <w:rFonts w:hint="eastAsia" w:ascii="宋体" w:hAnsi="宋体" w:eastAsia="宋体" w:cs="仿宋"/>
                <w:sz w:val="24"/>
                <w:szCs w:val="24"/>
              </w:rPr>
              <w:t>条款</w:t>
            </w:r>
          </w:p>
        </w:tc>
        <w:tc>
          <w:tcPr>
            <w:tcW w:w="7825" w:type="dxa"/>
            <w:vAlign w:val="center"/>
          </w:tcPr>
          <w:p w14:paraId="2AA5FB91">
            <w:pPr>
              <w:snapToGrid w:val="0"/>
              <w:spacing w:line="360" w:lineRule="auto"/>
              <w:jc w:val="center"/>
              <w:rPr>
                <w:rFonts w:ascii="宋体" w:hAnsi="宋体" w:eastAsia="宋体" w:cs="仿宋"/>
                <w:sz w:val="24"/>
                <w:szCs w:val="24"/>
              </w:rPr>
            </w:pPr>
            <w:r>
              <w:rPr>
                <w:rFonts w:hint="eastAsia" w:ascii="宋体" w:hAnsi="宋体" w:eastAsia="宋体" w:cs="仿宋"/>
                <w:sz w:val="24"/>
                <w:szCs w:val="24"/>
              </w:rPr>
              <w:t>内容</w:t>
            </w:r>
          </w:p>
        </w:tc>
      </w:tr>
      <w:tr w14:paraId="23EB9CF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1" w:hRule="atLeast"/>
          <w:jc w:val="center"/>
        </w:trPr>
        <w:tc>
          <w:tcPr>
            <w:tcW w:w="979" w:type="dxa"/>
            <w:vAlign w:val="center"/>
          </w:tcPr>
          <w:p w14:paraId="0ADE7FD7">
            <w:pPr>
              <w:snapToGrid w:val="0"/>
              <w:spacing w:line="360" w:lineRule="auto"/>
              <w:jc w:val="center"/>
              <w:rPr>
                <w:rFonts w:ascii="宋体" w:hAnsi="宋体" w:eastAsia="宋体" w:cs="仿宋"/>
                <w:sz w:val="24"/>
                <w:szCs w:val="24"/>
              </w:rPr>
            </w:pPr>
            <w:r>
              <w:rPr>
                <w:rFonts w:hint="eastAsia" w:ascii="宋体" w:hAnsi="宋体" w:eastAsia="宋体" w:cs="仿宋"/>
                <w:sz w:val="24"/>
                <w:szCs w:val="24"/>
              </w:rPr>
              <w:t>1</w:t>
            </w:r>
          </w:p>
        </w:tc>
        <w:tc>
          <w:tcPr>
            <w:tcW w:w="1399" w:type="dxa"/>
            <w:vAlign w:val="center"/>
          </w:tcPr>
          <w:p w14:paraId="4A9BC20D">
            <w:pPr>
              <w:spacing w:line="360" w:lineRule="auto"/>
              <w:jc w:val="center"/>
              <w:rPr>
                <w:rFonts w:ascii="宋体" w:hAnsi="宋体" w:eastAsia="宋体" w:cs="仿宋"/>
                <w:sz w:val="24"/>
                <w:szCs w:val="24"/>
              </w:rPr>
            </w:pPr>
            <w:r>
              <w:rPr>
                <w:rFonts w:hint="eastAsia" w:ascii="宋体" w:hAnsi="宋体" w:eastAsia="宋体" w:cs="仿宋"/>
                <w:sz w:val="24"/>
                <w:szCs w:val="24"/>
              </w:rPr>
              <w:t>项目名称及内容</w:t>
            </w:r>
          </w:p>
        </w:tc>
        <w:tc>
          <w:tcPr>
            <w:tcW w:w="7825" w:type="dxa"/>
            <w:tcBorders>
              <w:bottom w:val="single" w:color="auto" w:sz="4" w:space="0"/>
            </w:tcBorders>
            <w:vAlign w:val="center"/>
          </w:tcPr>
          <w:p w14:paraId="7F969B28">
            <w:pPr>
              <w:spacing w:line="360" w:lineRule="auto"/>
              <w:jc w:val="left"/>
              <w:rPr>
                <w:rFonts w:hint="eastAsia" w:ascii="宋体" w:hAnsi="宋体" w:eastAsia="宋体" w:cs="仿宋"/>
                <w:kern w:val="0"/>
                <w:sz w:val="24"/>
                <w:szCs w:val="24"/>
                <w:lang w:eastAsia="zh-CN"/>
              </w:rPr>
            </w:pPr>
            <w:r>
              <w:rPr>
                <w:rFonts w:hint="eastAsia" w:ascii="宋体" w:hAnsi="宋体" w:eastAsia="宋体" w:cs="仿宋"/>
                <w:sz w:val="24"/>
                <w:szCs w:val="24"/>
              </w:rPr>
              <w:t>项目名称：</w:t>
            </w:r>
            <w:r>
              <w:rPr>
                <w:rFonts w:hint="eastAsia" w:ascii="宋体" w:hAnsi="宋体" w:eastAsia="宋体" w:cs="楷体_GB2312"/>
                <w:sz w:val="24"/>
                <w:szCs w:val="24"/>
                <w:lang w:eastAsia="zh-CN"/>
              </w:rPr>
              <w:t>中华人民共和国新疆出入境边防检查总站执法记录仪数据管理平台、调度平台维保服务采购项目</w:t>
            </w:r>
          </w:p>
          <w:p w14:paraId="53D68622">
            <w:pPr>
              <w:spacing w:line="360" w:lineRule="auto"/>
              <w:jc w:val="left"/>
              <w:rPr>
                <w:rFonts w:ascii="宋体" w:hAnsi="宋体" w:eastAsia="宋体" w:cs="仿宋"/>
                <w:sz w:val="24"/>
                <w:szCs w:val="24"/>
              </w:rPr>
            </w:pPr>
            <w:r>
              <w:rPr>
                <w:rFonts w:hint="eastAsia" w:ascii="宋体" w:hAnsi="宋体" w:eastAsia="宋体" w:cs="仿宋"/>
                <w:sz w:val="24"/>
                <w:szCs w:val="24"/>
              </w:rPr>
              <w:t>项目编号：0724-2531XJ602898</w:t>
            </w:r>
          </w:p>
          <w:p w14:paraId="180000D6">
            <w:pPr>
              <w:spacing w:line="360" w:lineRule="auto"/>
              <w:rPr>
                <w:rFonts w:ascii="宋体" w:hAnsi="宋体" w:eastAsia="宋体" w:cs="仿宋"/>
                <w:sz w:val="24"/>
                <w:szCs w:val="24"/>
              </w:rPr>
            </w:pPr>
            <w:r>
              <w:rPr>
                <w:rFonts w:hint="eastAsia" w:ascii="宋体" w:hAnsi="宋体" w:eastAsia="宋体" w:cs="仿宋"/>
                <w:sz w:val="24"/>
                <w:szCs w:val="24"/>
              </w:rPr>
              <w:t>谈判内容：</w:t>
            </w:r>
            <w:r>
              <w:rPr>
                <w:rFonts w:ascii="宋体" w:hAnsi="宋体" w:eastAsia="宋体" w:cs="仿宋_GB2312"/>
                <w:bCs/>
                <w:sz w:val="24"/>
                <w:szCs w:val="24"/>
                <w:lang w:val="en-US" w:eastAsia="zh-CN"/>
              </w:rPr>
              <w:t>基于现有执法记录仪管理平台、调度平台，开展平台“</w:t>
            </w:r>
            <w:r>
              <w:rPr>
                <w:rFonts w:hint="default" w:ascii="宋体" w:hAnsi="宋体" w:eastAsia="宋体" w:cs="仿宋_GB2312"/>
                <w:bCs/>
                <w:sz w:val="24"/>
                <w:szCs w:val="24"/>
                <w:lang w:val="en-US" w:eastAsia="zh-CN"/>
              </w:rPr>
              <w:t>二合一”升级、前端采集站巡检、各功能模块配置，及时排查解决故障问题，沟通新增需求，开展平台更新、优化调度功能、数据备份迁移等工作，为全疆平台应用及执法记录仪采集站、执法记录仪运行提供技术支撑。</w:t>
            </w:r>
          </w:p>
        </w:tc>
      </w:tr>
      <w:tr w14:paraId="2404CFA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1" w:hRule="atLeast"/>
          <w:jc w:val="center"/>
        </w:trPr>
        <w:tc>
          <w:tcPr>
            <w:tcW w:w="979" w:type="dxa"/>
            <w:vAlign w:val="center"/>
          </w:tcPr>
          <w:p w14:paraId="42133212">
            <w:pPr>
              <w:snapToGrid w:val="0"/>
              <w:spacing w:line="360" w:lineRule="auto"/>
              <w:jc w:val="center"/>
              <w:rPr>
                <w:rFonts w:ascii="宋体" w:hAnsi="宋体" w:eastAsia="宋体" w:cs="仿宋"/>
                <w:sz w:val="24"/>
                <w:szCs w:val="24"/>
              </w:rPr>
            </w:pPr>
            <w:r>
              <w:rPr>
                <w:rFonts w:hint="eastAsia" w:ascii="宋体" w:hAnsi="宋体" w:eastAsia="宋体" w:cs="仿宋"/>
                <w:sz w:val="24"/>
                <w:szCs w:val="24"/>
              </w:rPr>
              <w:t>2</w:t>
            </w:r>
          </w:p>
        </w:tc>
        <w:tc>
          <w:tcPr>
            <w:tcW w:w="1399" w:type="dxa"/>
            <w:vAlign w:val="center"/>
          </w:tcPr>
          <w:p w14:paraId="12F91927">
            <w:pPr>
              <w:spacing w:line="360" w:lineRule="auto"/>
              <w:jc w:val="center"/>
              <w:rPr>
                <w:rFonts w:ascii="宋体" w:hAnsi="宋体" w:eastAsia="宋体" w:cs="仿宋"/>
                <w:sz w:val="24"/>
                <w:szCs w:val="24"/>
              </w:rPr>
            </w:pPr>
            <w:r>
              <w:rPr>
                <w:rFonts w:hint="eastAsia" w:ascii="宋体" w:hAnsi="宋体" w:eastAsia="宋体" w:cs="仿宋"/>
                <w:sz w:val="24"/>
                <w:szCs w:val="24"/>
              </w:rPr>
              <w:t>采购预算</w:t>
            </w:r>
          </w:p>
        </w:tc>
        <w:tc>
          <w:tcPr>
            <w:tcW w:w="7825" w:type="dxa"/>
            <w:vAlign w:val="center"/>
          </w:tcPr>
          <w:p w14:paraId="496F2EDA">
            <w:pPr>
              <w:spacing w:line="360" w:lineRule="auto"/>
              <w:jc w:val="left"/>
              <w:rPr>
                <w:rFonts w:ascii="宋体" w:hAnsi="宋体" w:eastAsia="宋体" w:cs="仿宋"/>
                <w:sz w:val="24"/>
                <w:szCs w:val="24"/>
              </w:rPr>
            </w:pPr>
            <w:r>
              <w:rPr>
                <w:rFonts w:hint="eastAsia" w:ascii="宋体" w:hAnsi="宋体" w:eastAsia="宋体" w:cs="仿宋"/>
                <w:sz w:val="24"/>
                <w:szCs w:val="24"/>
              </w:rPr>
              <w:t>本项目使用财政预算资金，总预算金额：</w:t>
            </w:r>
            <w:r>
              <w:rPr>
                <w:rFonts w:hint="eastAsia" w:ascii="宋体" w:hAnsi="宋体" w:eastAsia="宋体" w:cs="仿宋"/>
                <w:sz w:val="24"/>
                <w:szCs w:val="24"/>
                <w:lang w:val="en-US" w:eastAsia="zh-CN"/>
              </w:rPr>
              <w:t>25.00</w:t>
            </w:r>
            <w:r>
              <w:rPr>
                <w:rFonts w:hint="eastAsia" w:ascii="宋体" w:hAnsi="宋体" w:eastAsia="宋体" w:cs="仿宋"/>
                <w:sz w:val="24"/>
                <w:szCs w:val="24"/>
              </w:rPr>
              <w:t>万元。</w:t>
            </w:r>
          </w:p>
        </w:tc>
      </w:tr>
      <w:tr w14:paraId="5F3488C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1" w:hRule="atLeast"/>
          <w:jc w:val="center"/>
        </w:trPr>
        <w:tc>
          <w:tcPr>
            <w:tcW w:w="979" w:type="dxa"/>
            <w:vAlign w:val="center"/>
          </w:tcPr>
          <w:p w14:paraId="1D41B5F8">
            <w:pPr>
              <w:snapToGrid w:val="0"/>
              <w:spacing w:line="360" w:lineRule="auto"/>
              <w:jc w:val="center"/>
              <w:rPr>
                <w:rFonts w:ascii="宋体" w:hAnsi="宋体" w:eastAsia="宋体" w:cs="仿宋"/>
                <w:sz w:val="24"/>
                <w:szCs w:val="24"/>
              </w:rPr>
            </w:pPr>
            <w:r>
              <w:rPr>
                <w:rFonts w:hint="eastAsia" w:ascii="宋体" w:hAnsi="宋体" w:eastAsia="宋体" w:cs="仿宋"/>
                <w:sz w:val="24"/>
                <w:szCs w:val="24"/>
              </w:rPr>
              <w:t>3</w:t>
            </w:r>
          </w:p>
        </w:tc>
        <w:tc>
          <w:tcPr>
            <w:tcW w:w="1399" w:type="dxa"/>
            <w:vAlign w:val="center"/>
          </w:tcPr>
          <w:p w14:paraId="32D08A7A">
            <w:pPr>
              <w:spacing w:line="360" w:lineRule="auto"/>
              <w:jc w:val="center"/>
              <w:rPr>
                <w:rFonts w:ascii="宋体" w:hAnsi="宋体" w:eastAsia="宋体" w:cs="仿宋"/>
                <w:sz w:val="24"/>
                <w:szCs w:val="24"/>
              </w:rPr>
            </w:pPr>
            <w:r>
              <w:rPr>
                <w:rFonts w:hint="eastAsia" w:ascii="宋体" w:hAnsi="宋体" w:eastAsia="宋体" w:cs="仿宋"/>
                <w:sz w:val="24"/>
                <w:szCs w:val="24"/>
              </w:rPr>
              <w:t>采购人及采购代理机构</w:t>
            </w:r>
          </w:p>
        </w:tc>
        <w:tc>
          <w:tcPr>
            <w:tcW w:w="7825" w:type="dxa"/>
            <w:vAlign w:val="center"/>
          </w:tcPr>
          <w:p w14:paraId="0ACA3DD8">
            <w:pPr>
              <w:spacing w:line="360" w:lineRule="auto"/>
              <w:jc w:val="left"/>
              <w:rPr>
                <w:rFonts w:ascii="宋体" w:hAnsi="宋体" w:eastAsia="宋体" w:cs="仿宋"/>
                <w:sz w:val="24"/>
                <w:szCs w:val="24"/>
              </w:rPr>
            </w:pPr>
            <w:r>
              <w:rPr>
                <w:rFonts w:hint="eastAsia" w:ascii="宋体" w:hAnsi="宋体" w:eastAsia="宋体" w:cs="仿宋"/>
                <w:sz w:val="24"/>
                <w:szCs w:val="24"/>
              </w:rPr>
              <w:t>采购人：</w:t>
            </w:r>
            <w:r>
              <w:rPr>
                <w:rFonts w:hint="eastAsia" w:ascii="宋体" w:hAnsi="宋体" w:eastAsia="宋体" w:cs="楷体_GB2312"/>
                <w:sz w:val="24"/>
                <w:szCs w:val="24"/>
                <w:lang w:eastAsia="zh-CN"/>
              </w:rPr>
              <w:t>中华人民共和国新疆出入境边防检查总站</w:t>
            </w:r>
          </w:p>
          <w:p w14:paraId="4D5179A7">
            <w:pPr>
              <w:spacing w:line="360" w:lineRule="auto"/>
              <w:jc w:val="left"/>
              <w:rPr>
                <w:rFonts w:hint="default" w:ascii="宋体" w:hAnsi="宋体" w:eastAsia="宋体" w:cs="仿宋"/>
                <w:sz w:val="24"/>
                <w:szCs w:val="24"/>
                <w:lang w:val="en-US" w:eastAsia="zh-CN"/>
              </w:rPr>
            </w:pPr>
            <w:r>
              <w:rPr>
                <w:rFonts w:hint="eastAsia" w:ascii="宋体" w:hAnsi="宋体" w:eastAsia="宋体" w:cs="仿宋"/>
                <w:sz w:val="24"/>
                <w:szCs w:val="24"/>
              </w:rPr>
              <w:t>联系人：</w:t>
            </w:r>
            <w:r>
              <w:rPr>
                <w:rFonts w:hint="eastAsia" w:ascii="宋体" w:hAnsi="宋体" w:eastAsia="宋体" w:cs="仿宋"/>
                <w:sz w:val="24"/>
                <w:szCs w:val="24"/>
                <w:lang w:val="en-US" w:eastAsia="zh-CN"/>
              </w:rPr>
              <w:t>李警官</w:t>
            </w:r>
          </w:p>
          <w:p w14:paraId="2CE3DAFE">
            <w:pPr>
              <w:spacing w:line="360" w:lineRule="auto"/>
              <w:jc w:val="left"/>
              <w:rPr>
                <w:rFonts w:ascii="宋体" w:hAnsi="宋体" w:eastAsia="宋体" w:cs="宋体"/>
                <w:kern w:val="0"/>
                <w:sz w:val="24"/>
                <w:szCs w:val="24"/>
              </w:rPr>
            </w:pPr>
            <w:r>
              <w:rPr>
                <w:rFonts w:ascii="宋体" w:hAnsi="宋体" w:eastAsia="宋体" w:cs="宋体"/>
                <w:kern w:val="0"/>
                <w:sz w:val="24"/>
                <w:szCs w:val="24"/>
              </w:rPr>
              <w:t>采购代理机构：国义招标股份有限公司</w:t>
            </w:r>
          </w:p>
          <w:p w14:paraId="767BA75F">
            <w:pPr>
              <w:spacing w:line="360" w:lineRule="auto"/>
              <w:jc w:val="left"/>
              <w:rPr>
                <w:rFonts w:ascii="宋体" w:hAnsi="宋体" w:eastAsia="宋体" w:cs="宋体"/>
                <w:kern w:val="0"/>
                <w:sz w:val="24"/>
                <w:szCs w:val="24"/>
              </w:rPr>
            </w:pPr>
            <w:r>
              <w:rPr>
                <w:rFonts w:ascii="宋体" w:hAnsi="宋体" w:eastAsia="宋体" w:cs="宋体"/>
                <w:kern w:val="0"/>
                <w:sz w:val="24"/>
                <w:szCs w:val="24"/>
              </w:rPr>
              <w:t>联系人：</w:t>
            </w:r>
            <w:r>
              <w:rPr>
                <w:rFonts w:hint="eastAsia" w:ascii="宋体" w:hAnsi="宋体" w:eastAsia="宋体" w:cs="宋体"/>
                <w:kern w:val="0"/>
                <w:sz w:val="24"/>
                <w:szCs w:val="24"/>
                <w:lang w:val="en-US" w:eastAsia="zh-CN"/>
              </w:rPr>
              <w:t>赵梓杰、</w:t>
            </w:r>
            <w:r>
              <w:rPr>
                <w:rFonts w:ascii="宋体" w:hAnsi="宋体" w:eastAsia="宋体" w:cs="宋体"/>
                <w:kern w:val="0"/>
                <w:sz w:val="24"/>
                <w:szCs w:val="24"/>
              </w:rPr>
              <w:t>周鑫</w:t>
            </w:r>
          </w:p>
          <w:p w14:paraId="32A95990">
            <w:pPr>
              <w:spacing w:line="360" w:lineRule="auto"/>
              <w:jc w:val="left"/>
              <w:rPr>
                <w:rFonts w:hint="default" w:ascii="宋体" w:hAnsi="宋体" w:eastAsia="宋体" w:cs="仿宋"/>
                <w:kern w:val="0"/>
                <w:sz w:val="24"/>
                <w:szCs w:val="24"/>
                <w:lang w:val="en-US" w:eastAsia="zh-CN"/>
              </w:rPr>
            </w:pPr>
            <w:r>
              <w:rPr>
                <w:rFonts w:ascii="宋体" w:hAnsi="宋体" w:eastAsia="宋体" w:cs="宋体"/>
                <w:kern w:val="0"/>
                <w:sz w:val="24"/>
                <w:szCs w:val="24"/>
              </w:rPr>
              <w:t>联系电话：</w:t>
            </w:r>
            <w:r>
              <w:rPr>
                <w:rFonts w:hint="eastAsia" w:ascii="宋体" w:hAnsi="宋体" w:eastAsia="宋体" w:cs="宋体"/>
                <w:kern w:val="0"/>
                <w:sz w:val="24"/>
                <w:szCs w:val="24"/>
              </w:rPr>
              <w:t>0</w:t>
            </w:r>
            <w:r>
              <w:rPr>
                <w:rFonts w:ascii="宋体" w:hAnsi="宋体" w:eastAsia="宋体" w:cs="宋体"/>
                <w:kern w:val="0"/>
                <w:sz w:val="24"/>
                <w:szCs w:val="24"/>
              </w:rPr>
              <w:t>991-4664267、</w:t>
            </w:r>
            <w:r>
              <w:rPr>
                <w:rFonts w:hint="eastAsia" w:ascii="宋体" w:hAnsi="宋体" w:eastAsia="宋体" w:cs="宋体"/>
                <w:kern w:val="0"/>
                <w:sz w:val="24"/>
                <w:szCs w:val="24"/>
                <w:lang w:val="en-US" w:eastAsia="zh-CN"/>
              </w:rPr>
              <w:t>18109918117</w:t>
            </w:r>
          </w:p>
        </w:tc>
      </w:tr>
      <w:tr w14:paraId="577C7A6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1" w:hRule="atLeast"/>
          <w:jc w:val="center"/>
        </w:trPr>
        <w:tc>
          <w:tcPr>
            <w:tcW w:w="979" w:type="dxa"/>
            <w:vAlign w:val="center"/>
          </w:tcPr>
          <w:p w14:paraId="6E6ACD12">
            <w:pPr>
              <w:snapToGrid w:val="0"/>
              <w:spacing w:line="360" w:lineRule="auto"/>
              <w:jc w:val="center"/>
              <w:rPr>
                <w:rFonts w:ascii="宋体" w:hAnsi="宋体" w:eastAsia="宋体" w:cs="仿宋"/>
                <w:sz w:val="24"/>
                <w:szCs w:val="24"/>
              </w:rPr>
            </w:pPr>
            <w:r>
              <w:rPr>
                <w:rFonts w:hint="eastAsia" w:ascii="宋体" w:hAnsi="宋体" w:eastAsia="宋体" w:cs="仿宋"/>
                <w:sz w:val="24"/>
                <w:szCs w:val="24"/>
              </w:rPr>
              <w:t>4</w:t>
            </w:r>
          </w:p>
        </w:tc>
        <w:tc>
          <w:tcPr>
            <w:tcW w:w="1399" w:type="dxa"/>
            <w:vAlign w:val="center"/>
          </w:tcPr>
          <w:p w14:paraId="14D45153">
            <w:pPr>
              <w:spacing w:line="360" w:lineRule="auto"/>
              <w:jc w:val="center"/>
              <w:rPr>
                <w:rFonts w:ascii="宋体" w:hAnsi="宋体" w:eastAsia="宋体"/>
                <w:sz w:val="24"/>
              </w:rPr>
            </w:pPr>
            <w:r>
              <w:rPr>
                <w:rFonts w:hint="eastAsia" w:ascii="宋体" w:hAnsi="宋体" w:eastAsia="宋体"/>
                <w:sz w:val="24"/>
              </w:rPr>
              <w:t>供应商资格</w:t>
            </w:r>
          </w:p>
        </w:tc>
        <w:tc>
          <w:tcPr>
            <w:tcW w:w="7825" w:type="dxa"/>
            <w:vAlign w:val="center"/>
          </w:tcPr>
          <w:p w14:paraId="4C59534D">
            <w:pPr>
              <w:spacing w:line="360" w:lineRule="auto"/>
              <w:rPr>
                <w:rFonts w:ascii="宋体" w:hAnsi="宋体" w:eastAsia="宋体"/>
                <w:sz w:val="24"/>
              </w:rPr>
            </w:pPr>
            <w:r>
              <w:rPr>
                <w:rFonts w:hint="eastAsia" w:ascii="宋体" w:hAnsi="宋体" w:eastAsia="宋体"/>
                <w:sz w:val="24"/>
              </w:rPr>
              <w:t>1.供应商应具备《中华人民共和国政府采购法》第二十二条规定的条件，提供下列材料：</w:t>
            </w:r>
          </w:p>
          <w:p w14:paraId="78675656">
            <w:pPr>
              <w:spacing w:line="360" w:lineRule="auto"/>
              <w:rPr>
                <w:rFonts w:ascii="宋体" w:hAnsi="宋体" w:eastAsia="宋体"/>
                <w:sz w:val="24"/>
              </w:rPr>
            </w:pPr>
            <w:r>
              <w:rPr>
                <w:rFonts w:hint="eastAsia" w:ascii="宋体" w:hAnsi="宋体" w:eastAsia="宋体"/>
                <w:sz w:val="24"/>
              </w:rPr>
              <w:t>1）具有独立承担民事责任的能力；（投标时，提供在中华人民共和国境内注册的法人或其他组织的营业执照或事业单位法人证书或社会团体法人登记证书复印件/扫描件。）</w:t>
            </w:r>
          </w:p>
          <w:p w14:paraId="2AC4A25F">
            <w:pPr>
              <w:spacing w:line="360" w:lineRule="auto"/>
              <w:rPr>
                <w:rFonts w:ascii="宋体" w:hAnsi="宋体" w:eastAsia="宋体"/>
                <w:sz w:val="24"/>
              </w:rPr>
            </w:pPr>
            <w:r>
              <w:rPr>
                <w:rFonts w:hint="eastAsia" w:ascii="宋体" w:hAnsi="宋体" w:eastAsia="宋体"/>
                <w:sz w:val="24"/>
              </w:rPr>
              <w:t>2）有依法缴纳税收和社会保障资金的良好记录：（投标时，提供至本项目投标截止时间前一年内任意1个月缴纳税收凭据证明材料复印件/扫描件；如依法免税的，应提供相应文件证明；提供至本项目投标截止时间前一年内任意1个月缴纳社会保险的凭据证明材料复印件/扫描件；如依法不需要缴纳社会保障资金的，应提供相应文件证明）</w:t>
            </w:r>
          </w:p>
          <w:p w14:paraId="060CAE3D">
            <w:pPr>
              <w:spacing w:line="360" w:lineRule="auto"/>
              <w:rPr>
                <w:rFonts w:ascii="宋体" w:hAnsi="宋体" w:eastAsia="宋体"/>
                <w:sz w:val="24"/>
              </w:rPr>
            </w:pPr>
            <w:r>
              <w:rPr>
                <w:rFonts w:hint="eastAsia" w:ascii="宋体" w:hAnsi="宋体" w:eastAsia="宋体"/>
                <w:sz w:val="24"/>
              </w:rPr>
              <w:t xml:space="preserve"> 3）具有良好的商业信誉和健全的财务会计制度：（投标时，若供应商成立超过一年需提供202</w:t>
            </w:r>
            <w:r>
              <w:rPr>
                <w:rFonts w:ascii="宋体" w:hAnsi="宋体" w:eastAsia="宋体"/>
                <w:sz w:val="24"/>
              </w:rPr>
              <w:t>2</w:t>
            </w:r>
            <w:r>
              <w:rPr>
                <w:rFonts w:hint="eastAsia" w:ascii="宋体" w:hAnsi="宋体" w:eastAsia="宋体"/>
                <w:sz w:val="24"/>
              </w:rPr>
              <w:t>年、202</w:t>
            </w:r>
            <w:r>
              <w:rPr>
                <w:rFonts w:ascii="宋体" w:hAnsi="宋体" w:eastAsia="宋体"/>
                <w:sz w:val="24"/>
              </w:rPr>
              <w:t>3</w:t>
            </w:r>
            <w:r>
              <w:rPr>
                <w:rFonts w:hint="eastAsia" w:ascii="宋体" w:hAnsi="宋体" w:eastAsia="宋体"/>
                <w:sz w:val="24"/>
              </w:rPr>
              <w:t>年、202</w:t>
            </w:r>
            <w:r>
              <w:rPr>
                <w:rFonts w:ascii="宋体" w:hAnsi="宋体" w:eastAsia="宋体"/>
                <w:sz w:val="24"/>
              </w:rPr>
              <w:t>4</w:t>
            </w:r>
            <w:r>
              <w:rPr>
                <w:rFonts w:hint="eastAsia" w:ascii="宋体" w:hAnsi="宋体" w:eastAsia="宋体"/>
                <w:sz w:val="24"/>
              </w:rPr>
              <w:t xml:space="preserve">年度任意一年的财务状况报表或经第三方审计出具的审计报告复印件/扫描件并加盖公章，供应商成立不足一年（含一年）需提供近三个月内任意一个月的财务报告复印件/扫描件并加盖公章（需包含资产负债表、现金流量表、利润表）或近三个月内任意一个月的银行资信证明材料复印件/扫描件并加盖公章） </w:t>
            </w:r>
          </w:p>
          <w:p w14:paraId="13CCD9A7">
            <w:pPr>
              <w:spacing w:line="360" w:lineRule="auto"/>
              <w:rPr>
                <w:rFonts w:ascii="宋体" w:hAnsi="宋体" w:eastAsia="宋体"/>
                <w:sz w:val="24"/>
              </w:rPr>
            </w:pPr>
            <w:r>
              <w:rPr>
                <w:rFonts w:hint="eastAsia" w:ascii="宋体" w:hAnsi="宋体" w:eastAsia="宋体"/>
                <w:sz w:val="24"/>
              </w:rPr>
              <w:t xml:space="preserve">4）具有履行合同所必须的设备和专业技术能力；（投标时，供应商出具承诺函，承诺满足要求，加盖供应商公章） </w:t>
            </w:r>
          </w:p>
          <w:p w14:paraId="1D5A216C">
            <w:pPr>
              <w:spacing w:line="360" w:lineRule="auto"/>
              <w:rPr>
                <w:rFonts w:ascii="宋体" w:hAnsi="宋体" w:eastAsia="宋体"/>
                <w:sz w:val="24"/>
              </w:rPr>
            </w:pPr>
            <w:r>
              <w:rPr>
                <w:rFonts w:hint="eastAsia" w:ascii="宋体" w:hAnsi="宋体" w:eastAsia="宋体"/>
                <w:sz w:val="24"/>
              </w:rPr>
              <w:t>5）参加采购活动前3年内，在经营活动中没有重大违法记录；（投标时，供应商出具承诺函，加盖供应商公章）</w:t>
            </w:r>
          </w:p>
          <w:p w14:paraId="5B139E11">
            <w:pPr>
              <w:spacing w:line="360" w:lineRule="auto"/>
              <w:rPr>
                <w:rFonts w:ascii="宋体" w:hAnsi="宋体" w:eastAsia="宋体"/>
                <w:sz w:val="24"/>
              </w:rPr>
            </w:pPr>
            <w:r>
              <w:rPr>
                <w:rFonts w:hint="eastAsia" w:ascii="宋体" w:hAnsi="宋体" w:eastAsia="宋体"/>
                <w:sz w:val="24"/>
              </w:rPr>
              <w:t xml:space="preserve">注：重大违法记录，是指供应商因违法经营受到刑事处罚或者责令停产停业、吊销许可证或者执照、较大数额罚款等行政处罚。（较大数额罚款按照发出行政处罚决定书部门所在省级政府，或实行垂直领导的国务院有关行政主管部门制定的较大数额罚款标准，或罚款决定之前需要举行听证会的金额标准来认定） </w:t>
            </w:r>
          </w:p>
          <w:p w14:paraId="2C88FAED">
            <w:pPr>
              <w:spacing w:line="360" w:lineRule="auto"/>
              <w:rPr>
                <w:rFonts w:ascii="宋体" w:hAnsi="宋体" w:eastAsia="宋体"/>
                <w:sz w:val="24"/>
              </w:rPr>
            </w:pPr>
            <w:r>
              <w:rPr>
                <w:rFonts w:hint="eastAsia" w:ascii="宋体" w:hAnsi="宋体" w:eastAsia="宋体"/>
                <w:sz w:val="24"/>
              </w:rPr>
              <w:t>6）信用记录：供应商未被列入“信用中国”网站(www.creditchina.gov.cn)“记录失信被执行人、重大税收违法案件当事人名单、政府采购严重违法失信行为”记录名单；不处于中国政府采购网(www.ccgp.gov.cn)“政府采购严重违法失信行为信息记录”中的禁止参加政府采购活动期间。如相关失信记录已失效，供应商需提供相关证明资料，如在上述网站查询结果均显示没有相关记录，视为没有上述不良信用记录。）。</w:t>
            </w:r>
          </w:p>
          <w:p w14:paraId="1BCCE07E">
            <w:pPr>
              <w:spacing w:line="360" w:lineRule="auto"/>
              <w:rPr>
                <w:rFonts w:ascii="宋体" w:hAnsi="宋体" w:eastAsia="宋体"/>
                <w:sz w:val="24"/>
              </w:rPr>
            </w:pPr>
            <w:r>
              <w:rPr>
                <w:rFonts w:hint="eastAsia" w:ascii="宋体" w:hAnsi="宋体" w:eastAsia="宋体"/>
                <w:sz w:val="24"/>
              </w:rPr>
              <w:t>7）</w:t>
            </w:r>
            <w:r>
              <w:rPr>
                <w:rFonts w:hint="eastAsia" w:ascii="宋体" w:hAnsi="宋体"/>
                <w:sz w:val="24"/>
              </w:rPr>
              <w:t>落实政府采购政策需满足的资格要求：本项目属于专门面向中小企业采购的项目</w:t>
            </w:r>
            <w:r>
              <w:rPr>
                <w:rFonts w:hint="eastAsia" w:ascii="宋体" w:hAnsi="宋体"/>
                <w:sz w:val="24"/>
                <w:lang w:eastAsia="zh-CN"/>
              </w:rPr>
              <w:t>。</w:t>
            </w:r>
            <w:r>
              <w:rPr>
                <w:rFonts w:hint="eastAsia" w:ascii="宋体" w:hAnsi="宋体"/>
                <w:b/>
                <w:bCs/>
                <w:sz w:val="24"/>
              </w:rPr>
              <w:t>（需按照第六章节中小企业声明函格式提供声明函）</w:t>
            </w:r>
          </w:p>
          <w:p w14:paraId="7A5EBF71">
            <w:pPr>
              <w:spacing w:line="360" w:lineRule="auto"/>
              <w:rPr>
                <w:rFonts w:ascii="宋体" w:hAnsi="宋体" w:eastAsia="宋体"/>
                <w:sz w:val="24"/>
              </w:rPr>
            </w:pPr>
            <w:r>
              <w:rPr>
                <w:rFonts w:hint="eastAsia" w:ascii="宋体" w:hAnsi="宋体" w:eastAsia="宋体"/>
                <w:sz w:val="24"/>
              </w:rPr>
              <w:t>8）单位负责人为同一人或者存在直接控股、管理关系的不同供应商，不得参加同一合同项下的政府采购活动。与采购人存在利害关系可能影响招标公正性的法人、其他组织或者个人，不得参加投标。</w:t>
            </w:r>
          </w:p>
          <w:p w14:paraId="64B1D9FA">
            <w:pPr>
              <w:spacing w:line="360" w:lineRule="auto"/>
              <w:rPr>
                <w:rFonts w:ascii="宋体" w:hAnsi="宋体" w:eastAsia="宋体"/>
                <w:sz w:val="24"/>
              </w:rPr>
            </w:pPr>
            <w:r>
              <w:rPr>
                <w:rFonts w:hint="eastAsia" w:ascii="宋体" w:hAnsi="宋体" w:eastAsia="宋体"/>
                <w:sz w:val="24"/>
              </w:rPr>
              <w:t>（投标时，供应商出具承诺函，加盖供应商公章）。</w:t>
            </w:r>
          </w:p>
          <w:p w14:paraId="18D9406D">
            <w:pPr>
              <w:numPr>
                <w:ilvl w:val="0"/>
                <w:numId w:val="3"/>
              </w:numPr>
              <w:spacing w:line="360" w:lineRule="auto"/>
              <w:rPr>
                <w:rFonts w:ascii="宋体" w:hAnsi="宋体" w:eastAsia="宋体" w:cs="宋体"/>
                <w:sz w:val="24"/>
              </w:rPr>
            </w:pPr>
            <w:r>
              <w:rPr>
                <w:rFonts w:hint="eastAsia" w:ascii="宋体" w:hAnsi="宋体" w:eastAsia="宋体" w:cs="宋体"/>
                <w:sz w:val="24"/>
              </w:rPr>
              <w:t>本项目不接受联合体投标。</w:t>
            </w:r>
          </w:p>
        </w:tc>
      </w:tr>
      <w:tr w14:paraId="19FCEF4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1" w:hRule="atLeast"/>
          <w:jc w:val="center"/>
        </w:trPr>
        <w:tc>
          <w:tcPr>
            <w:tcW w:w="979" w:type="dxa"/>
            <w:vAlign w:val="center"/>
          </w:tcPr>
          <w:p w14:paraId="7A500774">
            <w:pPr>
              <w:snapToGrid w:val="0"/>
              <w:spacing w:line="360" w:lineRule="auto"/>
              <w:jc w:val="center"/>
              <w:rPr>
                <w:rFonts w:ascii="宋体" w:hAnsi="宋体" w:eastAsia="宋体" w:cs="仿宋"/>
                <w:sz w:val="24"/>
                <w:szCs w:val="24"/>
              </w:rPr>
            </w:pPr>
            <w:r>
              <w:rPr>
                <w:rFonts w:hint="eastAsia" w:ascii="宋体" w:hAnsi="宋体" w:eastAsia="宋体" w:cs="仿宋"/>
                <w:sz w:val="24"/>
                <w:szCs w:val="24"/>
              </w:rPr>
              <w:t>5</w:t>
            </w:r>
          </w:p>
        </w:tc>
        <w:tc>
          <w:tcPr>
            <w:tcW w:w="1399" w:type="dxa"/>
            <w:vAlign w:val="center"/>
          </w:tcPr>
          <w:p w14:paraId="7283697F">
            <w:pPr>
              <w:pStyle w:val="25"/>
              <w:spacing w:line="360" w:lineRule="auto"/>
              <w:jc w:val="center"/>
              <w:rPr>
                <w:rFonts w:hAnsi="宋体" w:cs="楷体_GB2312"/>
                <w:sz w:val="24"/>
                <w:szCs w:val="24"/>
              </w:rPr>
            </w:pPr>
            <w:r>
              <w:rPr>
                <w:rFonts w:hint="eastAsia" w:hAnsi="宋体" w:cs="楷体_GB2312"/>
                <w:sz w:val="24"/>
                <w:szCs w:val="24"/>
              </w:rPr>
              <w:t>是否接受联合体投标</w:t>
            </w:r>
          </w:p>
        </w:tc>
        <w:tc>
          <w:tcPr>
            <w:tcW w:w="7825" w:type="dxa"/>
            <w:vAlign w:val="center"/>
          </w:tcPr>
          <w:p w14:paraId="2E4E2042">
            <w:pPr>
              <w:spacing w:line="360" w:lineRule="auto"/>
              <w:rPr>
                <w:rFonts w:ascii="宋体" w:hAnsi="宋体" w:eastAsia="宋体" w:cs="楷体_GB2312"/>
                <w:b/>
                <w:sz w:val="24"/>
                <w:szCs w:val="24"/>
              </w:rPr>
            </w:pPr>
            <w:r>
              <w:rPr>
                <w:rFonts w:hint="eastAsia" w:ascii="宋体" w:hAnsi="宋体" w:eastAsia="宋体" w:cs="楷体_GB2312"/>
                <w:b/>
                <w:sz w:val="24"/>
                <w:szCs w:val="24"/>
                <w:bdr w:val="single" w:color="auto" w:sz="4" w:space="0"/>
              </w:rPr>
              <w:t>√</w:t>
            </w:r>
            <w:r>
              <w:rPr>
                <w:rFonts w:hint="eastAsia" w:ascii="宋体" w:hAnsi="宋体" w:eastAsia="宋体" w:cs="楷体_GB2312"/>
                <w:b/>
                <w:sz w:val="24"/>
                <w:szCs w:val="24"/>
              </w:rPr>
              <w:t>不接受</w:t>
            </w:r>
          </w:p>
          <w:p w14:paraId="5D7A8F4D">
            <w:pPr>
              <w:tabs>
                <w:tab w:val="left" w:pos="1440"/>
                <w:tab w:val="left" w:pos="2100"/>
              </w:tabs>
              <w:spacing w:line="360" w:lineRule="auto"/>
              <w:rPr>
                <w:rFonts w:ascii="宋体" w:hAnsi="宋体" w:eastAsia="宋体" w:cs="楷体_GB2312"/>
                <w:sz w:val="24"/>
                <w:szCs w:val="24"/>
              </w:rPr>
            </w:pPr>
            <w:r>
              <w:rPr>
                <w:rFonts w:hint="eastAsia" w:ascii="宋体" w:hAnsi="宋体" w:eastAsia="宋体" w:cs="楷体_GB2312"/>
                <w:sz w:val="24"/>
                <w:szCs w:val="24"/>
                <w:bdr w:val="single" w:color="auto" w:sz="4" w:space="0"/>
              </w:rPr>
              <w:t xml:space="preserve">  </w:t>
            </w:r>
            <w:r>
              <w:rPr>
                <w:rFonts w:hint="eastAsia" w:ascii="宋体" w:hAnsi="宋体" w:eastAsia="宋体" w:cs="楷体_GB2312"/>
                <w:sz w:val="24"/>
                <w:szCs w:val="24"/>
              </w:rPr>
              <w:t>接受，但联合体所有成员数量不得超过</w:t>
            </w:r>
            <w:r>
              <w:rPr>
                <w:rFonts w:hint="eastAsia" w:ascii="宋体" w:hAnsi="宋体" w:eastAsia="宋体" w:cs="楷体_GB2312"/>
                <w:sz w:val="24"/>
                <w:szCs w:val="24"/>
                <w:u w:val="single"/>
              </w:rPr>
              <w:t xml:space="preserve">  </w:t>
            </w:r>
            <w:r>
              <w:rPr>
                <w:rFonts w:hint="eastAsia" w:ascii="宋体" w:hAnsi="宋体" w:eastAsia="宋体" w:cs="楷体_GB2312"/>
                <w:sz w:val="24"/>
                <w:szCs w:val="24"/>
              </w:rPr>
              <w:t>家；还应满足下列要求：</w:t>
            </w:r>
          </w:p>
        </w:tc>
      </w:tr>
      <w:tr w14:paraId="10E302D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1" w:hRule="atLeast"/>
          <w:jc w:val="center"/>
        </w:trPr>
        <w:tc>
          <w:tcPr>
            <w:tcW w:w="979" w:type="dxa"/>
            <w:vAlign w:val="center"/>
          </w:tcPr>
          <w:p w14:paraId="7EA90749">
            <w:pPr>
              <w:snapToGrid w:val="0"/>
              <w:spacing w:line="360" w:lineRule="auto"/>
              <w:jc w:val="center"/>
              <w:rPr>
                <w:rFonts w:ascii="宋体" w:hAnsi="宋体" w:eastAsia="宋体" w:cs="仿宋"/>
                <w:sz w:val="24"/>
                <w:szCs w:val="24"/>
              </w:rPr>
            </w:pPr>
            <w:r>
              <w:rPr>
                <w:rFonts w:hint="eastAsia" w:ascii="宋体" w:hAnsi="宋体" w:eastAsia="宋体" w:cs="仿宋"/>
                <w:sz w:val="24"/>
                <w:szCs w:val="24"/>
              </w:rPr>
              <w:t>6</w:t>
            </w:r>
          </w:p>
        </w:tc>
        <w:tc>
          <w:tcPr>
            <w:tcW w:w="1399" w:type="dxa"/>
            <w:vAlign w:val="center"/>
          </w:tcPr>
          <w:p w14:paraId="36D50448">
            <w:pPr>
              <w:pStyle w:val="25"/>
              <w:spacing w:line="360" w:lineRule="auto"/>
              <w:jc w:val="center"/>
              <w:rPr>
                <w:rFonts w:hAnsi="宋体" w:cs="楷体_GB2312"/>
                <w:sz w:val="24"/>
                <w:szCs w:val="24"/>
              </w:rPr>
            </w:pPr>
            <w:r>
              <w:rPr>
                <w:rFonts w:hint="eastAsia" w:hAnsi="宋体" w:cs="楷体_GB2312"/>
                <w:sz w:val="24"/>
                <w:szCs w:val="24"/>
              </w:rPr>
              <w:t>踏勘现场</w:t>
            </w:r>
          </w:p>
        </w:tc>
        <w:tc>
          <w:tcPr>
            <w:tcW w:w="7825" w:type="dxa"/>
            <w:vAlign w:val="center"/>
          </w:tcPr>
          <w:p w14:paraId="404FA214">
            <w:pPr>
              <w:spacing w:line="360" w:lineRule="auto"/>
              <w:rPr>
                <w:rFonts w:ascii="宋体" w:hAnsi="宋体" w:eastAsia="宋体"/>
                <w:b/>
                <w:sz w:val="24"/>
                <w:szCs w:val="24"/>
              </w:rPr>
            </w:pPr>
            <w:r>
              <w:rPr>
                <w:rFonts w:hint="eastAsia" w:ascii="宋体" w:hAnsi="宋体" w:eastAsia="宋体" w:cs="楷体_GB2312"/>
                <w:b/>
                <w:sz w:val="24"/>
                <w:szCs w:val="24"/>
                <w:bdr w:val="single" w:color="auto" w:sz="4" w:space="0"/>
              </w:rPr>
              <w:t>√</w:t>
            </w:r>
            <w:r>
              <w:rPr>
                <w:rFonts w:hint="eastAsia" w:ascii="宋体" w:hAnsi="宋体" w:eastAsia="宋体"/>
                <w:sz w:val="24"/>
                <w:szCs w:val="24"/>
              </w:rPr>
              <w:t>不组织</w:t>
            </w:r>
          </w:p>
          <w:p w14:paraId="082C09A6">
            <w:pPr>
              <w:spacing w:line="360" w:lineRule="auto"/>
              <w:rPr>
                <w:rFonts w:ascii="宋体" w:hAnsi="宋体" w:eastAsia="宋体" w:cs="楷体_GB2312"/>
                <w:b/>
                <w:sz w:val="24"/>
                <w:szCs w:val="24"/>
              </w:rPr>
            </w:pPr>
            <w:r>
              <w:rPr>
                <w:rFonts w:hint="eastAsia" w:ascii="宋体" w:hAnsi="宋体" w:eastAsia="宋体" w:cs="楷体_GB2312"/>
                <w:sz w:val="24"/>
                <w:szCs w:val="24"/>
                <w:bdr w:val="single" w:color="auto" w:sz="4" w:space="0"/>
              </w:rPr>
              <w:t xml:space="preserve">  </w:t>
            </w:r>
            <w:r>
              <w:rPr>
                <w:rFonts w:hint="eastAsia" w:ascii="宋体" w:hAnsi="宋体" w:eastAsia="宋体"/>
                <w:sz w:val="24"/>
                <w:szCs w:val="24"/>
              </w:rPr>
              <w:t>组织：</w:t>
            </w:r>
          </w:p>
        </w:tc>
      </w:tr>
      <w:tr w14:paraId="134685C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1" w:hRule="atLeast"/>
          <w:jc w:val="center"/>
        </w:trPr>
        <w:tc>
          <w:tcPr>
            <w:tcW w:w="979" w:type="dxa"/>
            <w:vAlign w:val="center"/>
          </w:tcPr>
          <w:p w14:paraId="16ED6397">
            <w:pPr>
              <w:snapToGrid w:val="0"/>
              <w:spacing w:line="360" w:lineRule="auto"/>
              <w:jc w:val="center"/>
              <w:rPr>
                <w:rFonts w:ascii="宋体" w:hAnsi="宋体" w:eastAsia="宋体" w:cs="仿宋"/>
                <w:sz w:val="24"/>
                <w:szCs w:val="24"/>
              </w:rPr>
            </w:pPr>
            <w:r>
              <w:rPr>
                <w:rFonts w:hint="eastAsia" w:ascii="宋体" w:hAnsi="宋体" w:eastAsia="宋体" w:cs="仿宋"/>
                <w:sz w:val="24"/>
                <w:szCs w:val="24"/>
              </w:rPr>
              <w:t>7</w:t>
            </w:r>
          </w:p>
        </w:tc>
        <w:tc>
          <w:tcPr>
            <w:tcW w:w="1399" w:type="dxa"/>
            <w:vAlign w:val="center"/>
          </w:tcPr>
          <w:p w14:paraId="1B3A500F">
            <w:pPr>
              <w:pStyle w:val="25"/>
              <w:spacing w:line="360" w:lineRule="auto"/>
              <w:ind w:left="-59" w:leftChars="-28" w:right="-84" w:rightChars="-40" w:firstLine="67" w:firstLineChars="28"/>
              <w:jc w:val="center"/>
              <w:rPr>
                <w:rFonts w:hAnsi="宋体" w:cs="楷体_GB2312"/>
                <w:sz w:val="24"/>
                <w:szCs w:val="24"/>
              </w:rPr>
            </w:pPr>
            <w:r>
              <w:rPr>
                <w:rFonts w:hint="eastAsia" w:hAnsi="宋体" w:cs="楷体_GB2312"/>
                <w:sz w:val="24"/>
                <w:szCs w:val="24"/>
              </w:rPr>
              <w:t>最高投标限价</w:t>
            </w:r>
          </w:p>
        </w:tc>
        <w:tc>
          <w:tcPr>
            <w:tcW w:w="7825" w:type="dxa"/>
            <w:vAlign w:val="center"/>
          </w:tcPr>
          <w:p w14:paraId="4C39DA55">
            <w:pPr>
              <w:pStyle w:val="25"/>
              <w:spacing w:line="360" w:lineRule="auto"/>
              <w:rPr>
                <w:rFonts w:hint="eastAsia" w:hAnsi="宋体" w:cs="微软雅黑"/>
                <w:sz w:val="24"/>
                <w:szCs w:val="24"/>
                <w:highlight w:val="none"/>
              </w:rPr>
            </w:pPr>
            <w:r>
              <w:rPr>
                <w:rFonts w:hint="eastAsia" w:ascii="宋体" w:hAnsi="宋体" w:eastAsia="宋体" w:cs="Times New Roman"/>
                <w:bCs/>
                <w:sz w:val="24"/>
                <w:szCs w:val="24"/>
                <w:highlight w:val="none"/>
                <w:lang w:val="en-US" w:eastAsia="zh-CN"/>
              </w:rPr>
              <w:t>247176.74</w:t>
            </w:r>
            <w:r>
              <w:rPr>
                <w:rFonts w:hint="eastAsia" w:hAnsi="宋体" w:cs="微软雅黑"/>
                <w:sz w:val="24"/>
                <w:szCs w:val="24"/>
                <w:highlight w:val="none"/>
              </w:rPr>
              <w:t>元</w:t>
            </w:r>
          </w:p>
          <w:p w14:paraId="25AF4CB9">
            <w:pPr>
              <w:pStyle w:val="25"/>
              <w:spacing w:line="360" w:lineRule="auto"/>
              <w:rPr>
                <w:rFonts w:hAnsi="宋体" w:cs="微软雅黑"/>
                <w:sz w:val="24"/>
                <w:szCs w:val="24"/>
              </w:rPr>
            </w:pPr>
            <w:r>
              <w:rPr>
                <w:rFonts w:hint="eastAsia" w:hAnsi="宋体" w:cs="微软雅黑"/>
                <w:sz w:val="24"/>
                <w:szCs w:val="24"/>
                <w:lang w:val="en-US" w:eastAsia="zh-CN"/>
              </w:rPr>
              <w:t xml:space="preserve">本项目的投标报价采用总价方式进行报价。报价（含首次报价和二次报价）不低于成本价且不高于最高限价为有效报价，否则为无效报价，其响应文件将被认定为无效响应。 </w:t>
            </w:r>
          </w:p>
        </w:tc>
      </w:tr>
      <w:tr w14:paraId="3B3A91A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1" w:hRule="atLeast"/>
          <w:jc w:val="center"/>
        </w:trPr>
        <w:tc>
          <w:tcPr>
            <w:tcW w:w="979" w:type="dxa"/>
            <w:vAlign w:val="center"/>
          </w:tcPr>
          <w:p w14:paraId="74F1ED2B">
            <w:pPr>
              <w:snapToGrid w:val="0"/>
              <w:spacing w:line="360" w:lineRule="auto"/>
              <w:jc w:val="center"/>
              <w:rPr>
                <w:rFonts w:ascii="宋体" w:hAnsi="宋体" w:eastAsia="宋体" w:cs="仿宋"/>
                <w:sz w:val="24"/>
                <w:szCs w:val="24"/>
              </w:rPr>
            </w:pPr>
            <w:r>
              <w:rPr>
                <w:rFonts w:ascii="宋体" w:hAnsi="宋体" w:eastAsia="宋体" w:cs="仿宋"/>
                <w:sz w:val="24"/>
                <w:szCs w:val="24"/>
              </w:rPr>
              <w:t>8</w:t>
            </w:r>
          </w:p>
        </w:tc>
        <w:tc>
          <w:tcPr>
            <w:tcW w:w="1399" w:type="dxa"/>
            <w:vAlign w:val="center"/>
          </w:tcPr>
          <w:p w14:paraId="14848011">
            <w:pPr>
              <w:pStyle w:val="25"/>
              <w:spacing w:line="360" w:lineRule="auto"/>
              <w:ind w:left="-44" w:leftChars="-21" w:right="-50" w:rightChars="-24"/>
              <w:jc w:val="center"/>
              <w:rPr>
                <w:rFonts w:hAnsi="宋体" w:cs="楷体_GB2312"/>
                <w:sz w:val="24"/>
                <w:szCs w:val="24"/>
              </w:rPr>
            </w:pPr>
            <w:r>
              <w:rPr>
                <w:rFonts w:hint="eastAsia" w:hAnsi="宋体" w:cs="楷体_GB2312"/>
                <w:sz w:val="24"/>
                <w:szCs w:val="24"/>
              </w:rPr>
              <w:t>投标有效期</w:t>
            </w:r>
          </w:p>
        </w:tc>
        <w:tc>
          <w:tcPr>
            <w:tcW w:w="7825" w:type="dxa"/>
            <w:vAlign w:val="center"/>
          </w:tcPr>
          <w:p w14:paraId="115A0F97">
            <w:pPr>
              <w:pStyle w:val="25"/>
              <w:spacing w:line="360" w:lineRule="auto"/>
              <w:rPr>
                <w:rFonts w:hAnsi="宋体" w:cs="楷体_GB2312"/>
                <w:sz w:val="24"/>
                <w:szCs w:val="24"/>
              </w:rPr>
            </w:pPr>
            <w:r>
              <w:rPr>
                <w:rFonts w:hint="eastAsia" w:hAnsi="宋体" w:cs="楷体_GB2312"/>
                <w:sz w:val="24"/>
                <w:szCs w:val="24"/>
              </w:rPr>
              <w:t>90 日历天（从谈判截止之日算起）。</w:t>
            </w:r>
          </w:p>
        </w:tc>
      </w:tr>
      <w:tr w14:paraId="09C97AC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1" w:hRule="atLeast"/>
          <w:jc w:val="center"/>
        </w:trPr>
        <w:tc>
          <w:tcPr>
            <w:tcW w:w="979" w:type="dxa"/>
            <w:vAlign w:val="center"/>
          </w:tcPr>
          <w:p w14:paraId="6B7274E1">
            <w:pPr>
              <w:snapToGrid w:val="0"/>
              <w:spacing w:line="360" w:lineRule="auto"/>
              <w:jc w:val="center"/>
              <w:rPr>
                <w:rFonts w:ascii="宋体" w:hAnsi="宋体" w:eastAsia="宋体" w:cs="仿宋"/>
                <w:sz w:val="24"/>
                <w:szCs w:val="24"/>
              </w:rPr>
            </w:pPr>
            <w:r>
              <w:rPr>
                <w:rFonts w:hint="eastAsia" w:ascii="宋体" w:hAnsi="宋体" w:eastAsia="宋体" w:cs="仿宋"/>
                <w:sz w:val="24"/>
                <w:szCs w:val="24"/>
              </w:rPr>
              <w:t>9</w:t>
            </w:r>
          </w:p>
        </w:tc>
        <w:tc>
          <w:tcPr>
            <w:tcW w:w="1399" w:type="dxa"/>
            <w:vAlign w:val="center"/>
          </w:tcPr>
          <w:p w14:paraId="7345D4F7">
            <w:pPr>
              <w:pStyle w:val="25"/>
              <w:spacing w:line="360" w:lineRule="auto"/>
              <w:jc w:val="center"/>
              <w:rPr>
                <w:rFonts w:hAnsi="宋体" w:cs="楷体_GB2312"/>
                <w:sz w:val="24"/>
                <w:szCs w:val="24"/>
              </w:rPr>
            </w:pPr>
            <w:r>
              <w:rPr>
                <w:rFonts w:hint="eastAsia" w:hAnsi="宋体" w:cs="楷体_GB2312"/>
                <w:sz w:val="24"/>
                <w:szCs w:val="24"/>
              </w:rPr>
              <w:t>谈判保证金</w:t>
            </w:r>
          </w:p>
        </w:tc>
        <w:tc>
          <w:tcPr>
            <w:tcW w:w="7825" w:type="dxa"/>
            <w:vAlign w:val="center"/>
          </w:tcPr>
          <w:p w14:paraId="274500C1">
            <w:pPr>
              <w:autoSpaceDE w:val="0"/>
              <w:spacing w:line="360" w:lineRule="auto"/>
              <w:rPr>
                <w:rFonts w:ascii="宋体" w:hAnsi="宋体" w:eastAsia="宋体" w:cs="楷体_GB2312"/>
                <w:sz w:val="24"/>
                <w:szCs w:val="24"/>
              </w:rPr>
            </w:pPr>
            <w:r>
              <w:rPr>
                <w:rFonts w:hint="eastAsia" w:ascii="宋体" w:hAnsi="宋体" w:eastAsia="宋体" w:cs="楷体_GB2312"/>
                <w:sz w:val="24"/>
                <w:szCs w:val="24"/>
              </w:rPr>
              <w:t>谈判保证金的金额：</w:t>
            </w:r>
            <w:r>
              <w:rPr>
                <w:rFonts w:hint="eastAsia" w:ascii="宋体" w:hAnsi="宋体" w:eastAsia="宋体" w:cs="楷体_GB2312"/>
                <w:sz w:val="24"/>
                <w:szCs w:val="24"/>
                <w:u w:val="single"/>
                <w:lang w:val="en-US" w:eastAsia="zh-CN"/>
              </w:rPr>
              <w:t>4</w:t>
            </w:r>
            <w:r>
              <w:rPr>
                <w:rFonts w:hint="eastAsia" w:ascii="宋体" w:hAnsi="宋体" w:eastAsia="宋体" w:cs="楷体_GB2312"/>
                <w:sz w:val="24"/>
                <w:szCs w:val="24"/>
                <w:u w:val="single"/>
              </w:rPr>
              <w:t>000</w:t>
            </w:r>
            <w:r>
              <w:rPr>
                <w:rFonts w:hint="eastAsia" w:ascii="宋体" w:hAnsi="宋体" w:eastAsia="宋体" w:cs="楷体_GB2312"/>
                <w:bCs/>
                <w:sz w:val="24"/>
                <w:szCs w:val="24"/>
              </w:rPr>
              <w:t>元；</w:t>
            </w:r>
          </w:p>
          <w:p w14:paraId="38FA8F0E">
            <w:pPr>
              <w:autoSpaceDE w:val="0"/>
              <w:spacing w:line="360" w:lineRule="auto"/>
              <w:rPr>
                <w:rFonts w:ascii="宋体" w:hAnsi="宋体" w:eastAsia="宋体" w:cs="楷体_GB2312"/>
                <w:sz w:val="24"/>
                <w:szCs w:val="24"/>
              </w:rPr>
            </w:pPr>
            <w:r>
              <w:rPr>
                <w:rFonts w:hint="eastAsia" w:ascii="宋体" w:hAnsi="宋体" w:eastAsia="宋体" w:cs="楷体_GB2312"/>
                <w:sz w:val="24"/>
                <w:szCs w:val="24"/>
              </w:rPr>
              <w:t>谈判保证金的形式：电汇、网银、保函等形式。</w:t>
            </w:r>
          </w:p>
          <w:p w14:paraId="588E8D1A">
            <w:pPr>
              <w:spacing w:line="360" w:lineRule="auto"/>
              <w:rPr>
                <w:rFonts w:ascii="宋体" w:hAnsi="宋体" w:eastAsia="宋体"/>
                <w:sz w:val="24"/>
                <w:szCs w:val="24"/>
                <w:lang w:val="zh-CN"/>
              </w:rPr>
            </w:pPr>
            <w:r>
              <w:rPr>
                <w:rFonts w:ascii="宋体" w:hAnsi="宋体" w:eastAsia="宋体"/>
                <w:sz w:val="24"/>
                <w:szCs w:val="24"/>
                <w:lang w:val="zh-CN"/>
              </w:rPr>
              <w:t>接收</w:t>
            </w:r>
            <w:r>
              <w:rPr>
                <w:rFonts w:hint="eastAsia" w:ascii="宋体" w:hAnsi="宋体" w:eastAsia="宋体"/>
                <w:sz w:val="24"/>
                <w:szCs w:val="24"/>
                <w:lang w:val="zh-CN"/>
              </w:rPr>
              <w:t>投标</w:t>
            </w:r>
            <w:r>
              <w:rPr>
                <w:rFonts w:ascii="宋体" w:hAnsi="宋体" w:eastAsia="宋体"/>
                <w:sz w:val="24"/>
                <w:szCs w:val="24"/>
                <w:lang w:val="zh-CN"/>
              </w:rPr>
              <w:t>保证金帐户信息：</w:t>
            </w:r>
          </w:p>
          <w:p w14:paraId="60C4E4F1">
            <w:pPr>
              <w:spacing w:line="360" w:lineRule="auto"/>
              <w:rPr>
                <w:rFonts w:ascii="宋体" w:hAnsi="宋体" w:eastAsia="宋体"/>
                <w:sz w:val="24"/>
                <w:szCs w:val="24"/>
                <w:lang w:val="zh-CN"/>
              </w:rPr>
            </w:pPr>
            <w:r>
              <w:rPr>
                <w:rFonts w:hint="eastAsia" w:ascii="宋体" w:hAnsi="宋体" w:eastAsia="宋体"/>
                <w:sz w:val="24"/>
                <w:szCs w:val="24"/>
                <w:lang w:val="zh-CN"/>
              </w:rPr>
              <w:t>开户单位名称：国义招标股份有限公司新疆分公司</w:t>
            </w:r>
          </w:p>
          <w:p w14:paraId="58CCFEE2">
            <w:pPr>
              <w:spacing w:line="360" w:lineRule="auto"/>
              <w:rPr>
                <w:rFonts w:ascii="宋体" w:hAnsi="宋体" w:eastAsia="宋体"/>
                <w:sz w:val="24"/>
                <w:szCs w:val="24"/>
                <w:lang w:val="zh-CN"/>
              </w:rPr>
            </w:pPr>
            <w:r>
              <w:rPr>
                <w:rFonts w:hint="eastAsia" w:ascii="宋体" w:hAnsi="宋体" w:eastAsia="宋体"/>
                <w:sz w:val="24"/>
                <w:szCs w:val="24"/>
                <w:lang w:val="zh-CN"/>
              </w:rPr>
              <w:t>开户银行： 招商银行乌鲁木齐西虹东路支行</w:t>
            </w:r>
          </w:p>
          <w:p w14:paraId="33666DCD">
            <w:pPr>
              <w:spacing w:line="360" w:lineRule="auto"/>
              <w:rPr>
                <w:rFonts w:ascii="宋体" w:hAnsi="宋体" w:eastAsia="宋体"/>
                <w:sz w:val="24"/>
                <w:szCs w:val="24"/>
                <w:lang w:val="zh-CN"/>
              </w:rPr>
            </w:pPr>
            <w:r>
              <w:rPr>
                <w:rFonts w:hint="eastAsia" w:ascii="宋体" w:hAnsi="宋体" w:eastAsia="宋体"/>
                <w:sz w:val="24"/>
                <w:szCs w:val="24"/>
                <w:lang w:val="zh-CN"/>
              </w:rPr>
              <w:t>账号：991903098610801</w:t>
            </w:r>
          </w:p>
          <w:p w14:paraId="4651F101">
            <w:pPr>
              <w:spacing w:line="360" w:lineRule="auto"/>
              <w:rPr>
                <w:rFonts w:ascii="宋体" w:hAnsi="宋体" w:eastAsia="宋体" w:cs="楷体_GB2312"/>
                <w:spacing w:val="-2"/>
                <w:sz w:val="24"/>
                <w:szCs w:val="24"/>
              </w:rPr>
            </w:pPr>
            <w:r>
              <w:rPr>
                <w:rFonts w:hint="eastAsia" w:ascii="宋体" w:hAnsi="宋体" w:eastAsia="宋体" w:cs="楷体_GB2312"/>
                <w:spacing w:val="-2"/>
                <w:sz w:val="24"/>
                <w:szCs w:val="24"/>
              </w:rPr>
              <w:t>附注：</w:t>
            </w:r>
            <w:r>
              <w:rPr>
                <w:rFonts w:hint="eastAsia" w:ascii="宋体" w:hAnsi="宋体" w:eastAsia="宋体" w:cs="楷体_GB2312"/>
                <w:sz w:val="24"/>
                <w:szCs w:val="24"/>
              </w:rPr>
              <w:t>（</w:t>
            </w:r>
            <w:r>
              <w:rPr>
                <w:rFonts w:hint="eastAsia" w:ascii="宋体" w:hAnsi="宋体" w:eastAsia="宋体" w:cs="楷体_GB2312"/>
                <w:sz w:val="24"/>
                <w:szCs w:val="24"/>
                <w:u w:val="single"/>
              </w:rPr>
              <w:t>项目编号</w:t>
            </w:r>
            <w:r>
              <w:rPr>
                <w:rFonts w:hint="eastAsia" w:ascii="宋体" w:hAnsi="宋体" w:eastAsia="宋体" w:cs="楷体_GB2312"/>
                <w:sz w:val="24"/>
                <w:szCs w:val="24"/>
              </w:rPr>
              <w:t>）谈判保证金</w:t>
            </w:r>
          </w:p>
          <w:p w14:paraId="545F9C51">
            <w:pPr>
              <w:spacing w:line="360" w:lineRule="auto"/>
              <w:rPr>
                <w:rFonts w:ascii="宋体" w:hAnsi="宋体" w:eastAsia="宋体" w:cs="楷体_GB2312"/>
                <w:sz w:val="24"/>
                <w:szCs w:val="24"/>
              </w:rPr>
            </w:pPr>
            <w:r>
              <w:rPr>
                <w:rFonts w:hint="eastAsia" w:ascii="宋体" w:hAnsi="宋体" w:eastAsia="宋体" w:cs="楷体_GB2312"/>
                <w:sz w:val="24"/>
                <w:szCs w:val="24"/>
              </w:rPr>
              <w:t>注：</w:t>
            </w:r>
          </w:p>
          <w:p w14:paraId="7BF80805">
            <w:pPr>
              <w:spacing w:line="360" w:lineRule="auto"/>
              <w:rPr>
                <w:rFonts w:ascii="宋体" w:hAnsi="宋体" w:eastAsia="宋体" w:cs="楷体_GB2312"/>
                <w:sz w:val="24"/>
                <w:szCs w:val="24"/>
              </w:rPr>
            </w:pPr>
            <w:r>
              <w:rPr>
                <w:rFonts w:hint="eastAsia" w:ascii="宋体" w:hAnsi="宋体" w:eastAsia="宋体" w:cs="楷体_GB2312"/>
                <w:sz w:val="24"/>
                <w:szCs w:val="24"/>
              </w:rPr>
              <w:t>1、谈判保证金必须在响应文件递交截止时间前确保到帐，</w:t>
            </w:r>
            <w:r>
              <w:rPr>
                <w:rFonts w:hint="eastAsia" w:ascii="宋体" w:hAnsi="宋体" w:eastAsia="宋体"/>
                <w:sz w:val="24"/>
                <w:szCs w:val="24"/>
              </w:rPr>
              <w:t>必须从供应商基本账户转出</w:t>
            </w:r>
            <w:r>
              <w:rPr>
                <w:rFonts w:hint="eastAsia" w:ascii="宋体" w:hAnsi="宋体" w:eastAsia="宋体" w:cs="楷体_GB2312"/>
                <w:sz w:val="24"/>
                <w:szCs w:val="24"/>
              </w:rPr>
              <w:t>；供应商未按竞争性谈判文件要求提交谈判保证金的，响应文件无效。</w:t>
            </w:r>
          </w:p>
        </w:tc>
      </w:tr>
      <w:tr w14:paraId="7B1F265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1" w:hRule="atLeast"/>
          <w:jc w:val="center"/>
        </w:trPr>
        <w:tc>
          <w:tcPr>
            <w:tcW w:w="979" w:type="dxa"/>
            <w:vAlign w:val="center"/>
          </w:tcPr>
          <w:p w14:paraId="3876E7CE">
            <w:pPr>
              <w:snapToGrid w:val="0"/>
              <w:spacing w:line="360" w:lineRule="auto"/>
              <w:jc w:val="center"/>
              <w:rPr>
                <w:rFonts w:ascii="宋体" w:hAnsi="宋体" w:eastAsia="宋体" w:cs="仿宋"/>
                <w:sz w:val="24"/>
                <w:szCs w:val="24"/>
              </w:rPr>
            </w:pPr>
            <w:r>
              <w:rPr>
                <w:rFonts w:hint="eastAsia" w:ascii="宋体" w:hAnsi="宋体" w:eastAsia="宋体" w:cs="仿宋"/>
                <w:sz w:val="24"/>
                <w:szCs w:val="24"/>
              </w:rPr>
              <w:t>10</w:t>
            </w:r>
          </w:p>
        </w:tc>
        <w:tc>
          <w:tcPr>
            <w:tcW w:w="1399" w:type="dxa"/>
            <w:vAlign w:val="center"/>
          </w:tcPr>
          <w:p w14:paraId="4F6AF176">
            <w:pPr>
              <w:pStyle w:val="25"/>
              <w:spacing w:line="360" w:lineRule="auto"/>
              <w:rPr>
                <w:rFonts w:hAnsi="宋体" w:cs="楷体_GB2312"/>
                <w:sz w:val="24"/>
                <w:szCs w:val="24"/>
              </w:rPr>
            </w:pPr>
            <w:r>
              <w:rPr>
                <w:rFonts w:hint="eastAsia" w:hAnsi="宋体" w:cs="楷体_GB2312"/>
                <w:sz w:val="24"/>
                <w:szCs w:val="24"/>
              </w:rPr>
              <w:t>谈判保证金的退还</w:t>
            </w:r>
          </w:p>
        </w:tc>
        <w:tc>
          <w:tcPr>
            <w:tcW w:w="7825" w:type="dxa"/>
            <w:vAlign w:val="center"/>
          </w:tcPr>
          <w:p w14:paraId="6E07E9DA">
            <w:pPr>
              <w:pStyle w:val="25"/>
              <w:spacing w:line="360" w:lineRule="auto"/>
              <w:rPr>
                <w:rFonts w:hAnsi="宋体" w:cs="楷体_GB2312"/>
                <w:sz w:val="24"/>
                <w:szCs w:val="24"/>
              </w:rPr>
            </w:pPr>
            <w:r>
              <w:rPr>
                <w:rFonts w:hint="eastAsia" w:hAnsi="宋体" w:cs="楷体_GB2312"/>
                <w:sz w:val="24"/>
                <w:szCs w:val="24"/>
              </w:rPr>
              <w:t>（1）供应商在谈判截止时间前撤回已提交的响应文件的，采购人或者采购代理机构应当自收到供应商书面撤回通知之日起5个工作日内，退还已收取的谈判保证金，但因供应商自身原因导致无法及时退还的除外。</w:t>
            </w:r>
          </w:p>
          <w:p w14:paraId="0361D034">
            <w:pPr>
              <w:spacing w:line="360" w:lineRule="auto"/>
              <w:rPr>
                <w:rFonts w:ascii="宋体" w:hAnsi="宋体" w:eastAsia="宋体" w:cs="楷体_GB2312"/>
                <w:sz w:val="24"/>
                <w:szCs w:val="24"/>
              </w:rPr>
            </w:pPr>
            <w:r>
              <w:rPr>
                <w:rFonts w:hint="eastAsia" w:ascii="宋体" w:hAnsi="宋体" w:eastAsia="宋体" w:cs="楷体_GB2312"/>
                <w:sz w:val="24"/>
                <w:szCs w:val="24"/>
              </w:rPr>
              <w:t>（2）采购人或者采购代理机构应当自中标（成交）通知书发出之日起5个工作日内退还未</w:t>
            </w:r>
            <w:r>
              <w:rPr>
                <w:rFonts w:hint="eastAsia" w:ascii="宋体" w:hAnsi="宋体" w:eastAsia="宋体" w:cs="楷体_GB2312"/>
                <w:sz w:val="24"/>
                <w:szCs w:val="24"/>
                <w:lang w:eastAsia="zh-CN"/>
              </w:rPr>
              <w:t>成交人</w:t>
            </w:r>
            <w:r>
              <w:rPr>
                <w:rFonts w:hint="eastAsia" w:ascii="宋体" w:hAnsi="宋体" w:eastAsia="宋体" w:cs="楷体_GB2312"/>
                <w:sz w:val="24"/>
                <w:szCs w:val="24"/>
              </w:rPr>
              <w:t>的谈判保证金，自采购合同签订之日起5个工作日内退还</w:t>
            </w:r>
            <w:r>
              <w:rPr>
                <w:rFonts w:hint="eastAsia" w:ascii="宋体" w:hAnsi="宋体" w:eastAsia="宋体" w:cs="楷体_GB2312"/>
                <w:sz w:val="24"/>
                <w:szCs w:val="24"/>
                <w:lang w:eastAsia="zh-CN"/>
              </w:rPr>
              <w:t>成交人</w:t>
            </w:r>
            <w:r>
              <w:rPr>
                <w:rFonts w:hint="eastAsia" w:ascii="宋体" w:hAnsi="宋体" w:eastAsia="宋体" w:cs="楷体_GB2312"/>
                <w:sz w:val="24"/>
                <w:szCs w:val="24"/>
              </w:rPr>
              <w:t>的谈判保证金或者转为</w:t>
            </w:r>
            <w:r>
              <w:rPr>
                <w:rFonts w:hint="eastAsia" w:ascii="宋体" w:hAnsi="宋体" w:eastAsia="宋体" w:cs="楷体_GB2312"/>
                <w:sz w:val="24"/>
                <w:szCs w:val="24"/>
                <w:lang w:eastAsia="zh-CN"/>
              </w:rPr>
              <w:t>成交人</w:t>
            </w:r>
            <w:r>
              <w:rPr>
                <w:rFonts w:hint="eastAsia" w:ascii="宋体" w:hAnsi="宋体" w:eastAsia="宋体" w:cs="楷体_GB2312"/>
                <w:sz w:val="24"/>
                <w:szCs w:val="24"/>
              </w:rPr>
              <w:t>的履约保证金。</w:t>
            </w:r>
          </w:p>
        </w:tc>
      </w:tr>
      <w:tr w14:paraId="55126E0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1" w:hRule="atLeast"/>
          <w:jc w:val="center"/>
        </w:trPr>
        <w:tc>
          <w:tcPr>
            <w:tcW w:w="979" w:type="dxa"/>
            <w:vAlign w:val="center"/>
          </w:tcPr>
          <w:p w14:paraId="7A1620C4">
            <w:pPr>
              <w:snapToGrid w:val="0"/>
              <w:spacing w:line="360" w:lineRule="auto"/>
              <w:jc w:val="center"/>
              <w:rPr>
                <w:rFonts w:ascii="宋体" w:hAnsi="宋体" w:eastAsia="宋体" w:cs="仿宋"/>
                <w:sz w:val="24"/>
                <w:szCs w:val="24"/>
              </w:rPr>
            </w:pPr>
            <w:r>
              <w:rPr>
                <w:rFonts w:hint="eastAsia" w:ascii="宋体" w:hAnsi="宋体" w:eastAsia="宋体" w:cs="仿宋"/>
                <w:sz w:val="24"/>
                <w:szCs w:val="24"/>
              </w:rPr>
              <w:t>11</w:t>
            </w:r>
          </w:p>
        </w:tc>
        <w:tc>
          <w:tcPr>
            <w:tcW w:w="1399" w:type="dxa"/>
            <w:vAlign w:val="center"/>
          </w:tcPr>
          <w:p w14:paraId="3D431F4F">
            <w:pPr>
              <w:pStyle w:val="25"/>
              <w:spacing w:line="360" w:lineRule="auto"/>
              <w:jc w:val="center"/>
              <w:rPr>
                <w:rFonts w:hAnsi="宋体" w:cs="楷体_GB2312"/>
                <w:sz w:val="24"/>
                <w:szCs w:val="24"/>
              </w:rPr>
            </w:pPr>
            <w:r>
              <w:rPr>
                <w:rFonts w:hint="eastAsia" w:hAnsi="宋体" w:cs="楷体_GB2312"/>
                <w:sz w:val="24"/>
                <w:szCs w:val="24"/>
              </w:rPr>
              <w:t>不予退还保证金的情形</w:t>
            </w:r>
          </w:p>
        </w:tc>
        <w:tc>
          <w:tcPr>
            <w:tcW w:w="7825" w:type="dxa"/>
            <w:vAlign w:val="center"/>
          </w:tcPr>
          <w:p w14:paraId="030D36C0">
            <w:pPr>
              <w:pStyle w:val="25"/>
              <w:spacing w:line="360" w:lineRule="auto"/>
              <w:rPr>
                <w:rFonts w:hAnsi="宋体" w:cs="楷体_GB2312"/>
                <w:sz w:val="24"/>
                <w:szCs w:val="24"/>
              </w:rPr>
            </w:pPr>
            <w:r>
              <w:rPr>
                <w:rFonts w:hint="eastAsia" w:hAnsi="宋体" w:cs="楷体_GB2312"/>
                <w:sz w:val="24"/>
                <w:szCs w:val="24"/>
              </w:rPr>
              <w:t>有下列情形之一的，保证金不予退还：</w:t>
            </w:r>
          </w:p>
          <w:p w14:paraId="50E96C73">
            <w:pPr>
              <w:pStyle w:val="25"/>
              <w:spacing w:line="360" w:lineRule="auto"/>
              <w:rPr>
                <w:rFonts w:hAnsi="宋体" w:cs="楷体_GB2312"/>
                <w:sz w:val="24"/>
                <w:szCs w:val="24"/>
              </w:rPr>
            </w:pPr>
            <w:r>
              <w:rPr>
                <w:rFonts w:hint="eastAsia" w:hAnsi="宋体" w:cs="楷体_GB2312"/>
                <w:sz w:val="24"/>
                <w:szCs w:val="24"/>
              </w:rPr>
              <w:t>（1）供应商在提交响应文件截止时间后撤回响应文件的；</w:t>
            </w:r>
          </w:p>
          <w:p w14:paraId="7F049135">
            <w:pPr>
              <w:pStyle w:val="25"/>
              <w:spacing w:line="360" w:lineRule="auto"/>
              <w:rPr>
                <w:rFonts w:hAnsi="宋体" w:cs="楷体_GB2312"/>
                <w:sz w:val="24"/>
                <w:szCs w:val="24"/>
              </w:rPr>
            </w:pPr>
            <w:r>
              <w:rPr>
                <w:rFonts w:hint="eastAsia" w:hAnsi="宋体" w:cs="楷体_GB2312"/>
                <w:sz w:val="24"/>
                <w:szCs w:val="24"/>
              </w:rPr>
              <w:t>（2）供应商在响应文件中提供虚假材料的；</w:t>
            </w:r>
          </w:p>
          <w:p w14:paraId="23C020BA">
            <w:pPr>
              <w:pStyle w:val="25"/>
              <w:spacing w:line="360" w:lineRule="auto"/>
              <w:rPr>
                <w:rFonts w:hAnsi="宋体" w:cs="楷体_GB2312"/>
                <w:sz w:val="24"/>
                <w:szCs w:val="24"/>
              </w:rPr>
            </w:pPr>
            <w:r>
              <w:rPr>
                <w:rFonts w:hint="eastAsia" w:hAnsi="宋体" w:cs="楷体_GB2312"/>
                <w:sz w:val="24"/>
                <w:szCs w:val="24"/>
              </w:rPr>
              <w:t>（3）除因不可抗力或竞争性谈判文件认可的情形以外，成交供应商不与采购人签订合同的；</w:t>
            </w:r>
          </w:p>
          <w:p w14:paraId="4E8FD9CF">
            <w:pPr>
              <w:pStyle w:val="25"/>
              <w:spacing w:line="360" w:lineRule="auto"/>
              <w:rPr>
                <w:rFonts w:hAnsi="宋体" w:cs="楷体_GB2312"/>
                <w:sz w:val="24"/>
                <w:szCs w:val="24"/>
              </w:rPr>
            </w:pPr>
            <w:r>
              <w:rPr>
                <w:rFonts w:hint="eastAsia" w:hAnsi="宋体" w:cs="楷体_GB2312"/>
                <w:sz w:val="24"/>
                <w:szCs w:val="24"/>
              </w:rPr>
              <w:t>（4）供应商与采购人、其他供应商或者采购代理机构恶意串通的；</w:t>
            </w:r>
          </w:p>
          <w:p w14:paraId="3B2577CA">
            <w:pPr>
              <w:spacing w:line="360" w:lineRule="auto"/>
              <w:rPr>
                <w:rFonts w:ascii="宋体" w:hAnsi="宋体" w:eastAsia="宋体" w:cs="楷体_GB2312"/>
                <w:sz w:val="24"/>
                <w:szCs w:val="24"/>
              </w:rPr>
            </w:pPr>
            <w:r>
              <w:rPr>
                <w:rFonts w:hint="eastAsia" w:ascii="宋体" w:hAnsi="宋体" w:eastAsia="宋体" w:cs="楷体_GB2312"/>
                <w:sz w:val="24"/>
                <w:szCs w:val="24"/>
              </w:rPr>
              <w:t>（5）竞争性谈判文件规定的其他情形。</w:t>
            </w:r>
          </w:p>
        </w:tc>
      </w:tr>
      <w:tr w14:paraId="0A0FC9A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1" w:hRule="atLeast"/>
          <w:jc w:val="center"/>
        </w:trPr>
        <w:tc>
          <w:tcPr>
            <w:tcW w:w="979" w:type="dxa"/>
            <w:vAlign w:val="center"/>
          </w:tcPr>
          <w:p w14:paraId="1AE70370">
            <w:pPr>
              <w:snapToGrid w:val="0"/>
              <w:spacing w:line="360" w:lineRule="auto"/>
              <w:jc w:val="center"/>
              <w:rPr>
                <w:rFonts w:ascii="宋体" w:hAnsi="宋体" w:eastAsia="宋体" w:cs="仿宋"/>
                <w:sz w:val="24"/>
                <w:szCs w:val="24"/>
              </w:rPr>
            </w:pPr>
            <w:r>
              <w:rPr>
                <w:rFonts w:hint="eastAsia" w:ascii="宋体" w:hAnsi="宋体" w:eastAsia="宋体" w:cs="仿宋"/>
                <w:sz w:val="24"/>
                <w:szCs w:val="24"/>
              </w:rPr>
              <w:t>12</w:t>
            </w:r>
          </w:p>
        </w:tc>
        <w:tc>
          <w:tcPr>
            <w:tcW w:w="1399" w:type="dxa"/>
            <w:vAlign w:val="center"/>
          </w:tcPr>
          <w:p w14:paraId="1C090F5C">
            <w:pPr>
              <w:pStyle w:val="25"/>
              <w:spacing w:line="360" w:lineRule="auto"/>
              <w:jc w:val="center"/>
              <w:rPr>
                <w:rFonts w:hAnsi="宋体" w:cs="楷体_GB2312"/>
                <w:sz w:val="24"/>
                <w:szCs w:val="24"/>
              </w:rPr>
            </w:pPr>
            <w:r>
              <w:rPr>
                <w:rFonts w:hint="eastAsia" w:hAnsi="宋体" w:cs="楷体_GB2312"/>
                <w:sz w:val="24"/>
                <w:szCs w:val="24"/>
              </w:rPr>
              <w:t>响应文件份数及要求</w:t>
            </w:r>
          </w:p>
        </w:tc>
        <w:tc>
          <w:tcPr>
            <w:tcW w:w="7825" w:type="dxa"/>
            <w:vAlign w:val="center"/>
          </w:tcPr>
          <w:p w14:paraId="51A6DFC9">
            <w:pPr>
              <w:widowControl/>
              <w:spacing w:line="360" w:lineRule="auto"/>
              <w:jc w:val="left"/>
              <w:rPr>
                <w:rFonts w:hint="default" w:ascii="宋体" w:hAnsi="宋体" w:cs="楷体_GB2312" w:eastAsiaTheme="minorEastAsia"/>
                <w:sz w:val="24"/>
                <w:szCs w:val="24"/>
                <w:lang w:val="en-US" w:eastAsia="zh-CN"/>
              </w:rPr>
            </w:pPr>
            <w:r>
              <w:rPr>
                <w:rFonts w:hint="eastAsia" w:ascii="宋体" w:hAnsi="宋体" w:eastAsia="宋体" w:cs="仿宋"/>
                <w:bCs/>
                <w:sz w:val="24"/>
                <w:szCs w:val="24"/>
              </w:rPr>
              <w:t>本项目采用电子招标方式，供应商需通过政采云投标客户端上传加密投标文件一份即可，无需递交纸质投标文件。</w:t>
            </w:r>
            <w:r>
              <w:rPr>
                <w:rFonts w:hint="eastAsia"/>
                <w:lang w:val="en-US" w:eastAsia="zh-CN"/>
              </w:rPr>
              <w:t>项目结束后，成交人需提供一份纸质投标文件，作为甲方项目归档资料。</w:t>
            </w:r>
          </w:p>
        </w:tc>
      </w:tr>
      <w:tr w14:paraId="66EFC62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1" w:hRule="atLeast"/>
          <w:jc w:val="center"/>
        </w:trPr>
        <w:tc>
          <w:tcPr>
            <w:tcW w:w="979" w:type="dxa"/>
            <w:vAlign w:val="center"/>
          </w:tcPr>
          <w:p w14:paraId="5CC0F829">
            <w:pPr>
              <w:snapToGrid w:val="0"/>
              <w:spacing w:line="360" w:lineRule="auto"/>
              <w:jc w:val="center"/>
              <w:rPr>
                <w:rFonts w:ascii="宋体" w:hAnsi="宋体" w:eastAsia="宋体" w:cs="仿宋"/>
                <w:sz w:val="24"/>
                <w:szCs w:val="24"/>
              </w:rPr>
            </w:pPr>
            <w:r>
              <w:rPr>
                <w:rFonts w:hint="eastAsia" w:ascii="宋体" w:hAnsi="宋体" w:eastAsia="宋体" w:cs="仿宋"/>
                <w:sz w:val="24"/>
                <w:szCs w:val="24"/>
              </w:rPr>
              <w:t>13</w:t>
            </w:r>
          </w:p>
        </w:tc>
        <w:tc>
          <w:tcPr>
            <w:tcW w:w="1399" w:type="dxa"/>
            <w:vAlign w:val="center"/>
          </w:tcPr>
          <w:p w14:paraId="4204626D">
            <w:pPr>
              <w:widowControl/>
              <w:spacing w:line="360" w:lineRule="auto"/>
              <w:jc w:val="center"/>
              <w:rPr>
                <w:rFonts w:ascii="宋体" w:hAnsi="宋体" w:eastAsia="宋体" w:cs="宋体"/>
                <w:sz w:val="24"/>
              </w:rPr>
            </w:pPr>
            <w:r>
              <w:rPr>
                <w:rFonts w:hint="eastAsia" w:ascii="宋体" w:hAnsi="宋体" w:eastAsia="宋体" w:cs="宋体"/>
                <w:kern w:val="1"/>
                <w:sz w:val="24"/>
              </w:rPr>
              <w:t>响</w:t>
            </w:r>
            <w:r>
              <w:rPr>
                <w:rFonts w:hint="eastAsia" w:ascii="宋体" w:hAnsi="宋体" w:cs="宋体"/>
                <w:kern w:val="1"/>
                <w:sz w:val="24"/>
              </w:rPr>
              <w:t>应文件形式及加密</w:t>
            </w:r>
          </w:p>
        </w:tc>
        <w:tc>
          <w:tcPr>
            <w:tcW w:w="7825" w:type="dxa"/>
            <w:vAlign w:val="center"/>
          </w:tcPr>
          <w:p w14:paraId="5044FE09">
            <w:pPr>
              <w:spacing w:line="360" w:lineRule="auto"/>
              <w:jc w:val="left"/>
              <w:rPr>
                <w:rFonts w:ascii="宋体" w:hAnsi="宋体" w:eastAsia="宋体" w:cs="仿宋"/>
                <w:sz w:val="24"/>
                <w:szCs w:val="24"/>
              </w:rPr>
            </w:pPr>
            <w:r>
              <w:rPr>
                <w:rFonts w:hint="eastAsia" w:ascii="宋体" w:hAnsi="宋体" w:eastAsia="宋体" w:cs="仿宋"/>
                <w:b/>
                <w:bCs/>
                <w:sz w:val="24"/>
                <w:szCs w:val="24"/>
              </w:rPr>
              <w:t>响应文件形式</w:t>
            </w:r>
            <w:r>
              <w:rPr>
                <w:rFonts w:hint="eastAsia" w:ascii="宋体" w:hAnsi="宋体" w:eastAsia="宋体" w:cs="仿宋"/>
                <w:sz w:val="24"/>
                <w:szCs w:val="24"/>
              </w:rPr>
              <w:t>：电子响应文件包括“电子加密响应文件”和“备份响应文件”，在响应文件编制完成后同时生成。</w:t>
            </w:r>
          </w:p>
          <w:p w14:paraId="720579B8">
            <w:pPr>
              <w:spacing w:line="360" w:lineRule="auto"/>
              <w:jc w:val="left"/>
              <w:rPr>
                <w:rFonts w:ascii="宋体" w:hAnsi="宋体" w:eastAsia="宋体" w:cs="仿宋"/>
                <w:sz w:val="24"/>
                <w:szCs w:val="24"/>
              </w:rPr>
            </w:pPr>
            <w:r>
              <w:rPr>
                <w:rFonts w:hint="eastAsia" w:ascii="宋体" w:hAnsi="宋体" w:eastAsia="宋体" w:cs="仿宋"/>
                <w:sz w:val="24"/>
                <w:szCs w:val="24"/>
              </w:rPr>
              <w:t>1、</w:t>
            </w:r>
            <w:r>
              <w:rPr>
                <w:rFonts w:hint="eastAsia" w:ascii="宋体" w:hAnsi="宋体" w:eastAsia="宋体" w:cs="仿宋"/>
                <w:b/>
                <w:bCs/>
                <w:sz w:val="24"/>
                <w:szCs w:val="24"/>
              </w:rPr>
              <w:t>“电子加密响应文件”</w:t>
            </w:r>
            <w:r>
              <w:rPr>
                <w:rFonts w:hint="eastAsia" w:ascii="宋体" w:hAnsi="宋体" w:eastAsia="宋体" w:cs="仿宋"/>
                <w:sz w:val="24"/>
                <w:szCs w:val="24"/>
              </w:rPr>
              <w:t>是指通过“政采云电子交易客户端”完成响应文件编制后生成并加密的数据电文形式的响应文件。</w:t>
            </w:r>
          </w:p>
          <w:p w14:paraId="43A6AFD0">
            <w:pPr>
              <w:spacing w:line="360" w:lineRule="auto"/>
              <w:jc w:val="left"/>
              <w:rPr>
                <w:rFonts w:ascii="宋体" w:hAnsi="宋体" w:cs="宋体"/>
                <w:sz w:val="24"/>
              </w:rPr>
            </w:pPr>
            <w:r>
              <w:rPr>
                <w:rFonts w:hint="eastAsia" w:ascii="宋体" w:hAnsi="宋体" w:eastAsia="宋体" w:cs="仿宋"/>
                <w:sz w:val="24"/>
                <w:szCs w:val="24"/>
              </w:rPr>
              <w:t>2、</w:t>
            </w:r>
            <w:r>
              <w:rPr>
                <w:rFonts w:hint="eastAsia" w:ascii="宋体" w:hAnsi="宋体" w:eastAsia="宋体" w:cs="仿宋"/>
                <w:b/>
                <w:bCs/>
                <w:sz w:val="24"/>
                <w:szCs w:val="24"/>
              </w:rPr>
              <w:t>“备份响应文件”</w:t>
            </w:r>
            <w:r>
              <w:rPr>
                <w:rFonts w:hint="eastAsia" w:ascii="宋体" w:hAnsi="宋体" w:eastAsia="宋体" w:cs="仿宋"/>
                <w:sz w:val="24"/>
                <w:szCs w:val="24"/>
              </w:rPr>
              <w:t>是指与“电子加密响应文件”同时生成的数据电文形式的电子文件（备份标书，用于供应商标书解密异常时应急使用），其他方式编制的备份响应文件视为无效备份响应文件。</w:t>
            </w:r>
          </w:p>
        </w:tc>
      </w:tr>
      <w:tr w14:paraId="2DE2D3D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1" w:hRule="atLeast"/>
          <w:jc w:val="center"/>
        </w:trPr>
        <w:tc>
          <w:tcPr>
            <w:tcW w:w="979" w:type="dxa"/>
            <w:vAlign w:val="center"/>
          </w:tcPr>
          <w:p w14:paraId="1168FF46">
            <w:pPr>
              <w:snapToGrid w:val="0"/>
              <w:spacing w:line="360" w:lineRule="auto"/>
              <w:jc w:val="center"/>
              <w:rPr>
                <w:rFonts w:ascii="宋体" w:hAnsi="宋体" w:eastAsia="宋体" w:cs="仿宋"/>
                <w:sz w:val="24"/>
                <w:szCs w:val="24"/>
              </w:rPr>
            </w:pPr>
            <w:r>
              <w:rPr>
                <w:rFonts w:hint="eastAsia" w:ascii="宋体" w:hAnsi="宋体" w:eastAsia="宋体" w:cs="仿宋"/>
                <w:sz w:val="24"/>
                <w:szCs w:val="24"/>
              </w:rPr>
              <w:t>14</w:t>
            </w:r>
          </w:p>
        </w:tc>
        <w:tc>
          <w:tcPr>
            <w:tcW w:w="1399" w:type="dxa"/>
            <w:vAlign w:val="center"/>
          </w:tcPr>
          <w:p w14:paraId="40A64B70">
            <w:pPr>
              <w:pStyle w:val="25"/>
              <w:spacing w:line="360" w:lineRule="auto"/>
              <w:jc w:val="center"/>
              <w:rPr>
                <w:rFonts w:hAnsi="宋体" w:cs="楷体_GB2312"/>
                <w:sz w:val="24"/>
                <w:szCs w:val="24"/>
              </w:rPr>
            </w:pPr>
            <w:r>
              <w:rPr>
                <w:rFonts w:hint="eastAsia" w:hAnsi="宋体" w:cs="楷体_GB2312"/>
                <w:sz w:val="24"/>
                <w:szCs w:val="24"/>
              </w:rPr>
              <w:t>响应文件的上传和递交</w:t>
            </w:r>
          </w:p>
        </w:tc>
        <w:tc>
          <w:tcPr>
            <w:tcW w:w="7825" w:type="dxa"/>
            <w:vAlign w:val="center"/>
          </w:tcPr>
          <w:p w14:paraId="6A382761">
            <w:pPr>
              <w:spacing w:line="360" w:lineRule="auto"/>
              <w:rPr>
                <w:rFonts w:ascii="宋体" w:hAnsi="宋体" w:eastAsia="宋体" w:cs="楷体_GB2312"/>
                <w:sz w:val="24"/>
                <w:szCs w:val="24"/>
              </w:rPr>
            </w:pPr>
            <w:r>
              <w:rPr>
                <w:rFonts w:hint="eastAsia" w:ascii="宋体" w:hAnsi="宋体" w:eastAsia="宋体" w:cs="仿宋"/>
                <w:b/>
                <w:bCs/>
                <w:sz w:val="24"/>
                <w:szCs w:val="24"/>
              </w:rPr>
              <w:t>响应文件的上传和递交：</w:t>
            </w:r>
            <w:r>
              <w:rPr>
                <w:rFonts w:hint="eastAsia" w:ascii="宋体" w:hAnsi="宋体" w:eastAsia="宋体" w:cs="楷体_GB2312"/>
                <w:sz w:val="24"/>
                <w:szCs w:val="24"/>
              </w:rPr>
              <w:t>1.电子加密响应文件：响应文件制作完成并生成加密标书，在响应截止时间前，供应商需将加密的响应文件上传至政采云平台，在开标时间开始后，待采购组织机构发出解密通知后30分钟内解密响应文件。</w:t>
            </w:r>
          </w:p>
          <w:p w14:paraId="2746B580">
            <w:pPr>
              <w:spacing w:line="360" w:lineRule="auto"/>
              <w:rPr>
                <w:rFonts w:ascii="宋体" w:hAnsi="宋体" w:eastAsia="宋体" w:cs="楷体_GB2312"/>
                <w:sz w:val="24"/>
                <w:szCs w:val="24"/>
              </w:rPr>
            </w:pPr>
            <w:r>
              <w:rPr>
                <w:rFonts w:hint="eastAsia" w:ascii="宋体" w:hAnsi="宋体" w:eastAsia="宋体" w:cs="楷体_GB2312"/>
                <w:sz w:val="24"/>
                <w:szCs w:val="24"/>
              </w:rPr>
              <w:t>a.供应商未能在谈判截止时间前成功上传电子加密响应文件的谈判无效。</w:t>
            </w:r>
          </w:p>
          <w:p w14:paraId="5904C9A7">
            <w:pPr>
              <w:spacing w:line="360" w:lineRule="auto"/>
              <w:rPr>
                <w:rFonts w:ascii="宋体" w:hAnsi="宋体" w:eastAsia="宋体" w:cs="楷体_GB2312"/>
                <w:sz w:val="24"/>
                <w:szCs w:val="24"/>
              </w:rPr>
            </w:pPr>
            <w:r>
              <w:rPr>
                <w:rFonts w:hint="eastAsia" w:ascii="宋体" w:hAnsi="宋体" w:eastAsia="宋体" w:cs="楷体_GB2312"/>
                <w:sz w:val="24"/>
                <w:szCs w:val="24"/>
              </w:rPr>
              <w:t>b.供应商成功上传电子加密响应文件后，可自行打印响应文件接收回执。</w:t>
            </w:r>
          </w:p>
        </w:tc>
      </w:tr>
      <w:tr w14:paraId="55E831C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1" w:hRule="atLeast"/>
          <w:jc w:val="center"/>
        </w:trPr>
        <w:tc>
          <w:tcPr>
            <w:tcW w:w="979" w:type="dxa"/>
            <w:vAlign w:val="center"/>
          </w:tcPr>
          <w:p w14:paraId="6CA106AD">
            <w:pPr>
              <w:snapToGrid w:val="0"/>
              <w:spacing w:line="360" w:lineRule="auto"/>
              <w:jc w:val="center"/>
              <w:rPr>
                <w:rFonts w:ascii="宋体" w:hAnsi="宋体" w:eastAsia="宋体" w:cs="仿宋"/>
                <w:sz w:val="24"/>
                <w:szCs w:val="24"/>
              </w:rPr>
            </w:pPr>
            <w:r>
              <w:rPr>
                <w:rFonts w:hint="eastAsia" w:ascii="宋体" w:hAnsi="宋体" w:eastAsia="宋体" w:cs="仿宋"/>
                <w:sz w:val="24"/>
                <w:szCs w:val="24"/>
              </w:rPr>
              <w:t>15</w:t>
            </w:r>
          </w:p>
        </w:tc>
        <w:tc>
          <w:tcPr>
            <w:tcW w:w="1399" w:type="dxa"/>
            <w:vAlign w:val="center"/>
          </w:tcPr>
          <w:p w14:paraId="044CBB6E">
            <w:pPr>
              <w:pStyle w:val="25"/>
              <w:spacing w:line="360" w:lineRule="auto"/>
              <w:jc w:val="center"/>
              <w:rPr>
                <w:rFonts w:hAnsi="宋体" w:cs="楷体_GB2312"/>
                <w:sz w:val="24"/>
                <w:szCs w:val="24"/>
              </w:rPr>
            </w:pPr>
            <w:r>
              <w:rPr>
                <w:rFonts w:hint="eastAsia" w:hAnsi="宋体" w:cs="楷体_GB2312"/>
                <w:sz w:val="24"/>
                <w:szCs w:val="24"/>
              </w:rPr>
              <w:t>开标时间及地点</w:t>
            </w:r>
          </w:p>
        </w:tc>
        <w:tc>
          <w:tcPr>
            <w:tcW w:w="7825" w:type="dxa"/>
            <w:vAlign w:val="center"/>
          </w:tcPr>
          <w:p w14:paraId="3858F008">
            <w:pPr>
              <w:spacing w:line="360" w:lineRule="auto"/>
              <w:rPr>
                <w:rFonts w:ascii="宋体" w:hAnsi="宋体" w:eastAsia="宋体" w:cs="楷体_GB2312"/>
                <w:sz w:val="24"/>
                <w:szCs w:val="24"/>
              </w:rPr>
            </w:pPr>
            <w:r>
              <w:rPr>
                <w:rFonts w:hint="eastAsia" w:ascii="宋体" w:hAnsi="宋体" w:eastAsia="宋体" w:cs="楷体_GB2312"/>
                <w:sz w:val="24"/>
                <w:szCs w:val="24"/>
              </w:rPr>
              <w:t xml:space="preserve">详见竞争性谈判公告。  </w:t>
            </w:r>
          </w:p>
        </w:tc>
      </w:tr>
      <w:tr w14:paraId="32689F1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01" w:hRule="atLeast"/>
          <w:jc w:val="center"/>
        </w:trPr>
        <w:tc>
          <w:tcPr>
            <w:tcW w:w="979" w:type="dxa"/>
            <w:vAlign w:val="center"/>
          </w:tcPr>
          <w:p w14:paraId="038859E5">
            <w:pPr>
              <w:snapToGrid w:val="0"/>
              <w:spacing w:line="360" w:lineRule="auto"/>
              <w:jc w:val="center"/>
              <w:rPr>
                <w:rFonts w:ascii="宋体" w:hAnsi="宋体" w:eastAsia="宋体" w:cs="仿宋"/>
                <w:sz w:val="24"/>
                <w:szCs w:val="24"/>
              </w:rPr>
            </w:pPr>
            <w:r>
              <w:rPr>
                <w:rFonts w:hint="eastAsia" w:ascii="宋体" w:hAnsi="宋体" w:eastAsia="宋体" w:cs="仿宋"/>
                <w:sz w:val="24"/>
                <w:szCs w:val="24"/>
              </w:rPr>
              <w:t>16</w:t>
            </w:r>
          </w:p>
        </w:tc>
        <w:tc>
          <w:tcPr>
            <w:tcW w:w="1399" w:type="dxa"/>
            <w:vAlign w:val="center"/>
          </w:tcPr>
          <w:p w14:paraId="25AB5CBA">
            <w:pPr>
              <w:snapToGrid w:val="0"/>
              <w:spacing w:line="360" w:lineRule="auto"/>
              <w:rPr>
                <w:rFonts w:ascii="宋体" w:hAnsi="宋体" w:eastAsia="宋体" w:cs="宋体"/>
                <w:kern w:val="0"/>
                <w:sz w:val="24"/>
              </w:rPr>
            </w:pPr>
            <w:r>
              <w:rPr>
                <w:rFonts w:hint="eastAsia" w:ascii="宋体" w:hAnsi="宋体" w:eastAsia="宋体" w:cs="微软雅黑"/>
                <w:sz w:val="24"/>
              </w:rPr>
              <w:t>评标委员会</w:t>
            </w:r>
          </w:p>
        </w:tc>
        <w:tc>
          <w:tcPr>
            <w:tcW w:w="7825" w:type="dxa"/>
            <w:vAlign w:val="center"/>
          </w:tcPr>
          <w:p w14:paraId="7A16D9BA">
            <w:pPr>
              <w:snapToGrid w:val="0"/>
              <w:spacing w:line="360" w:lineRule="auto"/>
              <w:rPr>
                <w:rFonts w:ascii="宋体" w:hAnsi="宋体" w:eastAsia="宋体" w:cs="宋体"/>
                <w:sz w:val="24"/>
              </w:rPr>
            </w:pPr>
            <w:r>
              <w:rPr>
                <w:rFonts w:hint="eastAsia" w:ascii="宋体" w:hAnsi="宋体" w:eastAsia="宋体" w:cs="宋体"/>
                <w:sz w:val="24"/>
              </w:rPr>
              <w:t>评标委员会构成：</w:t>
            </w:r>
            <w:r>
              <w:rPr>
                <w:rFonts w:ascii="宋体" w:hAnsi="宋体" w:eastAsia="宋体" w:cs="宋体"/>
                <w:sz w:val="24"/>
              </w:rPr>
              <w:t>3</w:t>
            </w:r>
            <w:r>
              <w:rPr>
                <w:rFonts w:hint="eastAsia" w:ascii="宋体" w:hAnsi="宋体" w:eastAsia="宋体" w:cs="宋体"/>
                <w:sz w:val="24"/>
              </w:rPr>
              <w:t xml:space="preserve"> </w:t>
            </w:r>
            <w:r>
              <w:rPr>
                <w:rFonts w:hint="eastAsia" w:ascii="宋体" w:hAnsi="宋体" w:eastAsia="宋体" w:cs="微软雅黑"/>
                <w:sz w:val="24"/>
              </w:rPr>
              <w:t>人，其中采购人代表1人，</w:t>
            </w:r>
            <w:r>
              <w:rPr>
                <w:rFonts w:hint="eastAsia" w:ascii="宋体" w:hAnsi="宋体" w:eastAsia="宋体" w:cs="宋体"/>
                <w:sz w:val="24"/>
              </w:rPr>
              <w:t>技术、经济类专家2人。</w:t>
            </w:r>
          </w:p>
          <w:p w14:paraId="556F6E6E">
            <w:pPr>
              <w:snapToGrid w:val="0"/>
              <w:spacing w:line="360" w:lineRule="auto"/>
              <w:rPr>
                <w:rFonts w:ascii="宋体" w:hAnsi="宋体" w:eastAsia="宋体" w:cs="宋体"/>
                <w:sz w:val="24"/>
              </w:rPr>
            </w:pPr>
            <w:r>
              <w:rPr>
                <w:rFonts w:hint="eastAsia" w:ascii="宋体" w:hAnsi="宋体" w:eastAsia="宋体" w:cs="宋体"/>
                <w:sz w:val="24"/>
              </w:rPr>
              <w:t>评标专家确定方式：技术、经济等方面的专家由新疆政采云评标专家库随机抽取。</w:t>
            </w:r>
          </w:p>
        </w:tc>
      </w:tr>
      <w:tr w14:paraId="7C1C8F0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01" w:hRule="atLeast"/>
          <w:jc w:val="center"/>
        </w:trPr>
        <w:tc>
          <w:tcPr>
            <w:tcW w:w="979" w:type="dxa"/>
            <w:vAlign w:val="center"/>
          </w:tcPr>
          <w:p w14:paraId="5FBAE95C">
            <w:pPr>
              <w:snapToGrid w:val="0"/>
              <w:spacing w:line="360" w:lineRule="auto"/>
              <w:jc w:val="center"/>
              <w:rPr>
                <w:rFonts w:ascii="宋体" w:hAnsi="宋体" w:eastAsia="宋体" w:cs="仿宋"/>
                <w:sz w:val="24"/>
                <w:szCs w:val="24"/>
              </w:rPr>
            </w:pPr>
            <w:r>
              <w:rPr>
                <w:rFonts w:hint="eastAsia" w:ascii="宋体" w:hAnsi="宋体" w:eastAsia="宋体" w:cs="仿宋"/>
                <w:sz w:val="24"/>
                <w:szCs w:val="24"/>
              </w:rPr>
              <w:t>17</w:t>
            </w:r>
          </w:p>
        </w:tc>
        <w:tc>
          <w:tcPr>
            <w:tcW w:w="1399" w:type="dxa"/>
            <w:vAlign w:val="center"/>
          </w:tcPr>
          <w:p w14:paraId="6333C895">
            <w:pPr>
              <w:snapToGrid w:val="0"/>
              <w:spacing w:line="360" w:lineRule="auto"/>
              <w:rPr>
                <w:rFonts w:ascii="宋体" w:hAnsi="宋体" w:eastAsia="宋体" w:cs="宋体"/>
                <w:sz w:val="24"/>
                <w:szCs w:val="24"/>
              </w:rPr>
            </w:pPr>
            <w:r>
              <w:rPr>
                <w:rFonts w:hint="eastAsia" w:ascii="宋体" w:hAnsi="宋体" w:eastAsia="宋体" w:cs="宋体"/>
                <w:sz w:val="24"/>
                <w:szCs w:val="24"/>
              </w:rPr>
              <w:t>评标及定标</w:t>
            </w:r>
          </w:p>
        </w:tc>
        <w:tc>
          <w:tcPr>
            <w:tcW w:w="7825" w:type="dxa"/>
            <w:vAlign w:val="center"/>
          </w:tcPr>
          <w:p w14:paraId="6CA2C643">
            <w:pPr>
              <w:snapToGrid w:val="0"/>
              <w:spacing w:line="360" w:lineRule="auto"/>
              <w:rPr>
                <w:rFonts w:ascii="宋体" w:hAnsi="宋体" w:eastAsia="宋体" w:cs="宋体"/>
                <w:sz w:val="24"/>
                <w:szCs w:val="24"/>
              </w:rPr>
            </w:pPr>
            <w:r>
              <w:rPr>
                <w:rFonts w:hint="eastAsia" w:ascii="宋体" w:hAnsi="宋体" w:eastAsia="宋体" w:cs="宋体"/>
                <w:sz w:val="24"/>
                <w:szCs w:val="24"/>
              </w:rPr>
              <w:t>（1）依据有关法律、法规及响应文件的有关规定，对各供应商提供的响应文件初步评审和资格性、符合性审查进行审查，只有通过审查的供应商才能进入下一阶段的评审。</w:t>
            </w:r>
          </w:p>
          <w:p w14:paraId="79F64175">
            <w:pPr>
              <w:spacing w:line="360" w:lineRule="auto"/>
              <w:rPr>
                <w:rFonts w:ascii="宋体" w:hAnsi="宋体" w:eastAsia="宋体" w:cs="楷体_GB2312"/>
                <w:sz w:val="24"/>
                <w:szCs w:val="24"/>
              </w:rPr>
            </w:pPr>
            <w:r>
              <w:rPr>
                <w:rFonts w:hint="eastAsia" w:ascii="宋体" w:hAnsi="宋体" w:eastAsia="宋体" w:cs="宋体"/>
                <w:sz w:val="24"/>
                <w:szCs w:val="24"/>
              </w:rPr>
              <w:t>（2）通过初步评审和资格性、符合性审查（响应文件在商务、技术等满足响应文件全部实质性要求）的有效供应商，</w:t>
            </w:r>
            <w:r>
              <w:rPr>
                <w:rFonts w:hint="eastAsia" w:ascii="宋体" w:hAnsi="宋体" w:eastAsia="宋体" w:cs="楷体_GB2312"/>
                <w:sz w:val="24"/>
                <w:szCs w:val="24"/>
              </w:rPr>
              <w:t>由谈判小组结合响应文件及供应商最后报价，从质量和服务均能满足谈判文件实质性响应要谈判文件求的供应商中，按照最后报价由低到高的顺序提出成交候选供应商及排序；由采购单位从谈判小组提出的成交候选供应商中，根据质量和服务均能满足谈判文件实质性响应要求且最后报价最低的原则确定成交供应商。</w:t>
            </w:r>
          </w:p>
          <w:p w14:paraId="262E112F">
            <w:pPr>
              <w:spacing w:line="360" w:lineRule="auto"/>
              <w:rPr>
                <w:rFonts w:ascii="宋体" w:hAnsi="宋体" w:eastAsia="宋体" w:cs="宋体"/>
                <w:sz w:val="24"/>
                <w:szCs w:val="24"/>
              </w:rPr>
            </w:pPr>
            <w:r>
              <w:rPr>
                <w:rFonts w:hint="eastAsia" w:ascii="宋体" w:hAnsi="宋体" w:eastAsia="宋体" w:cs="宋体"/>
                <w:sz w:val="24"/>
                <w:szCs w:val="24"/>
              </w:rPr>
              <w:t>本项目推荐成交候选人数量为3名；</w:t>
            </w:r>
          </w:p>
          <w:p w14:paraId="122D5868">
            <w:pPr>
              <w:snapToGrid w:val="0"/>
              <w:spacing w:line="360" w:lineRule="auto"/>
              <w:rPr>
                <w:rFonts w:ascii="宋体" w:hAnsi="宋体" w:eastAsia="宋体" w:cs="宋体"/>
                <w:sz w:val="24"/>
                <w:szCs w:val="24"/>
              </w:rPr>
            </w:pPr>
            <w:r>
              <w:rPr>
                <w:rFonts w:hint="eastAsia" w:ascii="宋体" w:hAnsi="宋体" w:eastAsia="宋体" w:cs="宋体"/>
                <w:sz w:val="24"/>
                <w:szCs w:val="24"/>
              </w:rPr>
              <w:t>（3）各供应商的响应文件将提交评标委员会审核。供应商应对其提交的响应文件中资料的真实性、合法性负责并承担相应的法律责任，即使供应商所提交的响应文件通过了审查，乃至已确定了成交供应商后，如发现供应商所提供的资格类文件不合法或不真实，或存在虚假资料的，仍可废除其成交资格并追究成交供应商的法律责任。</w:t>
            </w:r>
          </w:p>
          <w:p w14:paraId="2D0F3C65">
            <w:pPr>
              <w:pStyle w:val="20"/>
              <w:spacing w:line="360" w:lineRule="auto"/>
              <w:rPr>
                <w:rFonts w:ascii="宋体" w:hAnsi="宋体" w:cs="宋体"/>
              </w:rPr>
            </w:pPr>
            <w:r>
              <w:rPr>
                <w:rFonts w:ascii="宋体" w:hAnsi="宋体" w:cs="宋体"/>
              </w:rPr>
              <w:t>（</w:t>
            </w:r>
            <w:r>
              <w:rPr>
                <w:rFonts w:hint="eastAsia" w:ascii="宋体" w:hAnsi="宋体" w:cs="宋体"/>
              </w:rPr>
              <w:t>4</w:t>
            </w:r>
            <w:r>
              <w:rPr>
                <w:rFonts w:ascii="宋体" w:hAnsi="宋体" w:cs="宋体"/>
              </w:rPr>
              <w:t>）</w:t>
            </w:r>
            <w:r>
              <w:rPr>
                <w:rFonts w:hint="eastAsia" w:ascii="宋体" w:hAnsi="宋体" w:cs="宋体"/>
              </w:rPr>
              <w:t>谈判轮数和最后报价的其他要求：</w:t>
            </w:r>
          </w:p>
          <w:p w14:paraId="424F21C1">
            <w:pPr>
              <w:pStyle w:val="20"/>
              <w:spacing w:line="360" w:lineRule="auto"/>
              <w:rPr>
                <w:rFonts w:ascii="宋体" w:hAnsi="宋体" w:cs="宋体"/>
              </w:rPr>
            </w:pPr>
            <w:r>
              <w:rPr>
                <w:rFonts w:hint="eastAsia" w:ascii="宋体" w:hAnsi="宋体" w:cs="宋体"/>
              </w:rPr>
              <w:t>1、谈判报价轮数:二次及以上；每轮报价时长为3</w:t>
            </w:r>
            <w:r>
              <w:rPr>
                <w:rFonts w:ascii="宋体" w:hAnsi="宋体" w:cs="宋体"/>
              </w:rPr>
              <w:t>0分钟。</w:t>
            </w:r>
          </w:p>
          <w:p w14:paraId="4057AEAC">
            <w:pPr>
              <w:pStyle w:val="20"/>
              <w:spacing w:line="360" w:lineRule="auto"/>
              <w:rPr>
                <w:rFonts w:ascii="宋体" w:hAnsi="宋体" w:cs="宋体"/>
              </w:rPr>
            </w:pPr>
            <w:r>
              <w:rPr>
                <w:rFonts w:hint="eastAsia" w:ascii="宋体" w:hAnsi="宋体" w:cs="宋体"/>
              </w:rPr>
              <w:t>2、最后一轮谈判结束后，所有仍在参加谈判的供应商按照谈判小组的要求做最后报价（含修正的响应文件，如有）。</w:t>
            </w:r>
          </w:p>
          <w:p w14:paraId="27F2EF4E">
            <w:pPr>
              <w:pStyle w:val="20"/>
              <w:spacing w:line="360" w:lineRule="auto"/>
            </w:pPr>
            <w:r>
              <w:rPr>
                <w:rFonts w:hint="eastAsia" w:ascii="宋体" w:hAnsi="宋体" w:cs="宋体"/>
              </w:rPr>
              <w:t>3</w:t>
            </w:r>
            <w:r>
              <w:rPr>
                <w:rFonts w:ascii="宋体" w:hAnsi="宋体" w:cs="宋体"/>
              </w:rPr>
              <w:t>、每轮报价均为</w:t>
            </w:r>
            <w:r>
              <w:rPr>
                <w:rFonts w:hint="eastAsia" w:ascii="宋体" w:hAnsi="宋体" w:cs="宋体"/>
              </w:rPr>
              <w:t>固定</w:t>
            </w:r>
            <w:r>
              <w:rPr>
                <w:rFonts w:ascii="宋体" w:hAnsi="宋体" w:cs="宋体"/>
              </w:rPr>
              <w:t>总价方式报价，最终成交结果确认后，供应商需提供最终的</w:t>
            </w:r>
            <w:r>
              <w:rPr>
                <w:rFonts w:hint="eastAsia" w:ascii="宋体" w:hAnsi="宋体" w:cs="宋体"/>
                <w:lang w:val="en-US" w:eastAsia="zh-CN"/>
              </w:rPr>
              <w:t>项目报价</w:t>
            </w:r>
            <w:r>
              <w:rPr>
                <w:rFonts w:ascii="宋体" w:hAnsi="宋体" w:cs="宋体"/>
              </w:rPr>
              <w:t>清单文件。</w:t>
            </w:r>
          </w:p>
          <w:p w14:paraId="64F810B5">
            <w:pPr>
              <w:pStyle w:val="20"/>
              <w:spacing w:line="360" w:lineRule="auto"/>
              <w:rPr>
                <w:rFonts w:hint="eastAsia" w:eastAsia="宋体"/>
                <w:lang w:val="en-US" w:eastAsia="zh-CN"/>
              </w:rPr>
            </w:pPr>
            <w:r>
              <w:rPr>
                <w:rFonts w:hint="eastAsia"/>
                <w:lang w:val="en-US" w:eastAsia="zh-CN"/>
              </w:rPr>
              <w:t>4、★本项目最终的明细报价清单以首次报价的清单价格作为价格基础，由成交人按照优惠率整体调整清单价格作为最终报价（优惠率为首次报价与成交价格为基准值计算）。成交人按要求在签订合同时提供该项目最终报价清单。</w:t>
            </w:r>
          </w:p>
        </w:tc>
      </w:tr>
      <w:tr w14:paraId="035D025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01" w:hRule="atLeast"/>
          <w:jc w:val="center"/>
        </w:trPr>
        <w:tc>
          <w:tcPr>
            <w:tcW w:w="979" w:type="dxa"/>
            <w:vAlign w:val="center"/>
          </w:tcPr>
          <w:p w14:paraId="28AE3625">
            <w:pPr>
              <w:snapToGrid w:val="0"/>
              <w:spacing w:line="360" w:lineRule="auto"/>
              <w:jc w:val="center"/>
              <w:rPr>
                <w:rFonts w:ascii="宋体" w:hAnsi="宋体" w:eastAsia="宋体" w:cs="仿宋"/>
                <w:sz w:val="24"/>
                <w:szCs w:val="24"/>
              </w:rPr>
            </w:pPr>
            <w:r>
              <w:rPr>
                <w:rFonts w:hint="eastAsia" w:ascii="宋体" w:hAnsi="宋体" w:eastAsia="宋体" w:cs="仿宋"/>
                <w:sz w:val="24"/>
                <w:szCs w:val="24"/>
              </w:rPr>
              <w:t>1</w:t>
            </w:r>
            <w:r>
              <w:rPr>
                <w:rFonts w:ascii="宋体" w:hAnsi="宋体" w:eastAsia="宋体" w:cs="仿宋"/>
                <w:sz w:val="24"/>
                <w:szCs w:val="24"/>
              </w:rPr>
              <w:t>7</w:t>
            </w:r>
          </w:p>
        </w:tc>
        <w:tc>
          <w:tcPr>
            <w:tcW w:w="1399" w:type="dxa"/>
            <w:vAlign w:val="center"/>
          </w:tcPr>
          <w:p w14:paraId="635C339F">
            <w:pPr>
              <w:pStyle w:val="25"/>
              <w:spacing w:line="360" w:lineRule="auto"/>
              <w:jc w:val="center"/>
              <w:rPr>
                <w:rFonts w:hAnsi="宋体" w:cs="楷体_GB2312"/>
                <w:sz w:val="24"/>
                <w:szCs w:val="24"/>
              </w:rPr>
            </w:pPr>
            <w:r>
              <w:rPr>
                <w:rFonts w:hint="eastAsia" w:hAnsi="宋体" w:cs="楷体_GB2312"/>
                <w:sz w:val="24"/>
                <w:szCs w:val="24"/>
              </w:rPr>
              <w:t>履约担保</w:t>
            </w:r>
          </w:p>
        </w:tc>
        <w:tc>
          <w:tcPr>
            <w:tcW w:w="7825" w:type="dxa"/>
            <w:vAlign w:val="center"/>
          </w:tcPr>
          <w:p w14:paraId="3D42EC17">
            <w:pPr>
              <w:spacing w:line="360" w:lineRule="auto"/>
              <w:jc w:val="left"/>
              <w:rPr>
                <w:rFonts w:hint="default" w:ascii="宋体" w:hAnsi="宋体" w:eastAsia="宋体" w:cs="楷体_GB2312"/>
                <w:sz w:val="24"/>
                <w:szCs w:val="24"/>
                <w:lang w:val="en-US" w:eastAsia="zh-CN"/>
              </w:rPr>
            </w:pPr>
            <w:r>
              <w:rPr>
                <w:rFonts w:hint="eastAsia" w:ascii="宋体" w:hAnsi="宋体" w:eastAsia="宋体" w:cs="楷体_GB2312"/>
                <w:sz w:val="24"/>
                <w:szCs w:val="24"/>
                <w:lang w:val="en-US" w:eastAsia="zh-CN"/>
              </w:rPr>
              <w:t>合同签订前，乙方向</w:t>
            </w:r>
            <w:r>
              <w:rPr>
                <w:rFonts w:hint="eastAsia" w:ascii="宋体" w:hAnsi="宋体" w:eastAsia="宋体" w:cs="楷体_GB2312"/>
                <w:kern w:val="0"/>
                <w:sz w:val="24"/>
                <w:szCs w:val="24"/>
                <w:lang w:val="en-US" w:eastAsia="zh-CN"/>
              </w:rPr>
              <w:t>甲方提供成交金额10%的履约保证金（有效期：12个月）。</w:t>
            </w:r>
          </w:p>
        </w:tc>
      </w:tr>
      <w:tr w14:paraId="4E937B2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01" w:hRule="atLeast"/>
          <w:jc w:val="center"/>
        </w:trPr>
        <w:tc>
          <w:tcPr>
            <w:tcW w:w="10203" w:type="dxa"/>
            <w:gridSpan w:val="3"/>
            <w:vAlign w:val="center"/>
          </w:tcPr>
          <w:p w14:paraId="193DD9F0">
            <w:pPr>
              <w:spacing w:line="360" w:lineRule="auto"/>
              <w:rPr>
                <w:rFonts w:ascii="宋体" w:hAnsi="宋体" w:eastAsia="宋体" w:cs="楷体_GB2312"/>
                <w:sz w:val="24"/>
                <w:szCs w:val="24"/>
              </w:rPr>
            </w:pPr>
            <w:r>
              <w:rPr>
                <w:rFonts w:hint="eastAsia" w:ascii="宋体" w:hAnsi="宋体" w:eastAsia="宋体" w:cs="楷体_GB2312"/>
                <w:sz w:val="24"/>
                <w:szCs w:val="24"/>
              </w:rPr>
              <w:t>需要补充的其他内容。</w:t>
            </w:r>
          </w:p>
        </w:tc>
      </w:tr>
      <w:tr w14:paraId="2CA9F91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01" w:hRule="atLeast"/>
          <w:jc w:val="center"/>
        </w:trPr>
        <w:tc>
          <w:tcPr>
            <w:tcW w:w="979" w:type="dxa"/>
            <w:vAlign w:val="center"/>
          </w:tcPr>
          <w:p w14:paraId="41145AC3">
            <w:pPr>
              <w:snapToGrid w:val="0"/>
              <w:spacing w:line="360" w:lineRule="auto"/>
              <w:jc w:val="center"/>
              <w:rPr>
                <w:rFonts w:ascii="宋体" w:hAnsi="宋体" w:eastAsia="宋体" w:cs="仿宋"/>
                <w:sz w:val="24"/>
                <w:szCs w:val="24"/>
                <w:highlight w:val="none"/>
              </w:rPr>
            </w:pPr>
            <w:r>
              <w:rPr>
                <w:rFonts w:hint="eastAsia" w:ascii="宋体" w:hAnsi="宋体" w:eastAsia="宋体" w:cs="仿宋"/>
                <w:sz w:val="24"/>
                <w:szCs w:val="24"/>
                <w:highlight w:val="none"/>
              </w:rPr>
              <w:t>1</w:t>
            </w:r>
            <w:r>
              <w:rPr>
                <w:rFonts w:ascii="宋体" w:hAnsi="宋体" w:eastAsia="宋体" w:cs="仿宋"/>
                <w:sz w:val="24"/>
                <w:szCs w:val="24"/>
                <w:highlight w:val="none"/>
              </w:rPr>
              <w:t>8</w:t>
            </w:r>
          </w:p>
        </w:tc>
        <w:tc>
          <w:tcPr>
            <w:tcW w:w="9224" w:type="dxa"/>
            <w:gridSpan w:val="2"/>
            <w:vAlign w:val="center"/>
          </w:tcPr>
          <w:p w14:paraId="1E90D94F">
            <w:pPr>
              <w:spacing w:line="360" w:lineRule="auto"/>
              <w:rPr>
                <w:rFonts w:ascii="宋体" w:hAnsi="宋体" w:eastAsia="宋体" w:cs="楷体_GB2312"/>
                <w:kern w:val="0"/>
                <w:sz w:val="24"/>
                <w:szCs w:val="24"/>
                <w:highlight w:val="none"/>
              </w:rPr>
            </w:pPr>
            <w:r>
              <w:rPr>
                <w:rFonts w:hint="eastAsia" w:ascii="宋体" w:hAnsi="宋体" w:eastAsia="宋体" w:cs="楷体_GB2312"/>
                <w:kern w:val="0"/>
                <w:sz w:val="24"/>
                <w:szCs w:val="24"/>
                <w:highlight w:val="none"/>
              </w:rPr>
              <w:t>付款</w:t>
            </w:r>
            <w:r>
              <w:rPr>
                <w:rFonts w:hint="eastAsia" w:ascii="宋体" w:hAnsi="宋体" w:eastAsia="宋体" w:cs="楷体_GB2312"/>
                <w:kern w:val="0"/>
                <w:sz w:val="24"/>
                <w:szCs w:val="24"/>
                <w:highlight w:val="none"/>
                <w:lang w:eastAsia="zh-CN"/>
              </w:rPr>
              <w:t>方式及条件</w:t>
            </w:r>
            <w:r>
              <w:rPr>
                <w:rFonts w:hint="eastAsia" w:ascii="宋体" w:hAnsi="宋体" w:eastAsia="宋体" w:cs="楷体_GB2312"/>
                <w:kern w:val="0"/>
                <w:sz w:val="24"/>
                <w:szCs w:val="24"/>
                <w:highlight w:val="none"/>
              </w:rPr>
              <w:t>：</w:t>
            </w:r>
            <w:r>
              <w:rPr>
                <w:rFonts w:hint="eastAsia" w:ascii="宋体" w:hAnsi="宋体" w:eastAsia="宋体" w:cs="楷体_GB2312"/>
                <w:kern w:val="0"/>
                <w:sz w:val="24"/>
                <w:szCs w:val="24"/>
                <w:highlight w:val="none"/>
                <w:lang w:val="en-US" w:eastAsia="zh-CN"/>
              </w:rPr>
              <w:t>合同签订前，乙方向甲方提供成交金额10%的履约保证金（有效期：12个月），合同签订后10个工作日内，乙方开具合同价100%发票，甲方支付合同价款的100%。项目履约完成后，乙方配合甲方开展决算审计工作。</w:t>
            </w:r>
            <w:r>
              <w:rPr>
                <w:rFonts w:hint="eastAsia" w:ascii="宋体" w:hAnsi="宋体" w:eastAsia="宋体" w:cs="宋体"/>
                <w:color w:val="auto"/>
                <w:sz w:val="24"/>
                <w:szCs w:val="24"/>
                <w:highlight w:val="none"/>
                <w:lang w:val="zh-TW" w:eastAsia="zh-CN"/>
              </w:rPr>
              <w:t>（</w:t>
            </w:r>
            <w:r>
              <w:rPr>
                <w:rFonts w:hint="eastAsia" w:ascii="宋体" w:hAnsi="宋体" w:eastAsia="宋体" w:cs="宋体"/>
                <w:color w:val="auto"/>
                <w:sz w:val="24"/>
                <w:szCs w:val="24"/>
                <w:highlight w:val="none"/>
                <w:lang w:val="zh-TW"/>
              </w:rPr>
              <w:t>服务周期内存在未按照合同履行服务</w:t>
            </w:r>
            <w:r>
              <w:rPr>
                <w:rFonts w:hint="eastAsia" w:ascii="宋体" w:hAnsi="宋体" w:eastAsia="宋体" w:cs="宋体"/>
                <w:color w:val="auto"/>
                <w:sz w:val="24"/>
                <w:szCs w:val="24"/>
                <w:highlight w:val="none"/>
                <w:lang w:val="en-US" w:eastAsia="zh-CN"/>
              </w:rPr>
              <w:t>等情形</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en-US" w:eastAsia="zh-CN"/>
              </w:rPr>
              <w:t>经第三方审计公司审减，审减金额可从履约保证金中扣除，若超出履约保证金上限，由乙方另行支付。</w:t>
            </w:r>
            <w:r>
              <w:rPr>
                <w:rFonts w:hint="eastAsia" w:ascii="宋体" w:hAnsi="宋体" w:eastAsia="宋体" w:cs="宋体"/>
                <w:color w:val="auto"/>
                <w:sz w:val="24"/>
                <w:szCs w:val="24"/>
                <w:highlight w:val="none"/>
                <w:lang w:val="zh-TW" w:eastAsia="zh-CN"/>
              </w:rPr>
              <w:t>）</w:t>
            </w:r>
          </w:p>
        </w:tc>
      </w:tr>
      <w:tr w14:paraId="0303E23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01" w:hRule="atLeast"/>
          <w:jc w:val="center"/>
        </w:trPr>
        <w:tc>
          <w:tcPr>
            <w:tcW w:w="979" w:type="dxa"/>
            <w:vAlign w:val="center"/>
          </w:tcPr>
          <w:p w14:paraId="4C260517">
            <w:pPr>
              <w:snapToGrid w:val="0"/>
              <w:spacing w:line="360" w:lineRule="auto"/>
              <w:jc w:val="center"/>
              <w:rPr>
                <w:rFonts w:ascii="宋体" w:hAnsi="宋体" w:eastAsia="宋体" w:cs="仿宋"/>
                <w:sz w:val="24"/>
                <w:szCs w:val="24"/>
              </w:rPr>
            </w:pPr>
            <w:r>
              <w:rPr>
                <w:rFonts w:hint="eastAsia" w:ascii="宋体" w:hAnsi="宋体" w:eastAsia="宋体" w:cs="仿宋"/>
                <w:sz w:val="24"/>
                <w:szCs w:val="24"/>
              </w:rPr>
              <w:t>1</w:t>
            </w:r>
            <w:r>
              <w:rPr>
                <w:rFonts w:ascii="宋体" w:hAnsi="宋体" w:eastAsia="宋体" w:cs="仿宋"/>
                <w:sz w:val="24"/>
                <w:szCs w:val="24"/>
              </w:rPr>
              <w:t>9</w:t>
            </w:r>
          </w:p>
        </w:tc>
        <w:tc>
          <w:tcPr>
            <w:tcW w:w="9224" w:type="dxa"/>
            <w:gridSpan w:val="2"/>
            <w:vAlign w:val="center"/>
          </w:tcPr>
          <w:p w14:paraId="2C8724A7">
            <w:pPr>
              <w:spacing w:line="360" w:lineRule="auto"/>
              <w:rPr>
                <w:rFonts w:ascii="宋体" w:hAnsi="宋体" w:eastAsia="宋体" w:cs="宋体"/>
                <w:sz w:val="24"/>
              </w:rPr>
            </w:pPr>
            <w:r>
              <w:rPr>
                <w:rFonts w:hint="eastAsia" w:ascii="宋体" w:hAnsi="宋体" w:eastAsia="宋体" w:cs="宋体"/>
                <w:sz w:val="24"/>
              </w:rPr>
              <w:t>根据《政府采购促进中小企业发展管理办法》（财库〔</w:t>
            </w:r>
            <w:r>
              <w:rPr>
                <w:rFonts w:hint="eastAsia" w:ascii="宋体" w:hAnsi="宋体" w:cs="宋体"/>
                <w:sz w:val="24"/>
              </w:rPr>
              <w:t>2020</w:t>
            </w:r>
            <w:r>
              <w:rPr>
                <w:rFonts w:hint="eastAsia" w:ascii="宋体" w:hAnsi="宋体" w:eastAsia="宋体" w:cs="宋体"/>
                <w:sz w:val="24"/>
              </w:rPr>
              <w:t>〕</w:t>
            </w:r>
            <w:r>
              <w:rPr>
                <w:rFonts w:hint="eastAsia" w:ascii="宋体" w:hAnsi="宋体" w:cs="宋体"/>
                <w:sz w:val="24"/>
              </w:rPr>
              <w:t>46</w:t>
            </w:r>
            <w:r>
              <w:rPr>
                <w:rFonts w:hint="eastAsia" w:ascii="宋体" w:hAnsi="宋体" w:eastAsia="宋体" w:cs="宋体"/>
                <w:sz w:val="24"/>
              </w:rPr>
              <w:t>号）文的有关规定，供应商属于符合本办法第二条之规定的中小企业者，应在响应文件中按财库〔</w:t>
            </w:r>
            <w:r>
              <w:rPr>
                <w:rFonts w:hint="eastAsia" w:ascii="宋体" w:hAnsi="宋体" w:cs="宋体"/>
                <w:sz w:val="24"/>
              </w:rPr>
              <w:t>2020</w:t>
            </w:r>
            <w:r>
              <w:rPr>
                <w:rFonts w:hint="eastAsia" w:ascii="宋体" w:hAnsi="宋体" w:eastAsia="宋体" w:cs="宋体"/>
                <w:sz w:val="24"/>
              </w:rPr>
              <w:t>〕</w:t>
            </w:r>
            <w:r>
              <w:rPr>
                <w:rFonts w:hint="eastAsia" w:ascii="宋体" w:hAnsi="宋体" w:cs="宋体"/>
                <w:sz w:val="24"/>
              </w:rPr>
              <w:t>46</w:t>
            </w:r>
            <w:r>
              <w:rPr>
                <w:rFonts w:hint="eastAsia" w:ascii="宋体" w:hAnsi="宋体" w:eastAsia="宋体" w:cs="宋体"/>
                <w:sz w:val="24"/>
              </w:rPr>
              <w:t>号文规定的《中小企业声明函》格式提供《中小企业声明函》（详见：响应文件格式）。</w:t>
            </w:r>
          </w:p>
          <w:p w14:paraId="290905D4">
            <w:pPr>
              <w:spacing w:line="360" w:lineRule="auto"/>
              <w:rPr>
                <w:rFonts w:hint="eastAsia" w:ascii="宋体" w:hAnsi="宋体" w:cs="宋体"/>
                <w:sz w:val="24"/>
              </w:rPr>
            </w:pPr>
            <w:r>
              <w:rPr>
                <w:rFonts w:ascii="宋体" w:hAnsi="宋体" w:cs="宋体"/>
                <w:sz w:val="24"/>
              </w:rPr>
              <w:t>本项目为专门面向中小企业采购项目，</w:t>
            </w:r>
            <w:r>
              <w:rPr>
                <w:rFonts w:hint="eastAsia" w:ascii="宋体" w:hAnsi="宋体" w:cs="宋体"/>
                <w:sz w:val="24"/>
              </w:rPr>
              <w:t>不再进行价格部分扣除。</w:t>
            </w:r>
          </w:p>
          <w:p w14:paraId="6B565216">
            <w:pPr>
              <w:pStyle w:val="148"/>
              <w:spacing w:line="360" w:lineRule="auto"/>
              <w:rPr>
                <w:rFonts w:hint="eastAsia"/>
                <w:b/>
              </w:rPr>
            </w:pPr>
            <w:r>
              <w:t>本项目采购标的属于</w:t>
            </w:r>
            <w:r>
              <w:rPr>
                <w:rFonts w:hint="eastAsia"/>
                <w:b/>
                <w:bCs/>
                <w:sz w:val="36"/>
                <w:szCs w:val="36"/>
              </w:rPr>
              <w:t>软件和信息技术服务业</w:t>
            </w:r>
            <w:r>
              <w:rPr>
                <w:b/>
                <w:sz w:val="32"/>
              </w:rPr>
              <w:t>。</w:t>
            </w:r>
            <w:r>
              <w:rPr>
                <w:rFonts w:hint="eastAsia"/>
              </w:rPr>
              <w:t>企业规模类型根据《中小企业划型标准规定》（工信部联企业[2011]300号）确定。</w:t>
            </w:r>
          </w:p>
          <w:p w14:paraId="22614389">
            <w:pPr>
              <w:spacing w:line="360" w:lineRule="auto"/>
              <w:rPr>
                <w:rFonts w:ascii="Calibri" w:hAnsi="Calibri"/>
                <w:b/>
                <w:sz w:val="24"/>
              </w:rPr>
            </w:pPr>
            <w:r>
              <w:rPr>
                <w:rFonts w:hint="eastAsia" w:ascii="Calibri" w:hAnsi="Calibri"/>
                <w:b/>
                <w:sz w:val="24"/>
              </w:rPr>
              <w:t>温馨提示：</w:t>
            </w:r>
          </w:p>
          <w:p w14:paraId="308398A9">
            <w:pPr>
              <w:spacing w:line="360" w:lineRule="auto"/>
              <w:rPr>
                <w:rFonts w:ascii="宋体" w:hAnsi="宋体" w:eastAsia="宋体" w:cs="宋体"/>
                <w:b/>
                <w:sz w:val="24"/>
              </w:rPr>
            </w:pPr>
            <w:r>
              <w:rPr>
                <w:rFonts w:hint="eastAsia" w:ascii="Calibri" w:hAnsi="Calibri"/>
                <w:b/>
                <w:sz w:val="24"/>
              </w:rPr>
              <w:t>1、为方便广大中小企业识别企业规模类型，</w:t>
            </w:r>
            <w:r>
              <w:rPr>
                <w:rFonts w:hint="eastAsia" w:ascii="Calibri" w:hAnsi="Calibri"/>
                <w:b/>
                <w:sz w:val="24"/>
                <w:u w:val="single"/>
              </w:rPr>
              <w:t>工业和信息化部组织开发了中小企业规模类型自测小程序，在国务院客户端和工业和信息化部网站上均有链接，</w:t>
            </w:r>
            <w:r>
              <w:rPr>
                <w:rFonts w:hint="eastAsia" w:ascii="Calibri" w:hAnsi="Calibri"/>
                <w:b/>
                <w:sz w:val="24"/>
              </w:rPr>
              <w:t>供应商填写所属的行业和指标数据可自动生成企业规模类型测试结果。</w:t>
            </w:r>
          </w:p>
        </w:tc>
      </w:tr>
      <w:tr w14:paraId="2A7380C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01" w:hRule="atLeast"/>
          <w:jc w:val="center"/>
        </w:trPr>
        <w:tc>
          <w:tcPr>
            <w:tcW w:w="979" w:type="dxa"/>
            <w:vAlign w:val="center"/>
          </w:tcPr>
          <w:p w14:paraId="01A1955B">
            <w:pPr>
              <w:snapToGrid w:val="0"/>
              <w:spacing w:line="360" w:lineRule="auto"/>
              <w:jc w:val="center"/>
              <w:rPr>
                <w:rFonts w:hint="eastAsia" w:ascii="宋体" w:hAnsi="宋体" w:eastAsia="宋体" w:cs="仿宋"/>
                <w:sz w:val="24"/>
                <w:szCs w:val="24"/>
                <w:lang w:eastAsia="zh-CN"/>
              </w:rPr>
            </w:pPr>
            <w:r>
              <w:rPr>
                <w:rFonts w:hint="eastAsia" w:ascii="宋体" w:hAnsi="宋体" w:eastAsia="宋体" w:cs="仿宋"/>
                <w:sz w:val="24"/>
                <w:szCs w:val="24"/>
              </w:rPr>
              <w:t>2</w:t>
            </w:r>
            <w:r>
              <w:rPr>
                <w:rFonts w:hint="eastAsia" w:ascii="宋体" w:hAnsi="宋体" w:eastAsia="宋体" w:cs="仿宋"/>
                <w:sz w:val="24"/>
                <w:szCs w:val="24"/>
                <w:lang w:val="en-US" w:eastAsia="zh-CN"/>
              </w:rPr>
              <w:t>0</w:t>
            </w:r>
          </w:p>
        </w:tc>
        <w:tc>
          <w:tcPr>
            <w:tcW w:w="9224" w:type="dxa"/>
            <w:gridSpan w:val="2"/>
            <w:vAlign w:val="center"/>
          </w:tcPr>
          <w:p w14:paraId="6CDBB966">
            <w:pPr>
              <w:spacing w:line="360" w:lineRule="auto"/>
              <w:rPr>
                <w:rFonts w:ascii="宋体" w:hAnsi="宋体" w:eastAsia="宋体" w:cs="楷体_GB2312"/>
                <w:kern w:val="0"/>
                <w:sz w:val="24"/>
                <w:szCs w:val="24"/>
              </w:rPr>
            </w:pPr>
            <w:r>
              <w:rPr>
                <w:rFonts w:hint="eastAsia" w:ascii="宋体" w:hAnsi="宋体" w:eastAsia="宋体" w:cs="楷体_GB2312"/>
                <w:kern w:val="0"/>
                <w:sz w:val="24"/>
                <w:szCs w:val="24"/>
              </w:rPr>
              <w:t>特别提示：本项目采用不见面开标，供应商须在响应截止时间前，将生成的“电子加密响应文件”上传递交至“政府采购云平台”，响应截止时间以后上传递交的响应文件将被“政府采购云平台”拒收。</w:t>
            </w:r>
          </w:p>
          <w:p w14:paraId="48A4E215">
            <w:pPr>
              <w:spacing w:line="360" w:lineRule="auto"/>
              <w:rPr>
                <w:rFonts w:ascii="宋体" w:hAnsi="宋体" w:eastAsia="宋体" w:cs="楷体_GB2312"/>
                <w:kern w:val="0"/>
                <w:sz w:val="24"/>
                <w:szCs w:val="24"/>
              </w:rPr>
            </w:pPr>
            <w:r>
              <w:rPr>
                <w:rFonts w:hint="eastAsia" w:ascii="宋体" w:hAnsi="宋体" w:eastAsia="宋体" w:cs="楷体_GB2312"/>
                <w:kern w:val="0"/>
                <w:sz w:val="24"/>
                <w:szCs w:val="24"/>
              </w:rPr>
              <w:t>备注：供应商对不见面开评标系统技术操作咨询，可通过 https://edu.zcygov.cn/luban/xinjiang-e-biding自助查询，也可在政采云帮助中心常见问题解答和操作流程讲解 视 频 中 自 助 查 询 ， 网 址 为 ：https://service.zcygov.cn/#/help，“项目采购”—“操作流程-电子招投标”—“政府采购项目电子交易管理操作指南- 供应商”版面获取操作指南，同时对自助查询无法解决的问题可通过钉钉群及政采云在线客服获取服务支持。</w:t>
            </w:r>
          </w:p>
        </w:tc>
      </w:tr>
      <w:tr w14:paraId="42C6C9C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01" w:hRule="atLeast"/>
          <w:jc w:val="center"/>
        </w:trPr>
        <w:tc>
          <w:tcPr>
            <w:tcW w:w="979" w:type="dxa"/>
            <w:vAlign w:val="center"/>
          </w:tcPr>
          <w:p w14:paraId="6F46EEB9">
            <w:pPr>
              <w:snapToGrid w:val="0"/>
              <w:spacing w:line="360" w:lineRule="auto"/>
              <w:jc w:val="center"/>
              <w:rPr>
                <w:rFonts w:hint="eastAsia" w:ascii="宋体" w:hAnsi="宋体" w:eastAsia="宋体" w:cs="仿宋"/>
                <w:sz w:val="24"/>
                <w:szCs w:val="24"/>
                <w:lang w:eastAsia="zh-CN"/>
              </w:rPr>
            </w:pPr>
            <w:r>
              <w:rPr>
                <w:rFonts w:hint="eastAsia" w:ascii="宋体" w:hAnsi="宋体" w:eastAsia="宋体" w:cs="仿宋"/>
                <w:sz w:val="24"/>
                <w:szCs w:val="24"/>
              </w:rPr>
              <w:t>2</w:t>
            </w:r>
            <w:r>
              <w:rPr>
                <w:rFonts w:hint="eastAsia" w:ascii="宋体" w:hAnsi="宋体" w:eastAsia="宋体" w:cs="仿宋"/>
                <w:sz w:val="24"/>
                <w:szCs w:val="24"/>
                <w:lang w:val="en-US" w:eastAsia="zh-CN"/>
              </w:rPr>
              <w:t>1</w:t>
            </w:r>
          </w:p>
        </w:tc>
        <w:tc>
          <w:tcPr>
            <w:tcW w:w="9224" w:type="dxa"/>
            <w:gridSpan w:val="2"/>
            <w:vAlign w:val="center"/>
          </w:tcPr>
          <w:p w14:paraId="568E5B10">
            <w:pPr>
              <w:spacing w:line="360" w:lineRule="auto"/>
              <w:rPr>
                <w:rFonts w:ascii="宋体" w:hAnsi="宋体" w:eastAsia="宋体" w:cs="宋体"/>
                <w:sz w:val="24"/>
              </w:rPr>
            </w:pPr>
            <w:r>
              <w:rPr>
                <w:rFonts w:hint="eastAsia" w:ascii="宋体" w:hAnsi="宋体" w:eastAsia="宋体" w:cs="微软雅黑"/>
                <w:sz w:val="24"/>
              </w:rPr>
              <w:t>供应商登录政采云平台，在响应截止时间前必须完成签到，</w:t>
            </w:r>
            <w:r>
              <w:rPr>
                <w:rFonts w:hint="eastAsia" w:ascii="宋体" w:hAnsi="宋体" w:eastAsia="宋体" w:cs="宋体"/>
                <w:sz w:val="24"/>
              </w:rPr>
              <w:t>(</w:t>
            </w:r>
            <w:r>
              <w:rPr>
                <w:rFonts w:hint="eastAsia" w:ascii="宋体" w:hAnsi="宋体" w:eastAsia="宋体" w:cs="微软雅黑"/>
                <w:sz w:val="24"/>
              </w:rPr>
              <w:t>本项目解密时长为：</w:t>
            </w:r>
            <w:r>
              <w:rPr>
                <w:rFonts w:hint="eastAsia" w:ascii="宋体" w:hAnsi="宋体" w:eastAsia="宋体" w:cs="宋体"/>
                <w:sz w:val="24"/>
              </w:rPr>
              <w:t xml:space="preserve">30 </w:t>
            </w:r>
            <w:r>
              <w:rPr>
                <w:rFonts w:hint="eastAsia" w:ascii="宋体" w:hAnsi="宋体" w:eastAsia="宋体" w:cs="微软雅黑"/>
                <w:sz w:val="24"/>
              </w:rPr>
              <w:t>分钟，签名时长为：</w:t>
            </w:r>
            <w:r>
              <w:rPr>
                <w:rFonts w:hint="eastAsia" w:ascii="宋体" w:hAnsi="宋体" w:eastAsia="宋体" w:cs="宋体"/>
                <w:sz w:val="24"/>
              </w:rPr>
              <w:t xml:space="preserve">10 </w:t>
            </w:r>
            <w:r>
              <w:rPr>
                <w:rFonts w:hint="eastAsia" w:ascii="宋体" w:hAnsi="宋体" w:eastAsia="宋体" w:cs="微软雅黑"/>
                <w:sz w:val="24"/>
              </w:rPr>
              <w:t>分钟</w:t>
            </w:r>
            <w:r>
              <w:rPr>
                <w:rFonts w:hint="eastAsia" w:ascii="宋体" w:hAnsi="宋体" w:eastAsia="宋体" w:cs="宋体"/>
                <w:sz w:val="24"/>
              </w:rPr>
              <w:t>)</w:t>
            </w:r>
            <w:r>
              <w:rPr>
                <w:rFonts w:hint="eastAsia" w:ascii="宋体" w:hAnsi="宋体" w:eastAsia="宋体" w:cs="微软雅黑"/>
                <w:sz w:val="24"/>
              </w:rPr>
              <w:t>；</w:t>
            </w:r>
            <w:r>
              <w:rPr>
                <w:rFonts w:hint="eastAsia" w:ascii="宋体" w:hAnsi="宋体" w:eastAsia="宋体" w:cs="宋体"/>
                <w:sz w:val="24"/>
              </w:rPr>
              <w:t xml:space="preserve"> </w:t>
            </w:r>
            <w:r>
              <w:rPr>
                <w:rFonts w:hint="eastAsia" w:ascii="宋体" w:hAnsi="宋体" w:eastAsia="宋体" w:cs="微软雅黑"/>
                <w:sz w:val="24"/>
              </w:rPr>
              <w:t>开标时间后</w:t>
            </w:r>
            <w:r>
              <w:rPr>
                <w:rFonts w:hint="eastAsia" w:ascii="宋体" w:hAnsi="宋体" w:eastAsia="宋体" w:cs="宋体"/>
                <w:sz w:val="24"/>
              </w:rPr>
              <w:t xml:space="preserve"> 30 </w:t>
            </w:r>
            <w:r>
              <w:rPr>
                <w:rFonts w:hint="eastAsia" w:ascii="宋体" w:hAnsi="宋体" w:eastAsia="宋体" w:cs="微软雅黑"/>
                <w:sz w:val="24"/>
              </w:rPr>
              <w:t>分钟内</w:t>
            </w:r>
            <w:r>
              <w:rPr>
                <w:rFonts w:hint="eastAsia" w:ascii="宋体" w:hAnsi="宋体" w:eastAsia="宋体" w:cs="宋体"/>
                <w:sz w:val="24"/>
              </w:rPr>
              <w:t xml:space="preserve"> (</w:t>
            </w:r>
            <w:r>
              <w:rPr>
                <w:rFonts w:hint="eastAsia" w:ascii="宋体" w:hAnsi="宋体" w:eastAsia="宋体" w:cs="微软雅黑"/>
                <w:sz w:val="24"/>
              </w:rPr>
              <w:t>用</w:t>
            </w:r>
            <w:r>
              <w:rPr>
                <w:rFonts w:ascii="宋体" w:hAnsi="宋体" w:eastAsia="宋体" w:cs="Calibri Light"/>
                <w:sz w:val="24"/>
              </w:rPr>
              <w:t>“</w:t>
            </w:r>
            <w:r>
              <w:rPr>
                <w:rFonts w:hint="eastAsia" w:ascii="宋体" w:hAnsi="宋体" w:eastAsia="宋体" w:cs="微软雅黑"/>
                <w:sz w:val="24"/>
              </w:rPr>
              <w:t>项目采购</w:t>
            </w:r>
            <w:r>
              <w:rPr>
                <w:rFonts w:hint="eastAsia" w:ascii="宋体" w:hAnsi="宋体" w:eastAsia="宋体" w:cs="宋体"/>
                <w:sz w:val="24"/>
              </w:rPr>
              <w:t xml:space="preserve"> - </w:t>
            </w:r>
            <w:r>
              <w:rPr>
                <w:rFonts w:hint="eastAsia" w:ascii="宋体" w:hAnsi="宋体" w:eastAsia="宋体" w:cs="微软雅黑"/>
                <w:sz w:val="24"/>
              </w:rPr>
              <w:t>开标评标</w:t>
            </w:r>
            <w:r>
              <w:rPr>
                <w:rFonts w:ascii="宋体" w:hAnsi="宋体" w:eastAsia="宋体" w:cs="Calibri Light"/>
                <w:sz w:val="24"/>
              </w:rPr>
              <w:t>”</w:t>
            </w:r>
            <w:r>
              <w:rPr>
                <w:rFonts w:hint="eastAsia" w:ascii="宋体" w:hAnsi="宋体" w:eastAsia="宋体" w:cs="微软雅黑"/>
                <w:sz w:val="24"/>
              </w:rPr>
              <w:t>功能进行解密响应文件。</w:t>
            </w:r>
          </w:p>
          <w:p w14:paraId="27875D11">
            <w:pPr>
              <w:spacing w:line="360" w:lineRule="auto"/>
              <w:rPr>
                <w:rFonts w:ascii="宋体" w:hAnsi="宋体" w:eastAsia="宋体" w:cs="宋体"/>
                <w:sz w:val="24"/>
              </w:rPr>
            </w:pPr>
            <w:r>
              <w:rPr>
                <w:rFonts w:hint="eastAsia" w:ascii="宋体" w:hAnsi="宋体" w:eastAsia="宋体" w:cs="微软雅黑"/>
                <w:sz w:val="24"/>
              </w:rPr>
              <w:t>若供应商在规定时间内未按时签到或解密的，视为无效投标。解密与加密响应文件须为同一个</w:t>
            </w:r>
            <w:r>
              <w:rPr>
                <w:rFonts w:hint="eastAsia" w:ascii="宋体" w:hAnsi="宋体" w:eastAsia="宋体" w:cs="宋体"/>
                <w:sz w:val="24"/>
              </w:rPr>
              <w:t xml:space="preserve"> CA</w:t>
            </w:r>
            <w:r>
              <w:rPr>
                <w:rFonts w:hint="eastAsia" w:ascii="宋体" w:hAnsi="宋体" w:eastAsia="宋体" w:cs="微软雅黑"/>
                <w:sz w:val="24"/>
              </w:rPr>
              <w:t>。</w:t>
            </w:r>
          </w:p>
          <w:p w14:paraId="506D4C53">
            <w:pPr>
              <w:spacing w:line="360" w:lineRule="auto"/>
              <w:rPr>
                <w:rFonts w:ascii="宋体" w:hAnsi="宋体" w:eastAsia="宋体" w:cs="宋体"/>
                <w:sz w:val="24"/>
              </w:rPr>
            </w:pPr>
            <w:r>
              <w:rPr>
                <w:rFonts w:hint="eastAsia" w:ascii="宋体" w:hAnsi="宋体" w:eastAsia="宋体" w:cs="宋体"/>
                <w:sz w:val="24"/>
              </w:rPr>
              <w:t>本项目采用不见面开标，供应商须在响应截止时间前，将生成的“电子加密响应文件”上传递交至“政府采购云平台”，响应截止时间以后上传递交的响应文件将被“政府采购云平台”拒收。</w:t>
            </w:r>
          </w:p>
          <w:p w14:paraId="4356F4EF">
            <w:pPr>
              <w:spacing w:line="360" w:lineRule="auto"/>
              <w:rPr>
                <w:rFonts w:ascii="宋体" w:hAnsi="宋体" w:eastAsia="宋体" w:cs="宋体"/>
                <w:sz w:val="24"/>
              </w:rPr>
            </w:pPr>
            <w:r>
              <w:rPr>
                <w:rFonts w:hint="eastAsia" w:ascii="宋体" w:hAnsi="宋体" w:eastAsia="宋体" w:cs="宋体"/>
                <w:sz w:val="24"/>
              </w:rPr>
              <w:t>备注：供应商对不见面开评标系统技术操作咨询，可通过 https://edu.zcygov.cn/luban/xinjiang-e-biding自助查询，也可在政采云帮助中心常见问题解答和操作流程讲解 视 频 中 自 助 查 询 ， 网 址 为 ：https://service.zcygov.cn/#/help，“项目采购”—“操作流程-电子招投标”—“政府采购项目电子交易管理操作指南- 供应商”版面获取操作指南，同时对自助查询无法解决的问题可通过钉钉群及政采云在线客服获取服务支持。</w:t>
            </w:r>
          </w:p>
          <w:p w14:paraId="33CF81B5">
            <w:pPr>
              <w:spacing w:line="360" w:lineRule="auto"/>
              <w:rPr>
                <w:rFonts w:ascii="宋体" w:hAnsi="宋体" w:eastAsia="宋体" w:cs="宋体"/>
                <w:sz w:val="24"/>
              </w:rPr>
            </w:pPr>
            <w:r>
              <w:rPr>
                <w:rFonts w:hint="eastAsia" w:ascii="宋体" w:hAnsi="宋体" w:eastAsia="宋体" w:cs="宋体"/>
                <w:sz w:val="24"/>
              </w:rPr>
              <w:t>供应商登录政采云平台，在响应截止时间前必须完成签到，(</w:t>
            </w:r>
            <w:r>
              <w:rPr>
                <w:rFonts w:hint="eastAsia" w:ascii="宋体" w:hAnsi="宋体" w:eastAsia="宋体" w:cs="微软雅黑"/>
                <w:sz w:val="24"/>
              </w:rPr>
              <w:t>本项目解密时长为：</w:t>
            </w:r>
            <w:r>
              <w:rPr>
                <w:rFonts w:hint="eastAsia" w:ascii="宋体" w:hAnsi="宋体" w:eastAsia="宋体" w:cs="宋体"/>
                <w:sz w:val="24"/>
              </w:rPr>
              <w:t xml:space="preserve">30 </w:t>
            </w:r>
            <w:r>
              <w:rPr>
                <w:rFonts w:hint="eastAsia" w:ascii="宋体" w:hAnsi="宋体" w:eastAsia="宋体" w:cs="微软雅黑"/>
                <w:sz w:val="24"/>
              </w:rPr>
              <w:t>分钟，签名时长为：</w:t>
            </w:r>
            <w:r>
              <w:rPr>
                <w:rFonts w:hint="eastAsia" w:ascii="宋体" w:hAnsi="宋体" w:eastAsia="宋体" w:cs="宋体"/>
                <w:sz w:val="24"/>
              </w:rPr>
              <w:t xml:space="preserve">10 </w:t>
            </w:r>
            <w:r>
              <w:rPr>
                <w:rFonts w:hint="eastAsia" w:ascii="宋体" w:hAnsi="宋体" w:eastAsia="宋体" w:cs="微软雅黑"/>
                <w:sz w:val="24"/>
              </w:rPr>
              <w:t>分钟</w:t>
            </w:r>
            <w:r>
              <w:rPr>
                <w:rFonts w:hint="eastAsia" w:ascii="宋体" w:hAnsi="宋体" w:eastAsia="宋体" w:cs="宋体"/>
                <w:sz w:val="24"/>
              </w:rPr>
              <w:t>)</w:t>
            </w:r>
            <w:r>
              <w:rPr>
                <w:rFonts w:hint="eastAsia" w:ascii="宋体" w:hAnsi="宋体" w:eastAsia="宋体" w:cs="微软雅黑"/>
                <w:sz w:val="24"/>
              </w:rPr>
              <w:t>；</w:t>
            </w:r>
            <w:r>
              <w:rPr>
                <w:rFonts w:hint="eastAsia" w:ascii="宋体" w:hAnsi="宋体" w:eastAsia="宋体" w:cs="宋体"/>
                <w:sz w:val="24"/>
              </w:rPr>
              <w:t xml:space="preserve"> </w:t>
            </w:r>
            <w:r>
              <w:rPr>
                <w:rFonts w:hint="eastAsia" w:ascii="宋体" w:hAnsi="宋体" w:eastAsia="宋体" w:cs="微软雅黑"/>
                <w:sz w:val="24"/>
              </w:rPr>
              <w:t>开标时间后</w:t>
            </w:r>
            <w:r>
              <w:rPr>
                <w:rFonts w:hint="eastAsia" w:ascii="宋体" w:hAnsi="宋体" w:eastAsia="宋体" w:cs="宋体"/>
                <w:sz w:val="24"/>
              </w:rPr>
              <w:t xml:space="preserve"> 30 </w:t>
            </w:r>
            <w:r>
              <w:rPr>
                <w:rFonts w:hint="eastAsia" w:ascii="宋体" w:hAnsi="宋体" w:eastAsia="宋体" w:cs="微软雅黑"/>
                <w:sz w:val="24"/>
              </w:rPr>
              <w:t>分钟内</w:t>
            </w:r>
            <w:r>
              <w:rPr>
                <w:rFonts w:hint="eastAsia" w:ascii="宋体" w:hAnsi="宋体" w:eastAsia="宋体" w:cs="宋体"/>
                <w:sz w:val="24"/>
              </w:rPr>
              <w:t xml:space="preserve"> (</w:t>
            </w:r>
            <w:r>
              <w:rPr>
                <w:rFonts w:hint="eastAsia" w:ascii="宋体" w:hAnsi="宋体" w:eastAsia="宋体" w:cs="微软雅黑"/>
                <w:sz w:val="24"/>
              </w:rPr>
              <w:t>用</w:t>
            </w:r>
            <w:r>
              <w:rPr>
                <w:rFonts w:ascii="宋体" w:hAnsi="宋体" w:eastAsia="宋体" w:cs="Calibri Light"/>
                <w:sz w:val="24"/>
              </w:rPr>
              <w:t>“</w:t>
            </w:r>
            <w:r>
              <w:rPr>
                <w:rFonts w:hint="eastAsia" w:ascii="宋体" w:hAnsi="宋体" w:eastAsia="宋体" w:cs="微软雅黑"/>
                <w:sz w:val="24"/>
              </w:rPr>
              <w:t>项目采购</w:t>
            </w:r>
            <w:r>
              <w:rPr>
                <w:rFonts w:hint="eastAsia" w:ascii="宋体" w:hAnsi="宋体" w:eastAsia="宋体" w:cs="宋体"/>
                <w:sz w:val="24"/>
              </w:rPr>
              <w:t xml:space="preserve"> - </w:t>
            </w:r>
            <w:r>
              <w:rPr>
                <w:rFonts w:hint="eastAsia" w:ascii="宋体" w:hAnsi="宋体" w:eastAsia="宋体" w:cs="微软雅黑"/>
                <w:sz w:val="24"/>
              </w:rPr>
              <w:t>开标评标</w:t>
            </w:r>
            <w:r>
              <w:rPr>
                <w:rFonts w:ascii="宋体" w:hAnsi="宋体" w:eastAsia="宋体" w:cs="Calibri Light"/>
                <w:sz w:val="24"/>
              </w:rPr>
              <w:t>”</w:t>
            </w:r>
            <w:r>
              <w:rPr>
                <w:rFonts w:hint="eastAsia" w:ascii="宋体" w:hAnsi="宋体" w:eastAsia="宋体" w:cs="微软雅黑"/>
                <w:sz w:val="24"/>
              </w:rPr>
              <w:t>功能进行解密响应文件。</w:t>
            </w:r>
          </w:p>
          <w:p w14:paraId="3A92DFE1">
            <w:pPr>
              <w:pStyle w:val="15"/>
              <w:ind w:firstLine="480"/>
              <w:rPr>
                <w:rFonts w:ascii="宋体" w:hAnsi="宋体" w:eastAsia="宋体"/>
              </w:rPr>
            </w:pPr>
            <w:r>
              <w:rPr>
                <w:rFonts w:hint="eastAsia" w:ascii="宋体" w:hAnsi="宋体" w:eastAsia="宋体" w:cs="宋体"/>
                <w:sz w:val="24"/>
              </w:rPr>
              <w:t>若供应商在规定时间内未按时签到或解密的，视为无效投标。解密与加密响应文件须为同一个 CA。</w:t>
            </w:r>
          </w:p>
        </w:tc>
      </w:tr>
      <w:tr w14:paraId="6EBAF76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01" w:hRule="atLeast"/>
          <w:jc w:val="center"/>
        </w:trPr>
        <w:tc>
          <w:tcPr>
            <w:tcW w:w="979" w:type="dxa"/>
            <w:vAlign w:val="center"/>
          </w:tcPr>
          <w:p w14:paraId="616600B2">
            <w:pPr>
              <w:snapToGrid w:val="0"/>
              <w:spacing w:line="360" w:lineRule="auto"/>
              <w:jc w:val="center"/>
              <w:rPr>
                <w:rFonts w:hint="eastAsia" w:ascii="宋体" w:hAnsi="宋体" w:eastAsia="宋体" w:cs="仿宋"/>
                <w:sz w:val="24"/>
                <w:szCs w:val="24"/>
                <w:lang w:eastAsia="zh-CN"/>
              </w:rPr>
            </w:pPr>
            <w:r>
              <w:rPr>
                <w:rFonts w:hint="eastAsia" w:ascii="宋体" w:hAnsi="宋体" w:eastAsia="宋体" w:cs="仿宋"/>
                <w:sz w:val="24"/>
                <w:szCs w:val="24"/>
              </w:rPr>
              <w:t>2</w:t>
            </w:r>
            <w:r>
              <w:rPr>
                <w:rFonts w:hint="eastAsia" w:ascii="宋体" w:hAnsi="宋体" w:eastAsia="宋体" w:cs="仿宋"/>
                <w:sz w:val="24"/>
                <w:szCs w:val="24"/>
                <w:lang w:val="en-US" w:eastAsia="zh-CN"/>
              </w:rPr>
              <w:t>2</w:t>
            </w:r>
          </w:p>
        </w:tc>
        <w:tc>
          <w:tcPr>
            <w:tcW w:w="9224" w:type="dxa"/>
            <w:gridSpan w:val="2"/>
            <w:vAlign w:val="center"/>
          </w:tcPr>
          <w:p w14:paraId="4B5B24BD">
            <w:pPr>
              <w:pStyle w:val="25"/>
              <w:spacing w:line="360" w:lineRule="auto"/>
              <w:rPr>
                <w:rFonts w:hAnsi="宋体" w:cs="楷体_GB2312"/>
                <w:sz w:val="24"/>
                <w:szCs w:val="24"/>
              </w:rPr>
            </w:pPr>
            <w:r>
              <w:rPr>
                <w:rFonts w:hint="eastAsia" w:hAnsi="宋体" w:cs="楷体_GB2312"/>
                <w:kern w:val="1"/>
                <w:sz w:val="24"/>
                <w:szCs w:val="24"/>
              </w:rPr>
              <w:t>注：如本《供应商须知前附表》相关内容与竞争性谈判文件中的相关内容如有不一致处，则以本《供应商须知前附表》相关内容为准。</w:t>
            </w:r>
          </w:p>
        </w:tc>
      </w:tr>
      <w:tr w14:paraId="0244110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01" w:hRule="atLeast"/>
          <w:jc w:val="center"/>
        </w:trPr>
        <w:tc>
          <w:tcPr>
            <w:tcW w:w="979" w:type="dxa"/>
            <w:vAlign w:val="center"/>
          </w:tcPr>
          <w:p w14:paraId="0BCAAA51">
            <w:pPr>
              <w:snapToGrid w:val="0"/>
              <w:spacing w:line="360" w:lineRule="auto"/>
              <w:jc w:val="center"/>
              <w:rPr>
                <w:rFonts w:ascii="宋体" w:hAnsi="宋体" w:eastAsia="宋体" w:cs="仿宋"/>
                <w:sz w:val="24"/>
                <w:szCs w:val="24"/>
              </w:rPr>
            </w:pPr>
            <w:r>
              <w:rPr>
                <w:rFonts w:hint="eastAsia" w:ascii="宋体" w:hAnsi="宋体" w:eastAsia="宋体" w:cs="仿宋"/>
                <w:sz w:val="24"/>
                <w:szCs w:val="24"/>
              </w:rPr>
              <w:t>2</w:t>
            </w:r>
            <w:r>
              <w:rPr>
                <w:rFonts w:ascii="宋体" w:hAnsi="宋体" w:eastAsia="宋体" w:cs="仿宋"/>
                <w:sz w:val="24"/>
                <w:szCs w:val="24"/>
              </w:rPr>
              <w:t>4</w:t>
            </w:r>
          </w:p>
        </w:tc>
        <w:tc>
          <w:tcPr>
            <w:tcW w:w="9224" w:type="dxa"/>
            <w:gridSpan w:val="2"/>
            <w:vAlign w:val="center"/>
          </w:tcPr>
          <w:p w14:paraId="0A58C3E3">
            <w:pPr>
              <w:pStyle w:val="180"/>
              <w:spacing w:line="360" w:lineRule="auto"/>
              <w:rPr>
                <w:rFonts w:hint="eastAsia" w:ascii="宋体" w:hAnsi="宋体" w:eastAsia="宋体" w:cs="宋体"/>
                <w:sz w:val="24"/>
              </w:rPr>
            </w:pPr>
            <w:r>
              <w:rPr>
                <w:rFonts w:hint="eastAsia" w:ascii="宋体" w:hAnsi="宋体" w:eastAsia="宋体" w:cs="宋体"/>
                <w:sz w:val="24"/>
                <w:highlight w:val="white"/>
              </w:rPr>
              <w:t>☐不缴纳</w:t>
            </w:r>
          </w:p>
          <w:p w14:paraId="38503B51">
            <w:pPr>
              <w:pStyle w:val="180"/>
              <w:spacing w:line="360" w:lineRule="auto"/>
              <w:rPr>
                <w:rFonts w:hint="eastAsia" w:ascii="宋体" w:hAnsi="宋体" w:eastAsia="宋体" w:cs="宋体"/>
                <w:sz w:val="24"/>
              </w:rPr>
            </w:pPr>
            <w:r>
              <w:rPr>
                <w:rFonts w:hint="eastAsia" w:ascii="宋体" w:hAnsi="宋体" w:eastAsia="宋体" w:cs="宋体"/>
                <w:kern w:val="0"/>
                <w:sz w:val="24"/>
                <w:highlight w:val="white"/>
              </w:rPr>
              <w:t>☑</w:t>
            </w:r>
            <w:r>
              <w:rPr>
                <w:rFonts w:hint="eastAsia" w:ascii="宋体" w:hAnsi="宋体" w:eastAsia="宋体" w:cs="宋体"/>
                <w:sz w:val="24"/>
                <w:highlight w:val="white"/>
              </w:rPr>
              <w:t>缴纳</w:t>
            </w:r>
          </w:p>
          <w:p w14:paraId="60BA1CF0">
            <w:pPr>
              <w:pStyle w:val="181"/>
              <w:spacing w:line="360" w:lineRule="auto"/>
              <w:rPr>
                <w:rFonts w:hint="eastAsia" w:ascii="宋体" w:hAnsi="宋体" w:eastAsia="宋体" w:cs="宋体"/>
                <w:kern w:val="0"/>
                <w:sz w:val="24"/>
              </w:rPr>
            </w:pPr>
            <w:r>
              <w:rPr>
                <w:rFonts w:hint="eastAsia" w:ascii="宋体" w:hAnsi="宋体" w:eastAsia="宋体" w:cs="宋体"/>
                <w:sz w:val="24"/>
                <w:highlight w:val="white"/>
              </w:rPr>
              <w:t>交纳时间：</w:t>
            </w:r>
            <w:bookmarkStart w:id="18" w:name="EB80018a400e2944cca35737b83cee6afa"/>
            <w:r>
              <w:rPr>
                <w:rFonts w:hint="eastAsia" w:ascii="宋体" w:hAnsi="宋体" w:eastAsia="宋体" w:cs="宋体"/>
                <w:sz w:val="24"/>
                <w:highlight w:val="white"/>
              </w:rPr>
              <w:t>成交通知书发出时</w:t>
            </w:r>
            <w:bookmarkEnd w:id="18"/>
          </w:p>
          <w:p w14:paraId="3DC061B7">
            <w:pPr>
              <w:pStyle w:val="25"/>
              <w:spacing w:line="360" w:lineRule="auto"/>
              <w:rPr>
                <w:rFonts w:hint="default" w:hAnsi="宋体" w:eastAsia="宋体" w:cs="宋体"/>
                <w:bCs/>
                <w:sz w:val="24"/>
                <w:szCs w:val="24"/>
                <w:highlight w:val="none"/>
                <w:lang w:val="en-US" w:eastAsia="zh-CN"/>
              </w:rPr>
            </w:pPr>
            <w:r>
              <w:rPr>
                <w:rFonts w:hint="eastAsia" w:hAnsi="宋体" w:cs="宋体"/>
                <w:bCs/>
                <w:sz w:val="24"/>
                <w:szCs w:val="24"/>
                <w:lang w:val="en-US" w:eastAsia="zh-CN"/>
              </w:rPr>
              <w:t>1、</w:t>
            </w:r>
            <w:r>
              <w:rPr>
                <w:rFonts w:hint="eastAsia" w:hAnsi="宋体" w:cs="宋体"/>
                <w:bCs/>
                <w:sz w:val="24"/>
                <w:szCs w:val="24"/>
              </w:rPr>
              <w:t>采购人委托了专业的招标代理机构实施本次招标工作。招标代理服务费</w:t>
            </w:r>
            <w:r>
              <w:rPr>
                <w:rFonts w:hint="eastAsia" w:ascii="宋体" w:hAnsi="宋体" w:eastAsia="宋体" w:cs="宋体"/>
                <w:kern w:val="0"/>
                <w:sz w:val="24"/>
                <w:highlight w:val="white"/>
              </w:rPr>
              <w:t>根据本公司与采购人的代理协议约定，采购代理服务费由成交人向代理机构支付，采购代理服务费以成交金额作为收费的计算基数</w:t>
            </w:r>
            <w:r>
              <w:rPr>
                <w:rFonts w:hint="eastAsia" w:hAnsi="宋体" w:cs="宋体"/>
                <w:bCs/>
                <w:sz w:val="24"/>
                <w:szCs w:val="24"/>
                <w:lang w:eastAsia="zh-CN"/>
              </w:rPr>
              <w:t>，</w:t>
            </w:r>
            <w:r>
              <w:rPr>
                <w:rFonts w:hint="eastAsia" w:hAnsi="宋体" w:cs="宋体"/>
                <w:bCs/>
                <w:sz w:val="24"/>
                <w:szCs w:val="24"/>
                <w:lang w:val="en-US" w:eastAsia="zh-CN"/>
              </w:rPr>
              <w:t>收</w:t>
            </w:r>
            <w:r>
              <w:rPr>
                <w:rFonts w:hint="eastAsia" w:hAnsi="宋体" w:cs="宋体"/>
                <w:bCs/>
                <w:sz w:val="24"/>
                <w:szCs w:val="24"/>
                <w:highlight w:val="none"/>
                <w:lang w:val="en-US" w:eastAsia="zh-CN"/>
              </w:rPr>
              <w:t>费标准为1.5%。</w:t>
            </w:r>
          </w:p>
          <w:p w14:paraId="275866F7">
            <w:pPr>
              <w:spacing w:line="360" w:lineRule="auto"/>
              <w:rPr>
                <w:rFonts w:ascii="宋体" w:hAnsi="宋体" w:cs="宋体"/>
                <w:sz w:val="24"/>
                <w:highlight w:val="none"/>
              </w:rPr>
            </w:pPr>
            <w:r>
              <w:rPr>
                <w:rFonts w:hint="eastAsia" w:hAnsi="宋体" w:cs="宋体"/>
                <w:bCs/>
                <w:sz w:val="24"/>
                <w:szCs w:val="24"/>
                <w:highlight w:val="none"/>
              </w:rPr>
              <w:t>根据上述文件的规定，本次招标代理服务费由</w:t>
            </w:r>
            <w:r>
              <w:rPr>
                <w:rFonts w:hint="eastAsia" w:hAnsi="宋体" w:cs="宋体"/>
                <w:bCs/>
                <w:sz w:val="24"/>
                <w:szCs w:val="24"/>
                <w:highlight w:val="none"/>
                <w:lang w:val="en-US" w:eastAsia="zh-CN"/>
              </w:rPr>
              <w:t>成交</w:t>
            </w:r>
            <w:r>
              <w:rPr>
                <w:rFonts w:hint="eastAsia" w:hAnsi="宋体" w:cs="宋体"/>
                <w:bCs/>
                <w:sz w:val="24"/>
                <w:szCs w:val="24"/>
                <w:highlight w:val="none"/>
              </w:rPr>
              <w:t>单位支付。</w:t>
            </w:r>
            <w:r>
              <w:rPr>
                <w:rFonts w:hint="eastAsia" w:ascii="宋体" w:hAnsi="宋体" w:cs="宋体"/>
                <w:sz w:val="24"/>
                <w:highlight w:val="none"/>
              </w:rPr>
              <w:t>2、</w:t>
            </w:r>
            <w:r>
              <w:rPr>
                <w:rFonts w:hint="eastAsia" w:ascii="宋体" w:hAnsi="宋体" w:cs="宋体"/>
                <w:sz w:val="24"/>
                <w:highlight w:val="none"/>
                <w:lang w:eastAsia="zh-CN"/>
              </w:rPr>
              <w:t>成交人</w:t>
            </w:r>
            <w:r>
              <w:rPr>
                <w:rFonts w:hint="eastAsia" w:ascii="宋体" w:hAnsi="宋体" w:cs="宋体"/>
                <w:sz w:val="24"/>
                <w:highlight w:val="none"/>
              </w:rPr>
              <w:t>不再支付其他任何费用和款项。</w:t>
            </w:r>
          </w:p>
          <w:p w14:paraId="6C662B58">
            <w:pPr>
              <w:spacing w:line="360" w:lineRule="auto"/>
              <w:rPr>
                <w:rFonts w:ascii="宋体" w:hAnsi="宋体" w:cs="宋体"/>
                <w:sz w:val="24"/>
                <w:highlight w:val="none"/>
              </w:rPr>
            </w:pPr>
            <w:r>
              <w:rPr>
                <w:rFonts w:hint="eastAsia" w:ascii="宋体" w:hAnsi="宋体" w:cs="宋体"/>
                <w:sz w:val="24"/>
                <w:highlight w:val="none"/>
                <w:lang w:eastAsia="zh-CN"/>
              </w:rPr>
              <w:t>3</w:t>
            </w:r>
            <w:r>
              <w:rPr>
                <w:rFonts w:hint="eastAsia" w:ascii="宋体" w:hAnsi="宋体" w:cs="宋体"/>
                <w:sz w:val="24"/>
                <w:highlight w:val="none"/>
              </w:rPr>
              <w:t>、</w:t>
            </w:r>
            <w:r>
              <w:rPr>
                <w:rFonts w:hint="eastAsia" w:ascii="宋体" w:hAnsi="宋体" w:cs="宋体"/>
                <w:sz w:val="24"/>
                <w:highlight w:val="none"/>
                <w:lang w:eastAsia="zh-CN"/>
              </w:rPr>
              <w:t>成交人</w:t>
            </w:r>
            <w:r>
              <w:rPr>
                <w:rFonts w:hint="eastAsia" w:ascii="宋体" w:hAnsi="宋体" w:cs="宋体"/>
                <w:sz w:val="24"/>
                <w:highlight w:val="none"/>
              </w:rPr>
              <w:t>于中标公示发布后7个工作日内一次性向招标代理公司支付代理服务费。</w:t>
            </w:r>
          </w:p>
          <w:p w14:paraId="533439F2">
            <w:pPr>
              <w:spacing w:line="360" w:lineRule="auto"/>
              <w:rPr>
                <w:rFonts w:ascii="宋体" w:hAnsi="宋体" w:cs="宋体"/>
                <w:sz w:val="24"/>
              </w:rPr>
            </w:pPr>
            <w:r>
              <w:rPr>
                <w:rFonts w:hint="eastAsia" w:ascii="宋体" w:hAnsi="宋体" w:cs="宋体"/>
                <w:sz w:val="24"/>
              </w:rPr>
              <w:t>三、责任认定</w:t>
            </w:r>
          </w:p>
          <w:p w14:paraId="6D4E2BC3">
            <w:pPr>
              <w:spacing w:line="360" w:lineRule="auto"/>
              <w:rPr>
                <w:rFonts w:ascii="宋体" w:hAnsi="宋体" w:cs="宋体"/>
                <w:sz w:val="24"/>
              </w:rPr>
            </w:pPr>
            <w:r>
              <w:rPr>
                <w:rFonts w:hint="eastAsia" w:ascii="宋体" w:hAnsi="宋体" w:cs="宋体"/>
                <w:sz w:val="24"/>
              </w:rPr>
              <w:t>1、</w:t>
            </w:r>
            <w:r>
              <w:rPr>
                <w:rFonts w:hint="eastAsia" w:ascii="宋体" w:hAnsi="宋体" w:cs="宋体"/>
                <w:sz w:val="24"/>
                <w:lang w:eastAsia="zh-CN"/>
              </w:rPr>
              <w:t>成交人</w:t>
            </w:r>
            <w:r>
              <w:rPr>
                <w:rFonts w:hint="eastAsia" w:ascii="宋体" w:hAnsi="宋体" w:cs="宋体"/>
                <w:sz w:val="24"/>
              </w:rPr>
              <w:t>应如实向招标代理公司履行付款义务，</w:t>
            </w:r>
            <w:r>
              <w:rPr>
                <w:rFonts w:hint="eastAsia" w:ascii="宋体" w:hAnsi="宋体" w:cs="宋体"/>
                <w:sz w:val="24"/>
                <w:lang w:eastAsia="zh-CN"/>
              </w:rPr>
              <w:t>成交人</w:t>
            </w:r>
            <w:r>
              <w:rPr>
                <w:rFonts w:hint="eastAsia" w:ascii="宋体" w:hAnsi="宋体" w:cs="宋体"/>
                <w:sz w:val="24"/>
              </w:rPr>
              <w:t>的付款金额以前款约定的协议金额为限；因</w:t>
            </w:r>
            <w:r>
              <w:rPr>
                <w:rFonts w:hint="eastAsia" w:ascii="宋体" w:hAnsi="宋体" w:cs="宋体"/>
                <w:sz w:val="24"/>
                <w:lang w:eastAsia="zh-CN"/>
              </w:rPr>
              <w:t>成交人</w:t>
            </w:r>
            <w:r>
              <w:rPr>
                <w:rFonts w:hint="eastAsia" w:ascii="宋体" w:hAnsi="宋体" w:cs="宋体"/>
                <w:sz w:val="24"/>
              </w:rPr>
              <w:t>不能向招标代理公司按时付款所发生的一切法律纠纷均与采购人无关，如因此导致采购人承担责任或造成损失，采购人有权向其全额追偿。</w:t>
            </w:r>
          </w:p>
          <w:p w14:paraId="7A53ECA6">
            <w:pPr>
              <w:spacing w:line="360" w:lineRule="auto"/>
              <w:rPr>
                <w:rFonts w:ascii="宋体" w:hAnsi="宋体" w:cs="宋体"/>
                <w:sz w:val="24"/>
              </w:rPr>
            </w:pPr>
            <w:r>
              <w:rPr>
                <w:rFonts w:hint="eastAsia" w:ascii="宋体" w:hAnsi="宋体" w:cs="宋体"/>
                <w:sz w:val="24"/>
              </w:rPr>
              <w:t>2</w:t>
            </w:r>
            <w:r>
              <w:rPr>
                <w:rFonts w:hint="eastAsia" w:ascii="宋体" w:hAnsi="宋体" w:eastAsia="宋体" w:cs="宋体"/>
                <w:sz w:val="24"/>
              </w:rPr>
              <w:t>、协议履行过程中，招标代理公司不得以</w:t>
            </w:r>
            <w:r>
              <w:rPr>
                <w:rFonts w:hint="eastAsia" w:ascii="宋体" w:hAnsi="宋体" w:eastAsia="宋体" w:cs="宋体"/>
                <w:sz w:val="24"/>
                <w:lang w:eastAsia="zh-CN"/>
              </w:rPr>
              <w:t>成交人</w:t>
            </w:r>
            <w:r>
              <w:rPr>
                <w:rFonts w:hint="eastAsia" w:ascii="宋体" w:hAnsi="宋体" w:eastAsia="宋体" w:cs="宋体"/>
                <w:sz w:val="24"/>
              </w:rPr>
              <w:t>未支付本协议约定的招标代理费用为由，拒绝向</w:t>
            </w:r>
            <w:r>
              <w:rPr>
                <w:rFonts w:hint="eastAsia" w:ascii="宋体" w:hAnsi="宋体" w:eastAsia="宋体" w:cs="宋体"/>
                <w:sz w:val="24"/>
                <w:lang w:eastAsia="zh-CN"/>
              </w:rPr>
              <w:t>成交人</w:t>
            </w:r>
            <w:r>
              <w:rPr>
                <w:rFonts w:hint="eastAsia" w:ascii="宋体" w:hAnsi="宋体" w:eastAsia="宋体" w:cs="宋体"/>
                <w:sz w:val="24"/>
              </w:rPr>
              <w:t>发放中标</w:t>
            </w:r>
            <w:r>
              <w:rPr>
                <w:rFonts w:hint="eastAsia" w:ascii="宋体" w:hAnsi="宋体" w:eastAsia="宋体" w:cs="宋体"/>
                <w:sz w:val="24"/>
                <w:lang w:eastAsia="zh-CN"/>
              </w:rPr>
              <w:t>（</w:t>
            </w:r>
            <w:r>
              <w:rPr>
                <w:rFonts w:hint="eastAsia" w:ascii="宋体" w:hAnsi="宋体" w:eastAsia="宋体" w:cs="宋体"/>
                <w:sz w:val="24"/>
                <w:lang w:val="en-US" w:eastAsia="zh-CN"/>
              </w:rPr>
              <w:t>成交</w:t>
            </w:r>
            <w:r>
              <w:rPr>
                <w:rFonts w:hint="eastAsia" w:ascii="宋体" w:hAnsi="宋体" w:eastAsia="宋体" w:cs="宋体"/>
                <w:sz w:val="24"/>
                <w:lang w:eastAsia="zh-CN"/>
              </w:rPr>
              <w:t>）</w:t>
            </w:r>
            <w:r>
              <w:rPr>
                <w:rFonts w:hint="eastAsia" w:ascii="宋体" w:hAnsi="宋体" w:eastAsia="宋体" w:cs="宋体"/>
                <w:sz w:val="24"/>
              </w:rPr>
              <w:t>通知书，在协议履行期间因此产生的法律纠纷及争议均由招标代理公司与</w:t>
            </w:r>
            <w:r>
              <w:rPr>
                <w:rFonts w:hint="eastAsia" w:ascii="宋体" w:hAnsi="宋体" w:eastAsia="宋体" w:cs="宋体"/>
                <w:sz w:val="24"/>
                <w:lang w:eastAsia="zh-CN"/>
              </w:rPr>
              <w:t>成交人</w:t>
            </w:r>
            <w:r>
              <w:rPr>
                <w:rFonts w:hint="eastAsia" w:ascii="宋体" w:hAnsi="宋体" w:eastAsia="宋体" w:cs="宋体"/>
                <w:sz w:val="24"/>
              </w:rPr>
              <w:t>自行解决，与采购人无关。</w:t>
            </w:r>
          </w:p>
        </w:tc>
      </w:tr>
    </w:tbl>
    <w:p w14:paraId="7FB493D6">
      <w:pPr>
        <w:spacing w:before="1560" w:after="120" w:line="520" w:lineRule="exact"/>
        <w:ind w:firstLine="562" w:firstLineChars="200"/>
        <w:jc w:val="center"/>
        <w:outlineLvl w:val="1"/>
        <w:rPr>
          <w:rFonts w:ascii="宋体" w:hAnsi="宋体" w:eastAsia="宋体" w:cs="仿宋"/>
          <w:b/>
          <w:kern w:val="0"/>
          <w:sz w:val="28"/>
          <w:szCs w:val="24"/>
        </w:rPr>
      </w:pPr>
      <w:r>
        <w:rPr>
          <w:rFonts w:hint="eastAsia" w:ascii="宋体" w:hAnsi="宋体" w:eastAsia="宋体" w:cs="仿宋"/>
          <w:b/>
          <w:kern w:val="0"/>
          <w:sz w:val="28"/>
          <w:szCs w:val="24"/>
        </w:rPr>
        <w:br w:type="page"/>
      </w:r>
      <w:bookmarkStart w:id="19" w:name="_Toc195529412"/>
      <w:bookmarkStart w:id="20" w:name="_Toc14662"/>
      <w:bookmarkStart w:id="21" w:name="_Toc17308"/>
      <w:bookmarkStart w:id="22" w:name="_Toc56170380"/>
      <w:r>
        <w:rPr>
          <w:rFonts w:hint="eastAsia" w:ascii="宋体" w:hAnsi="宋体" w:eastAsia="宋体" w:cs="仿宋"/>
          <w:b/>
          <w:kern w:val="0"/>
          <w:sz w:val="28"/>
          <w:szCs w:val="24"/>
        </w:rPr>
        <w:t>一、总 则</w:t>
      </w:r>
      <w:bookmarkEnd w:id="19"/>
      <w:bookmarkEnd w:id="20"/>
      <w:bookmarkEnd w:id="21"/>
      <w:bookmarkEnd w:id="22"/>
    </w:p>
    <w:p w14:paraId="4230F8C4">
      <w:pPr>
        <w:autoSpaceDE w:val="0"/>
        <w:autoSpaceDN w:val="0"/>
        <w:adjustRightInd w:val="0"/>
        <w:spacing w:line="360" w:lineRule="auto"/>
        <w:ind w:firstLine="480"/>
        <w:rPr>
          <w:rFonts w:ascii="宋体" w:hAnsi="宋体" w:eastAsia="宋体" w:cs="仿宋"/>
          <w:kern w:val="0"/>
          <w:sz w:val="24"/>
          <w:szCs w:val="20"/>
        </w:rPr>
      </w:pPr>
      <w:r>
        <w:rPr>
          <w:rFonts w:hint="eastAsia" w:ascii="宋体" w:hAnsi="宋体" w:eastAsia="宋体" w:cs="仿宋"/>
          <w:kern w:val="0"/>
          <w:sz w:val="24"/>
          <w:szCs w:val="20"/>
        </w:rPr>
        <w:t>1. 合格的供应商</w:t>
      </w:r>
    </w:p>
    <w:p w14:paraId="6C9B46BD">
      <w:pPr>
        <w:autoSpaceDE w:val="0"/>
        <w:autoSpaceDN w:val="0"/>
        <w:adjustRightInd w:val="0"/>
        <w:spacing w:line="360" w:lineRule="auto"/>
        <w:ind w:firstLine="480"/>
        <w:rPr>
          <w:rFonts w:ascii="宋体" w:hAnsi="宋体" w:eastAsia="宋体" w:cs="仿宋"/>
          <w:kern w:val="0"/>
          <w:sz w:val="24"/>
          <w:szCs w:val="20"/>
        </w:rPr>
      </w:pPr>
      <w:r>
        <w:rPr>
          <w:rFonts w:hint="eastAsia" w:ascii="宋体" w:hAnsi="宋体" w:eastAsia="宋体" w:cs="仿宋"/>
          <w:kern w:val="0"/>
          <w:sz w:val="24"/>
          <w:szCs w:val="20"/>
        </w:rPr>
        <w:t>1.1 凡符合《中华人民共和国政府采购法》第二十二条款规定的、有提供谈判货物或服务或工程的资格和能力，技术规范，符合本项目谈判公告资质要求的，承认和履行谈判文件中的各项规定者，均可参加谈判。（见谈判须知前附表1）</w:t>
      </w:r>
    </w:p>
    <w:p w14:paraId="4870478B">
      <w:pPr>
        <w:autoSpaceDE w:val="0"/>
        <w:autoSpaceDN w:val="0"/>
        <w:adjustRightInd w:val="0"/>
        <w:spacing w:line="360" w:lineRule="auto"/>
        <w:ind w:firstLine="480"/>
        <w:jc w:val="left"/>
        <w:rPr>
          <w:rFonts w:ascii="宋体" w:hAnsi="宋体" w:eastAsia="宋体" w:cs="仿宋"/>
          <w:kern w:val="0"/>
          <w:sz w:val="24"/>
          <w:szCs w:val="20"/>
        </w:rPr>
      </w:pPr>
      <w:r>
        <w:rPr>
          <w:rFonts w:hint="eastAsia" w:ascii="宋体" w:hAnsi="宋体" w:eastAsia="宋体" w:cs="仿宋"/>
          <w:kern w:val="0"/>
          <w:sz w:val="24"/>
          <w:szCs w:val="20"/>
        </w:rPr>
        <w:t>1.2 凡参加谈判的制造商必须具有国际或国内相应的资质等级，信誉可靠，且应具有履行本谈判文件规定的有关义务的能力。</w:t>
      </w:r>
    </w:p>
    <w:p w14:paraId="4B9E16F2">
      <w:pPr>
        <w:autoSpaceDE w:val="0"/>
        <w:autoSpaceDN w:val="0"/>
        <w:adjustRightInd w:val="0"/>
        <w:spacing w:line="360" w:lineRule="auto"/>
        <w:ind w:firstLine="480"/>
        <w:rPr>
          <w:rFonts w:ascii="宋体" w:hAnsi="宋体" w:eastAsia="宋体" w:cs="仿宋"/>
          <w:kern w:val="0"/>
          <w:sz w:val="24"/>
          <w:szCs w:val="20"/>
        </w:rPr>
      </w:pPr>
      <w:r>
        <w:rPr>
          <w:rFonts w:hint="eastAsia" w:ascii="宋体" w:hAnsi="宋体" w:eastAsia="宋体" w:cs="仿宋"/>
          <w:kern w:val="0"/>
          <w:sz w:val="24"/>
          <w:szCs w:val="20"/>
        </w:rPr>
        <w:t>1.3 供应商在本次谈判活动中，必须遵循《中华人民共和国政府采购法》及其实施条例（658号令）、《政府采购货物和服务招标投标管理办法》（财政部87号令）、《政府采购非招标采购方式管理办法》等法律法规要求。</w:t>
      </w:r>
    </w:p>
    <w:p w14:paraId="21EA9091">
      <w:pPr>
        <w:autoSpaceDE w:val="0"/>
        <w:autoSpaceDN w:val="0"/>
        <w:adjustRightInd w:val="0"/>
        <w:spacing w:line="360" w:lineRule="auto"/>
        <w:ind w:firstLine="480"/>
        <w:rPr>
          <w:rFonts w:ascii="宋体" w:hAnsi="宋体" w:eastAsia="宋体" w:cs="仿宋"/>
          <w:kern w:val="0"/>
          <w:sz w:val="24"/>
          <w:szCs w:val="20"/>
        </w:rPr>
      </w:pPr>
      <w:r>
        <w:rPr>
          <w:rFonts w:hint="eastAsia" w:ascii="宋体" w:hAnsi="宋体" w:eastAsia="宋体" w:cs="仿宋"/>
          <w:kern w:val="0"/>
          <w:sz w:val="24"/>
          <w:szCs w:val="20"/>
        </w:rPr>
        <w:t>1.4 本项目不接受联合体投标。</w:t>
      </w:r>
    </w:p>
    <w:p w14:paraId="586D5215">
      <w:pPr>
        <w:autoSpaceDE w:val="0"/>
        <w:autoSpaceDN w:val="0"/>
        <w:adjustRightInd w:val="0"/>
        <w:spacing w:line="360" w:lineRule="auto"/>
        <w:ind w:firstLine="480"/>
        <w:rPr>
          <w:rFonts w:ascii="宋体" w:hAnsi="宋体" w:eastAsia="宋体" w:cs="仿宋"/>
          <w:kern w:val="0"/>
          <w:sz w:val="24"/>
          <w:szCs w:val="20"/>
        </w:rPr>
      </w:pPr>
      <w:r>
        <w:rPr>
          <w:rFonts w:hint="eastAsia" w:ascii="宋体" w:hAnsi="宋体" w:eastAsia="宋体" w:cs="仿宋"/>
          <w:kern w:val="0"/>
          <w:sz w:val="24"/>
          <w:szCs w:val="20"/>
        </w:rPr>
        <w:t>1.5 不符合1.1、1.2、1.3、1.4条款规定的供应商，其谈判将被拒绝。</w:t>
      </w:r>
    </w:p>
    <w:p w14:paraId="410BAE97">
      <w:pPr>
        <w:autoSpaceDE w:val="0"/>
        <w:autoSpaceDN w:val="0"/>
        <w:adjustRightInd w:val="0"/>
        <w:spacing w:line="360" w:lineRule="auto"/>
        <w:ind w:firstLine="480"/>
        <w:rPr>
          <w:rFonts w:ascii="宋体" w:hAnsi="宋体" w:eastAsia="宋体" w:cs="仿宋"/>
          <w:kern w:val="0"/>
          <w:sz w:val="24"/>
          <w:szCs w:val="20"/>
        </w:rPr>
      </w:pPr>
      <w:r>
        <w:rPr>
          <w:rFonts w:hint="eastAsia" w:ascii="宋体" w:hAnsi="宋体" w:eastAsia="宋体" w:cs="仿宋"/>
          <w:kern w:val="0"/>
          <w:sz w:val="24"/>
          <w:szCs w:val="20"/>
        </w:rPr>
        <w:t>2. 定义</w:t>
      </w:r>
    </w:p>
    <w:p w14:paraId="7F1BCD51">
      <w:pPr>
        <w:autoSpaceDE w:val="0"/>
        <w:autoSpaceDN w:val="0"/>
        <w:adjustRightInd w:val="0"/>
        <w:spacing w:line="360" w:lineRule="auto"/>
        <w:ind w:firstLine="480"/>
        <w:rPr>
          <w:rFonts w:ascii="宋体" w:hAnsi="宋体" w:eastAsia="宋体" w:cs="仿宋"/>
          <w:kern w:val="0"/>
          <w:sz w:val="24"/>
          <w:szCs w:val="20"/>
        </w:rPr>
      </w:pPr>
      <w:r>
        <w:rPr>
          <w:rFonts w:hint="eastAsia" w:ascii="宋体" w:hAnsi="宋体" w:eastAsia="宋体" w:cs="仿宋"/>
          <w:kern w:val="0"/>
          <w:sz w:val="24"/>
          <w:szCs w:val="20"/>
        </w:rPr>
        <w:t>2.1“采购代理机构”系指国义招标股份有限公司。</w:t>
      </w:r>
    </w:p>
    <w:p w14:paraId="5ECE420D">
      <w:pPr>
        <w:autoSpaceDE w:val="0"/>
        <w:autoSpaceDN w:val="0"/>
        <w:adjustRightInd w:val="0"/>
        <w:spacing w:line="360" w:lineRule="auto"/>
        <w:ind w:firstLine="480"/>
        <w:rPr>
          <w:rFonts w:ascii="宋体" w:hAnsi="宋体" w:eastAsia="宋体" w:cs="仿宋"/>
          <w:kern w:val="0"/>
          <w:sz w:val="24"/>
          <w:szCs w:val="20"/>
        </w:rPr>
      </w:pPr>
      <w:r>
        <w:rPr>
          <w:rFonts w:hint="eastAsia" w:ascii="宋体" w:hAnsi="宋体" w:eastAsia="宋体" w:cs="仿宋"/>
          <w:kern w:val="0"/>
          <w:sz w:val="24"/>
          <w:szCs w:val="20"/>
        </w:rPr>
        <w:t>2.2“供应商”系指向采购代理机构提交响应文件的供应商。</w:t>
      </w:r>
    </w:p>
    <w:p w14:paraId="6D2A04EB">
      <w:pPr>
        <w:autoSpaceDE w:val="0"/>
        <w:autoSpaceDN w:val="0"/>
        <w:adjustRightInd w:val="0"/>
        <w:spacing w:line="360" w:lineRule="auto"/>
        <w:ind w:firstLine="480"/>
        <w:rPr>
          <w:rFonts w:ascii="宋体" w:hAnsi="宋体" w:eastAsia="宋体" w:cs="仿宋"/>
          <w:kern w:val="0"/>
          <w:sz w:val="24"/>
          <w:szCs w:val="20"/>
        </w:rPr>
      </w:pPr>
      <w:r>
        <w:rPr>
          <w:rFonts w:hint="eastAsia" w:ascii="宋体" w:hAnsi="宋体" w:eastAsia="宋体" w:cs="仿宋"/>
          <w:kern w:val="0"/>
          <w:sz w:val="24"/>
          <w:szCs w:val="20"/>
        </w:rPr>
        <w:t>2.3“货物”系指卖方按合同要求，须向买方提供的设计文件、货物、机械、材料、备品、手册及其他技术资料和材料。</w:t>
      </w:r>
    </w:p>
    <w:p w14:paraId="6FEA485E">
      <w:pPr>
        <w:autoSpaceDE w:val="0"/>
        <w:autoSpaceDN w:val="0"/>
        <w:adjustRightInd w:val="0"/>
        <w:spacing w:line="360" w:lineRule="auto"/>
        <w:ind w:firstLine="480"/>
        <w:rPr>
          <w:rFonts w:ascii="宋体" w:hAnsi="宋体" w:eastAsia="宋体" w:cs="仿宋"/>
          <w:kern w:val="0"/>
          <w:sz w:val="24"/>
          <w:szCs w:val="20"/>
        </w:rPr>
      </w:pPr>
      <w:r>
        <w:rPr>
          <w:rFonts w:hint="eastAsia" w:ascii="宋体" w:hAnsi="宋体" w:eastAsia="宋体" w:cs="仿宋"/>
          <w:kern w:val="0"/>
          <w:sz w:val="24"/>
          <w:szCs w:val="20"/>
        </w:rPr>
        <w:t>2.4“服务”系指满足谈判文件所要求外包服务的所有内容。</w:t>
      </w:r>
    </w:p>
    <w:p w14:paraId="7E3EC1DF">
      <w:pPr>
        <w:autoSpaceDE w:val="0"/>
        <w:autoSpaceDN w:val="0"/>
        <w:adjustRightInd w:val="0"/>
        <w:spacing w:line="360" w:lineRule="auto"/>
        <w:ind w:firstLine="480"/>
        <w:rPr>
          <w:rFonts w:ascii="宋体" w:hAnsi="宋体" w:eastAsia="宋体" w:cs="仿宋"/>
          <w:kern w:val="0"/>
          <w:sz w:val="24"/>
          <w:szCs w:val="20"/>
        </w:rPr>
      </w:pPr>
      <w:r>
        <w:rPr>
          <w:rFonts w:hint="eastAsia" w:ascii="宋体" w:hAnsi="宋体" w:eastAsia="宋体" w:cs="仿宋"/>
          <w:kern w:val="0"/>
          <w:sz w:val="24"/>
          <w:szCs w:val="20"/>
        </w:rPr>
        <w:t>2</w:t>
      </w:r>
      <w:r>
        <w:rPr>
          <w:rFonts w:ascii="宋体" w:hAnsi="宋体" w:eastAsia="宋体" w:cs="仿宋"/>
          <w:kern w:val="0"/>
          <w:sz w:val="24"/>
          <w:szCs w:val="20"/>
        </w:rPr>
        <w:t>.5</w:t>
      </w:r>
      <w:r>
        <w:rPr>
          <w:rFonts w:hint="eastAsia" w:ascii="宋体" w:hAnsi="宋体" w:cs="楷体_GB2312"/>
          <w:sz w:val="24"/>
        </w:rPr>
        <w:t>“工程”系指建设工程，包括建筑物和构筑物的新建、改建、扩建，装修、拆除，修缮等。</w:t>
      </w:r>
    </w:p>
    <w:p w14:paraId="36B9B59F">
      <w:pPr>
        <w:autoSpaceDE w:val="0"/>
        <w:autoSpaceDN w:val="0"/>
        <w:adjustRightInd w:val="0"/>
        <w:spacing w:line="360" w:lineRule="auto"/>
        <w:ind w:firstLine="480"/>
        <w:rPr>
          <w:rFonts w:ascii="宋体" w:hAnsi="宋体" w:eastAsia="宋体" w:cs="仿宋"/>
          <w:kern w:val="0"/>
          <w:sz w:val="24"/>
          <w:szCs w:val="20"/>
        </w:rPr>
      </w:pPr>
      <w:r>
        <w:rPr>
          <w:rFonts w:hint="eastAsia" w:ascii="宋体" w:hAnsi="宋体" w:eastAsia="宋体" w:cs="仿宋"/>
          <w:kern w:val="0"/>
          <w:sz w:val="24"/>
          <w:szCs w:val="20"/>
        </w:rPr>
        <w:t>2.</w:t>
      </w:r>
      <w:r>
        <w:rPr>
          <w:rFonts w:ascii="宋体" w:hAnsi="宋体" w:eastAsia="宋体" w:cs="仿宋"/>
          <w:kern w:val="0"/>
          <w:sz w:val="24"/>
          <w:szCs w:val="20"/>
        </w:rPr>
        <w:t>6</w:t>
      </w:r>
      <w:r>
        <w:rPr>
          <w:rFonts w:hint="eastAsia" w:ascii="宋体" w:hAnsi="宋体" w:eastAsia="宋体" w:cs="仿宋"/>
          <w:kern w:val="0"/>
          <w:sz w:val="24"/>
          <w:szCs w:val="20"/>
        </w:rPr>
        <w:t>“卖方”系指本次谈判指有关成交供应商。</w:t>
      </w:r>
    </w:p>
    <w:p w14:paraId="36BA5499">
      <w:pPr>
        <w:autoSpaceDE w:val="0"/>
        <w:autoSpaceDN w:val="0"/>
        <w:adjustRightInd w:val="0"/>
        <w:spacing w:line="360" w:lineRule="auto"/>
        <w:ind w:firstLine="480"/>
        <w:rPr>
          <w:rFonts w:ascii="宋体" w:hAnsi="宋体" w:eastAsia="宋体" w:cs="仿宋"/>
          <w:kern w:val="0"/>
          <w:sz w:val="24"/>
          <w:szCs w:val="20"/>
        </w:rPr>
      </w:pPr>
      <w:r>
        <w:rPr>
          <w:rFonts w:hint="eastAsia" w:ascii="宋体" w:hAnsi="宋体" w:eastAsia="宋体" w:cs="仿宋"/>
          <w:kern w:val="0"/>
          <w:sz w:val="24"/>
          <w:szCs w:val="20"/>
        </w:rPr>
        <w:t>2.</w:t>
      </w:r>
      <w:r>
        <w:rPr>
          <w:rFonts w:ascii="宋体" w:hAnsi="宋体" w:eastAsia="宋体" w:cs="仿宋"/>
          <w:kern w:val="0"/>
          <w:sz w:val="24"/>
          <w:szCs w:val="20"/>
        </w:rPr>
        <w:t>7</w:t>
      </w:r>
      <w:r>
        <w:rPr>
          <w:rFonts w:hint="eastAsia" w:ascii="宋体" w:hAnsi="宋体" w:eastAsia="宋体" w:cs="仿宋"/>
          <w:kern w:val="0"/>
          <w:sz w:val="24"/>
          <w:szCs w:val="20"/>
        </w:rPr>
        <w:t>“买方”系指即为本次谈判的采购人。</w:t>
      </w:r>
    </w:p>
    <w:p w14:paraId="398A2F5A">
      <w:pPr>
        <w:autoSpaceDE w:val="0"/>
        <w:autoSpaceDN w:val="0"/>
        <w:adjustRightInd w:val="0"/>
        <w:spacing w:line="360" w:lineRule="auto"/>
        <w:ind w:firstLine="480"/>
        <w:rPr>
          <w:rFonts w:ascii="宋体" w:hAnsi="宋体" w:eastAsia="宋体" w:cs="仿宋"/>
          <w:kern w:val="0"/>
          <w:sz w:val="24"/>
          <w:szCs w:val="20"/>
        </w:rPr>
      </w:pPr>
      <w:r>
        <w:rPr>
          <w:rFonts w:hint="eastAsia" w:ascii="宋体" w:hAnsi="宋体" w:eastAsia="宋体" w:cs="仿宋"/>
          <w:kern w:val="0"/>
          <w:sz w:val="24"/>
          <w:szCs w:val="20"/>
        </w:rPr>
        <w:t>2.</w:t>
      </w:r>
      <w:r>
        <w:rPr>
          <w:rFonts w:ascii="宋体" w:hAnsi="宋体" w:eastAsia="宋体" w:cs="仿宋"/>
          <w:kern w:val="0"/>
          <w:sz w:val="24"/>
          <w:szCs w:val="20"/>
        </w:rPr>
        <w:t>8</w:t>
      </w:r>
      <w:r>
        <w:rPr>
          <w:rFonts w:hint="eastAsia" w:ascii="宋体" w:hAnsi="宋体" w:eastAsia="宋体" w:cs="仿宋"/>
          <w:kern w:val="0"/>
          <w:sz w:val="24"/>
          <w:szCs w:val="20"/>
        </w:rPr>
        <w:t xml:space="preserve">“节能产品”或者“环保产品”是指财政部发布的《节能产品政府采购清单》或者《环境标志产品政府采购清单》的产品。 </w:t>
      </w:r>
    </w:p>
    <w:p w14:paraId="51E1E0CE">
      <w:pPr>
        <w:autoSpaceDE w:val="0"/>
        <w:autoSpaceDN w:val="0"/>
        <w:adjustRightInd w:val="0"/>
        <w:spacing w:line="360" w:lineRule="auto"/>
        <w:ind w:firstLine="480"/>
        <w:jc w:val="left"/>
        <w:rPr>
          <w:rFonts w:ascii="宋体" w:hAnsi="宋体" w:eastAsia="宋体" w:cs="仿宋"/>
          <w:kern w:val="0"/>
          <w:sz w:val="24"/>
          <w:szCs w:val="20"/>
        </w:rPr>
      </w:pPr>
      <w:r>
        <w:rPr>
          <w:rFonts w:hint="eastAsia" w:ascii="宋体" w:hAnsi="宋体" w:eastAsia="宋体" w:cs="仿宋"/>
          <w:kern w:val="0"/>
          <w:sz w:val="24"/>
          <w:szCs w:val="20"/>
        </w:rPr>
        <w:t>3. 其他要求</w:t>
      </w:r>
    </w:p>
    <w:p w14:paraId="594F4C4E">
      <w:pPr>
        <w:autoSpaceDE w:val="0"/>
        <w:autoSpaceDN w:val="0"/>
        <w:adjustRightInd w:val="0"/>
        <w:spacing w:line="360" w:lineRule="auto"/>
        <w:ind w:firstLine="480"/>
        <w:jc w:val="left"/>
        <w:rPr>
          <w:rFonts w:ascii="宋体" w:hAnsi="宋体" w:eastAsia="宋体" w:cs="仿宋"/>
          <w:kern w:val="0"/>
          <w:sz w:val="24"/>
          <w:szCs w:val="20"/>
        </w:rPr>
      </w:pPr>
      <w:r>
        <w:rPr>
          <w:rFonts w:hint="eastAsia" w:ascii="宋体" w:hAnsi="宋体" w:eastAsia="宋体" w:cs="仿宋"/>
          <w:kern w:val="0"/>
          <w:sz w:val="24"/>
          <w:szCs w:val="20"/>
        </w:rPr>
        <w:t>3.1 供应商应自行承担所有与本次谈判谈判有关的费用，而不论谈判的结果如何。</w:t>
      </w:r>
    </w:p>
    <w:p w14:paraId="4CA98767">
      <w:pPr>
        <w:autoSpaceDE w:val="0"/>
        <w:autoSpaceDN w:val="0"/>
        <w:adjustRightInd w:val="0"/>
        <w:spacing w:line="360" w:lineRule="auto"/>
        <w:ind w:firstLine="480"/>
        <w:jc w:val="left"/>
        <w:rPr>
          <w:rFonts w:ascii="宋体" w:hAnsi="宋体" w:eastAsia="宋体" w:cs="仿宋"/>
          <w:kern w:val="0"/>
          <w:sz w:val="24"/>
          <w:szCs w:val="20"/>
        </w:rPr>
      </w:pPr>
      <w:r>
        <w:rPr>
          <w:rFonts w:hint="eastAsia" w:ascii="宋体" w:hAnsi="宋体" w:eastAsia="宋体" w:cs="仿宋"/>
          <w:kern w:val="0"/>
          <w:sz w:val="24"/>
          <w:szCs w:val="20"/>
        </w:rPr>
        <w:t>3.2 政府采购政策支持</w:t>
      </w:r>
    </w:p>
    <w:p w14:paraId="1083C3A3">
      <w:pPr>
        <w:wordWrap w:val="0"/>
        <w:autoSpaceDE w:val="0"/>
        <w:autoSpaceDN w:val="0"/>
        <w:adjustRightInd w:val="0"/>
        <w:spacing w:line="360" w:lineRule="auto"/>
        <w:ind w:firstLine="480"/>
        <w:jc w:val="left"/>
        <w:rPr>
          <w:rFonts w:ascii="宋体" w:hAnsi="宋体" w:eastAsia="宋体" w:cs="仿宋"/>
          <w:kern w:val="0"/>
          <w:sz w:val="24"/>
          <w:szCs w:val="20"/>
        </w:rPr>
      </w:pPr>
      <w:r>
        <w:rPr>
          <w:rFonts w:hint="eastAsia" w:ascii="宋体" w:hAnsi="宋体" w:eastAsia="宋体" w:cs="仿宋"/>
          <w:kern w:val="0"/>
          <w:sz w:val="24"/>
          <w:szCs w:val="20"/>
        </w:rPr>
        <w:t>3.2.1 产品符合政府采购强制采购政策的，实行强制采购；符合政府采购优先采购政策的，产品享受节能产品、环境标志产品优惠（由供应商在报价文件中选择并填报，评审时进行价格优惠）；供应商享受支持中小企业发展政策优惠的，可以与同时享受节能产品、环境标志产品优惠累加优惠。财政部门关于政府采购强制采购、优先采购的政策规定可在中国政府采购网（www.ccgp.gov.cn）查询。</w:t>
      </w:r>
    </w:p>
    <w:p w14:paraId="7F0C55BF">
      <w:pPr>
        <w:autoSpaceDE w:val="0"/>
        <w:autoSpaceDN w:val="0"/>
        <w:adjustRightInd w:val="0"/>
        <w:spacing w:line="360" w:lineRule="auto"/>
        <w:ind w:firstLine="480"/>
        <w:jc w:val="left"/>
        <w:rPr>
          <w:rFonts w:ascii="宋体" w:hAnsi="宋体" w:eastAsia="宋体" w:cs="仿宋"/>
          <w:kern w:val="0"/>
          <w:sz w:val="24"/>
          <w:szCs w:val="20"/>
        </w:rPr>
      </w:pPr>
      <w:r>
        <w:rPr>
          <w:rFonts w:hint="eastAsia" w:ascii="宋体" w:hAnsi="宋体" w:eastAsia="宋体" w:cs="仿宋"/>
          <w:kern w:val="0"/>
          <w:sz w:val="24"/>
          <w:szCs w:val="20"/>
        </w:rPr>
        <w:t>3.2.2 同一项目中部分产品属于优先采购政策的，评审时只对该部分产品的报价实行价格优惠。</w:t>
      </w:r>
    </w:p>
    <w:p w14:paraId="2743602A">
      <w:pPr>
        <w:autoSpaceDE w:val="0"/>
        <w:autoSpaceDN w:val="0"/>
        <w:adjustRightInd w:val="0"/>
        <w:spacing w:line="360" w:lineRule="auto"/>
        <w:ind w:firstLine="480"/>
        <w:jc w:val="left"/>
        <w:rPr>
          <w:rFonts w:ascii="宋体" w:hAnsi="宋体" w:eastAsia="宋体" w:cs="仿宋"/>
          <w:kern w:val="0"/>
          <w:sz w:val="28"/>
          <w:szCs w:val="20"/>
        </w:rPr>
      </w:pPr>
      <w:r>
        <w:rPr>
          <w:rFonts w:hint="eastAsia" w:ascii="宋体" w:hAnsi="宋体" w:eastAsia="宋体" w:cs="仿宋"/>
          <w:kern w:val="0"/>
          <w:sz w:val="24"/>
          <w:szCs w:val="20"/>
        </w:rPr>
        <w:t>3.2.3 为推进政府采购诚信体系建设，供应商在签署相关承诺，提供相关信息前，应认真阅读财政部门相关政策规定。</w:t>
      </w:r>
    </w:p>
    <w:p w14:paraId="5BBE56BF">
      <w:pPr>
        <w:spacing w:before="120" w:after="120" w:line="360" w:lineRule="auto"/>
        <w:ind w:firstLine="562" w:firstLineChars="200"/>
        <w:jc w:val="center"/>
        <w:outlineLvl w:val="1"/>
        <w:rPr>
          <w:rFonts w:ascii="宋体" w:hAnsi="宋体" w:eastAsia="宋体" w:cs="仿宋"/>
          <w:b/>
          <w:kern w:val="0"/>
          <w:sz w:val="28"/>
          <w:szCs w:val="24"/>
        </w:rPr>
      </w:pPr>
      <w:bookmarkStart w:id="23" w:name="_Toc56170381"/>
      <w:bookmarkStart w:id="24" w:name="_Toc13519"/>
      <w:bookmarkStart w:id="25" w:name="_Toc31284"/>
      <w:bookmarkStart w:id="26" w:name="_Toc195529413"/>
      <w:r>
        <w:rPr>
          <w:rFonts w:hint="eastAsia" w:ascii="宋体" w:hAnsi="宋体" w:eastAsia="宋体" w:cs="仿宋"/>
          <w:b/>
          <w:kern w:val="0"/>
          <w:sz w:val="28"/>
          <w:szCs w:val="24"/>
        </w:rPr>
        <w:t>二、谈判文件</w:t>
      </w:r>
      <w:bookmarkEnd w:id="23"/>
      <w:bookmarkEnd w:id="24"/>
      <w:bookmarkEnd w:id="25"/>
      <w:bookmarkEnd w:id="26"/>
    </w:p>
    <w:p w14:paraId="5B0DCC29">
      <w:pPr>
        <w:autoSpaceDE w:val="0"/>
        <w:autoSpaceDN w:val="0"/>
        <w:adjustRightInd w:val="0"/>
        <w:spacing w:line="360" w:lineRule="auto"/>
        <w:ind w:firstLine="480"/>
        <w:rPr>
          <w:rFonts w:ascii="宋体" w:hAnsi="宋体" w:eastAsia="宋体" w:cs="仿宋"/>
          <w:kern w:val="0"/>
          <w:sz w:val="24"/>
          <w:szCs w:val="20"/>
        </w:rPr>
      </w:pPr>
      <w:r>
        <w:rPr>
          <w:rFonts w:hint="eastAsia" w:ascii="宋体" w:hAnsi="宋体" w:eastAsia="宋体" w:cs="仿宋"/>
          <w:kern w:val="0"/>
          <w:sz w:val="24"/>
          <w:szCs w:val="20"/>
        </w:rPr>
        <w:t>4. 谈判文件</w:t>
      </w:r>
    </w:p>
    <w:p w14:paraId="568FF0C9">
      <w:pPr>
        <w:autoSpaceDE w:val="0"/>
        <w:autoSpaceDN w:val="0"/>
        <w:adjustRightInd w:val="0"/>
        <w:spacing w:line="360" w:lineRule="auto"/>
        <w:ind w:firstLine="480"/>
        <w:rPr>
          <w:rFonts w:ascii="宋体" w:hAnsi="宋体" w:eastAsia="宋体" w:cs="仿宋"/>
          <w:kern w:val="0"/>
          <w:sz w:val="24"/>
          <w:szCs w:val="20"/>
        </w:rPr>
      </w:pPr>
      <w:r>
        <w:rPr>
          <w:rFonts w:hint="eastAsia" w:ascii="宋体" w:hAnsi="宋体" w:eastAsia="宋体" w:cs="仿宋"/>
          <w:kern w:val="0"/>
          <w:sz w:val="24"/>
          <w:szCs w:val="20"/>
        </w:rPr>
        <w:t>4.1 谈判文件用以阐明所需货物和服务、谈判谈判程序和合同条款。包括：</w:t>
      </w:r>
    </w:p>
    <w:p w14:paraId="65F45660">
      <w:pPr>
        <w:autoSpaceDE w:val="0"/>
        <w:autoSpaceDN w:val="0"/>
        <w:adjustRightInd w:val="0"/>
        <w:spacing w:line="360" w:lineRule="auto"/>
        <w:ind w:firstLine="480"/>
        <w:rPr>
          <w:rFonts w:ascii="宋体" w:hAnsi="宋体" w:eastAsia="宋体" w:cs="仿宋"/>
          <w:kern w:val="0"/>
          <w:sz w:val="24"/>
          <w:szCs w:val="28"/>
        </w:rPr>
      </w:pPr>
      <w:r>
        <w:rPr>
          <w:rFonts w:hint="eastAsia" w:ascii="宋体" w:hAnsi="宋体" w:eastAsia="宋体" w:cs="仿宋"/>
          <w:kern w:val="0"/>
          <w:sz w:val="24"/>
          <w:szCs w:val="28"/>
        </w:rPr>
        <w:t>4.1.1 谈判公告</w:t>
      </w:r>
    </w:p>
    <w:p w14:paraId="0579BF0E">
      <w:pPr>
        <w:autoSpaceDE w:val="0"/>
        <w:autoSpaceDN w:val="0"/>
        <w:adjustRightInd w:val="0"/>
        <w:spacing w:line="360" w:lineRule="auto"/>
        <w:ind w:firstLine="480"/>
        <w:rPr>
          <w:rFonts w:ascii="宋体" w:hAnsi="宋体" w:eastAsia="宋体" w:cs="仿宋"/>
          <w:kern w:val="0"/>
          <w:sz w:val="24"/>
          <w:szCs w:val="28"/>
        </w:rPr>
      </w:pPr>
      <w:r>
        <w:rPr>
          <w:rFonts w:hint="eastAsia" w:ascii="宋体" w:hAnsi="宋体" w:eastAsia="宋体" w:cs="仿宋"/>
          <w:kern w:val="0"/>
          <w:sz w:val="24"/>
          <w:szCs w:val="28"/>
        </w:rPr>
        <w:t>4.1.2 谈判须知</w:t>
      </w:r>
    </w:p>
    <w:p w14:paraId="0EC260B3">
      <w:pPr>
        <w:autoSpaceDE w:val="0"/>
        <w:autoSpaceDN w:val="0"/>
        <w:adjustRightInd w:val="0"/>
        <w:spacing w:line="360" w:lineRule="auto"/>
        <w:ind w:firstLine="480"/>
        <w:rPr>
          <w:rFonts w:ascii="宋体" w:hAnsi="宋体" w:eastAsia="宋体" w:cs="仿宋"/>
          <w:kern w:val="0"/>
          <w:sz w:val="24"/>
          <w:szCs w:val="28"/>
        </w:rPr>
      </w:pPr>
      <w:r>
        <w:rPr>
          <w:rFonts w:hint="eastAsia" w:ascii="宋体" w:hAnsi="宋体" w:eastAsia="宋体" w:cs="仿宋"/>
          <w:kern w:val="0"/>
          <w:sz w:val="24"/>
          <w:szCs w:val="28"/>
        </w:rPr>
        <w:t>4.1.3 谈判内容及技术要求</w:t>
      </w:r>
    </w:p>
    <w:p w14:paraId="04825C27">
      <w:pPr>
        <w:autoSpaceDE w:val="0"/>
        <w:autoSpaceDN w:val="0"/>
        <w:adjustRightInd w:val="0"/>
        <w:spacing w:line="360" w:lineRule="auto"/>
        <w:ind w:firstLine="480"/>
        <w:rPr>
          <w:rFonts w:ascii="宋体" w:hAnsi="宋体" w:eastAsia="宋体" w:cs="仿宋"/>
          <w:kern w:val="0"/>
          <w:sz w:val="24"/>
          <w:szCs w:val="28"/>
        </w:rPr>
      </w:pPr>
      <w:r>
        <w:rPr>
          <w:rFonts w:hint="eastAsia" w:ascii="宋体" w:hAnsi="宋体" w:eastAsia="宋体" w:cs="仿宋"/>
          <w:kern w:val="0"/>
          <w:sz w:val="24"/>
          <w:szCs w:val="28"/>
        </w:rPr>
        <w:t>4.1.4 合同</w:t>
      </w:r>
    </w:p>
    <w:p w14:paraId="47413BB2">
      <w:pPr>
        <w:autoSpaceDE w:val="0"/>
        <w:autoSpaceDN w:val="0"/>
        <w:adjustRightInd w:val="0"/>
        <w:spacing w:line="360" w:lineRule="auto"/>
        <w:ind w:firstLine="480"/>
        <w:rPr>
          <w:rFonts w:ascii="宋体" w:hAnsi="宋体" w:eastAsia="宋体" w:cs="仿宋"/>
          <w:kern w:val="0"/>
          <w:sz w:val="24"/>
          <w:szCs w:val="20"/>
        </w:rPr>
      </w:pPr>
      <w:r>
        <w:rPr>
          <w:rFonts w:hint="eastAsia" w:ascii="宋体" w:hAnsi="宋体" w:eastAsia="宋体" w:cs="仿宋"/>
          <w:kern w:val="0"/>
          <w:sz w:val="24"/>
          <w:szCs w:val="20"/>
        </w:rPr>
        <w:t>4.1.5 响应文件格式</w:t>
      </w:r>
    </w:p>
    <w:p w14:paraId="34BEEE86">
      <w:pPr>
        <w:autoSpaceDE w:val="0"/>
        <w:autoSpaceDN w:val="0"/>
        <w:adjustRightInd w:val="0"/>
        <w:spacing w:line="360" w:lineRule="auto"/>
        <w:ind w:firstLine="480"/>
        <w:rPr>
          <w:rFonts w:ascii="宋体" w:hAnsi="宋体" w:eastAsia="宋体" w:cs="仿宋"/>
          <w:kern w:val="0"/>
          <w:sz w:val="24"/>
          <w:szCs w:val="20"/>
        </w:rPr>
      </w:pPr>
      <w:r>
        <w:rPr>
          <w:rFonts w:hint="eastAsia" w:ascii="宋体" w:hAnsi="宋体" w:eastAsia="宋体" w:cs="仿宋"/>
          <w:kern w:val="0"/>
          <w:sz w:val="24"/>
          <w:szCs w:val="20"/>
        </w:rPr>
        <w:t>4.2  供应商应认真阅读谈判文件中所有的事项、格式、条款和规范等要求。如果没有按照谈判文件要求提交全部资料或者响应文件没有对谈判文件做出实质性响应，其谈判将被拒绝。</w:t>
      </w:r>
    </w:p>
    <w:p w14:paraId="55D6A096">
      <w:pPr>
        <w:autoSpaceDE w:val="0"/>
        <w:autoSpaceDN w:val="0"/>
        <w:adjustRightInd w:val="0"/>
        <w:spacing w:line="360" w:lineRule="auto"/>
        <w:ind w:firstLine="480"/>
        <w:rPr>
          <w:rFonts w:ascii="宋体" w:hAnsi="宋体" w:eastAsia="宋体" w:cs="仿宋"/>
          <w:kern w:val="0"/>
          <w:sz w:val="24"/>
          <w:szCs w:val="20"/>
        </w:rPr>
      </w:pPr>
      <w:r>
        <w:rPr>
          <w:rFonts w:hint="eastAsia" w:ascii="宋体" w:hAnsi="宋体" w:eastAsia="宋体" w:cs="仿宋"/>
          <w:kern w:val="0"/>
          <w:sz w:val="24"/>
          <w:szCs w:val="20"/>
        </w:rPr>
        <w:t>5. 谈判文件的澄清和修改</w:t>
      </w:r>
    </w:p>
    <w:p w14:paraId="083B0F60">
      <w:pPr>
        <w:autoSpaceDE w:val="0"/>
        <w:autoSpaceDN w:val="0"/>
        <w:adjustRightInd w:val="0"/>
        <w:spacing w:line="360" w:lineRule="auto"/>
        <w:ind w:firstLine="480"/>
        <w:rPr>
          <w:rFonts w:ascii="宋体" w:hAnsi="宋体" w:eastAsia="宋体" w:cs="仿宋"/>
          <w:kern w:val="0"/>
          <w:sz w:val="28"/>
          <w:szCs w:val="20"/>
        </w:rPr>
      </w:pPr>
      <w:r>
        <w:rPr>
          <w:rFonts w:hint="eastAsia" w:ascii="宋体" w:hAnsi="宋体" w:eastAsia="宋体" w:cs="仿宋"/>
          <w:kern w:val="0"/>
          <w:sz w:val="24"/>
          <w:szCs w:val="20"/>
        </w:rPr>
        <w:t>5.1 采购人如需对已发出的谈判文件进行必要澄清或者修改的，澄清或者修改的的内容可能影响到响应文件编制的，采购代理机构应当在响应文件递交截止时间五日前，并以书面形式通知所有获取谈判文件的潜在供应商。该澄清或者修改的内容为谈判文件的组成部分。</w:t>
      </w:r>
    </w:p>
    <w:p w14:paraId="43AEC2E4">
      <w:pPr>
        <w:spacing w:before="120" w:after="120" w:line="360" w:lineRule="auto"/>
        <w:ind w:firstLine="562" w:firstLineChars="200"/>
        <w:jc w:val="center"/>
        <w:outlineLvl w:val="1"/>
        <w:rPr>
          <w:rFonts w:ascii="宋体" w:hAnsi="宋体" w:eastAsia="宋体" w:cs="仿宋"/>
          <w:b/>
          <w:kern w:val="0"/>
          <w:sz w:val="28"/>
          <w:szCs w:val="24"/>
        </w:rPr>
      </w:pPr>
      <w:bookmarkStart w:id="27" w:name="_Toc10621"/>
      <w:bookmarkStart w:id="28" w:name="_Toc31128"/>
      <w:bookmarkStart w:id="29" w:name="_Toc195529414"/>
      <w:bookmarkStart w:id="30" w:name="_Toc56170382"/>
      <w:r>
        <w:rPr>
          <w:rFonts w:hint="eastAsia" w:ascii="宋体" w:hAnsi="宋体" w:eastAsia="宋体" w:cs="仿宋"/>
          <w:b/>
          <w:kern w:val="0"/>
          <w:sz w:val="28"/>
          <w:szCs w:val="24"/>
        </w:rPr>
        <w:t>三、响应文件的编制</w:t>
      </w:r>
      <w:bookmarkEnd w:id="27"/>
      <w:bookmarkEnd w:id="28"/>
      <w:bookmarkEnd w:id="29"/>
      <w:bookmarkEnd w:id="30"/>
    </w:p>
    <w:p w14:paraId="6DF0ECCB">
      <w:pPr>
        <w:autoSpaceDE w:val="0"/>
        <w:autoSpaceDN w:val="0"/>
        <w:adjustRightInd w:val="0"/>
        <w:spacing w:line="360" w:lineRule="auto"/>
        <w:ind w:firstLine="480"/>
        <w:rPr>
          <w:rFonts w:ascii="宋体" w:hAnsi="宋体" w:eastAsia="宋体" w:cs="仿宋"/>
          <w:kern w:val="0"/>
          <w:sz w:val="24"/>
          <w:szCs w:val="20"/>
        </w:rPr>
      </w:pPr>
      <w:r>
        <w:rPr>
          <w:rFonts w:hint="eastAsia" w:ascii="宋体" w:hAnsi="宋体" w:eastAsia="宋体" w:cs="仿宋"/>
          <w:kern w:val="0"/>
          <w:sz w:val="24"/>
          <w:szCs w:val="20"/>
        </w:rPr>
        <w:t>6. 响应文件的编写</w:t>
      </w:r>
    </w:p>
    <w:p w14:paraId="697D01CB">
      <w:pPr>
        <w:autoSpaceDE w:val="0"/>
        <w:autoSpaceDN w:val="0"/>
        <w:adjustRightInd w:val="0"/>
        <w:spacing w:line="360" w:lineRule="auto"/>
        <w:ind w:firstLine="480"/>
        <w:rPr>
          <w:rFonts w:ascii="宋体" w:hAnsi="宋体" w:eastAsia="宋体" w:cs="仿宋"/>
          <w:kern w:val="0"/>
          <w:sz w:val="24"/>
          <w:szCs w:val="20"/>
        </w:rPr>
      </w:pPr>
      <w:r>
        <w:rPr>
          <w:rFonts w:hint="eastAsia" w:ascii="宋体" w:hAnsi="宋体" w:eastAsia="宋体" w:cs="仿宋"/>
          <w:kern w:val="0"/>
          <w:sz w:val="24"/>
          <w:szCs w:val="20"/>
        </w:rPr>
        <w:t>6.1 供应商应仔细阅读谈判文件，了解谈判文件的要求，并在充分理解谈判文件提出的技术规范、服务和商务条款后的基础上制作响应文件。</w:t>
      </w:r>
    </w:p>
    <w:p w14:paraId="7988610E">
      <w:pPr>
        <w:autoSpaceDE w:val="0"/>
        <w:autoSpaceDN w:val="0"/>
        <w:adjustRightInd w:val="0"/>
        <w:spacing w:line="360" w:lineRule="auto"/>
        <w:ind w:firstLine="480"/>
        <w:rPr>
          <w:rFonts w:ascii="宋体" w:hAnsi="宋体" w:eastAsia="宋体" w:cs="仿宋"/>
          <w:kern w:val="0"/>
          <w:sz w:val="24"/>
          <w:szCs w:val="20"/>
        </w:rPr>
      </w:pPr>
      <w:r>
        <w:rPr>
          <w:rFonts w:hint="eastAsia" w:ascii="宋体" w:hAnsi="宋体" w:eastAsia="宋体" w:cs="仿宋"/>
          <w:kern w:val="0"/>
          <w:sz w:val="24"/>
          <w:szCs w:val="20"/>
        </w:rPr>
        <w:t>7. 响应文件的语言及计量单位</w:t>
      </w:r>
    </w:p>
    <w:p w14:paraId="32FB1283">
      <w:pPr>
        <w:autoSpaceDE w:val="0"/>
        <w:autoSpaceDN w:val="0"/>
        <w:adjustRightInd w:val="0"/>
        <w:spacing w:line="360" w:lineRule="auto"/>
        <w:ind w:firstLine="480"/>
        <w:rPr>
          <w:rFonts w:ascii="宋体" w:hAnsi="宋体" w:eastAsia="宋体" w:cs="仿宋"/>
          <w:kern w:val="0"/>
          <w:sz w:val="24"/>
          <w:szCs w:val="20"/>
        </w:rPr>
      </w:pPr>
      <w:r>
        <w:rPr>
          <w:rFonts w:hint="eastAsia" w:ascii="宋体" w:hAnsi="宋体" w:eastAsia="宋体" w:cs="仿宋"/>
          <w:kern w:val="0"/>
          <w:sz w:val="24"/>
          <w:szCs w:val="20"/>
        </w:rPr>
        <w:t>7.1 供应商的响应文件以及供应商与采购代理机构就有关谈判活动的所有来往函电均应使用中文。如果响应文件或与谈判有关的其它文件、信件及来往函电以其它语言书写的，供应商应将其译成中文。</w:t>
      </w:r>
    </w:p>
    <w:p w14:paraId="1F210F7D">
      <w:pPr>
        <w:autoSpaceDE w:val="0"/>
        <w:autoSpaceDN w:val="0"/>
        <w:adjustRightInd w:val="0"/>
        <w:spacing w:line="360" w:lineRule="auto"/>
        <w:ind w:firstLine="480"/>
        <w:rPr>
          <w:rFonts w:ascii="宋体" w:hAnsi="宋体" w:eastAsia="宋体" w:cs="仿宋"/>
          <w:kern w:val="0"/>
          <w:sz w:val="24"/>
          <w:szCs w:val="20"/>
        </w:rPr>
      </w:pPr>
      <w:r>
        <w:rPr>
          <w:rFonts w:hint="eastAsia" w:ascii="宋体" w:hAnsi="宋体" w:eastAsia="宋体" w:cs="仿宋"/>
          <w:kern w:val="0"/>
          <w:sz w:val="24"/>
          <w:szCs w:val="20"/>
        </w:rPr>
        <w:t>7.2 响应文件中所使用的计量单位除谈判文件中有特殊规定外，一律使用法定计量单位。</w:t>
      </w:r>
    </w:p>
    <w:p w14:paraId="389553A9">
      <w:pPr>
        <w:autoSpaceDE w:val="0"/>
        <w:autoSpaceDN w:val="0"/>
        <w:adjustRightInd w:val="0"/>
        <w:spacing w:line="360" w:lineRule="auto"/>
        <w:ind w:firstLine="480"/>
        <w:rPr>
          <w:rFonts w:ascii="宋体" w:hAnsi="宋体" w:eastAsia="宋体" w:cs="仿宋"/>
          <w:kern w:val="0"/>
          <w:sz w:val="24"/>
          <w:szCs w:val="20"/>
        </w:rPr>
      </w:pPr>
      <w:r>
        <w:rPr>
          <w:rFonts w:hint="eastAsia" w:ascii="宋体" w:hAnsi="宋体" w:eastAsia="宋体" w:cs="仿宋"/>
          <w:kern w:val="0"/>
          <w:sz w:val="24"/>
          <w:szCs w:val="20"/>
        </w:rPr>
        <w:t>8. 响应文件构成</w:t>
      </w:r>
    </w:p>
    <w:p w14:paraId="160B0CFD">
      <w:pPr>
        <w:autoSpaceDE w:val="0"/>
        <w:autoSpaceDN w:val="0"/>
        <w:adjustRightInd w:val="0"/>
        <w:spacing w:line="360" w:lineRule="auto"/>
        <w:ind w:firstLine="480"/>
        <w:rPr>
          <w:rFonts w:ascii="宋体" w:hAnsi="宋体" w:eastAsia="宋体" w:cs="仿宋"/>
          <w:kern w:val="0"/>
          <w:sz w:val="24"/>
          <w:szCs w:val="20"/>
        </w:rPr>
      </w:pPr>
      <w:r>
        <w:rPr>
          <w:rFonts w:hint="eastAsia" w:ascii="宋体" w:hAnsi="宋体" w:eastAsia="宋体" w:cs="仿宋"/>
          <w:kern w:val="0"/>
          <w:sz w:val="24"/>
          <w:szCs w:val="20"/>
        </w:rPr>
        <w:t>8.1.1 资格性审查：</w:t>
      </w:r>
    </w:p>
    <w:p w14:paraId="77A38B4C">
      <w:pPr>
        <w:autoSpaceDE w:val="0"/>
        <w:autoSpaceDN w:val="0"/>
        <w:adjustRightInd w:val="0"/>
        <w:spacing w:line="360" w:lineRule="auto"/>
        <w:ind w:firstLine="480"/>
        <w:rPr>
          <w:rFonts w:ascii="宋体" w:hAnsi="宋体" w:eastAsia="宋体" w:cs="仿宋"/>
          <w:kern w:val="0"/>
          <w:sz w:val="24"/>
          <w:szCs w:val="20"/>
        </w:rPr>
      </w:pPr>
      <w:r>
        <w:rPr>
          <w:rFonts w:hint="eastAsia" w:ascii="宋体" w:hAnsi="宋体" w:eastAsia="宋体" w:cs="仿宋"/>
          <w:kern w:val="0"/>
          <w:sz w:val="24"/>
          <w:szCs w:val="20"/>
        </w:rPr>
        <w:t>符合谈判须知前附表“供应商资格”。</w:t>
      </w:r>
    </w:p>
    <w:p w14:paraId="64BEE134">
      <w:pPr>
        <w:autoSpaceDE w:val="0"/>
        <w:autoSpaceDN w:val="0"/>
        <w:adjustRightInd w:val="0"/>
        <w:spacing w:line="360" w:lineRule="auto"/>
        <w:ind w:firstLine="480"/>
        <w:rPr>
          <w:rFonts w:ascii="宋体" w:hAnsi="宋体" w:eastAsia="宋体" w:cs="仿宋"/>
          <w:kern w:val="0"/>
          <w:sz w:val="24"/>
          <w:szCs w:val="20"/>
        </w:rPr>
      </w:pPr>
      <w:r>
        <w:rPr>
          <w:rFonts w:hint="eastAsia" w:ascii="宋体" w:hAnsi="宋体" w:eastAsia="宋体" w:cs="仿宋"/>
          <w:kern w:val="0"/>
          <w:sz w:val="24"/>
          <w:szCs w:val="20"/>
        </w:rPr>
        <w:t>8.1.2 商务技术响应文件</w:t>
      </w:r>
    </w:p>
    <w:p w14:paraId="14F1D353">
      <w:pPr>
        <w:autoSpaceDE w:val="0"/>
        <w:autoSpaceDN w:val="0"/>
        <w:adjustRightInd w:val="0"/>
        <w:snapToGrid w:val="0"/>
        <w:spacing w:line="360" w:lineRule="auto"/>
        <w:ind w:firstLine="480" w:firstLineChars="200"/>
        <w:rPr>
          <w:rFonts w:ascii="宋体" w:hAnsi="宋体" w:eastAsia="宋体" w:cs="仿宋"/>
          <w:kern w:val="0"/>
          <w:sz w:val="24"/>
          <w:szCs w:val="20"/>
        </w:rPr>
      </w:pPr>
      <w:r>
        <w:rPr>
          <w:rFonts w:hint="eastAsia" w:ascii="宋体" w:hAnsi="宋体" w:eastAsia="宋体" w:cs="仿宋"/>
          <w:kern w:val="0"/>
          <w:sz w:val="24"/>
          <w:szCs w:val="20"/>
        </w:rPr>
        <w:t>8.2供应商在谈判中违反国家有关法律法规的强制性规定的，其谈判按未满足谈判文件实质性要求处理。</w:t>
      </w:r>
    </w:p>
    <w:p w14:paraId="094BB1EE">
      <w:pPr>
        <w:autoSpaceDE w:val="0"/>
        <w:autoSpaceDN w:val="0"/>
        <w:adjustRightInd w:val="0"/>
        <w:snapToGrid w:val="0"/>
        <w:spacing w:line="360" w:lineRule="auto"/>
        <w:ind w:firstLine="480" w:firstLineChars="200"/>
        <w:rPr>
          <w:rFonts w:ascii="宋体" w:hAnsi="宋体" w:eastAsia="宋体" w:cs="仿宋"/>
          <w:kern w:val="0"/>
          <w:sz w:val="24"/>
          <w:szCs w:val="20"/>
        </w:rPr>
      </w:pPr>
      <w:r>
        <w:rPr>
          <w:rFonts w:hint="eastAsia" w:ascii="宋体" w:hAnsi="宋体" w:eastAsia="宋体" w:cs="仿宋"/>
          <w:kern w:val="0"/>
          <w:sz w:val="24"/>
          <w:szCs w:val="20"/>
        </w:rPr>
        <w:t>9. 响应文件格式</w:t>
      </w:r>
    </w:p>
    <w:p w14:paraId="7CF0B514">
      <w:pPr>
        <w:autoSpaceDE w:val="0"/>
        <w:autoSpaceDN w:val="0"/>
        <w:adjustRightInd w:val="0"/>
        <w:snapToGrid w:val="0"/>
        <w:spacing w:line="360" w:lineRule="auto"/>
        <w:ind w:firstLine="480" w:firstLineChars="200"/>
        <w:rPr>
          <w:rFonts w:ascii="宋体" w:hAnsi="宋体" w:eastAsia="宋体" w:cs="仿宋"/>
          <w:kern w:val="0"/>
          <w:sz w:val="24"/>
          <w:szCs w:val="20"/>
        </w:rPr>
      </w:pPr>
      <w:r>
        <w:rPr>
          <w:rFonts w:hint="eastAsia" w:ascii="宋体" w:hAnsi="宋体" w:eastAsia="宋体" w:cs="仿宋"/>
          <w:kern w:val="0"/>
          <w:sz w:val="24"/>
          <w:szCs w:val="20"/>
        </w:rPr>
        <w:t>9.1 供应商应按谈判文件提供的格式完整地填写提供，具体格式要求详见第六章 响应文件格式。</w:t>
      </w:r>
    </w:p>
    <w:p w14:paraId="217915B6">
      <w:pPr>
        <w:autoSpaceDE w:val="0"/>
        <w:autoSpaceDN w:val="0"/>
        <w:adjustRightInd w:val="0"/>
        <w:spacing w:line="360" w:lineRule="auto"/>
        <w:ind w:firstLine="480"/>
        <w:rPr>
          <w:rFonts w:ascii="宋体" w:hAnsi="宋体" w:eastAsia="宋体" w:cs="仿宋"/>
          <w:kern w:val="0"/>
          <w:sz w:val="24"/>
          <w:szCs w:val="20"/>
        </w:rPr>
      </w:pPr>
      <w:r>
        <w:rPr>
          <w:rFonts w:hint="eastAsia" w:ascii="宋体" w:hAnsi="宋体" w:eastAsia="宋体" w:cs="仿宋"/>
          <w:kern w:val="0"/>
          <w:sz w:val="24"/>
          <w:szCs w:val="20"/>
        </w:rPr>
        <w:t>10. 谈判报价</w:t>
      </w:r>
    </w:p>
    <w:p w14:paraId="30AEF9B1">
      <w:pPr>
        <w:autoSpaceDE w:val="0"/>
        <w:autoSpaceDN w:val="0"/>
        <w:adjustRightInd w:val="0"/>
        <w:spacing w:line="360" w:lineRule="auto"/>
        <w:ind w:firstLine="480"/>
        <w:rPr>
          <w:rFonts w:ascii="宋体" w:hAnsi="宋体" w:eastAsia="宋体" w:cs="仿宋"/>
          <w:kern w:val="0"/>
          <w:sz w:val="24"/>
          <w:szCs w:val="20"/>
        </w:rPr>
      </w:pPr>
      <w:r>
        <w:rPr>
          <w:rFonts w:hint="eastAsia" w:ascii="宋体" w:hAnsi="宋体" w:eastAsia="宋体" w:cs="仿宋"/>
          <w:kern w:val="0"/>
          <w:sz w:val="24"/>
          <w:szCs w:val="20"/>
        </w:rPr>
        <w:t>10.1本标只接受一个报价，不接受备选方案。</w:t>
      </w:r>
    </w:p>
    <w:p w14:paraId="599E6D29">
      <w:pPr>
        <w:autoSpaceDE w:val="0"/>
        <w:autoSpaceDN w:val="0"/>
        <w:adjustRightInd w:val="0"/>
        <w:spacing w:line="360" w:lineRule="auto"/>
        <w:ind w:firstLine="480"/>
        <w:rPr>
          <w:rFonts w:ascii="宋体" w:hAnsi="宋体" w:eastAsia="宋体" w:cs="仿宋"/>
          <w:kern w:val="0"/>
          <w:sz w:val="24"/>
          <w:szCs w:val="20"/>
        </w:rPr>
      </w:pPr>
      <w:r>
        <w:rPr>
          <w:rFonts w:hint="eastAsia" w:ascii="宋体" w:hAnsi="宋体" w:eastAsia="宋体" w:cs="仿宋"/>
          <w:kern w:val="0"/>
          <w:sz w:val="24"/>
          <w:szCs w:val="20"/>
        </w:rPr>
        <w:t>10.</w:t>
      </w:r>
      <w:r>
        <w:rPr>
          <w:rFonts w:ascii="宋体" w:hAnsi="宋体" w:eastAsia="宋体" w:cs="仿宋"/>
          <w:kern w:val="0"/>
          <w:sz w:val="24"/>
          <w:szCs w:val="20"/>
        </w:rPr>
        <w:t>2</w:t>
      </w:r>
      <w:r>
        <w:rPr>
          <w:rFonts w:hint="eastAsia" w:ascii="宋体" w:hAnsi="宋体" w:eastAsia="宋体" w:cs="仿宋"/>
          <w:kern w:val="0"/>
          <w:sz w:val="24"/>
          <w:szCs w:val="20"/>
        </w:rPr>
        <w:t xml:space="preserve"> 谈判结束后，供应商可根据谈判情况，进行第二次报价(根据情况进行多轮报价)最终轮报价为谈判的最终报价。</w:t>
      </w:r>
    </w:p>
    <w:p w14:paraId="495DBFC2">
      <w:pPr>
        <w:autoSpaceDE w:val="0"/>
        <w:autoSpaceDN w:val="0"/>
        <w:adjustRightInd w:val="0"/>
        <w:spacing w:line="360" w:lineRule="auto"/>
        <w:ind w:firstLine="480"/>
        <w:rPr>
          <w:rFonts w:ascii="宋体" w:hAnsi="宋体" w:eastAsia="宋体" w:cs="仿宋"/>
          <w:kern w:val="0"/>
          <w:sz w:val="24"/>
          <w:szCs w:val="20"/>
        </w:rPr>
      </w:pPr>
      <w:r>
        <w:rPr>
          <w:rFonts w:hint="eastAsia" w:ascii="宋体" w:hAnsi="宋体" w:eastAsia="宋体" w:cs="仿宋"/>
          <w:kern w:val="0"/>
          <w:sz w:val="24"/>
          <w:szCs w:val="20"/>
        </w:rPr>
        <w:t>10.</w:t>
      </w:r>
      <w:r>
        <w:rPr>
          <w:rFonts w:ascii="宋体" w:hAnsi="宋体" w:eastAsia="宋体" w:cs="仿宋"/>
          <w:kern w:val="0"/>
          <w:sz w:val="24"/>
          <w:szCs w:val="20"/>
        </w:rPr>
        <w:t>3</w:t>
      </w:r>
      <w:r>
        <w:rPr>
          <w:rFonts w:hint="eastAsia" w:ascii="宋体" w:hAnsi="宋体" w:eastAsia="宋体" w:cs="仿宋"/>
          <w:kern w:val="0"/>
          <w:sz w:val="24"/>
          <w:szCs w:val="20"/>
        </w:rPr>
        <w:t xml:space="preserve">供应商需进行多轮报价，开启新一轮报价时，供应商随报价同时提交附件（如有），附件内容为明细报价表合计金额须与新一轮报价金额一致。  </w:t>
      </w:r>
    </w:p>
    <w:p w14:paraId="3DAF8C7A">
      <w:pPr>
        <w:autoSpaceDE w:val="0"/>
        <w:autoSpaceDN w:val="0"/>
        <w:adjustRightInd w:val="0"/>
        <w:spacing w:line="360" w:lineRule="auto"/>
        <w:ind w:firstLine="480"/>
        <w:rPr>
          <w:rFonts w:ascii="宋体" w:hAnsi="宋体" w:eastAsia="宋体" w:cs="仿宋"/>
          <w:kern w:val="0"/>
          <w:sz w:val="24"/>
          <w:szCs w:val="20"/>
        </w:rPr>
      </w:pPr>
      <w:r>
        <w:rPr>
          <w:rFonts w:hint="eastAsia" w:ascii="宋体" w:hAnsi="宋体" w:eastAsia="宋体" w:cs="仿宋"/>
          <w:kern w:val="0"/>
          <w:sz w:val="24"/>
          <w:szCs w:val="20"/>
        </w:rPr>
        <w:t>11. 报价不可超过最高限价，否则作废标处理。</w:t>
      </w:r>
    </w:p>
    <w:p w14:paraId="2DC4D83B">
      <w:pPr>
        <w:autoSpaceDE w:val="0"/>
        <w:autoSpaceDN w:val="0"/>
        <w:adjustRightInd w:val="0"/>
        <w:spacing w:line="360" w:lineRule="auto"/>
        <w:ind w:firstLine="480"/>
        <w:rPr>
          <w:rFonts w:ascii="宋体" w:hAnsi="宋体" w:eastAsia="宋体" w:cs="仿宋"/>
          <w:kern w:val="0"/>
          <w:sz w:val="24"/>
          <w:szCs w:val="20"/>
        </w:rPr>
      </w:pPr>
      <w:r>
        <w:rPr>
          <w:rFonts w:hint="eastAsia" w:ascii="宋体" w:hAnsi="宋体" w:eastAsia="宋体" w:cs="仿宋"/>
          <w:kern w:val="0"/>
          <w:sz w:val="24"/>
          <w:szCs w:val="20"/>
        </w:rPr>
        <w:t>12. 证明供应商合格和资格的文件</w:t>
      </w:r>
    </w:p>
    <w:p w14:paraId="59B1DAB9">
      <w:pPr>
        <w:autoSpaceDE w:val="0"/>
        <w:autoSpaceDN w:val="0"/>
        <w:adjustRightInd w:val="0"/>
        <w:spacing w:line="360" w:lineRule="auto"/>
        <w:ind w:firstLine="480"/>
        <w:rPr>
          <w:rFonts w:ascii="宋体" w:hAnsi="宋体" w:eastAsia="宋体" w:cs="仿宋"/>
          <w:kern w:val="0"/>
          <w:sz w:val="24"/>
          <w:szCs w:val="20"/>
        </w:rPr>
      </w:pPr>
      <w:r>
        <w:rPr>
          <w:rFonts w:hint="eastAsia" w:ascii="宋体" w:hAnsi="宋体" w:eastAsia="宋体" w:cs="仿宋"/>
          <w:kern w:val="0"/>
          <w:sz w:val="24"/>
          <w:szCs w:val="20"/>
        </w:rPr>
        <w:t>12.1 按照第8条规定，供应商应提交证明其有资格参加谈判和一旦其谈判被接受则有能力履行合同的文件，并作为其响应文件的一部分。</w:t>
      </w:r>
    </w:p>
    <w:p w14:paraId="0B9B53D5">
      <w:pPr>
        <w:autoSpaceDE w:val="0"/>
        <w:autoSpaceDN w:val="0"/>
        <w:adjustRightInd w:val="0"/>
        <w:spacing w:line="360" w:lineRule="auto"/>
        <w:ind w:firstLine="480"/>
        <w:rPr>
          <w:rFonts w:ascii="宋体" w:hAnsi="宋体" w:eastAsia="宋体" w:cs="仿宋"/>
          <w:kern w:val="0"/>
          <w:sz w:val="24"/>
          <w:szCs w:val="20"/>
        </w:rPr>
      </w:pPr>
      <w:r>
        <w:rPr>
          <w:rFonts w:hint="eastAsia" w:ascii="宋体" w:hAnsi="宋体" w:eastAsia="宋体" w:cs="仿宋"/>
          <w:kern w:val="0"/>
          <w:sz w:val="24"/>
          <w:szCs w:val="20"/>
        </w:rPr>
        <w:t>12.2 供应商应填写并提交谈判文件所要求的资格证明类文件。</w:t>
      </w:r>
    </w:p>
    <w:p w14:paraId="4F354D61">
      <w:pPr>
        <w:autoSpaceDE w:val="0"/>
        <w:autoSpaceDN w:val="0"/>
        <w:adjustRightInd w:val="0"/>
        <w:spacing w:line="360" w:lineRule="auto"/>
        <w:ind w:firstLine="480"/>
        <w:rPr>
          <w:rFonts w:ascii="宋体" w:hAnsi="宋体" w:eastAsia="宋体" w:cs="仿宋"/>
          <w:kern w:val="0"/>
          <w:sz w:val="24"/>
          <w:szCs w:val="20"/>
        </w:rPr>
      </w:pPr>
      <w:r>
        <w:rPr>
          <w:rFonts w:hint="eastAsia" w:ascii="宋体" w:hAnsi="宋体" w:eastAsia="宋体" w:cs="仿宋"/>
          <w:kern w:val="0"/>
          <w:sz w:val="24"/>
          <w:szCs w:val="20"/>
        </w:rPr>
        <w:t>13. 证明服务的合格性和符合谈判文件规定的文件</w:t>
      </w:r>
    </w:p>
    <w:p w14:paraId="2BAA303F">
      <w:pPr>
        <w:autoSpaceDE w:val="0"/>
        <w:autoSpaceDN w:val="0"/>
        <w:adjustRightInd w:val="0"/>
        <w:spacing w:line="360" w:lineRule="auto"/>
        <w:ind w:firstLine="480"/>
        <w:rPr>
          <w:rFonts w:ascii="宋体" w:hAnsi="宋体" w:eastAsia="宋体" w:cs="仿宋"/>
          <w:kern w:val="0"/>
          <w:sz w:val="24"/>
          <w:szCs w:val="20"/>
        </w:rPr>
      </w:pPr>
      <w:r>
        <w:rPr>
          <w:rFonts w:hint="eastAsia" w:ascii="宋体" w:hAnsi="宋体" w:eastAsia="宋体" w:cs="仿宋"/>
          <w:kern w:val="0"/>
          <w:sz w:val="24"/>
          <w:szCs w:val="20"/>
        </w:rPr>
        <w:t>13.1 按照第8条规定，供应商应提交谈判文件要求的其服务的合格性及符合谈判文件规定的证明文件。</w:t>
      </w:r>
    </w:p>
    <w:p w14:paraId="4615D92C">
      <w:pPr>
        <w:autoSpaceDE w:val="0"/>
        <w:autoSpaceDN w:val="0"/>
        <w:adjustRightInd w:val="0"/>
        <w:spacing w:line="360" w:lineRule="auto"/>
        <w:ind w:firstLine="480"/>
        <w:jc w:val="left"/>
        <w:rPr>
          <w:rFonts w:ascii="宋体" w:hAnsi="宋体" w:eastAsia="宋体" w:cs="仿宋"/>
          <w:kern w:val="0"/>
          <w:sz w:val="24"/>
          <w:szCs w:val="20"/>
        </w:rPr>
      </w:pPr>
      <w:r>
        <w:rPr>
          <w:rFonts w:hint="eastAsia" w:ascii="宋体" w:hAnsi="宋体" w:eastAsia="宋体" w:cs="仿宋"/>
          <w:kern w:val="0"/>
          <w:sz w:val="24"/>
          <w:szCs w:val="20"/>
        </w:rPr>
        <w:t>13.2 供应商应逐条阅读谈判文件要求的技术规格及商务条款要求，指出自己提供的服务是否对谈判文件做出响应，并将不能响应之处在响应文件所附的“商务技术条款偏离表”中一一列出。</w:t>
      </w:r>
    </w:p>
    <w:p w14:paraId="2A125F09">
      <w:pPr>
        <w:autoSpaceDE w:val="0"/>
        <w:autoSpaceDN w:val="0"/>
        <w:adjustRightInd w:val="0"/>
        <w:spacing w:line="360" w:lineRule="auto"/>
        <w:ind w:firstLine="480"/>
        <w:rPr>
          <w:rFonts w:ascii="宋体" w:hAnsi="宋体" w:eastAsia="宋体" w:cs="仿宋"/>
          <w:kern w:val="0"/>
          <w:sz w:val="24"/>
          <w:szCs w:val="20"/>
        </w:rPr>
      </w:pPr>
      <w:r>
        <w:rPr>
          <w:rFonts w:hint="eastAsia" w:ascii="宋体" w:hAnsi="宋体" w:eastAsia="宋体" w:cs="仿宋"/>
          <w:kern w:val="0"/>
          <w:sz w:val="24"/>
          <w:szCs w:val="20"/>
        </w:rPr>
        <w:t>14. 响应文件的有效期</w:t>
      </w:r>
    </w:p>
    <w:p w14:paraId="58618371">
      <w:pPr>
        <w:autoSpaceDE w:val="0"/>
        <w:autoSpaceDN w:val="0"/>
        <w:adjustRightInd w:val="0"/>
        <w:spacing w:line="360" w:lineRule="auto"/>
        <w:ind w:firstLine="480"/>
        <w:rPr>
          <w:rFonts w:ascii="宋体" w:hAnsi="宋体" w:eastAsia="宋体" w:cs="仿宋"/>
          <w:kern w:val="0"/>
          <w:sz w:val="24"/>
          <w:szCs w:val="20"/>
        </w:rPr>
      </w:pPr>
      <w:r>
        <w:rPr>
          <w:rFonts w:hint="eastAsia" w:ascii="宋体" w:hAnsi="宋体" w:eastAsia="宋体" w:cs="仿宋"/>
          <w:kern w:val="0"/>
          <w:sz w:val="24"/>
          <w:szCs w:val="20"/>
        </w:rPr>
        <w:t>14.1 响应文件从实际谈判之日起</w:t>
      </w:r>
      <w:r>
        <w:rPr>
          <w:rFonts w:hint="eastAsia" w:ascii="宋体" w:hAnsi="宋体" w:eastAsia="宋体" w:cs="仿宋"/>
          <w:kern w:val="0"/>
          <w:sz w:val="24"/>
          <w:szCs w:val="20"/>
          <w:u w:val="single"/>
        </w:rPr>
        <w:t xml:space="preserve"> 90 </w:t>
      </w:r>
      <w:r>
        <w:rPr>
          <w:rFonts w:hint="eastAsia" w:ascii="宋体" w:hAnsi="宋体" w:eastAsia="宋体" w:cs="仿宋"/>
          <w:kern w:val="0"/>
          <w:sz w:val="24"/>
          <w:szCs w:val="20"/>
        </w:rPr>
        <w:t>天内有效。</w:t>
      </w:r>
    </w:p>
    <w:p w14:paraId="25F09EA6">
      <w:pPr>
        <w:autoSpaceDE w:val="0"/>
        <w:autoSpaceDN w:val="0"/>
        <w:adjustRightInd w:val="0"/>
        <w:spacing w:line="360" w:lineRule="auto"/>
        <w:ind w:firstLine="480"/>
        <w:rPr>
          <w:rFonts w:ascii="宋体" w:hAnsi="宋体" w:eastAsia="宋体" w:cs="仿宋"/>
          <w:kern w:val="0"/>
          <w:sz w:val="24"/>
          <w:szCs w:val="20"/>
        </w:rPr>
      </w:pPr>
      <w:r>
        <w:rPr>
          <w:rFonts w:hint="eastAsia" w:ascii="宋体" w:hAnsi="宋体" w:eastAsia="宋体" w:cs="仿宋"/>
          <w:kern w:val="0"/>
          <w:sz w:val="24"/>
          <w:szCs w:val="20"/>
        </w:rPr>
        <w:t>14.2 在特殊情况下，在原谈判有效期届满之前，采购代理机构可与招标单位协商延长响应文件的有效期，并经谈判方确认。</w:t>
      </w:r>
    </w:p>
    <w:p w14:paraId="2EBD3929">
      <w:pPr>
        <w:autoSpaceDE w:val="0"/>
        <w:autoSpaceDN w:val="0"/>
        <w:adjustRightInd w:val="0"/>
        <w:spacing w:line="360" w:lineRule="auto"/>
        <w:ind w:firstLine="480"/>
        <w:rPr>
          <w:rFonts w:ascii="宋体" w:hAnsi="宋体" w:eastAsia="宋体" w:cs="仿宋"/>
          <w:kern w:val="0"/>
          <w:sz w:val="24"/>
          <w:szCs w:val="20"/>
        </w:rPr>
      </w:pPr>
      <w:r>
        <w:rPr>
          <w:rFonts w:hint="eastAsia" w:ascii="宋体" w:hAnsi="宋体" w:eastAsia="宋体" w:cs="仿宋"/>
          <w:kern w:val="0"/>
          <w:sz w:val="24"/>
          <w:szCs w:val="20"/>
        </w:rPr>
        <w:t>15.响应文件的要求</w:t>
      </w:r>
    </w:p>
    <w:p w14:paraId="1E0235B9">
      <w:pPr>
        <w:autoSpaceDE w:val="0"/>
        <w:autoSpaceDN w:val="0"/>
        <w:adjustRightInd w:val="0"/>
        <w:spacing w:line="360" w:lineRule="auto"/>
        <w:ind w:firstLine="480"/>
        <w:rPr>
          <w:rFonts w:ascii="宋体" w:hAnsi="宋体" w:eastAsia="宋体" w:cs="仿宋"/>
          <w:kern w:val="0"/>
          <w:sz w:val="24"/>
          <w:szCs w:val="20"/>
        </w:rPr>
      </w:pPr>
      <w:r>
        <w:rPr>
          <w:rFonts w:hint="eastAsia" w:ascii="宋体" w:hAnsi="宋体" w:eastAsia="宋体" w:cs="仿宋"/>
          <w:kern w:val="0"/>
          <w:sz w:val="24"/>
          <w:szCs w:val="20"/>
        </w:rPr>
        <w:t>15.1 供应商应仔细阅读谈判文件的所有内容，按照谈判文件的要求详细编制响应文件，所提交的全部资料必须真实有效，并且要保证字迹清晰易于辨认。响应文件应对谈判文件实质性内容作出响应，否则按无效标处理。</w:t>
      </w:r>
    </w:p>
    <w:p w14:paraId="476ABB3D">
      <w:pPr>
        <w:autoSpaceDE w:val="0"/>
        <w:autoSpaceDN w:val="0"/>
        <w:adjustRightInd w:val="0"/>
        <w:spacing w:line="360" w:lineRule="auto"/>
        <w:ind w:firstLine="480"/>
        <w:rPr>
          <w:rFonts w:ascii="宋体" w:hAnsi="宋体" w:eastAsia="宋体" w:cs="仿宋"/>
          <w:kern w:val="0"/>
          <w:sz w:val="24"/>
          <w:szCs w:val="20"/>
        </w:rPr>
      </w:pPr>
      <w:r>
        <w:rPr>
          <w:rFonts w:hint="eastAsia" w:ascii="宋体" w:hAnsi="宋体" w:eastAsia="宋体" w:cs="仿宋"/>
          <w:kern w:val="0"/>
          <w:sz w:val="24"/>
          <w:szCs w:val="20"/>
        </w:rPr>
        <w:t>15.2 响应文件格式应按本谈判文件第六章格式要求编制，不得对谈判文件格式进行增删更改，否则按无效标处理。</w:t>
      </w:r>
    </w:p>
    <w:p w14:paraId="09CC00B5">
      <w:pPr>
        <w:autoSpaceDE w:val="0"/>
        <w:autoSpaceDN w:val="0"/>
        <w:adjustRightInd w:val="0"/>
        <w:spacing w:line="360" w:lineRule="auto"/>
        <w:ind w:firstLine="480"/>
        <w:rPr>
          <w:rFonts w:ascii="宋体" w:hAnsi="宋体" w:eastAsia="宋体" w:cs="仿宋"/>
          <w:kern w:val="0"/>
          <w:sz w:val="24"/>
          <w:szCs w:val="20"/>
        </w:rPr>
      </w:pPr>
      <w:r>
        <w:rPr>
          <w:rFonts w:hint="eastAsia" w:ascii="宋体" w:hAnsi="宋体" w:eastAsia="宋体" w:cs="仿宋"/>
          <w:kern w:val="0"/>
          <w:sz w:val="24"/>
          <w:szCs w:val="20"/>
        </w:rPr>
        <w:t>15.3 响应文件为电子响应文件，电子响应文件按“政采云供应商项目采购-电子招投标操作指南”及本谈判文件要求制作、加密传输。</w:t>
      </w:r>
    </w:p>
    <w:p w14:paraId="003AAC28">
      <w:pPr>
        <w:autoSpaceDE w:val="0"/>
        <w:autoSpaceDN w:val="0"/>
        <w:adjustRightInd w:val="0"/>
        <w:spacing w:line="360" w:lineRule="auto"/>
        <w:ind w:firstLine="480"/>
        <w:rPr>
          <w:rFonts w:ascii="宋体" w:hAnsi="宋体" w:eastAsia="宋体" w:cs="仿宋"/>
          <w:kern w:val="0"/>
          <w:sz w:val="28"/>
          <w:szCs w:val="20"/>
        </w:rPr>
      </w:pPr>
      <w:r>
        <w:rPr>
          <w:rFonts w:hint="eastAsia" w:ascii="宋体" w:hAnsi="宋体" w:eastAsia="宋体" w:cs="仿宋"/>
          <w:kern w:val="0"/>
          <w:sz w:val="24"/>
          <w:szCs w:val="20"/>
        </w:rPr>
        <w:t>15.4 响应文件未在谈判截止时间前完成传输的，视为响应文件撤回；响应文件未按时解密也未提供备份响应文件的，亦视为响应文件撤回。</w:t>
      </w:r>
    </w:p>
    <w:p w14:paraId="7853BFAD">
      <w:pPr>
        <w:spacing w:after="120" w:line="360" w:lineRule="auto"/>
        <w:ind w:firstLine="562" w:firstLineChars="200"/>
        <w:jc w:val="center"/>
        <w:outlineLvl w:val="1"/>
        <w:rPr>
          <w:rFonts w:ascii="宋体" w:hAnsi="宋体" w:eastAsia="宋体" w:cs="仿宋"/>
          <w:b/>
          <w:kern w:val="0"/>
          <w:sz w:val="28"/>
          <w:szCs w:val="24"/>
        </w:rPr>
      </w:pPr>
      <w:bookmarkStart w:id="31" w:name="_Toc27842"/>
      <w:bookmarkStart w:id="32" w:name="_Toc791"/>
      <w:bookmarkStart w:id="33" w:name="_Toc56170383"/>
      <w:bookmarkStart w:id="34" w:name="_Toc195529415"/>
      <w:r>
        <w:rPr>
          <w:rFonts w:hint="eastAsia" w:ascii="宋体" w:hAnsi="宋体" w:eastAsia="宋体" w:cs="仿宋"/>
          <w:b/>
          <w:kern w:val="0"/>
          <w:sz w:val="28"/>
          <w:szCs w:val="24"/>
        </w:rPr>
        <w:t>四、响应文件的递交</w:t>
      </w:r>
      <w:bookmarkEnd w:id="31"/>
      <w:bookmarkEnd w:id="32"/>
      <w:bookmarkEnd w:id="33"/>
      <w:bookmarkEnd w:id="34"/>
    </w:p>
    <w:p w14:paraId="67FC6FD9">
      <w:pPr>
        <w:spacing w:line="360" w:lineRule="auto"/>
        <w:ind w:firstLine="480" w:firstLineChars="200"/>
        <w:rPr>
          <w:rFonts w:ascii="宋体" w:hAnsi="宋体" w:eastAsia="宋体" w:cs="仿宋"/>
          <w:bCs/>
          <w:sz w:val="24"/>
          <w:szCs w:val="24"/>
        </w:rPr>
      </w:pPr>
      <w:bookmarkStart w:id="35" w:name="_Toc56170384"/>
      <w:r>
        <w:rPr>
          <w:rFonts w:hint="eastAsia" w:ascii="宋体" w:hAnsi="宋体" w:eastAsia="宋体" w:cs="仿宋"/>
          <w:bCs/>
          <w:sz w:val="24"/>
          <w:szCs w:val="24"/>
        </w:rPr>
        <w:t>16.响应文件的制作要求</w:t>
      </w:r>
    </w:p>
    <w:p w14:paraId="6C9AA300">
      <w:pPr>
        <w:spacing w:line="360" w:lineRule="auto"/>
        <w:ind w:firstLine="480" w:firstLineChars="200"/>
        <w:rPr>
          <w:rFonts w:ascii="宋体" w:hAnsi="宋体" w:eastAsia="宋体" w:cs="仿宋"/>
          <w:bCs/>
          <w:sz w:val="24"/>
          <w:szCs w:val="24"/>
        </w:rPr>
      </w:pPr>
      <w:r>
        <w:rPr>
          <w:rFonts w:hint="eastAsia" w:ascii="宋体" w:hAnsi="宋体" w:eastAsia="宋体" w:cs="仿宋"/>
          <w:bCs/>
          <w:sz w:val="24"/>
          <w:szCs w:val="24"/>
        </w:rPr>
        <w:t>16.1 供应商应按照谈判文件组成内容及项目谈判需求制作响应文件，不按响应文件要求制作响应文件的将视情况处理（拒收等），由此产生的责任由供应商自行承担。</w:t>
      </w:r>
    </w:p>
    <w:p w14:paraId="00C16A18">
      <w:pPr>
        <w:spacing w:line="360" w:lineRule="auto"/>
        <w:ind w:firstLine="480" w:firstLineChars="200"/>
        <w:rPr>
          <w:rFonts w:ascii="宋体" w:hAnsi="宋体" w:eastAsia="宋体" w:cs="仿宋"/>
          <w:bCs/>
          <w:sz w:val="24"/>
          <w:szCs w:val="24"/>
        </w:rPr>
      </w:pPr>
      <w:r>
        <w:rPr>
          <w:rFonts w:hint="eastAsia" w:ascii="宋体" w:hAnsi="宋体" w:eastAsia="宋体" w:cs="仿宋"/>
          <w:bCs/>
          <w:sz w:val="24"/>
          <w:szCs w:val="24"/>
        </w:rPr>
        <w:t>16.2供应商应对所提供的全部资料的真实性、有效性承担法律责任，响应文件中所须加盖公章部分均需加盖公章，需要法定代表人或授权代表签字处均需签字或加盖个人签名章。</w:t>
      </w:r>
    </w:p>
    <w:p w14:paraId="27995D5E">
      <w:pPr>
        <w:spacing w:line="360" w:lineRule="auto"/>
        <w:ind w:firstLine="480" w:firstLineChars="200"/>
        <w:rPr>
          <w:rFonts w:ascii="宋体" w:hAnsi="宋体" w:eastAsia="宋体" w:cs="仿宋"/>
          <w:bCs/>
          <w:sz w:val="24"/>
          <w:szCs w:val="24"/>
        </w:rPr>
      </w:pPr>
      <w:r>
        <w:rPr>
          <w:rFonts w:hint="eastAsia" w:ascii="宋体" w:hAnsi="宋体" w:eastAsia="宋体" w:cs="仿宋"/>
          <w:bCs/>
          <w:sz w:val="24"/>
          <w:szCs w:val="24"/>
        </w:rPr>
        <w:t>16.3响应文件以及供应商与采购组织机构就有关投标事宜的所有来往函电，均应以中文汉语书写。除签字、盖章、专用名称等特殊情形外，以中文汉语以外的文字表述的响应文件视同未提供。</w:t>
      </w:r>
    </w:p>
    <w:p w14:paraId="477BEB9C">
      <w:pPr>
        <w:spacing w:line="360" w:lineRule="auto"/>
        <w:ind w:firstLine="480" w:firstLineChars="200"/>
        <w:rPr>
          <w:rFonts w:ascii="宋体" w:hAnsi="宋体" w:eastAsia="宋体" w:cs="仿宋"/>
          <w:bCs/>
          <w:sz w:val="24"/>
          <w:szCs w:val="24"/>
        </w:rPr>
      </w:pPr>
      <w:r>
        <w:rPr>
          <w:rFonts w:hint="eastAsia" w:ascii="宋体" w:hAnsi="宋体" w:eastAsia="宋体" w:cs="仿宋"/>
          <w:bCs/>
          <w:sz w:val="24"/>
          <w:szCs w:val="24"/>
        </w:rPr>
        <w:t>16.4谈判计量单位，谈判文件已有明确规定的，使用谈判文件规定的计量单位；谈判文件没有规定的，应采用中华人民共和国法定计量单位（货币单位：人民币元）。</w:t>
      </w:r>
    </w:p>
    <w:p w14:paraId="23A1929E">
      <w:pPr>
        <w:spacing w:line="360" w:lineRule="auto"/>
        <w:ind w:firstLine="480" w:firstLineChars="200"/>
        <w:rPr>
          <w:rFonts w:ascii="宋体" w:hAnsi="宋体" w:eastAsia="宋体" w:cs="仿宋"/>
          <w:bCs/>
          <w:sz w:val="24"/>
          <w:szCs w:val="24"/>
        </w:rPr>
      </w:pPr>
      <w:r>
        <w:rPr>
          <w:rFonts w:hint="eastAsia" w:ascii="宋体" w:hAnsi="宋体" w:eastAsia="宋体" w:cs="仿宋"/>
          <w:bCs/>
          <w:sz w:val="24"/>
          <w:szCs w:val="24"/>
        </w:rPr>
        <w:t>16.5若供应商不按谈判文件的要求提供资格审查材料，其风险由供应商自行承担。</w:t>
      </w:r>
    </w:p>
    <w:p w14:paraId="1D80D95F">
      <w:pPr>
        <w:spacing w:line="360" w:lineRule="auto"/>
        <w:ind w:firstLine="480" w:firstLineChars="200"/>
        <w:rPr>
          <w:rFonts w:ascii="宋体" w:hAnsi="宋体" w:eastAsia="宋体" w:cs="仿宋"/>
          <w:bCs/>
          <w:sz w:val="24"/>
          <w:szCs w:val="24"/>
        </w:rPr>
      </w:pPr>
      <w:r>
        <w:rPr>
          <w:rFonts w:hint="eastAsia" w:ascii="宋体" w:hAnsi="宋体" w:eastAsia="宋体" w:cs="仿宋"/>
          <w:bCs/>
          <w:sz w:val="24"/>
          <w:szCs w:val="24"/>
        </w:rPr>
        <w:t>16.6与本次谈判无关的内容请不要制作在内，确保响应文件有针对性、简洁明了。</w:t>
      </w:r>
    </w:p>
    <w:p w14:paraId="16CFCA97">
      <w:pPr>
        <w:spacing w:line="360" w:lineRule="auto"/>
        <w:ind w:firstLine="480" w:firstLineChars="200"/>
        <w:rPr>
          <w:rFonts w:ascii="宋体" w:hAnsi="宋体" w:eastAsia="宋体" w:cs="仿宋"/>
          <w:bCs/>
          <w:sz w:val="24"/>
          <w:szCs w:val="24"/>
        </w:rPr>
      </w:pPr>
      <w:r>
        <w:rPr>
          <w:rFonts w:hint="eastAsia" w:ascii="宋体" w:hAnsi="宋体" w:eastAsia="宋体" w:cs="仿宋"/>
          <w:bCs/>
          <w:sz w:val="24"/>
          <w:szCs w:val="24"/>
        </w:rPr>
        <w:t>1</w:t>
      </w:r>
      <w:r>
        <w:rPr>
          <w:rFonts w:ascii="宋体" w:hAnsi="宋体" w:eastAsia="宋体" w:cs="仿宋"/>
          <w:bCs/>
          <w:sz w:val="24"/>
          <w:szCs w:val="24"/>
        </w:rPr>
        <w:t>7</w:t>
      </w:r>
      <w:r>
        <w:rPr>
          <w:rFonts w:hint="eastAsia" w:ascii="宋体" w:hAnsi="宋体" w:eastAsia="宋体" w:cs="仿宋"/>
          <w:bCs/>
          <w:sz w:val="24"/>
          <w:szCs w:val="24"/>
        </w:rPr>
        <w:t>响应文件的递交要求</w:t>
      </w:r>
    </w:p>
    <w:p w14:paraId="4A11882D">
      <w:pPr>
        <w:spacing w:line="360" w:lineRule="auto"/>
        <w:ind w:firstLine="480" w:firstLineChars="200"/>
        <w:rPr>
          <w:rFonts w:ascii="宋体" w:hAnsi="宋体" w:eastAsia="宋体" w:cs="仿宋"/>
          <w:bCs/>
          <w:sz w:val="24"/>
          <w:szCs w:val="24"/>
        </w:rPr>
      </w:pPr>
      <w:r>
        <w:rPr>
          <w:rFonts w:hint="eastAsia" w:ascii="宋体" w:hAnsi="宋体" w:eastAsia="宋体" w:cs="仿宋"/>
          <w:bCs/>
          <w:sz w:val="24"/>
          <w:szCs w:val="24"/>
        </w:rPr>
        <w:t>1</w:t>
      </w:r>
      <w:r>
        <w:rPr>
          <w:rFonts w:ascii="宋体" w:hAnsi="宋体" w:eastAsia="宋体" w:cs="仿宋"/>
          <w:bCs/>
          <w:sz w:val="24"/>
          <w:szCs w:val="24"/>
        </w:rPr>
        <w:t>7</w:t>
      </w:r>
      <w:r>
        <w:rPr>
          <w:rFonts w:hint="eastAsia" w:ascii="宋体" w:hAnsi="宋体" w:eastAsia="宋体" w:cs="仿宋"/>
          <w:bCs/>
          <w:sz w:val="24"/>
          <w:szCs w:val="24"/>
        </w:rPr>
        <w:t>.1供应商须按照谈判文件要求编制并密封。在响应文件递交截止时间以前递交，截止时间后递交的响应文件，将被拒收。</w:t>
      </w:r>
    </w:p>
    <w:p w14:paraId="09F03FAC">
      <w:pPr>
        <w:spacing w:line="360" w:lineRule="auto"/>
        <w:ind w:firstLine="480" w:firstLineChars="200"/>
        <w:rPr>
          <w:rFonts w:ascii="宋体" w:hAnsi="宋体" w:eastAsia="宋体" w:cs="仿宋"/>
          <w:bCs/>
          <w:sz w:val="24"/>
          <w:szCs w:val="24"/>
        </w:rPr>
      </w:pPr>
      <w:r>
        <w:rPr>
          <w:rFonts w:hint="eastAsia" w:ascii="宋体" w:hAnsi="宋体" w:eastAsia="宋体" w:cs="仿宋"/>
          <w:bCs/>
          <w:sz w:val="24"/>
          <w:szCs w:val="24"/>
        </w:rPr>
        <w:t>1</w:t>
      </w:r>
      <w:r>
        <w:rPr>
          <w:rFonts w:ascii="宋体" w:hAnsi="宋体" w:eastAsia="宋体" w:cs="仿宋"/>
          <w:bCs/>
          <w:sz w:val="24"/>
          <w:szCs w:val="24"/>
        </w:rPr>
        <w:t>8</w:t>
      </w:r>
      <w:r>
        <w:rPr>
          <w:rFonts w:hint="eastAsia" w:ascii="宋体" w:hAnsi="宋体" w:eastAsia="宋体" w:cs="仿宋"/>
          <w:bCs/>
          <w:sz w:val="24"/>
          <w:szCs w:val="24"/>
        </w:rPr>
        <w:t>响应文件的补充、修改与撤回</w:t>
      </w:r>
    </w:p>
    <w:p w14:paraId="2E283D94">
      <w:pPr>
        <w:spacing w:line="360" w:lineRule="auto"/>
        <w:ind w:firstLine="480" w:firstLineChars="200"/>
        <w:rPr>
          <w:rFonts w:ascii="宋体" w:hAnsi="宋体" w:eastAsia="宋体" w:cs="仿宋"/>
          <w:bCs/>
          <w:sz w:val="20"/>
          <w:szCs w:val="20"/>
        </w:rPr>
      </w:pPr>
      <w:r>
        <w:rPr>
          <w:rFonts w:hint="eastAsia" w:ascii="宋体" w:hAnsi="宋体" w:eastAsia="宋体" w:cs="仿宋"/>
          <w:bCs/>
          <w:sz w:val="24"/>
          <w:szCs w:val="24"/>
        </w:rPr>
        <w:t>1</w:t>
      </w:r>
      <w:r>
        <w:rPr>
          <w:rFonts w:ascii="宋体" w:hAnsi="宋体" w:eastAsia="宋体" w:cs="仿宋"/>
          <w:bCs/>
          <w:sz w:val="24"/>
          <w:szCs w:val="24"/>
        </w:rPr>
        <w:t>8</w:t>
      </w:r>
      <w:r>
        <w:rPr>
          <w:rFonts w:hint="eastAsia" w:ascii="宋体" w:hAnsi="宋体" w:eastAsia="宋体" w:cs="仿宋"/>
          <w:bCs/>
          <w:sz w:val="24"/>
          <w:szCs w:val="24"/>
        </w:rPr>
        <w:t>.1供应商应当在谈判截止时间前完成递交，谈判截止时间前可以补充、修改或者撤回文件。补充或者修改文件的，应当先行撤回原文件，补充、修改后重新递交。谈判截止时间前未递交的，视为响应文件撤回。谈判截止时间后，供应商不得修改（补充）或撤回其响应文件。</w:t>
      </w:r>
    </w:p>
    <w:p w14:paraId="4A72A99D">
      <w:pPr>
        <w:spacing w:line="360" w:lineRule="auto"/>
        <w:ind w:firstLine="480" w:firstLineChars="200"/>
        <w:rPr>
          <w:rFonts w:ascii="宋体" w:hAnsi="宋体" w:eastAsia="宋体" w:cs="仿宋"/>
          <w:bCs/>
          <w:kern w:val="0"/>
          <w:sz w:val="24"/>
          <w:szCs w:val="24"/>
        </w:rPr>
      </w:pPr>
      <w:r>
        <w:rPr>
          <w:rFonts w:ascii="宋体" w:hAnsi="宋体" w:eastAsia="宋体" w:cs="仿宋"/>
          <w:bCs/>
          <w:kern w:val="0"/>
          <w:sz w:val="24"/>
          <w:szCs w:val="24"/>
        </w:rPr>
        <w:t>19</w:t>
      </w:r>
      <w:r>
        <w:rPr>
          <w:rFonts w:hint="eastAsia" w:ascii="宋体" w:hAnsi="宋体" w:eastAsia="宋体" w:cs="仿宋"/>
          <w:bCs/>
          <w:kern w:val="0"/>
          <w:sz w:val="24"/>
          <w:szCs w:val="24"/>
        </w:rPr>
        <w:t xml:space="preserve">.有下列情形之一的，谈判保证金将不予退还： </w:t>
      </w:r>
    </w:p>
    <w:p w14:paraId="5677EF8D">
      <w:pPr>
        <w:spacing w:line="360" w:lineRule="auto"/>
        <w:ind w:firstLine="480" w:firstLineChars="200"/>
        <w:rPr>
          <w:rFonts w:ascii="宋体" w:hAnsi="宋体" w:eastAsia="宋体" w:cs="仿宋"/>
          <w:bCs/>
          <w:kern w:val="0"/>
          <w:sz w:val="24"/>
          <w:szCs w:val="24"/>
        </w:rPr>
      </w:pPr>
      <w:r>
        <w:rPr>
          <w:rFonts w:hint="eastAsia" w:ascii="宋体" w:hAnsi="宋体" w:eastAsia="宋体" w:cs="仿宋"/>
          <w:bCs/>
          <w:kern w:val="0"/>
          <w:sz w:val="24"/>
          <w:szCs w:val="24"/>
        </w:rPr>
        <w:t>（1）供应商在规定的谈判有效期内撤回或修改其响应文件；</w:t>
      </w:r>
    </w:p>
    <w:p w14:paraId="6402D941">
      <w:pPr>
        <w:spacing w:line="360" w:lineRule="auto"/>
        <w:ind w:firstLine="480" w:firstLineChars="200"/>
        <w:rPr>
          <w:rFonts w:ascii="宋体" w:hAnsi="宋体" w:eastAsia="宋体" w:cs="仿宋"/>
          <w:bCs/>
          <w:kern w:val="0"/>
          <w:sz w:val="24"/>
          <w:szCs w:val="24"/>
        </w:rPr>
      </w:pPr>
      <w:r>
        <w:rPr>
          <w:rFonts w:hint="eastAsia" w:ascii="宋体" w:hAnsi="宋体" w:eastAsia="宋体" w:cs="仿宋"/>
          <w:bCs/>
          <w:kern w:val="0"/>
          <w:sz w:val="24"/>
          <w:szCs w:val="24"/>
        </w:rPr>
        <w:t>（2）成交通知书发出后三十天内，成交人无正当理由拒签合同协议书的；</w:t>
      </w:r>
    </w:p>
    <w:p w14:paraId="2C052CF0">
      <w:pPr>
        <w:spacing w:line="360" w:lineRule="auto"/>
        <w:ind w:firstLine="480" w:firstLineChars="200"/>
        <w:rPr>
          <w:rFonts w:ascii="宋体" w:hAnsi="宋体" w:eastAsia="宋体" w:cs="仿宋"/>
          <w:bCs/>
          <w:kern w:val="0"/>
          <w:sz w:val="24"/>
          <w:szCs w:val="24"/>
        </w:rPr>
      </w:pPr>
      <w:r>
        <w:rPr>
          <w:rFonts w:hint="eastAsia" w:ascii="宋体" w:hAnsi="宋体" w:eastAsia="宋体" w:cs="仿宋"/>
          <w:bCs/>
          <w:kern w:val="0"/>
          <w:sz w:val="24"/>
          <w:szCs w:val="24"/>
        </w:rPr>
        <w:t>（3）提供虚假材料谋取中标的；</w:t>
      </w:r>
    </w:p>
    <w:p w14:paraId="783770C7">
      <w:pPr>
        <w:spacing w:line="360" w:lineRule="auto"/>
        <w:ind w:firstLine="480" w:firstLineChars="200"/>
        <w:rPr>
          <w:rFonts w:ascii="宋体" w:hAnsi="宋体" w:eastAsia="宋体" w:cs="仿宋"/>
          <w:bCs/>
          <w:kern w:val="0"/>
          <w:sz w:val="24"/>
          <w:szCs w:val="24"/>
        </w:rPr>
      </w:pPr>
      <w:r>
        <w:rPr>
          <w:rFonts w:hint="eastAsia" w:ascii="宋体" w:hAnsi="宋体" w:eastAsia="宋体" w:cs="仿宋"/>
          <w:bCs/>
          <w:kern w:val="0"/>
          <w:sz w:val="24"/>
          <w:szCs w:val="24"/>
        </w:rPr>
        <w:t>（4）经查实属于陪标、串通投标的等。</w:t>
      </w:r>
    </w:p>
    <w:p w14:paraId="014B81CF">
      <w:pPr>
        <w:spacing w:line="360" w:lineRule="auto"/>
        <w:ind w:firstLine="480" w:firstLineChars="200"/>
        <w:rPr>
          <w:rFonts w:ascii="宋体" w:hAnsi="宋体" w:eastAsia="宋体" w:cs="仿宋"/>
          <w:bCs/>
          <w:kern w:val="0"/>
          <w:sz w:val="24"/>
          <w:szCs w:val="24"/>
        </w:rPr>
      </w:pPr>
    </w:p>
    <w:p w14:paraId="2411B7A9">
      <w:pPr>
        <w:spacing w:after="120" w:line="360" w:lineRule="auto"/>
        <w:ind w:firstLine="562" w:firstLineChars="200"/>
        <w:jc w:val="center"/>
        <w:outlineLvl w:val="1"/>
        <w:rPr>
          <w:rFonts w:ascii="宋体" w:hAnsi="宋体" w:eastAsia="宋体" w:cs="仿宋"/>
          <w:b/>
          <w:kern w:val="0"/>
          <w:sz w:val="28"/>
          <w:szCs w:val="24"/>
        </w:rPr>
      </w:pPr>
      <w:bookmarkStart w:id="36" w:name="_Toc18138"/>
      <w:bookmarkStart w:id="37" w:name="_Toc28320"/>
      <w:bookmarkStart w:id="38" w:name="_Toc195529416"/>
      <w:r>
        <w:rPr>
          <w:rFonts w:hint="eastAsia" w:ascii="宋体" w:hAnsi="宋体" w:eastAsia="宋体" w:cs="仿宋"/>
          <w:b/>
          <w:kern w:val="0"/>
          <w:sz w:val="28"/>
          <w:szCs w:val="24"/>
        </w:rPr>
        <w:t>五、</w:t>
      </w:r>
      <w:bookmarkEnd w:id="35"/>
      <w:r>
        <w:rPr>
          <w:rFonts w:hint="eastAsia" w:ascii="宋体" w:hAnsi="宋体" w:eastAsia="宋体" w:cs="仿宋"/>
          <w:b/>
          <w:kern w:val="0"/>
          <w:sz w:val="28"/>
          <w:szCs w:val="24"/>
        </w:rPr>
        <w:t>谈判</w:t>
      </w:r>
      <w:bookmarkEnd w:id="36"/>
      <w:bookmarkEnd w:id="37"/>
      <w:bookmarkEnd w:id="38"/>
    </w:p>
    <w:p w14:paraId="1CEBB7FF">
      <w:pPr>
        <w:autoSpaceDE w:val="0"/>
        <w:autoSpaceDN w:val="0"/>
        <w:adjustRightInd w:val="0"/>
        <w:spacing w:line="360" w:lineRule="auto"/>
        <w:ind w:firstLine="480"/>
        <w:rPr>
          <w:rFonts w:ascii="宋体" w:hAnsi="宋体" w:eastAsia="宋体" w:cs="仿宋"/>
          <w:kern w:val="0"/>
          <w:sz w:val="24"/>
          <w:szCs w:val="20"/>
        </w:rPr>
      </w:pPr>
      <w:r>
        <w:rPr>
          <w:rFonts w:hint="eastAsia" w:ascii="宋体" w:hAnsi="宋体" w:eastAsia="宋体" w:cs="仿宋"/>
          <w:kern w:val="0"/>
          <w:sz w:val="24"/>
          <w:szCs w:val="20"/>
        </w:rPr>
        <w:t>21. 谈判</w:t>
      </w:r>
    </w:p>
    <w:p w14:paraId="7A99D233">
      <w:pPr>
        <w:autoSpaceDE w:val="0"/>
        <w:autoSpaceDN w:val="0"/>
        <w:adjustRightInd w:val="0"/>
        <w:spacing w:line="360" w:lineRule="auto"/>
        <w:ind w:left="1" w:firstLine="482" w:firstLineChars="201"/>
        <w:rPr>
          <w:rFonts w:ascii="宋体" w:hAnsi="宋体" w:eastAsia="宋体" w:cs="仿宋"/>
          <w:kern w:val="0"/>
          <w:sz w:val="24"/>
          <w:szCs w:val="20"/>
          <w:u w:val="single"/>
        </w:rPr>
      </w:pPr>
      <w:r>
        <w:rPr>
          <w:rFonts w:hint="eastAsia" w:ascii="宋体" w:hAnsi="宋体" w:eastAsia="宋体" w:cs="仿宋"/>
          <w:kern w:val="0"/>
          <w:sz w:val="24"/>
          <w:szCs w:val="20"/>
        </w:rPr>
        <w:t>21.1 除非采购代理机构另外书面通知，本项目将按本谈判文件《谈判须知前附表》中规定的时间和地点进行谈判。</w:t>
      </w:r>
    </w:p>
    <w:p w14:paraId="01302362">
      <w:pPr>
        <w:ind w:firstLine="562"/>
        <w:rPr>
          <w:rFonts w:ascii="宋体" w:hAnsi="宋体" w:eastAsia="宋体" w:cs="仿宋"/>
          <w:b/>
          <w:kern w:val="0"/>
          <w:sz w:val="28"/>
          <w:szCs w:val="24"/>
        </w:rPr>
      </w:pPr>
      <w:bookmarkStart w:id="39" w:name="_Toc13581"/>
      <w:bookmarkStart w:id="40" w:name="_Toc14120"/>
      <w:bookmarkStart w:id="41" w:name="_Toc56170385"/>
      <w:r>
        <w:rPr>
          <w:rFonts w:hint="eastAsia" w:ascii="宋体" w:hAnsi="宋体" w:eastAsia="宋体" w:cs="仿宋"/>
          <w:b/>
          <w:kern w:val="0"/>
          <w:sz w:val="28"/>
          <w:szCs w:val="24"/>
        </w:rPr>
        <w:br w:type="page"/>
      </w:r>
    </w:p>
    <w:p w14:paraId="1B97B95C">
      <w:pPr>
        <w:spacing w:before="1560" w:after="120" w:line="360" w:lineRule="auto"/>
        <w:ind w:firstLine="562" w:firstLineChars="200"/>
        <w:jc w:val="center"/>
        <w:outlineLvl w:val="1"/>
        <w:rPr>
          <w:rFonts w:ascii="宋体" w:hAnsi="宋体" w:eastAsia="宋体" w:cs="仿宋"/>
          <w:b/>
          <w:kern w:val="0"/>
          <w:sz w:val="28"/>
          <w:szCs w:val="24"/>
        </w:rPr>
      </w:pPr>
      <w:bookmarkStart w:id="42" w:name="_Toc195529417"/>
      <w:r>
        <w:rPr>
          <w:rFonts w:hint="eastAsia" w:ascii="宋体" w:hAnsi="宋体" w:eastAsia="宋体" w:cs="仿宋"/>
          <w:b/>
          <w:kern w:val="0"/>
          <w:sz w:val="28"/>
          <w:szCs w:val="24"/>
        </w:rPr>
        <w:t>六、资格审查</w:t>
      </w:r>
      <w:bookmarkEnd w:id="39"/>
      <w:bookmarkEnd w:id="40"/>
      <w:bookmarkEnd w:id="41"/>
      <w:bookmarkEnd w:id="42"/>
    </w:p>
    <w:p w14:paraId="1367FED6">
      <w:pPr>
        <w:autoSpaceDE w:val="0"/>
        <w:autoSpaceDN w:val="0"/>
        <w:adjustRightInd w:val="0"/>
        <w:spacing w:line="360" w:lineRule="auto"/>
        <w:ind w:firstLine="560"/>
        <w:jc w:val="left"/>
        <w:rPr>
          <w:rFonts w:ascii="宋体" w:hAnsi="宋体" w:eastAsia="宋体" w:cs="仿宋"/>
          <w:kern w:val="0"/>
          <w:sz w:val="28"/>
          <w:szCs w:val="20"/>
        </w:rPr>
      </w:pPr>
      <w:r>
        <w:rPr>
          <w:rFonts w:hint="eastAsia" w:ascii="宋体" w:hAnsi="宋体" w:eastAsia="宋体" w:cs="仿宋"/>
          <w:kern w:val="0"/>
          <w:sz w:val="28"/>
          <w:szCs w:val="20"/>
        </w:rPr>
        <w:t>22. 资格审查</w:t>
      </w:r>
    </w:p>
    <w:tbl>
      <w:tblPr>
        <w:tblStyle w:val="47"/>
        <w:tblW w:w="100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9293"/>
      </w:tblGrid>
      <w:tr w14:paraId="202E6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770" w:type="dxa"/>
          </w:tcPr>
          <w:p w14:paraId="593F14BA">
            <w:pPr>
              <w:adjustRightInd w:val="0"/>
              <w:spacing w:line="360" w:lineRule="auto"/>
              <w:ind w:firstLine="22" w:firstLineChars="9"/>
              <w:jc w:val="center"/>
              <w:textAlignment w:val="baseline"/>
              <w:rPr>
                <w:rFonts w:ascii="宋体" w:hAnsi="宋体" w:eastAsia="宋体" w:cs="Times New Roman"/>
                <w:b/>
                <w:bCs/>
                <w:sz w:val="24"/>
                <w:szCs w:val="24"/>
              </w:rPr>
            </w:pPr>
            <w:bookmarkStart w:id="43" w:name="_Toc31852"/>
            <w:bookmarkStart w:id="44" w:name="_Toc4763"/>
            <w:bookmarkStart w:id="45" w:name="_Toc56170386"/>
            <w:r>
              <w:rPr>
                <w:rFonts w:hint="eastAsia" w:ascii="宋体" w:hAnsi="宋体" w:eastAsia="宋体" w:cs="Times New Roman"/>
                <w:b/>
                <w:bCs/>
                <w:sz w:val="24"/>
                <w:szCs w:val="24"/>
              </w:rPr>
              <w:t>序号</w:t>
            </w:r>
          </w:p>
        </w:tc>
        <w:tc>
          <w:tcPr>
            <w:tcW w:w="9293" w:type="dxa"/>
            <w:vAlign w:val="center"/>
          </w:tcPr>
          <w:p w14:paraId="756D9FFA">
            <w:pPr>
              <w:adjustRightInd w:val="0"/>
              <w:spacing w:line="360" w:lineRule="auto"/>
              <w:ind w:firstLine="22" w:firstLineChars="9"/>
              <w:jc w:val="center"/>
              <w:textAlignment w:val="baseline"/>
              <w:rPr>
                <w:rFonts w:ascii="宋体" w:hAnsi="宋体" w:eastAsia="宋体" w:cs="Times New Roman"/>
                <w:b/>
                <w:bCs/>
                <w:sz w:val="24"/>
                <w:szCs w:val="24"/>
              </w:rPr>
            </w:pPr>
            <w:r>
              <w:rPr>
                <w:rFonts w:hint="eastAsia" w:ascii="宋体" w:hAnsi="宋体" w:eastAsia="宋体" w:cs="Times New Roman"/>
                <w:b/>
                <w:bCs/>
                <w:sz w:val="24"/>
                <w:szCs w:val="24"/>
              </w:rPr>
              <w:t>内容</w:t>
            </w:r>
          </w:p>
        </w:tc>
      </w:tr>
      <w:tr w14:paraId="4B2F9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6" w:hRule="atLeast"/>
          <w:jc w:val="center"/>
        </w:trPr>
        <w:tc>
          <w:tcPr>
            <w:tcW w:w="770" w:type="dxa"/>
            <w:vAlign w:val="center"/>
          </w:tcPr>
          <w:p w14:paraId="48A29EB5">
            <w:pPr>
              <w:adjustRightInd w:val="0"/>
              <w:spacing w:line="360" w:lineRule="auto"/>
              <w:ind w:firstLine="22" w:firstLineChars="9"/>
              <w:jc w:val="center"/>
              <w:textAlignment w:val="baseline"/>
              <w:rPr>
                <w:rFonts w:ascii="宋体" w:hAnsi="宋体" w:eastAsia="宋体" w:cs="Times New Roman"/>
                <w:b/>
                <w:bCs/>
                <w:sz w:val="24"/>
                <w:szCs w:val="24"/>
              </w:rPr>
            </w:pPr>
            <w:r>
              <w:rPr>
                <w:rFonts w:hint="eastAsia" w:ascii="宋体" w:hAnsi="宋体" w:eastAsia="宋体" w:cs="Times New Roman"/>
                <w:b/>
                <w:bCs/>
                <w:sz w:val="24"/>
                <w:szCs w:val="24"/>
              </w:rPr>
              <w:t>1</w:t>
            </w:r>
          </w:p>
        </w:tc>
        <w:tc>
          <w:tcPr>
            <w:tcW w:w="9293" w:type="dxa"/>
            <w:vAlign w:val="center"/>
          </w:tcPr>
          <w:p w14:paraId="26358FB1">
            <w:pPr>
              <w:spacing w:line="360" w:lineRule="auto"/>
              <w:rPr>
                <w:rFonts w:ascii="宋体" w:hAnsi="宋体" w:eastAsia="宋体"/>
                <w:sz w:val="24"/>
              </w:rPr>
            </w:pPr>
            <w:r>
              <w:rPr>
                <w:rFonts w:hint="eastAsia" w:ascii="宋体" w:hAnsi="宋体" w:eastAsia="宋体"/>
                <w:sz w:val="24"/>
              </w:rPr>
              <w:t>1</w:t>
            </w:r>
            <w:r>
              <w:rPr>
                <w:rFonts w:ascii="宋体" w:hAnsi="宋体" w:eastAsia="宋体"/>
                <w:sz w:val="24"/>
              </w:rPr>
              <w:t>.供应商应具备《中华人民共和国政府采购法》第二十二条规定的条件，提供下列材料：</w:t>
            </w:r>
          </w:p>
          <w:p w14:paraId="52AF32A1">
            <w:pPr>
              <w:spacing w:line="360" w:lineRule="auto"/>
              <w:rPr>
                <w:rFonts w:ascii="宋体" w:hAnsi="宋体" w:eastAsia="宋体"/>
                <w:sz w:val="24"/>
                <w:lang w:val="zh-CN"/>
              </w:rPr>
            </w:pPr>
            <w:r>
              <w:rPr>
                <w:rFonts w:ascii="宋体" w:hAnsi="宋体" w:eastAsia="宋体"/>
                <w:sz w:val="24"/>
              </w:rPr>
              <w:t>1</w:t>
            </w:r>
            <w:r>
              <w:rPr>
                <w:rFonts w:hint="eastAsia" w:ascii="宋体" w:hAnsi="宋体" w:eastAsia="宋体" w:cs="宋体"/>
                <w:sz w:val="24"/>
              </w:rPr>
              <w:t>）具有独立承担民事责任的能力；</w:t>
            </w:r>
            <w:r>
              <w:rPr>
                <w:rFonts w:hint="eastAsia" w:ascii="宋体" w:hAnsi="宋体" w:eastAsia="宋体" w:cs="宋体"/>
                <w:b/>
                <w:bCs/>
                <w:sz w:val="24"/>
              </w:rPr>
              <w:t>（投标时，提供在中华人民共和国境内注册的法人或其他组织的营业执照或事业单位法人证书或社会团体法人登记证书复印件</w:t>
            </w:r>
            <w:r>
              <w:rPr>
                <w:rFonts w:ascii="宋体" w:hAnsi="宋体" w:eastAsia="宋体"/>
                <w:b/>
                <w:bCs/>
                <w:sz w:val="24"/>
              </w:rPr>
              <w:t>/</w:t>
            </w:r>
            <w:r>
              <w:rPr>
                <w:rFonts w:hint="eastAsia" w:ascii="宋体" w:hAnsi="宋体" w:eastAsia="宋体" w:cs="宋体"/>
                <w:b/>
                <w:bCs/>
                <w:sz w:val="24"/>
              </w:rPr>
              <w:t>扫描件。）</w:t>
            </w:r>
          </w:p>
        </w:tc>
      </w:tr>
      <w:tr w14:paraId="39816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1" w:hRule="atLeast"/>
          <w:jc w:val="center"/>
        </w:trPr>
        <w:tc>
          <w:tcPr>
            <w:tcW w:w="770" w:type="dxa"/>
            <w:vAlign w:val="center"/>
          </w:tcPr>
          <w:p w14:paraId="3EA4BB59">
            <w:pPr>
              <w:adjustRightInd w:val="0"/>
              <w:spacing w:line="360" w:lineRule="auto"/>
              <w:ind w:firstLine="22" w:firstLineChars="9"/>
              <w:jc w:val="center"/>
              <w:textAlignment w:val="baseline"/>
              <w:rPr>
                <w:rFonts w:ascii="宋体" w:hAnsi="宋体" w:eastAsia="宋体" w:cs="Times New Roman"/>
                <w:b/>
                <w:bCs/>
                <w:sz w:val="24"/>
                <w:szCs w:val="24"/>
              </w:rPr>
            </w:pPr>
            <w:r>
              <w:rPr>
                <w:rFonts w:hint="eastAsia" w:ascii="宋体" w:hAnsi="宋体" w:eastAsia="宋体" w:cs="Times New Roman"/>
                <w:b/>
                <w:bCs/>
                <w:sz w:val="24"/>
                <w:szCs w:val="24"/>
              </w:rPr>
              <w:t>2</w:t>
            </w:r>
          </w:p>
        </w:tc>
        <w:tc>
          <w:tcPr>
            <w:tcW w:w="9293" w:type="dxa"/>
            <w:vAlign w:val="center"/>
          </w:tcPr>
          <w:p w14:paraId="10A052E9">
            <w:pPr>
              <w:spacing w:line="360" w:lineRule="auto"/>
              <w:rPr>
                <w:rFonts w:ascii="宋体" w:hAnsi="宋体"/>
                <w:sz w:val="24"/>
                <w:lang w:val="zh-CN"/>
              </w:rPr>
            </w:pPr>
            <w:r>
              <w:rPr>
                <w:rFonts w:ascii="宋体" w:hAnsi="宋体" w:eastAsia="宋体"/>
                <w:sz w:val="24"/>
              </w:rPr>
              <w:t>2</w:t>
            </w:r>
            <w:r>
              <w:rPr>
                <w:rFonts w:hint="eastAsia" w:ascii="宋体" w:hAnsi="宋体" w:eastAsia="宋体" w:cs="宋体"/>
                <w:sz w:val="24"/>
              </w:rPr>
              <w:t>）有依法缴纳税收和社会保障资金的良好记录：有依法缴纳税收和社会保障资金的良好记录；</w:t>
            </w:r>
            <w:r>
              <w:rPr>
                <w:rFonts w:hint="eastAsia" w:ascii="宋体" w:hAnsi="宋体" w:eastAsia="宋体" w:cs="宋体"/>
                <w:b/>
                <w:bCs/>
                <w:sz w:val="24"/>
              </w:rPr>
              <w:t>（投标时，提供至本项目投标截止时间前一年内任意</w:t>
            </w:r>
            <w:r>
              <w:rPr>
                <w:rFonts w:ascii="宋体" w:hAnsi="宋体" w:eastAsia="宋体" w:cs="宋体"/>
                <w:b/>
                <w:bCs/>
                <w:sz w:val="24"/>
              </w:rPr>
              <w:t>1个月缴纳税收凭据证明材料复印件/扫描件；如依法免税的，应提供相应文件证明；提供至本项目投标截止时间前一年内任意1个月缴纳社会保险的凭据证明材料复印件/扫描件；如依法不需要缴纳社会保障资金的，应提供相应文件证明）</w:t>
            </w:r>
          </w:p>
        </w:tc>
      </w:tr>
      <w:tr w14:paraId="154AF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 w:hRule="atLeast"/>
          <w:jc w:val="center"/>
        </w:trPr>
        <w:tc>
          <w:tcPr>
            <w:tcW w:w="770" w:type="dxa"/>
            <w:vAlign w:val="center"/>
          </w:tcPr>
          <w:p w14:paraId="4E300A20">
            <w:pPr>
              <w:adjustRightInd w:val="0"/>
              <w:spacing w:line="360" w:lineRule="auto"/>
              <w:ind w:firstLine="22" w:firstLineChars="9"/>
              <w:jc w:val="center"/>
              <w:textAlignment w:val="baseline"/>
              <w:rPr>
                <w:rFonts w:ascii="宋体" w:hAnsi="宋体" w:eastAsia="宋体" w:cs="Times New Roman"/>
                <w:b/>
                <w:bCs/>
                <w:sz w:val="24"/>
                <w:szCs w:val="24"/>
              </w:rPr>
            </w:pPr>
            <w:r>
              <w:rPr>
                <w:rFonts w:hint="eastAsia" w:ascii="宋体" w:hAnsi="宋体" w:eastAsia="宋体" w:cs="Times New Roman"/>
                <w:b/>
                <w:bCs/>
                <w:sz w:val="24"/>
                <w:szCs w:val="24"/>
              </w:rPr>
              <w:t>3</w:t>
            </w:r>
          </w:p>
        </w:tc>
        <w:tc>
          <w:tcPr>
            <w:tcW w:w="9293" w:type="dxa"/>
            <w:vAlign w:val="center"/>
          </w:tcPr>
          <w:p w14:paraId="0B32236C">
            <w:pPr>
              <w:spacing w:line="360" w:lineRule="auto"/>
              <w:rPr>
                <w:rFonts w:ascii="宋体" w:hAnsi="宋体"/>
                <w:sz w:val="24"/>
                <w:lang w:val="zh-CN"/>
              </w:rPr>
            </w:pPr>
            <w:r>
              <w:rPr>
                <w:rFonts w:ascii="宋体" w:hAnsi="宋体" w:eastAsia="宋体"/>
                <w:sz w:val="24"/>
              </w:rPr>
              <w:t>3）具有良好的商业信誉和健全的财务会计制度：</w:t>
            </w:r>
            <w:r>
              <w:rPr>
                <w:rFonts w:ascii="宋体" w:hAnsi="宋体" w:eastAsia="宋体"/>
                <w:b/>
                <w:sz w:val="24"/>
              </w:rPr>
              <w:t>（投标时，若供应商成立超过一年需提供2022年、2023年、2024年度任意一年的财务状况报表或经第三方审计出具的审计报告复印件/扫描件并加盖公章，供应商成立不足一年（含一年）需提供近三个月内任意一个月的财务报告复印件/扫描件并加盖公章（需包含资产负债表、现金流量表、利润表）或近三个月内任意一个月的银行资信证明材料复印件/扫描件并加盖公章）</w:t>
            </w:r>
          </w:p>
        </w:tc>
      </w:tr>
      <w:tr w14:paraId="79B05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770" w:type="dxa"/>
            <w:vAlign w:val="center"/>
          </w:tcPr>
          <w:p w14:paraId="139D66CD">
            <w:pPr>
              <w:adjustRightInd w:val="0"/>
              <w:spacing w:line="360" w:lineRule="auto"/>
              <w:ind w:firstLine="22" w:firstLineChars="9"/>
              <w:jc w:val="center"/>
              <w:textAlignment w:val="baseline"/>
              <w:rPr>
                <w:rFonts w:ascii="宋体" w:hAnsi="宋体" w:eastAsia="宋体" w:cs="Times New Roman"/>
                <w:b/>
                <w:bCs/>
                <w:sz w:val="24"/>
                <w:szCs w:val="24"/>
              </w:rPr>
            </w:pPr>
            <w:r>
              <w:rPr>
                <w:rFonts w:hint="eastAsia" w:ascii="宋体" w:hAnsi="宋体" w:eastAsia="宋体" w:cs="Times New Roman"/>
                <w:b/>
                <w:bCs/>
                <w:sz w:val="24"/>
                <w:szCs w:val="24"/>
              </w:rPr>
              <w:t>4</w:t>
            </w:r>
          </w:p>
        </w:tc>
        <w:tc>
          <w:tcPr>
            <w:tcW w:w="9293" w:type="dxa"/>
            <w:vAlign w:val="center"/>
          </w:tcPr>
          <w:p w14:paraId="57991D35">
            <w:pPr>
              <w:spacing w:line="360" w:lineRule="auto"/>
              <w:rPr>
                <w:rFonts w:ascii="宋体" w:hAnsi="宋体"/>
                <w:sz w:val="24"/>
              </w:rPr>
            </w:pPr>
            <w:r>
              <w:rPr>
                <w:rFonts w:ascii="宋体" w:hAnsi="宋体" w:eastAsia="宋体"/>
                <w:sz w:val="24"/>
              </w:rPr>
              <w:t>4</w:t>
            </w:r>
            <w:r>
              <w:rPr>
                <w:rFonts w:hint="eastAsia" w:ascii="宋体" w:hAnsi="宋体" w:eastAsia="宋体" w:cs="宋体"/>
                <w:sz w:val="24"/>
              </w:rPr>
              <w:t>）具有履行合同所必须的设备和专业技术能力；</w:t>
            </w:r>
            <w:r>
              <w:rPr>
                <w:rFonts w:hint="eastAsia" w:ascii="宋体" w:hAnsi="宋体" w:eastAsia="宋体" w:cs="宋体"/>
                <w:b/>
                <w:bCs/>
                <w:sz w:val="24"/>
              </w:rPr>
              <w:t>（投标时，供应商出具承诺函，承诺满足要求，加盖供应商公章</w:t>
            </w:r>
            <w:r>
              <w:rPr>
                <w:rFonts w:hint="eastAsia" w:ascii="宋体" w:hAnsi="宋体" w:eastAsia="宋体"/>
                <w:b/>
                <w:bCs/>
                <w:sz w:val="24"/>
              </w:rPr>
              <w:t>）</w:t>
            </w:r>
          </w:p>
        </w:tc>
      </w:tr>
      <w:tr w14:paraId="7949D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jc w:val="center"/>
        </w:trPr>
        <w:tc>
          <w:tcPr>
            <w:tcW w:w="770" w:type="dxa"/>
            <w:vAlign w:val="center"/>
          </w:tcPr>
          <w:p w14:paraId="7F80140A">
            <w:pPr>
              <w:adjustRightInd w:val="0"/>
              <w:spacing w:line="360" w:lineRule="auto"/>
              <w:ind w:firstLine="22" w:firstLineChars="9"/>
              <w:jc w:val="center"/>
              <w:textAlignment w:val="baseline"/>
              <w:rPr>
                <w:rFonts w:ascii="宋体" w:hAnsi="宋体" w:eastAsia="宋体" w:cs="Times New Roman"/>
                <w:b/>
                <w:bCs/>
                <w:sz w:val="24"/>
                <w:szCs w:val="24"/>
              </w:rPr>
            </w:pPr>
            <w:r>
              <w:rPr>
                <w:rFonts w:hint="eastAsia" w:ascii="宋体" w:hAnsi="宋体" w:eastAsia="宋体" w:cs="Times New Roman"/>
                <w:b/>
                <w:bCs/>
                <w:sz w:val="24"/>
                <w:szCs w:val="24"/>
              </w:rPr>
              <w:t>5</w:t>
            </w:r>
          </w:p>
        </w:tc>
        <w:tc>
          <w:tcPr>
            <w:tcW w:w="9293" w:type="dxa"/>
            <w:vAlign w:val="center"/>
          </w:tcPr>
          <w:p w14:paraId="21ED17EA">
            <w:pPr>
              <w:widowControl/>
              <w:spacing w:line="360" w:lineRule="auto"/>
              <w:jc w:val="left"/>
              <w:rPr>
                <w:rFonts w:ascii="宋体" w:hAnsi="宋体" w:eastAsia="宋体" w:cs="Times New Roman"/>
                <w:b/>
                <w:bCs/>
                <w:sz w:val="24"/>
                <w:szCs w:val="24"/>
              </w:rPr>
            </w:pPr>
            <w:r>
              <w:rPr>
                <w:rFonts w:ascii="宋体" w:hAnsi="宋体" w:eastAsia="宋体" w:cs="Times New Roman"/>
                <w:sz w:val="24"/>
                <w:szCs w:val="24"/>
              </w:rPr>
              <w:t>5）参加采购活动前3年内，在经营活动中没有重大违法记录</w:t>
            </w:r>
            <w:r>
              <w:rPr>
                <w:rFonts w:hint="eastAsia" w:ascii="宋体" w:hAnsi="宋体" w:eastAsia="宋体" w:cs="Times New Roman"/>
                <w:sz w:val="24"/>
                <w:szCs w:val="24"/>
              </w:rPr>
              <w:t>；</w:t>
            </w:r>
            <w:r>
              <w:rPr>
                <w:rFonts w:hint="eastAsia" w:ascii="宋体" w:hAnsi="宋体" w:eastAsia="宋体" w:cs="Times New Roman"/>
                <w:b/>
                <w:bCs/>
                <w:sz w:val="24"/>
                <w:szCs w:val="24"/>
              </w:rPr>
              <w:t>（投标时，供应商出具承诺函，加盖供应商公章）</w:t>
            </w:r>
          </w:p>
          <w:p w14:paraId="722204DC">
            <w:pPr>
              <w:spacing w:line="360" w:lineRule="auto"/>
              <w:rPr>
                <w:rFonts w:ascii="宋体" w:hAnsi="宋体"/>
                <w:sz w:val="24"/>
                <w:lang w:val="zh-CN"/>
              </w:rPr>
            </w:pPr>
            <w:r>
              <w:rPr>
                <w:rFonts w:hint="eastAsia" w:ascii="宋体" w:hAnsi="宋体" w:eastAsia="宋体" w:cs="Times New Roman"/>
                <w:sz w:val="24"/>
                <w:szCs w:val="24"/>
              </w:rPr>
              <w:t>注：</w:t>
            </w:r>
            <w:r>
              <w:rPr>
                <w:rFonts w:ascii="宋体" w:hAnsi="宋体" w:eastAsia="宋体" w:cs="Times New Roman"/>
                <w:sz w:val="24"/>
                <w:szCs w:val="24"/>
              </w:rPr>
              <w:t>重大违法记录，是指供应商因违法经营受到刑事处罚或者责令停产停业、吊销许可证或者执照、较大数额罚款等行政处罚。（较大数额罚款按照发出行政处罚决定书部门所在省级政府，或实行垂直领导的国</w:t>
            </w:r>
            <w:r>
              <w:rPr>
                <w:rFonts w:hint="eastAsia" w:ascii="宋体" w:hAnsi="宋体" w:eastAsia="宋体" w:cs="Times New Roman"/>
                <w:sz w:val="24"/>
                <w:szCs w:val="24"/>
              </w:rPr>
              <w:t>务院</w:t>
            </w:r>
            <w:r>
              <w:rPr>
                <w:rFonts w:ascii="宋体" w:hAnsi="宋体" w:eastAsia="宋体" w:cs="Times New Roman"/>
                <w:sz w:val="24"/>
                <w:szCs w:val="24"/>
              </w:rPr>
              <w:t>有关行政主管部门制定的较大数额罚款标准，或罚款决定之前需要举行听证会的金额标准来认定）</w:t>
            </w:r>
          </w:p>
        </w:tc>
      </w:tr>
      <w:tr w14:paraId="00FBF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70" w:type="dxa"/>
            <w:vAlign w:val="center"/>
          </w:tcPr>
          <w:p w14:paraId="0A757BDF">
            <w:pPr>
              <w:adjustRightInd w:val="0"/>
              <w:spacing w:line="360" w:lineRule="auto"/>
              <w:ind w:firstLine="22" w:firstLineChars="9"/>
              <w:jc w:val="center"/>
              <w:textAlignment w:val="baseline"/>
              <w:rPr>
                <w:rFonts w:ascii="宋体" w:hAnsi="宋体" w:eastAsia="宋体" w:cs="Times New Roman"/>
                <w:b/>
                <w:bCs/>
                <w:sz w:val="24"/>
                <w:szCs w:val="24"/>
              </w:rPr>
            </w:pPr>
            <w:r>
              <w:rPr>
                <w:rFonts w:hint="eastAsia" w:ascii="宋体" w:hAnsi="宋体" w:eastAsia="宋体" w:cs="Times New Roman"/>
                <w:b/>
                <w:bCs/>
                <w:sz w:val="24"/>
                <w:szCs w:val="24"/>
              </w:rPr>
              <w:t>6</w:t>
            </w:r>
          </w:p>
        </w:tc>
        <w:tc>
          <w:tcPr>
            <w:tcW w:w="9293" w:type="dxa"/>
            <w:vAlign w:val="center"/>
          </w:tcPr>
          <w:p w14:paraId="2A4E5B8D">
            <w:pPr>
              <w:numPr>
                <w:ilvl w:val="0"/>
                <w:numId w:val="4"/>
              </w:numPr>
              <w:spacing w:line="360" w:lineRule="auto"/>
            </w:pPr>
            <w:r>
              <w:rPr>
                <w:rFonts w:hint="eastAsia" w:ascii="宋体" w:hAnsi="宋体" w:eastAsia="宋体" w:cs="宋体"/>
                <w:sz w:val="24"/>
              </w:rPr>
              <w:t>信用记录：供应商未被列入</w:t>
            </w:r>
            <w:r>
              <w:rPr>
                <w:rFonts w:ascii="宋体" w:hAnsi="宋体" w:eastAsia="宋体"/>
                <w:sz w:val="24"/>
              </w:rPr>
              <w:t>“</w:t>
            </w:r>
            <w:r>
              <w:rPr>
                <w:rFonts w:hint="eastAsia" w:ascii="宋体" w:hAnsi="宋体" w:eastAsia="宋体" w:cs="宋体"/>
                <w:sz w:val="24"/>
              </w:rPr>
              <w:t>信用中国</w:t>
            </w:r>
            <w:r>
              <w:rPr>
                <w:rFonts w:ascii="宋体" w:hAnsi="宋体" w:eastAsia="宋体"/>
                <w:sz w:val="24"/>
              </w:rPr>
              <w:t>”</w:t>
            </w:r>
            <w:r>
              <w:rPr>
                <w:rFonts w:hint="eastAsia" w:ascii="宋体" w:hAnsi="宋体" w:eastAsia="宋体" w:cs="宋体"/>
                <w:sz w:val="24"/>
              </w:rPr>
              <w:t>网站</w:t>
            </w:r>
            <w:r>
              <w:rPr>
                <w:rFonts w:ascii="宋体" w:hAnsi="宋体" w:eastAsia="宋体"/>
                <w:sz w:val="24"/>
              </w:rPr>
              <w:t>(www.creditchina.gov.cn)“</w:t>
            </w:r>
            <w:r>
              <w:rPr>
                <w:rFonts w:hint="eastAsia" w:ascii="宋体" w:hAnsi="宋体" w:eastAsia="宋体" w:cs="宋体"/>
                <w:sz w:val="24"/>
              </w:rPr>
              <w:t>记录失信被执行人、重大税收违法案件当事人名单、政府采购严重违法失信行为</w:t>
            </w:r>
            <w:r>
              <w:rPr>
                <w:rFonts w:ascii="宋体" w:hAnsi="宋体" w:eastAsia="宋体"/>
                <w:sz w:val="24"/>
              </w:rPr>
              <w:t>”</w:t>
            </w:r>
            <w:r>
              <w:rPr>
                <w:rFonts w:hint="eastAsia" w:ascii="宋体" w:hAnsi="宋体" w:eastAsia="宋体" w:cs="宋体"/>
                <w:sz w:val="24"/>
              </w:rPr>
              <w:t>记录名单；不处于中国政府采购网</w:t>
            </w:r>
            <w:r>
              <w:rPr>
                <w:rFonts w:ascii="宋体" w:hAnsi="宋体" w:eastAsia="宋体"/>
                <w:sz w:val="24"/>
              </w:rPr>
              <w:t>(www.ccgp.gov.cn)“</w:t>
            </w:r>
            <w:r>
              <w:rPr>
                <w:rFonts w:hint="eastAsia" w:ascii="宋体" w:hAnsi="宋体" w:eastAsia="宋体" w:cs="宋体"/>
                <w:sz w:val="24"/>
              </w:rPr>
              <w:t>政府采购严重违法失信行为信息记录</w:t>
            </w:r>
            <w:r>
              <w:rPr>
                <w:rFonts w:ascii="宋体" w:hAnsi="宋体" w:eastAsia="宋体"/>
                <w:sz w:val="24"/>
              </w:rPr>
              <w:t>”</w:t>
            </w:r>
            <w:r>
              <w:rPr>
                <w:rFonts w:hint="eastAsia" w:ascii="宋体" w:hAnsi="宋体" w:eastAsia="宋体" w:cs="宋体"/>
                <w:sz w:val="24"/>
              </w:rPr>
              <w:t>中的禁止参加政府采购活动期间。如相关失信记录已失效，供应商需提供相关证明资料，如在上述网站查询结果均显示没有相关记录，视为没有上述不良信用记录。）</w:t>
            </w:r>
            <w:r>
              <w:rPr>
                <w:rFonts w:ascii="宋体" w:hAnsi="宋体"/>
                <w:sz w:val="24"/>
              </w:rPr>
              <w:t>。</w:t>
            </w:r>
          </w:p>
          <w:p w14:paraId="308DF9CB">
            <w:pPr>
              <w:numPr>
                <w:ilvl w:val="-1"/>
                <w:numId w:val="0"/>
              </w:numPr>
              <w:spacing w:line="360" w:lineRule="auto"/>
              <w:rPr>
                <w:rFonts w:hint="default" w:ascii="宋体" w:hAnsi="宋体" w:eastAsiaTheme="minorEastAsia"/>
                <w:sz w:val="24"/>
                <w:lang w:val="en-US" w:eastAsia="zh-CN"/>
              </w:rPr>
            </w:pPr>
            <w:r>
              <w:rPr>
                <w:rFonts w:hint="eastAsia" w:ascii="宋体" w:hAnsi="宋体" w:eastAsia="宋体" w:cs="宋体"/>
                <w:sz w:val="24"/>
                <w:lang w:val="en-US" w:eastAsia="zh-CN"/>
              </w:rPr>
              <w:t>注：开标时代理机构将对所有供应商“信用记录”部分进行核查</w:t>
            </w:r>
          </w:p>
        </w:tc>
      </w:tr>
      <w:tr w14:paraId="2F158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6" w:hRule="atLeast"/>
          <w:jc w:val="center"/>
        </w:trPr>
        <w:tc>
          <w:tcPr>
            <w:tcW w:w="770" w:type="dxa"/>
            <w:vAlign w:val="center"/>
          </w:tcPr>
          <w:p w14:paraId="0AE068B4">
            <w:pPr>
              <w:adjustRightInd w:val="0"/>
              <w:spacing w:line="360" w:lineRule="auto"/>
              <w:ind w:firstLine="22" w:firstLineChars="9"/>
              <w:jc w:val="center"/>
              <w:textAlignment w:val="baseline"/>
              <w:rPr>
                <w:rFonts w:ascii="宋体" w:hAnsi="宋体" w:eastAsia="宋体" w:cs="Times New Roman"/>
                <w:b/>
                <w:bCs/>
                <w:sz w:val="24"/>
                <w:szCs w:val="24"/>
              </w:rPr>
            </w:pPr>
            <w:r>
              <w:rPr>
                <w:rFonts w:hint="eastAsia" w:ascii="宋体" w:hAnsi="宋体" w:eastAsia="宋体" w:cs="Times New Roman"/>
                <w:b/>
                <w:bCs/>
                <w:sz w:val="24"/>
                <w:szCs w:val="24"/>
              </w:rPr>
              <w:t>7</w:t>
            </w:r>
          </w:p>
        </w:tc>
        <w:tc>
          <w:tcPr>
            <w:tcW w:w="9293" w:type="dxa"/>
            <w:vAlign w:val="center"/>
          </w:tcPr>
          <w:p w14:paraId="75036E12">
            <w:pPr>
              <w:widowControl/>
              <w:spacing w:line="360" w:lineRule="auto"/>
              <w:jc w:val="left"/>
              <w:rPr>
                <w:rFonts w:ascii="宋体" w:hAnsi="宋体" w:eastAsia="宋体" w:cs="Times New Roman"/>
                <w:sz w:val="24"/>
                <w:szCs w:val="24"/>
              </w:rPr>
            </w:pPr>
            <w:r>
              <w:rPr>
                <w:rFonts w:ascii="宋体" w:hAnsi="宋体" w:eastAsia="宋体" w:cs="Times New Roman"/>
                <w:sz w:val="24"/>
                <w:szCs w:val="24"/>
              </w:rPr>
              <w:t>7）</w:t>
            </w:r>
            <w:r>
              <w:rPr>
                <w:rFonts w:hint="eastAsia" w:ascii="宋体" w:hAnsi="宋体" w:eastAsia="宋体" w:cs="Times New Roman"/>
                <w:sz w:val="24"/>
                <w:szCs w:val="24"/>
              </w:rPr>
              <w:t>单位负责人为同一人或者存在直接控股、管理关系的不同供应商，不得参加同一合同项下的政府采购活动。</w:t>
            </w:r>
          </w:p>
          <w:p w14:paraId="4DCFDD07">
            <w:pPr>
              <w:widowControl/>
              <w:spacing w:line="360" w:lineRule="auto"/>
              <w:jc w:val="left"/>
              <w:rPr>
                <w:rFonts w:ascii="宋体" w:hAnsi="宋体" w:eastAsia="宋体" w:cs="Times New Roman"/>
                <w:sz w:val="24"/>
                <w:szCs w:val="24"/>
              </w:rPr>
            </w:pPr>
            <w:r>
              <w:rPr>
                <w:rFonts w:hint="eastAsia" w:ascii="宋体" w:hAnsi="宋体" w:eastAsia="宋体" w:cs="Times New Roman"/>
                <w:sz w:val="24"/>
                <w:szCs w:val="24"/>
              </w:rPr>
              <w:t>与采购人存在利害关系可能影响招标公正性的法人、其他组织或者个人，不得参加投标。</w:t>
            </w:r>
          </w:p>
          <w:p w14:paraId="509D368A">
            <w:pPr>
              <w:spacing w:line="360" w:lineRule="auto"/>
              <w:rPr>
                <w:rFonts w:ascii="宋体" w:hAnsi="宋体"/>
                <w:sz w:val="24"/>
              </w:rPr>
            </w:pPr>
            <w:r>
              <w:rPr>
                <w:rFonts w:hint="eastAsia" w:ascii="宋体" w:hAnsi="宋体" w:eastAsia="宋体" w:cs="Times New Roman"/>
                <w:b/>
                <w:bCs/>
                <w:sz w:val="24"/>
                <w:szCs w:val="24"/>
              </w:rPr>
              <w:t>（投标时，供应商出具承诺函，加盖供应商公章）</w:t>
            </w:r>
            <w:r>
              <w:rPr>
                <w:rFonts w:ascii="宋体" w:hAnsi="宋体" w:eastAsia="宋体" w:cs="Times New Roman"/>
                <w:b/>
                <w:bCs/>
                <w:sz w:val="24"/>
                <w:szCs w:val="24"/>
              </w:rPr>
              <w:t>。</w:t>
            </w:r>
          </w:p>
        </w:tc>
      </w:tr>
      <w:tr w14:paraId="32B80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770" w:type="dxa"/>
            <w:vAlign w:val="center"/>
          </w:tcPr>
          <w:p w14:paraId="2E30C6FE">
            <w:pPr>
              <w:adjustRightInd w:val="0"/>
              <w:spacing w:line="360" w:lineRule="auto"/>
              <w:ind w:firstLine="22" w:firstLineChars="9"/>
              <w:jc w:val="center"/>
              <w:textAlignment w:val="baseline"/>
              <w:rPr>
                <w:rFonts w:ascii="宋体" w:hAnsi="宋体" w:eastAsia="宋体" w:cs="Times New Roman"/>
                <w:b/>
                <w:bCs/>
                <w:sz w:val="24"/>
                <w:szCs w:val="24"/>
              </w:rPr>
            </w:pPr>
            <w:r>
              <w:rPr>
                <w:rFonts w:hint="eastAsia" w:ascii="宋体" w:hAnsi="宋体" w:eastAsia="宋体" w:cs="Times New Roman"/>
                <w:b/>
                <w:bCs/>
                <w:sz w:val="24"/>
                <w:szCs w:val="24"/>
              </w:rPr>
              <w:t>8</w:t>
            </w:r>
          </w:p>
        </w:tc>
        <w:tc>
          <w:tcPr>
            <w:tcW w:w="9293" w:type="dxa"/>
            <w:vAlign w:val="center"/>
          </w:tcPr>
          <w:p w14:paraId="5FE5BCCA">
            <w:pPr>
              <w:widowControl/>
              <w:spacing w:line="360" w:lineRule="auto"/>
              <w:jc w:val="left"/>
              <w:rPr>
                <w:rFonts w:ascii="宋体" w:hAnsi="宋体" w:eastAsia="宋体" w:cs="Times New Roman"/>
                <w:sz w:val="24"/>
                <w:szCs w:val="24"/>
              </w:rPr>
            </w:pPr>
            <w:r>
              <w:rPr>
                <w:rFonts w:hint="eastAsia" w:ascii="宋体" w:hAnsi="宋体" w:eastAsia="宋体" w:cs="Times New Roman"/>
                <w:sz w:val="24"/>
                <w:szCs w:val="24"/>
              </w:rPr>
              <w:t>8）</w:t>
            </w:r>
            <w:r>
              <w:rPr>
                <w:rFonts w:ascii="宋体" w:hAnsi="宋体" w:eastAsia="宋体" w:cs="Times New Roman"/>
                <w:sz w:val="24"/>
                <w:szCs w:val="24"/>
              </w:rPr>
              <w:t>落实政府采购政策需满足的资格要求：本项目专门面向</w:t>
            </w:r>
            <w:r>
              <w:rPr>
                <w:rFonts w:hint="eastAsia" w:ascii="宋体" w:hAnsi="宋体" w:eastAsia="宋体" w:cs="Times New Roman"/>
                <w:sz w:val="24"/>
                <w:szCs w:val="24"/>
                <w:lang w:val="en-US" w:eastAsia="zh-CN"/>
              </w:rPr>
              <w:t>中小</w:t>
            </w:r>
            <w:r>
              <w:rPr>
                <w:rFonts w:ascii="宋体" w:hAnsi="宋体" w:eastAsia="宋体" w:cs="Times New Roman"/>
                <w:sz w:val="24"/>
                <w:szCs w:val="24"/>
              </w:rPr>
              <w:t>企业采购，供应商需提供中小企业声明函，格式详见第</w:t>
            </w:r>
            <w:r>
              <w:rPr>
                <w:rFonts w:hint="eastAsia" w:ascii="宋体" w:hAnsi="宋体" w:eastAsia="宋体" w:cs="Times New Roman"/>
                <w:sz w:val="24"/>
                <w:szCs w:val="24"/>
              </w:rPr>
              <w:t>六</w:t>
            </w:r>
            <w:r>
              <w:rPr>
                <w:rFonts w:ascii="宋体" w:hAnsi="宋体" w:eastAsia="宋体" w:cs="Times New Roman"/>
                <w:sz w:val="24"/>
                <w:szCs w:val="24"/>
              </w:rPr>
              <w:t>章</w:t>
            </w:r>
            <w:r>
              <w:rPr>
                <w:rFonts w:hint="eastAsia" w:ascii="宋体" w:hAnsi="宋体" w:eastAsia="宋体" w:cs="Times New Roman"/>
                <w:sz w:val="24"/>
                <w:szCs w:val="24"/>
              </w:rPr>
              <w:t xml:space="preserve"> 响应文件格式</w:t>
            </w:r>
          </w:p>
        </w:tc>
      </w:tr>
    </w:tbl>
    <w:p w14:paraId="24500833">
      <w:pPr>
        <w:autoSpaceDE w:val="0"/>
        <w:autoSpaceDN w:val="0"/>
        <w:adjustRightInd w:val="0"/>
        <w:spacing w:line="360" w:lineRule="auto"/>
        <w:ind w:firstLine="480"/>
        <w:jc w:val="left"/>
        <w:rPr>
          <w:rFonts w:ascii="宋体" w:hAnsi="宋体" w:eastAsia="宋体" w:cs="仿宋"/>
          <w:kern w:val="0"/>
          <w:sz w:val="28"/>
          <w:szCs w:val="20"/>
        </w:rPr>
      </w:pPr>
      <w:r>
        <w:rPr>
          <w:rFonts w:hint="eastAsia" w:ascii="宋体" w:hAnsi="宋体" w:eastAsia="宋体" w:cs="仿宋"/>
          <w:kern w:val="0"/>
          <w:sz w:val="24"/>
          <w:szCs w:val="20"/>
        </w:rPr>
        <w:t>合格供应商不足三家的，不进行谈判。</w:t>
      </w:r>
    </w:p>
    <w:p w14:paraId="71079F75">
      <w:pPr>
        <w:spacing w:before="120" w:after="120" w:line="360" w:lineRule="auto"/>
        <w:ind w:firstLine="562" w:firstLineChars="200"/>
        <w:jc w:val="center"/>
        <w:outlineLvl w:val="1"/>
        <w:rPr>
          <w:rFonts w:ascii="宋体" w:hAnsi="宋体" w:eastAsia="宋体" w:cs="仿宋"/>
          <w:b/>
          <w:kern w:val="0"/>
          <w:sz w:val="28"/>
          <w:szCs w:val="24"/>
        </w:rPr>
      </w:pPr>
      <w:bookmarkStart w:id="46" w:name="_Toc195529418"/>
      <w:r>
        <w:rPr>
          <w:rFonts w:hint="eastAsia" w:ascii="宋体" w:hAnsi="宋体" w:eastAsia="宋体" w:cs="仿宋"/>
          <w:b/>
          <w:kern w:val="0"/>
          <w:sz w:val="28"/>
          <w:szCs w:val="24"/>
        </w:rPr>
        <w:t>七、谈判和定标</w:t>
      </w:r>
      <w:bookmarkEnd w:id="43"/>
      <w:bookmarkEnd w:id="44"/>
      <w:bookmarkEnd w:id="45"/>
      <w:bookmarkEnd w:id="46"/>
    </w:p>
    <w:p w14:paraId="55BA2AF8">
      <w:pPr>
        <w:autoSpaceDE w:val="0"/>
        <w:autoSpaceDN w:val="0"/>
        <w:adjustRightInd w:val="0"/>
        <w:spacing w:line="360" w:lineRule="auto"/>
        <w:ind w:firstLine="480"/>
        <w:rPr>
          <w:rFonts w:ascii="宋体" w:hAnsi="宋体" w:eastAsia="宋体" w:cs="仿宋"/>
          <w:kern w:val="0"/>
          <w:sz w:val="24"/>
          <w:szCs w:val="20"/>
        </w:rPr>
      </w:pPr>
      <w:r>
        <w:rPr>
          <w:rFonts w:hint="eastAsia" w:ascii="宋体" w:hAnsi="宋体" w:eastAsia="宋体" w:cs="仿宋"/>
          <w:kern w:val="0"/>
          <w:sz w:val="24"/>
          <w:szCs w:val="20"/>
        </w:rPr>
        <w:t>23. 谈判原则</w:t>
      </w:r>
    </w:p>
    <w:p w14:paraId="08C6A891">
      <w:pPr>
        <w:autoSpaceDE w:val="0"/>
        <w:autoSpaceDN w:val="0"/>
        <w:adjustRightInd w:val="0"/>
        <w:spacing w:line="360" w:lineRule="auto"/>
        <w:ind w:firstLine="480"/>
        <w:rPr>
          <w:rFonts w:ascii="宋体" w:hAnsi="宋体" w:eastAsia="宋体" w:cs="仿宋"/>
          <w:kern w:val="0"/>
          <w:sz w:val="24"/>
          <w:szCs w:val="20"/>
        </w:rPr>
      </w:pPr>
      <w:r>
        <w:rPr>
          <w:rFonts w:hint="eastAsia" w:ascii="宋体" w:hAnsi="宋体" w:eastAsia="宋体" w:cs="仿宋"/>
          <w:kern w:val="0"/>
          <w:sz w:val="24"/>
          <w:szCs w:val="20"/>
        </w:rPr>
        <w:t>23.1 本项目的谈判遵循公平、公正、科学、择优的原则。</w:t>
      </w:r>
    </w:p>
    <w:p w14:paraId="39D7C6BA">
      <w:pPr>
        <w:autoSpaceDE w:val="0"/>
        <w:autoSpaceDN w:val="0"/>
        <w:adjustRightInd w:val="0"/>
        <w:spacing w:line="360" w:lineRule="auto"/>
        <w:ind w:firstLine="480"/>
        <w:rPr>
          <w:rFonts w:ascii="宋体" w:hAnsi="宋体" w:eastAsia="宋体" w:cs="仿宋"/>
          <w:kern w:val="0"/>
          <w:sz w:val="24"/>
          <w:szCs w:val="20"/>
        </w:rPr>
      </w:pPr>
      <w:r>
        <w:rPr>
          <w:rFonts w:hint="eastAsia" w:ascii="宋体" w:hAnsi="宋体" w:eastAsia="宋体" w:cs="仿宋"/>
          <w:kern w:val="0"/>
          <w:sz w:val="24"/>
          <w:szCs w:val="20"/>
        </w:rPr>
        <w:t>23.2 谈判委员会将严格按照《中华人民共和国政府采购法》、中华人民共和国政府采购法实施条例（国务院令第658号）、《政府采购货物和服务招标投标管理办法》（财政部87号令）、《政府采购非招标采购方式管理办法》财库〔2014〕214号等相关法律法规的规定依法谈判，维护各方当事人的合法权益。</w:t>
      </w:r>
    </w:p>
    <w:p w14:paraId="5176AA6F">
      <w:pPr>
        <w:autoSpaceDE w:val="0"/>
        <w:autoSpaceDN w:val="0"/>
        <w:adjustRightInd w:val="0"/>
        <w:spacing w:line="360" w:lineRule="auto"/>
        <w:ind w:firstLine="480"/>
        <w:rPr>
          <w:rFonts w:ascii="宋体" w:hAnsi="宋体" w:eastAsia="宋体" w:cs="仿宋"/>
          <w:kern w:val="0"/>
          <w:sz w:val="24"/>
          <w:szCs w:val="20"/>
        </w:rPr>
      </w:pPr>
      <w:r>
        <w:rPr>
          <w:rFonts w:hint="eastAsia" w:ascii="宋体" w:hAnsi="宋体" w:eastAsia="宋体" w:cs="仿宋"/>
          <w:kern w:val="0"/>
          <w:sz w:val="24"/>
          <w:szCs w:val="20"/>
        </w:rPr>
        <w:t>23.3 不徇私情，不明招暗定。</w:t>
      </w:r>
    </w:p>
    <w:p w14:paraId="0B39CBCA">
      <w:pPr>
        <w:autoSpaceDE w:val="0"/>
        <w:autoSpaceDN w:val="0"/>
        <w:adjustRightInd w:val="0"/>
        <w:spacing w:line="360" w:lineRule="auto"/>
        <w:ind w:firstLine="480"/>
        <w:rPr>
          <w:rFonts w:ascii="宋体" w:hAnsi="宋体" w:eastAsia="宋体" w:cs="仿宋"/>
          <w:kern w:val="0"/>
          <w:sz w:val="24"/>
          <w:szCs w:val="20"/>
        </w:rPr>
      </w:pPr>
      <w:r>
        <w:rPr>
          <w:rFonts w:hint="eastAsia" w:ascii="宋体" w:hAnsi="宋体" w:eastAsia="宋体" w:cs="仿宋"/>
          <w:kern w:val="0"/>
          <w:sz w:val="24"/>
          <w:szCs w:val="20"/>
        </w:rPr>
        <w:t>23.4 资格审查合格的供应商，均有同等机会参加竞争。</w:t>
      </w:r>
    </w:p>
    <w:p w14:paraId="21C62E67">
      <w:pPr>
        <w:autoSpaceDE w:val="0"/>
        <w:autoSpaceDN w:val="0"/>
        <w:adjustRightInd w:val="0"/>
        <w:spacing w:line="360" w:lineRule="auto"/>
        <w:ind w:firstLine="480"/>
        <w:rPr>
          <w:rFonts w:ascii="宋体" w:hAnsi="宋体" w:eastAsia="宋体" w:cs="仿宋"/>
          <w:kern w:val="0"/>
          <w:sz w:val="24"/>
          <w:szCs w:val="20"/>
        </w:rPr>
      </w:pPr>
      <w:r>
        <w:rPr>
          <w:rFonts w:hint="eastAsia" w:ascii="宋体" w:hAnsi="宋体" w:eastAsia="宋体" w:cs="仿宋"/>
          <w:kern w:val="0"/>
          <w:sz w:val="24"/>
          <w:szCs w:val="20"/>
        </w:rPr>
        <w:t>23.5 谈判委员会不得私自泄露谈判内容，不得进行旨在影响谈判结果公正、公平的任何活动。</w:t>
      </w:r>
    </w:p>
    <w:p w14:paraId="0E0B5D4C">
      <w:pPr>
        <w:autoSpaceDE w:val="0"/>
        <w:autoSpaceDN w:val="0"/>
        <w:adjustRightInd w:val="0"/>
        <w:spacing w:line="360" w:lineRule="auto"/>
        <w:ind w:firstLine="480"/>
        <w:rPr>
          <w:rFonts w:ascii="宋体" w:hAnsi="宋体" w:eastAsia="宋体" w:cs="仿宋"/>
          <w:kern w:val="0"/>
          <w:sz w:val="24"/>
          <w:szCs w:val="20"/>
        </w:rPr>
      </w:pPr>
      <w:r>
        <w:rPr>
          <w:rFonts w:hint="eastAsia" w:ascii="宋体" w:hAnsi="宋体" w:eastAsia="宋体" w:cs="仿宋"/>
          <w:kern w:val="0"/>
          <w:sz w:val="24"/>
          <w:szCs w:val="20"/>
        </w:rPr>
        <w:t>24. 谈判方法</w:t>
      </w:r>
    </w:p>
    <w:p w14:paraId="021744FD">
      <w:pPr>
        <w:autoSpaceDE w:val="0"/>
        <w:autoSpaceDN w:val="0"/>
        <w:adjustRightInd w:val="0"/>
        <w:spacing w:line="360" w:lineRule="auto"/>
        <w:ind w:firstLine="480"/>
        <w:rPr>
          <w:rFonts w:ascii="宋体" w:hAnsi="宋体" w:eastAsia="宋体" w:cs="仿宋"/>
          <w:kern w:val="0"/>
          <w:sz w:val="24"/>
          <w:szCs w:val="20"/>
        </w:rPr>
      </w:pPr>
      <w:r>
        <w:rPr>
          <w:rFonts w:hint="eastAsia" w:ascii="宋体" w:hAnsi="宋体" w:eastAsia="宋体" w:cs="仿宋"/>
          <w:kern w:val="0"/>
          <w:sz w:val="24"/>
          <w:szCs w:val="20"/>
        </w:rPr>
        <w:t>24.1 采购代理机构将根据有关法律法规的规定组建本次谈判的谈判委员会。谈判委员会成员由本行业相关技术、经济等方面的专家组成。其中，技术、经济等方面的专家不少于成员总人数的三分之二。</w:t>
      </w:r>
    </w:p>
    <w:p w14:paraId="34D4464B">
      <w:pPr>
        <w:autoSpaceDE w:val="0"/>
        <w:autoSpaceDN w:val="0"/>
        <w:adjustRightInd w:val="0"/>
        <w:spacing w:line="360" w:lineRule="auto"/>
        <w:ind w:firstLine="480"/>
        <w:rPr>
          <w:rFonts w:ascii="宋体" w:hAnsi="宋体" w:eastAsia="宋体" w:cs="仿宋"/>
          <w:kern w:val="0"/>
          <w:sz w:val="24"/>
          <w:szCs w:val="20"/>
        </w:rPr>
      </w:pPr>
      <w:r>
        <w:rPr>
          <w:rFonts w:hint="eastAsia" w:ascii="宋体" w:hAnsi="宋体" w:eastAsia="宋体" w:cs="仿宋"/>
          <w:kern w:val="0"/>
          <w:sz w:val="24"/>
          <w:szCs w:val="20"/>
        </w:rPr>
        <w:t>24.2 谈判的依据为谈判文件和响应文件。根据相关法律法规的规定，谈判委员会不以任何外部证据作为其谈判的依据或标准。</w:t>
      </w:r>
    </w:p>
    <w:p w14:paraId="13D88B8A">
      <w:pPr>
        <w:autoSpaceDE w:val="0"/>
        <w:autoSpaceDN w:val="0"/>
        <w:adjustRightInd w:val="0"/>
        <w:spacing w:line="360" w:lineRule="auto"/>
        <w:ind w:firstLine="480"/>
        <w:rPr>
          <w:rFonts w:ascii="宋体" w:hAnsi="宋体" w:eastAsia="宋体" w:cs="仿宋"/>
          <w:kern w:val="0"/>
          <w:sz w:val="24"/>
          <w:szCs w:val="20"/>
        </w:rPr>
      </w:pPr>
      <w:r>
        <w:rPr>
          <w:rFonts w:hint="eastAsia" w:ascii="宋体" w:hAnsi="宋体" w:eastAsia="宋体" w:cs="仿宋"/>
          <w:kern w:val="0"/>
          <w:sz w:val="24"/>
          <w:szCs w:val="20"/>
        </w:rPr>
        <w:t>24.3 谈判过程将严格保密。谈判后直到授予成交供应商合同止，凡是属于审查、澄清、评价和比较的有关谈判资料以及授标建议等均不得向供应商或其他无关的人员透露。</w:t>
      </w:r>
    </w:p>
    <w:p w14:paraId="69B0CB03">
      <w:pPr>
        <w:autoSpaceDE w:val="0"/>
        <w:autoSpaceDN w:val="0"/>
        <w:adjustRightInd w:val="0"/>
        <w:spacing w:line="360" w:lineRule="auto"/>
        <w:ind w:firstLine="480"/>
        <w:rPr>
          <w:rFonts w:ascii="宋体" w:hAnsi="宋体" w:eastAsia="宋体" w:cs="仿宋"/>
          <w:kern w:val="0"/>
          <w:sz w:val="24"/>
          <w:szCs w:val="20"/>
        </w:rPr>
      </w:pPr>
      <w:r>
        <w:rPr>
          <w:rFonts w:hint="eastAsia" w:ascii="宋体" w:hAnsi="宋体" w:eastAsia="宋体" w:cs="仿宋"/>
          <w:kern w:val="0"/>
          <w:sz w:val="24"/>
          <w:szCs w:val="20"/>
        </w:rPr>
        <w:t>24.4 在谈判的整个过程中，供应商所进行的旨在影响谈判结果的活动，可能导致其谈判被拒绝，或者被取消成交资格。</w:t>
      </w:r>
    </w:p>
    <w:p w14:paraId="3723D049">
      <w:pPr>
        <w:autoSpaceDE w:val="0"/>
        <w:autoSpaceDN w:val="0"/>
        <w:adjustRightInd w:val="0"/>
        <w:spacing w:line="360" w:lineRule="auto"/>
        <w:ind w:firstLine="480"/>
        <w:rPr>
          <w:rFonts w:ascii="宋体" w:hAnsi="宋体" w:eastAsia="宋体" w:cs="仿宋"/>
          <w:kern w:val="0"/>
          <w:sz w:val="24"/>
          <w:szCs w:val="20"/>
        </w:rPr>
      </w:pPr>
      <w:r>
        <w:rPr>
          <w:rFonts w:hint="eastAsia" w:ascii="宋体" w:hAnsi="宋体" w:eastAsia="宋体" w:cs="仿宋"/>
          <w:kern w:val="0"/>
          <w:sz w:val="24"/>
          <w:szCs w:val="20"/>
        </w:rPr>
        <w:t>24.5 本次谈判采用最低价法进行谈判。谈判分资格性审查和符合性审查两个阶段。</w:t>
      </w:r>
    </w:p>
    <w:p w14:paraId="0B8D4CB8">
      <w:pPr>
        <w:autoSpaceDE w:val="0"/>
        <w:autoSpaceDN w:val="0"/>
        <w:adjustRightInd w:val="0"/>
        <w:spacing w:line="360" w:lineRule="auto"/>
        <w:ind w:firstLine="480"/>
        <w:rPr>
          <w:rFonts w:ascii="宋体" w:hAnsi="宋体" w:eastAsia="宋体" w:cs="仿宋"/>
          <w:kern w:val="0"/>
          <w:sz w:val="24"/>
          <w:szCs w:val="20"/>
        </w:rPr>
      </w:pPr>
      <w:r>
        <w:rPr>
          <w:rFonts w:hint="eastAsia" w:ascii="宋体" w:hAnsi="宋体" w:eastAsia="宋体" w:cs="仿宋"/>
          <w:kern w:val="0"/>
          <w:sz w:val="24"/>
          <w:szCs w:val="20"/>
        </w:rPr>
        <w:t>24.6 符合性审查</w:t>
      </w:r>
    </w:p>
    <w:p w14:paraId="4C196C37">
      <w:pPr>
        <w:autoSpaceDE w:val="0"/>
        <w:autoSpaceDN w:val="0"/>
        <w:adjustRightInd w:val="0"/>
        <w:spacing w:line="360" w:lineRule="auto"/>
        <w:ind w:firstLine="480"/>
        <w:rPr>
          <w:rFonts w:ascii="宋体" w:hAnsi="宋体" w:eastAsia="宋体" w:cs="仿宋"/>
          <w:kern w:val="0"/>
          <w:sz w:val="24"/>
          <w:szCs w:val="20"/>
        </w:rPr>
      </w:pPr>
      <w:r>
        <w:rPr>
          <w:rFonts w:hint="eastAsia" w:ascii="宋体" w:hAnsi="宋体" w:eastAsia="宋体" w:cs="仿宋"/>
          <w:kern w:val="0"/>
          <w:sz w:val="24"/>
          <w:szCs w:val="20"/>
        </w:rPr>
        <w:t>谈判委员会对符合资格的供应商的响应文件进行符合性审查，以确定其是否满足谈判文件的实质性要求，是否存在重大偏离。重大偏离系指响应文件的有效性、真实性、合同的供货范围、质量、性能和规格等内容在实质上与谈判文件形成了重大的不一致，而这种不一致可能限制了买方的权力和供应商的义务，纠正或承认这些偏离将会对该供应商和其它供应商合理的竞争地位产生不公正的影响。与谈判文件有重大偏离的响应文件将被拒绝，谈判无效。具体评审内容系指：</w:t>
      </w:r>
    </w:p>
    <w:tbl>
      <w:tblPr>
        <w:tblStyle w:val="47"/>
        <w:tblW w:w="94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0"/>
        <w:gridCol w:w="8435"/>
      </w:tblGrid>
      <w:tr w14:paraId="19C79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970" w:type="dxa"/>
            <w:tcBorders>
              <w:top w:val="single" w:color="auto" w:sz="4" w:space="0"/>
              <w:left w:val="single" w:color="auto" w:sz="4" w:space="0"/>
              <w:bottom w:val="single" w:color="auto" w:sz="4" w:space="0"/>
              <w:right w:val="single" w:color="auto" w:sz="4" w:space="0"/>
            </w:tcBorders>
          </w:tcPr>
          <w:p w14:paraId="1E9BE11F">
            <w:pPr>
              <w:autoSpaceDE w:val="0"/>
              <w:autoSpaceDN w:val="0"/>
              <w:adjustRightInd w:val="0"/>
              <w:snapToGrid w:val="0"/>
              <w:spacing w:line="360" w:lineRule="auto"/>
              <w:ind w:right="32"/>
              <w:jc w:val="center"/>
              <w:textAlignment w:val="baseline"/>
              <w:rPr>
                <w:rFonts w:ascii="宋体" w:hAnsi="宋体" w:eastAsia="宋体" w:cs="Times New Roman"/>
                <w:sz w:val="24"/>
                <w:szCs w:val="24"/>
              </w:rPr>
            </w:pPr>
            <w:r>
              <w:rPr>
                <w:rFonts w:hint="eastAsia" w:ascii="宋体" w:hAnsi="宋体" w:eastAsia="宋体" w:cs="Times New Roman"/>
                <w:sz w:val="24"/>
                <w:szCs w:val="24"/>
              </w:rPr>
              <w:t>序号</w:t>
            </w:r>
          </w:p>
        </w:tc>
        <w:tc>
          <w:tcPr>
            <w:tcW w:w="8435" w:type="dxa"/>
            <w:tcBorders>
              <w:top w:val="single" w:color="auto" w:sz="4" w:space="0"/>
              <w:left w:val="single" w:color="auto" w:sz="4" w:space="0"/>
              <w:bottom w:val="single" w:color="auto" w:sz="4" w:space="0"/>
              <w:right w:val="single" w:color="auto" w:sz="4" w:space="0"/>
            </w:tcBorders>
          </w:tcPr>
          <w:p w14:paraId="25FC0AA6">
            <w:pPr>
              <w:autoSpaceDE w:val="0"/>
              <w:autoSpaceDN w:val="0"/>
              <w:adjustRightInd w:val="0"/>
              <w:snapToGrid w:val="0"/>
              <w:spacing w:line="36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内容</w:t>
            </w:r>
          </w:p>
        </w:tc>
      </w:tr>
      <w:tr w14:paraId="0D9C1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970" w:type="dxa"/>
            <w:tcBorders>
              <w:top w:val="single" w:color="auto" w:sz="4" w:space="0"/>
              <w:left w:val="single" w:color="auto" w:sz="4" w:space="0"/>
              <w:bottom w:val="single" w:color="auto" w:sz="4" w:space="0"/>
              <w:right w:val="single" w:color="auto" w:sz="4" w:space="0"/>
            </w:tcBorders>
            <w:vAlign w:val="center"/>
          </w:tcPr>
          <w:p w14:paraId="49AFBD14">
            <w:pPr>
              <w:autoSpaceDE w:val="0"/>
              <w:autoSpaceDN w:val="0"/>
              <w:adjustRightInd w:val="0"/>
              <w:snapToGrid w:val="0"/>
              <w:spacing w:line="360" w:lineRule="auto"/>
              <w:ind w:right="32"/>
              <w:jc w:val="center"/>
              <w:textAlignment w:val="baseline"/>
              <w:rPr>
                <w:rFonts w:ascii="宋体" w:hAnsi="宋体" w:eastAsia="宋体" w:cs="Times New Roman"/>
                <w:sz w:val="24"/>
                <w:szCs w:val="24"/>
              </w:rPr>
            </w:pPr>
            <w:r>
              <w:rPr>
                <w:rFonts w:hint="eastAsia" w:ascii="宋体" w:hAnsi="宋体" w:eastAsia="宋体" w:cs="Times New Roman"/>
                <w:sz w:val="24"/>
                <w:szCs w:val="24"/>
              </w:rPr>
              <w:t>1</w:t>
            </w:r>
          </w:p>
        </w:tc>
        <w:tc>
          <w:tcPr>
            <w:tcW w:w="8435" w:type="dxa"/>
            <w:tcBorders>
              <w:top w:val="single" w:color="auto" w:sz="4" w:space="0"/>
              <w:left w:val="single" w:color="auto" w:sz="4" w:space="0"/>
              <w:bottom w:val="single" w:color="auto" w:sz="4" w:space="0"/>
              <w:right w:val="single" w:color="auto" w:sz="4" w:space="0"/>
            </w:tcBorders>
            <w:vAlign w:val="center"/>
          </w:tcPr>
          <w:p w14:paraId="0B0A70E3">
            <w:pPr>
              <w:widowControl/>
              <w:spacing w:line="360" w:lineRule="auto"/>
              <w:ind w:right="82" w:rightChars="39"/>
              <w:rPr>
                <w:rFonts w:ascii="宋体" w:hAnsi="宋体" w:eastAsia="宋体" w:cs="楷体_GB2312"/>
                <w:kern w:val="0"/>
                <w:sz w:val="24"/>
                <w:szCs w:val="21"/>
              </w:rPr>
            </w:pPr>
            <w:r>
              <w:rPr>
                <w:rFonts w:hint="eastAsia" w:ascii="宋体" w:hAnsi="宋体" w:eastAsia="宋体" w:cs="楷体_GB2312"/>
                <w:kern w:val="0"/>
                <w:sz w:val="24"/>
                <w:szCs w:val="21"/>
              </w:rPr>
              <w:t>凡竞争性谈判文件中要求盖章或</w:t>
            </w:r>
            <w:r>
              <w:rPr>
                <w:rFonts w:hint="eastAsia" w:ascii="宋体" w:hAnsi="宋体" w:eastAsia="宋体" w:cs="楷体_GB2312"/>
                <w:sz w:val="24"/>
                <w:szCs w:val="21"/>
                <w:lang w:val="zh-CN"/>
              </w:rPr>
              <w:t>签字</w:t>
            </w:r>
            <w:r>
              <w:rPr>
                <w:rFonts w:hint="eastAsia" w:ascii="宋体" w:hAnsi="宋体" w:eastAsia="宋体" w:cs="楷体_GB2312"/>
                <w:kern w:val="0"/>
                <w:sz w:val="24"/>
                <w:szCs w:val="21"/>
              </w:rPr>
              <w:t>处，是否按要求加盖单位公章、法定代表人或被授权委托人签字或盖章的。</w:t>
            </w:r>
          </w:p>
        </w:tc>
      </w:tr>
      <w:tr w14:paraId="51FFC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970" w:type="dxa"/>
            <w:tcBorders>
              <w:top w:val="single" w:color="auto" w:sz="4" w:space="0"/>
              <w:left w:val="single" w:color="auto" w:sz="4" w:space="0"/>
              <w:bottom w:val="single" w:color="auto" w:sz="4" w:space="0"/>
              <w:right w:val="single" w:color="auto" w:sz="4" w:space="0"/>
            </w:tcBorders>
            <w:vAlign w:val="center"/>
          </w:tcPr>
          <w:p w14:paraId="52A8C738">
            <w:pPr>
              <w:autoSpaceDE w:val="0"/>
              <w:autoSpaceDN w:val="0"/>
              <w:adjustRightInd w:val="0"/>
              <w:snapToGrid w:val="0"/>
              <w:spacing w:line="360" w:lineRule="auto"/>
              <w:ind w:right="32"/>
              <w:jc w:val="center"/>
              <w:textAlignment w:val="baseline"/>
              <w:rPr>
                <w:rFonts w:ascii="宋体" w:hAnsi="宋体" w:eastAsia="宋体" w:cs="Times New Roman"/>
                <w:sz w:val="24"/>
                <w:szCs w:val="24"/>
              </w:rPr>
            </w:pPr>
            <w:r>
              <w:rPr>
                <w:rFonts w:hint="eastAsia" w:ascii="宋体" w:hAnsi="宋体" w:eastAsia="宋体" w:cs="Times New Roman"/>
                <w:sz w:val="24"/>
                <w:szCs w:val="24"/>
              </w:rPr>
              <w:t>2</w:t>
            </w:r>
          </w:p>
        </w:tc>
        <w:tc>
          <w:tcPr>
            <w:tcW w:w="8435" w:type="dxa"/>
            <w:tcBorders>
              <w:top w:val="single" w:color="auto" w:sz="4" w:space="0"/>
              <w:left w:val="single" w:color="auto" w:sz="4" w:space="0"/>
              <w:bottom w:val="single" w:color="auto" w:sz="4" w:space="0"/>
              <w:right w:val="single" w:color="auto" w:sz="4" w:space="0"/>
            </w:tcBorders>
            <w:vAlign w:val="center"/>
          </w:tcPr>
          <w:p w14:paraId="47A504C1">
            <w:pPr>
              <w:widowControl/>
              <w:spacing w:line="360" w:lineRule="auto"/>
              <w:rPr>
                <w:rFonts w:ascii="宋体" w:hAnsi="宋体" w:eastAsia="宋体" w:cs="楷体_GB2312"/>
                <w:kern w:val="0"/>
                <w:sz w:val="24"/>
                <w:szCs w:val="21"/>
              </w:rPr>
            </w:pPr>
            <w:r>
              <w:rPr>
                <w:rFonts w:hint="eastAsia" w:ascii="宋体" w:hAnsi="宋体" w:eastAsia="宋体" w:cs="楷体_GB2312"/>
                <w:kern w:val="0"/>
                <w:sz w:val="24"/>
                <w:szCs w:val="21"/>
              </w:rPr>
              <w:t>供应商按照竞争性谈判文件规定的金额、形式、时效和内容提供了投标担保。</w:t>
            </w:r>
          </w:p>
        </w:tc>
      </w:tr>
      <w:tr w14:paraId="16290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970" w:type="dxa"/>
            <w:tcBorders>
              <w:top w:val="single" w:color="auto" w:sz="4" w:space="0"/>
              <w:left w:val="single" w:color="auto" w:sz="4" w:space="0"/>
              <w:bottom w:val="single" w:color="auto" w:sz="4" w:space="0"/>
              <w:right w:val="single" w:color="auto" w:sz="4" w:space="0"/>
            </w:tcBorders>
            <w:vAlign w:val="center"/>
          </w:tcPr>
          <w:p w14:paraId="6AA2F287">
            <w:pPr>
              <w:autoSpaceDE w:val="0"/>
              <w:autoSpaceDN w:val="0"/>
              <w:adjustRightInd w:val="0"/>
              <w:snapToGrid w:val="0"/>
              <w:spacing w:line="360" w:lineRule="auto"/>
              <w:ind w:right="32"/>
              <w:jc w:val="center"/>
              <w:textAlignment w:val="baseline"/>
              <w:rPr>
                <w:rFonts w:ascii="宋体" w:hAnsi="宋体" w:eastAsia="宋体" w:cs="Times New Roman"/>
                <w:sz w:val="24"/>
                <w:szCs w:val="24"/>
              </w:rPr>
            </w:pPr>
            <w:r>
              <w:rPr>
                <w:rFonts w:hint="eastAsia" w:ascii="宋体" w:hAnsi="宋体" w:eastAsia="宋体" w:cs="Times New Roman"/>
                <w:sz w:val="24"/>
                <w:szCs w:val="24"/>
              </w:rPr>
              <w:t>3</w:t>
            </w:r>
          </w:p>
        </w:tc>
        <w:tc>
          <w:tcPr>
            <w:tcW w:w="8435" w:type="dxa"/>
            <w:tcBorders>
              <w:top w:val="single" w:color="auto" w:sz="4" w:space="0"/>
              <w:left w:val="single" w:color="auto" w:sz="4" w:space="0"/>
              <w:bottom w:val="single" w:color="auto" w:sz="4" w:space="0"/>
              <w:right w:val="single" w:color="auto" w:sz="4" w:space="0"/>
            </w:tcBorders>
            <w:vAlign w:val="center"/>
          </w:tcPr>
          <w:p w14:paraId="459881D6">
            <w:pPr>
              <w:widowControl/>
              <w:spacing w:line="360" w:lineRule="auto"/>
              <w:ind w:right="40" w:rightChars="19"/>
              <w:rPr>
                <w:rFonts w:ascii="宋体" w:hAnsi="宋体" w:eastAsia="宋体" w:cs="楷体_GB2312"/>
                <w:kern w:val="0"/>
                <w:sz w:val="24"/>
                <w:szCs w:val="21"/>
              </w:rPr>
            </w:pPr>
            <w:r>
              <w:rPr>
                <w:rFonts w:hint="eastAsia" w:ascii="宋体" w:hAnsi="宋体" w:eastAsia="宋体" w:cs="楷体_GB2312"/>
                <w:kern w:val="0"/>
                <w:sz w:val="24"/>
                <w:szCs w:val="21"/>
              </w:rPr>
              <w:t>一份响应文件应只有一个投标报价，在竞争性谈判文件没有规定的情况下，未提交选择性的报价。</w:t>
            </w:r>
          </w:p>
        </w:tc>
      </w:tr>
      <w:tr w14:paraId="4DA7F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970" w:type="dxa"/>
            <w:tcBorders>
              <w:top w:val="single" w:color="auto" w:sz="4" w:space="0"/>
              <w:left w:val="single" w:color="auto" w:sz="4" w:space="0"/>
              <w:bottom w:val="single" w:color="auto" w:sz="4" w:space="0"/>
              <w:right w:val="single" w:color="auto" w:sz="4" w:space="0"/>
            </w:tcBorders>
            <w:vAlign w:val="center"/>
          </w:tcPr>
          <w:p w14:paraId="2295183E">
            <w:pPr>
              <w:autoSpaceDE w:val="0"/>
              <w:autoSpaceDN w:val="0"/>
              <w:adjustRightInd w:val="0"/>
              <w:snapToGrid w:val="0"/>
              <w:spacing w:line="360" w:lineRule="auto"/>
              <w:ind w:right="32"/>
              <w:jc w:val="center"/>
              <w:textAlignment w:val="baseline"/>
              <w:rPr>
                <w:rFonts w:ascii="宋体" w:hAnsi="宋体" w:eastAsia="宋体" w:cs="Times New Roman"/>
                <w:sz w:val="24"/>
                <w:szCs w:val="24"/>
              </w:rPr>
            </w:pPr>
            <w:r>
              <w:rPr>
                <w:rFonts w:hint="eastAsia" w:ascii="宋体" w:hAnsi="宋体" w:eastAsia="宋体" w:cs="Times New Roman"/>
                <w:sz w:val="24"/>
                <w:szCs w:val="24"/>
              </w:rPr>
              <w:t>4</w:t>
            </w:r>
          </w:p>
        </w:tc>
        <w:tc>
          <w:tcPr>
            <w:tcW w:w="8435" w:type="dxa"/>
            <w:tcBorders>
              <w:top w:val="single" w:color="auto" w:sz="4" w:space="0"/>
              <w:left w:val="single" w:color="auto" w:sz="4" w:space="0"/>
              <w:bottom w:val="single" w:color="auto" w:sz="4" w:space="0"/>
              <w:right w:val="single" w:color="auto" w:sz="4" w:space="0"/>
            </w:tcBorders>
            <w:vAlign w:val="center"/>
          </w:tcPr>
          <w:p w14:paraId="316A65E7">
            <w:pPr>
              <w:widowControl/>
              <w:spacing w:line="360" w:lineRule="auto"/>
              <w:ind w:right="40" w:rightChars="19"/>
              <w:rPr>
                <w:rFonts w:ascii="宋体" w:hAnsi="宋体" w:eastAsia="宋体" w:cs="楷体_GB2312"/>
                <w:kern w:val="0"/>
                <w:sz w:val="24"/>
                <w:szCs w:val="21"/>
              </w:rPr>
            </w:pPr>
            <w:r>
              <w:rPr>
                <w:rFonts w:hint="eastAsia" w:ascii="宋体" w:hAnsi="宋体" w:eastAsia="宋体" w:cs="楷体_GB2312"/>
                <w:kern w:val="0"/>
                <w:sz w:val="24"/>
                <w:szCs w:val="21"/>
              </w:rPr>
              <w:t>供应商的投标报价未超出最高投标限价。</w:t>
            </w:r>
          </w:p>
        </w:tc>
      </w:tr>
      <w:tr w14:paraId="1CD6D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970" w:type="dxa"/>
            <w:tcBorders>
              <w:top w:val="single" w:color="auto" w:sz="4" w:space="0"/>
              <w:left w:val="single" w:color="auto" w:sz="4" w:space="0"/>
              <w:bottom w:val="single" w:color="auto" w:sz="4" w:space="0"/>
              <w:right w:val="single" w:color="auto" w:sz="4" w:space="0"/>
            </w:tcBorders>
            <w:vAlign w:val="center"/>
          </w:tcPr>
          <w:p w14:paraId="598D799C">
            <w:pPr>
              <w:autoSpaceDE w:val="0"/>
              <w:autoSpaceDN w:val="0"/>
              <w:adjustRightInd w:val="0"/>
              <w:snapToGrid w:val="0"/>
              <w:spacing w:line="360" w:lineRule="auto"/>
              <w:ind w:right="32"/>
              <w:jc w:val="center"/>
              <w:textAlignment w:val="baseline"/>
              <w:rPr>
                <w:rFonts w:hint="eastAsia" w:ascii="宋体" w:hAnsi="宋体" w:eastAsia="宋体" w:cs="Times New Roman"/>
                <w:sz w:val="24"/>
                <w:szCs w:val="24"/>
                <w:lang w:eastAsia="zh-CN"/>
              </w:rPr>
            </w:pPr>
            <w:r>
              <w:rPr>
                <w:rFonts w:hint="eastAsia" w:ascii="宋体" w:hAnsi="宋体" w:eastAsia="宋体" w:cs="Times New Roman"/>
                <w:sz w:val="24"/>
                <w:szCs w:val="24"/>
                <w:lang w:val="en-US" w:eastAsia="zh-CN"/>
              </w:rPr>
              <w:t>5</w:t>
            </w:r>
          </w:p>
        </w:tc>
        <w:tc>
          <w:tcPr>
            <w:tcW w:w="8435" w:type="dxa"/>
            <w:tcBorders>
              <w:top w:val="single" w:color="auto" w:sz="4" w:space="0"/>
              <w:left w:val="single" w:color="auto" w:sz="4" w:space="0"/>
              <w:bottom w:val="single" w:color="auto" w:sz="4" w:space="0"/>
              <w:right w:val="single" w:color="auto" w:sz="4" w:space="0"/>
            </w:tcBorders>
            <w:vAlign w:val="center"/>
          </w:tcPr>
          <w:p w14:paraId="31DF85F1">
            <w:pPr>
              <w:widowControl/>
              <w:spacing w:line="360" w:lineRule="auto"/>
              <w:ind w:right="40" w:rightChars="19"/>
              <w:rPr>
                <w:rFonts w:ascii="宋体" w:hAnsi="宋体" w:eastAsia="宋体" w:cs="楷体_GB2312"/>
                <w:kern w:val="0"/>
                <w:sz w:val="24"/>
                <w:szCs w:val="21"/>
              </w:rPr>
            </w:pPr>
            <w:r>
              <w:rPr>
                <w:rFonts w:hint="eastAsia" w:ascii="宋体" w:hAnsi="宋体" w:eastAsia="宋体" w:cs="楷体_GB2312"/>
                <w:kern w:val="0"/>
                <w:sz w:val="24"/>
                <w:szCs w:val="21"/>
              </w:rPr>
              <w:t>投标有效期为报价截止日后的</w:t>
            </w:r>
            <w:r>
              <w:rPr>
                <w:rFonts w:ascii="宋体" w:hAnsi="宋体" w:eastAsia="宋体" w:cs="楷体_GB2312"/>
                <w:kern w:val="0"/>
                <w:sz w:val="24"/>
                <w:szCs w:val="21"/>
              </w:rPr>
              <w:t>90天</w:t>
            </w:r>
          </w:p>
        </w:tc>
      </w:tr>
      <w:tr w14:paraId="6F323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970" w:type="dxa"/>
            <w:tcBorders>
              <w:top w:val="single" w:color="auto" w:sz="4" w:space="0"/>
              <w:left w:val="single" w:color="auto" w:sz="4" w:space="0"/>
              <w:bottom w:val="single" w:color="auto" w:sz="4" w:space="0"/>
              <w:right w:val="single" w:color="auto" w:sz="4" w:space="0"/>
            </w:tcBorders>
            <w:vAlign w:val="center"/>
          </w:tcPr>
          <w:p w14:paraId="1B8D091A">
            <w:pPr>
              <w:autoSpaceDE w:val="0"/>
              <w:autoSpaceDN w:val="0"/>
              <w:adjustRightInd w:val="0"/>
              <w:snapToGrid w:val="0"/>
              <w:spacing w:line="360" w:lineRule="auto"/>
              <w:ind w:right="32"/>
              <w:jc w:val="center"/>
              <w:textAlignment w:val="baseline"/>
              <w:rPr>
                <w:rFonts w:hint="eastAsia" w:ascii="宋体" w:hAnsi="宋体" w:eastAsia="宋体" w:cs="Times New Roman"/>
                <w:sz w:val="24"/>
                <w:szCs w:val="24"/>
                <w:lang w:eastAsia="zh-CN"/>
              </w:rPr>
            </w:pPr>
            <w:r>
              <w:rPr>
                <w:rFonts w:hint="eastAsia" w:ascii="宋体" w:hAnsi="宋体" w:eastAsia="宋体" w:cs="Times New Roman"/>
                <w:sz w:val="24"/>
                <w:szCs w:val="24"/>
                <w:lang w:val="en-US" w:eastAsia="zh-CN"/>
              </w:rPr>
              <w:t>6</w:t>
            </w:r>
          </w:p>
        </w:tc>
        <w:tc>
          <w:tcPr>
            <w:tcW w:w="8435" w:type="dxa"/>
            <w:tcBorders>
              <w:top w:val="single" w:color="auto" w:sz="4" w:space="0"/>
              <w:left w:val="single" w:color="auto" w:sz="4" w:space="0"/>
              <w:bottom w:val="single" w:color="auto" w:sz="4" w:space="0"/>
              <w:right w:val="single" w:color="auto" w:sz="4" w:space="0"/>
            </w:tcBorders>
            <w:vAlign w:val="center"/>
          </w:tcPr>
          <w:p w14:paraId="7133AD3D">
            <w:pPr>
              <w:widowControl/>
              <w:spacing w:line="360" w:lineRule="auto"/>
              <w:rPr>
                <w:rFonts w:ascii="宋体" w:hAnsi="宋体" w:eastAsia="宋体" w:cs="楷体_GB2312"/>
                <w:kern w:val="0"/>
                <w:sz w:val="24"/>
                <w:szCs w:val="21"/>
              </w:rPr>
            </w:pPr>
            <w:r>
              <w:rPr>
                <w:rFonts w:hint="eastAsia" w:ascii="宋体" w:hAnsi="宋体" w:eastAsia="宋体" w:cs="楷体_GB2312"/>
                <w:kern w:val="0"/>
                <w:sz w:val="24"/>
                <w:szCs w:val="21"/>
              </w:rPr>
              <w:t>响应文件未附有采购人不能接受的附加条件的。</w:t>
            </w:r>
          </w:p>
        </w:tc>
      </w:tr>
      <w:tr w14:paraId="355E2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970" w:type="dxa"/>
            <w:tcBorders>
              <w:top w:val="single" w:color="auto" w:sz="4" w:space="0"/>
              <w:left w:val="single" w:color="auto" w:sz="4" w:space="0"/>
              <w:bottom w:val="single" w:color="auto" w:sz="4" w:space="0"/>
              <w:right w:val="single" w:color="auto" w:sz="4" w:space="0"/>
            </w:tcBorders>
            <w:vAlign w:val="center"/>
          </w:tcPr>
          <w:p w14:paraId="77824F50">
            <w:pPr>
              <w:autoSpaceDE w:val="0"/>
              <w:autoSpaceDN w:val="0"/>
              <w:adjustRightInd w:val="0"/>
              <w:snapToGrid w:val="0"/>
              <w:spacing w:line="360" w:lineRule="auto"/>
              <w:ind w:right="32"/>
              <w:jc w:val="center"/>
              <w:textAlignment w:val="baseline"/>
              <w:rPr>
                <w:rFonts w:hint="eastAsia" w:ascii="宋体" w:hAnsi="宋体" w:eastAsia="宋体" w:cs="Times New Roman"/>
                <w:sz w:val="24"/>
                <w:szCs w:val="24"/>
                <w:lang w:eastAsia="zh-CN"/>
              </w:rPr>
            </w:pPr>
            <w:r>
              <w:rPr>
                <w:rFonts w:hint="eastAsia" w:ascii="宋体" w:hAnsi="宋体" w:eastAsia="宋体" w:cs="Times New Roman"/>
                <w:sz w:val="24"/>
                <w:szCs w:val="24"/>
                <w:lang w:val="en-US" w:eastAsia="zh-CN"/>
              </w:rPr>
              <w:t>7</w:t>
            </w:r>
          </w:p>
        </w:tc>
        <w:tc>
          <w:tcPr>
            <w:tcW w:w="8435" w:type="dxa"/>
            <w:tcBorders>
              <w:top w:val="single" w:color="auto" w:sz="4" w:space="0"/>
              <w:left w:val="single" w:color="auto" w:sz="4" w:space="0"/>
              <w:bottom w:val="single" w:color="auto" w:sz="4" w:space="0"/>
              <w:right w:val="single" w:color="auto" w:sz="4" w:space="0"/>
            </w:tcBorders>
            <w:vAlign w:val="center"/>
          </w:tcPr>
          <w:p w14:paraId="5AE724AD">
            <w:pPr>
              <w:widowControl/>
              <w:spacing w:line="360" w:lineRule="auto"/>
              <w:rPr>
                <w:rFonts w:ascii="宋体" w:hAnsi="宋体" w:eastAsia="宋体" w:cs="楷体_GB2312"/>
                <w:kern w:val="0"/>
                <w:sz w:val="24"/>
                <w:szCs w:val="21"/>
              </w:rPr>
            </w:pPr>
            <w:r>
              <w:rPr>
                <w:rFonts w:hint="eastAsia" w:ascii="宋体" w:hAnsi="宋体" w:eastAsia="宋体" w:cs="楷体_GB2312"/>
                <w:kern w:val="0"/>
                <w:sz w:val="24"/>
                <w:szCs w:val="21"/>
              </w:rPr>
              <w:t>无法律、法规和竞争性谈判文件规定的其他无效情形。</w:t>
            </w:r>
          </w:p>
        </w:tc>
      </w:tr>
    </w:tbl>
    <w:p w14:paraId="0B2A5BCA">
      <w:pPr>
        <w:spacing w:line="360" w:lineRule="auto"/>
        <w:ind w:firstLine="480" w:firstLineChars="200"/>
        <w:rPr>
          <w:rFonts w:ascii="宋体" w:hAnsi="宋体" w:eastAsia="宋体" w:cs="仿宋"/>
          <w:sz w:val="24"/>
          <w:szCs w:val="20"/>
        </w:rPr>
      </w:pPr>
      <w:r>
        <w:rPr>
          <w:rFonts w:hint="eastAsia" w:ascii="宋体" w:hAnsi="宋体" w:eastAsia="宋体" w:cs="仿宋"/>
          <w:sz w:val="24"/>
          <w:szCs w:val="20"/>
        </w:rPr>
        <w:t>24.7 对通过符合性审查的响应文件，谈判委员会将对其进行算术性修正。算术性修正是指对响应文件报价出现前后不一致的进行校核，并对其算术上和运算上的差错给予修正。修正的原则如下：</w:t>
      </w:r>
    </w:p>
    <w:p w14:paraId="4582EEE2">
      <w:pPr>
        <w:widowControl/>
        <w:spacing w:line="360" w:lineRule="auto"/>
        <w:ind w:firstLine="480" w:firstLineChars="200"/>
        <w:jc w:val="left"/>
        <w:rPr>
          <w:rFonts w:ascii="宋体" w:hAnsi="宋体" w:eastAsia="宋体" w:cs="仿宋"/>
          <w:kern w:val="0"/>
          <w:sz w:val="24"/>
          <w:szCs w:val="20"/>
        </w:rPr>
      </w:pPr>
      <w:r>
        <w:rPr>
          <w:rFonts w:hint="eastAsia" w:ascii="宋体" w:hAnsi="宋体" w:eastAsia="宋体" w:cs="仿宋"/>
          <w:kern w:val="0"/>
          <w:sz w:val="24"/>
          <w:szCs w:val="20"/>
        </w:rPr>
        <w:t>24.7.1 响应文件中报价一览表内容与响应文件中相应内容不一致的，以报价一览表为准；</w:t>
      </w:r>
    </w:p>
    <w:p w14:paraId="318DD5DB">
      <w:pPr>
        <w:widowControl/>
        <w:spacing w:line="360" w:lineRule="auto"/>
        <w:ind w:firstLine="480" w:firstLineChars="200"/>
        <w:jc w:val="left"/>
        <w:rPr>
          <w:rFonts w:ascii="宋体" w:hAnsi="宋体" w:eastAsia="宋体" w:cs="仿宋"/>
          <w:kern w:val="0"/>
          <w:sz w:val="24"/>
          <w:szCs w:val="20"/>
        </w:rPr>
      </w:pPr>
      <w:r>
        <w:rPr>
          <w:rFonts w:hint="eastAsia" w:ascii="宋体" w:hAnsi="宋体" w:eastAsia="宋体" w:cs="仿宋"/>
          <w:kern w:val="0"/>
          <w:sz w:val="24"/>
          <w:szCs w:val="20"/>
        </w:rPr>
        <w:t>24.7.2 响应文件的大写金额和小写金额不一致的，以大写金额为准；</w:t>
      </w:r>
    </w:p>
    <w:p w14:paraId="258AD93E">
      <w:pPr>
        <w:widowControl/>
        <w:spacing w:line="360" w:lineRule="auto"/>
        <w:ind w:firstLine="480" w:firstLineChars="200"/>
        <w:jc w:val="left"/>
        <w:rPr>
          <w:rFonts w:ascii="宋体" w:hAnsi="宋体" w:eastAsia="宋体" w:cs="仿宋"/>
          <w:kern w:val="0"/>
          <w:sz w:val="24"/>
          <w:szCs w:val="20"/>
        </w:rPr>
      </w:pPr>
      <w:r>
        <w:rPr>
          <w:rFonts w:hint="eastAsia" w:ascii="宋体" w:hAnsi="宋体" w:eastAsia="宋体" w:cs="仿宋"/>
          <w:kern w:val="0"/>
          <w:sz w:val="24"/>
          <w:szCs w:val="20"/>
        </w:rPr>
        <w:t>24.7.3 单价金额小数点或者百分比有明显错位的，以报价一览表的总价为准，并修改单价；</w:t>
      </w:r>
    </w:p>
    <w:p w14:paraId="66C7236B">
      <w:pPr>
        <w:widowControl/>
        <w:spacing w:line="360" w:lineRule="auto"/>
        <w:ind w:firstLine="480" w:firstLineChars="200"/>
        <w:jc w:val="left"/>
        <w:rPr>
          <w:rFonts w:ascii="宋体" w:hAnsi="宋体" w:eastAsia="宋体" w:cs="仿宋"/>
          <w:kern w:val="0"/>
          <w:sz w:val="24"/>
          <w:szCs w:val="20"/>
        </w:rPr>
      </w:pPr>
      <w:r>
        <w:rPr>
          <w:rFonts w:hint="eastAsia" w:ascii="宋体" w:hAnsi="宋体" w:eastAsia="宋体" w:cs="仿宋"/>
          <w:kern w:val="0"/>
          <w:sz w:val="24"/>
          <w:szCs w:val="20"/>
        </w:rPr>
        <w:t>24.7.4 总价金额与按单价汇总金额不一致的，以单价金额计算结果为准。</w:t>
      </w:r>
    </w:p>
    <w:p w14:paraId="78ADD51A">
      <w:pPr>
        <w:widowControl/>
        <w:spacing w:line="360" w:lineRule="auto"/>
        <w:ind w:firstLine="480" w:firstLineChars="200"/>
        <w:jc w:val="left"/>
        <w:rPr>
          <w:rFonts w:ascii="宋体" w:hAnsi="宋体" w:eastAsia="宋体" w:cs="仿宋"/>
          <w:kern w:val="0"/>
          <w:sz w:val="24"/>
          <w:szCs w:val="20"/>
        </w:rPr>
      </w:pPr>
      <w:r>
        <w:rPr>
          <w:rFonts w:hint="eastAsia" w:ascii="宋体" w:hAnsi="宋体" w:eastAsia="宋体" w:cs="仿宋"/>
          <w:kern w:val="0"/>
          <w:sz w:val="24"/>
          <w:szCs w:val="20"/>
        </w:rPr>
        <w:t>24.7.5 同时出现两种以上不一致的，按照上述规定的顺序修正。修正后的报价须供应商确认，如果供应商拒绝确认，其谈判无效。</w:t>
      </w:r>
    </w:p>
    <w:p w14:paraId="7CC987BC">
      <w:pPr>
        <w:widowControl/>
        <w:spacing w:line="360" w:lineRule="auto"/>
        <w:ind w:firstLine="480" w:firstLineChars="200"/>
        <w:jc w:val="left"/>
        <w:rPr>
          <w:rFonts w:ascii="宋体" w:hAnsi="宋体" w:eastAsia="宋体" w:cs="仿宋"/>
          <w:kern w:val="0"/>
          <w:sz w:val="24"/>
          <w:szCs w:val="20"/>
        </w:rPr>
      </w:pPr>
      <w:r>
        <w:rPr>
          <w:rFonts w:hint="eastAsia" w:ascii="宋体" w:hAnsi="宋体" w:eastAsia="宋体" w:cs="仿宋"/>
          <w:kern w:val="0"/>
          <w:sz w:val="24"/>
          <w:szCs w:val="20"/>
        </w:rPr>
        <w:t>24.7.6 对不同文字文本谈判文件的解释发生异议的，以中文文本为准。</w:t>
      </w:r>
    </w:p>
    <w:p w14:paraId="5BC18C76">
      <w:pPr>
        <w:widowControl/>
        <w:spacing w:line="360" w:lineRule="auto"/>
        <w:ind w:firstLine="480" w:firstLineChars="200"/>
        <w:jc w:val="left"/>
        <w:rPr>
          <w:rFonts w:ascii="宋体" w:hAnsi="宋体" w:eastAsia="宋体" w:cs="仿宋"/>
          <w:kern w:val="0"/>
          <w:sz w:val="24"/>
          <w:szCs w:val="20"/>
        </w:rPr>
      </w:pPr>
      <w:r>
        <w:rPr>
          <w:rFonts w:hint="eastAsia" w:ascii="宋体" w:hAnsi="宋体" w:eastAsia="宋体" w:cs="仿宋"/>
          <w:kern w:val="0"/>
          <w:sz w:val="24"/>
          <w:szCs w:val="20"/>
        </w:rPr>
        <w:t>24.7.7 谈判委员会将拒绝被定为实质上非响应性的谈判，供应商不能通过修正或撤销不符之处而使其谈判成为响应性谈判。</w:t>
      </w:r>
    </w:p>
    <w:p w14:paraId="4270E28D">
      <w:pPr>
        <w:widowControl/>
        <w:spacing w:line="360" w:lineRule="auto"/>
        <w:ind w:firstLine="480" w:firstLineChars="200"/>
        <w:jc w:val="left"/>
        <w:rPr>
          <w:rFonts w:ascii="宋体" w:hAnsi="宋体" w:eastAsia="宋体" w:cs="仿宋"/>
          <w:kern w:val="0"/>
          <w:sz w:val="24"/>
          <w:szCs w:val="20"/>
        </w:rPr>
      </w:pPr>
      <w:r>
        <w:rPr>
          <w:rFonts w:hint="eastAsia" w:ascii="宋体" w:hAnsi="宋体" w:eastAsia="宋体" w:cs="仿宋"/>
          <w:kern w:val="0"/>
          <w:sz w:val="24"/>
          <w:szCs w:val="20"/>
        </w:rPr>
        <w:t>24.7.8 谈判委员会将允许谈判中有微小的不正规、不一致或不规则，而该微小之处不构成重大偏离。</w:t>
      </w:r>
    </w:p>
    <w:p w14:paraId="7A530A25">
      <w:pPr>
        <w:adjustRightInd w:val="0"/>
        <w:snapToGrid w:val="0"/>
        <w:spacing w:line="360" w:lineRule="auto"/>
        <w:ind w:firstLine="480" w:firstLineChars="200"/>
        <w:rPr>
          <w:rFonts w:ascii="宋体" w:hAnsi="宋体" w:eastAsia="宋体" w:cs="仿宋"/>
          <w:sz w:val="24"/>
          <w:szCs w:val="28"/>
        </w:rPr>
      </w:pPr>
      <w:r>
        <w:rPr>
          <w:rFonts w:hint="eastAsia" w:ascii="宋体" w:hAnsi="宋体" w:eastAsia="宋体" w:cs="仿宋"/>
          <w:sz w:val="24"/>
          <w:szCs w:val="20"/>
        </w:rPr>
        <w:t>24.8.在价格评审中，</w:t>
      </w:r>
      <w:r>
        <w:rPr>
          <w:rFonts w:hint="eastAsia" w:ascii="宋体" w:hAnsi="宋体" w:eastAsia="宋体" w:cs="仿宋"/>
          <w:sz w:val="24"/>
          <w:szCs w:val="28"/>
        </w:rPr>
        <w:t>谈判委员会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委员会应当将其作为无效谈判处理。</w:t>
      </w:r>
    </w:p>
    <w:p w14:paraId="52803790">
      <w:pPr>
        <w:adjustRightInd w:val="0"/>
        <w:snapToGrid w:val="0"/>
        <w:spacing w:line="360" w:lineRule="auto"/>
        <w:ind w:firstLine="480" w:firstLineChars="200"/>
        <w:rPr>
          <w:rFonts w:ascii="宋体" w:hAnsi="宋体" w:eastAsia="宋体" w:cs="仿宋"/>
          <w:sz w:val="24"/>
          <w:szCs w:val="20"/>
        </w:rPr>
      </w:pPr>
      <w:r>
        <w:rPr>
          <w:rFonts w:hint="eastAsia" w:ascii="宋体" w:hAnsi="宋体" w:eastAsia="宋体" w:cs="仿宋"/>
          <w:sz w:val="24"/>
          <w:szCs w:val="20"/>
        </w:rPr>
        <w:t>本项目为专门面向</w:t>
      </w:r>
      <w:r>
        <w:rPr>
          <w:rFonts w:hint="eastAsia" w:ascii="宋体" w:hAnsi="宋体" w:eastAsia="宋体" w:cs="仿宋"/>
          <w:sz w:val="24"/>
          <w:szCs w:val="20"/>
          <w:lang w:val="en-US" w:eastAsia="zh-CN"/>
        </w:rPr>
        <w:t>中小</w:t>
      </w:r>
      <w:r>
        <w:rPr>
          <w:rFonts w:hint="eastAsia" w:ascii="宋体" w:hAnsi="宋体" w:eastAsia="宋体" w:cs="仿宋"/>
          <w:sz w:val="24"/>
          <w:szCs w:val="20"/>
        </w:rPr>
        <w:t>企业采购项目</w:t>
      </w:r>
      <w:r>
        <w:rPr>
          <w:rFonts w:ascii="宋体" w:hAnsi="宋体" w:eastAsia="宋体" w:cs="楷体_GB2312"/>
          <w:b/>
          <w:bCs/>
          <w:color w:val="000000"/>
          <w:sz w:val="24"/>
          <w:szCs w:val="21"/>
        </w:rPr>
        <w:t>，</w:t>
      </w:r>
      <w:r>
        <w:rPr>
          <w:rFonts w:hint="eastAsia" w:ascii="宋体" w:hAnsi="宋体" w:eastAsia="宋体" w:cs="仿宋"/>
          <w:sz w:val="24"/>
          <w:szCs w:val="20"/>
        </w:rPr>
        <w:t>故不再进行价格幅度扣除。</w:t>
      </w:r>
    </w:p>
    <w:p w14:paraId="1DDD9225">
      <w:pPr>
        <w:adjustRightInd w:val="0"/>
        <w:snapToGrid w:val="0"/>
        <w:spacing w:line="360" w:lineRule="auto"/>
        <w:ind w:firstLine="480" w:firstLineChars="200"/>
        <w:rPr>
          <w:rFonts w:ascii="宋体" w:hAnsi="宋体" w:eastAsia="宋体" w:cs="仿宋"/>
          <w:sz w:val="24"/>
          <w:szCs w:val="20"/>
        </w:rPr>
      </w:pPr>
      <w:r>
        <w:rPr>
          <w:rFonts w:hint="eastAsia" w:ascii="宋体" w:hAnsi="宋体" w:eastAsia="宋体" w:cs="仿宋"/>
          <w:sz w:val="24"/>
          <w:szCs w:val="20"/>
        </w:rPr>
        <w:t>根据中华人民共和国财政部、中华人民共和国民政部、中国残疾人联合会《关于促进残疾人就业政府采购政策的通知》（财库[2017]141号）文件的规定：残疾人福利性单位视同小型、微型企业。</w:t>
      </w:r>
    </w:p>
    <w:p w14:paraId="7792AE22">
      <w:pPr>
        <w:adjustRightInd w:val="0"/>
        <w:snapToGrid w:val="0"/>
        <w:spacing w:line="360" w:lineRule="auto"/>
        <w:ind w:firstLine="480" w:firstLineChars="200"/>
        <w:rPr>
          <w:rFonts w:ascii="宋体" w:hAnsi="宋体" w:eastAsia="宋体" w:cs="仿宋"/>
          <w:sz w:val="24"/>
          <w:szCs w:val="20"/>
        </w:rPr>
      </w:pPr>
      <w:r>
        <w:rPr>
          <w:rFonts w:hint="eastAsia" w:ascii="宋体" w:hAnsi="宋体" w:eastAsia="宋体" w:cs="仿宋"/>
          <w:sz w:val="24"/>
          <w:szCs w:val="20"/>
        </w:rPr>
        <w:t>供应商若为残疾人福利性单位，须在谈判文件中提供《残疾人福利性单位声明函》。供应商须对其声明的真实性负责，若与事实不符的，将依照《政府采购法》第七十七条第一款的规定追究法律责任。</w:t>
      </w:r>
    </w:p>
    <w:p w14:paraId="344E1884">
      <w:pPr>
        <w:adjustRightInd w:val="0"/>
        <w:snapToGrid w:val="0"/>
        <w:spacing w:line="360" w:lineRule="auto"/>
        <w:ind w:firstLine="480" w:firstLineChars="200"/>
        <w:rPr>
          <w:rFonts w:ascii="宋体" w:hAnsi="宋体" w:eastAsia="宋体" w:cs="仿宋"/>
          <w:sz w:val="24"/>
          <w:szCs w:val="20"/>
        </w:rPr>
      </w:pPr>
      <w:r>
        <w:rPr>
          <w:rFonts w:hint="eastAsia" w:ascii="宋体" w:hAnsi="宋体" w:eastAsia="宋体" w:cs="仿宋"/>
          <w:sz w:val="24"/>
          <w:szCs w:val="20"/>
        </w:rPr>
        <w:t>（二）价格扣除办法：</w:t>
      </w:r>
    </w:p>
    <w:p w14:paraId="103282CE">
      <w:pPr>
        <w:spacing w:line="360" w:lineRule="auto"/>
        <w:ind w:firstLine="480" w:firstLineChars="200"/>
        <w:rPr>
          <w:rFonts w:ascii="宋体" w:hAnsi="宋体" w:eastAsia="宋体" w:cs="仿宋"/>
          <w:sz w:val="24"/>
          <w:szCs w:val="20"/>
        </w:rPr>
      </w:pPr>
      <w:r>
        <w:rPr>
          <w:rFonts w:hint="eastAsia" w:ascii="宋体" w:hAnsi="宋体" w:eastAsia="宋体" w:cs="仿宋"/>
          <w:sz w:val="24"/>
          <w:szCs w:val="20"/>
        </w:rPr>
        <w:t>本项目为专门面向</w:t>
      </w:r>
      <w:r>
        <w:rPr>
          <w:rFonts w:hint="eastAsia" w:ascii="宋体" w:hAnsi="宋体" w:eastAsia="宋体" w:cs="仿宋"/>
          <w:sz w:val="24"/>
          <w:szCs w:val="20"/>
          <w:lang w:val="en-US" w:eastAsia="zh-CN"/>
        </w:rPr>
        <w:t>中小</w:t>
      </w:r>
      <w:r>
        <w:rPr>
          <w:rFonts w:hint="eastAsia" w:ascii="宋体" w:hAnsi="宋体" w:eastAsia="宋体" w:cs="仿宋"/>
          <w:sz w:val="24"/>
          <w:szCs w:val="20"/>
        </w:rPr>
        <w:t>企业采购项目，故不再进行价格幅度扣除。</w:t>
      </w:r>
    </w:p>
    <w:p w14:paraId="7E525E8D">
      <w:pPr>
        <w:spacing w:line="360" w:lineRule="auto"/>
        <w:ind w:firstLine="480" w:firstLineChars="200"/>
        <w:rPr>
          <w:rFonts w:ascii="宋体" w:hAnsi="宋体" w:eastAsia="宋体" w:cs="仿宋"/>
          <w:sz w:val="24"/>
          <w:szCs w:val="20"/>
        </w:rPr>
      </w:pPr>
      <w:r>
        <w:rPr>
          <w:rFonts w:hint="eastAsia" w:ascii="宋体" w:hAnsi="宋体" w:eastAsia="宋体" w:cs="仿宋"/>
          <w:sz w:val="24"/>
          <w:szCs w:val="20"/>
        </w:rPr>
        <w:t>根据中华人民共和国财政部、中华人民共和国民政部、中国残疾人联合会《关于促进残疾人就业政府采购政策的通知》（财库[2017]141号）文件的规定：残疾人福利性单位视同小型、微型企业。</w:t>
      </w:r>
    </w:p>
    <w:p w14:paraId="68D1BF9C">
      <w:pPr>
        <w:spacing w:line="360" w:lineRule="auto"/>
        <w:ind w:firstLine="480" w:firstLineChars="200"/>
        <w:rPr>
          <w:rFonts w:ascii="宋体" w:hAnsi="宋体" w:eastAsia="宋体" w:cs="仿宋"/>
          <w:sz w:val="24"/>
          <w:szCs w:val="20"/>
        </w:rPr>
      </w:pPr>
      <w:r>
        <w:rPr>
          <w:rFonts w:hint="eastAsia" w:ascii="宋体" w:hAnsi="宋体" w:eastAsia="宋体" w:cs="仿宋"/>
          <w:sz w:val="24"/>
          <w:szCs w:val="20"/>
        </w:rPr>
        <w:t>供应商若为残疾人福利性单位，须在谈判文件中提供《残疾人福利性单位声明函》。供应商须对其声明的真实性负责，若与事实不符的，将依照《政府采购法》第七十七条第一款的规定追究法律责任。</w:t>
      </w:r>
    </w:p>
    <w:p w14:paraId="4BB7034C">
      <w:pPr>
        <w:spacing w:line="360" w:lineRule="auto"/>
        <w:ind w:firstLine="480" w:firstLineChars="200"/>
        <w:rPr>
          <w:rFonts w:ascii="宋体" w:hAnsi="宋体" w:eastAsia="宋体" w:cs="仿宋"/>
          <w:sz w:val="24"/>
          <w:szCs w:val="20"/>
        </w:rPr>
      </w:pPr>
      <w:r>
        <w:rPr>
          <w:rFonts w:hint="eastAsia" w:ascii="宋体" w:hAnsi="宋体" w:eastAsia="宋体" w:cs="仿宋"/>
          <w:sz w:val="24"/>
          <w:szCs w:val="20"/>
        </w:rPr>
        <w:t>24.8.3  使用最低价法的采购项目，提供相同品牌核心产品且通过资格审查、符合性审查的不同供应商参加同一合同项下谈判的，按一家供应商计算，评审后价格最低的同品牌供应商获得成交供应商推荐资格，评审得分相同的，由谈判委员会按照报价最低的供应商，推荐其作为成交候选人，其他同品牌供应商不作为成交候选人。</w:t>
      </w:r>
    </w:p>
    <w:p w14:paraId="5CED074A">
      <w:pPr>
        <w:spacing w:line="360" w:lineRule="auto"/>
        <w:ind w:firstLine="480" w:firstLineChars="200"/>
        <w:rPr>
          <w:rFonts w:ascii="宋体" w:hAnsi="宋体" w:eastAsia="宋体" w:cs="仿宋"/>
          <w:sz w:val="28"/>
          <w:szCs w:val="20"/>
        </w:rPr>
      </w:pPr>
      <w:r>
        <w:rPr>
          <w:rFonts w:hint="eastAsia" w:ascii="宋体" w:hAnsi="宋体" w:eastAsia="宋体" w:cs="仿宋"/>
          <w:sz w:val="24"/>
          <w:szCs w:val="20"/>
        </w:rPr>
        <w:t>24.8.4  最低报价作为谈判的唯一依据。</w:t>
      </w:r>
    </w:p>
    <w:p w14:paraId="49A1B078">
      <w:pPr>
        <w:spacing w:line="360" w:lineRule="auto"/>
        <w:ind w:firstLine="480" w:firstLineChars="200"/>
        <w:rPr>
          <w:rFonts w:ascii="宋体" w:hAnsi="宋体" w:eastAsia="宋体" w:cs="仿宋"/>
          <w:sz w:val="24"/>
          <w:szCs w:val="20"/>
        </w:rPr>
      </w:pPr>
      <w:r>
        <w:rPr>
          <w:rFonts w:hint="eastAsia" w:ascii="宋体" w:hAnsi="宋体" w:eastAsia="宋体" w:cs="仿宋"/>
          <w:sz w:val="24"/>
          <w:szCs w:val="20"/>
        </w:rPr>
        <w:t>24.8.5  经谈判委员会评议，认为谈判报价过高、均超出采购人预算或最高限价的项目，可以不确立成交供应商，重新组织谈判。</w:t>
      </w:r>
    </w:p>
    <w:p w14:paraId="03A7EB63">
      <w:pPr>
        <w:spacing w:line="360" w:lineRule="auto"/>
        <w:ind w:firstLine="480" w:firstLineChars="200"/>
        <w:rPr>
          <w:rFonts w:ascii="宋体" w:hAnsi="宋体" w:eastAsia="宋体" w:cs="仿宋"/>
          <w:sz w:val="24"/>
          <w:szCs w:val="20"/>
        </w:rPr>
      </w:pPr>
      <w:r>
        <w:rPr>
          <w:rFonts w:hint="eastAsia" w:ascii="宋体" w:hAnsi="宋体" w:eastAsia="宋体" w:cs="仿宋"/>
          <w:sz w:val="24"/>
          <w:szCs w:val="20"/>
        </w:rPr>
        <w:t>25. 谈判文件的澄清</w:t>
      </w:r>
    </w:p>
    <w:p w14:paraId="774177A2">
      <w:pPr>
        <w:autoSpaceDE w:val="0"/>
        <w:autoSpaceDN w:val="0"/>
        <w:adjustRightInd w:val="0"/>
        <w:spacing w:line="360" w:lineRule="auto"/>
        <w:ind w:firstLine="480" w:firstLineChars="200"/>
        <w:rPr>
          <w:rFonts w:ascii="宋体" w:hAnsi="宋体" w:eastAsia="宋体" w:cs="仿宋"/>
          <w:sz w:val="24"/>
          <w:szCs w:val="20"/>
        </w:rPr>
      </w:pPr>
      <w:r>
        <w:rPr>
          <w:rFonts w:hint="eastAsia" w:ascii="宋体" w:hAnsi="宋体" w:eastAsia="宋体" w:cs="仿宋"/>
          <w:sz w:val="24"/>
          <w:szCs w:val="20"/>
        </w:rPr>
        <w:t>25.1 谈判委员会在谈判过程中有权随时请供应商就响应文件中含混之处加以澄清或答疑。</w:t>
      </w:r>
    </w:p>
    <w:p w14:paraId="3C788AB8">
      <w:pPr>
        <w:autoSpaceDE w:val="0"/>
        <w:autoSpaceDN w:val="0"/>
        <w:adjustRightInd w:val="0"/>
        <w:spacing w:line="360" w:lineRule="auto"/>
        <w:ind w:firstLine="480" w:firstLineChars="200"/>
        <w:rPr>
          <w:rFonts w:ascii="宋体" w:hAnsi="宋体" w:eastAsia="宋体" w:cs="仿宋"/>
          <w:sz w:val="24"/>
          <w:szCs w:val="20"/>
        </w:rPr>
      </w:pPr>
      <w:r>
        <w:rPr>
          <w:rFonts w:hint="eastAsia" w:ascii="宋体" w:hAnsi="宋体" w:eastAsia="宋体" w:cs="仿宋"/>
          <w:sz w:val="24"/>
          <w:szCs w:val="20"/>
        </w:rPr>
        <w:t>25.2  供应商对要求澄清的问题应以书面形式明确答复，并应有法人授权代表的签署。</w:t>
      </w:r>
    </w:p>
    <w:p w14:paraId="08BE5836">
      <w:pPr>
        <w:autoSpaceDE w:val="0"/>
        <w:autoSpaceDN w:val="0"/>
        <w:adjustRightInd w:val="0"/>
        <w:spacing w:line="360" w:lineRule="auto"/>
        <w:ind w:firstLine="480" w:firstLineChars="200"/>
        <w:rPr>
          <w:rFonts w:ascii="宋体" w:hAnsi="宋体" w:eastAsia="宋体" w:cs="仿宋"/>
          <w:sz w:val="24"/>
          <w:szCs w:val="20"/>
        </w:rPr>
      </w:pPr>
      <w:r>
        <w:rPr>
          <w:rFonts w:hint="eastAsia" w:ascii="宋体" w:hAnsi="宋体" w:eastAsia="宋体" w:cs="仿宋"/>
          <w:sz w:val="24"/>
          <w:szCs w:val="20"/>
        </w:rPr>
        <w:t>25.3  供应商的澄清文件是响应文件的组成部分，并取代响应文件中被澄清的部分。</w:t>
      </w:r>
    </w:p>
    <w:p w14:paraId="3B295CB2">
      <w:pPr>
        <w:autoSpaceDE w:val="0"/>
        <w:autoSpaceDN w:val="0"/>
        <w:adjustRightInd w:val="0"/>
        <w:spacing w:line="360" w:lineRule="auto"/>
        <w:ind w:firstLine="480" w:firstLineChars="200"/>
        <w:rPr>
          <w:rFonts w:ascii="宋体" w:hAnsi="宋体" w:eastAsia="宋体" w:cs="仿宋"/>
          <w:sz w:val="24"/>
          <w:szCs w:val="20"/>
        </w:rPr>
      </w:pPr>
      <w:r>
        <w:rPr>
          <w:rFonts w:hint="eastAsia" w:ascii="宋体" w:hAnsi="宋体" w:eastAsia="宋体" w:cs="仿宋"/>
          <w:sz w:val="24"/>
          <w:szCs w:val="20"/>
        </w:rPr>
        <w:t>25.4  响应文件的澄清不得改变谈判的实质内容。</w:t>
      </w:r>
    </w:p>
    <w:p w14:paraId="297CBAB5">
      <w:pPr>
        <w:autoSpaceDE w:val="0"/>
        <w:autoSpaceDN w:val="0"/>
        <w:adjustRightInd w:val="0"/>
        <w:spacing w:line="360" w:lineRule="auto"/>
        <w:ind w:firstLine="480" w:firstLineChars="200"/>
        <w:rPr>
          <w:rFonts w:ascii="宋体" w:hAnsi="宋体" w:eastAsia="宋体" w:cs="仿宋"/>
          <w:sz w:val="24"/>
          <w:szCs w:val="20"/>
        </w:rPr>
      </w:pPr>
      <w:r>
        <w:rPr>
          <w:rFonts w:hint="eastAsia" w:ascii="宋体" w:hAnsi="宋体" w:eastAsia="宋体" w:cs="仿宋"/>
          <w:sz w:val="24"/>
          <w:szCs w:val="20"/>
        </w:rPr>
        <w:t>26．成交供应商的确定</w:t>
      </w:r>
    </w:p>
    <w:p w14:paraId="0A5B07C7">
      <w:pPr>
        <w:autoSpaceDE w:val="0"/>
        <w:autoSpaceDN w:val="0"/>
        <w:adjustRightInd w:val="0"/>
        <w:spacing w:line="360" w:lineRule="auto"/>
        <w:ind w:firstLine="480" w:firstLineChars="200"/>
        <w:rPr>
          <w:rFonts w:ascii="宋体" w:hAnsi="宋体" w:eastAsia="宋体" w:cs="仿宋"/>
          <w:sz w:val="24"/>
          <w:szCs w:val="20"/>
          <w:highlight w:val="none"/>
        </w:rPr>
      </w:pPr>
      <w:r>
        <w:rPr>
          <w:rFonts w:hint="eastAsia" w:ascii="宋体" w:hAnsi="宋体" w:eastAsia="宋体" w:cs="仿宋"/>
          <w:sz w:val="24"/>
          <w:szCs w:val="20"/>
        </w:rPr>
        <w:t>26.1  谈判委员会按照谈判文</w:t>
      </w:r>
      <w:r>
        <w:rPr>
          <w:rFonts w:hint="eastAsia" w:ascii="宋体" w:hAnsi="宋体" w:eastAsia="宋体" w:cs="仿宋"/>
          <w:sz w:val="24"/>
          <w:szCs w:val="20"/>
          <w:highlight w:val="none"/>
        </w:rPr>
        <w:t>件的谈判办法负责向采购人推荐三家供应商为成交候选人。</w:t>
      </w:r>
    </w:p>
    <w:p w14:paraId="0B442ED0">
      <w:pPr>
        <w:autoSpaceDE w:val="0"/>
        <w:autoSpaceDN w:val="0"/>
        <w:adjustRightInd w:val="0"/>
        <w:spacing w:line="360" w:lineRule="auto"/>
        <w:ind w:firstLine="480" w:firstLineChars="200"/>
        <w:rPr>
          <w:rFonts w:ascii="宋体" w:hAnsi="宋体" w:eastAsia="宋体" w:cs="仿宋"/>
          <w:kern w:val="0"/>
          <w:sz w:val="24"/>
          <w:szCs w:val="20"/>
        </w:rPr>
      </w:pPr>
      <w:r>
        <w:rPr>
          <w:rFonts w:hint="eastAsia" w:ascii="宋体" w:hAnsi="宋体" w:eastAsia="宋体" w:cs="仿宋"/>
          <w:kern w:val="0"/>
          <w:sz w:val="24"/>
          <w:szCs w:val="20"/>
        </w:rPr>
        <w:t>26.2  成交供应商拒绝与采购人签订合同的，采购人可以按照评审报告推荐的成交供应商名单排序，确定下一候选人为成交供应商，也可以重新开展政府采购活动。</w:t>
      </w:r>
    </w:p>
    <w:p w14:paraId="038154B1">
      <w:pPr>
        <w:autoSpaceDE w:val="0"/>
        <w:autoSpaceDN w:val="0"/>
        <w:adjustRightInd w:val="0"/>
        <w:spacing w:line="360" w:lineRule="auto"/>
        <w:ind w:firstLine="480" w:firstLineChars="200"/>
        <w:rPr>
          <w:rFonts w:ascii="宋体" w:hAnsi="宋体" w:eastAsia="宋体" w:cs="仿宋"/>
          <w:sz w:val="24"/>
          <w:szCs w:val="20"/>
        </w:rPr>
      </w:pPr>
      <w:r>
        <w:rPr>
          <w:rFonts w:hint="eastAsia" w:ascii="宋体" w:hAnsi="宋体" w:eastAsia="宋体" w:cs="仿宋"/>
          <w:sz w:val="24"/>
          <w:szCs w:val="20"/>
        </w:rPr>
        <w:t>27. 成交通知</w:t>
      </w:r>
    </w:p>
    <w:p w14:paraId="11493C1C">
      <w:pPr>
        <w:autoSpaceDE w:val="0"/>
        <w:autoSpaceDN w:val="0"/>
        <w:adjustRightInd w:val="0"/>
        <w:spacing w:line="360" w:lineRule="auto"/>
        <w:ind w:firstLine="480" w:firstLineChars="200"/>
        <w:rPr>
          <w:rFonts w:ascii="宋体" w:hAnsi="宋体" w:eastAsia="宋体" w:cs="仿宋"/>
          <w:sz w:val="24"/>
          <w:szCs w:val="20"/>
        </w:rPr>
      </w:pPr>
      <w:r>
        <w:rPr>
          <w:rFonts w:hint="eastAsia" w:ascii="宋体" w:hAnsi="宋体" w:eastAsia="宋体" w:cs="仿宋"/>
          <w:sz w:val="24"/>
          <w:szCs w:val="20"/>
        </w:rPr>
        <w:t>27.1 采购代理机构将在成交结果公示发布的同时，以书面形式向成交供应商发出《成交通知书》。</w:t>
      </w:r>
    </w:p>
    <w:p w14:paraId="026C861C">
      <w:pPr>
        <w:autoSpaceDE w:val="0"/>
        <w:autoSpaceDN w:val="0"/>
        <w:adjustRightInd w:val="0"/>
        <w:spacing w:line="360" w:lineRule="auto"/>
        <w:ind w:firstLine="480" w:firstLineChars="200"/>
        <w:rPr>
          <w:rFonts w:ascii="宋体" w:hAnsi="宋体" w:eastAsia="宋体" w:cs="仿宋"/>
          <w:sz w:val="24"/>
          <w:szCs w:val="20"/>
        </w:rPr>
      </w:pPr>
      <w:r>
        <w:rPr>
          <w:rFonts w:hint="eastAsia" w:ascii="宋体" w:hAnsi="宋体" w:eastAsia="宋体" w:cs="仿宋"/>
          <w:sz w:val="24"/>
          <w:szCs w:val="20"/>
        </w:rPr>
        <w:t>28. 拒绝某些或所有谈判的权力。</w:t>
      </w:r>
    </w:p>
    <w:p w14:paraId="0FDF7DE6">
      <w:pPr>
        <w:autoSpaceDE w:val="0"/>
        <w:autoSpaceDN w:val="0"/>
        <w:adjustRightInd w:val="0"/>
        <w:spacing w:line="360" w:lineRule="auto"/>
        <w:ind w:firstLine="480" w:firstLineChars="200"/>
        <w:rPr>
          <w:rFonts w:ascii="宋体" w:hAnsi="宋体" w:eastAsia="宋体" w:cs="仿宋"/>
          <w:sz w:val="28"/>
          <w:szCs w:val="20"/>
        </w:rPr>
      </w:pPr>
      <w:r>
        <w:rPr>
          <w:rFonts w:hint="eastAsia" w:ascii="宋体" w:hAnsi="宋体" w:eastAsia="宋体" w:cs="仿宋"/>
          <w:sz w:val="24"/>
          <w:szCs w:val="20"/>
        </w:rPr>
        <w:t>28.1 采购人或采购代理机构有权在《成交通知书》发放之前的任何时候拒绝任何有不正当行为或扰乱正常谈判工作的供应商，由此对相关供应商造成的损失不负责任。</w:t>
      </w:r>
    </w:p>
    <w:p w14:paraId="23779D37">
      <w:pPr>
        <w:spacing w:before="120" w:after="120" w:line="360" w:lineRule="auto"/>
        <w:ind w:firstLine="562" w:firstLineChars="200"/>
        <w:jc w:val="center"/>
        <w:outlineLvl w:val="1"/>
        <w:rPr>
          <w:rFonts w:ascii="宋体" w:hAnsi="宋体" w:eastAsia="宋体" w:cs="仿宋"/>
          <w:b/>
          <w:kern w:val="0"/>
          <w:sz w:val="28"/>
          <w:szCs w:val="24"/>
        </w:rPr>
      </w:pPr>
      <w:bookmarkStart w:id="47" w:name="_Toc17101"/>
      <w:bookmarkStart w:id="48" w:name="_Toc195529419"/>
      <w:bookmarkStart w:id="49" w:name="_Toc56170387"/>
      <w:bookmarkStart w:id="50" w:name="_Toc29971"/>
      <w:r>
        <w:rPr>
          <w:rFonts w:hint="eastAsia" w:ascii="宋体" w:hAnsi="宋体" w:eastAsia="宋体" w:cs="仿宋"/>
          <w:b/>
          <w:kern w:val="0"/>
          <w:sz w:val="28"/>
          <w:szCs w:val="24"/>
        </w:rPr>
        <w:t>八、授予合同</w:t>
      </w:r>
      <w:bookmarkEnd w:id="47"/>
      <w:bookmarkEnd w:id="48"/>
      <w:bookmarkEnd w:id="49"/>
      <w:bookmarkEnd w:id="50"/>
    </w:p>
    <w:p w14:paraId="2B2B18AC">
      <w:pPr>
        <w:autoSpaceDE w:val="0"/>
        <w:autoSpaceDN w:val="0"/>
        <w:adjustRightInd w:val="0"/>
        <w:spacing w:line="360" w:lineRule="auto"/>
        <w:ind w:firstLine="480" w:firstLineChars="200"/>
        <w:rPr>
          <w:rFonts w:ascii="宋体" w:hAnsi="宋体" w:eastAsia="宋体" w:cs="仿宋"/>
          <w:kern w:val="0"/>
          <w:sz w:val="24"/>
          <w:szCs w:val="20"/>
        </w:rPr>
      </w:pPr>
      <w:r>
        <w:rPr>
          <w:rFonts w:hint="eastAsia" w:ascii="宋体" w:hAnsi="宋体" w:eastAsia="宋体" w:cs="仿宋"/>
          <w:kern w:val="0"/>
          <w:sz w:val="24"/>
          <w:szCs w:val="20"/>
        </w:rPr>
        <w:t>29. 签订合同</w:t>
      </w:r>
    </w:p>
    <w:p w14:paraId="6475B562">
      <w:pPr>
        <w:autoSpaceDE w:val="0"/>
        <w:autoSpaceDN w:val="0"/>
        <w:adjustRightInd w:val="0"/>
        <w:spacing w:line="360" w:lineRule="auto"/>
        <w:ind w:firstLine="480" w:firstLineChars="200"/>
        <w:rPr>
          <w:rFonts w:ascii="宋体" w:hAnsi="宋体" w:eastAsia="宋体" w:cs="仿宋"/>
          <w:kern w:val="0"/>
          <w:sz w:val="24"/>
          <w:szCs w:val="20"/>
        </w:rPr>
      </w:pPr>
      <w:r>
        <w:rPr>
          <w:rFonts w:hint="eastAsia" w:ascii="宋体" w:hAnsi="宋体" w:eastAsia="宋体" w:cs="仿宋"/>
          <w:kern w:val="0"/>
          <w:sz w:val="24"/>
          <w:szCs w:val="20"/>
        </w:rPr>
        <w:t>29.1 成交供应商收到《成交通知书》后，须按有关规定与谈判方签定经济合同。合同的签订一般在《成交通知书》发出后30天内进行，但采购人事先约定的情况除外。</w:t>
      </w:r>
    </w:p>
    <w:p w14:paraId="26A76F94">
      <w:pPr>
        <w:autoSpaceDE w:val="0"/>
        <w:autoSpaceDN w:val="0"/>
        <w:adjustRightInd w:val="0"/>
        <w:spacing w:line="360" w:lineRule="auto"/>
        <w:ind w:firstLine="480" w:firstLineChars="200"/>
        <w:rPr>
          <w:rFonts w:ascii="宋体" w:hAnsi="宋体" w:eastAsia="宋体" w:cs="仿宋"/>
          <w:kern w:val="0"/>
          <w:sz w:val="24"/>
          <w:szCs w:val="20"/>
        </w:rPr>
      </w:pPr>
      <w:r>
        <w:rPr>
          <w:rFonts w:hint="eastAsia" w:ascii="宋体" w:hAnsi="宋体" w:eastAsia="宋体" w:cs="仿宋"/>
          <w:kern w:val="0"/>
          <w:sz w:val="24"/>
          <w:szCs w:val="20"/>
        </w:rPr>
        <w:t>29.2 合同签订后，卖方应按合同的规定履行合同，未按规定履约的，采购人有权取消合同。</w:t>
      </w:r>
    </w:p>
    <w:p w14:paraId="37951185">
      <w:pPr>
        <w:autoSpaceDE w:val="0"/>
        <w:autoSpaceDN w:val="0"/>
        <w:adjustRightInd w:val="0"/>
        <w:spacing w:line="360" w:lineRule="auto"/>
        <w:ind w:firstLine="480" w:firstLineChars="200"/>
        <w:rPr>
          <w:rFonts w:ascii="宋体" w:hAnsi="宋体" w:eastAsia="宋体" w:cs="仿宋"/>
          <w:kern w:val="0"/>
          <w:sz w:val="24"/>
          <w:szCs w:val="20"/>
        </w:rPr>
      </w:pPr>
      <w:r>
        <w:rPr>
          <w:rFonts w:hint="eastAsia" w:ascii="宋体" w:hAnsi="宋体" w:eastAsia="宋体" w:cs="仿宋"/>
          <w:kern w:val="0"/>
          <w:sz w:val="24"/>
          <w:szCs w:val="20"/>
        </w:rPr>
        <w:t>29.3 成交合同不得转让或分包。如需对合同的非主体部分进行转让或分包，供应商必须在谈判文件中予以说明，并需经采购人同意。否则，采购人有权取消成交供应商的资格。</w:t>
      </w:r>
    </w:p>
    <w:p w14:paraId="7EEE949B">
      <w:pPr>
        <w:autoSpaceDE w:val="0"/>
        <w:autoSpaceDN w:val="0"/>
        <w:adjustRightInd w:val="0"/>
        <w:spacing w:line="360" w:lineRule="auto"/>
        <w:ind w:firstLine="480" w:firstLineChars="200"/>
        <w:rPr>
          <w:rFonts w:ascii="宋体" w:hAnsi="宋体" w:eastAsia="宋体" w:cs="仿宋"/>
          <w:kern w:val="0"/>
          <w:sz w:val="24"/>
          <w:szCs w:val="20"/>
        </w:rPr>
      </w:pPr>
      <w:r>
        <w:rPr>
          <w:rFonts w:hint="eastAsia" w:ascii="宋体" w:hAnsi="宋体" w:eastAsia="宋体" w:cs="仿宋"/>
          <w:kern w:val="0"/>
          <w:sz w:val="24"/>
          <w:szCs w:val="20"/>
        </w:rPr>
        <w:t>29.4 如成交供应商未按有关规定与采购人签订合同或提交合同履约保证金的，采购人可以选择其他成交候选人为成交供应商，并组织成交供应商和采购人签订经济合同。</w:t>
      </w:r>
    </w:p>
    <w:p w14:paraId="4E753C3B">
      <w:pPr>
        <w:autoSpaceDE w:val="0"/>
        <w:autoSpaceDN w:val="0"/>
        <w:adjustRightInd w:val="0"/>
        <w:spacing w:line="360" w:lineRule="auto"/>
        <w:ind w:firstLine="480" w:firstLineChars="200"/>
        <w:rPr>
          <w:rFonts w:ascii="宋体" w:hAnsi="宋体" w:eastAsia="宋体" w:cs="仿宋"/>
          <w:kern w:val="0"/>
          <w:sz w:val="24"/>
          <w:szCs w:val="20"/>
        </w:rPr>
      </w:pPr>
      <w:r>
        <w:rPr>
          <w:rFonts w:hint="eastAsia" w:ascii="宋体" w:hAnsi="宋体" w:eastAsia="宋体" w:cs="仿宋"/>
          <w:kern w:val="0"/>
          <w:sz w:val="24"/>
          <w:szCs w:val="20"/>
        </w:rPr>
        <w:t>29.5 合同履约保证金的形式为银行保函，另有约定的，按照约定条件执行。</w:t>
      </w:r>
    </w:p>
    <w:p w14:paraId="03430C11">
      <w:pPr>
        <w:autoSpaceDE w:val="0"/>
        <w:autoSpaceDN w:val="0"/>
        <w:adjustRightInd w:val="0"/>
        <w:spacing w:line="360" w:lineRule="auto"/>
        <w:ind w:firstLine="480" w:firstLineChars="200"/>
        <w:rPr>
          <w:rFonts w:ascii="宋体" w:hAnsi="宋体" w:eastAsia="宋体" w:cs="仿宋"/>
          <w:kern w:val="0"/>
          <w:sz w:val="24"/>
          <w:szCs w:val="20"/>
        </w:rPr>
      </w:pPr>
      <w:r>
        <w:rPr>
          <w:rFonts w:hint="eastAsia" w:ascii="宋体" w:hAnsi="宋体" w:eastAsia="宋体" w:cs="仿宋"/>
          <w:kern w:val="0"/>
          <w:sz w:val="24"/>
          <w:szCs w:val="20"/>
        </w:rPr>
        <w:t>30. 合同的组成</w:t>
      </w:r>
    </w:p>
    <w:p w14:paraId="7989E4A1">
      <w:pPr>
        <w:autoSpaceDE w:val="0"/>
        <w:autoSpaceDN w:val="0"/>
        <w:adjustRightInd w:val="0"/>
        <w:spacing w:line="360" w:lineRule="auto"/>
        <w:ind w:firstLine="480" w:firstLineChars="200"/>
        <w:rPr>
          <w:rFonts w:ascii="宋体" w:hAnsi="宋体" w:eastAsia="宋体" w:cs="仿宋"/>
          <w:kern w:val="0"/>
          <w:sz w:val="24"/>
          <w:szCs w:val="20"/>
        </w:rPr>
      </w:pPr>
      <w:r>
        <w:rPr>
          <w:rFonts w:hint="eastAsia" w:ascii="宋体" w:hAnsi="宋体" w:eastAsia="宋体" w:cs="仿宋"/>
          <w:kern w:val="0"/>
          <w:sz w:val="24"/>
          <w:szCs w:val="20"/>
        </w:rPr>
        <w:t>30.1 下列文件均为经济合同不可分割的组成部分：</w:t>
      </w:r>
    </w:p>
    <w:p w14:paraId="1E856951">
      <w:pPr>
        <w:autoSpaceDE w:val="0"/>
        <w:autoSpaceDN w:val="0"/>
        <w:adjustRightInd w:val="0"/>
        <w:spacing w:line="360" w:lineRule="auto"/>
        <w:ind w:firstLine="480" w:firstLineChars="200"/>
        <w:rPr>
          <w:rFonts w:ascii="宋体" w:hAnsi="宋体" w:eastAsia="宋体" w:cs="仿宋"/>
          <w:kern w:val="0"/>
          <w:sz w:val="24"/>
          <w:szCs w:val="20"/>
        </w:rPr>
      </w:pPr>
      <w:r>
        <w:rPr>
          <w:rFonts w:hint="eastAsia" w:ascii="宋体" w:hAnsi="宋体" w:eastAsia="宋体" w:cs="仿宋"/>
          <w:kern w:val="0"/>
          <w:sz w:val="24"/>
          <w:szCs w:val="20"/>
        </w:rPr>
        <w:t>30.1.1 谈判文件及其附件、补遗文件；</w:t>
      </w:r>
    </w:p>
    <w:p w14:paraId="13E496E1">
      <w:pPr>
        <w:autoSpaceDE w:val="0"/>
        <w:autoSpaceDN w:val="0"/>
        <w:adjustRightInd w:val="0"/>
        <w:spacing w:line="360" w:lineRule="auto"/>
        <w:ind w:firstLine="480" w:firstLineChars="200"/>
        <w:rPr>
          <w:rFonts w:ascii="宋体" w:hAnsi="宋体" w:eastAsia="宋体" w:cs="仿宋"/>
          <w:kern w:val="0"/>
          <w:sz w:val="24"/>
          <w:szCs w:val="20"/>
        </w:rPr>
      </w:pPr>
      <w:r>
        <w:rPr>
          <w:rFonts w:hint="eastAsia" w:ascii="宋体" w:hAnsi="宋体" w:eastAsia="宋体" w:cs="仿宋"/>
          <w:kern w:val="0"/>
          <w:sz w:val="24"/>
          <w:szCs w:val="20"/>
        </w:rPr>
        <w:t>30.1.2 成交供应商的响应文件及其他附件；</w:t>
      </w:r>
    </w:p>
    <w:p w14:paraId="48B5588E">
      <w:pPr>
        <w:autoSpaceDE w:val="0"/>
        <w:autoSpaceDN w:val="0"/>
        <w:adjustRightInd w:val="0"/>
        <w:spacing w:line="360" w:lineRule="auto"/>
        <w:ind w:firstLine="480" w:firstLineChars="200"/>
        <w:rPr>
          <w:rFonts w:ascii="宋体" w:hAnsi="宋体" w:eastAsia="宋体" w:cs="仿宋"/>
          <w:kern w:val="0"/>
          <w:sz w:val="24"/>
          <w:szCs w:val="20"/>
        </w:rPr>
      </w:pPr>
      <w:r>
        <w:rPr>
          <w:rFonts w:hint="eastAsia" w:ascii="宋体" w:hAnsi="宋体" w:eastAsia="宋体" w:cs="仿宋"/>
          <w:kern w:val="0"/>
          <w:sz w:val="24"/>
          <w:szCs w:val="20"/>
        </w:rPr>
        <w:t>30.1.3 经确认的答疑记录；</w:t>
      </w:r>
    </w:p>
    <w:p w14:paraId="0800401A">
      <w:pPr>
        <w:autoSpaceDE w:val="0"/>
        <w:autoSpaceDN w:val="0"/>
        <w:adjustRightInd w:val="0"/>
        <w:spacing w:line="360" w:lineRule="auto"/>
        <w:ind w:firstLine="480" w:firstLineChars="200"/>
        <w:rPr>
          <w:rFonts w:ascii="宋体" w:hAnsi="宋体" w:eastAsia="宋体" w:cs="仿宋"/>
          <w:kern w:val="0"/>
          <w:sz w:val="28"/>
          <w:szCs w:val="20"/>
        </w:rPr>
      </w:pPr>
      <w:r>
        <w:rPr>
          <w:rFonts w:hint="eastAsia" w:ascii="宋体" w:hAnsi="宋体" w:eastAsia="宋体" w:cs="仿宋"/>
          <w:kern w:val="0"/>
          <w:sz w:val="24"/>
          <w:szCs w:val="20"/>
        </w:rPr>
        <w:t>30.1.4 成交通知书。</w:t>
      </w:r>
    </w:p>
    <w:bookmarkEnd w:id="10"/>
    <w:p w14:paraId="68A97373">
      <w:pPr>
        <w:ind w:firstLine="720"/>
        <w:jc w:val="center"/>
        <w:outlineLvl w:val="0"/>
        <w:rPr>
          <w:rFonts w:ascii="宋体" w:hAnsi="宋体" w:eastAsia="宋体" w:cs="仿宋"/>
          <w:b/>
          <w:bCs/>
          <w:sz w:val="36"/>
          <w:szCs w:val="20"/>
        </w:rPr>
      </w:pPr>
      <w:r>
        <w:rPr>
          <w:rFonts w:hint="eastAsia" w:ascii="宋体" w:hAnsi="宋体" w:eastAsia="宋体" w:cs="仿宋"/>
          <w:sz w:val="36"/>
          <w:szCs w:val="20"/>
        </w:rPr>
        <w:br w:type="page"/>
      </w:r>
      <w:bookmarkStart w:id="51" w:name="_Toc20676"/>
      <w:bookmarkStart w:id="52" w:name="_Toc195529420"/>
      <w:r>
        <w:rPr>
          <w:rFonts w:hint="eastAsia" w:ascii="宋体" w:hAnsi="宋体" w:eastAsia="宋体" w:cs="仿宋"/>
          <w:b/>
          <w:bCs/>
          <w:sz w:val="36"/>
          <w:szCs w:val="20"/>
        </w:rPr>
        <w:t>第三章、采购需求</w:t>
      </w:r>
      <w:bookmarkEnd w:id="51"/>
      <w:bookmarkEnd w:id="52"/>
      <w:bookmarkStart w:id="53" w:name="_Toc55990502"/>
      <w:bookmarkStart w:id="54" w:name="_Toc56170391"/>
    </w:p>
    <w:p w14:paraId="23D00CB7">
      <w:pPr>
        <w:spacing w:before="56" w:line="289" w:lineRule="auto"/>
        <w:ind w:right="253"/>
        <w:jc w:val="center"/>
        <w:outlineLvl w:val="1"/>
        <w:rPr>
          <w:rFonts w:hint="eastAsia" w:ascii="宋体" w:hAnsi="宋体" w:eastAsia="宋体" w:cs="宋体"/>
          <w:b/>
          <w:bCs/>
          <w:spacing w:val="-5"/>
          <w:sz w:val="28"/>
          <w:szCs w:val="28"/>
          <w:lang w:eastAsia="zh-CN"/>
        </w:rPr>
      </w:pPr>
      <w:bookmarkStart w:id="55" w:name="_Toc19331"/>
      <w:bookmarkStart w:id="56" w:name="_Toc5875"/>
      <w:r>
        <w:rPr>
          <w:rFonts w:hint="eastAsia" w:ascii="宋体" w:hAnsi="宋体" w:eastAsia="宋体" w:cs="宋体"/>
          <w:b/>
          <w:bCs/>
          <w:spacing w:val="-5"/>
          <w:sz w:val="28"/>
          <w:szCs w:val="28"/>
          <w:lang w:val="en-US" w:eastAsia="zh-CN"/>
        </w:rPr>
        <w:t xml:space="preserve">一、采购需求 </w:t>
      </w:r>
    </w:p>
    <w:p w14:paraId="66C84ED5">
      <w:pPr>
        <w:autoSpaceDE w:val="0"/>
        <w:autoSpaceDN w:val="0"/>
        <w:adjustRightInd w:val="0"/>
        <w:spacing w:line="360" w:lineRule="auto"/>
        <w:ind w:firstLine="480" w:firstLineChars="200"/>
        <w:rPr>
          <w:rFonts w:ascii="宋体" w:hAnsi="宋体" w:eastAsia="宋体" w:cs="仿宋"/>
          <w:kern w:val="0"/>
          <w:sz w:val="24"/>
          <w:szCs w:val="20"/>
        </w:rPr>
      </w:pPr>
      <w:r>
        <w:rPr>
          <w:rFonts w:hint="default" w:ascii="宋体" w:hAnsi="宋体" w:eastAsia="宋体" w:cs="仿宋"/>
          <w:kern w:val="0"/>
          <w:sz w:val="24"/>
          <w:szCs w:val="20"/>
          <w:lang w:val="en-US" w:eastAsia="zh-CN"/>
        </w:rPr>
        <w:t>基于现有执法记录仪管理平台、调度平台，开展平台</w:t>
      </w:r>
      <w:r>
        <w:rPr>
          <w:rFonts w:ascii="宋体" w:hAnsi="宋体" w:eastAsia="宋体" w:cs="仿宋"/>
          <w:kern w:val="0"/>
          <w:sz w:val="24"/>
          <w:szCs w:val="20"/>
          <w:lang w:val="en-US" w:eastAsia="zh-CN"/>
        </w:rPr>
        <w:t>“</w:t>
      </w:r>
      <w:r>
        <w:rPr>
          <w:rFonts w:hint="default" w:ascii="宋体" w:hAnsi="宋体" w:eastAsia="宋体" w:cs="仿宋"/>
          <w:kern w:val="0"/>
          <w:sz w:val="24"/>
          <w:szCs w:val="20"/>
          <w:lang w:val="en-US" w:eastAsia="zh-CN"/>
        </w:rPr>
        <w:t xml:space="preserve">二合一”升级、前端采集站巡检、各功能模块配置，及时排查解决故障问题，沟通新增需求，开展平台更新、优化调度功能、数据备份迁移等工作，为全疆平台应用及执法记录仪采集站、执法记录仪运行提供技术支撑。 </w:t>
      </w:r>
    </w:p>
    <w:p w14:paraId="141DBF1E">
      <w:pPr>
        <w:spacing w:before="56" w:line="289" w:lineRule="auto"/>
        <w:ind w:right="253"/>
        <w:jc w:val="center"/>
        <w:outlineLvl w:val="1"/>
        <w:rPr>
          <w:rFonts w:hint="eastAsia" w:ascii="宋体" w:hAnsi="宋体" w:eastAsia="宋体" w:cs="宋体"/>
          <w:b/>
          <w:bCs/>
          <w:spacing w:val="-5"/>
          <w:sz w:val="28"/>
          <w:szCs w:val="28"/>
          <w:lang w:val="en-US" w:eastAsia="zh-CN"/>
        </w:rPr>
      </w:pPr>
      <w:r>
        <w:rPr>
          <w:rFonts w:hint="eastAsia" w:ascii="宋体" w:hAnsi="宋体" w:eastAsia="宋体" w:cs="宋体"/>
          <w:b/>
          <w:bCs/>
          <w:spacing w:val="-5"/>
          <w:sz w:val="28"/>
          <w:szCs w:val="28"/>
          <w:lang w:val="en-US" w:eastAsia="zh-CN"/>
        </w:rPr>
        <w:t>二、技术要求</w:t>
      </w:r>
    </w:p>
    <w:p w14:paraId="424999CB">
      <w:pPr>
        <w:autoSpaceDE w:val="0"/>
        <w:autoSpaceDN w:val="0"/>
        <w:adjustRightInd w:val="0"/>
        <w:spacing w:line="360" w:lineRule="auto"/>
        <w:ind w:firstLine="480" w:firstLineChars="200"/>
        <w:rPr>
          <w:rFonts w:hint="default" w:ascii="宋体" w:hAnsi="宋体" w:eastAsia="宋体" w:cs="仿宋"/>
          <w:kern w:val="0"/>
          <w:sz w:val="24"/>
          <w:szCs w:val="20"/>
          <w:lang w:val="en-US" w:eastAsia="zh-CN" w:bidi="ar-SA"/>
        </w:rPr>
      </w:pPr>
      <w:r>
        <w:rPr>
          <w:rFonts w:hint="eastAsia" w:ascii="宋体" w:hAnsi="宋体" w:eastAsia="宋体" w:cs="仿宋"/>
          <w:kern w:val="0"/>
          <w:sz w:val="24"/>
          <w:szCs w:val="20"/>
          <w:lang w:val="en-US" w:eastAsia="zh-CN"/>
        </w:rPr>
        <w:t>1</w:t>
      </w:r>
      <w:r>
        <w:rPr>
          <w:rFonts w:hint="default" w:ascii="宋体" w:hAnsi="宋体" w:eastAsia="宋体" w:cs="仿宋"/>
          <w:kern w:val="0"/>
          <w:sz w:val="24"/>
          <w:szCs w:val="20"/>
          <w:lang w:val="en-US" w:eastAsia="zh-CN"/>
        </w:rPr>
        <w:t xml:space="preserve">、行业标准及产品要求 </w:t>
      </w:r>
      <w:bookmarkStart w:id="57" w:name="_Toc28269"/>
    </w:p>
    <w:bookmarkEnd w:id="57"/>
    <w:p w14:paraId="162E4D12">
      <w:pPr>
        <w:autoSpaceDE w:val="0"/>
        <w:autoSpaceDN w:val="0"/>
        <w:adjustRightInd w:val="0"/>
        <w:spacing w:line="360" w:lineRule="auto"/>
        <w:ind w:firstLine="480" w:firstLineChars="200"/>
        <w:rPr>
          <w:rFonts w:ascii="宋体" w:hAnsi="宋体" w:eastAsia="宋体" w:cs="仿宋"/>
          <w:kern w:val="0"/>
          <w:sz w:val="24"/>
          <w:szCs w:val="20"/>
        </w:rPr>
      </w:pPr>
      <w:r>
        <w:rPr>
          <w:rFonts w:hint="eastAsia" w:ascii="宋体" w:hAnsi="宋体" w:eastAsia="宋体" w:cs="仿宋"/>
          <w:kern w:val="0"/>
          <w:sz w:val="24"/>
          <w:szCs w:val="20"/>
          <w:lang w:val="en-US" w:eastAsia="zh-CN"/>
        </w:rPr>
        <w:t>1.1</w:t>
      </w:r>
      <w:r>
        <w:rPr>
          <w:rFonts w:hint="default" w:ascii="宋体" w:hAnsi="宋体" w:eastAsia="宋体" w:cs="仿宋"/>
          <w:kern w:val="0"/>
          <w:sz w:val="24"/>
          <w:szCs w:val="20"/>
          <w:lang w:val="en-US" w:eastAsia="zh-CN"/>
        </w:rPr>
        <w:t xml:space="preserve">驻场运维。安排1名运维单位正式工作人员或者是与运维单位签订1年以上按劳动合同且具备网络中级工程师资质的运维技术工程师，周一至周五（5x8小时）驻场，系统出现问题及时排查解决问题，平均故障修复时间：＜1小时。 </w:t>
      </w:r>
    </w:p>
    <w:p w14:paraId="44A23911">
      <w:pPr>
        <w:autoSpaceDE w:val="0"/>
        <w:autoSpaceDN w:val="0"/>
        <w:adjustRightInd w:val="0"/>
        <w:spacing w:line="360" w:lineRule="auto"/>
        <w:ind w:firstLine="480" w:firstLineChars="200"/>
        <w:rPr>
          <w:rFonts w:ascii="宋体" w:hAnsi="宋体" w:eastAsia="宋体" w:cs="仿宋"/>
          <w:kern w:val="0"/>
          <w:sz w:val="24"/>
          <w:szCs w:val="20"/>
        </w:rPr>
      </w:pPr>
      <w:r>
        <w:rPr>
          <w:rFonts w:hint="eastAsia" w:ascii="宋体" w:hAnsi="宋体" w:eastAsia="宋体" w:cs="仿宋"/>
          <w:kern w:val="0"/>
          <w:sz w:val="24"/>
          <w:szCs w:val="20"/>
          <w:lang w:val="en-US" w:eastAsia="zh-CN"/>
        </w:rPr>
        <w:t>1.2</w:t>
      </w:r>
      <w:r>
        <w:rPr>
          <w:rFonts w:hint="default" w:ascii="宋体" w:hAnsi="宋体" w:eastAsia="宋体" w:cs="仿宋"/>
          <w:kern w:val="0"/>
          <w:sz w:val="24"/>
          <w:szCs w:val="20"/>
          <w:lang w:val="en-US" w:eastAsia="zh-CN"/>
        </w:rPr>
        <w:t xml:space="preserve">系统日常运维。服务人员要确保系统提供7x24小时连续运行、一年至少开展1次视频培训1次现场培训、制作业务流程、完善统计功能、对新增需求进行完善、对系统异常进行应对处理、现场指导用户操作、基层单位采集站日常维护。 </w:t>
      </w:r>
    </w:p>
    <w:p w14:paraId="4FCC8E59">
      <w:pPr>
        <w:autoSpaceDE w:val="0"/>
        <w:autoSpaceDN w:val="0"/>
        <w:adjustRightInd w:val="0"/>
        <w:spacing w:line="360" w:lineRule="auto"/>
        <w:ind w:firstLine="480" w:firstLineChars="200"/>
        <w:rPr>
          <w:rFonts w:ascii="宋体" w:hAnsi="宋体" w:eastAsia="宋体" w:cs="仿宋"/>
          <w:kern w:val="0"/>
          <w:sz w:val="24"/>
          <w:szCs w:val="20"/>
        </w:rPr>
      </w:pPr>
      <w:r>
        <w:rPr>
          <w:rFonts w:hint="eastAsia" w:ascii="宋体" w:hAnsi="宋体" w:eastAsia="宋体" w:cs="仿宋"/>
          <w:kern w:val="0"/>
          <w:sz w:val="24"/>
          <w:szCs w:val="20"/>
          <w:lang w:val="en-US" w:eastAsia="zh-CN"/>
        </w:rPr>
        <w:t>1.3</w:t>
      </w:r>
      <w:r>
        <w:rPr>
          <w:rFonts w:hint="default" w:ascii="宋体" w:hAnsi="宋体" w:eastAsia="宋体" w:cs="仿宋"/>
          <w:kern w:val="0"/>
          <w:sz w:val="24"/>
          <w:szCs w:val="20"/>
          <w:lang w:val="en-US" w:eastAsia="zh-CN"/>
        </w:rPr>
        <w:t xml:space="preserve">系统开发维护。负责执法记录仪管理平台、指挥调度平台的“二合一”升级、前端采集站巡检、各功能模块配置，沟通新增需求，开展平台更新、优化调度功能，为全疆平台应用提供技术支撑。 </w:t>
      </w:r>
    </w:p>
    <w:p w14:paraId="71602D44">
      <w:pPr>
        <w:autoSpaceDE w:val="0"/>
        <w:autoSpaceDN w:val="0"/>
        <w:adjustRightInd w:val="0"/>
        <w:spacing w:line="360" w:lineRule="auto"/>
        <w:ind w:firstLine="480" w:firstLineChars="200"/>
        <w:rPr>
          <w:rFonts w:ascii="宋体" w:hAnsi="宋体" w:eastAsia="宋体" w:cs="仿宋"/>
          <w:kern w:val="0"/>
          <w:sz w:val="24"/>
          <w:szCs w:val="20"/>
        </w:rPr>
      </w:pPr>
      <w:r>
        <w:rPr>
          <w:rFonts w:hint="eastAsia" w:ascii="宋体" w:hAnsi="宋体" w:eastAsia="宋体" w:cs="仿宋"/>
          <w:kern w:val="0"/>
          <w:sz w:val="24"/>
          <w:szCs w:val="20"/>
          <w:lang w:val="en-US" w:eastAsia="zh-CN"/>
        </w:rPr>
        <w:t>1.4</w:t>
      </w:r>
      <w:r>
        <w:rPr>
          <w:rFonts w:hint="default" w:ascii="宋体" w:hAnsi="宋体" w:eastAsia="宋体" w:cs="仿宋"/>
          <w:kern w:val="0"/>
          <w:sz w:val="24"/>
          <w:szCs w:val="20"/>
          <w:lang w:val="en-US" w:eastAsia="zh-CN"/>
        </w:rPr>
        <w:t xml:space="preserve">数据管理运维。数据备份管理、不能丢失数据、定期进行自动还原测试，确保业务数据的可用性、完整性、可靠性、如出现问题时需要完成恢复数据，数据备份迁移等。 </w:t>
      </w:r>
    </w:p>
    <w:p w14:paraId="051DA5AA">
      <w:pPr>
        <w:autoSpaceDE w:val="0"/>
        <w:autoSpaceDN w:val="0"/>
        <w:adjustRightInd w:val="0"/>
        <w:spacing w:line="360" w:lineRule="auto"/>
        <w:ind w:firstLine="480" w:firstLineChars="200"/>
        <w:rPr>
          <w:rFonts w:hint="default" w:ascii="宋体" w:hAnsi="宋体" w:eastAsia="宋体" w:cs="仿宋"/>
          <w:kern w:val="0"/>
          <w:sz w:val="24"/>
          <w:szCs w:val="20"/>
          <w:lang w:val="en-US" w:eastAsia="zh-CN"/>
        </w:rPr>
      </w:pPr>
      <w:r>
        <w:rPr>
          <w:rFonts w:hint="eastAsia" w:ascii="宋体" w:hAnsi="宋体" w:eastAsia="宋体" w:cs="仿宋"/>
          <w:kern w:val="0"/>
          <w:sz w:val="24"/>
          <w:szCs w:val="20"/>
          <w:lang w:val="en-US" w:eastAsia="zh-CN"/>
        </w:rPr>
        <w:t>1.5</w:t>
      </w:r>
      <w:r>
        <w:rPr>
          <w:rFonts w:hint="default" w:ascii="宋体" w:hAnsi="宋体" w:eastAsia="宋体" w:cs="仿宋"/>
          <w:kern w:val="0"/>
          <w:sz w:val="24"/>
          <w:szCs w:val="20"/>
          <w:lang w:val="en-US" w:eastAsia="zh-CN"/>
        </w:rPr>
        <w:t xml:space="preserve">其他服务。执法记录仪管理平台、指挥调度平台定期巡检，系统状态检查、系统日志检查、系统性能分析等。执法记录仪管理平台、指挥调度平台环境优化和调整，包括软件服务端调优、网络迁移部署，硬件支撑资源调整等。非驻场服务期间如节假日期间要保障系统的正常运行，驻场服务人员或其他技术人员保持24小时电话开机，提供远程技术支持。 </w:t>
      </w:r>
    </w:p>
    <w:p w14:paraId="1B4B90F4">
      <w:pPr>
        <w:pStyle w:val="2"/>
        <w:rPr>
          <w:rFonts w:hint="eastAsia" w:ascii="宋体" w:hAnsi="宋体" w:eastAsia="宋体" w:cs="仿宋"/>
          <w:kern w:val="0"/>
          <w:sz w:val="24"/>
          <w:szCs w:val="20"/>
          <w:lang w:val="en-US" w:eastAsia="zh-CN"/>
        </w:rPr>
      </w:pPr>
      <w:r>
        <w:rPr>
          <w:rFonts w:hint="eastAsia" w:ascii="宋体" w:hAnsi="宋体" w:cs="仿宋"/>
          <w:kern w:val="0"/>
          <w:sz w:val="24"/>
          <w:szCs w:val="20"/>
          <w:lang w:val="en-US" w:eastAsia="zh-CN"/>
        </w:rPr>
        <w:t>2.</w:t>
      </w:r>
      <w:r>
        <w:rPr>
          <w:rFonts w:hint="eastAsia" w:ascii="宋体" w:hAnsi="宋体" w:eastAsia="宋体" w:cs="仿宋"/>
          <w:kern w:val="0"/>
          <w:sz w:val="24"/>
          <w:szCs w:val="20"/>
          <w:lang w:val="en-US" w:eastAsia="zh-CN"/>
        </w:rPr>
        <w:t>维保目标</w:t>
      </w:r>
    </w:p>
    <w:p w14:paraId="4B5092B0">
      <w:pPr>
        <w:pStyle w:val="176"/>
        <w:keepNext w:val="0"/>
        <w:keepLines w:val="0"/>
        <w:pageBreakBefore w:val="0"/>
        <w:widowControl w:val="0"/>
        <w:numPr>
          <w:ilvl w:val="0"/>
          <w:numId w:val="0"/>
        </w:numPr>
        <w:kinsoku/>
        <w:overflowPunct/>
        <w:topLinePunct w:val="0"/>
        <w:autoSpaceDE/>
        <w:autoSpaceDN/>
        <w:bidi w:val="0"/>
        <w:adjustRightInd/>
        <w:spacing w:before="0" w:line="580" w:lineRule="exact"/>
        <w:ind w:leftChars="0" w:right="0" w:rightChars="0" w:firstLine="480" w:firstLineChars="200"/>
        <w:jc w:val="both"/>
        <w:textAlignment w:val="auto"/>
        <w:rPr>
          <w:rFonts w:hint="default" w:ascii="宋体" w:hAnsi="宋体" w:eastAsia="宋体" w:cs="仿宋"/>
          <w:kern w:val="0"/>
          <w:sz w:val="24"/>
          <w:szCs w:val="20"/>
          <w:lang w:val="en-US" w:eastAsia="zh-CN" w:bidi="ar-SA"/>
        </w:rPr>
      </w:pPr>
      <w:r>
        <w:rPr>
          <w:rFonts w:hint="default" w:ascii="宋体" w:hAnsi="宋体" w:eastAsia="宋体" w:cs="仿宋"/>
          <w:kern w:val="0"/>
          <w:sz w:val="24"/>
          <w:szCs w:val="20"/>
          <w:lang w:val="en-US" w:eastAsia="zh-CN" w:bidi="ar-SA"/>
        </w:rPr>
        <w:t>提供系统已有功能运行保障，包括系统已有功能的异常修复、服务器数据库升级（服务器本身问题由服务器厂家解决）等，保证系统已有功能全面正常的运行。</w:t>
      </w:r>
    </w:p>
    <w:p w14:paraId="46E07418">
      <w:pPr>
        <w:pStyle w:val="176"/>
        <w:keepNext w:val="0"/>
        <w:keepLines w:val="0"/>
        <w:pageBreakBefore w:val="0"/>
        <w:widowControl w:val="0"/>
        <w:numPr>
          <w:ilvl w:val="0"/>
          <w:numId w:val="0"/>
        </w:numPr>
        <w:kinsoku/>
        <w:overflowPunct/>
        <w:topLinePunct w:val="0"/>
        <w:autoSpaceDE/>
        <w:autoSpaceDN/>
        <w:bidi w:val="0"/>
        <w:adjustRightInd/>
        <w:spacing w:before="0" w:line="580" w:lineRule="exact"/>
        <w:ind w:leftChars="0" w:right="0" w:rightChars="0" w:firstLine="480" w:firstLineChars="200"/>
        <w:jc w:val="both"/>
        <w:textAlignment w:val="auto"/>
        <w:rPr>
          <w:rFonts w:hint="default" w:ascii="宋体" w:hAnsi="宋体" w:eastAsia="宋体" w:cs="仿宋"/>
          <w:kern w:val="0"/>
          <w:sz w:val="24"/>
          <w:szCs w:val="20"/>
          <w:lang w:val="en-US" w:eastAsia="zh-CN" w:bidi="ar-SA"/>
        </w:rPr>
      </w:pPr>
      <w:r>
        <w:rPr>
          <w:rFonts w:hint="eastAsia" w:ascii="宋体" w:hAnsi="宋体" w:eastAsia="宋体" w:cs="仿宋"/>
          <w:kern w:val="0"/>
          <w:sz w:val="24"/>
          <w:szCs w:val="20"/>
          <w:lang w:val="en-US" w:eastAsia="zh-CN" w:bidi="ar-SA"/>
        </w:rPr>
        <w:t>2.1</w:t>
      </w:r>
      <w:r>
        <w:rPr>
          <w:rFonts w:hint="default" w:ascii="宋体" w:hAnsi="宋体" w:eastAsia="宋体" w:cs="仿宋"/>
          <w:kern w:val="0"/>
          <w:sz w:val="24"/>
          <w:szCs w:val="20"/>
          <w:lang w:val="en-US" w:eastAsia="zh-CN" w:bidi="ar-SA"/>
        </w:rPr>
        <w:t>平台升级服务：一体化平台、统一管理、调度、指挥、音视频数据、数据管理和应用。</w:t>
      </w:r>
    </w:p>
    <w:p w14:paraId="03E426CA">
      <w:pPr>
        <w:pStyle w:val="176"/>
        <w:keepNext w:val="0"/>
        <w:keepLines w:val="0"/>
        <w:pageBreakBefore w:val="0"/>
        <w:widowControl w:val="0"/>
        <w:numPr>
          <w:ilvl w:val="0"/>
          <w:numId w:val="0"/>
        </w:numPr>
        <w:kinsoku/>
        <w:overflowPunct/>
        <w:topLinePunct w:val="0"/>
        <w:autoSpaceDE/>
        <w:autoSpaceDN/>
        <w:bidi w:val="0"/>
        <w:adjustRightInd/>
        <w:spacing w:before="0" w:line="580" w:lineRule="exact"/>
        <w:ind w:leftChars="0" w:right="0" w:rightChars="0" w:firstLine="480" w:firstLineChars="200"/>
        <w:jc w:val="both"/>
        <w:textAlignment w:val="auto"/>
        <w:rPr>
          <w:rFonts w:hint="default" w:ascii="宋体" w:hAnsi="宋体" w:eastAsia="宋体" w:cs="仿宋"/>
          <w:kern w:val="0"/>
          <w:sz w:val="24"/>
          <w:szCs w:val="20"/>
          <w:lang w:val="en-US" w:eastAsia="zh-CN" w:bidi="ar-SA"/>
        </w:rPr>
      </w:pPr>
      <w:r>
        <w:rPr>
          <w:rFonts w:hint="eastAsia" w:ascii="宋体" w:hAnsi="宋体" w:eastAsia="宋体" w:cs="仿宋"/>
          <w:kern w:val="0"/>
          <w:sz w:val="24"/>
          <w:szCs w:val="20"/>
          <w:lang w:val="en-US" w:eastAsia="zh-CN" w:bidi="ar-SA"/>
        </w:rPr>
        <w:t>2.2</w:t>
      </w:r>
      <w:r>
        <w:rPr>
          <w:rFonts w:hint="default" w:ascii="宋体" w:hAnsi="宋体" w:eastAsia="宋体" w:cs="仿宋"/>
          <w:kern w:val="0"/>
          <w:sz w:val="24"/>
          <w:szCs w:val="20"/>
          <w:lang w:val="en-US" w:eastAsia="zh-CN" w:bidi="ar-SA"/>
        </w:rPr>
        <w:t>单北斗升级服务：通过软件升级的方式屏蔽GPS信号让其单独使用北斗网络系统。</w:t>
      </w:r>
    </w:p>
    <w:p w14:paraId="78655641">
      <w:pPr>
        <w:pStyle w:val="176"/>
        <w:keepNext w:val="0"/>
        <w:keepLines w:val="0"/>
        <w:pageBreakBefore w:val="0"/>
        <w:widowControl w:val="0"/>
        <w:numPr>
          <w:ilvl w:val="0"/>
          <w:numId w:val="0"/>
        </w:numPr>
        <w:kinsoku/>
        <w:overflowPunct/>
        <w:topLinePunct w:val="0"/>
        <w:autoSpaceDE/>
        <w:autoSpaceDN/>
        <w:bidi w:val="0"/>
        <w:adjustRightInd/>
        <w:spacing w:before="0" w:line="580" w:lineRule="exact"/>
        <w:ind w:leftChars="0" w:right="0" w:rightChars="0" w:firstLine="480" w:firstLineChars="200"/>
        <w:jc w:val="both"/>
        <w:textAlignment w:val="auto"/>
        <w:rPr>
          <w:rFonts w:hint="default" w:ascii="宋体" w:hAnsi="宋体" w:eastAsia="宋体" w:cs="仿宋"/>
          <w:kern w:val="0"/>
          <w:sz w:val="24"/>
          <w:szCs w:val="20"/>
          <w:lang w:val="en-US" w:eastAsia="zh-CN" w:bidi="ar-SA"/>
        </w:rPr>
      </w:pPr>
      <w:r>
        <w:rPr>
          <w:rFonts w:hint="eastAsia" w:ascii="宋体" w:hAnsi="宋体" w:eastAsia="宋体" w:cs="仿宋"/>
          <w:kern w:val="0"/>
          <w:sz w:val="24"/>
          <w:szCs w:val="20"/>
          <w:lang w:val="en-US" w:eastAsia="zh-CN" w:bidi="ar-SA"/>
        </w:rPr>
        <w:t>2.3</w:t>
      </w:r>
      <w:r>
        <w:rPr>
          <w:rFonts w:hint="default" w:ascii="宋体" w:hAnsi="宋体" w:eastAsia="宋体" w:cs="仿宋"/>
          <w:kern w:val="0"/>
          <w:sz w:val="24"/>
          <w:szCs w:val="20"/>
          <w:lang w:val="en-US" w:eastAsia="zh-CN" w:bidi="ar-SA"/>
        </w:rPr>
        <w:t>漏洞修复服务：修复安全扫描中发现的系统和软件安全漏洞，安装补丁程序或升级相关组件。</w:t>
      </w:r>
    </w:p>
    <w:p w14:paraId="6C45AB65">
      <w:pPr>
        <w:pStyle w:val="176"/>
        <w:keepNext w:val="0"/>
        <w:keepLines w:val="0"/>
        <w:pageBreakBefore w:val="0"/>
        <w:widowControl w:val="0"/>
        <w:numPr>
          <w:ilvl w:val="0"/>
          <w:numId w:val="0"/>
        </w:numPr>
        <w:kinsoku/>
        <w:overflowPunct/>
        <w:topLinePunct w:val="0"/>
        <w:autoSpaceDE/>
        <w:autoSpaceDN/>
        <w:bidi w:val="0"/>
        <w:adjustRightInd/>
        <w:spacing w:before="0" w:line="580" w:lineRule="exact"/>
        <w:ind w:leftChars="0" w:right="0" w:rightChars="0" w:firstLine="480" w:firstLineChars="200"/>
        <w:jc w:val="both"/>
        <w:textAlignment w:val="auto"/>
        <w:rPr>
          <w:rFonts w:hint="default" w:ascii="宋体" w:hAnsi="宋体" w:eastAsia="宋体" w:cs="仿宋"/>
          <w:kern w:val="0"/>
          <w:sz w:val="24"/>
          <w:szCs w:val="20"/>
          <w:lang w:val="en-US" w:eastAsia="zh-CN" w:bidi="ar-SA"/>
        </w:rPr>
      </w:pPr>
      <w:r>
        <w:rPr>
          <w:rFonts w:hint="eastAsia" w:ascii="宋体" w:hAnsi="宋体" w:eastAsia="宋体" w:cs="仿宋"/>
          <w:kern w:val="0"/>
          <w:sz w:val="24"/>
          <w:szCs w:val="20"/>
          <w:lang w:val="en-US" w:eastAsia="zh-CN" w:bidi="ar-SA"/>
        </w:rPr>
        <w:t>2.4</w:t>
      </w:r>
      <w:r>
        <w:rPr>
          <w:rFonts w:hint="default" w:ascii="宋体" w:hAnsi="宋体" w:eastAsia="宋体" w:cs="仿宋"/>
          <w:kern w:val="0"/>
          <w:sz w:val="24"/>
          <w:szCs w:val="20"/>
          <w:lang w:val="en-US" w:eastAsia="zh-CN" w:bidi="ar-SA"/>
        </w:rPr>
        <w:t>病毒查杀服务：进行病毒查杀，抵御来自互联网的各种安全问题（客户自备正版杀毒软件）。</w:t>
      </w:r>
    </w:p>
    <w:p w14:paraId="1D267565">
      <w:pPr>
        <w:pStyle w:val="176"/>
        <w:keepNext w:val="0"/>
        <w:keepLines w:val="0"/>
        <w:pageBreakBefore w:val="0"/>
        <w:widowControl w:val="0"/>
        <w:numPr>
          <w:ilvl w:val="0"/>
          <w:numId w:val="0"/>
        </w:numPr>
        <w:kinsoku/>
        <w:overflowPunct/>
        <w:topLinePunct w:val="0"/>
        <w:autoSpaceDE/>
        <w:autoSpaceDN/>
        <w:bidi w:val="0"/>
        <w:adjustRightInd/>
        <w:spacing w:before="0" w:line="580" w:lineRule="exact"/>
        <w:ind w:leftChars="0" w:right="0" w:rightChars="0" w:firstLine="480" w:firstLineChars="200"/>
        <w:jc w:val="both"/>
        <w:textAlignment w:val="auto"/>
        <w:rPr>
          <w:rFonts w:hint="default" w:ascii="宋体" w:hAnsi="宋体" w:eastAsia="宋体" w:cs="仿宋"/>
          <w:kern w:val="0"/>
          <w:sz w:val="24"/>
          <w:szCs w:val="20"/>
          <w:lang w:val="en-US" w:eastAsia="zh-CN" w:bidi="ar-SA"/>
        </w:rPr>
      </w:pPr>
      <w:r>
        <w:rPr>
          <w:rFonts w:hint="eastAsia" w:ascii="宋体" w:hAnsi="宋体" w:eastAsia="宋体" w:cs="仿宋"/>
          <w:kern w:val="0"/>
          <w:sz w:val="24"/>
          <w:szCs w:val="20"/>
          <w:lang w:val="en-US" w:eastAsia="zh-CN" w:bidi="ar-SA"/>
        </w:rPr>
        <w:t>2.5</w:t>
      </w:r>
      <w:r>
        <w:rPr>
          <w:rFonts w:hint="default" w:ascii="宋体" w:hAnsi="宋体" w:eastAsia="宋体" w:cs="仿宋"/>
          <w:kern w:val="0"/>
          <w:sz w:val="24"/>
          <w:szCs w:val="20"/>
          <w:lang w:val="en-US" w:eastAsia="zh-CN" w:bidi="ar-SA"/>
        </w:rPr>
        <w:t>系统配置服务：设置应用系统环境以满足系统正常工作。</w:t>
      </w:r>
    </w:p>
    <w:p w14:paraId="192FF852">
      <w:pPr>
        <w:pStyle w:val="176"/>
        <w:keepNext w:val="0"/>
        <w:keepLines w:val="0"/>
        <w:pageBreakBefore w:val="0"/>
        <w:widowControl w:val="0"/>
        <w:numPr>
          <w:ilvl w:val="0"/>
          <w:numId w:val="0"/>
        </w:numPr>
        <w:kinsoku/>
        <w:overflowPunct/>
        <w:topLinePunct w:val="0"/>
        <w:autoSpaceDE/>
        <w:autoSpaceDN/>
        <w:bidi w:val="0"/>
        <w:adjustRightInd/>
        <w:spacing w:before="0" w:line="580" w:lineRule="exact"/>
        <w:ind w:leftChars="0" w:right="0" w:rightChars="0" w:firstLine="480" w:firstLineChars="200"/>
        <w:jc w:val="both"/>
        <w:textAlignment w:val="auto"/>
        <w:rPr>
          <w:rFonts w:hint="default" w:ascii="宋体" w:hAnsi="宋体" w:eastAsia="宋体" w:cs="仿宋"/>
          <w:kern w:val="0"/>
          <w:sz w:val="24"/>
          <w:szCs w:val="20"/>
          <w:lang w:val="en-US" w:eastAsia="zh-CN" w:bidi="ar-SA"/>
        </w:rPr>
      </w:pPr>
      <w:r>
        <w:rPr>
          <w:rFonts w:hint="eastAsia" w:ascii="宋体" w:hAnsi="宋体" w:eastAsia="宋体" w:cs="仿宋"/>
          <w:kern w:val="0"/>
          <w:sz w:val="24"/>
          <w:szCs w:val="20"/>
          <w:lang w:val="en-US" w:eastAsia="zh-CN" w:bidi="ar-SA"/>
        </w:rPr>
        <w:t>2.6</w:t>
      </w:r>
      <w:r>
        <w:rPr>
          <w:rFonts w:hint="default" w:ascii="宋体" w:hAnsi="宋体" w:eastAsia="宋体" w:cs="仿宋"/>
          <w:kern w:val="0"/>
          <w:sz w:val="24"/>
          <w:szCs w:val="20"/>
          <w:lang w:val="en-US" w:eastAsia="zh-CN" w:bidi="ar-SA"/>
        </w:rPr>
        <w:t>软件升级服务：将系统软件升级为最新版本（所有软件安装与升级服务，需用户提供安装介质或恢复介质）。</w:t>
      </w:r>
    </w:p>
    <w:p w14:paraId="6C85B267">
      <w:pPr>
        <w:pStyle w:val="176"/>
        <w:keepNext w:val="0"/>
        <w:keepLines w:val="0"/>
        <w:pageBreakBefore w:val="0"/>
        <w:widowControl w:val="0"/>
        <w:numPr>
          <w:ilvl w:val="0"/>
          <w:numId w:val="0"/>
        </w:numPr>
        <w:kinsoku/>
        <w:overflowPunct/>
        <w:topLinePunct w:val="0"/>
        <w:autoSpaceDE/>
        <w:autoSpaceDN/>
        <w:bidi w:val="0"/>
        <w:adjustRightInd/>
        <w:spacing w:before="0" w:line="580" w:lineRule="exact"/>
        <w:ind w:leftChars="0" w:right="0" w:rightChars="0" w:firstLine="480" w:firstLineChars="200"/>
        <w:jc w:val="both"/>
        <w:textAlignment w:val="auto"/>
        <w:rPr>
          <w:rFonts w:hint="default" w:ascii="宋体" w:hAnsi="宋体" w:eastAsia="宋体" w:cs="仿宋"/>
          <w:kern w:val="0"/>
          <w:sz w:val="24"/>
          <w:szCs w:val="20"/>
          <w:lang w:val="en-US" w:eastAsia="zh-CN" w:bidi="ar-SA"/>
        </w:rPr>
      </w:pPr>
      <w:r>
        <w:rPr>
          <w:rFonts w:hint="eastAsia" w:ascii="宋体" w:hAnsi="宋体" w:eastAsia="宋体" w:cs="仿宋"/>
          <w:kern w:val="0"/>
          <w:sz w:val="24"/>
          <w:szCs w:val="20"/>
          <w:lang w:val="en-US" w:eastAsia="zh-CN" w:bidi="ar-SA"/>
        </w:rPr>
        <w:t>2.7</w:t>
      </w:r>
      <w:r>
        <w:rPr>
          <w:rFonts w:hint="default" w:ascii="宋体" w:hAnsi="宋体" w:eastAsia="宋体" w:cs="仿宋"/>
          <w:kern w:val="0"/>
          <w:sz w:val="24"/>
          <w:szCs w:val="20"/>
          <w:lang w:val="en-US" w:eastAsia="zh-CN" w:bidi="ar-SA"/>
        </w:rPr>
        <w:t>网络配置服务：采集站与服务器链接服务，保证可正常链接（IP设置、名称设置、设备连接等）。</w:t>
      </w:r>
    </w:p>
    <w:p w14:paraId="4CCA11DF">
      <w:pPr>
        <w:pStyle w:val="176"/>
        <w:keepNext w:val="0"/>
        <w:keepLines w:val="0"/>
        <w:pageBreakBefore w:val="0"/>
        <w:widowControl w:val="0"/>
        <w:numPr>
          <w:ilvl w:val="0"/>
          <w:numId w:val="0"/>
        </w:numPr>
        <w:kinsoku/>
        <w:overflowPunct/>
        <w:topLinePunct w:val="0"/>
        <w:autoSpaceDE/>
        <w:autoSpaceDN/>
        <w:bidi w:val="0"/>
        <w:adjustRightInd/>
        <w:spacing w:before="0" w:line="580" w:lineRule="exact"/>
        <w:ind w:leftChars="0" w:right="0" w:rightChars="0" w:firstLine="480" w:firstLineChars="200"/>
        <w:jc w:val="both"/>
        <w:textAlignment w:val="auto"/>
        <w:rPr>
          <w:rFonts w:hint="default" w:ascii="宋体" w:hAnsi="宋体" w:eastAsia="宋体" w:cs="仿宋"/>
          <w:kern w:val="0"/>
          <w:sz w:val="24"/>
          <w:szCs w:val="20"/>
          <w:lang w:val="en-US" w:eastAsia="zh-CN" w:bidi="ar-SA"/>
        </w:rPr>
      </w:pPr>
      <w:r>
        <w:rPr>
          <w:rFonts w:hint="eastAsia" w:ascii="宋体" w:hAnsi="宋体" w:eastAsia="宋体" w:cs="仿宋"/>
          <w:kern w:val="0"/>
          <w:sz w:val="24"/>
          <w:szCs w:val="20"/>
          <w:lang w:val="en-US" w:eastAsia="zh-CN" w:bidi="ar-SA"/>
        </w:rPr>
        <w:t>2.8</w:t>
      </w:r>
      <w:r>
        <w:rPr>
          <w:rFonts w:hint="default" w:ascii="宋体" w:hAnsi="宋体" w:eastAsia="宋体" w:cs="仿宋"/>
          <w:kern w:val="0"/>
          <w:sz w:val="24"/>
          <w:szCs w:val="20"/>
          <w:lang w:val="en-US" w:eastAsia="zh-CN" w:bidi="ar-SA"/>
        </w:rPr>
        <w:t>网络连接故障处置：采集站网络链接故障排查与处理服务（需客户提供网络链接环境要求及配置信息）。</w:t>
      </w:r>
    </w:p>
    <w:p w14:paraId="2FC84B90">
      <w:pPr>
        <w:pStyle w:val="176"/>
        <w:keepNext w:val="0"/>
        <w:keepLines w:val="0"/>
        <w:pageBreakBefore w:val="0"/>
        <w:widowControl w:val="0"/>
        <w:numPr>
          <w:ilvl w:val="0"/>
          <w:numId w:val="0"/>
        </w:numPr>
        <w:kinsoku/>
        <w:overflowPunct/>
        <w:topLinePunct w:val="0"/>
        <w:autoSpaceDE/>
        <w:autoSpaceDN/>
        <w:bidi w:val="0"/>
        <w:adjustRightInd/>
        <w:spacing w:before="0" w:line="580" w:lineRule="exact"/>
        <w:ind w:leftChars="0" w:right="0" w:rightChars="0" w:firstLine="480" w:firstLineChars="200"/>
        <w:jc w:val="both"/>
        <w:textAlignment w:val="auto"/>
        <w:rPr>
          <w:rFonts w:hint="default" w:ascii="宋体" w:hAnsi="宋体" w:eastAsia="宋体" w:cs="仿宋"/>
          <w:kern w:val="0"/>
          <w:sz w:val="24"/>
          <w:szCs w:val="20"/>
          <w:lang w:val="en-US" w:eastAsia="zh-CN" w:bidi="ar-SA"/>
        </w:rPr>
      </w:pPr>
      <w:r>
        <w:rPr>
          <w:rFonts w:hint="eastAsia" w:ascii="宋体" w:hAnsi="宋体" w:eastAsia="宋体" w:cs="仿宋"/>
          <w:kern w:val="0"/>
          <w:sz w:val="24"/>
          <w:szCs w:val="20"/>
          <w:lang w:val="en-US" w:eastAsia="zh-CN" w:bidi="ar-SA"/>
        </w:rPr>
        <w:t>2.9</w:t>
      </w:r>
      <w:r>
        <w:rPr>
          <w:rFonts w:hint="default" w:ascii="宋体" w:hAnsi="宋体" w:eastAsia="宋体" w:cs="仿宋"/>
          <w:kern w:val="0"/>
          <w:sz w:val="24"/>
          <w:szCs w:val="20"/>
          <w:lang w:val="en-US" w:eastAsia="zh-CN" w:bidi="ar-SA"/>
        </w:rPr>
        <w:t>系统巡检服务：定期对系统进行检查，对系统运行状态时刻掌握，降低设备故障风险，年内派员实地前往各基层单位开展执法记录仪采集站巡检1次。</w:t>
      </w:r>
    </w:p>
    <w:p w14:paraId="790DD36B">
      <w:pPr>
        <w:pStyle w:val="176"/>
        <w:keepNext w:val="0"/>
        <w:keepLines w:val="0"/>
        <w:pageBreakBefore w:val="0"/>
        <w:widowControl w:val="0"/>
        <w:numPr>
          <w:ilvl w:val="0"/>
          <w:numId w:val="0"/>
        </w:numPr>
        <w:kinsoku/>
        <w:overflowPunct/>
        <w:topLinePunct w:val="0"/>
        <w:autoSpaceDE/>
        <w:autoSpaceDN/>
        <w:bidi w:val="0"/>
        <w:adjustRightInd/>
        <w:spacing w:before="0" w:line="580" w:lineRule="exact"/>
        <w:ind w:leftChars="0" w:right="0" w:rightChars="0" w:firstLine="480" w:firstLineChars="200"/>
        <w:jc w:val="both"/>
        <w:textAlignment w:val="auto"/>
        <w:rPr>
          <w:rFonts w:hint="default" w:ascii="宋体" w:hAnsi="宋体" w:eastAsia="宋体" w:cs="仿宋"/>
          <w:kern w:val="0"/>
          <w:sz w:val="24"/>
          <w:szCs w:val="20"/>
          <w:lang w:val="en-US" w:eastAsia="zh-CN" w:bidi="ar-SA"/>
        </w:rPr>
      </w:pPr>
      <w:r>
        <w:rPr>
          <w:rFonts w:hint="eastAsia" w:ascii="宋体" w:hAnsi="宋体" w:eastAsia="宋体" w:cs="仿宋"/>
          <w:kern w:val="0"/>
          <w:sz w:val="24"/>
          <w:szCs w:val="20"/>
          <w:lang w:val="en-US" w:eastAsia="zh-CN" w:bidi="ar-SA"/>
        </w:rPr>
        <w:t>2.10</w:t>
      </w:r>
      <w:r>
        <w:rPr>
          <w:rFonts w:hint="default" w:ascii="宋体" w:hAnsi="宋体" w:eastAsia="宋体" w:cs="仿宋"/>
          <w:kern w:val="0"/>
          <w:sz w:val="24"/>
          <w:szCs w:val="20"/>
          <w:lang w:val="en-US" w:eastAsia="zh-CN" w:bidi="ar-SA"/>
        </w:rPr>
        <w:t>系统保养服务：定期对系统进行保养维护，清理系统垃圾，优化系统运行速度。</w:t>
      </w:r>
    </w:p>
    <w:p w14:paraId="46E901ED">
      <w:pPr>
        <w:pStyle w:val="2"/>
        <w:rPr>
          <w:rFonts w:hint="default" w:ascii="宋体" w:hAnsi="宋体" w:eastAsia="宋体" w:cs="仿宋"/>
          <w:kern w:val="0"/>
          <w:sz w:val="24"/>
          <w:szCs w:val="20"/>
          <w:lang w:val="en-US" w:eastAsia="zh-CN"/>
        </w:rPr>
      </w:pPr>
      <w:bookmarkStart w:id="58" w:name="_Toc1140192813_WPSOffice_Level1"/>
      <w:r>
        <w:rPr>
          <w:rFonts w:hint="eastAsia" w:ascii="宋体" w:hAnsi="宋体" w:eastAsia="宋体" w:cs="仿宋"/>
          <w:kern w:val="0"/>
          <w:sz w:val="24"/>
          <w:szCs w:val="20"/>
          <w:lang w:val="en-US" w:eastAsia="zh-CN"/>
        </w:rPr>
        <w:t>3.</w:t>
      </w:r>
      <w:r>
        <w:rPr>
          <w:rFonts w:hint="default" w:ascii="宋体" w:hAnsi="宋体" w:eastAsia="宋体" w:cs="仿宋"/>
          <w:kern w:val="0"/>
          <w:sz w:val="24"/>
          <w:szCs w:val="20"/>
          <w:lang w:val="en-US" w:eastAsia="zh-CN"/>
        </w:rPr>
        <w:t>维保方式</w:t>
      </w:r>
      <w:bookmarkEnd w:id="58"/>
    </w:p>
    <w:p w14:paraId="1A4BF58A">
      <w:pPr>
        <w:pStyle w:val="2"/>
        <w:rPr>
          <w:rFonts w:hint="default" w:ascii="宋体" w:hAnsi="宋体" w:eastAsia="宋体" w:cs="仿宋"/>
          <w:kern w:val="0"/>
          <w:sz w:val="24"/>
          <w:szCs w:val="20"/>
          <w:lang w:val="en-US" w:eastAsia="zh-CN"/>
        </w:rPr>
      </w:pPr>
      <w:r>
        <w:rPr>
          <w:rFonts w:hint="default" w:ascii="宋体" w:hAnsi="宋体" w:eastAsia="宋体" w:cs="仿宋"/>
          <w:kern w:val="0"/>
          <w:sz w:val="24"/>
          <w:szCs w:val="20"/>
          <w:lang w:val="en-US" w:eastAsia="zh-CN"/>
        </w:rPr>
        <w:t>新疆出入境边防检查总站执法记录仪数据管理平台、指挥调度平台在日常工作中非常重要，要求各类系统7*24小时无故障运行，且对在系统使用过程中的突发性故障、各种临时事件要求立即恢复正常运行；基于以上，为了体现运维服务的重要性和专业性，应采用以下三种方式：</w:t>
      </w:r>
    </w:p>
    <w:p w14:paraId="43BD9BB5">
      <w:pPr>
        <w:pStyle w:val="2"/>
        <w:rPr>
          <w:rFonts w:hint="default" w:ascii="宋体" w:hAnsi="宋体" w:eastAsia="宋体" w:cs="仿宋"/>
          <w:kern w:val="0"/>
          <w:sz w:val="24"/>
          <w:szCs w:val="20"/>
          <w:lang w:val="en-US" w:eastAsia="zh-CN"/>
        </w:rPr>
      </w:pPr>
      <w:r>
        <w:rPr>
          <w:rFonts w:hint="eastAsia" w:ascii="宋体" w:hAnsi="宋体" w:eastAsia="宋体" w:cs="仿宋"/>
          <w:kern w:val="0"/>
          <w:sz w:val="24"/>
          <w:szCs w:val="20"/>
          <w:lang w:val="en-US" w:eastAsia="zh-CN"/>
        </w:rPr>
        <w:t>3.1</w:t>
      </w:r>
      <w:r>
        <w:rPr>
          <w:rFonts w:hint="default" w:ascii="宋体" w:hAnsi="宋体" w:eastAsia="宋体" w:cs="仿宋"/>
          <w:kern w:val="0"/>
          <w:sz w:val="24"/>
          <w:szCs w:val="20"/>
          <w:lang w:val="en-US" w:eastAsia="zh-CN"/>
        </w:rPr>
        <w:t>现场技术服务：安排1名技术工程师驻场，以甲方的身份入驻用户场地，处理日常事务，每周5*8工作方式，为执法仪数据管理和调度平台提供7*24小时稳定运行给予支撑。负责日常服务器维护、操作系统、系统漏洞检测和修补，处理系统运行中出现的故障和问题。对于出现的各种问题迅速定位并解决，在日常工作中不断优化系统架构和部署的合理性，以提升系统的稳定性。年内派员前往各基层单位开展执法记录仪采集站巡检1次</w:t>
      </w:r>
    </w:p>
    <w:p w14:paraId="57824844">
      <w:pPr>
        <w:pStyle w:val="2"/>
        <w:rPr>
          <w:rFonts w:hint="default" w:ascii="宋体" w:hAnsi="宋体" w:eastAsia="宋体" w:cs="仿宋"/>
          <w:kern w:val="0"/>
          <w:sz w:val="24"/>
          <w:szCs w:val="20"/>
          <w:lang w:val="en-US" w:eastAsia="zh-CN"/>
        </w:rPr>
      </w:pPr>
      <w:r>
        <w:rPr>
          <w:rFonts w:hint="eastAsia" w:ascii="宋体" w:hAnsi="宋体" w:eastAsia="宋体" w:cs="仿宋"/>
          <w:kern w:val="0"/>
          <w:sz w:val="24"/>
          <w:szCs w:val="20"/>
          <w:lang w:val="en-US" w:eastAsia="zh-CN"/>
        </w:rPr>
        <w:t>3.2</w:t>
      </w:r>
      <w:r>
        <w:rPr>
          <w:rFonts w:hint="default" w:ascii="宋体" w:hAnsi="宋体" w:eastAsia="宋体" w:cs="仿宋"/>
          <w:kern w:val="0"/>
          <w:sz w:val="24"/>
          <w:szCs w:val="20"/>
          <w:lang w:val="en-US" w:eastAsia="zh-CN"/>
        </w:rPr>
        <w:t>远程支持服务：建立与用户连接的技术支持与响应中心，由公司技术部进行远程技术支持，支持系统检查、故障诊断、软件调整等。</w:t>
      </w:r>
    </w:p>
    <w:p w14:paraId="296A3350">
      <w:pPr>
        <w:pStyle w:val="2"/>
        <w:rPr>
          <w:rFonts w:hint="default"/>
          <w:lang w:val="en-US" w:eastAsia="zh-CN"/>
        </w:rPr>
      </w:pPr>
      <w:r>
        <w:rPr>
          <w:rFonts w:hint="eastAsia" w:ascii="宋体" w:hAnsi="宋体" w:eastAsia="宋体" w:cs="仿宋"/>
          <w:kern w:val="0"/>
          <w:sz w:val="24"/>
          <w:szCs w:val="20"/>
          <w:lang w:val="en-US" w:eastAsia="zh-CN"/>
        </w:rPr>
        <w:t>3.3</w:t>
      </w:r>
      <w:r>
        <w:rPr>
          <w:rFonts w:hint="default" w:ascii="宋体" w:hAnsi="宋体" w:eastAsia="宋体" w:cs="仿宋"/>
          <w:kern w:val="0"/>
          <w:sz w:val="24"/>
          <w:szCs w:val="20"/>
          <w:lang w:val="en-US" w:eastAsia="zh-CN"/>
        </w:rPr>
        <w:t>电话热线服务：在维护期内，提供快捷、方便、多样的通讯手段，实现7x24小时热线服务支持。技术支持包括提供将系统恢复到正常状态所需的各种工具及相关设备。</w:t>
      </w:r>
    </w:p>
    <w:tbl>
      <w:tblPr>
        <w:tblStyle w:val="47"/>
        <w:tblpPr w:leftFromText="180" w:rightFromText="180" w:vertAnchor="text" w:horzAnchor="page" w:tblpX="1130" w:tblpY="1381"/>
        <w:tblOverlap w:val="never"/>
        <w:tblW w:w="9778" w:type="dxa"/>
        <w:tblInd w:w="0" w:type="dxa"/>
        <w:tblLayout w:type="fixed"/>
        <w:tblCellMar>
          <w:top w:w="0" w:type="dxa"/>
          <w:left w:w="108" w:type="dxa"/>
          <w:bottom w:w="0" w:type="dxa"/>
          <w:right w:w="108" w:type="dxa"/>
        </w:tblCellMar>
      </w:tblPr>
      <w:tblGrid>
        <w:gridCol w:w="1418"/>
        <w:gridCol w:w="2126"/>
        <w:gridCol w:w="533"/>
        <w:gridCol w:w="4546"/>
        <w:gridCol w:w="1155"/>
      </w:tblGrid>
      <w:tr w14:paraId="0D0EB03E">
        <w:tblPrEx>
          <w:tblCellMar>
            <w:top w:w="0" w:type="dxa"/>
            <w:left w:w="108" w:type="dxa"/>
            <w:bottom w:w="0" w:type="dxa"/>
            <w:right w:w="108" w:type="dxa"/>
          </w:tblCellMar>
        </w:tblPrEx>
        <w:trPr>
          <w:trHeight w:val="510" w:hRule="atLeast"/>
        </w:trPr>
        <w:tc>
          <w:tcPr>
            <w:tcW w:w="9778" w:type="dxa"/>
            <w:gridSpan w:val="5"/>
            <w:tcBorders>
              <w:top w:val="single" w:color="000000" w:sz="4" w:space="0"/>
              <w:left w:val="single" w:color="000000" w:sz="4" w:space="0"/>
              <w:bottom w:val="single" w:color="000000" w:sz="4" w:space="0"/>
              <w:right w:val="single" w:color="000000" w:sz="4" w:space="0"/>
            </w:tcBorders>
            <w:vAlign w:val="center"/>
          </w:tcPr>
          <w:p w14:paraId="0FE41731">
            <w:pPr>
              <w:keepLines w:val="0"/>
              <w:pageBreakBefore w:val="0"/>
              <w:widowControl w:val="0"/>
              <w:kinsoku/>
              <w:overflowPunct/>
              <w:topLinePunct w:val="0"/>
              <w:autoSpaceDE/>
              <w:autoSpaceDN/>
              <w:bidi w:val="0"/>
              <w:adjustRightInd/>
              <w:jc w:val="center"/>
              <w:textAlignment w:val="auto"/>
              <w:rPr>
                <w:rFonts w:hint="default" w:ascii="Times New Roman" w:hAnsi="Times New Roman" w:cs="Times New Roman"/>
                <w:kern w:val="0"/>
                <w:sz w:val="48"/>
                <w:szCs w:val="48"/>
              </w:rPr>
            </w:pPr>
            <w:r>
              <w:rPr>
                <w:rFonts w:hint="default" w:ascii="Times New Roman" w:hAnsi="Times New Roman" w:cs="Times New Roman"/>
                <w:kern w:val="0"/>
                <w:sz w:val="48"/>
                <w:szCs w:val="48"/>
              </w:rPr>
              <w:t>采集站软件功能维护</w:t>
            </w:r>
          </w:p>
        </w:tc>
      </w:tr>
      <w:tr w14:paraId="2284768E">
        <w:tblPrEx>
          <w:tblCellMar>
            <w:top w:w="0" w:type="dxa"/>
            <w:left w:w="108" w:type="dxa"/>
            <w:bottom w:w="0" w:type="dxa"/>
            <w:right w:w="108" w:type="dxa"/>
          </w:tblCellMar>
        </w:tblPrEx>
        <w:trPr>
          <w:trHeight w:val="345" w:hRule="atLeast"/>
        </w:trPr>
        <w:tc>
          <w:tcPr>
            <w:tcW w:w="1418" w:type="dxa"/>
            <w:tcBorders>
              <w:top w:val="single" w:color="000000" w:sz="4" w:space="0"/>
              <w:left w:val="single" w:color="000000" w:sz="4" w:space="0"/>
              <w:bottom w:val="single" w:color="000000" w:sz="4" w:space="0"/>
              <w:right w:val="single" w:color="000000" w:sz="4" w:space="0"/>
            </w:tcBorders>
            <w:vAlign w:val="center"/>
          </w:tcPr>
          <w:p w14:paraId="75540D3A">
            <w:pPr>
              <w:keepLines w:val="0"/>
              <w:pageBreakBefore w:val="0"/>
              <w:widowControl w:val="0"/>
              <w:kinsoku/>
              <w:overflowPunct/>
              <w:topLinePunct w:val="0"/>
              <w:autoSpaceDE/>
              <w:autoSpaceDN/>
              <w:bidi w:val="0"/>
              <w:adjustRightInd/>
              <w:jc w:val="both"/>
              <w:textAlignment w:val="auto"/>
              <w:rPr>
                <w:rFonts w:hint="default" w:ascii="Times New Roman" w:hAnsi="Times New Roman" w:cs="Times New Roman"/>
                <w:kern w:val="0"/>
                <w:sz w:val="22"/>
                <w:szCs w:val="32"/>
              </w:rPr>
            </w:pPr>
            <w:r>
              <w:rPr>
                <w:rFonts w:hint="default" w:ascii="Times New Roman" w:hAnsi="Times New Roman" w:cs="Times New Roman"/>
                <w:kern w:val="0"/>
                <w:sz w:val="22"/>
                <w:szCs w:val="32"/>
              </w:rPr>
              <w:t>功能特性</w:t>
            </w:r>
          </w:p>
        </w:tc>
        <w:tc>
          <w:tcPr>
            <w:tcW w:w="8360" w:type="dxa"/>
            <w:gridSpan w:val="4"/>
            <w:tcBorders>
              <w:top w:val="single" w:color="000000" w:sz="4" w:space="0"/>
              <w:left w:val="nil"/>
              <w:bottom w:val="single" w:color="000000" w:sz="4" w:space="0"/>
              <w:right w:val="single" w:color="000000" w:sz="4" w:space="0"/>
            </w:tcBorders>
            <w:vAlign w:val="center"/>
          </w:tcPr>
          <w:p w14:paraId="0B8B3F75">
            <w:pPr>
              <w:keepLines w:val="0"/>
              <w:pageBreakBefore w:val="0"/>
              <w:widowControl w:val="0"/>
              <w:kinsoku/>
              <w:overflowPunct/>
              <w:topLinePunct w:val="0"/>
              <w:autoSpaceDE/>
              <w:autoSpaceDN/>
              <w:bidi w:val="0"/>
              <w:adjustRightInd/>
              <w:jc w:val="both"/>
              <w:textAlignment w:val="auto"/>
              <w:rPr>
                <w:rFonts w:hint="default" w:ascii="Times New Roman" w:hAnsi="Times New Roman" w:cs="Times New Roman"/>
                <w:kern w:val="0"/>
                <w:sz w:val="22"/>
                <w:szCs w:val="32"/>
              </w:rPr>
            </w:pPr>
            <w:r>
              <w:rPr>
                <w:rFonts w:hint="default" w:ascii="Times New Roman" w:hAnsi="Times New Roman" w:cs="Times New Roman"/>
                <w:kern w:val="0"/>
                <w:sz w:val="22"/>
                <w:szCs w:val="32"/>
              </w:rPr>
              <w:t>此维护项为采集站系统软件维护项目</w:t>
            </w:r>
          </w:p>
        </w:tc>
      </w:tr>
      <w:tr w14:paraId="17447AE6">
        <w:tblPrEx>
          <w:tblCellMar>
            <w:top w:w="0" w:type="dxa"/>
            <w:left w:w="108" w:type="dxa"/>
            <w:bottom w:w="0" w:type="dxa"/>
            <w:right w:w="108" w:type="dxa"/>
          </w:tblCellMar>
        </w:tblPrEx>
        <w:trPr>
          <w:trHeight w:val="350" w:hRule="atLeast"/>
        </w:trPr>
        <w:tc>
          <w:tcPr>
            <w:tcW w:w="1418" w:type="dxa"/>
            <w:tcBorders>
              <w:top w:val="single" w:color="000000" w:sz="4" w:space="0"/>
              <w:left w:val="single" w:color="000000" w:sz="4" w:space="0"/>
              <w:bottom w:val="single" w:color="000000" w:sz="4" w:space="0"/>
              <w:right w:val="single" w:color="000000" w:sz="4" w:space="0"/>
            </w:tcBorders>
            <w:vAlign w:val="center"/>
          </w:tcPr>
          <w:p w14:paraId="3E1680C7">
            <w:pPr>
              <w:keepLines w:val="0"/>
              <w:pageBreakBefore w:val="0"/>
              <w:widowControl w:val="0"/>
              <w:kinsoku/>
              <w:overflowPunct/>
              <w:topLinePunct w:val="0"/>
              <w:autoSpaceDE/>
              <w:autoSpaceDN/>
              <w:bidi w:val="0"/>
              <w:adjustRightInd/>
              <w:jc w:val="both"/>
              <w:textAlignment w:val="auto"/>
              <w:rPr>
                <w:rFonts w:hint="default" w:ascii="Times New Roman" w:hAnsi="Times New Roman" w:cs="Times New Roman"/>
                <w:kern w:val="0"/>
                <w:sz w:val="22"/>
                <w:szCs w:val="32"/>
              </w:rPr>
            </w:pPr>
            <w:r>
              <w:rPr>
                <w:rFonts w:hint="default" w:ascii="Times New Roman" w:hAnsi="Times New Roman" w:cs="Times New Roman"/>
                <w:kern w:val="0"/>
                <w:sz w:val="22"/>
                <w:szCs w:val="32"/>
              </w:rPr>
              <w:t>维护目的</w:t>
            </w:r>
          </w:p>
        </w:tc>
        <w:tc>
          <w:tcPr>
            <w:tcW w:w="8360" w:type="dxa"/>
            <w:gridSpan w:val="4"/>
            <w:tcBorders>
              <w:top w:val="single" w:color="000000" w:sz="4" w:space="0"/>
              <w:left w:val="nil"/>
              <w:bottom w:val="single" w:color="000000" w:sz="4" w:space="0"/>
              <w:right w:val="single" w:color="000000" w:sz="4" w:space="0"/>
            </w:tcBorders>
            <w:vAlign w:val="center"/>
          </w:tcPr>
          <w:p w14:paraId="24A27A4D">
            <w:pPr>
              <w:keepLines w:val="0"/>
              <w:pageBreakBefore w:val="0"/>
              <w:widowControl w:val="0"/>
              <w:kinsoku/>
              <w:overflowPunct/>
              <w:topLinePunct w:val="0"/>
              <w:autoSpaceDE/>
              <w:autoSpaceDN/>
              <w:bidi w:val="0"/>
              <w:adjustRightInd/>
              <w:jc w:val="both"/>
              <w:textAlignment w:val="auto"/>
              <w:rPr>
                <w:rFonts w:hint="default" w:ascii="Times New Roman" w:hAnsi="Times New Roman" w:cs="Times New Roman"/>
                <w:kern w:val="0"/>
                <w:sz w:val="22"/>
                <w:szCs w:val="32"/>
              </w:rPr>
            </w:pPr>
            <w:r>
              <w:rPr>
                <w:rFonts w:hint="default" w:ascii="Times New Roman" w:hAnsi="Times New Roman" w:cs="Times New Roman"/>
                <w:kern w:val="0"/>
                <w:sz w:val="22"/>
                <w:szCs w:val="32"/>
              </w:rPr>
              <w:t>验证数据上传下载及观看功能是否满足日常使用要求</w:t>
            </w:r>
          </w:p>
        </w:tc>
      </w:tr>
      <w:tr w14:paraId="229ED417">
        <w:tblPrEx>
          <w:tblCellMar>
            <w:top w:w="0" w:type="dxa"/>
            <w:left w:w="108" w:type="dxa"/>
            <w:bottom w:w="0" w:type="dxa"/>
            <w:right w:w="108" w:type="dxa"/>
          </w:tblCellMar>
        </w:tblPrEx>
        <w:trPr>
          <w:trHeight w:val="345" w:hRule="atLeast"/>
        </w:trPr>
        <w:tc>
          <w:tcPr>
            <w:tcW w:w="1418" w:type="dxa"/>
            <w:tcBorders>
              <w:top w:val="single" w:color="000000" w:sz="4" w:space="0"/>
              <w:left w:val="single" w:color="000000" w:sz="4" w:space="0"/>
              <w:bottom w:val="single" w:color="000000" w:sz="4" w:space="0"/>
              <w:right w:val="single" w:color="000000" w:sz="4" w:space="0"/>
            </w:tcBorders>
            <w:vAlign w:val="center"/>
          </w:tcPr>
          <w:p w14:paraId="214D4819">
            <w:pPr>
              <w:keepLines w:val="0"/>
              <w:pageBreakBefore w:val="0"/>
              <w:widowControl w:val="0"/>
              <w:kinsoku/>
              <w:overflowPunct/>
              <w:topLinePunct w:val="0"/>
              <w:autoSpaceDE/>
              <w:autoSpaceDN/>
              <w:bidi w:val="0"/>
              <w:adjustRightInd/>
              <w:jc w:val="both"/>
              <w:textAlignment w:val="auto"/>
              <w:rPr>
                <w:rFonts w:hint="default" w:ascii="Times New Roman" w:hAnsi="Times New Roman" w:cs="Times New Roman"/>
                <w:kern w:val="0"/>
                <w:sz w:val="22"/>
                <w:szCs w:val="32"/>
              </w:rPr>
            </w:pPr>
            <w:r>
              <w:rPr>
                <w:rFonts w:hint="default" w:ascii="Times New Roman" w:hAnsi="Times New Roman" w:cs="Times New Roman"/>
                <w:kern w:val="0"/>
                <w:sz w:val="22"/>
                <w:szCs w:val="32"/>
              </w:rPr>
              <w:t>维护条件</w:t>
            </w:r>
          </w:p>
        </w:tc>
        <w:tc>
          <w:tcPr>
            <w:tcW w:w="8360" w:type="dxa"/>
            <w:gridSpan w:val="4"/>
            <w:tcBorders>
              <w:top w:val="single" w:color="000000" w:sz="4" w:space="0"/>
              <w:left w:val="nil"/>
              <w:bottom w:val="single" w:color="000000" w:sz="4" w:space="0"/>
              <w:right w:val="single" w:color="000000" w:sz="4" w:space="0"/>
            </w:tcBorders>
            <w:vAlign w:val="center"/>
          </w:tcPr>
          <w:p w14:paraId="234DB28B">
            <w:pPr>
              <w:keepLines w:val="0"/>
              <w:pageBreakBefore w:val="0"/>
              <w:widowControl w:val="0"/>
              <w:kinsoku/>
              <w:overflowPunct/>
              <w:topLinePunct w:val="0"/>
              <w:autoSpaceDE/>
              <w:autoSpaceDN/>
              <w:bidi w:val="0"/>
              <w:adjustRightInd/>
              <w:jc w:val="both"/>
              <w:textAlignment w:val="auto"/>
              <w:rPr>
                <w:rFonts w:hint="default" w:ascii="Times New Roman" w:hAnsi="Times New Roman" w:cs="Times New Roman"/>
                <w:kern w:val="0"/>
                <w:sz w:val="22"/>
                <w:szCs w:val="32"/>
              </w:rPr>
            </w:pPr>
            <w:r>
              <w:rPr>
                <w:rFonts w:hint="default" w:ascii="Times New Roman" w:hAnsi="Times New Roman" w:cs="Times New Roman"/>
                <w:kern w:val="0"/>
                <w:sz w:val="22"/>
                <w:szCs w:val="32"/>
              </w:rPr>
              <w:t>1.采集站连接正常. 2.数据上传正常</w:t>
            </w:r>
          </w:p>
        </w:tc>
      </w:tr>
      <w:tr w14:paraId="19220BC3">
        <w:tblPrEx>
          <w:tblCellMar>
            <w:top w:w="0" w:type="dxa"/>
            <w:left w:w="108" w:type="dxa"/>
            <w:bottom w:w="0" w:type="dxa"/>
            <w:right w:w="108" w:type="dxa"/>
          </w:tblCellMar>
        </w:tblPrEx>
        <w:trPr>
          <w:trHeight w:val="540" w:hRule="atLeast"/>
        </w:trPr>
        <w:tc>
          <w:tcPr>
            <w:tcW w:w="1418" w:type="dxa"/>
            <w:tcBorders>
              <w:top w:val="nil"/>
              <w:left w:val="single" w:color="000000" w:sz="4" w:space="0"/>
              <w:bottom w:val="single" w:color="000000" w:sz="4" w:space="0"/>
              <w:right w:val="single" w:color="000000" w:sz="4" w:space="0"/>
            </w:tcBorders>
            <w:shd w:val="clear" w:color="000000" w:fill="auto"/>
            <w:vAlign w:val="center"/>
          </w:tcPr>
          <w:p w14:paraId="257BC6E6">
            <w:pPr>
              <w:keepLines w:val="0"/>
              <w:pageBreakBefore w:val="0"/>
              <w:widowControl w:val="0"/>
              <w:kinsoku/>
              <w:overflowPunct/>
              <w:topLinePunct w:val="0"/>
              <w:autoSpaceDE/>
              <w:autoSpaceDN/>
              <w:bidi w:val="0"/>
              <w:adjustRightInd/>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eastAsiaTheme="minorEastAsia"/>
                <w:b/>
                <w:color w:val="auto"/>
                <w:kern w:val="0"/>
                <w:sz w:val="21"/>
                <w:szCs w:val="21"/>
                <w:highlight w:val="none"/>
              </w:rPr>
              <w:t>服务项目</w:t>
            </w:r>
          </w:p>
        </w:tc>
        <w:tc>
          <w:tcPr>
            <w:tcW w:w="2659" w:type="dxa"/>
            <w:gridSpan w:val="2"/>
            <w:tcBorders>
              <w:top w:val="single" w:color="000000" w:sz="4" w:space="0"/>
              <w:left w:val="nil"/>
              <w:bottom w:val="single" w:color="000000" w:sz="4" w:space="0"/>
              <w:right w:val="single" w:color="000000" w:sz="4" w:space="0"/>
            </w:tcBorders>
            <w:shd w:val="clear" w:color="000000" w:fill="auto"/>
            <w:vAlign w:val="center"/>
          </w:tcPr>
          <w:p w14:paraId="3E3484BD">
            <w:pPr>
              <w:keepLines w:val="0"/>
              <w:pageBreakBefore w:val="0"/>
              <w:widowControl w:val="0"/>
              <w:kinsoku/>
              <w:overflowPunct/>
              <w:topLinePunct w:val="0"/>
              <w:autoSpaceDE/>
              <w:autoSpaceDN/>
              <w:bidi w:val="0"/>
              <w:adjustRightInd/>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eastAsiaTheme="minorEastAsia"/>
                <w:b/>
                <w:color w:val="auto"/>
                <w:kern w:val="0"/>
                <w:sz w:val="21"/>
                <w:szCs w:val="21"/>
                <w:highlight w:val="none"/>
              </w:rPr>
              <w:t>服务内容</w:t>
            </w:r>
          </w:p>
        </w:tc>
        <w:tc>
          <w:tcPr>
            <w:tcW w:w="4546" w:type="dxa"/>
            <w:tcBorders>
              <w:top w:val="nil"/>
              <w:left w:val="nil"/>
              <w:bottom w:val="single" w:color="000000" w:sz="4" w:space="0"/>
              <w:right w:val="single" w:color="000000" w:sz="4" w:space="0"/>
            </w:tcBorders>
            <w:shd w:val="clear" w:color="000000" w:fill="auto"/>
            <w:vAlign w:val="center"/>
          </w:tcPr>
          <w:p w14:paraId="78032FAE">
            <w:pPr>
              <w:keepLines w:val="0"/>
              <w:pageBreakBefore w:val="0"/>
              <w:widowControl w:val="0"/>
              <w:kinsoku/>
              <w:overflowPunct/>
              <w:topLinePunct w:val="0"/>
              <w:autoSpaceDE/>
              <w:autoSpaceDN/>
              <w:bidi w:val="0"/>
              <w:adjustRightInd/>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eastAsiaTheme="minorEastAsia"/>
                <w:b/>
                <w:color w:val="auto"/>
                <w:kern w:val="0"/>
                <w:sz w:val="21"/>
                <w:szCs w:val="21"/>
                <w:highlight w:val="none"/>
              </w:rPr>
              <w:t>内容说明</w:t>
            </w:r>
          </w:p>
        </w:tc>
        <w:tc>
          <w:tcPr>
            <w:tcW w:w="1155" w:type="dxa"/>
            <w:tcBorders>
              <w:top w:val="nil"/>
              <w:left w:val="nil"/>
              <w:bottom w:val="single" w:color="000000" w:sz="4" w:space="0"/>
              <w:right w:val="single" w:color="000000" w:sz="4" w:space="0"/>
            </w:tcBorders>
            <w:shd w:val="clear" w:color="000000" w:fill="auto"/>
            <w:vAlign w:val="center"/>
          </w:tcPr>
          <w:p w14:paraId="4AFBF0E1">
            <w:pPr>
              <w:keepLines w:val="0"/>
              <w:pageBreakBefore w:val="0"/>
              <w:widowControl w:val="0"/>
              <w:kinsoku/>
              <w:overflowPunct/>
              <w:topLinePunct w:val="0"/>
              <w:autoSpaceDE/>
              <w:autoSpaceDN/>
              <w:bidi w:val="0"/>
              <w:adjustRightInd/>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eastAsiaTheme="minorEastAsia"/>
                <w:b/>
                <w:color w:val="auto"/>
                <w:kern w:val="0"/>
                <w:sz w:val="21"/>
                <w:szCs w:val="21"/>
                <w:highlight w:val="none"/>
              </w:rPr>
              <w:t>服务方式</w:t>
            </w:r>
          </w:p>
        </w:tc>
      </w:tr>
      <w:tr w14:paraId="2DF0F993">
        <w:tblPrEx>
          <w:tblCellMar>
            <w:top w:w="0" w:type="dxa"/>
            <w:left w:w="108" w:type="dxa"/>
            <w:bottom w:w="0" w:type="dxa"/>
            <w:right w:w="108" w:type="dxa"/>
          </w:tblCellMar>
        </w:tblPrEx>
        <w:trPr>
          <w:trHeight w:val="339" w:hRule="atLeast"/>
        </w:trPr>
        <w:tc>
          <w:tcPr>
            <w:tcW w:w="1418" w:type="dxa"/>
            <w:vMerge w:val="restart"/>
            <w:tcBorders>
              <w:top w:val="single" w:color="auto" w:sz="4" w:space="0"/>
              <w:left w:val="single" w:color="auto" w:sz="4" w:space="0"/>
              <w:right w:val="single" w:color="auto" w:sz="4" w:space="0"/>
            </w:tcBorders>
            <w:vAlign w:val="center"/>
          </w:tcPr>
          <w:p w14:paraId="34967DA3">
            <w:pPr>
              <w:keepLines w:val="0"/>
              <w:pageBreakBefore w:val="0"/>
              <w:widowControl w:val="0"/>
              <w:kinsoku/>
              <w:overflowPunct/>
              <w:topLinePunct w:val="0"/>
              <w:autoSpaceDE/>
              <w:autoSpaceDN/>
              <w:bidi w:val="0"/>
              <w:adjustRightInd/>
              <w:jc w:val="center"/>
              <w:textAlignment w:val="auto"/>
              <w:rPr>
                <w:rFonts w:hint="default" w:ascii="Times New Roman" w:hAnsi="Times New Roman" w:cs="Times New Roman"/>
                <w:kern w:val="0"/>
                <w:sz w:val="20"/>
                <w:szCs w:val="20"/>
              </w:rPr>
            </w:pPr>
            <w:r>
              <w:rPr>
                <w:rFonts w:hint="default" w:ascii="Times New Roman" w:hAnsi="Times New Roman" w:cs="Times New Roman"/>
                <w:kern w:val="0"/>
                <w:sz w:val="20"/>
                <w:szCs w:val="20"/>
              </w:rPr>
              <w:t>基础软件维护</w:t>
            </w:r>
          </w:p>
        </w:tc>
        <w:tc>
          <w:tcPr>
            <w:tcW w:w="2659" w:type="dxa"/>
            <w:gridSpan w:val="2"/>
            <w:tcBorders>
              <w:top w:val="single" w:color="auto" w:sz="4" w:space="0"/>
              <w:left w:val="single" w:color="auto" w:sz="4" w:space="0"/>
              <w:bottom w:val="single" w:color="auto" w:sz="4" w:space="0"/>
              <w:right w:val="single" w:color="auto" w:sz="4" w:space="0"/>
            </w:tcBorders>
            <w:vAlign w:val="center"/>
          </w:tcPr>
          <w:p w14:paraId="0E0E4FB9">
            <w:pPr>
              <w:keepLines w:val="0"/>
              <w:pageBreakBefore w:val="0"/>
              <w:widowControl w:val="0"/>
              <w:kinsoku/>
              <w:overflowPunct/>
              <w:topLinePunct w:val="0"/>
              <w:autoSpaceDE/>
              <w:autoSpaceDN/>
              <w:bidi w:val="0"/>
              <w:adjustRightInd/>
              <w:jc w:val="center"/>
              <w:textAlignment w:val="auto"/>
              <w:rPr>
                <w:rFonts w:hint="default" w:ascii="Times New Roman" w:hAnsi="Times New Roman" w:cs="Times New Roman"/>
                <w:kern w:val="0"/>
                <w:sz w:val="20"/>
                <w:szCs w:val="20"/>
              </w:rPr>
            </w:pPr>
            <w:r>
              <w:rPr>
                <w:rFonts w:hint="default" w:ascii="Times New Roman" w:hAnsi="Times New Roman" w:cs="Times New Roman"/>
                <w:kern w:val="0"/>
                <w:sz w:val="20"/>
                <w:szCs w:val="20"/>
              </w:rPr>
              <w:t>数据库维护</w:t>
            </w:r>
          </w:p>
        </w:tc>
        <w:tc>
          <w:tcPr>
            <w:tcW w:w="4546" w:type="dxa"/>
            <w:tcBorders>
              <w:top w:val="nil"/>
              <w:left w:val="single" w:color="auto" w:sz="4" w:space="0"/>
              <w:bottom w:val="single" w:color="000000" w:sz="4" w:space="0"/>
              <w:right w:val="single" w:color="000000" w:sz="4" w:space="0"/>
            </w:tcBorders>
            <w:vAlign w:val="center"/>
          </w:tcPr>
          <w:p w14:paraId="240518F3">
            <w:pPr>
              <w:keepLines w:val="0"/>
              <w:pageBreakBefore w:val="0"/>
              <w:widowControl w:val="0"/>
              <w:kinsoku/>
              <w:overflowPunct/>
              <w:topLinePunct w:val="0"/>
              <w:autoSpaceDE/>
              <w:autoSpaceDN/>
              <w:bidi w:val="0"/>
              <w:adjustRightInd/>
              <w:jc w:val="both"/>
              <w:textAlignment w:val="auto"/>
              <w:rPr>
                <w:rFonts w:hint="default" w:ascii="Times New Roman" w:hAnsi="Times New Roman" w:cs="Times New Roman"/>
                <w:kern w:val="0"/>
                <w:sz w:val="20"/>
                <w:szCs w:val="20"/>
              </w:rPr>
            </w:pPr>
            <w:r>
              <w:rPr>
                <w:rFonts w:hint="default" w:ascii="Times New Roman" w:hAnsi="Times New Roman" w:cs="Times New Roman"/>
                <w:kern w:val="0"/>
                <w:sz w:val="20"/>
                <w:szCs w:val="20"/>
              </w:rPr>
              <w:t>Mysql服务日常维护及故障处理</w:t>
            </w:r>
          </w:p>
        </w:tc>
        <w:tc>
          <w:tcPr>
            <w:tcW w:w="1155" w:type="dxa"/>
            <w:tcBorders>
              <w:top w:val="nil"/>
              <w:left w:val="nil"/>
              <w:bottom w:val="single" w:color="000000" w:sz="4" w:space="0"/>
              <w:right w:val="single" w:color="000000" w:sz="4" w:space="0"/>
            </w:tcBorders>
            <w:vAlign w:val="center"/>
          </w:tcPr>
          <w:p w14:paraId="524E88F7">
            <w:pPr>
              <w:keepLines w:val="0"/>
              <w:pageBreakBefore w:val="0"/>
              <w:widowControl w:val="0"/>
              <w:kinsoku/>
              <w:overflowPunct/>
              <w:topLinePunct w:val="0"/>
              <w:autoSpaceDE/>
              <w:autoSpaceDN/>
              <w:bidi w:val="0"/>
              <w:adjustRightInd/>
              <w:ind w:firstLine="400" w:firstLineChars="200"/>
              <w:jc w:val="center"/>
              <w:textAlignment w:val="auto"/>
              <w:rPr>
                <w:rFonts w:hint="default" w:ascii="Times New Roman" w:hAnsi="Times New Roman" w:cs="Times New Roman"/>
                <w:kern w:val="0"/>
                <w:sz w:val="20"/>
                <w:szCs w:val="20"/>
              </w:rPr>
            </w:pPr>
            <w:r>
              <w:rPr>
                <w:rFonts w:hint="default" w:ascii="Times New Roman" w:hAnsi="Times New Roman" w:cs="Times New Roman"/>
                <w:kern w:val="0"/>
                <w:sz w:val="20"/>
                <w:szCs w:val="20"/>
              </w:rPr>
              <w:t>远程</w:t>
            </w:r>
          </w:p>
        </w:tc>
      </w:tr>
      <w:tr w14:paraId="04E64D62">
        <w:tblPrEx>
          <w:tblCellMar>
            <w:top w:w="0" w:type="dxa"/>
            <w:left w:w="108" w:type="dxa"/>
            <w:bottom w:w="0" w:type="dxa"/>
            <w:right w:w="108" w:type="dxa"/>
          </w:tblCellMar>
        </w:tblPrEx>
        <w:trPr>
          <w:trHeight w:val="460" w:hRule="atLeast"/>
        </w:trPr>
        <w:tc>
          <w:tcPr>
            <w:tcW w:w="1418" w:type="dxa"/>
            <w:vMerge w:val="continue"/>
            <w:tcBorders>
              <w:left w:val="single" w:color="auto" w:sz="4" w:space="0"/>
              <w:right w:val="single" w:color="auto" w:sz="4" w:space="0"/>
            </w:tcBorders>
            <w:vAlign w:val="center"/>
          </w:tcPr>
          <w:p w14:paraId="7F9875AF">
            <w:pPr>
              <w:keepLines w:val="0"/>
              <w:pageBreakBefore w:val="0"/>
              <w:widowControl w:val="0"/>
              <w:kinsoku/>
              <w:overflowPunct/>
              <w:topLinePunct w:val="0"/>
              <w:autoSpaceDE/>
              <w:autoSpaceDN/>
              <w:bidi w:val="0"/>
              <w:adjustRightInd/>
              <w:ind w:firstLine="400" w:firstLineChars="200"/>
              <w:jc w:val="center"/>
              <w:textAlignment w:val="auto"/>
              <w:rPr>
                <w:rFonts w:hint="default" w:ascii="Times New Roman" w:hAnsi="Times New Roman" w:cs="Times New Roman"/>
                <w:kern w:val="0"/>
                <w:sz w:val="20"/>
                <w:szCs w:val="20"/>
              </w:rPr>
            </w:pPr>
          </w:p>
        </w:tc>
        <w:tc>
          <w:tcPr>
            <w:tcW w:w="2659" w:type="dxa"/>
            <w:gridSpan w:val="2"/>
            <w:tcBorders>
              <w:top w:val="single" w:color="auto" w:sz="4" w:space="0"/>
              <w:left w:val="single" w:color="auto" w:sz="4" w:space="0"/>
              <w:right w:val="single" w:color="auto" w:sz="4" w:space="0"/>
            </w:tcBorders>
            <w:vAlign w:val="center"/>
          </w:tcPr>
          <w:p w14:paraId="2CBC1C56">
            <w:pPr>
              <w:keepLines w:val="0"/>
              <w:pageBreakBefore w:val="0"/>
              <w:widowControl w:val="0"/>
              <w:kinsoku/>
              <w:overflowPunct/>
              <w:topLinePunct w:val="0"/>
              <w:autoSpaceDE/>
              <w:autoSpaceDN/>
              <w:bidi w:val="0"/>
              <w:adjustRightInd/>
              <w:jc w:val="center"/>
              <w:textAlignment w:val="auto"/>
              <w:rPr>
                <w:rFonts w:hint="default" w:ascii="Times New Roman" w:hAnsi="Times New Roman" w:cs="Times New Roman"/>
                <w:kern w:val="0"/>
                <w:sz w:val="20"/>
                <w:szCs w:val="20"/>
              </w:rPr>
            </w:pPr>
            <w:r>
              <w:rPr>
                <w:rFonts w:hint="default" w:ascii="Times New Roman" w:hAnsi="Times New Roman" w:cs="Times New Roman"/>
                <w:kern w:val="0"/>
                <w:sz w:val="20"/>
                <w:szCs w:val="20"/>
              </w:rPr>
              <w:t>网站服务维护</w:t>
            </w:r>
          </w:p>
        </w:tc>
        <w:tc>
          <w:tcPr>
            <w:tcW w:w="4546" w:type="dxa"/>
            <w:tcBorders>
              <w:top w:val="nil"/>
              <w:left w:val="single" w:color="auto" w:sz="4" w:space="0"/>
              <w:right w:val="single" w:color="000000" w:sz="4" w:space="0"/>
            </w:tcBorders>
            <w:vAlign w:val="center"/>
          </w:tcPr>
          <w:p w14:paraId="0397099D">
            <w:pPr>
              <w:keepLines w:val="0"/>
              <w:pageBreakBefore w:val="0"/>
              <w:widowControl w:val="0"/>
              <w:kinsoku/>
              <w:overflowPunct/>
              <w:topLinePunct w:val="0"/>
              <w:autoSpaceDE/>
              <w:autoSpaceDN/>
              <w:bidi w:val="0"/>
              <w:adjustRightInd/>
              <w:jc w:val="both"/>
              <w:textAlignment w:val="auto"/>
              <w:rPr>
                <w:rFonts w:hint="default" w:ascii="Times New Roman" w:hAnsi="Times New Roman" w:cs="Times New Roman"/>
                <w:kern w:val="0"/>
                <w:sz w:val="20"/>
                <w:szCs w:val="20"/>
              </w:rPr>
            </w:pPr>
            <w:r>
              <w:rPr>
                <w:rFonts w:hint="default" w:ascii="Times New Roman" w:hAnsi="Times New Roman" w:cs="Times New Roman"/>
                <w:kern w:val="0"/>
                <w:sz w:val="20"/>
                <w:szCs w:val="20"/>
              </w:rPr>
              <w:t>Ahache2服务日常维护及故障处理</w:t>
            </w:r>
          </w:p>
          <w:p w14:paraId="0DC4888F">
            <w:pPr>
              <w:keepLines w:val="0"/>
              <w:pageBreakBefore w:val="0"/>
              <w:widowControl w:val="0"/>
              <w:kinsoku/>
              <w:overflowPunct/>
              <w:topLinePunct w:val="0"/>
              <w:autoSpaceDE/>
              <w:autoSpaceDN/>
              <w:bidi w:val="0"/>
              <w:adjustRightInd/>
              <w:jc w:val="both"/>
              <w:textAlignment w:val="auto"/>
              <w:rPr>
                <w:rFonts w:hint="default" w:ascii="Times New Roman" w:hAnsi="Times New Roman" w:cs="Times New Roman"/>
                <w:kern w:val="0"/>
                <w:sz w:val="20"/>
                <w:szCs w:val="20"/>
              </w:rPr>
            </w:pPr>
            <w:r>
              <w:rPr>
                <w:rFonts w:hint="default" w:ascii="Times New Roman" w:hAnsi="Times New Roman" w:cs="Times New Roman"/>
                <w:kern w:val="0"/>
                <w:sz w:val="20"/>
                <w:szCs w:val="20"/>
              </w:rPr>
              <w:t>PHP服务日常维护及故障处理</w:t>
            </w:r>
          </w:p>
        </w:tc>
        <w:tc>
          <w:tcPr>
            <w:tcW w:w="1155" w:type="dxa"/>
            <w:tcBorders>
              <w:top w:val="nil"/>
              <w:left w:val="nil"/>
              <w:right w:val="single" w:color="000000" w:sz="4" w:space="0"/>
            </w:tcBorders>
            <w:vAlign w:val="center"/>
          </w:tcPr>
          <w:p w14:paraId="3ED04ACF">
            <w:pPr>
              <w:keepLines w:val="0"/>
              <w:pageBreakBefore w:val="0"/>
              <w:widowControl w:val="0"/>
              <w:kinsoku/>
              <w:overflowPunct/>
              <w:topLinePunct w:val="0"/>
              <w:autoSpaceDE/>
              <w:autoSpaceDN/>
              <w:bidi w:val="0"/>
              <w:adjustRightInd/>
              <w:ind w:firstLine="400" w:firstLineChars="200"/>
              <w:jc w:val="center"/>
              <w:textAlignment w:val="auto"/>
              <w:rPr>
                <w:rFonts w:hint="default" w:ascii="Times New Roman" w:hAnsi="Times New Roman" w:cs="Times New Roman"/>
                <w:kern w:val="0"/>
                <w:sz w:val="20"/>
                <w:szCs w:val="20"/>
              </w:rPr>
            </w:pPr>
            <w:r>
              <w:rPr>
                <w:rFonts w:hint="default" w:ascii="Times New Roman" w:hAnsi="Times New Roman" w:cs="Times New Roman"/>
                <w:kern w:val="0"/>
                <w:sz w:val="20"/>
                <w:szCs w:val="20"/>
              </w:rPr>
              <w:t>远程</w:t>
            </w:r>
          </w:p>
        </w:tc>
      </w:tr>
      <w:tr w14:paraId="7D6583C0">
        <w:tblPrEx>
          <w:tblCellMar>
            <w:top w:w="0" w:type="dxa"/>
            <w:left w:w="108" w:type="dxa"/>
            <w:bottom w:w="0" w:type="dxa"/>
            <w:right w:w="108" w:type="dxa"/>
          </w:tblCellMar>
        </w:tblPrEx>
        <w:trPr>
          <w:trHeight w:val="556" w:hRule="atLeast"/>
        </w:trPr>
        <w:tc>
          <w:tcPr>
            <w:tcW w:w="1418" w:type="dxa"/>
            <w:vMerge w:val="continue"/>
            <w:tcBorders>
              <w:left w:val="single" w:color="auto" w:sz="4" w:space="0"/>
              <w:bottom w:val="single" w:color="auto" w:sz="4" w:space="0"/>
              <w:right w:val="single" w:color="auto" w:sz="4" w:space="0"/>
            </w:tcBorders>
            <w:vAlign w:val="center"/>
          </w:tcPr>
          <w:p w14:paraId="0B2DE52D">
            <w:pPr>
              <w:keepLines w:val="0"/>
              <w:pageBreakBefore w:val="0"/>
              <w:widowControl w:val="0"/>
              <w:kinsoku/>
              <w:overflowPunct/>
              <w:topLinePunct w:val="0"/>
              <w:autoSpaceDE/>
              <w:autoSpaceDN/>
              <w:bidi w:val="0"/>
              <w:adjustRightInd/>
              <w:ind w:firstLine="400" w:firstLineChars="200"/>
              <w:jc w:val="center"/>
              <w:textAlignment w:val="auto"/>
              <w:rPr>
                <w:rFonts w:hint="default" w:ascii="Times New Roman" w:hAnsi="Times New Roman" w:cs="Times New Roman"/>
                <w:kern w:val="0"/>
                <w:sz w:val="20"/>
                <w:szCs w:val="20"/>
              </w:rPr>
            </w:pPr>
          </w:p>
        </w:tc>
        <w:tc>
          <w:tcPr>
            <w:tcW w:w="2659" w:type="dxa"/>
            <w:gridSpan w:val="2"/>
            <w:tcBorders>
              <w:top w:val="single" w:color="auto" w:sz="4" w:space="0"/>
              <w:left w:val="single" w:color="auto" w:sz="4" w:space="0"/>
              <w:bottom w:val="single" w:color="auto" w:sz="4" w:space="0"/>
              <w:right w:val="single" w:color="auto" w:sz="4" w:space="0"/>
            </w:tcBorders>
            <w:vAlign w:val="center"/>
          </w:tcPr>
          <w:p w14:paraId="4E014979">
            <w:pPr>
              <w:keepLines w:val="0"/>
              <w:pageBreakBefore w:val="0"/>
              <w:widowControl w:val="0"/>
              <w:kinsoku/>
              <w:overflowPunct/>
              <w:topLinePunct w:val="0"/>
              <w:autoSpaceDE/>
              <w:autoSpaceDN/>
              <w:bidi w:val="0"/>
              <w:adjustRightInd/>
              <w:jc w:val="center"/>
              <w:textAlignment w:val="auto"/>
              <w:rPr>
                <w:rFonts w:hint="default" w:ascii="Times New Roman" w:hAnsi="Times New Roman" w:cs="Times New Roman"/>
                <w:kern w:val="0"/>
                <w:sz w:val="20"/>
                <w:szCs w:val="20"/>
              </w:rPr>
            </w:pPr>
            <w:r>
              <w:rPr>
                <w:rFonts w:hint="default" w:ascii="Times New Roman" w:hAnsi="Times New Roman" w:cs="Times New Roman"/>
                <w:kern w:val="0"/>
                <w:sz w:val="20"/>
                <w:szCs w:val="20"/>
              </w:rPr>
              <w:t>存储服务维护</w:t>
            </w:r>
          </w:p>
        </w:tc>
        <w:tc>
          <w:tcPr>
            <w:tcW w:w="4546" w:type="dxa"/>
            <w:tcBorders>
              <w:top w:val="single" w:color="auto" w:sz="4" w:space="0"/>
              <w:left w:val="single" w:color="auto" w:sz="4" w:space="0"/>
              <w:bottom w:val="single" w:color="auto" w:sz="4" w:space="0"/>
              <w:right w:val="single" w:color="auto" w:sz="4" w:space="0"/>
            </w:tcBorders>
            <w:vAlign w:val="center"/>
          </w:tcPr>
          <w:p w14:paraId="3473F9C4">
            <w:pPr>
              <w:keepLines w:val="0"/>
              <w:pageBreakBefore w:val="0"/>
              <w:widowControl w:val="0"/>
              <w:kinsoku/>
              <w:overflowPunct/>
              <w:topLinePunct w:val="0"/>
              <w:autoSpaceDE/>
              <w:autoSpaceDN/>
              <w:bidi w:val="0"/>
              <w:adjustRightInd/>
              <w:jc w:val="both"/>
              <w:textAlignment w:val="auto"/>
              <w:rPr>
                <w:rFonts w:hint="default" w:ascii="Times New Roman" w:hAnsi="Times New Roman" w:cs="Times New Roman"/>
                <w:kern w:val="0"/>
                <w:sz w:val="20"/>
                <w:szCs w:val="20"/>
              </w:rPr>
            </w:pPr>
            <w:r>
              <w:rPr>
                <w:rFonts w:hint="default" w:ascii="Times New Roman" w:hAnsi="Times New Roman" w:cs="Times New Roman"/>
                <w:kern w:val="0"/>
                <w:sz w:val="20"/>
                <w:szCs w:val="20"/>
              </w:rPr>
              <w:t>FTP存储服务日常维护及故障处理FileZilla软件日常维护及故障处理</w:t>
            </w:r>
          </w:p>
        </w:tc>
        <w:tc>
          <w:tcPr>
            <w:tcW w:w="1155" w:type="dxa"/>
            <w:tcBorders>
              <w:top w:val="single" w:color="auto" w:sz="4" w:space="0"/>
              <w:left w:val="single" w:color="auto" w:sz="4" w:space="0"/>
              <w:bottom w:val="single" w:color="auto" w:sz="4" w:space="0"/>
              <w:right w:val="single" w:color="auto" w:sz="4" w:space="0"/>
            </w:tcBorders>
            <w:vAlign w:val="center"/>
          </w:tcPr>
          <w:p w14:paraId="5F058BCA">
            <w:pPr>
              <w:keepLines w:val="0"/>
              <w:pageBreakBefore w:val="0"/>
              <w:widowControl w:val="0"/>
              <w:kinsoku/>
              <w:overflowPunct/>
              <w:topLinePunct w:val="0"/>
              <w:autoSpaceDE/>
              <w:autoSpaceDN/>
              <w:bidi w:val="0"/>
              <w:adjustRightInd/>
              <w:ind w:firstLine="400" w:firstLineChars="200"/>
              <w:jc w:val="center"/>
              <w:textAlignment w:val="auto"/>
              <w:rPr>
                <w:rFonts w:hint="default" w:ascii="Times New Roman" w:hAnsi="Times New Roman" w:cs="Times New Roman"/>
                <w:kern w:val="0"/>
                <w:sz w:val="20"/>
                <w:szCs w:val="20"/>
              </w:rPr>
            </w:pPr>
            <w:r>
              <w:rPr>
                <w:rFonts w:hint="default" w:ascii="Times New Roman" w:hAnsi="Times New Roman" w:cs="Times New Roman"/>
                <w:kern w:val="0"/>
                <w:sz w:val="20"/>
                <w:szCs w:val="20"/>
              </w:rPr>
              <w:t>远程</w:t>
            </w:r>
          </w:p>
        </w:tc>
      </w:tr>
      <w:tr w14:paraId="2BEBAE6A">
        <w:tblPrEx>
          <w:tblCellMar>
            <w:top w:w="0" w:type="dxa"/>
            <w:left w:w="108" w:type="dxa"/>
            <w:bottom w:w="0" w:type="dxa"/>
            <w:right w:w="108" w:type="dxa"/>
          </w:tblCellMar>
        </w:tblPrEx>
        <w:trPr>
          <w:trHeight w:val="460" w:hRule="atLeast"/>
        </w:trPr>
        <w:tc>
          <w:tcPr>
            <w:tcW w:w="1418" w:type="dxa"/>
            <w:vMerge w:val="restart"/>
            <w:tcBorders>
              <w:top w:val="single" w:color="auto" w:sz="4" w:space="0"/>
              <w:left w:val="single" w:color="auto" w:sz="4" w:space="0"/>
              <w:right w:val="single" w:color="auto" w:sz="4" w:space="0"/>
            </w:tcBorders>
            <w:vAlign w:val="center"/>
          </w:tcPr>
          <w:p w14:paraId="5467B4BE">
            <w:pPr>
              <w:keepLines w:val="0"/>
              <w:pageBreakBefore w:val="0"/>
              <w:widowControl w:val="0"/>
              <w:kinsoku/>
              <w:overflowPunct/>
              <w:topLinePunct w:val="0"/>
              <w:autoSpaceDE/>
              <w:autoSpaceDN/>
              <w:bidi w:val="0"/>
              <w:adjustRightInd/>
              <w:jc w:val="center"/>
              <w:textAlignment w:val="auto"/>
              <w:rPr>
                <w:rFonts w:hint="default" w:ascii="Times New Roman" w:hAnsi="Times New Roman" w:cs="Times New Roman"/>
                <w:kern w:val="0"/>
                <w:sz w:val="20"/>
                <w:szCs w:val="20"/>
              </w:rPr>
            </w:pPr>
            <w:r>
              <w:rPr>
                <w:rFonts w:hint="default" w:ascii="Times New Roman" w:hAnsi="Times New Roman" w:cs="Times New Roman"/>
                <w:kern w:val="0"/>
                <w:sz w:val="20"/>
                <w:szCs w:val="20"/>
              </w:rPr>
              <w:t>复杂软件维护</w:t>
            </w:r>
          </w:p>
        </w:tc>
        <w:tc>
          <w:tcPr>
            <w:tcW w:w="2659" w:type="dxa"/>
            <w:gridSpan w:val="2"/>
            <w:tcBorders>
              <w:top w:val="single" w:color="auto" w:sz="4" w:space="0"/>
              <w:left w:val="single" w:color="auto" w:sz="4" w:space="0"/>
              <w:bottom w:val="single" w:color="auto" w:sz="4" w:space="0"/>
              <w:right w:val="single" w:color="auto" w:sz="4" w:space="0"/>
            </w:tcBorders>
            <w:vAlign w:val="center"/>
          </w:tcPr>
          <w:p w14:paraId="5AA4912D">
            <w:pPr>
              <w:keepLines w:val="0"/>
              <w:pageBreakBefore w:val="0"/>
              <w:widowControl w:val="0"/>
              <w:kinsoku/>
              <w:overflowPunct/>
              <w:topLinePunct w:val="0"/>
              <w:autoSpaceDE/>
              <w:autoSpaceDN/>
              <w:bidi w:val="0"/>
              <w:adjustRightInd/>
              <w:jc w:val="center"/>
              <w:textAlignment w:val="auto"/>
              <w:rPr>
                <w:rFonts w:hint="default" w:ascii="Times New Roman" w:hAnsi="Times New Roman" w:cs="Times New Roman"/>
                <w:kern w:val="0"/>
                <w:sz w:val="20"/>
                <w:szCs w:val="20"/>
              </w:rPr>
            </w:pPr>
            <w:r>
              <w:rPr>
                <w:rFonts w:hint="default" w:ascii="Times New Roman" w:hAnsi="Times New Roman" w:cs="Times New Roman"/>
                <w:kern w:val="0"/>
                <w:sz w:val="20"/>
                <w:szCs w:val="20"/>
              </w:rPr>
              <w:t>重建RAID</w:t>
            </w:r>
          </w:p>
        </w:tc>
        <w:tc>
          <w:tcPr>
            <w:tcW w:w="4546" w:type="dxa"/>
            <w:tcBorders>
              <w:top w:val="single" w:color="auto" w:sz="4" w:space="0"/>
              <w:left w:val="single" w:color="auto" w:sz="4" w:space="0"/>
              <w:bottom w:val="single" w:color="auto" w:sz="4" w:space="0"/>
              <w:right w:val="single" w:color="auto" w:sz="4" w:space="0"/>
            </w:tcBorders>
            <w:vAlign w:val="center"/>
          </w:tcPr>
          <w:p w14:paraId="1E33CFB8">
            <w:pPr>
              <w:keepLines w:val="0"/>
              <w:pageBreakBefore w:val="0"/>
              <w:widowControl w:val="0"/>
              <w:kinsoku/>
              <w:overflowPunct/>
              <w:topLinePunct w:val="0"/>
              <w:autoSpaceDE/>
              <w:autoSpaceDN/>
              <w:bidi w:val="0"/>
              <w:adjustRightInd/>
              <w:jc w:val="both"/>
              <w:textAlignment w:val="auto"/>
              <w:rPr>
                <w:rFonts w:hint="default" w:ascii="Times New Roman" w:hAnsi="Times New Roman" w:cs="Times New Roman"/>
                <w:kern w:val="0"/>
                <w:sz w:val="20"/>
                <w:szCs w:val="20"/>
              </w:rPr>
            </w:pPr>
            <w:r>
              <w:rPr>
                <w:rFonts w:hint="default" w:ascii="Times New Roman" w:hAnsi="Times New Roman" w:cs="Times New Roman"/>
                <w:kern w:val="0"/>
                <w:sz w:val="20"/>
                <w:szCs w:val="20"/>
              </w:rPr>
              <w:t>采集站硬盘阵列故障时需要重建R</w:t>
            </w:r>
            <w:r>
              <w:rPr>
                <w:rFonts w:hint="eastAsia" w:ascii="Times New Roman" w:hAnsi="Times New Roman" w:cs="Times New Roman"/>
                <w:kern w:val="0"/>
                <w:sz w:val="20"/>
                <w:szCs w:val="20"/>
                <w:lang w:val="en-US" w:eastAsia="zh-CN"/>
              </w:rPr>
              <w:t>AI</w:t>
            </w:r>
            <w:r>
              <w:rPr>
                <w:rFonts w:hint="default" w:ascii="Times New Roman" w:hAnsi="Times New Roman" w:cs="Times New Roman"/>
                <w:kern w:val="0"/>
                <w:sz w:val="20"/>
                <w:szCs w:val="20"/>
              </w:rPr>
              <w:t>D阵列</w:t>
            </w:r>
          </w:p>
        </w:tc>
        <w:tc>
          <w:tcPr>
            <w:tcW w:w="1155" w:type="dxa"/>
            <w:tcBorders>
              <w:top w:val="single" w:color="auto" w:sz="4" w:space="0"/>
              <w:left w:val="single" w:color="auto" w:sz="4" w:space="0"/>
              <w:bottom w:val="single" w:color="auto" w:sz="4" w:space="0"/>
              <w:right w:val="single" w:color="auto" w:sz="4" w:space="0"/>
            </w:tcBorders>
            <w:vAlign w:val="center"/>
          </w:tcPr>
          <w:p w14:paraId="3212EEFC">
            <w:pPr>
              <w:keepLines w:val="0"/>
              <w:pageBreakBefore w:val="0"/>
              <w:widowControl w:val="0"/>
              <w:kinsoku/>
              <w:overflowPunct/>
              <w:topLinePunct w:val="0"/>
              <w:autoSpaceDE/>
              <w:autoSpaceDN/>
              <w:bidi w:val="0"/>
              <w:adjustRightInd/>
              <w:ind w:firstLine="400" w:firstLineChars="200"/>
              <w:jc w:val="center"/>
              <w:textAlignment w:val="auto"/>
              <w:rPr>
                <w:rFonts w:hint="default" w:ascii="Times New Roman" w:hAnsi="Times New Roman" w:cs="Times New Roman"/>
                <w:kern w:val="0"/>
                <w:sz w:val="20"/>
                <w:szCs w:val="20"/>
              </w:rPr>
            </w:pPr>
            <w:r>
              <w:rPr>
                <w:rFonts w:hint="default" w:ascii="Times New Roman" w:hAnsi="Times New Roman" w:cs="Times New Roman"/>
                <w:kern w:val="0"/>
                <w:sz w:val="20"/>
                <w:szCs w:val="20"/>
              </w:rPr>
              <w:t>现场</w:t>
            </w:r>
          </w:p>
        </w:tc>
      </w:tr>
      <w:tr w14:paraId="4C52B18C">
        <w:tblPrEx>
          <w:tblCellMar>
            <w:top w:w="0" w:type="dxa"/>
            <w:left w:w="108" w:type="dxa"/>
            <w:bottom w:w="0" w:type="dxa"/>
            <w:right w:w="108" w:type="dxa"/>
          </w:tblCellMar>
        </w:tblPrEx>
        <w:trPr>
          <w:trHeight w:val="457" w:hRule="atLeast"/>
        </w:trPr>
        <w:tc>
          <w:tcPr>
            <w:tcW w:w="1418" w:type="dxa"/>
            <w:vMerge w:val="continue"/>
            <w:tcBorders>
              <w:left w:val="single" w:color="auto" w:sz="4" w:space="0"/>
              <w:right w:val="single" w:color="auto" w:sz="4" w:space="0"/>
            </w:tcBorders>
            <w:vAlign w:val="center"/>
          </w:tcPr>
          <w:p w14:paraId="4FCD6CE5">
            <w:pPr>
              <w:keepLines w:val="0"/>
              <w:pageBreakBefore w:val="0"/>
              <w:widowControl w:val="0"/>
              <w:kinsoku/>
              <w:overflowPunct/>
              <w:topLinePunct w:val="0"/>
              <w:autoSpaceDE/>
              <w:autoSpaceDN/>
              <w:bidi w:val="0"/>
              <w:adjustRightInd/>
              <w:ind w:firstLine="400" w:firstLineChars="200"/>
              <w:jc w:val="center"/>
              <w:textAlignment w:val="auto"/>
              <w:rPr>
                <w:rFonts w:hint="default" w:ascii="Times New Roman" w:hAnsi="Times New Roman" w:cs="Times New Roman"/>
                <w:kern w:val="0"/>
                <w:sz w:val="20"/>
                <w:szCs w:val="20"/>
              </w:rPr>
            </w:pPr>
          </w:p>
        </w:tc>
        <w:tc>
          <w:tcPr>
            <w:tcW w:w="2659" w:type="dxa"/>
            <w:gridSpan w:val="2"/>
            <w:tcBorders>
              <w:top w:val="single" w:color="auto" w:sz="4" w:space="0"/>
              <w:left w:val="single" w:color="auto" w:sz="4" w:space="0"/>
              <w:bottom w:val="single" w:color="auto" w:sz="4" w:space="0"/>
              <w:right w:val="single" w:color="auto" w:sz="4" w:space="0"/>
            </w:tcBorders>
            <w:vAlign w:val="center"/>
          </w:tcPr>
          <w:p w14:paraId="7736AA96">
            <w:pPr>
              <w:keepLines w:val="0"/>
              <w:pageBreakBefore w:val="0"/>
              <w:widowControl w:val="0"/>
              <w:kinsoku/>
              <w:overflowPunct/>
              <w:topLinePunct w:val="0"/>
              <w:autoSpaceDE/>
              <w:autoSpaceDN/>
              <w:bidi w:val="0"/>
              <w:adjustRightInd/>
              <w:jc w:val="center"/>
              <w:textAlignment w:val="auto"/>
              <w:rPr>
                <w:rFonts w:hint="default" w:ascii="Times New Roman" w:hAnsi="Times New Roman" w:cs="Times New Roman"/>
                <w:kern w:val="0"/>
                <w:sz w:val="20"/>
                <w:szCs w:val="20"/>
              </w:rPr>
            </w:pPr>
            <w:r>
              <w:rPr>
                <w:rFonts w:hint="default" w:ascii="Times New Roman" w:hAnsi="Times New Roman" w:cs="Times New Roman"/>
                <w:kern w:val="0"/>
                <w:sz w:val="20"/>
                <w:szCs w:val="20"/>
              </w:rPr>
              <w:t>数据备份</w:t>
            </w:r>
          </w:p>
        </w:tc>
        <w:tc>
          <w:tcPr>
            <w:tcW w:w="4546" w:type="dxa"/>
            <w:tcBorders>
              <w:top w:val="single" w:color="auto" w:sz="4" w:space="0"/>
              <w:left w:val="single" w:color="auto" w:sz="4" w:space="0"/>
              <w:bottom w:val="single" w:color="auto" w:sz="4" w:space="0"/>
              <w:right w:val="single" w:color="auto" w:sz="4" w:space="0"/>
            </w:tcBorders>
            <w:vAlign w:val="center"/>
          </w:tcPr>
          <w:p w14:paraId="382BB50A">
            <w:pPr>
              <w:keepLines w:val="0"/>
              <w:pageBreakBefore w:val="0"/>
              <w:widowControl w:val="0"/>
              <w:kinsoku/>
              <w:overflowPunct/>
              <w:topLinePunct w:val="0"/>
              <w:autoSpaceDE/>
              <w:autoSpaceDN/>
              <w:bidi w:val="0"/>
              <w:adjustRightInd/>
              <w:jc w:val="both"/>
              <w:textAlignment w:val="auto"/>
              <w:rPr>
                <w:rFonts w:hint="default" w:ascii="Times New Roman" w:hAnsi="Times New Roman" w:cs="Times New Roman"/>
                <w:kern w:val="0"/>
                <w:sz w:val="20"/>
                <w:szCs w:val="20"/>
              </w:rPr>
            </w:pPr>
            <w:r>
              <w:rPr>
                <w:rFonts w:hint="default" w:ascii="Times New Roman" w:hAnsi="Times New Roman" w:cs="Times New Roman"/>
                <w:kern w:val="0"/>
                <w:sz w:val="20"/>
                <w:szCs w:val="20"/>
              </w:rPr>
              <w:t>采集站硬盘阵列故障时需要备份历史数据</w:t>
            </w:r>
          </w:p>
        </w:tc>
        <w:tc>
          <w:tcPr>
            <w:tcW w:w="1155" w:type="dxa"/>
            <w:tcBorders>
              <w:top w:val="single" w:color="auto" w:sz="4" w:space="0"/>
              <w:left w:val="single" w:color="auto" w:sz="4" w:space="0"/>
              <w:bottom w:val="single" w:color="auto" w:sz="4" w:space="0"/>
              <w:right w:val="single" w:color="auto" w:sz="4" w:space="0"/>
            </w:tcBorders>
            <w:vAlign w:val="center"/>
          </w:tcPr>
          <w:p w14:paraId="32F210E0">
            <w:pPr>
              <w:keepLines w:val="0"/>
              <w:pageBreakBefore w:val="0"/>
              <w:widowControl w:val="0"/>
              <w:kinsoku/>
              <w:overflowPunct/>
              <w:topLinePunct w:val="0"/>
              <w:autoSpaceDE/>
              <w:autoSpaceDN/>
              <w:bidi w:val="0"/>
              <w:adjustRightInd/>
              <w:ind w:firstLine="400" w:firstLineChars="200"/>
              <w:jc w:val="center"/>
              <w:textAlignment w:val="auto"/>
              <w:rPr>
                <w:rFonts w:hint="default" w:ascii="Times New Roman" w:hAnsi="Times New Roman" w:cs="Times New Roman"/>
                <w:kern w:val="0"/>
                <w:sz w:val="20"/>
                <w:szCs w:val="20"/>
              </w:rPr>
            </w:pPr>
            <w:r>
              <w:rPr>
                <w:rFonts w:hint="default" w:ascii="Times New Roman" w:hAnsi="Times New Roman" w:cs="Times New Roman"/>
                <w:kern w:val="0"/>
                <w:sz w:val="20"/>
                <w:szCs w:val="20"/>
              </w:rPr>
              <w:t>现场</w:t>
            </w:r>
          </w:p>
        </w:tc>
      </w:tr>
      <w:tr w14:paraId="0D4BB2FE">
        <w:tblPrEx>
          <w:tblCellMar>
            <w:top w:w="0" w:type="dxa"/>
            <w:left w:w="108" w:type="dxa"/>
            <w:bottom w:w="0" w:type="dxa"/>
            <w:right w:w="108" w:type="dxa"/>
          </w:tblCellMar>
        </w:tblPrEx>
        <w:trPr>
          <w:trHeight w:val="457" w:hRule="atLeast"/>
        </w:trPr>
        <w:tc>
          <w:tcPr>
            <w:tcW w:w="1418" w:type="dxa"/>
            <w:vMerge w:val="continue"/>
            <w:tcBorders>
              <w:left w:val="single" w:color="auto" w:sz="4" w:space="0"/>
              <w:right w:val="single" w:color="auto" w:sz="4" w:space="0"/>
            </w:tcBorders>
            <w:vAlign w:val="center"/>
          </w:tcPr>
          <w:p w14:paraId="03E98112">
            <w:pPr>
              <w:keepLines w:val="0"/>
              <w:pageBreakBefore w:val="0"/>
              <w:widowControl w:val="0"/>
              <w:kinsoku/>
              <w:overflowPunct/>
              <w:topLinePunct w:val="0"/>
              <w:autoSpaceDE/>
              <w:autoSpaceDN/>
              <w:bidi w:val="0"/>
              <w:adjustRightInd/>
              <w:ind w:firstLine="400" w:firstLineChars="200"/>
              <w:jc w:val="center"/>
              <w:textAlignment w:val="auto"/>
              <w:rPr>
                <w:rFonts w:hint="default" w:ascii="Times New Roman" w:hAnsi="Times New Roman" w:cs="Times New Roman"/>
                <w:kern w:val="0"/>
                <w:sz w:val="20"/>
                <w:szCs w:val="20"/>
              </w:rPr>
            </w:pPr>
          </w:p>
        </w:tc>
        <w:tc>
          <w:tcPr>
            <w:tcW w:w="2659" w:type="dxa"/>
            <w:gridSpan w:val="2"/>
            <w:tcBorders>
              <w:top w:val="single" w:color="auto" w:sz="4" w:space="0"/>
              <w:left w:val="single" w:color="auto" w:sz="4" w:space="0"/>
              <w:bottom w:val="single" w:color="auto" w:sz="4" w:space="0"/>
              <w:right w:val="single" w:color="auto" w:sz="4" w:space="0"/>
            </w:tcBorders>
            <w:vAlign w:val="center"/>
          </w:tcPr>
          <w:p w14:paraId="7135F07E">
            <w:pPr>
              <w:keepLines w:val="0"/>
              <w:pageBreakBefore w:val="0"/>
              <w:widowControl w:val="0"/>
              <w:kinsoku/>
              <w:overflowPunct/>
              <w:topLinePunct w:val="0"/>
              <w:autoSpaceDE/>
              <w:autoSpaceDN/>
              <w:bidi w:val="0"/>
              <w:adjustRightInd/>
              <w:jc w:val="center"/>
              <w:textAlignment w:val="auto"/>
              <w:rPr>
                <w:rFonts w:hint="default" w:ascii="Times New Roman" w:hAnsi="Times New Roman" w:cs="Times New Roman"/>
                <w:kern w:val="0"/>
                <w:sz w:val="20"/>
                <w:szCs w:val="20"/>
              </w:rPr>
            </w:pPr>
            <w:r>
              <w:rPr>
                <w:rFonts w:hint="default" w:ascii="Times New Roman" w:hAnsi="Times New Roman" w:cs="Times New Roman"/>
                <w:kern w:val="0"/>
                <w:sz w:val="20"/>
                <w:szCs w:val="20"/>
              </w:rPr>
              <w:t>系统安装</w:t>
            </w:r>
          </w:p>
        </w:tc>
        <w:tc>
          <w:tcPr>
            <w:tcW w:w="4546" w:type="dxa"/>
            <w:tcBorders>
              <w:top w:val="single" w:color="auto" w:sz="4" w:space="0"/>
              <w:left w:val="single" w:color="auto" w:sz="4" w:space="0"/>
              <w:bottom w:val="single" w:color="auto" w:sz="4" w:space="0"/>
              <w:right w:val="single" w:color="auto" w:sz="4" w:space="0"/>
            </w:tcBorders>
            <w:vAlign w:val="center"/>
          </w:tcPr>
          <w:p w14:paraId="6BEBC991">
            <w:pPr>
              <w:keepLines w:val="0"/>
              <w:pageBreakBefore w:val="0"/>
              <w:widowControl w:val="0"/>
              <w:kinsoku/>
              <w:overflowPunct/>
              <w:topLinePunct w:val="0"/>
              <w:autoSpaceDE/>
              <w:autoSpaceDN/>
              <w:bidi w:val="0"/>
              <w:adjustRightInd/>
              <w:jc w:val="both"/>
              <w:textAlignment w:val="auto"/>
              <w:rPr>
                <w:rFonts w:hint="default" w:ascii="Times New Roman" w:hAnsi="Times New Roman" w:cs="Times New Roman"/>
                <w:kern w:val="0"/>
                <w:sz w:val="20"/>
                <w:szCs w:val="20"/>
              </w:rPr>
            </w:pPr>
            <w:r>
              <w:rPr>
                <w:rFonts w:hint="default" w:ascii="Times New Roman" w:hAnsi="Times New Roman" w:cs="Times New Roman"/>
                <w:kern w:val="0"/>
                <w:sz w:val="20"/>
                <w:szCs w:val="20"/>
              </w:rPr>
              <w:t>采集站系统崩溃或蓝屏时需要重装操作系统</w:t>
            </w:r>
          </w:p>
        </w:tc>
        <w:tc>
          <w:tcPr>
            <w:tcW w:w="1155" w:type="dxa"/>
            <w:tcBorders>
              <w:top w:val="single" w:color="auto" w:sz="4" w:space="0"/>
              <w:left w:val="single" w:color="auto" w:sz="4" w:space="0"/>
              <w:bottom w:val="single" w:color="auto" w:sz="4" w:space="0"/>
              <w:right w:val="single" w:color="auto" w:sz="4" w:space="0"/>
            </w:tcBorders>
            <w:vAlign w:val="center"/>
          </w:tcPr>
          <w:p w14:paraId="5A4BADE6">
            <w:pPr>
              <w:keepLines w:val="0"/>
              <w:pageBreakBefore w:val="0"/>
              <w:widowControl w:val="0"/>
              <w:kinsoku/>
              <w:overflowPunct/>
              <w:topLinePunct w:val="0"/>
              <w:autoSpaceDE/>
              <w:autoSpaceDN/>
              <w:bidi w:val="0"/>
              <w:adjustRightInd/>
              <w:ind w:firstLine="400" w:firstLineChars="200"/>
              <w:jc w:val="center"/>
              <w:textAlignment w:val="auto"/>
              <w:rPr>
                <w:rFonts w:hint="default" w:ascii="Times New Roman" w:hAnsi="Times New Roman" w:cs="Times New Roman"/>
                <w:kern w:val="0"/>
                <w:sz w:val="20"/>
                <w:szCs w:val="20"/>
              </w:rPr>
            </w:pPr>
            <w:r>
              <w:rPr>
                <w:rFonts w:hint="default" w:ascii="Times New Roman" w:hAnsi="Times New Roman" w:cs="Times New Roman"/>
                <w:kern w:val="0"/>
                <w:sz w:val="20"/>
                <w:szCs w:val="20"/>
              </w:rPr>
              <w:t>现场</w:t>
            </w:r>
          </w:p>
        </w:tc>
      </w:tr>
      <w:tr w14:paraId="4C77DB40">
        <w:tblPrEx>
          <w:tblCellMar>
            <w:top w:w="0" w:type="dxa"/>
            <w:left w:w="108" w:type="dxa"/>
            <w:bottom w:w="0" w:type="dxa"/>
            <w:right w:w="108" w:type="dxa"/>
          </w:tblCellMar>
        </w:tblPrEx>
        <w:trPr>
          <w:trHeight w:val="404" w:hRule="atLeast"/>
        </w:trPr>
        <w:tc>
          <w:tcPr>
            <w:tcW w:w="1418" w:type="dxa"/>
            <w:vMerge w:val="continue"/>
            <w:tcBorders>
              <w:left w:val="single" w:color="auto" w:sz="4" w:space="0"/>
              <w:right w:val="single" w:color="auto" w:sz="4" w:space="0"/>
            </w:tcBorders>
            <w:vAlign w:val="center"/>
          </w:tcPr>
          <w:p w14:paraId="0D1261FA">
            <w:pPr>
              <w:keepLines w:val="0"/>
              <w:pageBreakBefore w:val="0"/>
              <w:widowControl w:val="0"/>
              <w:kinsoku/>
              <w:overflowPunct/>
              <w:topLinePunct w:val="0"/>
              <w:autoSpaceDE/>
              <w:autoSpaceDN/>
              <w:bidi w:val="0"/>
              <w:adjustRightInd/>
              <w:ind w:firstLine="400" w:firstLineChars="200"/>
              <w:jc w:val="center"/>
              <w:textAlignment w:val="auto"/>
              <w:rPr>
                <w:rFonts w:hint="default" w:ascii="Times New Roman" w:hAnsi="Times New Roman" w:cs="Times New Roman"/>
                <w:kern w:val="0"/>
                <w:sz w:val="20"/>
                <w:szCs w:val="20"/>
              </w:rPr>
            </w:pPr>
          </w:p>
        </w:tc>
        <w:tc>
          <w:tcPr>
            <w:tcW w:w="2659" w:type="dxa"/>
            <w:gridSpan w:val="2"/>
            <w:tcBorders>
              <w:top w:val="single" w:color="auto" w:sz="4" w:space="0"/>
              <w:left w:val="single" w:color="auto" w:sz="4" w:space="0"/>
              <w:bottom w:val="single" w:color="auto" w:sz="4" w:space="0"/>
              <w:right w:val="single" w:color="auto" w:sz="4" w:space="0"/>
            </w:tcBorders>
            <w:vAlign w:val="center"/>
          </w:tcPr>
          <w:p w14:paraId="29DA62FE">
            <w:pPr>
              <w:keepLines w:val="0"/>
              <w:pageBreakBefore w:val="0"/>
              <w:widowControl w:val="0"/>
              <w:kinsoku/>
              <w:overflowPunct/>
              <w:topLinePunct w:val="0"/>
              <w:autoSpaceDE/>
              <w:autoSpaceDN/>
              <w:bidi w:val="0"/>
              <w:adjustRightInd/>
              <w:jc w:val="center"/>
              <w:textAlignment w:val="auto"/>
              <w:rPr>
                <w:rFonts w:hint="default" w:ascii="Times New Roman" w:hAnsi="Times New Roman" w:cs="Times New Roman"/>
                <w:kern w:val="0"/>
                <w:sz w:val="20"/>
                <w:szCs w:val="20"/>
              </w:rPr>
            </w:pPr>
            <w:r>
              <w:rPr>
                <w:rFonts w:hint="default" w:ascii="Times New Roman" w:hAnsi="Times New Roman" w:cs="Times New Roman"/>
                <w:kern w:val="0"/>
                <w:sz w:val="20"/>
                <w:szCs w:val="20"/>
              </w:rPr>
              <w:t>驱动更新</w:t>
            </w:r>
          </w:p>
        </w:tc>
        <w:tc>
          <w:tcPr>
            <w:tcW w:w="4546" w:type="dxa"/>
            <w:tcBorders>
              <w:top w:val="single" w:color="auto" w:sz="4" w:space="0"/>
              <w:left w:val="single" w:color="auto" w:sz="4" w:space="0"/>
              <w:bottom w:val="single" w:color="auto" w:sz="4" w:space="0"/>
              <w:right w:val="single" w:color="auto" w:sz="4" w:space="0"/>
            </w:tcBorders>
            <w:vAlign w:val="center"/>
          </w:tcPr>
          <w:p w14:paraId="29DF6F93">
            <w:pPr>
              <w:keepLines w:val="0"/>
              <w:pageBreakBefore w:val="0"/>
              <w:widowControl w:val="0"/>
              <w:kinsoku/>
              <w:overflowPunct/>
              <w:topLinePunct w:val="0"/>
              <w:autoSpaceDE/>
              <w:autoSpaceDN/>
              <w:bidi w:val="0"/>
              <w:adjustRightInd/>
              <w:jc w:val="both"/>
              <w:textAlignment w:val="auto"/>
              <w:rPr>
                <w:rFonts w:hint="default" w:ascii="Times New Roman" w:hAnsi="Times New Roman" w:cs="Times New Roman"/>
                <w:kern w:val="0"/>
                <w:sz w:val="20"/>
                <w:szCs w:val="20"/>
              </w:rPr>
            </w:pPr>
            <w:r>
              <w:rPr>
                <w:rFonts w:hint="default" w:ascii="Times New Roman" w:hAnsi="Times New Roman" w:cs="Times New Roman"/>
                <w:kern w:val="0"/>
                <w:sz w:val="20"/>
                <w:szCs w:val="20"/>
              </w:rPr>
              <w:t>采集站重装操作系统后需要更新硬件驱动</w:t>
            </w:r>
          </w:p>
        </w:tc>
        <w:tc>
          <w:tcPr>
            <w:tcW w:w="1155" w:type="dxa"/>
            <w:tcBorders>
              <w:top w:val="single" w:color="auto" w:sz="4" w:space="0"/>
              <w:left w:val="single" w:color="auto" w:sz="4" w:space="0"/>
              <w:bottom w:val="single" w:color="auto" w:sz="4" w:space="0"/>
              <w:right w:val="single" w:color="auto" w:sz="4" w:space="0"/>
            </w:tcBorders>
            <w:vAlign w:val="center"/>
          </w:tcPr>
          <w:p w14:paraId="73DE40A2">
            <w:pPr>
              <w:keepLines w:val="0"/>
              <w:pageBreakBefore w:val="0"/>
              <w:widowControl w:val="0"/>
              <w:kinsoku/>
              <w:overflowPunct/>
              <w:topLinePunct w:val="0"/>
              <w:autoSpaceDE/>
              <w:autoSpaceDN/>
              <w:bidi w:val="0"/>
              <w:adjustRightInd/>
              <w:ind w:firstLine="400" w:firstLineChars="200"/>
              <w:jc w:val="center"/>
              <w:textAlignment w:val="auto"/>
              <w:rPr>
                <w:rFonts w:hint="default" w:ascii="Times New Roman" w:hAnsi="Times New Roman" w:cs="Times New Roman"/>
                <w:kern w:val="0"/>
                <w:sz w:val="20"/>
                <w:szCs w:val="20"/>
              </w:rPr>
            </w:pPr>
            <w:r>
              <w:rPr>
                <w:rFonts w:hint="default" w:ascii="Times New Roman" w:hAnsi="Times New Roman" w:cs="Times New Roman"/>
                <w:kern w:val="0"/>
                <w:sz w:val="20"/>
                <w:szCs w:val="20"/>
              </w:rPr>
              <w:t>现场</w:t>
            </w:r>
          </w:p>
        </w:tc>
      </w:tr>
      <w:tr w14:paraId="79DC50F2">
        <w:tblPrEx>
          <w:tblCellMar>
            <w:top w:w="0" w:type="dxa"/>
            <w:left w:w="108" w:type="dxa"/>
            <w:bottom w:w="0" w:type="dxa"/>
            <w:right w:w="108" w:type="dxa"/>
          </w:tblCellMar>
        </w:tblPrEx>
        <w:trPr>
          <w:trHeight w:val="90" w:hRule="atLeast"/>
        </w:trPr>
        <w:tc>
          <w:tcPr>
            <w:tcW w:w="1418" w:type="dxa"/>
            <w:vMerge w:val="continue"/>
            <w:tcBorders>
              <w:left w:val="single" w:color="auto" w:sz="4" w:space="0"/>
              <w:bottom w:val="single" w:color="auto" w:sz="4" w:space="0"/>
              <w:right w:val="single" w:color="auto" w:sz="4" w:space="0"/>
            </w:tcBorders>
            <w:vAlign w:val="center"/>
          </w:tcPr>
          <w:p w14:paraId="0CC52A63">
            <w:pPr>
              <w:keepLines w:val="0"/>
              <w:pageBreakBefore w:val="0"/>
              <w:widowControl w:val="0"/>
              <w:kinsoku/>
              <w:overflowPunct/>
              <w:topLinePunct w:val="0"/>
              <w:autoSpaceDE/>
              <w:autoSpaceDN/>
              <w:bidi w:val="0"/>
              <w:adjustRightInd/>
              <w:ind w:firstLine="400" w:firstLineChars="200"/>
              <w:jc w:val="center"/>
              <w:textAlignment w:val="auto"/>
              <w:rPr>
                <w:rFonts w:hint="default" w:ascii="Times New Roman" w:hAnsi="Times New Roman" w:cs="Times New Roman"/>
                <w:kern w:val="0"/>
                <w:sz w:val="20"/>
                <w:szCs w:val="20"/>
              </w:rPr>
            </w:pPr>
          </w:p>
        </w:tc>
        <w:tc>
          <w:tcPr>
            <w:tcW w:w="2659" w:type="dxa"/>
            <w:gridSpan w:val="2"/>
            <w:tcBorders>
              <w:top w:val="single" w:color="auto" w:sz="4" w:space="0"/>
              <w:left w:val="single" w:color="auto" w:sz="4" w:space="0"/>
              <w:bottom w:val="single" w:color="auto" w:sz="4" w:space="0"/>
              <w:right w:val="single" w:color="auto" w:sz="4" w:space="0"/>
            </w:tcBorders>
            <w:vAlign w:val="center"/>
          </w:tcPr>
          <w:p w14:paraId="0E983783">
            <w:pPr>
              <w:keepLines w:val="0"/>
              <w:pageBreakBefore w:val="0"/>
              <w:widowControl w:val="0"/>
              <w:kinsoku/>
              <w:overflowPunct/>
              <w:topLinePunct w:val="0"/>
              <w:autoSpaceDE/>
              <w:autoSpaceDN/>
              <w:bidi w:val="0"/>
              <w:adjustRightInd/>
              <w:jc w:val="center"/>
              <w:textAlignment w:val="auto"/>
              <w:rPr>
                <w:rFonts w:hint="default" w:ascii="Times New Roman" w:hAnsi="Times New Roman" w:cs="Times New Roman"/>
                <w:kern w:val="0"/>
                <w:sz w:val="20"/>
                <w:szCs w:val="20"/>
              </w:rPr>
            </w:pPr>
            <w:r>
              <w:rPr>
                <w:rFonts w:hint="default" w:ascii="Times New Roman" w:hAnsi="Times New Roman" w:cs="Times New Roman"/>
                <w:kern w:val="0"/>
                <w:sz w:val="20"/>
                <w:szCs w:val="20"/>
              </w:rPr>
              <w:t>漏洞修复</w:t>
            </w:r>
          </w:p>
        </w:tc>
        <w:tc>
          <w:tcPr>
            <w:tcW w:w="4546" w:type="dxa"/>
            <w:tcBorders>
              <w:top w:val="single" w:color="auto" w:sz="4" w:space="0"/>
              <w:left w:val="single" w:color="auto" w:sz="4" w:space="0"/>
              <w:bottom w:val="single" w:color="auto" w:sz="4" w:space="0"/>
              <w:right w:val="single" w:color="auto" w:sz="4" w:space="0"/>
            </w:tcBorders>
            <w:vAlign w:val="center"/>
          </w:tcPr>
          <w:p w14:paraId="45F969F3">
            <w:pPr>
              <w:keepLines w:val="0"/>
              <w:pageBreakBefore w:val="0"/>
              <w:widowControl w:val="0"/>
              <w:kinsoku/>
              <w:overflowPunct/>
              <w:topLinePunct w:val="0"/>
              <w:autoSpaceDE/>
              <w:autoSpaceDN/>
              <w:bidi w:val="0"/>
              <w:adjustRightInd/>
              <w:jc w:val="both"/>
              <w:textAlignment w:val="auto"/>
              <w:rPr>
                <w:rFonts w:hint="default" w:ascii="Times New Roman" w:hAnsi="Times New Roman" w:cs="Times New Roman"/>
                <w:kern w:val="0"/>
                <w:sz w:val="20"/>
                <w:szCs w:val="20"/>
              </w:rPr>
            </w:pPr>
            <w:r>
              <w:rPr>
                <w:rFonts w:hint="default" w:ascii="Times New Roman" w:hAnsi="Times New Roman" w:cs="Times New Roman"/>
                <w:kern w:val="0"/>
                <w:sz w:val="20"/>
                <w:szCs w:val="20"/>
              </w:rPr>
              <w:t>采集站被检测到系统漏洞时需要安装系统安全补丁修复漏洞</w:t>
            </w:r>
          </w:p>
        </w:tc>
        <w:tc>
          <w:tcPr>
            <w:tcW w:w="1155" w:type="dxa"/>
            <w:tcBorders>
              <w:top w:val="single" w:color="auto" w:sz="4" w:space="0"/>
              <w:left w:val="single" w:color="auto" w:sz="4" w:space="0"/>
              <w:bottom w:val="single" w:color="auto" w:sz="4" w:space="0"/>
              <w:right w:val="single" w:color="auto" w:sz="4" w:space="0"/>
            </w:tcBorders>
            <w:vAlign w:val="center"/>
          </w:tcPr>
          <w:p w14:paraId="4580CC74">
            <w:pPr>
              <w:keepLines w:val="0"/>
              <w:pageBreakBefore w:val="0"/>
              <w:widowControl w:val="0"/>
              <w:kinsoku/>
              <w:overflowPunct/>
              <w:topLinePunct w:val="0"/>
              <w:autoSpaceDE/>
              <w:autoSpaceDN/>
              <w:bidi w:val="0"/>
              <w:adjustRightInd/>
              <w:ind w:firstLine="400" w:firstLineChars="200"/>
              <w:jc w:val="center"/>
              <w:textAlignment w:val="auto"/>
              <w:rPr>
                <w:rFonts w:hint="default" w:ascii="Times New Roman" w:hAnsi="Times New Roman" w:cs="Times New Roman"/>
                <w:kern w:val="0"/>
                <w:sz w:val="20"/>
                <w:szCs w:val="20"/>
              </w:rPr>
            </w:pPr>
            <w:r>
              <w:rPr>
                <w:rFonts w:hint="default" w:ascii="Times New Roman" w:hAnsi="Times New Roman" w:cs="Times New Roman"/>
                <w:kern w:val="0"/>
                <w:sz w:val="20"/>
                <w:szCs w:val="20"/>
              </w:rPr>
              <w:t>远程</w:t>
            </w:r>
          </w:p>
        </w:tc>
      </w:tr>
      <w:tr w14:paraId="357FAC2F">
        <w:tblPrEx>
          <w:tblCellMar>
            <w:top w:w="0" w:type="dxa"/>
            <w:left w:w="108" w:type="dxa"/>
            <w:bottom w:w="0" w:type="dxa"/>
            <w:right w:w="108" w:type="dxa"/>
          </w:tblCellMar>
        </w:tblPrEx>
        <w:trPr>
          <w:trHeight w:val="484" w:hRule="atLeast"/>
        </w:trPr>
        <w:tc>
          <w:tcPr>
            <w:tcW w:w="1418" w:type="dxa"/>
            <w:vMerge w:val="restart"/>
            <w:tcBorders>
              <w:top w:val="single" w:color="auto" w:sz="4" w:space="0"/>
              <w:left w:val="single" w:color="auto" w:sz="4" w:space="0"/>
              <w:bottom w:val="single" w:color="auto" w:sz="4" w:space="0"/>
              <w:right w:val="single" w:color="auto" w:sz="4" w:space="0"/>
            </w:tcBorders>
            <w:vAlign w:val="center"/>
          </w:tcPr>
          <w:p w14:paraId="2C9AB259">
            <w:pPr>
              <w:pageBreakBefore w:val="0"/>
              <w:widowControl/>
              <w:kinsoku/>
              <w:overflowPunct/>
              <w:topLinePunct w:val="0"/>
              <w:autoSpaceDE/>
              <w:autoSpaceDN/>
              <w:bidi w:val="0"/>
              <w:adjustRightInd/>
              <w:spacing w:line="600" w:lineRule="exact"/>
              <w:jc w:val="center"/>
              <w:textAlignment w:val="auto"/>
              <w:rPr>
                <w:rFonts w:hint="default" w:ascii="Times New Roman" w:hAnsi="Times New Roman" w:cs="Times New Roman"/>
                <w:kern w:val="0"/>
                <w:sz w:val="20"/>
                <w:szCs w:val="20"/>
              </w:rPr>
            </w:pPr>
            <w:r>
              <w:rPr>
                <w:rFonts w:hint="default" w:ascii="Times New Roman" w:hAnsi="Times New Roman" w:cs="Times New Roman"/>
                <w:kern w:val="0"/>
                <w:sz w:val="20"/>
                <w:lang w:val="en-US" w:eastAsia="zh-CN"/>
              </w:rPr>
              <w:t>年度巡检</w:t>
            </w:r>
          </w:p>
        </w:tc>
        <w:tc>
          <w:tcPr>
            <w:tcW w:w="2659" w:type="dxa"/>
            <w:gridSpan w:val="2"/>
            <w:tcBorders>
              <w:top w:val="single" w:color="auto" w:sz="4" w:space="0"/>
              <w:left w:val="single" w:color="auto" w:sz="4" w:space="0"/>
              <w:bottom w:val="single" w:color="auto" w:sz="4" w:space="0"/>
              <w:right w:val="single" w:color="auto" w:sz="4" w:space="0"/>
            </w:tcBorders>
            <w:vAlign w:val="center"/>
          </w:tcPr>
          <w:p w14:paraId="343FA4BF">
            <w:pPr>
              <w:pageBreakBefore w:val="0"/>
              <w:widowControl/>
              <w:kinsoku/>
              <w:overflowPunct/>
              <w:topLinePunct w:val="0"/>
              <w:autoSpaceDE/>
              <w:autoSpaceDN/>
              <w:bidi w:val="0"/>
              <w:adjustRightInd/>
              <w:spacing w:line="600" w:lineRule="exact"/>
              <w:jc w:val="center"/>
              <w:textAlignment w:val="auto"/>
              <w:rPr>
                <w:rFonts w:hint="default" w:ascii="Times New Roman" w:hAnsi="Times New Roman" w:cs="Times New Roman"/>
                <w:kern w:val="0"/>
                <w:sz w:val="20"/>
                <w:szCs w:val="20"/>
              </w:rPr>
            </w:pPr>
            <w:r>
              <w:rPr>
                <w:rFonts w:hint="default" w:ascii="Times New Roman" w:hAnsi="Times New Roman" w:cs="Times New Roman"/>
                <w:kern w:val="0"/>
                <w:sz w:val="20"/>
                <w:lang w:val="en-US" w:eastAsia="zh-CN"/>
              </w:rPr>
              <w:t>软硬件巡检</w:t>
            </w:r>
          </w:p>
        </w:tc>
        <w:tc>
          <w:tcPr>
            <w:tcW w:w="4546" w:type="dxa"/>
            <w:tcBorders>
              <w:top w:val="single" w:color="auto" w:sz="4" w:space="0"/>
              <w:left w:val="single" w:color="auto" w:sz="4" w:space="0"/>
              <w:bottom w:val="single" w:color="auto" w:sz="4" w:space="0"/>
              <w:right w:val="single" w:color="auto" w:sz="4" w:space="0"/>
            </w:tcBorders>
            <w:vAlign w:val="center"/>
          </w:tcPr>
          <w:p w14:paraId="2A81FD02">
            <w:pPr>
              <w:pageBreakBefore w:val="0"/>
              <w:widowControl/>
              <w:kinsoku/>
              <w:overflowPunct/>
              <w:topLinePunct w:val="0"/>
              <w:autoSpaceDE/>
              <w:autoSpaceDN/>
              <w:bidi w:val="0"/>
              <w:adjustRightInd/>
              <w:spacing w:line="600" w:lineRule="exact"/>
              <w:jc w:val="left"/>
              <w:textAlignment w:val="auto"/>
              <w:rPr>
                <w:rFonts w:hint="default" w:ascii="Times New Roman" w:hAnsi="Times New Roman" w:cs="Times New Roman"/>
                <w:kern w:val="0"/>
                <w:sz w:val="20"/>
                <w:szCs w:val="20"/>
              </w:rPr>
            </w:pPr>
            <w:r>
              <w:rPr>
                <w:rFonts w:hint="default" w:ascii="Times New Roman" w:hAnsi="Times New Roman" w:cs="Times New Roman"/>
                <w:kern w:val="0"/>
                <w:sz w:val="20"/>
                <w:lang w:val="en-US" w:eastAsia="zh-CN"/>
              </w:rPr>
              <w:t>对采集站软硬件状态及使用情况进行检查</w:t>
            </w:r>
          </w:p>
        </w:tc>
        <w:tc>
          <w:tcPr>
            <w:tcW w:w="1155" w:type="dxa"/>
            <w:tcBorders>
              <w:top w:val="single" w:color="auto" w:sz="4" w:space="0"/>
              <w:left w:val="single" w:color="auto" w:sz="4" w:space="0"/>
              <w:bottom w:val="single" w:color="auto" w:sz="4" w:space="0"/>
              <w:right w:val="single" w:color="auto" w:sz="4" w:space="0"/>
            </w:tcBorders>
            <w:vAlign w:val="center"/>
          </w:tcPr>
          <w:p w14:paraId="1ADA8BD1">
            <w:pPr>
              <w:pageBreakBefore w:val="0"/>
              <w:widowControl/>
              <w:kinsoku/>
              <w:overflowPunct/>
              <w:topLinePunct w:val="0"/>
              <w:autoSpaceDE/>
              <w:autoSpaceDN/>
              <w:bidi w:val="0"/>
              <w:adjustRightInd/>
              <w:spacing w:line="600" w:lineRule="exact"/>
              <w:jc w:val="center"/>
              <w:textAlignment w:val="auto"/>
              <w:rPr>
                <w:rFonts w:hint="default" w:ascii="Times New Roman" w:hAnsi="Times New Roman" w:cs="Times New Roman"/>
                <w:kern w:val="0"/>
                <w:sz w:val="20"/>
                <w:szCs w:val="20"/>
              </w:rPr>
            </w:pPr>
            <w:r>
              <w:rPr>
                <w:rFonts w:hint="eastAsia" w:ascii="Times New Roman" w:hAnsi="Times New Roman" w:cs="Times New Roman"/>
                <w:kern w:val="0"/>
                <w:sz w:val="20"/>
                <w:lang w:val="en-US" w:eastAsia="zh-CN"/>
              </w:rPr>
              <w:t xml:space="preserve">    </w:t>
            </w:r>
            <w:r>
              <w:rPr>
                <w:rFonts w:hint="default" w:ascii="Times New Roman" w:hAnsi="Times New Roman" w:cs="Times New Roman"/>
                <w:kern w:val="0"/>
                <w:sz w:val="20"/>
              </w:rPr>
              <w:t>现场</w:t>
            </w:r>
          </w:p>
        </w:tc>
      </w:tr>
      <w:tr w14:paraId="4C0A96E4">
        <w:tblPrEx>
          <w:tblCellMar>
            <w:top w:w="0" w:type="dxa"/>
            <w:left w:w="108" w:type="dxa"/>
            <w:bottom w:w="0" w:type="dxa"/>
            <w:right w:w="108" w:type="dxa"/>
          </w:tblCellMar>
        </w:tblPrEx>
        <w:trPr>
          <w:trHeight w:val="978" w:hRule="atLeast"/>
        </w:trPr>
        <w:tc>
          <w:tcPr>
            <w:tcW w:w="1418" w:type="dxa"/>
            <w:vMerge w:val="continue"/>
            <w:tcBorders>
              <w:top w:val="single" w:color="auto" w:sz="4" w:space="0"/>
              <w:left w:val="single" w:color="auto" w:sz="4" w:space="0"/>
              <w:bottom w:val="single" w:color="auto" w:sz="4" w:space="0"/>
              <w:right w:val="single" w:color="auto" w:sz="4" w:space="0"/>
            </w:tcBorders>
            <w:vAlign w:val="center"/>
          </w:tcPr>
          <w:p w14:paraId="162E844A">
            <w:pPr>
              <w:pageBreakBefore w:val="0"/>
              <w:widowControl/>
              <w:kinsoku/>
              <w:overflowPunct/>
              <w:topLinePunct w:val="0"/>
              <w:autoSpaceDE/>
              <w:autoSpaceDN/>
              <w:bidi w:val="0"/>
              <w:adjustRightInd/>
              <w:spacing w:line="600" w:lineRule="exact"/>
              <w:jc w:val="center"/>
              <w:textAlignment w:val="auto"/>
              <w:rPr>
                <w:rFonts w:hint="default" w:ascii="Times New Roman" w:hAnsi="Times New Roman" w:cs="Times New Roman"/>
                <w:kern w:val="0"/>
                <w:sz w:val="20"/>
                <w:szCs w:val="20"/>
              </w:rPr>
            </w:pPr>
          </w:p>
        </w:tc>
        <w:tc>
          <w:tcPr>
            <w:tcW w:w="2659" w:type="dxa"/>
            <w:gridSpan w:val="2"/>
            <w:tcBorders>
              <w:top w:val="single" w:color="auto" w:sz="4" w:space="0"/>
              <w:left w:val="single" w:color="auto" w:sz="4" w:space="0"/>
              <w:bottom w:val="single" w:color="auto" w:sz="4" w:space="0"/>
              <w:right w:val="single" w:color="auto" w:sz="4" w:space="0"/>
            </w:tcBorders>
            <w:vAlign w:val="center"/>
          </w:tcPr>
          <w:p w14:paraId="7ED30832">
            <w:pPr>
              <w:pageBreakBefore w:val="0"/>
              <w:widowControl/>
              <w:kinsoku/>
              <w:overflowPunct/>
              <w:topLinePunct w:val="0"/>
              <w:autoSpaceDE/>
              <w:autoSpaceDN/>
              <w:bidi w:val="0"/>
              <w:adjustRightInd/>
              <w:spacing w:line="600" w:lineRule="exact"/>
              <w:jc w:val="center"/>
              <w:textAlignment w:val="auto"/>
              <w:rPr>
                <w:rFonts w:hint="default" w:ascii="Times New Roman" w:hAnsi="Times New Roman" w:cs="Times New Roman"/>
                <w:kern w:val="0"/>
                <w:sz w:val="20"/>
                <w:szCs w:val="20"/>
              </w:rPr>
            </w:pPr>
            <w:r>
              <w:rPr>
                <w:rFonts w:hint="default" w:ascii="Times New Roman" w:hAnsi="Times New Roman" w:cs="Times New Roman"/>
                <w:kern w:val="0"/>
                <w:sz w:val="20"/>
                <w:lang w:val="en-US" w:eastAsia="zh-CN"/>
              </w:rPr>
              <w:t>使用建议及操作培训</w:t>
            </w:r>
          </w:p>
        </w:tc>
        <w:tc>
          <w:tcPr>
            <w:tcW w:w="4546" w:type="dxa"/>
            <w:tcBorders>
              <w:top w:val="single" w:color="auto" w:sz="4" w:space="0"/>
              <w:left w:val="single" w:color="auto" w:sz="4" w:space="0"/>
              <w:bottom w:val="single" w:color="auto" w:sz="4" w:space="0"/>
              <w:right w:val="single" w:color="auto" w:sz="4" w:space="0"/>
            </w:tcBorders>
            <w:vAlign w:val="center"/>
          </w:tcPr>
          <w:p w14:paraId="5988D917">
            <w:pPr>
              <w:pageBreakBefore w:val="0"/>
              <w:widowControl/>
              <w:kinsoku/>
              <w:overflowPunct/>
              <w:topLinePunct w:val="0"/>
              <w:autoSpaceDE/>
              <w:autoSpaceDN/>
              <w:bidi w:val="0"/>
              <w:adjustRightInd/>
              <w:spacing w:line="600" w:lineRule="exact"/>
              <w:jc w:val="left"/>
              <w:textAlignment w:val="auto"/>
              <w:rPr>
                <w:rFonts w:hint="default" w:ascii="Times New Roman" w:hAnsi="Times New Roman" w:cs="Times New Roman"/>
                <w:kern w:val="0"/>
                <w:sz w:val="20"/>
                <w:lang w:val="en-US" w:eastAsia="zh-CN"/>
              </w:rPr>
            </w:pPr>
            <w:r>
              <w:rPr>
                <w:rFonts w:hint="default" w:ascii="Times New Roman" w:hAnsi="Times New Roman" w:cs="Times New Roman"/>
                <w:kern w:val="0"/>
                <w:sz w:val="20"/>
                <w:lang w:val="en-US" w:eastAsia="zh-CN"/>
              </w:rPr>
              <w:t>针对派出所使用实际提出针对性意见建议并开</w:t>
            </w:r>
          </w:p>
          <w:p w14:paraId="48750840">
            <w:pPr>
              <w:pageBreakBefore w:val="0"/>
              <w:widowControl/>
              <w:kinsoku/>
              <w:overflowPunct/>
              <w:topLinePunct w:val="0"/>
              <w:autoSpaceDE/>
              <w:autoSpaceDN/>
              <w:bidi w:val="0"/>
              <w:adjustRightInd/>
              <w:spacing w:line="600" w:lineRule="exact"/>
              <w:jc w:val="left"/>
              <w:textAlignment w:val="auto"/>
              <w:rPr>
                <w:rFonts w:hint="default" w:ascii="Times New Roman" w:hAnsi="Times New Roman" w:cs="Times New Roman"/>
                <w:kern w:val="0"/>
                <w:sz w:val="20"/>
                <w:szCs w:val="20"/>
              </w:rPr>
            </w:pPr>
            <w:r>
              <w:rPr>
                <w:rFonts w:hint="default" w:ascii="Times New Roman" w:hAnsi="Times New Roman" w:cs="Times New Roman"/>
                <w:kern w:val="0"/>
                <w:sz w:val="20"/>
                <w:lang w:val="en-US" w:eastAsia="zh-CN"/>
              </w:rPr>
              <w:t>相关操作培训</w:t>
            </w:r>
          </w:p>
        </w:tc>
        <w:tc>
          <w:tcPr>
            <w:tcW w:w="1155" w:type="dxa"/>
            <w:tcBorders>
              <w:top w:val="single" w:color="auto" w:sz="4" w:space="0"/>
              <w:left w:val="single" w:color="auto" w:sz="4" w:space="0"/>
              <w:bottom w:val="single" w:color="auto" w:sz="4" w:space="0"/>
              <w:right w:val="single" w:color="auto" w:sz="4" w:space="0"/>
            </w:tcBorders>
            <w:vAlign w:val="center"/>
          </w:tcPr>
          <w:p w14:paraId="384BA53D">
            <w:pPr>
              <w:pageBreakBefore w:val="0"/>
              <w:widowControl/>
              <w:kinsoku/>
              <w:overflowPunct/>
              <w:topLinePunct w:val="0"/>
              <w:autoSpaceDE/>
              <w:autoSpaceDN/>
              <w:bidi w:val="0"/>
              <w:adjustRightInd/>
              <w:spacing w:line="600" w:lineRule="exact"/>
              <w:jc w:val="center"/>
              <w:textAlignment w:val="auto"/>
              <w:rPr>
                <w:rFonts w:hint="default" w:ascii="Times New Roman" w:hAnsi="Times New Roman" w:cs="Times New Roman"/>
                <w:kern w:val="0"/>
                <w:sz w:val="20"/>
                <w:szCs w:val="20"/>
              </w:rPr>
            </w:pPr>
            <w:r>
              <w:rPr>
                <w:rFonts w:hint="eastAsia" w:ascii="Times New Roman" w:hAnsi="Times New Roman" w:cs="Times New Roman"/>
                <w:kern w:val="0"/>
                <w:sz w:val="20"/>
                <w:lang w:val="en-US" w:eastAsia="zh-CN"/>
              </w:rPr>
              <w:t xml:space="preserve">   </w:t>
            </w:r>
            <w:r>
              <w:rPr>
                <w:rFonts w:hint="default" w:ascii="Times New Roman" w:hAnsi="Times New Roman" w:cs="Times New Roman"/>
                <w:kern w:val="0"/>
                <w:sz w:val="20"/>
              </w:rPr>
              <w:t>现场</w:t>
            </w:r>
          </w:p>
        </w:tc>
      </w:tr>
      <w:tr w14:paraId="45ABB424">
        <w:tblPrEx>
          <w:tblCellMar>
            <w:top w:w="0" w:type="dxa"/>
            <w:left w:w="108" w:type="dxa"/>
            <w:bottom w:w="0" w:type="dxa"/>
            <w:right w:w="108" w:type="dxa"/>
          </w:tblCellMar>
        </w:tblPrEx>
        <w:trPr>
          <w:trHeight w:val="90" w:hRule="atLeast"/>
        </w:trPr>
        <w:tc>
          <w:tcPr>
            <w:tcW w:w="1418" w:type="dxa"/>
            <w:tcBorders>
              <w:top w:val="single" w:color="auto" w:sz="4" w:space="0"/>
              <w:left w:val="single" w:color="auto" w:sz="4" w:space="0"/>
              <w:bottom w:val="single" w:color="auto" w:sz="4" w:space="0"/>
              <w:right w:val="single" w:color="auto" w:sz="4" w:space="0"/>
            </w:tcBorders>
            <w:vAlign w:val="center"/>
          </w:tcPr>
          <w:p w14:paraId="55AC2155">
            <w:pPr>
              <w:keepLines w:val="0"/>
              <w:pageBreakBefore w:val="0"/>
              <w:widowControl w:val="0"/>
              <w:kinsoku/>
              <w:overflowPunct/>
              <w:topLinePunct w:val="0"/>
              <w:autoSpaceDE/>
              <w:autoSpaceDN/>
              <w:bidi w:val="0"/>
              <w:adjustRightInd/>
              <w:ind w:firstLine="200" w:firstLineChars="100"/>
              <w:jc w:val="center"/>
              <w:textAlignment w:val="auto"/>
              <w:rPr>
                <w:rFonts w:hint="default" w:ascii="Times New Roman" w:hAnsi="Times New Roman" w:cs="Times New Roman"/>
                <w:kern w:val="0"/>
                <w:sz w:val="20"/>
                <w:szCs w:val="20"/>
              </w:rPr>
            </w:pPr>
            <w:r>
              <w:rPr>
                <w:rFonts w:hint="default" w:ascii="Times New Roman" w:hAnsi="Times New Roman" w:cs="Times New Roman"/>
                <w:kern w:val="0"/>
                <w:sz w:val="20"/>
                <w:szCs w:val="20"/>
              </w:rPr>
              <w:t>驻场服务</w:t>
            </w:r>
          </w:p>
        </w:tc>
        <w:tc>
          <w:tcPr>
            <w:tcW w:w="2659" w:type="dxa"/>
            <w:gridSpan w:val="2"/>
            <w:tcBorders>
              <w:top w:val="single" w:color="auto" w:sz="4" w:space="0"/>
              <w:left w:val="single" w:color="auto" w:sz="4" w:space="0"/>
              <w:bottom w:val="single" w:color="auto" w:sz="4" w:space="0"/>
              <w:right w:val="single" w:color="auto" w:sz="4" w:space="0"/>
            </w:tcBorders>
            <w:vAlign w:val="center"/>
          </w:tcPr>
          <w:p w14:paraId="18230EFC">
            <w:pPr>
              <w:keepLines w:val="0"/>
              <w:pageBreakBefore w:val="0"/>
              <w:widowControl w:val="0"/>
              <w:kinsoku/>
              <w:overflowPunct/>
              <w:topLinePunct w:val="0"/>
              <w:autoSpaceDE/>
              <w:autoSpaceDN/>
              <w:bidi w:val="0"/>
              <w:adjustRightInd/>
              <w:jc w:val="both"/>
              <w:textAlignment w:val="auto"/>
              <w:rPr>
                <w:rFonts w:hint="default" w:ascii="Times New Roman" w:hAnsi="Times New Roman" w:cs="Times New Roman"/>
                <w:kern w:val="0"/>
                <w:sz w:val="20"/>
                <w:szCs w:val="20"/>
              </w:rPr>
            </w:pPr>
            <w:r>
              <w:rPr>
                <w:rFonts w:hint="default" w:ascii="Times New Roman" w:hAnsi="Times New Roman" w:cs="Times New Roman"/>
                <w:kern w:val="0"/>
                <w:sz w:val="20"/>
                <w:szCs w:val="20"/>
              </w:rPr>
              <w:t>甲方指定工作地点，以甲方的身份入驻用户场地，协助厂商处理日常事务；</w:t>
            </w:r>
          </w:p>
        </w:tc>
        <w:tc>
          <w:tcPr>
            <w:tcW w:w="4546" w:type="dxa"/>
            <w:tcBorders>
              <w:top w:val="single" w:color="auto" w:sz="4" w:space="0"/>
              <w:left w:val="single" w:color="auto" w:sz="4" w:space="0"/>
              <w:bottom w:val="single" w:color="auto" w:sz="4" w:space="0"/>
              <w:right w:val="single" w:color="auto" w:sz="4" w:space="0"/>
            </w:tcBorders>
            <w:vAlign w:val="center"/>
          </w:tcPr>
          <w:p w14:paraId="78B39180">
            <w:pPr>
              <w:keepLines w:val="0"/>
              <w:pageBreakBefore w:val="0"/>
              <w:widowControl w:val="0"/>
              <w:kinsoku/>
              <w:overflowPunct/>
              <w:topLinePunct w:val="0"/>
              <w:autoSpaceDE/>
              <w:autoSpaceDN/>
              <w:bidi w:val="0"/>
              <w:adjustRightInd/>
              <w:jc w:val="both"/>
              <w:textAlignment w:val="auto"/>
              <w:rPr>
                <w:rFonts w:hint="default" w:ascii="Times New Roman" w:hAnsi="Times New Roman" w:cs="Times New Roman"/>
                <w:kern w:val="0"/>
                <w:sz w:val="20"/>
                <w:szCs w:val="20"/>
              </w:rPr>
            </w:pPr>
            <w:r>
              <w:rPr>
                <w:rFonts w:hint="default" w:ascii="Times New Roman" w:hAnsi="Times New Roman" w:cs="Times New Roman"/>
                <w:kern w:val="0"/>
                <w:sz w:val="20"/>
                <w:szCs w:val="20"/>
              </w:rPr>
              <w:t>中级工程师（熟悉PC、网络运维、良好的沟通能力、工作经验2年以上）</w:t>
            </w:r>
          </w:p>
        </w:tc>
        <w:tc>
          <w:tcPr>
            <w:tcW w:w="1155" w:type="dxa"/>
            <w:tcBorders>
              <w:top w:val="single" w:color="auto" w:sz="4" w:space="0"/>
              <w:left w:val="single" w:color="auto" w:sz="4" w:space="0"/>
              <w:bottom w:val="single" w:color="auto" w:sz="4" w:space="0"/>
              <w:right w:val="single" w:color="auto" w:sz="4" w:space="0"/>
            </w:tcBorders>
            <w:vAlign w:val="center"/>
          </w:tcPr>
          <w:p w14:paraId="387C6DE8">
            <w:pPr>
              <w:keepLines w:val="0"/>
              <w:pageBreakBefore w:val="0"/>
              <w:widowControl w:val="0"/>
              <w:kinsoku/>
              <w:overflowPunct/>
              <w:topLinePunct w:val="0"/>
              <w:autoSpaceDE/>
              <w:autoSpaceDN/>
              <w:bidi w:val="0"/>
              <w:adjustRightInd/>
              <w:ind w:firstLine="400" w:firstLineChars="200"/>
              <w:jc w:val="center"/>
              <w:textAlignment w:val="auto"/>
              <w:rPr>
                <w:rFonts w:hint="default" w:ascii="Times New Roman" w:hAnsi="Times New Roman" w:cs="Times New Roman"/>
                <w:kern w:val="0"/>
                <w:sz w:val="20"/>
                <w:szCs w:val="20"/>
              </w:rPr>
            </w:pPr>
            <w:r>
              <w:rPr>
                <w:rFonts w:hint="default" w:ascii="Times New Roman" w:hAnsi="Times New Roman" w:cs="Times New Roman"/>
                <w:kern w:val="0"/>
                <w:sz w:val="20"/>
                <w:szCs w:val="20"/>
              </w:rPr>
              <w:t>现场</w:t>
            </w:r>
          </w:p>
        </w:tc>
      </w:tr>
      <w:tr w14:paraId="40EC130E">
        <w:tblPrEx>
          <w:tblCellMar>
            <w:top w:w="0" w:type="dxa"/>
            <w:left w:w="108" w:type="dxa"/>
            <w:bottom w:w="0" w:type="dxa"/>
            <w:right w:w="108" w:type="dxa"/>
          </w:tblCellMar>
        </w:tblPrEx>
        <w:trPr>
          <w:trHeight w:val="596" w:hRule="atLeast"/>
        </w:trPr>
        <w:tc>
          <w:tcPr>
            <w:tcW w:w="9778" w:type="dxa"/>
            <w:gridSpan w:val="5"/>
            <w:tcBorders>
              <w:top w:val="single" w:color="auto" w:sz="4" w:space="0"/>
              <w:left w:val="single" w:color="000000" w:sz="4" w:space="0"/>
              <w:bottom w:val="single" w:color="000000" w:sz="4" w:space="0"/>
              <w:right w:val="single" w:color="000000" w:sz="4" w:space="0"/>
            </w:tcBorders>
            <w:vAlign w:val="center"/>
          </w:tcPr>
          <w:p w14:paraId="11B92AD2">
            <w:pPr>
              <w:keepLines w:val="0"/>
              <w:pageBreakBefore w:val="0"/>
              <w:widowControl w:val="0"/>
              <w:kinsoku/>
              <w:overflowPunct/>
              <w:topLinePunct w:val="0"/>
              <w:autoSpaceDE/>
              <w:autoSpaceDN/>
              <w:bidi w:val="0"/>
              <w:adjustRightInd/>
              <w:jc w:val="center"/>
              <w:textAlignment w:val="auto"/>
              <w:rPr>
                <w:rFonts w:hint="default" w:ascii="Times New Roman" w:hAnsi="Times New Roman" w:cs="Times New Roman"/>
                <w:kern w:val="0"/>
                <w:sz w:val="48"/>
                <w:szCs w:val="48"/>
              </w:rPr>
            </w:pPr>
            <w:r>
              <w:rPr>
                <w:rFonts w:hint="default" w:ascii="Times New Roman" w:hAnsi="Times New Roman" w:cs="Times New Roman"/>
                <w:kern w:val="0"/>
                <w:sz w:val="48"/>
                <w:szCs w:val="48"/>
              </w:rPr>
              <w:t>指挥调度平台功能维护</w:t>
            </w:r>
          </w:p>
        </w:tc>
      </w:tr>
      <w:tr w14:paraId="167B8269">
        <w:tblPrEx>
          <w:tblCellMar>
            <w:top w:w="0" w:type="dxa"/>
            <w:left w:w="108" w:type="dxa"/>
            <w:bottom w:w="0" w:type="dxa"/>
            <w:right w:w="108" w:type="dxa"/>
          </w:tblCellMar>
        </w:tblPrEx>
        <w:trPr>
          <w:trHeight w:val="285" w:hRule="atLeast"/>
        </w:trPr>
        <w:tc>
          <w:tcPr>
            <w:tcW w:w="1418" w:type="dxa"/>
            <w:tcBorders>
              <w:top w:val="single" w:color="000000" w:sz="4" w:space="0"/>
              <w:left w:val="single" w:color="000000" w:sz="4" w:space="0"/>
              <w:bottom w:val="single" w:color="000000" w:sz="4" w:space="0"/>
              <w:right w:val="single" w:color="000000" w:sz="4" w:space="0"/>
            </w:tcBorders>
            <w:vAlign w:val="center"/>
          </w:tcPr>
          <w:p w14:paraId="048AF4BD">
            <w:pPr>
              <w:keepLines w:val="0"/>
              <w:pageBreakBefore w:val="0"/>
              <w:widowControl w:val="0"/>
              <w:kinsoku/>
              <w:overflowPunct/>
              <w:topLinePunct w:val="0"/>
              <w:autoSpaceDE/>
              <w:autoSpaceDN/>
              <w:bidi w:val="0"/>
              <w:adjustRightInd/>
              <w:jc w:val="both"/>
              <w:textAlignment w:val="auto"/>
              <w:rPr>
                <w:rFonts w:hint="default" w:ascii="Times New Roman" w:hAnsi="Times New Roman" w:cs="Times New Roman"/>
                <w:kern w:val="0"/>
                <w:sz w:val="22"/>
                <w:szCs w:val="32"/>
              </w:rPr>
            </w:pPr>
            <w:r>
              <w:rPr>
                <w:rFonts w:hint="default" w:ascii="Times New Roman" w:hAnsi="Times New Roman" w:cs="Times New Roman"/>
                <w:kern w:val="0"/>
                <w:sz w:val="22"/>
                <w:szCs w:val="32"/>
              </w:rPr>
              <w:t>功能特性</w:t>
            </w:r>
          </w:p>
        </w:tc>
        <w:tc>
          <w:tcPr>
            <w:tcW w:w="8360" w:type="dxa"/>
            <w:gridSpan w:val="4"/>
            <w:tcBorders>
              <w:top w:val="single" w:color="000000" w:sz="4" w:space="0"/>
              <w:left w:val="nil"/>
              <w:bottom w:val="single" w:color="000000" w:sz="4" w:space="0"/>
              <w:right w:val="single" w:color="000000" w:sz="4" w:space="0"/>
            </w:tcBorders>
            <w:vAlign w:val="center"/>
          </w:tcPr>
          <w:p w14:paraId="645E2E8A">
            <w:pPr>
              <w:keepLines w:val="0"/>
              <w:pageBreakBefore w:val="0"/>
              <w:widowControl w:val="0"/>
              <w:kinsoku/>
              <w:overflowPunct/>
              <w:topLinePunct w:val="0"/>
              <w:autoSpaceDE/>
              <w:autoSpaceDN/>
              <w:bidi w:val="0"/>
              <w:adjustRightInd/>
              <w:jc w:val="both"/>
              <w:textAlignment w:val="auto"/>
              <w:rPr>
                <w:rFonts w:hint="default" w:ascii="Times New Roman" w:hAnsi="Times New Roman" w:cs="Times New Roman"/>
                <w:kern w:val="0"/>
                <w:sz w:val="22"/>
                <w:szCs w:val="32"/>
              </w:rPr>
            </w:pPr>
            <w:r>
              <w:rPr>
                <w:rFonts w:hint="default" w:ascii="Times New Roman" w:hAnsi="Times New Roman" w:cs="Times New Roman"/>
                <w:kern w:val="0"/>
                <w:sz w:val="22"/>
                <w:szCs w:val="32"/>
              </w:rPr>
              <w:t>此维护项为指挥调度业务功能项目</w:t>
            </w:r>
          </w:p>
        </w:tc>
      </w:tr>
      <w:tr w14:paraId="339FE12A">
        <w:tblPrEx>
          <w:tblCellMar>
            <w:top w:w="0" w:type="dxa"/>
            <w:left w:w="108" w:type="dxa"/>
            <w:bottom w:w="0" w:type="dxa"/>
            <w:right w:w="108" w:type="dxa"/>
          </w:tblCellMar>
        </w:tblPrEx>
        <w:trPr>
          <w:trHeight w:val="285" w:hRule="atLeast"/>
        </w:trPr>
        <w:tc>
          <w:tcPr>
            <w:tcW w:w="1418" w:type="dxa"/>
            <w:tcBorders>
              <w:top w:val="single" w:color="000000" w:sz="4" w:space="0"/>
              <w:left w:val="single" w:color="000000" w:sz="4" w:space="0"/>
              <w:bottom w:val="single" w:color="000000" w:sz="4" w:space="0"/>
              <w:right w:val="single" w:color="000000" w:sz="4" w:space="0"/>
            </w:tcBorders>
            <w:vAlign w:val="center"/>
          </w:tcPr>
          <w:p w14:paraId="014B90DC">
            <w:pPr>
              <w:keepLines w:val="0"/>
              <w:pageBreakBefore w:val="0"/>
              <w:widowControl w:val="0"/>
              <w:kinsoku/>
              <w:overflowPunct/>
              <w:topLinePunct w:val="0"/>
              <w:autoSpaceDE/>
              <w:autoSpaceDN/>
              <w:bidi w:val="0"/>
              <w:adjustRightInd/>
              <w:jc w:val="both"/>
              <w:textAlignment w:val="auto"/>
              <w:rPr>
                <w:rFonts w:hint="default" w:ascii="Times New Roman" w:hAnsi="Times New Roman" w:cs="Times New Roman"/>
                <w:kern w:val="0"/>
                <w:sz w:val="22"/>
                <w:szCs w:val="32"/>
              </w:rPr>
            </w:pPr>
            <w:r>
              <w:rPr>
                <w:rFonts w:hint="default" w:ascii="Times New Roman" w:hAnsi="Times New Roman" w:cs="Times New Roman"/>
                <w:kern w:val="0"/>
                <w:sz w:val="22"/>
                <w:szCs w:val="32"/>
              </w:rPr>
              <w:t>维护目的</w:t>
            </w:r>
          </w:p>
        </w:tc>
        <w:tc>
          <w:tcPr>
            <w:tcW w:w="8360" w:type="dxa"/>
            <w:gridSpan w:val="4"/>
            <w:tcBorders>
              <w:top w:val="single" w:color="000000" w:sz="4" w:space="0"/>
              <w:left w:val="nil"/>
              <w:bottom w:val="single" w:color="000000" w:sz="4" w:space="0"/>
              <w:right w:val="single" w:color="000000" w:sz="4" w:space="0"/>
            </w:tcBorders>
            <w:vAlign w:val="center"/>
          </w:tcPr>
          <w:p w14:paraId="212EFA85">
            <w:pPr>
              <w:keepLines w:val="0"/>
              <w:pageBreakBefore w:val="0"/>
              <w:widowControl w:val="0"/>
              <w:kinsoku/>
              <w:overflowPunct/>
              <w:topLinePunct w:val="0"/>
              <w:autoSpaceDE/>
              <w:autoSpaceDN/>
              <w:bidi w:val="0"/>
              <w:adjustRightInd/>
              <w:jc w:val="both"/>
              <w:textAlignment w:val="auto"/>
              <w:rPr>
                <w:rFonts w:hint="default" w:ascii="Times New Roman" w:hAnsi="Times New Roman" w:cs="Times New Roman"/>
                <w:kern w:val="0"/>
                <w:sz w:val="22"/>
                <w:szCs w:val="32"/>
              </w:rPr>
            </w:pPr>
            <w:r>
              <w:rPr>
                <w:rFonts w:hint="default" w:ascii="Times New Roman" w:hAnsi="Times New Roman" w:cs="Times New Roman"/>
                <w:kern w:val="0"/>
                <w:sz w:val="22"/>
                <w:szCs w:val="32"/>
              </w:rPr>
              <w:t>验证相关各功能正常</w:t>
            </w:r>
          </w:p>
        </w:tc>
      </w:tr>
      <w:tr w14:paraId="2025B556">
        <w:tblPrEx>
          <w:tblCellMar>
            <w:top w:w="0" w:type="dxa"/>
            <w:left w:w="108" w:type="dxa"/>
            <w:bottom w:w="0" w:type="dxa"/>
            <w:right w:w="108" w:type="dxa"/>
          </w:tblCellMar>
        </w:tblPrEx>
        <w:trPr>
          <w:trHeight w:val="285" w:hRule="atLeast"/>
        </w:trPr>
        <w:tc>
          <w:tcPr>
            <w:tcW w:w="1418" w:type="dxa"/>
            <w:tcBorders>
              <w:top w:val="single" w:color="000000" w:sz="4" w:space="0"/>
              <w:left w:val="single" w:color="000000" w:sz="4" w:space="0"/>
              <w:bottom w:val="single" w:color="000000" w:sz="4" w:space="0"/>
              <w:right w:val="single" w:color="000000" w:sz="4" w:space="0"/>
            </w:tcBorders>
            <w:vAlign w:val="center"/>
          </w:tcPr>
          <w:p w14:paraId="54289E0E">
            <w:pPr>
              <w:keepLines w:val="0"/>
              <w:pageBreakBefore w:val="0"/>
              <w:widowControl w:val="0"/>
              <w:kinsoku/>
              <w:overflowPunct/>
              <w:topLinePunct w:val="0"/>
              <w:autoSpaceDE/>
              <w:autoSpaceDN/>
              <w:bidi w:val="0"/>
              <w:adjustRightInd/>
              <w:jc w:val="both"/>
              <w:textAlignment w:val="auto"/>
              <w:rPr>
                <w:rFonts w:hint="default" w:ascii="Times New Roman" w:hAnsi="Times New Roman" w:cs="Times New Roman"/>
                <w:kern w:val="0"/>
                <w:sz w:val="22"/>
                <w:szCs w:val="32"/>
              </w:rPr>
            </w:pPr>
            <w:r>
              <w:rPr>
                <w:rFonts w:hint="default" w:ascii="Times New Roman" w:hAnsi="Times New Roman" w:cs="Times New Roman"/>
                <w:kern w:val="0"/>
                <w:sz w:val="22"/>
                <w:szCs w:val="32"/>
              </w:rPr>
              <w:t>维护条件</w:t>
            </w:r>
          </w:p>
        </w:tc>
        <w:tc>
          <w:tcPr>
            <w:tcW w:w="8360" w:type="dxa"/>
            <w:gridSpan w:val="4"/>
            <w:tcBorders>
              <w:top w:val="single" w:color="000000" w:sz="4" w:space="0"/>
              <w:left w:val="nil"/>
              <w:bottom w:val="single" w:color="000000" w:sz="4" w:space="0"/>
              <w:right w:val="single" w:color="000000" w:sz="4" w:space="0"/>
            </w:tcBorders>
            <w:vAlign w:val="center"/>
          </w:tcPr>
          <w:p w14:paraId="0A6B1480">
            <w:pPr>
              <w:keepLines w:val="0"/>
              <w:pageBreakBefore w:val="0"/>
              <w:widowControl w:val="0"/>
              <w:kinsoku/>
              <w:overflowPunct/>
              <w:topLinePunct w:val="0"/>
              <w:autoSpaceDE/>
              <w:autoSpaceDN/>
              <w:bidi w:val="0"/>
              <w:adjustRightInd/>
              <w:jc w:val="both"/>
              <w:textAlignment w:val="auto"/>
              <w:rPr>
                <w:rFonts w:hint="default" w:ascii="Times New Roman" w:hAnsi="Times New Roman" w:cs="Times New Roman"/>
                <w:kern w:val="0"/>
                <w:sz w:val="22"/>
                <w:szCs w:val="32"/>
              </w:rPr>
            </w:pPr>
            <w:r>
              <w:rPr>
                <w:rFonts w:hint="default" w:ascii="Times New Roman" w:hAnsi="Times New Roman" w:cs="Times New Roman"/>
                <w:kern w:val="0"/>
                <w:sz w:val="22"/>
                <w:szCs w:val="32"/>
              </w:rPr>
              <w:t>连接数据正常</w:t>
            </w:r>
          </w:p>
        </w:tc>
      </w:tr>
      <w:tr w14:paraId="2BB1C4A6">
        <w:tblPrEx>
          <w:tblCellMar>
            <w:top w:w="0" w:type="dxa"/>
            <w:left w:w="108" w:type="dxa"/>
            <w:bottom w:w="0" w:type="dxa"/>
            <w:right w:w="108" w:type="dxa"/>
          </w:tblCellMar>
        </w:tblPrEx>
        <w:trPr>
          <w:trHeight w:val="540" w:hRule="atLeast"/>
        </w:trPr>
        <w:tc>
          <w:tcPr>
            <w:tcW w:w="1418" w:type="dxa"/>
            <w:tcBorders>
              <w:top w:val="single" w:color="000000" w:sz="4" w:space="0"/>
              <w:left w:val="single" w:color="000000" w:sz="4" w:space="0"/>
              <w:bottom w:val="single" w:color="000000" w:sz="4" w:space="0"/>
              <w:right w:val="single" w:color="000000" w:sz="4" w:space="0"/>
            </w:tcBorders>
            <w:shd w:val="clear" w:color="000000" w:fill="auto"/>
            <w:vAlign w:val="center"/>
          </w:tcPr>
          <w:p w14:paraId="5B88F70B">
            <w:pPr>
              <w:keepLines w:val="0"/>
              <w:pageBreakBefore w:val="0"/>
              <w:widowControl w:val="0"/>
              <w:kinsoku/>
              <w:overflowPunct/>
              <w:topLinePunct w:val="0"/>
              <w:autoSpaceDE/>
              <w:autoSpaceDN/>
              <w:bidi w:val="0"/>
              <w:adjustRightInd/>
              <w:jc w:val="both"/>
              <w:textAlignment w:val="auto"/>
              <w:rPr>
                <w:rFonts w:hint="default" w:ascii="Times New Roman" w:hAnsi="Times New Roman" w:cs="Times New Roman"/>
                <w:color w:val="000000" w:themeColor="text1"/>
                <w:kern w:val="0"/>
                <w:sz w:val="22"/>
                <w:szCs w:val="32"/>
                <w:highlight w:val="none"/>
                <w14:textFill>
                  <w14:solidFill>
                    <w14:schemeClr w14:val="tx1"/>
                  </w14:solidFill>
                </w14:textFill>
              </w:rPr>
            </w:pPr>
            <w:r>
              <w:rPr>
                <w:rFonts w:hint="default" w:ascii="Times New Roman" w:hAnsi="Times New Roman" w:cs="Times New Roman" w:eastAsiaTheme="minorEastAsia"/>
                <w:b/>
                <w:color w:val="000000" w:themeColor="text1"/>
                <w:kern w:val="0"/>
                <w:sz w:val="21"/>
                <w:szCs w:val="21"/>
                <w:highlight w:val="none"/>
                <w14:textFill>
                  <w14:solidFill>
                    <w14:schemeClr w14:val="tx1"/>
                  </w14:solidFill>
                </w14:textFill>
              </w:rPr>
              <w:t>服务项目</w:t>
            </w:r>
          </w:p>
        </w:tc>
        <w:tc>
          <w:tcPr>
            <w:tcW w:w="2659" w:type="dxa"/>
            <w:gridSpan w:val="2"/>
            <w:tcBorders>
              <w:top w:val="single" w:color="000000" w:sz="4" w:space="0"/>
              <w:left w:val="nil"/>
              <w:bottom w:val="single" w:color="000000" w:sz="4" w:space="0"/>
              <w:right w:val="single" w:color="000000" w:sz="4" w:space="0"/>
            </w:tcBorders>
            <w:shd w:val="clear" w:color="000000" w:fill="auto"/>
            <w:vAlign w:val="center"/>
          </w:tcPr>
          <w:p w14:paraId="7C88BEE9">
            <w:pPr>
              <w:keepLines w:val="0"/>
              <w:pageBreakBefore w:val="0"/>
              <w:widowControl w:val="0"/>
              <w:kinsoku/>
              <w:overflowPunct/>
              <w:topLinePunct w:val="0"/>
              <w:autoSpaceDE/>
              <w:autoSpaceDN/>
              <w:bidi w:val="0"/>
              <w:adjustRightInd/>
              <w:ind w:firstLine="422" w:firstLineChars="200"/>
              <w:jc w:val="both"/>
              <w:textAlignment w:val="auto"/>
              <w:rPr>
                <w:rFonts w:hint="default" w:ascii="Times New Roman" w:hAnsi="Times New Roman" w:cs="Times New Roman"/>
                <w:color w:val="000000" w:themeColor="text1"/>
                <w:kern w:val="0"/>
                <w:sz w:val="22"/>
                <w:szCs w:val="32"/>
                <w:highlight w:val="none"/>
                <w14:textFill>
                  <w14:solidFill>
                    <w14:schemeClr w14:val="tx1"/>
                  </w14:solidFill>
                </w14:textFill>
              </w:rPr>
            </w:pPr>
            <w:r>
              <w:rPr>
                <w:rFonts w:hint="default" w:ascii="Times New Roman" w:hAnsi="Times New Roman" w:cs="Times New Roman" w:eastAsiaTheme="minorEastAsia"/>
                <w:b/>
                <w:color w:val="000000" w:themeColor="text1"/>
                <w:kern w:val="0"/>
                <w:sz w:val="21"/>
                <w:szCs w:val="21"/>
                <w:highlight w:val="none"/>
                <w14:textFill>
                  <w14:solidFill>
                    <w14:schemeClr w14:val="tx1"/>
                  </w14:solidFill>
                </w14:textFill>
              </w:rPr>
              <w:t>服务内容</w:t>
            </w:r>
          </w:p>
        </w:tc>
        <w:tc>
          <w:tcPr>
            <w:tcW w:w="4546" w:type="dxa"/>
            <w:tcBorders>
              <w:top w:val="single" w:color="000000" w:sz="4" w:space="0"/>
              <w:left w:val="nil"/>
              <w:bottom w:val="single" w:color="000000" w:sz="4" w:space="0"/>
              <w:right w:val="single" w:color="000000" w:sz="4" w:space="0"/>
            </w:tcBorders>
            <w:shd w:val="clear" w:color="000000" w:fill="auto"/>
            <w:vAlign w:val="center"/>
          </w:tcPr>
          <w:p w14:paraId="5C7294B5">
            <w:pPr>
              <w:keepLines w:val="0"/>
              <w:pageBreakBefore w:val="0"/>
              <w:widowControl w:val="0"/>
              <w:kinsoku/>
              <w:overflowPunct/>
              <w:topLinePunct w:val="0"/>
              <w:autoSpaceDE/>
              <w:autoSpaceDN/>
              <w:bidi w:val="0"/>
              <w:adjustRightInd/>
              <w:ind w:firstLine="422" w:firstLineChars="200"/>
              <w:jc w:val="both"/>
              <w:textAlignment w:val="auto"/>
              <w:rPr>
                <w:rFonts w:hint="default" w:ascii="Times New Roman" w:hAnsi="Times New Roman" w:cs="Times New Roman"/>
                <w:color w:val="000000" w:themeColor="text1"/>
                <w:kern w:val="0"/>
                <w:sz w:val="28"/>
                <w:szCs w:val="32"/>
                <w:highlight w:val="none"/>
                <w14:textFill>
                  <w14:solidFill>
                    <w14:schemeClr w14:val="tx1"/>
                  </w14:solidFill>
                </w14:textFill>
              </w:rPr>
            </w:pPr>
            <w:r>
              <w:rPr>
                <w:rFonts w:hint="default" w:ascii="Times New Roman" w:hAnsi="Times New Roman" w:cs="Times New Roman" w:eastAsiaTheme="minorEastAsia"/>
                <w:b/>
                <w:color w:val="000000" w:themeColor="text1"/>
                <w:kern w:val="0"/>
                <w:sz w:val="21"/>
                <w:szCs w:val="21"/>
                <w:highlight w:val="none"/>
                <w14:textFill>
                  <w14:solidFill>
                    <w14:schemeClr w14:val="tx1"/>
                  </w14:solidFill>
                </w14:textFill>
              </w:rPr>
              <w:t>内容说明</w:t>
            </w:r>
          </w:p>
        </w:tc>
        <w:tc>
          <w:tcPr>
            <w:tcW w:w="1155" w:type="dxa"/>
            <w:tcBorders>
              <w:top w:val="single" w:color="000000" w:sz="4" w:space="0"/>
              <w:left w:val="nil"/>
              <w:bottom w:val="single" w:color="000000" w:sz="4" w:space="0"/>
              <w:right w:val="single" w:color="000000" w:sz="4" w:space="0"/>
            </w:tcBorders>
            <w:shd w:val="clear" w:color="000000" w:fill="auto"/>
            <w:vAlign w:val="center"/>
          </w:tcPr>
          <w:p w14:paraId="63E89C29">
            <w:pPr>
              <w:keepLines w:val="0"/>
              <w:pageBreakBefore w:val="0"/>
              <w:widowControl w:val="0"/>
              <w:kinsoku/>
              <w:overflowPunct/>
              <w:topLinePunct w:val="0"/>
              <w:autoSpaceDE/>
              <w:autoSpaceDN/>
              <w:bidi w:val="0"/>
              <w:adjustRightInd/>
              <w:jc w:val="both"/>
              <w:textAlignment w:val="auto"/>
              <w:rPr>
                <w:rFonts w:hint="default" w:ascii="Times New Roman" w:hAnsi="Times New Roman" w:cs="Times New Roman"/>
                <w:color w:val="000000" w:themeColor="text1"/>
                <w:kern w:val="0"/>
                <w:sz w:val="28"/>
                <w:szCs w:val="32"/>
                <w:highlight w:val="none"/>
                <w14:textFill>
                  <w14:solidFill>
                    <w14:schemeClr w14:val="tx1"/>
                  </w14:solidFill>
                </w14:textFill>
              </w:rPr>
            </w:pPr>
            <w:r>
              <w:rPr>
                <w:rFonts w:hint="default" w:ascii="Times New Roman" w:hAnsi="Times New Roman" w:cs="Times New Roman" w:eastAsiaTheme="minorEastAsia"/>
                <w:b/>
                <w:color w:val="000000" w:themeColor="text1"/>
                <w:kern w:val="0"/>
                <w:sz w:val="21"/>
                <w:szCs w:val="21"/>
                <w:highlight w:val="none"/>
                <w14:textFill>
                  <w14:solidFill>
                    <w14:schemeClr w14:val="tx1"/>
                  </w14:solidFill>
                </w14:textFill>
              </w:rPr>
              <w:t>服务方式</w:t>
            </w:r>
          </w:p>
        </w:tc>
      </w:tr>
      <w:tr w14:paraId="1DC579D2">
        <w:tblPrEx>
          <w:tblCellMar>
            <w:top w:w="0" w:type="dxa"/>
            <w:left w:w="108" w:type="dxa"/>
            <w:bottom w:w="0" w:type="dxa"/>
            <w:right w:w="108" w:type="dxa"/>
          </w:tblCellMar>
        </w:tblPrEx>
        <w:trPr>
          <w:trHeight w:val="480" w:hRule="atLeast"/>
        </w:trPr>
        <w:tc>
          <w:tcPr>
            <w:tcW w:w="1418" w:type="dxa"/>
            <w:tcBorders>
              <w:top w:val="nil"/>
              <w:left w:val="single" w:color="000000" w:sz="4" w:space="0"/>
              <w:bottom w:val="single" w:color="auto" w:sz="4" w:space="0"/>
              <w:right w:val="single" w:color="000000" w:sz="4" w:space="0"/>
            </w:tcBorders>
            <w:vAlign w:val="center"/>
          </w:tcPr>
          <w:p w14:paraId="6DA44443">
            <w:pPr>
              <w:keepLines w:val="0"/>
              <w:pageBreakBefore w:val="0"/>
              <w:widowControl w:val="0"/>
              <w:kinsoku/>
              <w:overflowPunct/>
              <w:topLinePunct w:val="0"/>
              <w:autoSpaceDE/>
              <w:autoSpaceDN/>
              <w:bidi w:val="0"/>
              <w:adjustRightInd/>
              <w:jc w:val="center"/>
              <w:textAlignment w:val="auto"/>
              <w:rPr>
                <w:rFonts w:hint="default" w:ascii="Times New Roman" w:hAnsi="Times New Roman" w:cs="Times New Roman"/>
                <w:kern w:val="0"/>
                <w:sz w:val="20"/>
                <w:szCs w:val="20"/>
              </w:rPr>
            </w:pPr>
            <w:r>
              <w:rPr>
                <w:rFonts w:hint="default" w:ascii="Times New Roman" w:hAnsi="Times New Roman" w:cs="Times New Roman"/>
                <w:color w:val="000000"/>
                <w:kern w:val="0"/>
                <w:sz w:val="20"/>
                <w:szCs w:val="20"/>
              </w:rPr>
              <w:t>终端机绑定</w:t>
            </w:r>
          </w:p>
        </w:tc>
        <w:tc>
          <w:tcPr>
            <w:tcW w:w="2659" w:type="dxa"/>
            <w:gridSpan w:val="2"/>
            <w:tcBorders>
              <w:top w:val="nil"/>
              <w:left w:val="nil"/>
              <w:bottom w:val="single" w:color="auto" w:sz="4" w:space="0"/>
              <w:right w:val="single" w:color="000000" w:sz="4" w:space="0"/>
            </w:tcBorders>
            <w:vAlign w:val="center"/>
          </w:tcPr>
          <w:p w14:paraId="4866AA48">
            <w:pPr>
              <w:keepLines w:val="0"/>
              <w:pageBreakBefore w:val="0"/>
              <w:widowControl w:val="0"/>
              <w:numPr>
                <w:ilvl w:val="0"/>
                <w:numId w:val="0"/>
              </w:numPr>
              <w:kinsoku/>
              <w:overflowPunct/>
              <w:topLinePunct w:val="0"/>
              <w:autoSpaceDE/>
              <w:autoSpaceDN/>
              <w:bidi w:val="0"/>
              <w:adjustRightInd/>
              <w:jc w:val="both"/>
              <w:textAlignment w:val="auto"/>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lang w:val="en-US" w:eastAsia="zh-CN"/>
              </w:rPr>
              <w:t>1.</w:t>
            </w:r>
            <w:r>
              <w:rPr>
                <w:rFonts w:hint="default" w:ascii="Times New Roman" w:hAnsi="Times New Roman" w:cs="Times New Roman"/>
                <w:color w:val="000000"/>
                <w:kern w:val="0"/>
                <w:sz w:val="20"/>
                <w:szCs w:val="20"/>
              </w:rPr>
              <w:t>二维码扫码注册终端机</w:t>
            </w:r>
          </w:p>
          <w:p w14:paraId="3257BB2A">
            <w:pPr>
              <w:keepLines w:val="0"/>
              <w:pageBreakBefore w:val="0"/>
              <w:widowControl w:val="0"/>
              <w:numPr>
                <w:ilvl w:val="0"/>
                <w:numId w:val="0"/>
              </w:numPr>
              <w:kinsoku/>
              <w:overflowPunct/>
              <w:topLinePunct w:val="0"/>
              <w:autoSpaceDE/>
              <w:autoSpaceDN/>
              <w:bidi w:val="0"/>
              <w:adjustRightInd/>
              <w:jc w:val="both"/>
              <w:textAlignment w:val="auto"/>
              <w:rPr>
                <w:rFonts w:hint="default" w:ascii="Times New Roman" w:hAnsi="Times New Roman" w:cs="Times New Roman"/>
                <w:kern w:val="0"/>
                <w:sz w:val="20"/>
                <w:szCs w:val="20"/>
              </w:rPr>
            </w:pPr>
            <w:r>
              <w:rPr>
                <w:rFonts w:hint="default" w:ascii="Times New Roman" w:hAnsi="Times New Roman" w:cs="Times New Roman"/>
                <w:color w:val="000000"/>
                <w:kern w:val="0"/>
                <w:sz w:val="20"/>
                <w:szCs w:val="20"/>
                <w:lang w:val="en-US" w:eastAsia="zh-CN"/>
              </w:rPr>
              <w:t>2.</w:t>
            </w:r>
            <w:r>
              <w:rPr>
                <w:rFonts w:hint="default" w:ascii="Times New Roman" w:hAnsi="Times New Roman" w:cs="Times New Roman"/>
                <w:color w:val="000000"/>
                <w:kern w:val="0"/>
                <w:sz w:val="20"/>
                <w:szCs w:val="20"/>
              </w:rPr>
              <w:t>终端机与使用人员的绑定信息</w:t>
            </w:r>
          </w:p>
        </w:tc>
        <w:tc>
          <w:tcPr>
            <w:tcW w:w="4546" w:type="dxa"/>
            <w:tcBorders>
              <w:top w:val="nil"/>
              <w:left w:val="nil"/>
              <w:bottom w:val="single" w:color="auto" w:sz="4" w:space="0"/>
              <w:right w:val="single" w:color="000000" w:sz="4" w:space="0"/>
            </w:tcBorders>
            <w:vAlign w:val="center"/>
          </w:tcPr>
          <w:p w14:paraId="5D318630">
            <w:pPr>
              <w:keepLines w:val="0"/>
              <w:pageBreakBefore w:val="0"/>
              <w:widowControl w:val="0"/>
              <w:kinsoku/>
              <w:overflowPunct/>
              <w:topLinePunct w:val="0"/>
              <w:autoSpaceDE/>
              <w:autoSpaceDN/>
              <w:bidi w:val="0"/>
              <w:adjustRightInd/>
              <w:ind w:firstLine="400" w:firstLineChars="200"/>
              <w:jc w:val="both"/>
              <w:textAlignment w:val="auto"/>
              <w:rPr>
                <w:rFonts w:hint="default" w:ascii="Times New Roman" w:hAnsi="Times New Roman" w:cs="Times New Roman"/>
                <w:kern w:val="0"/>
                <w:sz w:val="20"/>
                <w:szCs w:val="20"/>
              </w:rPr>
            </w:pPr>
            <w:r>
              <w:rPr>
                <w:rFonts w:hint="default" w:ascii="Times New Roman" w:hAnsi="Times New Roman" w:cs="Times New Roman"/>
                <w:color w:val="000000"/>
                <w:kern w:val="0"/>
                <w:sz w:val="20"/>
                <w:szCs w:val="20"/>
              </w:rPr>
              <w:t>终端机绑定需要先建立人员信息，通过扫描平台系统用户生成的二维码，完成终端机与使用人员的绑定；</w:t>
            </w:r>
          </w:p>
        </w:tc>
        <w:tc>
          <w:tcPr>
            <w:tcW w:w="1155" w:type="dxa"/>
            <w:tcBorders>
              <w:top w:val="nil"/>
              <w:left w:val="nil"/>
              <w:bottom w:val="single" w:color="auto" w:sz="4" w:space="0"/>
              <w:right w:val="single" w:color="000000" w:sz="4" w:space="0"/>
            </w:tcBorders>
            <w:vAlign w:val="center"/>
          </w:tcPr>
          <w:p w14:paraId="6EE9E492">
            <w:pPr>
              <w:keepLines w:val="0"/>
              <w:pageBreakBefore w:val="0"/>
              <w:widowControl w:val="0"/>
              <w:kinsoku/>
              <w:overflowPunct/>
              <w:topLinePunct w:val="0"/>
              <w:autoSpaceDE/>
              <w:autoSpaceDN/>
              <w:bidi w:val="0"/>
              <w:adjustRightInd/>
              <w:ind w:firstLine="400" w:firstLineChars="200"/>
              <w:jc w:val="both"/>
              <w:textAlignment w:val="auto"/>
              <w:rPr>
                <w:rFonts w:hint="default" w:ascii="Times New Roman" w:hAnsi="Times New Roman" w:cs="Times New Roman"/>
                <w:kern w:val="0"/>
                <w:sz w:val="20"/>
                <w:szCs w:val="20"/>
              </w:rPr>
            </w:pPr>
            <w:r>
              <w:rPr>
                <w:rFonts w:hint="default" w:ascii="Times New Roman" w:hAnsi="Times New Roman" w:cs="Times New Roman"/>
                <w:kern w:val="0"/>
                <w:sz w:val="20"/>
                <w:szCs w:val="20"/>
              </w:rPr>
              <w:t>远程</w:t>
            </w:r>
          </w:p>
        </w:tc>
      </w:tr>
      <w:tr w14:paraId="4B5AF964">
        <w:tblPrEx>
          <w:tblCellMar>
            <w:top w:w="0" w:type="dxa"/>
            <w:left w:w="108" w:type="dxa"/>
            <w:bottom w:w="0" w:type="dxa"/>
            <w:right w:w="108" w:type="dxa"/>
          </w:tblCellMar>
        </w:tblPrEx>
        <w:trPr>
          <w:trHeight w:val="1182" w:hRule="atLeast"/>
        </w:trPr>
        <w:tc>
          <w:tcPr>
            <w:tcW w:w="1418" w:type="dxa"/>
            <w:tcBorders>
              <w:top w:val="single" w:color="auto" w:sz="4" w:space="0"/>
              <w:left w:val="single" w:color="auto" w:sz="4" w:space="0"/>
              <w:bottom w:val="single" w:color="auto" w:sz="4" w:space="0"/>
              <w:right w:val="single" w:color="auto" w:sz="4" w:space="0"/>
            </w:tcBorders>
            <w:vAlign w:val="center"/>
          </w:tcPr>
          <w:p w14:paraId="3A67A34F">
            <w:pPr>
              <w:keepLines w:val="0"/>
              <w:pageBreakBefore w:val="0"/>
              <w:widowControl w:val="0"/>
              <w:kinsoku/>
              <w:overflowPunct/>
              <w:topLinePunct w:val="0"/>
              <w:autoSpaceDE/>
              <w:autoSpaceDN/>
              <w:bidi w:val="0"/>
              <w:adjustRightInd/>
              <w:jc w:val="center"/>
              <w:textAlignment w:val="auto"/>
              <w:rPr>
                <w:rFonts w:hint="default" w:ascii="Times New Roman" w:hAnsi="Times New Roman" w:cs="Times New Roman"/>
                <w:kern w:val="0"/>
                <w:sz w:val="20"/>
                <w:szCs w:val="20"/>
              </w:rPr>
            </w:pPr>
            <w:r>
              <w:rPr>
                <w:rFonts w:hint="default" w:ascii="Times New Roman" w:hAnsi="Times New Roman" w:cs="Times New Roman"/>
                <w:kern w:val="0"/>
                <w:sz w:val="20"/>
                <w:szCs w:val="20"/>
              </w:rPr>
              <w:t>视音频呼叫</w:t>
            </w:r>
          </w:p>
        </w:tc>
        <w:tc>
          <w:tcPr>
            <w:tcW w:w="2659" w:type="dxa"/>
            <w:gridSpan w:val="2"/>
            <w:tcBorders>
              <w:top w:val="single" w:color="auto" w:sz="4" w:space="0"/>
              <w:left w:val="single" w:color="auto" w:sz="4" w:space="0"/>
              <w:right w:val="single" w:color="auto" w:sz="4" w:space="0"/>
            </w:tcBorders>
            <w:vAlign w:val="center"/>
          </w:tcPr>
          <w:p w14:paraId="291977A0">
            <w:pPr>
              <w:keepLines w:val="0"/>
              <w:pageBreakBefore w:val="0"/>
              <w:widowControl w:val="0"/>
              <w:kinsoku/>
              <w:overflowPunct/>
              <w:topLinePunct w:val="0"/>
              <w:autoSpaceDE/>
              <w:autoSpaceDN/>
              <w:bidi w:val="0"/>
              <w:adjustRightInd/>
              <w:jc w:val="both"/>
              <w:textAlignment w:val="auto"/>
              <w:rPr>
                <w:rFonts w:hint="default" w:ascii="Times New Roman" w:hAnsi="Times New Roman" w:cs="Times New Roman"/>
                <w:kern w:val="0"/>
                <w:sz w:val="20"/>
                <w:szCs w:val="20"/>
              </w:rPr>
            </w:pPr>
            <w:r>
              <w:rPr>
                <w:rFonts w:hint="default" w:ascii="Times New Roman" w:hAnsi="Times New Roman" w:cs="Times New Roman"/>
                <w:kern w:val="0"/>
                <w:sz w:val="20"/>
                <w:szCs w:val="20"/>
              </w:rPr>
              <w:t>1.选择组内用户（终端或调度台）</w:t>
            </w:r>
            <w:r>
              <w:rPr>
                <w:rFonts w:hint="default" w:ascii="Times New Roman" w:hAnsi="Times New Roman" w:cs="Times New Roman"/>
                <w:kern w:val="0"/>
                <w:sz w:val="20"/>
                <w:szCs w:val="20"/>
              </w:rPr>
              <w:br w:type="textWrapping"/>
            </w:r>
            <w:r>
              <w:rPr>
                <w:rFonts w:hint="default" w:ascii="Times New Roman" w:hAnsi="Times New Roman" w:cs="Times New Roman"/>
                <w:kern w:val="0"/>
                <w:sz w:val="20"/>
                <w:szCs w:val="20"/>
              </w:rPr>
              <w:t>2.视频呼叫</w:t>
            </w:r>
            <w:r>
              <w:rPr>
                <w:rFonts w:hint="default" w:ascii="Times New Roman" w:hAnsi="Times New Roman" w:cs="Times New Roman"/>
                <w:kern w:val="0"/>
                <w:sz w:val="20"/>
                <w:szCs w:val="20"/>
              </w:rPr>
              <w:br w:type="textWrapping"/>
            </w:r>
            <w:r>
              <w:rPr>
                <w:rFonts w:hint="default" w:ascii="Times New Roman" w:hAnsi="Times New Roman" w:cs="Times New Roman"/>
                <w:kern w:val="0"/>
                <w:sz w:val="20"/>
                <w:szCs w:val="20"/>
              </w:rPr>
              <w:t>3.视频互动</w:t>
            </w:r>
          </w:p>
        </w:tc>
        <w:tc>
          <w:tcPr>
            <w:tcW w:w="4546" w:type="dxa"/>
            <w:tcBorders>
              <w:top w:val="single" w:color="auto" w:sz="4" w:space="0"/>
              <w:left w:val="single" w:color="auto" w:sz="4" w:space="0"/>
              <w:right w:val="single" w:color="auto" w:sz="4" w:space="0"/>
            </w:tcBorders>
            <w:vAlign w:val="center"/>
          </w:tcPr>
          <w:p w14:paraId="34EE02C2">
            <w:pPr>
              <w:keepLines w:val="0"/>
              <w:pageBreakBefore w:val="0"/>
              <w:widowControl w:val="0"/>
              <w:kinsoku/>
              <w:overflowPunct/>
              <w:topLinePunct w:val="0"/>
              <w:autoSpaceDE/>
              <w:autoSpaceDN/>
              <w:bidi w:val="0"/>
              <w:adjustRightInd/>
              <w:ind w:firstLine="400" w:firstLineChars="200"/>
              <w:jc w:val="both"/>
              <w:textAlignment w:val="auto"/>
              <w:rPr>
                <w:rFonts w:hint="default" w:ascii="Times New Roman" w:hAnsi="Times New Roman" w:cs="Times New Roman"/>
                <w:kern w:val="0"/>
                <w:sz w:val="20"/>
                <w:szCs w:val="20"/>
              </w:rPr>
            </w:pPr>
            <w:r>
              <w:rPr>
                <w:rFonts w:hint="default" w:ascii="Times New Roman" w:hAnsi="Times New Roman" w:cs="Times New Roman"/>
                <w:kern w:val="0"/>
                <w:sz w:val="20"/>
                <w:szCs w:val="20"/>
              </w:rPr>
              <w:t>视音频呼叫需要选择组内用户，菜单选择视音频呼叫，接听后可视频互动</w:t>
            </w:r>
          </w:p>
        </w:tc>
        <w:tc>
          <w:tcPr>
            <w:tcW w:w="1155" w:type="dxa"/>
            <w:tcBorders>
              <w:top w:val="single" w:color="auto" w:sz="4" w:space="0"/>
              <w:left w:val="single" w:color="auto" w:sz="4" w:space="0"/>
              <w:right w:val="single" w:color="auto" w:sz="4" w:space="0"/>
            </w:tcBorders>
            <w:vAlign w:val="center"/>
          </w:tcPr>
          <w:p w14:paraId="6A76EEED">
            <w:pPr>
              <w:keepLines w:val="0"/>
              <w:pageBreakBefore w:val="0"/>
              <w:widowControl w:val="0"/>
              <w:kinsoku/>
              <w:overflowPunct/>
              <w:topLinePunct w:val="0"/>
              <w:autoSpaceDE/>
              <w:autoSpaceDN/>
              <w:bidi w:val="0"/>
              <w:adjustRightInd/>
              <w:ind w:firstLine="400" w:firstLineChars="200"/>
              <w:jc w:val="both"/>
              <w:textAlignment w:val="auto"/>
              <w:rPr>
                <w:rFonts w:hint="default" w:ascii="Times New Roman" w:hAnsi="Times New Roman" w:cs="Times New Roman"/>
                <w:kern w:val="0"/>
                <w:sz w:val="20"/>
                <w:szCs w:val="20"/>
              </w:rPr>
            </w:pPr>
            <w:r>
              <w:rPr>
                <w:rFonts w:hint="default" w:ascii="Times New Roman" w:hAnsi="Times New Roman" w:cs="Times New Roman"/>
                <w:kern w:val="0"/>
                <w:sz w:val="20"/>
                <w:szCs w:val="20"/>
              </w:rPr>
              <w:t>远程</w:t>
            </w:r>
          </w:p>
        </w:tc>
      </w:tr>
      <w:tr w14:paraId="09C01272">
        <w:tblPrEx>
          <w:tblCellMar>
            <w:top w:w="0" w:type="dxa"/>
            <w:left w:w="108" w:type="dxa"/>
            <w:bottom w:w="0" w:type="dxa"/>
            <w:right w:w="108" w:type="dxa"/>
          </w:tblCellMar>
        </w:tblPrEx>
        <w:trPr>
          <w:trHeight w:val="960" w:hRule="atLeast"/>
        </w:trPr>
        <w:tc>
          <w:tcPr>
            <w:tcW w:w="1418" w:type="dxa"/>
            <w:tcBorders>
              <w:top w:val="single" w:color="auto" w:sz="4" w:space="0"/>
              <w:left w:val="single" w:color="000000" w:sz="4" w:space="0"/>
              <w:bottom w:val="single" w:color="auto" w:sz="4" w:space="0"/>
              <w:right w:val="single" w:color="000000" w:sz="4" w:space="0"/>
            </w:tcBorders>
            <w:vAlign w:val="center"/>
          </w:tcPr>
          <w:p w14:paraId="7057E907">
            <w:pPr>
              <w:keepLines w:val="0"/>
              <w:pageBreakBefore w:val="0"/>
              <w:widowControl w:val="0"/>
              <w:kinsoku/>
              <w:overflowPunct/>
              <w:topLinePunct w:val="0"/>
              <w:autoSpaceDE/>
              <w:autoSpaceDN/>
              <w:bidi w:val="0"/>
              <w:adjustRightInd/>
              <w:jc w:val="center"/>
              <w:textAlignment w:val="auto"/>
              <w:rPr>
                <w:rFonts w:hint="default" w:ascii="Times New Roman" w:hAnsi="Times New Roman" w:cs="Times New Roman"/>
                <w:kern w:val="0"/>
                <w:sz w:val="20"/>
                <w:szCs w:val="20"/>
              </w:rPr>
            </w:pPr>
            <w:r>
              <w:rPr>
                <w:rFonts w:hint="default" w:ascii="Times New Roman" w:hAnsi="Times New Roman" w:cs="Times New Roman"/>
                <w:color w:val="000000"/>
                <w:kern w:val="0"/>
                <w:sz w:val="20"/>
                <w:szCs w:val="20"/>
              </w:rPr>
              <w:t>群组群呼</w:t>
            </w:r>
          </w:p>
        </w:tc>
        <w:tc>
          <w:tcPr>
            <w:tcW w:w="2659" w:type="dxa"/>
            <w:gridSpan w:val="2"/>
            <w:tcBorders>
              <w:top w:val="single" w:color="auto" w:sz="4" w:space="0"/>
              <w:left w:val="nil"/>
              <w:bottom w:val="single" w:color="auto" w:sz="4" w:space="0"/>
              <w:right w:val="single" w:color="000000" w:sz="4" w:space="0"/>
            </w:tcBorders>
            <w:vAlign w:val="center"/>
          </w:tcPr>
          <w:p w14:paraId="2B8F7CD0">
            <w:pPr>
              <w:keepLines w:val="0"/>
              <w:pageBreakBefore w:val="0"/>
              <w:widowControl w:val="0"/>
              <w:numPr>
                <w:ilvl w:val="0"/>
                <w:numId w:val="0"/>
              </w:numPr>
              <w:kinsoku/>
              <w:overflowPunct/>
              <w:topLinePunct w:val="0"/>
              <w:autoSpaceDE/>
              <w:autoSpaceDN/>
              <w:bidi w:val="0"/>
              <w:adjustRightInd/>
              <w:jc w:val="both"/>
              <w:textAlignment w:val="auto"/>
              <w:rPr>
                <w:rFonts w:hint="default" w:ascii="Times New Roman" w:hAnsi="Times New Roman" w:cs="Times New Roman"/>
                <w:kern w:val="0"/>
                <w:sz w:val="20"/>
                <w:szCs w:val="20"/>
              </w:rPr>
            </w:pPr>
            <w:r>
              <w:rPr>
                <w:rFonts w:hint="default" w:ascii="Times New Roman" w:hAnsi="Times New Roman" w:cs="Times New Roman"/>
                <w:color w:val="000000"/>
                <w:kern w:val="0"/>
                <w:sz w:val="20"/>
                <w:szCs w:val="20"/>
                <w:lang w:val="en-US" w:eastAsia="zh-CN"/>
              </w:rPr>
              <w:t>1.</w:t>
            </w:r>
            <w:r>
              <w:rPr>
                <w:rFonts w:hint="default" w:ascii="Times New Roman" w:hAnsi="Times New Roman" w:cs="Times New Roman"/>
                <w:color w:val="000000"/>
                <w:kern w:val="0"/>
                <w:sz w:val="20"/>
                <w:szCs w:val="20"/>
              </w:rPr>
              <w:t>多个用户可以编成一个</w:t>
            </w:r>
            <w:r>
              <w:rPr>
                <w:rFonts w:hint="default" w:ascii="Times New Roman" w:hAnsi="Times New Roman" w:cs="Times New Roman"/>
                <w:kern w:val="0"/>
                <w:sz w:val="20"/>
                <w:szCs w:val="20"/>
              </w:rPr>
              <w:t>临时组（调度台）</w:t>
            </w:r>
          </w:p>
          <w:p w14:paraId="0C648C54">
            <w:pPr>
              <w:keepLines w:val="0"/>
              <w:pageBreakBefore w:val="0"/>
              <w:widowControl w:val="0"/>
              <w:numPr>
                <w:ilvl w:val="0"/>
                <w:numId w:val="0"/>
              </w:numPr>
              <w:kinsoku/>
              <w:overflowPunct/>
              <w:topLinePunct w:val="0"/>
              <w:autoSpaceDE/>
              <w:autoSpaceDN/>
              <w:bidi w:val="0"/>
              <w:adjustRightInd/>
              <w:jc w:val="both"/>
              <w:textAlignment w:val="auto"/>
              <w:rPr>
                <w:rFonts w:hint="default" w:ascii="Times New Roman" w:hAnsi="Times New Roman" w:cs="Times New Roman"/>
                <w:kern w:val="0"/>
                <w:sz w:val="20"/>
                <w:szCs w:val="20"/>
              </w:rPr>
            </w:pPr>
            <w:r>
              <w:rPr>
                <w:rFonts w:hint="default" w:ascii="Times New Roman" w:hAnsi="Times New Roman" w:cs="Times New Roman"/>
                <w:kern w:val="0"/>
                <w:sz w:val="20"/>
                <w:szCs w:val="20"/>
                <w:lang w:val="en-US" w:eastAsia="zh-CN"/>
              </w:rPr>
              <w:t>2.</w:t>
            </w:r>
            <w:r>
              <w:rPr>
                <w:rFonts w:hint="default" w:ascii="Times New Roman" w:hAnsi="Times New Roman" w:cs="Times New Roman"/>
                <w:kern w:val="0"/>
                <w:sz w:val="20"/>
                <w:szCs w:val="20"/>
              </w:rPr>
              <w:t>视频呼叫</w:t>
            </w:r>
          </w:p>
          <w:p w14:paraId="1A863C9A">
            <w:pPr>
              <w:keepLines w:val="0"/>
              <w:pageBreakBefore w:val="0"/>
              <w:widowControl w:val="0"/>
              <w:numPr>
                <w:ilvl w:val="0"/>
                <w:numId w:val="0"/>
              </w:numPr>
              <w:kinsoku/>
              <w:overflowPunct/>
              <w:topLinePunct w:val="0"/>
              <w:autoSpaceDE/>
              <w:autoSpaceDN/>
              <w:bidi w:val="0"/>
              <w:adjustRightInd/>
              <w:jc w:val="both"/>
              <w:textAlignment w:val="auto"/>
              <w:rPr>
                <w:rFonts w:hint="default" w:ascii="Times New Roman" w:hAnsi="Times New Roman" w:cs="Times New Roman"/>
                <w:kern w:val="0"/>
                <w:sz w:val="20"/>
                <w:szCs w:val="20"/>
              </w:rPr>
            </w:pPr>
            <w:r>
              <w:rPr>
                <w:rFonts w:hint="default" w:ascii="Times New Roman" w:hAnsi="Times New Roman" w:cs="Times New Roman"/>
                <w:kern w:val="0"/>
                <w:sz w:val="20"/>
                <w:szCs w:val="20"/>
                <w:lang w:val="en-US" w:eastAsia="zh-CN"/>
              </w:rPr>
              <w:t>3.</w:t>
            </w:r>
            <w:r>
              <w:rPr>
                <w:rFonts w:hint="default" w:ascii="Times New Roman" w:hAnsi="Times New Roman" w:cs="Times New Roman"/>
                <w:kern w:val="0"/>
                <w:sz w:val="20"/>
                <w:szCs w:val="20"/>
              </w:rPr>
              <w:t>语音互动</w:t>
            </w:r>
          </w:p>
        </w:tc>
        <w:tc>
          <w:tcPr>
            <w:tcW w:w="4546" w:type="dxa"/>
            <w:tcBorders>
              <w:top w:val="single" w:color="auto" w:sz="4" w:space="0"/>
              <w:left w:val="nil"/>
              <w:bottom w:val="single" w:color="auto" w:sz="4" w:space="0"/>
              <w:right w:val="single" w:color="000000" w:sz="4" w:space="0"/>
            </w:tcBorders>
            <w:vAlign w:val="center"/>
          </w:tcPr>
          <w:p w14:paraId="17C86CE6">
            <w:pPr>
              <w:keepLines w:val="0"/>
              <w:pageBreakBefore w:val="0"/>
              <w:widowControl w:val="0"/>
              <w:kinsoku/>
              <w:overflowPunct/>
              <w:topLinePunct w:val="0"/>
              <w:autoSpaceDE/>
              <w:autoSpaceDN/>
              <w:bidi w:val="0"/>
              <w:adjustRightInd/>
              <w:ind w:firstLine="400" w:firstLineChars="200"/>
              <w:jc w:val="both"/>
              <w:textAlignment w:val="auto"/>
              <w:rPr>
                <w:rFonts w:hint="default" w:ascii="Times New Roman" w:hAnsi="Times New Roman" w:cs="Times New Roman"/>
                <w:kern w:val="0"/>
                <w:sz w:val="20"/>
                <w:szCs w:val="20"/>
              </w:rPr>
            </w:pPr>
            <w:r>
              <w:rPr>
                <w:rFonts w:hint="default" w:ascii="Times New Roman" w:hAnsi="Times New Roman" w:cs="Times New Roman"/>
                <w:kern w:val="0"/>
                <w:sz w:val="20"/>
                <w:szCs w:val="20"/>
              </w:rPr>
              <w:t>群组呼叫需要将多个用户编成一个临时组，菜单选择视音频呼叫，接听后可语音互动</w:t>
            </w:r>
          </w:p>
        </w:tc>
        <w:tc>
          <w:tcPr>
            <w:tcW w:w="1155" w:type="dxa"/>
            <w:tcBorders>
              <w:top w:val="single" w:color="auto" w:sz="4" w:space="0"/>
              <w:left w:val="nil"/>
              <w:bottom w:val="single" w:color="auto" w:sz="4" w:space="0"/>
              <w:right w:val="single" w:color="000000" w:sz="4" w:space="0"/>
            </w:tcBorders>
            <w:vAlign w:val="center"/>
          </w:tcPr>
          <w:p w14:paraId="4FF0A7FF">
            <w:pPr>
              <w:keepLines w:val="0"/>
              <w:pageBreakBefore w:val="0"/>
              <w:widowControl w:val="0"/>
              <w:kinsoku/>
              <w:overflowPunct/>
              <w:topLinePunct w:val="0"/>
              <w:autoSpaceDE/>
              <w:autoSpaceDN/>
              <w:bidi w:val="0"/>
              <w:adjustRightInd/>
              <w:ind w:firstLine="400" w:firstLineChars="200"/>
              <w:jc w:val="both"/>
              <w:textAlignment w:val="auto"/>
              <w:rPr>
                <w:rFonts w:hint="default" w:ascii="Times New Roman" w:hAnsi="Times New Roman" w:cs="Times New Roman"/>
                <w:kern w:val="0"/>
                <w:sz w:val="20"/>
                <w:szCs w:val="20"/>
              </w:rPr>
            </w:pPr>
            <w:r>
              <w:rPr>
                <w:rFonts w:hint="default" w:ascii="Times New Roman" w:hAnsi="Times New Roman" w:cs="Times New Roman"/>
                <w:kern w:val="0"/>
                <w:sz w:val="20"/>
                <w:szCs w:val="20"/>
              </w:rPr>
              <w:t>远程</w:t>
            </w:r>
          </w:p>
        </w:tc>
      </w:tr>
      <w:tr w14:paraId="74605002">
        <w:tblPrEx>
          <w:tblCellMar>
            <w:top w:w="0" w:type="dxa"/>
            <w:left w:w="108" w:type="dxa"/>
            <w:bottom w:w="0" w:type="dxa"/>
            <w:right w:w="108" w:type="dxa"/>
          </w:tblCellMar>
        </w:tblPrEx>
        <w:trPr>
          <w:trHeight w:val="778" w:hRule="atLeast"/>
        </w:trPr>
        <w:tc>
          <w:tcPr>
            <w:tcW w:w="1418" w:type="dxa"/>
            <w:tcBorders>
              <w:top w:val="single" w:color="auto" w:sz="4" w:space="0"/>
              <w:left w:val="single" w:color="auto" w:sz="4" w:space="0"/>
              <w:bottom w:val="single" w:color="auto" w:sz="4" w:space="0"/>
              <w:right w:val="single" w:color="auto" w:sz="4" w:space="0"/>
            </w:tcBorders>
            <w:vAlign w:val="center"/>
          </w:tcPr>
          <w:p w14:paraId="0F19E3A3">
            <w:pPr>
              <w:keepLines w:val="0"/>
              <w:pageBreakBefore w:val="0"/>
              <w:widowControl w:val="0"/>
              <w:kinsoku/>
              <w:overflowPunct/>
              <w:topLinePunct w:val="0"/>
              <w:autoSpaceDE/>
              <w:autoSpaceDN/>
              <w:bidi w:val="0"/>
              <w:adjustRightInd/>
              <w:jc w:val="center"/>
              <w:textAlignment w:val="auto"/>
              <w:rPr>
                <w:rFonts w:hint="default" w:ascii="Times New Roman" w:hAnsi="Times New Roman" w:cs="Times New Roman"/>
                <w:kern w:val="0"/>
                <w:sz w:val="20"/>
                <w:szCs w:val="20"/>
              </w:rPr>
            </w:pPr>
            <w:r>
              <w:rPr>
                <w:rFonts w:hint="default" w:ascii="Times New Roman" w:hAnsi="Times New Roman" w:cs="Times New Roman"/>
                <w:kern w:val="0"/>
                <w:sz w:val="20"/>
                <w:szCs w:val="20"/>
              </w:rPr>
              <w:t>对讲</w:t>
            </w:r>
          </w:p>
        </w:tc>
        <w:tc>
          <w:tcPr>
            <w:tcW w:w="2659" w:type="dxa"/>
            <w:gridSpan w:val="2"/>
            <w:tcBorders>
              <w:top w:val="single" w:color="auto" w:sz="4" w:space="0"/>
              <w:left w:val="single" w:color="auto" w:sz="4" w:space="0"/>
              <w:bottom w:val="single" w:color="auto" w:sz="4" w:space="0"/>
              <w:right w:val="single" w:color="auto" w:sz="4" w:space="0"/>
            </w:tcBorders>
            <w:vAlign w:val="center"/>
          </w:tcPr>
          <w:p w14:paraId="145A4B7B">
            <w:pPr>
              <w:keepLines w:val="0"/>
              <w:pageBreakBefore w:val="0"/>
              <w:widowControl w:val="0"/>
              <w:kinsoku/>
              <w:overflowPunct/>
              <w:topLinePunct w:val="0"/>
              <w:autoSpaceDE/>
              <w:autoSpaceDN/>
              <w:bidi w:val="0"/>
              <w:adjustRightInd/>
              <w:jc w:val="both"/>
              <w:textAlignment w:val="auto"/>
              <w:rPr>
                <w:rFonts w:hint="default" w:ascii="Times New Roman" w:hAnsi="Times New Roman" w:cs="Times New Roman"/>
                <w:kern w:val="0"/>
                <w:sz w:val="20"/>
                <w:szCs w:val="20"/>
              </w:rPr>
            </w:pPr>
            <w:r>
              <w:rPr>
                <w:rFonts w:hint="default" w:ascii="Times New Roman" w:hAnsi="Times New Roman" w:cs="Times New Roman"/>
                <w:kern w:val="0"/>
                <w:sz w:val="20"/>
                <w:szCs w:val="20"/>
              </w:rPr>
              <w:t>1.组内用户（终端）</w:t>
            </w:r>
          </w:p>
          <w:p w14:paraId="0690E2D0">
            <w:pPr>
              <w:keepLines w:val="0"/>
              <w:pageBreakBefore w:val="0"/>
              <w:widowControl w:val="0"/>
              <w:kinsoku/>
              <w:overflowPunct/>
              <w:topLinePunct w:val="0"/>
              <w:autoSpaceDE/>
              <w:autoSpaceDN/>
              <w:bidi w:val="0"/>
              <w:adjustRightInd/>
              <w:jc w:val="both"/>
              <w:textAlignment w:val="auto"/>
              <w:rPr>
                <w:rFonts w:hint="default" w:ascii="Times New Roman" w:hAnsi="Times New Roman" w:cs="Times New Roman"/>
                <w:kern w:val="0"/>
                <w:sz w:val="20"/>
                <w:szCs w:val="20"/>
              </w:rPr>
            </w:pPr>
            <w:r>
              <w:rPr>
                <w:rFonts w:hint="default" w:ascii="Times New Roman" w:hAnsi="Times New Roman" w:cs="Times New Roman"/>
                <w:kern w:val="0"/>
                <w:sz w:val="20"/>
                <w:szCs w:val="20"/>
              </w:rPr>
              <w:t>2.按下PTT键组内对讲</w:t>
            </w:r>
          </w:p>
        </w:tc>
        <w:tc>
          <w:tcPr>
            <w:tcW w:w="4546" w:type="dxa"/>
            <w:tcBorders>
              <w:top w:val="single" w:color="auto" w:sz="4" w:space="0"/>
              <w:left w:val="single" w:color="auto" w:sz="4" w:space="0"/>
              <w:bottom w:val="single" w:color="auto" w:sz="4" w:space="0"/>
              <w:right w:val="single" w:color="auto" w:sz="4" w:space="0"/>
            </w:tcBorders>
            <w:vAlign w:val="center"/>
          </w:tcPr>
          <w:p w14:paraId="127CEBAF">
            <w:pPr>
              <w:keepLines w:val="0"/>
              <w:pageBreakBefore w:val="0"/>
              <w:widowControl w:val="0"/>
              <w:kinsoku/>
              <w:overflowPunct/>
              <w:topLinePunct w:val="0"/>
              <w:autoSpaceDE/>
              <w:autoSpaceDN/>
              <w:bidi w:val="0"/>
              <w:adjustRightInd/>
              <w:ind w:firstLine="400" w:firstLineChars="200"/>
              <w:jc w:val="both"/>
              <w:textAlignment w:val="auto"/>
              <w:rPr>
                <w:rFonts w:hint="default" w:ascii="Times New Roman" w:hAnsi="Times New Roman" w:cs="Times New Roman"/>
                <w:kern w:val="0"/>
                <w:sz w:val="20"/>
                <w:szCs w:val="20"/>
              </w:rPr>
            </w:pPr>
            <w:r>
              <w:rPr>
                <w:rFonts w:hint="default" w:ascii="Times New Roman" w:hAnsi="Times New Roman" w:cs="Times New Roman"/>
                <w:kern w:val="0"/>
                <w:sz w:val="20"/>
                <w:szCs w:val="20"/>
              </w:rPr>
              <w:t>对讲需要将多个用户编成一个临时组，组内终端用户按下 PPT键可互动对讲</w:t>
            </w:r>
          </w:p>
        </w:tc>
        <w:tc>
          <w:tcPr>
            <w:tcW w:w="1155" w:type="dxa"/>
            <w:tcBorders>
              <w:top w:val="single" w:color="auto" w:sz="4" w:space="0"/>
              <w:left w:val="single" w:color="auto" w:sz="4" w:space="0"/>
              <w:bottom w:val="single" w:color="auto" w:sz="4" w:space="0"/>
              <w:right w:val="single" w:color="auto" w:sz="4" w:space="0"/>
            </w:tcBorders>
            <w:vAlign w:val="center"/>
          </w:tcPr>
          <w:p w14:paraId="033F0F57">
            <w:pPr>
              <w:keepLines w:val="0"/>
              <w:pageBreakBefore w:val="0"/>
              <w:widowControl w:val="0"/>
              <w:kinsoku/>
              <w:overflowPunct/>
              <w:topLinePunct w:val="0"/>
              <w:autoSpaceDE/>
              <w:autoSpaceDN/>
              <w:bidi w:val="0"/>
              <w:adjustRightInd/>
              <w:ind w:firstLine="400" w:firstLineChars="200"/>
              <w:jc w:val="both"/>
              <w:textAlignment w:val="auto"/>
              <w:rPr>
                <w:rFonts w:hint="default" w:ascii="Times New Roman" w:hAnsi="Times New Roman" w:cs="Times New Roman"/>
                <w:kern w:val="0"/>
                <w:sz w:val="20"/>
                <w:szCs w:val="20"/>
              </w:rPr>
            </w:pPr>
            <w:r>
              <w:rPr>
                <w:rFonts w:hint="default" w:ascii="Times New Roman" w:hAnsi="Times New Roman" w:cs="Times New Roman"/>
                <w:kern w:val="0"/>
                <w:sz w:val="20"/>
                <w:szCs w:val="20"/>
              </w:rPr>
              <w:t>远程</w:t>
            </w:r>
          </w:p>
        </w:tc>
      </w:tr>
      <w:tr w14:paraId="415CF229">
        <w:tblPrEx>
          <w:tblCellMar>
            <w:top w:w="0" w:type="dxa"/>
            <w:left w:w="108" w:type="dxa"/>
            <w:bottom w:w="0" w:type="dxa"/>
            <w:right w:w="108" w:type="dxa"/>
          </w:tblCellMar>
        </w:tblPrEx>
        <w:trPr>
          <w:trHeight w:val="814" w:hRule="atLeast"/>
        </w:trPr>
        <w:tc>
          <w:tcPr>
            <w:tcW w:w="1418" w:type="dxa"/>
            <w:tcBorders>
              <w:top w:val="single" w:color="auto" w:sz="4" w:space="0"/>
              <w:left w:val="single" w:color="auto" w:sz="4" w:space="0"/>
              <w:bottom w:val="single" w:color="auto" w:sz="4" w:space="0"/>
              <w:right w:val="single" w:color="auto" w:sz="4" w:space="0"/>
            </w:tcBorders>
            <w:vAlign w:val="center"/>
          </w:tcPr>
          <w:p w14:paraId="57B21C97">
            <w:pPr>
              <w:keepLines w:val="0"/>
              <w:pageBreakBefore w:val="0"/>
              <w:widowControl w:val="0"/>
              <w:kinsoku/>
              <w:overflowPunct/>
              <w:topLinePunct w:val="0"/>
              <w:autoSpaceDE/>
              <w:autoSpaceDN/>
              <w:bidi w:val="0"/>
              <w:adjustRightInd/>
              <w:jc w:val="center"/>
              <w:textAlignment w:val="auto"/>
              <w:rPr>
                <w:rFonts w:hint="default" w:ascii="Times New Roman" w:hAnsi="Times New Roman" w:cs="Times New Roman"/>
                <w:kern w:val="0"/>
                <w:sz w:val="20"/>
                <w:szCs w:val="20"/>
              </w:rPr>
            </w:pPr>
            <w:r>
              <w:rPr>
                <w:rFonts w:hint="default" w:ascii="Times New Roman" w:hAnsi="Times New Roman" w:cs="Times New Roman"/>
                <w:kern w:val="0"/>
                <w:sz w:val="20"/>
                <w:szCs w:val="20"/>
              </w:rPr>
              <w:t>北斗/GPS功能</w:t>
            </w:r>
          </w:p>
        </w:tc>
        <w:tc>
          <w:tcPr>
            <w:tcW w:w="2659" w:type="dxa"/>
            <w:gridSpan w:val="2"/>
            <w:tcBorders>
              <w:top w:val="single" w:color="auto" w:sz="4" w:space="0"/>
              <w:left w:val="single" w:color="auto" w:sz="4" w:space="0"/>
              <w:bottom w:val="single" w:color="auto" w:sz="4" w:space="0"/>
              <w:right w:val="single" w:color="auto" w:sz="4" w:space="0"/>
            </w:tcBorders>
            <w:vAlign w:val="center"/>
          </w:tcPr>
          <w:p w14:paraId="1161EC5D">
            <w:pPr>
              <w:keepLines w:val="0"/>
              <w:pageBreakBefore w:val="0"/>
              <w:widowControl w:val="0"/>
              <w:kinsoku/>
              <w:overflowPunct/>
              <w:topLinePunct w:val="0"/>
              <w:autoSpaceDE/>
              <w:autoSpaceDN/>
              <w:bidi w:val="0"/>
              <w:adjustRightInd/>
              <w:jc w:val="both"/>
              <w:textAlignment w:val="auto"/>
              <w:rPr>
                <w:rFonts w:hint="default" w:ascii="Times New Roman" w:hAnsi="Times New Roman" w:cs="Times New Roman"/>
                <w:kern w:val="0"/>
                <w:sz w:val="20"/>
                <w:szCs w:val="20"/>
              </w:rPr>
            </w:pPr>
            <w:r>
              <w:rPr>
                <w:rFonts w:hint="default" w:ascii="Times New Roman" w:hAnsi="Times New Roman" w:cs="Times New Roman"/>
                <w:color w:val="000000"/>
                <w:kern w:val="0"/>
                <w:sz w:val="20"/>
                <w:szCs w:val="20"/>
              </w:rPr>
              <w:t>调度台在电子地图上显示终端的实时位置（调度台）</w:t>
            </w:r>
          </w:p>
        </w:tc>
        <w:tc>
          <w:tcPr>
            <w:tcW w:w="4546" w:type="dxa"/>
            <w:tcBorders>
              <w:top w:val="single" w:color="auto" w:sz="4" w:space="0"/>
              <w:left w:val="single" w:color="auto" w:sz="4" w:space="0"/>
              <w:bottom w:val="single" w:color="auto" w:sz="4" w:space="0"/>
              <w:right w:val="single" w:color="auto" w:sz="4" w:space="0"/>
            </w:tcBorders>
            <w:vAlign w:val="center"/>
          </w:tcPr>
          <w:p w14:paraId="776442C2">
            <w:pPr>
              <w:keepLines w:val="0"/>
              <w:pageBreakBefore w:val="0"/>
              <w:widowControl w:val="0"/>
              <w:kinsoku/>
              <w:overflowPunct/>
              <w:topLinePunct w:val="0"/>
              <w:autoSpaceDE/>
              <w:autoSpaceDN/>
              <w:bidi w:val="0"/>
              <w:adjustRightInd/>
              <w:ind w:firstLine="400" w:firstLineChars="200"/>
              <w:jc w:val="both"/>
              <w:textAlignment w:val="auto"/>
              <w:rPr>
                <w:rFonts w:hint="default" w:ascii="Times New Roman" w:hAnsi="Times New Roman" w:cs="Times New Roman"/>
                <w:kern w:val="0"/>
                <w:sz w:val="20"/>
                <w:szCs w:val="20"/>
              </w:rPr>
            </w:pPr>
            <w:r>
              <w:rPr>
                <w:rFonts w:hint="default" w:ascii="Times New Roman" w:hAnsi="Times New Roman" w:cs="Times New Roman"/>
                <w:kern w:val="0"/>
                <w:sz w:val="20"/>
                <w:szCs w:val="20"/>
              </w:rPr>
              <w:t>通过调度台查看终端实时定位并查询到历史轨迹</w:t>
            </w:r>
          </w:p>
        </w:tc>
        <w:tc>
          <w:tcPr>
            <w:tcW w:w="1155" w:type="dxa"/>
            <w:tcBorders>
              <w:top w:val="single" w:color="auto" w:sz="4" w:space="0"/>
              <w:left w:val="single" w:color="auto" w:sz="4" w:space="0"/>
              <w:bottom w:val="single" w:color="auto" w:sz="4" w:space="0"/>
              <w:right w:val="single" w:color="auto" w:sz="4" w:space="0"/>
            </w:tcBorders>
            <w:vAlign w:val="center"/>
          </w:tcPr>
          <w:p w14:paraId="518A92CF">
            <w:pPr>
              <w:keepLines w:val="0"/>
              <w:pageBreakBefore w:val="0"/>
              <w:widowControl w:val="0"/>
              <w:kinsoku/>
              <w:overflowPunct/>
              <w:topLinePunct w:val="0"/>
              <w:autoSpaceDE/>
              <w:autoSpaceDN/>
              <w:bidi w:val="0"/>
              <w:adjustRightInd/>
              <w:ind w:firstLine="400" w:firstLineChars="200"/>
              <w:jc w:val="both"/>
              <w:textAlignment w:val="auto"/>
              <w:rPr>
                <w:rFonts w:hint="default" w:ascii="Times New Roman" w:hAnsi="Times New Roman" w:cs="Times New Roman"/>
                <w:kern w:val="0"/>
                <w:sz w:val="20"/>
                <w:szCs w:val="20"/>
              </w:rPr>
            </w:pPr>
            <w:r>
              <w:rPr>
                <w:rFonts w:hint="default" w:ascii="Times New Roman" w:hAnsi="Times New Roman" w:cs="Times New Roman"/>
                <w:kern w:val="0"/>
                <w:sz w:val="20"/>
                <w:szCs w:val="20"/>
              </w:rPr>
              <w:t>远程</w:t>
            </w:r>
          </w:p>
        </w:tc>
      </w:tr>
      <w:tr w14:paraId="152CB9BA">
        <w:tblPrEx>
          <w:tblCellMar>
            <w:top w:w="0" w:type="dxa"/>
            <w:left w:w="108" w:type="dxa"/>
            <w:bottom w:w="0" w:type="dxa"/>
            <w:right w:w="108" w:type="dxa"/>
          </w:tblCellMar>
        </w:tblPrEx>
        <w:trPr>
          <w:trHeight w:val="960" w:hRule="atLeast"/>
        </w:trPr>
        <w:tc>
          <w:tcPr>
            <w:tcW w:w="1418" w:type="dxa"/>
            <w:tcBorders>
              <w:top w:val="single" w:color="auto" w:sz="4" w:space="0"/>
              <w:left w:val="single" w:color="auto" w:sz="4" w:space="0"/>
              <w:bottom w:val="single" w:color="auto" w:sz="4" w:space="0"/>
              <w:right w:val="single" w:color="auto" w:sz="4" w:space="0"/>
            </w:tcBorders>
            <w:vAlign w:val="center"/>
          </w:tcPr>
          <w:p w14:paraId="6616743D">
            <w:pPr>
              <w:keepLines w:val="0"/>
              <w:pageBreakBefore w:val="0"/>
              <w:widowControl w:val="0"/>
              <w:kinsoku/>
              <w:overflowPunct/>
              <w:topLinePunct w:val="0"/>
              <w:autoSpaceDE/>
              <w:autoSpaceDN/>
              <w:bidi w:val="0"/>
              <w:adjustRightInd/>
              <w:jc w:val="center"/>
              <w:textAlignment w:val="auto"/>
              <w:rPr>
                <w:rFonts w:hint="default" w:ascii="Times New Roman" w:hAnsi="Times New Roman" w:cs="Times New Roman"/>
                <w:kern w:val="0"/>
                <w:sz w:val="20"/>
                <w:szCs w:val="20"/>
              </w:rPr>
            </w:pPr>
            <w:r>
              <w:rPr>
                <w:rFonts w:hint="default" w:ascii="Times New Roman" w:hAnsi="Times New Roman" w:cs="Times New Roman"/>
                <w:color w:val="000000"/>
                <w:kern w:val="0"/>
                <w:sz w:val="20"/>
                <w:szCs w:val="20"/>
              </w:rPr>
              <w:t>广播</w:t>
            </w:r>
          </w:p>
        </w:tc>
        <w:tc>
          <w:tcPr>
            <w:tcW w:w="2659" w:type="dxa"/>
            <w:gridSpan w:val="2"/>
            <w:tcBorders>
              <w:top w:val="single" w:color="auto" w:sz="4" w:space="0"/>
              <w:left w:val="single" w:color="auto" w:sz="4" w:space="0"/>
              <w:bottom w:val="single" w:color="auto" w:sz="4" w:space="0"/>
              <w:right w:val="single" w:color="auto" w:sz="4" w:space="0"/>
            </w:tcBorders>
            <w:vAlign w:val="center"/>
          </w:tcPr>
          <w:p w14:paraId="4E478E6D">
            <w:pPr>
              <w:keepLines w:val="0"/>
              <w:pageBreakBefore w:val="0"/>
              <w:widowControl w:val="0"/>
              <w:kinsoku/>
              <w:overflowPunct/>
              <w:topLinePunct w:val="0"/>
              <w:autoSpaceDE/>
              <w:autoSpaceDN/>
              <w:bidi w:val="0"/>
              <w:adjustRightInd/>
              <w:jc w:val="both"/>
              <w:textAlignment w:val="auto"/>
              <w:rPr>
                <w:rFonts w:hint="default" w:ascii="Times New Roman" w:hAnsi="Times New Roman" w:cs="Times New Roman"/>
                <w:kern w:val="0"/>
                <w:sz w:val="20"/>
                <w:szCs w:val="20"/>
              </w:rPr>
            </w:pPr>
            <w:r>
              <w:rPr>
                <w:rFonts w:hint="default" w:ascii="Times New Roman" w:hAnsi="Times New Roman" w:cs="Times New Roman"/>
                <w:color w:val="000000"/>
                <w:kern w:val="0"/>
                <w:sz w:val="20"/>
                <w:szCs w:val="20"/>
              </w:rPr>
              <w:t>调度台可对组发起广播，组内成员可收听调度台话音</w:t>
            </w:r>
            <w:r>
              <w:rPr>
                <w:rFonts w:hint="default" w:ascii="Times New Roman" w:hAnsi="Times New Roman" w:cs="Times New Roman"/>
                <w:kern w:val="0"/>
                <w:sz w:val="20"/>
                <w:szCs w:val="20"/>
              </w:rPr>
              <w:t>（调度台）</w:t>
            </w:r>
          </w:p>
        </w:tc>
        <w:tc>
          <w:tcPr>
            <w:tcW w:w="4546" w:type="dxa"/>
            <w:tcBorders>
              <w:top w:val="single" w:color="auto" w:sz="4" w:space="0"/>
              <w:left w:val="single" w:color="auto" w:sz="4" w:space="0"/>
              <w:bottom w:val="single" w:color="auto" w:sz="4" w:space="0"/>
              <w:right w:val="single" w:color="auto" w:sz="4" w:space="0"/>
            </w:tcBorders>
            <w:vAlign w:val="center"/>
          </w:tcPr>
          <w:p w14:paraId="611911D9">
            <w:pPr>
              <w:keepLines w:val="0"/>
              <w:pageBreakBefore w:val="0"/>
              <w:widowControl w:val="0"/>
              <w:kinsoku/>
              <w:overflowPunct/>
              <w:topLinePunct w:val="0"/>
              <w:autoSpaceDE/>
              <w:autoSpaceDN/>
              <w:bidi w:val="0"/>
              <w:adjustRightInd/>
              <w:ind w:firstLine="400" w:firstLineChars="200"/>
              <w:jc w:val="both"/>
              <w:textAlignment w:val="auto"/>
              <w:rPr>
                <w:rFonts w:hint="default" w:ascii="Times New Roman" w:hAnsi="Times New Roman" w:cs="Times New Roman"/>
                <w:color w:val="000000"/>
                <w:kern w:val="0"/>
                <w:sz w:val="20"/>
                <w:szCs w:val="20"/>
              </w:rPr>
            </w:pPr>
            <w:r>
              <w:rPr>
                <w:rFonts w:hint="default" w:ascii="Times New Roman" w:hAnsi="Times New Roman" w:cs="Times New Roman"/>
                <w:kern w:val="0"/>
                <w:sz w:val="20"/>
                <w:szCs w:val="20"/>
              </w:rPr>
              <w:t>通过调度台打开麦克风进行语音广播</w:t>
            </w:r>
          </w:p>
        </w:tc>
        <w:tc>
          <w:tcPr>
            <w:tcW w:w="1155" w:type="dxa"/>
            <w:tcBorders>
              <w:top w:val="single" w:color="auto" w:sz="4" w:space="0"/>
              <w:left w:val="single" w:color="auto" w:sz="4" w:space="0"/>
              <w:bottom w:val="single" w:color="auto" w:sz="4" w:space="0"/>
              <w:right w:val="single" w:color="auto" w:sz="4" w:space="0"/>
            </w:tcBorders>
            <w:vAlign w:val="center"/>
          </w:tcPr>
          <w:p w14:paraId="0BF60E6A">
            <w:pPr>
              <w:keepLines w:val="0"/>
              <w:pageBreakBefore w:val="0"/>
              <w:widowControl w:val="0"/>
              <w:kinsoku/>
              <w:overflowPunct/>
              <w:topLinePunct w:val="0"/>
              <w:autoSpaceDE/>
              <w:autoSpaceDN/>
              <w:bidi w:val="0"/>
              <w:adjustRightInd/>
              <w:ind w:firstLine="400" w:firstLineChars="200"/>
              <w:jc w:val="both"/>
              <w:textAlignment w:val="auto"/>
              <w:rPr>
                <w:rFonts w:hint="default" w:ascii="Times New Roman" w:hAnsi="Times New Roman" w:cs="Times New Roman"/>
                <w:kern w:val="0"/>
                <w:sz w:val="20"/>
                <w:szCs w:val="20"/>
              </w:rPr>
            </w:pPr>
            <w:r>
              <w:rPr>
                <w:rFonts w:hint="default" w:ascii="Times New Roman" w:hAnsi="Times New Roman" w:cs="Times New Roman"/>
                <w:kern w:val="0"/>
                <w:sz w:val="20"/>
                <w:szCs w:val="20"/>
              </w:rPr>
              <w:t>远程</w:t>
            </w:r>
          </w:p>
        </w:tc>
      </w:tr>
      <w:tr w14:paraId="65A0C516">
        <w:tblPrEx>
          <w:tblCellMar>
            <w:top w:w="0" w:type="dxa"/>
            <w:left w:w="108" w:type="dxa"/>
            <w:bottom w:w="0" w:type="dxa"/>
            <w:right w:w="108" w:type="dxa"/>
          </w:tblCellMar>
        </w:tblPrEx>
        <w:trPr>
          <w:trHeight w:val="960" w:hRule="atLeast"/>
        </w:trPr>
        <w:tc>
          <w:tcPr>
            <w:tcW w:w="1418" w:type="dxa"/>
            <w:tcBorders>
              <w:top w:val="single" w:color="auto" w:sz="4" w:space="0"/>
              <w:left w:val="single" w:color="auto" w:sz="4" w:space="0"/>
              <w:bottom w:val="single" w:color="auto" w:sz="4" w:space="0"/>
              <w:right w:val="single" w:color="auto" w:sz="4" w:space="0"/>
            </w:tcBorders>
            <w:vAlign w:val="center"/>
          </w:tcPr>
          <w:p w14:paraId="5BBBB7E6">
            <w:pPr>
              <w:keepLines w:val="0"/>
              <w:pageBreakBefore w:val="0"/>
              <w:widowControl w:val="0"/>
              <w:kinsoku/>
              <w:overflowPunct/>
              <w:topLinePunct w:val="0"/>
              <w:autoSpaceDE/>
              <w:autoSpaceDN/>
              <w:bidi w:val="0"/>
              <w:adjustRightInd/>
              <w:jc w:val="center"/>
              <w:textAlignment w:val="auto"/>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SOS紧急呼叫求</w:t>
            </w:r>
          </w:p>
        </w:tc>
        <w:tc>
          <w:tcPr>
            <w:tcW w:w="2659" w:type="dxa"/>
            <w:gridSpan w:val="2"/>
            <w:tcBorders>
              <w:top w:val="single" w:color="auto" w:sz="4" w:space="0"/>
              <w:left w:val="single" w:color="auto" w:sz="4" w:space="0"/>
              <w:bottom w:val="single" w:color="auto" w:sz="4" w:space="0"/>
              <w:right w:val="single" w:color="auto" w:sz="4" w:space="0"/>
            </w:tcBorders>
            <w:vAlign w:val="center"/>
          </w:tcPr>
          <w:p w14:paraId="44485DF6">
            <w:pPr>
              <w:keepLines w:val="0"/>
              <w:pageBreakBefore w:val="0"/>
              <w:widowControl w:val="0"/>
              <w:numPr>
                <w:ilvl w:val="0"/>
                <w:numId w:val="0"/>
              </w:numPr>
              <w:kinsoku/>
              <w:overflowPunct/>
              <w:topLinePunct w:val="0"/>
              <w:autoSpaceDE/>
              <w:autoSpaceDN/>
              <w:bidi w:val="0"/>
              <w:adjustRightInd/>
              <w:jc w:val="both"/>
              <w:textAlignment w:val="auto"/>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lang w:val="en-US" w:eastAsia="zh-CN"/>
              </w:rPr>
              <w:t>1.</w:t>
            </w:r>
            <w:r>
              <w:rPr>
                <w:rFonts w:hint="default" w:ascii="Times New Roman" w:hAnsi="Times New Roman" w:cs="Times New Roman"/>
                <w:color w:val="000000"/>
                <w:kern w:val="0"/>
                <w:sz w:val="20"/>
                <w:szCs w:val="20"/>
              </w:rPr>
              <w:t>终端按下SOS键（终端）</w:t>
            </w:r>
          </w:p>
          <w:p w14:paraId="7D9B0E09">
            <w:pPr>
              <w:keepLines w:val="0"/>
              <w:pageBreakBefore w:val="0"/>
              <w:widowControl w:val="0"/>
              <w:numPr>
                <w:ilvl w:val="0"/>
                <w:numId w:val="0"/>
              </w:numPr>
              <w:kinsoku/>
              <w:overflowPunct/>
              <w:topLinePunct w:val="0"/>
              <w:autoSpaceDE/>
              <w:autoSpaceDN/>
              <w:bidi w:val="0"/>
              <w:adjustRightInd/>
              <w:jc w:val="both"/>
              <w:textAlignment w:val="auto"/>
              <w:rPr>
                <w:rFonts w:hint="default" w:ascii="Times New Roman" w:hAnsi="Times New Roman" w:cs="Times New Roman"/>
                <w:kern w:val="0"/>
                <w:sz w:val="20"/>
                <w:szCs w:val="20"/>
              </w:rPr>
            </w:pPr>
            <w:r>
              <w:rPr>
                <w:rFonts w:hint="default" w:ascii="Times New Roman" w:hAnsi="Times New Roman" w:cs="Times New Roman"/>
                <w:color w:val="000000"/>
                <w:kern w:val="0"/>
                <w:sz w:val="20"/>
                <w:szCs w:val="20"/>
                <w:lang w:val="en-US" w:eastAsia="zh-CN"/>
              </w:rPr>
              <w:t>2.</w:t>
            </w:r>
            <w:r>
              <w:rPr>
                <w:rFonts w:hint="default" w:ascii="Times New Roman" w:hAnsi="Times New Roman" w:cs="Times New Roman"/>
                <w:color w:val="000000"/>
                <w:kern w:val="0"/>
                <w:sz w:val="20"/>
                <w:szCs w:val="20"/>
              </w:rPr>
              <w:t>调度台界面上显示SOS告警信息（调度台）</w:t>
            </w:r>
          </w:p>
        </w:tc>
        <w:tc>
          <w:tcPr>
            <w:tcW w:w="4546" w:type="dxa"/>
            <w:tcBorders>
              <w:top w:val="single" w:color="auto" w:sz="4" w:space="0"/>
              <w:left w:val="single" w:color="auto" w:sz="4" w:space="0"/>
              <w:bottom w:val="single" w:color="auto" w:sz="4" w:space="0"/>
              <w:right w:val="single" w:color="auto" w:sz="4" w:space="0"/>
            </w:tcBorders>
            <w:vAlign w:val="center"/>
          </w:tcPr>
          <w:p w14:paraId="661C63E1">
            <w:pPr>
              <w:keepLines w:val="0"/>
              <w:pageBreakBefore w:val="0"/>
              <w:widowControl w:val="0"/>
              <w:kinsoku/>
              <w:overflowPunct/>
              <w:topLinePunct w:val="0"/>
              <w:autoSpaceDE/>
              <w:autoSpaceDN/>
              <w:bidi w:val="0"/>
              <w:adjustRightInd/>
              <w:ind w:firstLine="400" w:firstLineChars="200"/>
              <w:jc w:val="both"/>
              <w:textAlignment w:val="auto"/>
              <w:rPr>
                <w:rFonts w:hint="default" w:ascii="Times New Roman" w:hAnsi="Times New Roman" w:cs="Times New Roman"/>
                <w:color w:val="000000"/>
                <w:kern w:val="0"/>
                <w:sz w:val="20"/>
                <w:szCs w:val="20"/>
              </w:rPr>
            </w:pPr>
            <w:r>
              <w:rPr>
                <w:rFonts w:hint="default" w:ascii="Times New Roman" w:hAnsi="Times New Roman" w:cs="Times New Roman"/>
                <w:kern w:val="0"/>
                <w:sz w:val="20"/>
                <w:szCs w:val="20"/>
              </w:rPr>
              <w:t>通过调度台显示终端SOS信息，点入直接进入视音屏页面；</w:t>
            </w:r>
          </w:p>
        </w:tc>
        <w:tc>
          <w:tcPr>
            <w:tcW w:w="1155" w:type="dxa"/>
            <w:tcBorders>
              <w:top w:val="single" w:color="auto" w:sz="4" w:space="0"/>
              <w:left w:val="single" w:color="auto" w:sz="4" w:space="0"/>
              <w:bottom w:val="single" w:color="auto" w:sz="4" w:space="0"/>
              <w:right w:val="single" w:color="auto" w:sz="4" w:space="0"/>
            </w:tcBorders>
            <w:vAlign w:val="center"/>
          </w:tcPr>
          <w:p w14:paraId="4B91B5FF">
            <w:pPr>
              <w:keepLines w:val="0"/>
              <w:pageBreakBefore w:val="0"/>
              <w:widowControl w:val="0"/>
              <w:kinsoku/>
              <w:overflowPunct/>
              <w:topLinePunct w:val="0"/>
              <w:autoSpaceDE/>
              <w:autoSpaceDN/>
              <w:bidi w:val="0"/>
              <w:adjustRightInd/>
              <w:ind w:firstLine="400" w:firstLineChars="200"/>
              <w:jc w:val="both"/>
              <w:textAlignment w:val="auto"/>
              <w:rPr>
                <w:rFonts w:hint="default" w:ascii="Times New Roman" w:hAnsi="Times New Roman" w:cs="Times New Roman"/>
                <w:kern w:val="0"/>
                <w:sz w:val="20"/>
                <w:szCs w:val="20"/>
              </w:rPr>
            </w:pPr>
            <w:r>
              <w:rPr>
                <w:rFonts w:hint="default" w:ascii="Times New Roman" w:hAnsi="Times New Roman" w:cs="Times New Roman"/>
                <w:kern w:val="0"/>
                <w:sz w:val="20"/>
                <w:szCs w:val="20"/>
              </w:rPr>
              <w:t>远程</w:t>
            </w:r>
          </w:p>
        </w:tc>
      </w:tr>
      <w:tr w14:paraId="1AE5B536">
        <w:tblPrEx>
          <w:tblCellMar>
            <w:top w:w="0" w:type="dxa"/>
            <w:left w:w="108" w:type="dxa"/>
            <w:bottom w:w="0" w:type="dxa"/>
            <w:right w:w="108" w:type="dxa"/>
          </w:tblCellMar>
        </w:tblPrEx>
        <w:trPr>
          <w:trHeight w:val="960" w:hRule="atLeast"/>
        </w:trPr>
        <w:tc>
          <w:tcPr>
            <w:tcW w:w="1418" w:type="dxa"/>
            <w:tcBorders>
              <w:top w:val="single" w:color="auto" w:sz="4" w:space="0"/>
              <w:left w:val="single" w:color="auto" w:sz="4" w:space="0"/>
              <w:bottom w:val="single" w:color="auto" w:sz="4" w:space="0"/>
              <w:right w:val="single" w:color="auto" w:sz="4" w:space="0"/>
            </w:tcBorders>
            <w:vAlign w:val="center"/>
          </w:tcPr>
          <w:p w14:paraId="6E60F1E8">
            <w:pPr>
              <w:keepLines w:val="0"/>
              <w:pageBreakBefore w:val="0"/>
              <w:widowControl w:val="0"/>
              <w:kinsoku/>
              <w:overflowPunct/>
              <w:topLinePunct w:val="0"/>
              <w:autoSpaceDE/>
              <w:autoSpaceDN/>
              <w:bidi w:val="0"/>
              <w:adjustRightInd/>
              <w:jc w:val="center"/>
              <w:textAlignment w:val="auto"/>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电子围栏</w:t>
            </w:r>
          </w:p>
        </w:tc>
        <w:tc>
          <w:tcPr>
            <w:tcW w:w="2659" w:type="dxa"/>
            <w:gridSpan w:val="2"/>
            <w:tcBorders>
              <w:top w:val="single" w:color="auto" w:sz="4" w:space="0"/>
              <w:left w:val="single" w:color="auto" w:sz="4" w:space="0"/>
              <w:bottom w:val="single" w:color="auto" w:sz="4" w:space="0"/>
              <w:right w:val="single" w:color="auto" w:sz="4" w:space="0"/>
            </w:tcBorders>
            <w:vAlign w:val="center"/>
          </w:tcPr>
          <w:p w14:paraId="083A937E">
            <w:pPr>
              <w:keepLines w:val="0"/>
              <w:pageBreakBefore w:val="0"/>
              <w:widowControl w:val="0"/>
              <w:numPr>
                <w:ilvl w:val="0"/>
                <w:numId w:val="0"/>
              </w:numPr>
              <w:kinsoku/>
              <w:overflowPunct/>
              <w:topLinePunct w:val="0"/>
              <w:autoSpaceDE/>
              <w:autoSpaceDN/>
              <w:bidi w:val="0"/>
              <w:adjustRightInd/>
              <w:jc w:val="both"/>
              <w:textAlignment w:val="auto"/>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lang w:val="en-US" w:eastAsia="zh-CN"/>
              </w:rPr>
              <w:t>1.</w:t>
            </w:r>
            <w:r>
              <w:rPr>
                <w:rFonts w:hint="default" w:ascii="Times New Roman" w:hAnsi="Times New Roman" w:cs="Times New Roman"/>
                <w:color w:val="000000"/>
                <w:kern w:val="0"/>
                <w:sz w:val="20"/>
                <w:szCs w:val="20"/>
              </w:rPr>
              <w:t>地图上圈定一定的范围设置围栏（调度台）</w:t>
            </w:r>
          </w:p>
          <w:p w14:paraId="42B5C0CB">
            <w:pPr>
              <w:keepLines w:val="0"/>
              <w:pageBreakBefore w:val="0"/>
              <w:widowControl w:val="0"/>
              <w:numPr>
                <w:ilvl w:val="0"/>
                <w:numId w:val="0"/>
              </w:numPr>
              <w:kinsoku/>
              <w:overflowPunct/>
              <w:topLinePunct w:val="0"/>
              <w:autoSpaceDE/>
              <w:autoSpaceDN/>
              <w:bidi w:val="0"/>
              <w:adjustRightInd/>
              <w:jc w:val="both"/>
              <w:textAlignment w:val="auto"/>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lang w:val="en-US" w:eastAsia="zh-CN"/>
              </w:rPr>
              <w:t>2.</w:t>
            </w:r>
            <w:r>
              <w:rPr>
                <w:rFonts w:hint="default" w:ascii="Times New Roman" w:hAnsi="Times New Roman" w:cs="Times New Roman"/>
                <w:color w:val="000000"/>
                <w:kern w:val="0"/>
                <w:sz w:val="20"/>
                <w:szCs w:val="20"/>
              </w:rPr>
              <w:t>设置终端进围栏警告</w:t>
            </w:r>
          </w:p>
          <w:p w14:paraId="55303D60">
            <w:pPr>
              <w:keepLines w:val="0"/>
              <w:pageBreakBefore w:val="0"/>
              <w:widowControl w:val="0"/>
              <w:numPr>
                <w:ilvl w:val="0"/>
                <w:numId w:val="0"/>
              </w:numPr>
              <w:kinsoku/>
              <w:overflowPunct/>
              <w:topLinePunct w:val="0"/>
              <w:autoSpaceDE/>
              <w:autoSpaceDN/>
              <w:bidi w:val="0"/>
              <w:adjustRightInd/>
              <w:jc w:val="both"/>
              <w:textAlignment w:val="auto"/>
              <w:rPr>
                <w:rFonts w:hint="default" w:ascii="Times New Roman" w:hAnsi="Times New Roman" w:cs="Times New Roman"/>
                <w:kern w:val="0"/>
                <w:sz w:val="20"/>
                <w:szCs w:val="20"/>
              </w:rPr>
            </w:pPr>
            <w:r>
              <w:rPr>
                <w:rFonts w:hint="default" w:ascii="Times New Roman" w:hAnsi="Times New Roman" w:cs="Times New Roman"/>
                <w:color w:val="000000"/>
                <w:kern w:val="0"/>
                <w:sz w:val="20"/>
                <w:szCs w:val="20"/>
                <w:lang w:val="en-US" w:eastAsia="zh-CN"/>
              </w:rPr>
              <w:t>3.</w:t>
            </w:r>
            <w:r>
              <w:rPr>
                <w:rFonts w:hint="default" w:ascii="Times New Roman" w:hAnsi="Times New Roman" w:cs="Times New Roman"/>
                <w:color w:val="000000"/>
                <w:kern w:val="0"/>
                <w:sz w:val="20"/>
                <w:szCs w:val="20"/>
              </w:rPr>
              <w:t>设置终端出围栏警告</w:t>
            </w:r>
          </w:p>
        </w:tc>
        <w:tc>
          <w:tcPr>
            <w:tcW w:w="4546" w:type="dxa"/>
            <w:tcBorders>
              <w:top w:val="single" w:color="auto" w:sz="4" w:space="0"/>
              <w:left w:val="single" w:color="auto" w:sz="4" w:space="0"/>
              <w:bottom w:val="single" w:color="auto" w:sz="4" w:space="0"/>
              <w:right w:val="single" w:color="auto" w:sz="4" w:space="0"/>
            </w:tcBorders>
            <w:vAlign w:val="center"/>
          </w:tcPr>
          <w:p w14:paraId="0399CB41">
            <w:pPr>
              <w:keepLines w:val="0"/>
              <w:pageBreakBefore w:val="0"/>
              <w:widowControl w:val="0"/>
              <w:kinsoku/>
              <w:overflowPunct/>
              <w:topLinePunct w:val="0"/>
              <w:autoSpaceDE/>
              <w:autoSpaceDN/>
              <w:bidi w:val="0"/>
              <w:adjustRightInd/>
              <w:ind w:firstLine="400" w:firstLineChars="200"/>
              <w:jc w:val="both"/>
              <w:textAlignment w:val="auto"/>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通过平台在地图上圈定一定的范围设置围栏后，对进入围栏或离开围栏用户进行位置告警</w:t>
            </w:r>
            <w:r>
              <w:rPr>
                <w:rFonts w:hint="default" w:ascii="Times New Roman" w:hAnsi="Times New Roman" w:cs="Times New Roman"/>
                <w:kern w:val="0"/>
                <w:sz w:val="20"/>
                <w:szCs w:val="20"/>
              </w:rPr>
              <w:t>；维护</w:t>
            </w:r>
          </w:p>
        </w:tc>
        <w:tc>
          <w:tcPr>
            <w:tcW w:w="1155" w:type="dxa"/>
            <w:tcBorders>
              <w:top w:val="single" w:color="auto" w:sz="4" w:space="0"/>
              <w:left w:val="single" w:color="auto" w:sz="4" w:space="0"/>
              <w:bottom w:val="single" w:color="auto" w:sz="4" w:space="0"/>
              <w:right w:val="single" w:color="auto" w:sz="4" w:space="0"/>
            </w:tcBorders>
            <w:vAlign w:val="center"/>
          </w:tcPr>
          <w:p w14:paraId="7B71E24D">
            <w:pPr>
              <w:keepLines w:val="0"/>
              <w:pageBreakBefore w:val="0"/>
              <w:widowControl w:val="0"/>
              <w:kinsoku/>
              <w:overflowPunct/>
              <w:topLinePunct w:val="0"/>
              <w:autoSpaceDE/>
              <w:autoSpaceDN/>
              <w:bidi w:val="0"/>
              <w:adjustRightInd/>
              <w:ind w:firstLine="400" w:firstLineChars="200"/>
              <w:jc w:val="both"/>
              <w:textAlignment w:val="auto"/>
              <w:rPr>
                <w:rFonts w:hint="default" w:ascii="Times New Roman" w:hAnsi="Times New Roman" w:cs="Times New Roman"/>
                <w:kern w:val="0"/>
                <w:sz w:val="20"/>
                <w:szCs w:val="20"/>
              </w:rPr>
            </w:pPr>
            <w:r>
              <w:rPr>
                <w:rFonts w:hint="default" w:ascii="Times New Roman" w:hAnsi="Times New Roman" w:cs="Times New Roman"/>
                <w:kern w:val="0"/>
                <w:sz w:val="20"/>
                <w:szCs w:val="20"/>
              </w:rPr>
              <w:t>远程</w:t>
            </w:r>
          </w:p>
        </w:tc>
      </w:tr>
      <w:tr w14:paraId="031C5E70">
        <w:tblPrEx>
          <w:tblCellMar>
            <w:top w:w="0" w:type="dxa"/>
            <w:left w:w="108" w:type="dxa"/>
            <w:bottom w:w="0" w:type="dxa"/>
            <w:right w:w="108" w:type="dxa"/>
          </w:tblCellMar>
        </w:tblPrEx>
        <w:trPr>
          <w:trHeight w:val="960" w:hRule="atLeast"/>
        </w:trPr>
        <w:tc>
          <w:tcPr>
            <w:tcW w:w="1418" w:type="dxa"/>
            <w:tcBorders>
              <w:top w:val="single" w:color="auto" w:sz="4" w:space="0"/>
              <w:left w:val="single" w:color="auto" w:sz="4" w:space="0"/>
              <w:bottom w:val="single" w:color="auto" w:sz="4" w:space="0"/>
              <w:right w:val="single" w:color="auto" w:sz="4" w:space="0"/>
            </w:tcBorders>
            <w:vAlign w:val="center"/>
          </w:tcPr>
          <w:p w14:paraId="3219A25D">
            <w:pPr>
              <w:keepLines w:val="0"/>
              <w:pageBreakBefore w:val="0"/>
              <w:widowControl w:val="0"/>
              <w:kinsoku/>
              <w:overflowPunct/>
              <w:topLinePunct w:val="0"/>
              <w:autoSpaceDE/>
              <w:autoSpaceDN/>
              <w:bidi w:val="0"/>
              <w:adjustRightInd/>
              <w:jc w:val="center"/>
              <w:textAlignment w:val="auto"/>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视频截图与录像</w:t>
            </w:r>
          </w:p>
        </w:tc>
        <w:tc>
          <w:tcPr>
            <w:tcW w:w="2659" w:type="dxa"/>
            <w:gridSpan w:val="2"/>
            <w:tcBorders>
              <w:top w:val="single" w:color="auto" w:sz="4" w:space="0"/>
              <w:left w:val="single" w:color="auto" w:sz="4" w:space="0"/>
              <w:bottom w:val="single" w:color="auto" w:sz="4" w:space="0"/>
              <w:right w:val="single" w:color="auto" w:sz="4" w:space="0"/>
            </w:tcBorders>
            <w:vAlign w:val="center"/>
          </w:tcPr>
          <w:p w14:paraId="157DFC49">
            <w:pPr>
              <w:keepLines w:val="0"/>
              <w:pageBreakBefore w:val="0"/>
              <w:widowControl w:val="0"/>
              <w:numPr>
                <w:ilvl w:val="0"/>
                <w:numId w:val="0"/>
              </w:numPr>
              <w:kinsoku/>
              <w:overflowPunct/>
              <w:topLinePunct w:val="0"/>
              <w:autoSpaceDE/>
              <w:autoSpaceDN/>
              <w:bidi w:val="0"/>
              <w:adjustRightInd/>
              <w:jc w:val="both"/>
              <w:textAlignment w:val="auto"/>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lang w:val="en-US" w:eastAsia="zh-CN"/>
              </w:rPr>
              <w:t>1.</w:t>
            </w:r>
            <w:r>
              <w:rPr>
                <w:rFonts w:hint="default" w:ascii="Times New Roman" w:hAnsi="Times New Roman" w:cs="Times New Roman"/>
                <w:color w:val="000000"/>
                <w:kern w:val="0"/>
                <w:sz w:val="20"/>
                <w:szCs w:val="20"/>
              </w:rPr>
              <w:t>视频呼叫（调度台）</w:t>
            </w:r>
          </w:p>
          <w:p w14:paraId="3FBF3298">
            <w:pPr>
              <w:keepLines w:val="0"/>
              <w:pageBreakBefore w:val="0"/>
              <w:widowControl w:val="0"/>
              <w:numPr>
                <w:ilvl w:val="0"/>
                <w:numId w:val="0"/>
              </w:numPr>
              <w:kinsoku/>
              <w:overflowPunct/>
              <w:topLinePunct w:val="0"/>
              <w:autoSpaceDE/>
              <w:autoSpaceDN/>
              <w:bidi w:val="0"/>
              <w:adjustRightInd/>
              <w:jc w:val="both"/>
              <w:textAlignment w:val="auto"/>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lang w:val="en-US" w:eastAsia="zh-CN"/>
              </w:rPr>
              <w:t>2.</w:t>
            </w:r>
            <w:r>
              <w:rPr>
                <w:rFonts w:hint="default" w:ascii="Times New Roman" w:hAnsi="Times New Roman" w:cs="Times New Roman"/>
                <w:color w:val="000000"/>
                <w:kern w:val="0"/>
                <w:sz w:val="20"/>
                <w:szCs w:val="20"/>
              </w:rPr>
              <w:t>截图保存终端实时画面</w:t>
            </w:r>
          </w:p>
          <w:p w14:paraId="4E05701C">
            <w:pPr>
              <w:keepLines w:val="0"/>
              <w:pageBreakBefore w:val="0"/>
              <w:widowControl w:val="0"/>
              <w:numPr>
                <w:ilvl w:val="0"/>
                <w:numId w:val="0"/>
              </w:numPr>
              <w:kinsoku/>
              <w:overflowPunct/>
              <w:topLinePunct w:val="0"/>
              <w:autoSpaceDE/>
              <w:autoSpaceDN/>
              <w:bidi w:val="0"/>
              <w:adjustRightInd/>
              <w:jc w:val="both"/>
              <w:textAlignment w:val="auto"/>
              <w:rPr>
                <w:rFonts w:hint="default" w:ascii="Times New Roman" w:hAnsi="Times New Roman" w:cs="Times New Roman"/>
                <w:kern w:val="0"/>
                <w:sz w:val="20"/>
                <w:szCs w:val="20"/>
              </w:rPr>
            </w:pPr>
            <w:r>
              <w:rPr>
                <w:rFonts w:hint="default" w:ascii="Times New Roman" w:hAnsi="Times New Roman" w:cs="Times New Roman"/>
                <w:color w:val="000000"/>
                <w:kern w:val="0"/>
                <w:sz w:val="20"/>
                <w:szCs w:val="20"/>
                <w:lang w:val="en-US" w:eastAsia="zh-CN"/>
              </w:rPr>
              <w:t>3.</w:t>
            </w:r>
            <w:r>
              <w:rPr>
                <w:rFonts w:hint="default" w:ascii="Times New Roman" w:hAnsi="Times New Roman" w:cs="Times New Roman"/>
                <w:color w:val="000000"/>
                <w:kern w:val="0"/>
                <w:sz w:val="20"/>
                <w:szCs w:val="20"/>
              </w:rPr>
              <w:t>录制终端实时画面</w:t>
            </w:r>
          </w:p>
        </w:tc>
        <w:tc>
          <w:tcPr>
            <w:tcW w:w="4546" w:type="dxa"/>
            <w:tcBorders>
              <w:top w:val="single" w:color="auto" w:sz="4" w:space="0"/>
              <w:left w:val="single" w:color="auto" w:sz="4" w:space="0"/>
              <w:bottom w:val="single" w:color="auto" w:sz="4" w:space="0"/>
              <w:right w:val="single" w:color="auto" w:sz="4" w:space="0"/>
            </w:tcBorders>
            <w:vAlign w:val="center"/>
          </w:tcPr>
          <w:p w14:paraId="6F64ABF8">
            <w:pPr>
              <w:keepLines w:val="0"/>
              <w:pageBreakBefore w:val="0"/>
              <w:widowControl w:val="0"/>
              <w:kinsoku/>
              <w:overflowPunct/>
              <w:topLinePunct w:val="0"/>
              <w:autoSpaceDE/>
              <w:autoSpaceDN/>
              <w:bidi w:val="0"/>
              <w:adjustRightInd/>
              <w:ind w:firstLine="400" w:firstLineChars="200"/>
              <w:jc w:val="both"/>
              <w:textAlignment w:val="auto"/>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通过调度平台上实现对实时视频进行截图保存及视频的录制、保存</w:t>
            </w:r>
            <w:r>
              <w:rPr>
                <w:rFonts w:hint="default" w:ascii="Times New Roman" w:hAnsi="Times New Roman" w:cs="Times New Roman"/>
                <w:kern w:val="0"/>
                <w:sz w:val="20"/>
                <w:szCs w:val="20"/>
              </w:rPr>
              <w:t>；维护</w:t>
            </w:r>
            <w:r>
              <w:rPr>
                <w:rFonts w:hint="default" w:ascii="Times New Roman" w:hAnsi="Times New Roman" w:cs="Times New Roman"/>
                <w:color w:val="000000"/>
                <w:kern w:val="0"/>
                <w:sz w:val="20"/>
                <w:szCs w:val="20"/>
              </w:rPr>
              <w:br w:type="textWrapping"/>
            </w:r>
          </w:p>
        </w:tc>
        <w:tc>
          <w:tcPr>
            <w:tcW w:w="1155" w:type="dxa"/>
            <w:tcBorders>
              <w:top w:val="single" w:color="auto" w:sz="4" w:space="0"/>
              <w:left w:val="single" w:color="auto" w:sz="4" w:space="0"/>
              <w:bottom w:val="single" w:color="auto" w:sz="4" w:space="0"/>
              <w:right w:val="single" w:color="auto" w:sz="4" w:space="0"/>
            </w:tcBorders>
            <w:vAlign w:val="center"/>
          </w:tcPr>
          <w:p w14:paraId="0F9B4095">
            <w:pPr>
              <w:keepLines w:val="0"/>
              <w:pageBreakBefore w:val="0"/>
              <w:widowControl w:val="0"/>
              <w:kinsoku/>
              <w:overflowPunct/>
              <w:topLinePunct w:val="0"/>
              <w:autoSpaceDE/>
              <w:autoSpaceDN/>
              <w:bidi w:val="0"/>
              <w:adjustRightInd/>
              <w:ind w:firstLine="400" w:firstLineChars="200"/>
              <w:jc w:val="both"/>
              <w:textAlignment w:val="auto"/>
              <w:rPr>
                <w:rFonts w:hint="default" w:ascii="Times New Roman" w:hAnsi="Times New Roman" w:cs="Times New Roman"/>
                <w:color w:val="000000"/>
                <w:kern w:val="0"/>
                <w:sz w:val="20"/>
                <w:szCs w:val="20"/>
              </w:rPr>
            </w:pPr>
            <w:r>
              <w:rPr>
                <w:rFonts w:hint="default" w:ascii="Times New Roman" w:hAnsi="Times New Roman" w:cs="Times New Roman"/>
                <w:kern w:val="0"/>
                <w:sz w:val="20"/>
                <w:szCs w:val="20"/>
              </w:rPr>
              <w:t>远程</w:t>
            </w:r>
          </w:p>
        </w:tc>
      </w:tr>
      <w:tr w14:paraId="2A21994B">
        <w:tblPrEx>
          <w:tblCellMar>
            <w:top w:w="0" w:type="dxa"/>
            <w:left w:w="108" w:type="dxa"/>
            <w:bottom w:w="0" w:type="dxa"/>
            <w:right w:w="108" w:type="dxa"/>
          </w:tblCellMar>
        </w:tblPrEx>
        <w:trPr>
          <w:trHeight w:val="917" w:hRule="atLeast"/>
        </w:trPr>
        <w:tc>
          <w:tcPr>
            <w:tcW w:w="1418" w:type="dxa"/>
            <w:tcBorders>
              <w:top w:val="single" w:color="auto" w:sz="4" w:space="0"/>
              <w:left w:val="single" w:color="auto" w:sz="4" w:space="0"/>
              <w:bottom w:val="single" w:color="auto" w:sz="4" w:space="0"/>
              <w:right w:val="single" w:color="auto" w:sz="4" w:space="0"/>
            </w:tcBorders>
            <w:vAlign w:val="center"/>
          </w:tcPr>
          <w:p w14:paraId="766440FD">
            <w:pPr>
              <w:keepLines w:val="0"/>
              <w:pageBreakBefore w:val="0"/>
              <w:widowControl w:val="0"/>
              <w:kinsoku/>
              <w:overflowPunct/>
              <w:topLinePunct w:val="0"/>
              <w:autoSpaceDE/>
              <w:autoSpaceDN/>
              <w:bidi w:val="0"/>
              <w:adjustRightInd/>
              <w:jc w:val="center"/>
              <w:textAlignment w:val="auto"/>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热区设置</w:t>
            </w:r>
          </w:p>
        </w:tc>
        <w:tc>
          <w:tcPr>
            <w:tcW w:w="2659" w:type="dxa"/>
            <w:gridSpan w:val="2"/>
            <w:tcBorders>
              <w:top w:val="single" w:color="auto" w:sz="4" w:space="0"/>
              <w:left w:val="single" w:color="auto" w:sz="4" w:space="0"/>
              <w:bottom w:val="single" w:color="auto" w:sz="4" w:space="0"/>
              <w:right w:val="single" w:color="auto" w:sz="4" w:space="0"/>
            </w:tcBorders>
            <w:vAlign w:val="center"/>
          </w:tcPr>
          <w:p w14:paraId="589D8E66">
            <w:pPr>
              <w:keepLines w:val="0"/>
              <w:pageBreakBefore w:val="0"/>
              <w:widowControl w:val="0"/>
              <w:numPr>
                <w:ilvl w:val="0"/>
                <w:numId w:val="0"/>
              </w:numPr>
              <w:kinsoku/>
              <w:overflowPunct/>
              <w:topLinePunct w:val="0"/>
              <w:autoSpaceDE/>
              <w:autoSpaceDN/>
              <w:bidi w:val="0"/>
              <w:adjustRightInd/>
              <w:jc w:val="both"/>
              <w:textAlignment w:val="auto"/>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lang w:val="en-US" w:eastAsia="zh-CN"/>
              </w:rPr>
              <w:t>1.</w:t>
            </w:r>
            <w:r>
              <w:rPr>
                <w:rFonts w:hint="default" w:ascii="Times New Roman" w:hAnsi="Times New Roman" w:cs="Times New Roman"/>
                <w:color w:val="000000"/>
                <w:kern w:val="0"/>
                <w:sz w:val="20"/>
                <w:szCs w:val="20"/>
              </w:rPr>
              <w:t>配置管理</w:t>
            </w:r>
          </w:p>
          <w:p w14:paraId="1526439B">
            <w:pPr>
              <w:keepLines w:val="0"/>
              <w:pageBreakBefore w:val="0"/>
              <w:widowControl w:val="0"/>
              <w:numPr>
                <w:ilvl w:val="0"/>
                <w:numId w:val="0"/>
              </w:numPr>
              <w:kinsoku/>
              <w:overflowPunct/>
              <w:topLinePunct w:val="0"/>
              <w:autoSpaceDE/>
              <w:autoSpaceDN/>
              <w:bidi w:val="0"/>
              <w:adjustRightInd/>
              <w:jc w:val="both"/>
              <w:textAlignment w:val="auto"/>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lang w:val="en-US" w:eastAsia="zh-CN"/>
              </w:rPr>
              <w:t>2.</w:t>
            </w:r>
            <w:r>
              <w:rPr>
                <w:rFonts w:hint="default" w:ascii="Times New Roman" w:hAnsi="Times New Roman" w:cs="Times New Roman"/>
                <w:color w:val="000000"/>
                <w:kern w:val="0"/>
                <w:sz w:val="20"/>
                <w:szCs w:val="20"/>
              </w:rPr>
              <w:t>热区设置</w:t>
            </w:r>
          </w:p>
          <w:p w14:paraId="2FCC391C">
            <w:pPr>
              <w:keepLines w:val="0"/>
              <w:pageBreakBefore w:val="0"/>
              <w:widowControl w:val="0"/>
              <w:numPr>
                <w:ilvl w:val="0"/>
                <w:numId w:val="0"/>
              </w:numPr>
              <w:kinsoku/>
              <w:overflowPunct/>
              <w:topLinePunct w:val="0"/>
              <w:autoSpaceDE/>
              <w:autoSpaceDN/>
              <w:bidi w:val="0"/>
              <w:adjustRightInd/>
              <w:jc w:val="both"/>
              <w:textAlignment w:val="auto"/>
              <w:rPr>
                <w:rFonts w:hint="default" w:ascii="Times New Roman" w:hAnsi="Times New Roman" w:cs="Times New Roman"/>
                <w:kern w:val="0"/>
                <w:sz w:val="20"/>
                <w:szCs w:val="20"/>
              </w:rPr>
            </w:pPr>
            <w:r>
              <w:rPr>
                <w:rFonts w:hint="default" w:ascii="Times New Roman" w:hAnsi="Times New Roman" w:cs="Times New Roman"/>
                <w:color w:val="000000"/>
                <w:kern w:val="0"/>
                <w:sz w:val="20"/>
                <w:szCs w:val="20"/>
                <w:lang w:val="en-US" w:eastAsia="zh-CN"/>
              </w:rPr>
              <w:t>3.</w:t>
            </w:r>
            <w:r>
              <w:rPr>
                <w:rFonts w:hint="default" w:ascii="Times New Roman" w:hAnsi="Times New Roman" w:cs="Times New Roman"/>
                <w:color w:val="000000"/>
                <w:kern w:val="0"/>
                <w:sz w:val="20"/>
                <w:szCs w:val="20"/>
              </w:rPr>
              <w:t>添加热区</w:t>
            </w:r>
          </w:p>
        </w:tc>
        <w:tc>
          <w:tcPr>
            <w:tcW w:w="4546" w:type="dxa"/>
            <w:tcBorders>
              <w:top w:val="single" w:color="auto" w:sz="4" w:space="0"/>
              <w:left w:val="single" w:color="auto" w:sz="4" w:space="0"/>
              <w:bottom w:val="single" w:color="auto" w:sz="4" w:space="0"/>
              <w:right w:val="single" w:color="auto" w:sz="4" w:space="0"/>
            </w:tcBorders>
            <w:vAlign w:val="center"/>
          </w:tcPr>
          <w:p w14:paraId="0EE50291">
            <w:pPr>
              <w:keepLines w:val="0"/>
              <w:pageBreakBefore w:val="0"/>
              <w:widowControl w:val="0"/>
              <w:kinsoku/>
              <w:overflowPunct/>
              <w:topLinePunct w:val="0"/>
              <w:autoSpaceDE/>
              <w:autoSpaceDN/>
              <w:bidi w:val="0"/>
              <w:adjustRightInd/>
              <w:ind w:firstLine="400" w:firstLineChars="200"/>
              <w:jc w:val="both"/>
              <w:textAlignment w:val="auto"/>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通过热区设置在地图上快速切换目标城市</w:t>
            </w:r>
          </w:p>
        </w:tc>
        <w:tc>
          <w:tcPr>
            <w:tcW w:w="1155" w:type="dxa"/>
            <w:tcBorders>
              <w:top w:val="single" w:color="auto" w:sz="4" w:space="0"/>
              <w:left w:val="single" w:color="auto" w:sz="4" w:space="0"/>
              <w:bottom w:val="single" w:color="auto" w:sz="4" w:space="0"/>
              <w:right w:val="single" w:color="auto" w:sz="4" w:space="0"/>
            </w:tcBorders>
            <w:vAlign w:val="center"/>
          </w:tcPr>
          <w:p w14:paraId="7ED3430F">
            <w:pPr>
              <w:keepLines w:val="0"/>
              <w:pageBreakBefore w:val="0"/>
              <w:widowControl w:val="0"/>
              <w:kinsoku/>
              <w:overflowPunct/>
              <w:topLinePunct w:val="0"/>
              <w:autoSpaceDE/>
              <w:autoSpaceDN/>
              <w:bidi w:val="0"/>
              <w:adjustRightInd/>
              <w:ind w:firstLine="400" w:firstLineChars="200"/>
              <w:jc w:val="both"/>
              <w:textAlignment w:val="auto"/>
              <w:rPr>
                <w:rFonts w:hint="default" w:ascii="Times New Roman" w:hAnsi="Times New Roman" w:cs="Times New Roman"/>
                <w:color w:val="000000"/>
                <w:kern w:val="0"/>
                <w:sz w:val="20"/>
                <w:szCs w:val="20"/>
              </w:rPr>
            </w:pPr>
            <w:r>
              <w:rPr>
                <w:rFonts w:hint="default" w:ascii="Times New Roman" w:hAnsi="Times New Roman" w:cs="Times New Roman"/>
                <w:kern w:val="0"/>
                <w:sz w:val="20"/>
                <w:szCs w:val="20"/>
              </w:rPr>
              <w:t>远程</w:t>
            </w:r>
          </w:p>
        </w:tc>
      </w:tr>
      <w:tr w14:paraId="54CBC950">
        <w:tblPrEx>
          <w:tblCellMar>
            <w:top w:w="0" w:type="dxa"/>
            <w:left w:w="108" w:type="dxa"/>
            <w:bottom w:w="0" w:type="dxa"/>
            <w:right w:w="108" w:type="dxa"/>
          </w:tblCellMar>
        </w:tblPrEx>
        <w:trPr>
          <w:trHeight w:val="1080" w:hRule="atLeast"/>
        </w:trPr>
        <w:tc>
          <w:tcPr>
            <w:tcW w:w="1418" w:type="dxa"/>
            <w:tcBorders>
              <w:top w:val="single" w:color="auto" w:sz="4" w:space="0"/>
              <w:left w:val="single" w:color="auto" w:sz="4" w:space="0"/>
              <w:bottom w:val="single" w:color="auto" w:sz="4" w:space="0"/>
              <w:right w:val="single" w:color="auto" w:sz="4" w:space="0"/>
            </w:tcBorders>
            <w:vAlign w:val="center"/>
          </w:tcPr>
          <w:p w14:paraId="6AF46B34">
            <w:pPr>
              <w:keepLines w:val="0"/>
              <w:pageBreakBefore w:val="0"/>
              <w:widowControl w:val="0"/>
              <w:kinsoku/>
              <w:overflowPunct/>
              <w:topLinePunct w:val="0"/>
              <w:autoSpaceDE/>
              <w:autoSpaceDN/>
              <w:bidi w:val="0"/>
              <w:adjustRightInd/>
              <w:ind w:firstLine="400" w:firstLineChars="200"/>
              <w:jc w:val="both"/>
              <w:textAlignment w:val="auto"/>
              <w:rPr>
                <w:rFonts w:hint="default" w:ascii="Times New Roman" w:hAnsi="Times New Roman" w:cs="Times New Roman"/>
                <w:kern w:val="0"/>
                <w:sz w:val="20"/>
                <w:szCs w:val="20"/>
              </w:rPr>
            </w:pPr>
            <w:r>
              <w:rPr>
                <w:rFonts w:hint="default" w:ascii="Times New Roman" w:hAnsi="Times New Roman" w:cs="Times New Roman"/>
                <w:kern w:val="0"/>
                <w:sz w:val="20"/>
                <w:szCs w:val="20"/>
              </w:rPr>
              <w:t>驻场服务</w:t>
            </w:r>
          </w:p>
        </w:tc>
        <w:tc>
          <w:tcPr>
            <w:tcW w:w="2659" w:type="dxa"/>
            <w:gridSpan w:val="2"/>
            <w:tcBorders>
              <w:top w:val="single" w:color="auto" w:sz="4" w:space="0"/>
              <w:left w:val="single" w:color="auto" w:sz="4" w:space="0"/>
              <w:bottom w:val="single" w:color="auto" w:sz="4" w:space="0"/>
              <w:right w:val="single" w:color="auto" w:sz="4" w:space="0"/>
            </w:tcBorders>
            <w:vAlign w:val="center"/>
          </w:tcPr>
          <w:p w14:paraId="7886AFCE">
            <w:pPr>
              <w:keepLines w:val="0"/>
              <w:pageBreakBefore w:val="0"/>
              <w:widowControl w:val="0"/>
              <w:kinsoku/>
              <w:overflowPunct/>
              <w:topLinePunct w:val="0"/>
              <w:autoSpaceDE/>
              <w:autoSpaceDN/>
              <w:bidi w:val="0"/>
              <w:adjustRightInd/>
              <w:ind w:firstLine="200" w:firstLineChars="100"/>
              <w:jc w:val="both"/>
              <w:textAlignment w:val="auto"/>
              <w:rPr>
                <w:rFonts w:hint="default" w:ascii="Times New Roman" w:hAnsi="Times New Roman" w:cs="Times New Roman"/>
                <w:kern w:val="0"/>
                <w:sz w:val="20"/>
                <w:szCs w:val="20"/>
              </w:rPr>
            </w:pPr>
            <w:r>
              <w:rPr>
                <w:rFonts w:hint="default" w:ascii="Times New Roman" w:hAnsi="Times New Roman" w:cs="Times New Roman"/>
                <w:kern w:val="0"/>
                <w:sz w:val="20"/>
                <w:szCs w:val="20"/>
              </w:rPr>
              <w:t>甲方指定工作地点，以甲方的身份入驻用户场地，协助厂商处理日常事务；</w:t>
            </w:r>
          </w:p>
        </w:tc>
        <w:tc>
          <w:tcPr>
            <w:tcW w:w="4546" w:type="dxa"/>
            <w:tcBorders>
              <w:top w:val="single" w:color="auto" w:sz="4" w:space="0"/>
              <w:left w:val="single" w:color="auto" w:sz="4" w:space="0"/>
              <w:bottom w:val="single" w:color="auto" w:sz="4" w:space="0"/>
              <w:right w:val="single" w:color="auto" w:sz="4" w:space="0"/>
            </w:tcBorders>
            <w:vAlign w:val="center"/>
          </w:tcPr>
          <w:p w14:paraId="7F11B306">
            <w:pPr>
              <w:keepLines w:val="0"/>
              <w:pageBreakBefore w:val="0"/>
              <w:widowControl w:val="0"/>
              <w:kinsoku/>
              <w:overflowPunct/>
              <w:topLinePunct w:val="0"/>
              <w:autoSpaceDE/>
              <w:autoSpaceDN/>
              <w:bidi w:val="0"/>
              <w:adjustRightInd/>
              <w:ind w:firstLine="400" w:firstLineChars="200"/>
              <w:jc w:val="both"/>
              <w:textAlignment w:val="auto"/>
              <w:rPr>
                <w:rFonts w:hint="default" w:ascii="Times New Roman" w:hAnsi="Times New Roman" w:cs="Times New Roman"/>
                <w:kern w:val="0"/>
                <w:sz w:val="20"/>
                <w:szCs w:val="20"/>
              </w:rPr>
            </w:pPr>
            <w:r>
              <w:rPr>
                <w:rFonts w:hint="default" w:ascii="Times New Roman" w:hAnsi="Times New Roman" w:cs="Times New Roman"/>
                <w:kern w:val="0"/>
                <w:sz w:val="20"/>
                <w:szCs w:val="20"/>
              </w:rPr>
              <w:t>中级工程师（熟悉PC、网络运维、良好的沟通能力、工作经验2年以上）</w:t>
            </w:r>
          </w:p>
        </w:tc>
        <w:tc>
          <w:tcPr>
            <w:tcW w:w="1155" w:type="dxa"/>
            <w:tcBorders>
              <w:top w:val="single" w:color="auto" w:sz="4" w:space="0"/>
              <w:left w:val="single" w:color="auto" w:sz="4" w:space="0"/>
              <w:bottom w:val="single" w:color="auto" w:sz="4" w:space="0"/>
              <w:right w:val="single" w:color="auto" w:sz="4" w:space="0"/>
            </w:tcBorders>
            <w:vAlign w:val="center"/>
          </w:tcPr>
          <w:p w14:paraId="21BBEB3B">
            <w:pPr>
              <w:keepLines w:val="0"/>
              <w:pageBreakBefore w:val="0"/>
              <w:widowControl w:val="0"/>
              <w:kinsoku/>
              <w:overflowPunct/>
              <w:topLinePunct w:val="0"/>
              <w:autoSpaceDE/>
              <w:autoSpaceDN/>
              <w:bidi w:val="0"/>
              <w:adjustRightInd/>
              <w:ind w:firstLine="400" w:firstLineChars="200"/>
              <w:jc w:val="both"/>
              <w:textAlignment w:val="auto"/>
              <w:rPr>
                <w:rFonts w:hint="default" w:ascii="Times New Roman" w:hAnsi="Times New Roman" w:cs="Times New Roman"/>
                <w:kern w:val="0"/>
                <w:sz w:val="20"/>
                <w:szCs w:val="20"/>
              </w:rPr>
            </w:pPr>
            <w:r>
              <w:rPr>
                <w:rFonts w:hint="default" w:ascii="Times New Roman" w:hAnsi="Times New Roman" w:cs="Times New Roman"/>
                <w:kern w:val="0"/>
                <w:sz w:val="20"/>
                <w:szCs w:val="20"/>
              </w:rPr>
              <w:t>现场</w:t>
            </w:r>
          </w:p>
        </w:tc>
      </w:tr>
      <w:tr w14:paraId="1AA38F7F">
        <w:tblPrEx>
          <w:tblCellMar>
            <w:top w:w="0" w:type="dxa"/>
            <w:left w:w="108" w:type="dxa"/>
            <w:bottom w:w="0" w:type="dxa"/>
            <w:right w:w="108" w:type="dxa"/>
          </w:tblCellMar>
        </w:tblPrEx>
        <w:trPr>
          <w:trHeight w:val="495" w:hRule="atLeast"/>
        </w:trPr>
        <w:tc>
          <w:tcPr>
            <w:tcW w:w="9778" w:type="dxa"/>
            <w:gridSpan w:val="5"/>
            <w:tcBorders>
              <w:top w:val="single" w:color="auto" w:sz="4" w:space="0"/>
              <w:left w:val="single" w:color="000000" w:sz="4" w:space="0"/>
              <w:bottom w:val="single" w:color="000000" w:sz="4" w:space="0"/>
              <w:right w:val="single" w:color="000000" w:sz="4" w:space="0"/>
            </w:tcBorders>
            <w:vAlign w:val="center"/>
          </w:tcPr>
          <w:p w14:paraId="3B7BF2F6">
            <w:pPr>
              <w:keepLines w:val="0"/>
              <w:pageBreakBefore w:val="0"/>
              <w:widowControl w:val="0"/>
              <w:kinsoku/>
              <w:overflowPunct/>
              <w:topLinePunct w:val="0"/>
              <w:autoSpaceDE/>
              <w:autoSpaceDN/>
              <w:bidi w:val="0"/>
              <w:adjustRightInd/>
              <w:jc w:val="center"/>
              <w:textAlignment w:val="auto"/>
              <w:rPr>
                <w:rFonts w:hint="default" w:ascii="Times New Roman" w:hAnsi="Times New Roman" w:cs="Times New Roman"/>
                <w:kern w:val="0"/>
                <w:sz w:val="48"/>
                <w:szCs w:val="48"/>
              </w:rPr>
            </w:pPr>
            <w:r>
              <w:rPr>
                <w:rFonts w:hint="default" w:ascii="Times New Roman" w:hAnsi="Times New Roman" w:cs="Times New Roman"/>
                <w:kern w:val="0"/>
                <w:sz w:val="48"/>
                <w:szCs w:val="48"/>
              </w:rPr>
              <w:t>数据管理平台功能维护</w:t>
            </w:r>
          </w:p>
        </w:tc>
      </w:tr>
      <w:tr w14:paraId="48A6AF79">
        <w:tblPrEx>
          <w:tblCellMar>
            <w:top w:w="0" w:type="dxa"/>
            <w:left w:w="108" w:type="dxa"/>
            <w:bottom w:w="0" w:type="dxa"/>
            <w:right w:w="108" w:type="dxa"/>
          </w:tblCellMar>
        </w:tblPrEx>
        <w:trPr>
          <w:trHeight w:val="345" w:hRule="atLeast"/>
        </w:trPr>
        <w:tc>
          <w:tcPr>
            <w:tcW w:w="1418" w:type="dxa"/>
            <w:tcBorders>
              <w:top w:val="single" w:color="000000" w:sz="4" w:space="0"/>
              <w:left w:val="single" w:color="000000" w:sz="4" w:space="0"/>
              <w:bottom w:val="single" w:color="000000" w:sz="4" w:space="0"/>
              <w:right w:val="single" w:color="000000" w:sz="4" w:space="0"/>
            </w:tcBorders>
            <w:vAlign w:val="center"/>
          </w:tcPr>
          <w:p w14:paraId="148A360E">
            <w:pPr>
              <w:keepLines w:val="0"/>
              <w:pageBreakBefore w:val="0"/>
              <w:widowControl w:val="0"/>
              <w:kinsoku/>
              <w:overflowPunct/>
              <w:topLinePunct w:val="0"/>
              <w:autoSpaceDE/>
              <w:autoSpaceDN/>
              <w:bidi w:val="0"/>
              <w:adjustRightInd/>
              <w:jc w:val="both"/>
              <w:textAlignment w:val="auto"/>
              <w:rPr>
                <w:rFonts w:hint="default" w:ascii="Times New Roman" w:hAnsi="Times New Roman" w:cs="Times New Roman"/>
                <w:kern w:val="0"/>
                <w:sz w:val="22"/>
                <w:szCs w:val="22"/>
              </w:rPr>
            </w:pPr>
            <w:r>
              <w:rPr>
                <w:rFonts w:hint="default" w:ascii="Times New Roman" w:hAnsi="Times New Roman" w:cs="Times New Roman"/>
                <w:kern w:val="0"/>
                <w:sz w:val="22"/>
                <w:szCs w:val="22"/>
              </w:rPr>
              <w:t>功能特性</w:t>
            </w:r>
          </w:p>
        </w:tc>
        <w:tc>
          <w:tcPr>
            <w:tcW w:w="8360" w:type="dxa"/>
            <w:gridSpan w:val="4"/>
            <w:tcBorders>
              <w:top w:val="single" w:color="000000" w:sz="4" w:space="0"/>
              <w:left w:val="nil"/>
              <w:bottom w:val="single" w:color="000000" w:sz="4" w:space="0"/>
              <w:right w:val="single" w:color="000000" w:sz="4" w:space="0"/>
            </w:tcBorders>
            <w:vAlign w:val="center"/>
          </w:tcPr>
          <w:p w14:paraId="25175E6E">
            <w:pPr>
              <w:keepLines w:val="0"/>
              <w:pageBreakBefore w:val="0"/>
              <w:widowControl w:val="0"/>
              <w:kinsoku/>
              <w:overflowPunct/>
              <w:topLinePunct w:val="0"/>
              <w:autoSpaceDE/>
              <w:autoSpaceDN/>
              <w:bidi w:val="0"/>
              <w:adjustRightInd/>
              <w:jc w:val="both"/>
              <w:textAlignment w:val="auto"/>
              <w:rPr>
                <w:rFonts w:hint="default" w:ascii="Times New Roman" w:hAnsi="Times New Roman" w:cs="Times New Roman"/>
                <w:kern w:val="0"/>
                <w:sz w:val="22"/>
                <w:szCs w:val="22"/>
              </w:rPr>
            </w:pPr>
            <w:r>
              <w:rPr>
                <w:rFonts w:hint="default" w:ascii="Times New Roman" w:hAnsi="Times New Roman" w:cs="Times New Roman"/>
                <w:kern w:val="0"/>
                <w:sz w:val="22"/>
                <w:szCs w:val="22"/>
              </w:rPr>
              <w:t>此维护项为数据平台项目</w:t>
            </w:r>
          </w:p>
        </w:tc>
      </w:tr>
      <w:tr w14:paraId="7A497E79">
        <w:tblPrEx>
          <w:tblCellMar>
            <w:top w:w="0" w:type="dxa"/>
            <w:left w:w="108" w:type="dxa"/>
            <w:bottom w:w="0" w:type="dxa"/>
            <w:right w:w="108" w:type="dxa"/>
          </w:tblCellMar>
        </w:tblPrEx>
        <w:trPr>
          <w:trHeight w:val="350" w:hRule="atLeast"/>
        </w:trPr>
        <w:tc>
          <w:tcPr>
            <w:tcW w:w="1418" w:type="dxa"/>
            <w:tcBorders>
              <w:top w:val="single" w:color="000000" w:sz="4" w:space="0"/>
              <w:left w:val="single" w:color="000000" w:sz="4" w:space="0"/>
              <w:bottom w:val="single" w:color="000000" w:sz="4" w:space="0"/>
              <w:right w:val="single" w:color="000000" w:sz="4" w:space="0"/>
            </w:tcBorders>
            <w:vAlign w:val="center"/>
          </w:tcPr>
          <w:p w14:paraId="6CECA9CC">
            <w:pPr>
              <w:keepLines w:val="0"/>
              <w:pageBreakBefore w:val="0"/>
              <w:widowControl w:val="0"/>
              <w:kinsoku/>
              <w:overflowPunct/>
              <w:topLinePunct w:val="0"/>
              <w:autoSpaceDE/>
              <w:autoSpaceDN/>
              <w:bidi w:val="0"/>
              <w:adjustRightInd/>
              <w:jc w:val="both"/>
              <w:textAlignment w:val="auto"/>
              <w:rPr>
                <w:rFonts w:hint="default" w:ascii="Times New Roman" w:hAnsi="Times New Roman" w:cs="Times New Roman"/>
                <w:kern w:val="0"/>
                <w:sz w:val="22"/>
                <w:szCs w:val="22"/>
              </w:rPr>
            </w:pPr>
            <w:r>
              <w:rPr>
                <w:rFonts w:hint="default" w:ascii="Times New Roman" w:hAnsi="Times New Roman" w:cs="Times New Roman"/>
                <w:kern w:val="0"/>
                <w:sz w:val="22"/>
                <w:szCs w:val="22"/>
              </w:rPr>
              <w:t>维护目的</w:t>
            </w:r>
          </w:p>
        </w:tc>
        <w:tc>
          <w:tcPr>
            <w:tcW w:w="8360" w:type="dxa"/>
            <w:gridSpan w:val="4"/>
            <w:tcBorders>
              <w:top w:val="single" w:color="000000" w:sz="4" w:space="0"/>
              <w:left w:val="nil"/>
              <w:bottom w:val="single" w:color="000000" w:sz="4" w:space="0"/>
              <w:right w:val="single" w:color="000000" w:sz="4" w:space="0"/>
            </w:tcBorders>
            <w:vAlign w:val="center"/>
          </w:tcPr>
          <w:p w14:paraId="4D71B3D9">
            <w:pPr>
              <w:keepLines w:val="0"/>
              <w:pageBreakBefore w:val="0"/>
              <w:widowControl w:val="0"/>
              <w:kinsoku/>
              <w:overflowPunct/>
              <w:topLinePunct w:val="0"/>
              <w:autoSpaceDE/>
              <w:autoSpaceDN/>
              <w:bidi w:val="0"/>
              <w:adjustRightInd/>
              <w:jc w:val="both"/>
              <w:textAlignment w:val="auto"/>
              <w:rPr>
                <w:rFonts w:hint="default" w:ascii="Times New Roman" w:hAnsi="Times New Roman" w:cs="Times New Roman"/>
                <w:kern w:val="0"/>
                <w:sz w:val="22"/>
                <w:szCs w:val="22"/>
              </w:rPr>
            </w:pPr>
            <w:r>
              <w:rPr>
                <w:rFonts w:hint="default" w:ascii="Times New Roman" w:hAnsi="Times New Roman" w:cs="Times New Roman"/>
                <w:kern w:val="0"/>
                <w:sz w:val="22"/>
                <w:szCs w:val="22"/>
              </w:rPr>
              <w:t>验证数据上传下载及观看功能是否满足日常使用要求</w:t>
            </w:r>
          </w:p>
        </w:tc>
      </w:tr>
      <w:tr w14:paraId="52FF9F74">
        <w:tblPrEx>
          <w:tblCellMar>
            <w:top w:w="0" w:type="dxa"/>
            <w:left w:w="108" w:type="dxa"/>
            <w:bottom w:w="0" w:type="dxa"/>
            <w:right w:w="108" w:type="dxa"/>
          </w:tblCellMar>
        </w:tblPrEx>
        <w:trPr>
          <w:trHeight w:val="345" w:hRule="atLeast"/>
        </w:trPr>
        <w:tc>
          <w:tcPr>
            <w:tcW w:w="1418" w:type="dxa"/>
            <w:tcBorders>
              <w:top w:val="single" w:color="000000" w:sz="4" w:space="0"/>
              <w:left w:val="single" w:color="000000" w:sz="4" w:space="0"/>
              <w:bottom w:val="single" w:color="000000" w:sz="4" w:space="0"/>
              <w:right w:val="single" w:color="000000" w:sz="4" w:space="0"/>
            </w:tcBorders>
            <w:vAlign w:val="center"/>
          </w:tcPr>
          <w:p w14:paraId="5377A758">
            <w:pPr>
              <w:keepLines w:val="0"/>
              <w:pageBreakBefore w:val="0"/>
              <w:widowControl w:val="0"/>
              <w:kinsoku/>
              <w:overflowPunct/>
              <w:topLinePunct w:val="0"/>
              <w:autoSpaceDE/>
              <w:autoSpaceDN/>
              <w:bidi w:val="0"/>
              <w:adjustRightInd/>
              <w:jc w:val="both"/>
              <w:textAlignment w:val="auto"/>
              <w:rPr>
                <w:rFonts w:hint="default" w:ascii="Times New Roman" w:hAnsi="Times New Roman" w:cs="Times New Roman"/>
                <w:kern w:val="0"/>
                <w:sz w:val="22"/>
                <w:szCs w:val="22"/>
              </w:rPr>
            </w:pPr>
            <w:r>
              <w:rPr>
                <w:rFonts w:hint="default" w:ascii="Times New Roman" w:hAnsi="Times New Roman" w:cs="Times New Roman"/>
                <w:kern w:val="0"/>
                <w:sz w:val="22"/>
                <w:szCs w:val="22"/>
              </w:rPr>
              <w:t>维护条件</w:t>
            </w:r>
          </w:p>
        </w:tc>
        <w:tc>
          <w:tcPr>
            <w:tcW w:w="8360" w:type="dxa"/>
            <w:gridSpan w:val="4"/>
            <w:tcBorders>
              <w:top w:val="single" w:color="000000" w:sz="4" w:space="0"/>
              <w:left w:val="nil"/>
              <w:bottom w:val="single" w:color="000000" w:sz="4" w:space="0"/>
              <w:right w:val="single" w:color="000000" w:sz="4" w:space="0"/>
            </w:tcBorders>
            <w:vAlign w:val="center"/>
          </w:tcPr>
          <w:p w14:paraId="0B9E9227">
            <w:pPr>
              <w:keepLines w:val="0"/>
              <w:pageBreakBefore w:val="0"/>
              <w:widowControl w:val="0"/>
              <w:kinsoku/>
              <w:overflowPunct/>
              <w:topLinePunct w:val="0"/>
              <w:autoSpaceDE/>
              <w:autoSpaceDN/>
              <w:bidi w:val="0"/>
              <w:adjustRightInd/>
              <w:jc w:val="both"/>
              <w:textAlignment w:val="auto"/>
              <w:rPr>
                <w:rFonts w:hint="default" w:ascii="Times New Roman" w:hAnsi="Times New Roman" w:cs="Times New Roman"/>
                <w:kern w:val="0"/>
                <w:sz w:val="22"/>
                <w:szCs w:val="22"/>
              </w:rPr>
            </w:pPr>
            <w:r>
              <w:rPr>
                <w:rFonts w:hint="default" w:ascii="Times New Roman" w:hAnsi="Times New Roman" w:cs="Times New Roman"/>
                <w:kern w:val="0"/>
                <w:sz w:val="22"/>
                <w:szCs w:val="22"/>
              </w:rPr>
              <w:t>1.采集站连接正常. 2.数据上传正常</w:t>
            </w:r>
          </w:p>
        </w:tc>
      </w:tr>
      <w:tr w14:paraId="67A9ED15">
        <w:tblPrEx>
          <w:tblCellMar>
            <w:top w:w="0" w:type="dxa"/>
            <w:left w:w="108" w:type="dxa"/>
            <w:bottom w:w="0" w:type="dxa"/>
            <w:right w:w="108" w:type="dxa"/>
          </w:tblCellMar>
        </w:tblPrEx>
        <w:trPr>
          <w:trHeight w:val="375" w:hRule="atLeast"/>
        </w:trPr>
        <w:tc>
          <w:tcPr>
            <w:tcW w:w="1418" w:type="dxa"/>
            <w:tcBorders>
              <w:top w:val="nil"/>
              <w:left w:val="single" w:color="000000" w:sz="4" w:space="0"/>
              <w:bottom w:val="single" w:color="000000" w:sz="4" w:space="0"/>
              <w:right w:val="single" w:color="000000" w:sz="4" w:space="0"/>
            </w:tcBorders>
            <w:shd w:val="clear" w:color="000000" w:fill="auto"/>
            <w:vAlign w:val="center"/>
          </w:tcPr>
          <w:p w14:paraId="3ED575DF">
            <w:pPr>
              <w:keepLines w:val="0"/>
              <w:pageBreakBefore w:val="0"/>
              <w:widowControl w:val="0"/>
              <w:kinsoku/>
              <w:overflowPunct/>
              <w:topLinePunct w:val="0"/>
              <w:autoSpaceDE/>
              <w:autoSpaceDN/>
              <w:bidi w:val="0"/>
              <w:adjustRightInd/>
              <w:jc w:val="both"/>
              <w:textAlignment w:val="auto"/>
              <w:rPr>
                <w:rFonts w:hint="default" w:ascii="Times New Roman" w:hAnsi="Times New Roman" w:cs="Times New Roman"/>
                <w:color w:val="000000"/>
                <w:kern w:val="0"/>
                <w:sz w:val="21"/>
                <w:szCs w:val="21"/>
              </w:rPr>
            </w:pPr>
            <w:r>
              <w:rPr>
                <w:rFonts w:hint="default" w:ascii="Times New Roman" w:hAnsi="Times New Roman" w:cs="Times New Roman" w:eastAsiaTheme="minorEastAsia"/>
                <w:b/>
                <w:kern w:val="0"/>
                <w:sz w:val="21"/>
                <w:szCs w:val="21"/>
              </w:rPr>
              <w:t>服务项目</w:t>
            </w:r>
          </w:p>
        </w:tc>
        <w:tc>
          <w:tcPr>
            <w:tcW w:w="2126" w:type="dxa"/>
            <w:tcBorders>
              <w:top w:val="single" w:color="000000" w:sz="4" w:space="0"/>
              <w:left w:val="nil"/>
              <w:bottom w:val="single" w:color="000000" w:sz="4" w:space="0"/>
              <w:right w:val="single" w:color="000000" w:sz="4" w:space="0"/>
            </w:tcBorders>
            <w:shd w:val="clear" w:color="000000" w:fill="auto"/>
            <w:vAlign w:val="center"/>
          </w:tcPr>
          <w:p w14:paraId="747536CA">
            <w:pPr>
              <w:keepLines w:val="0"/>
              <w:pageBreakBefore w:val="0"/>
              <w:widowControl w:val="0"/>
              <w:kinsoku/>
              <w:overflowPunct/>
              <w:topLinePunct w:val="0"/>
              <w:autoSpaceDE/>
              <w:autoSpaceDN/>
              <w:bidi w:val="0"/>
              <w:adjustRightInd/>
              <w:ind w:firstLine="422" w:firstLineChars="200"/>
              <w:jc w:val="both"/>
              <w:textAlignment w:val="auto"/>
              <w:rPr>
                <w:rFonts w:hint="default" w:ascii="Times New Roman" w:hAnsi="Times New Roman" w:cs="Times New Roman"/>
                <w:color w:val="000000"/>
                <w:kern w:val="0"/>
                <w:sz w:val="21"/>
                <w:szCs w:val="21"/>
              </w:rPr>
            </w:pPr>
            <w:r>
              <w:rPr>
                <w:rFonts w:hint="default" w:ascii="Times New Roman" w:hAnsi="Times New Roman" w:cs="Times New Roman" w:eastAsiaTheme="minorEastAsia"/>
                <w:b/>
                <w:kern w:val="0"/>
                <w:sz w:val="21"/>
                <w:szCs w:val="21"/>
              </w:rPr>
              <w:t>服务内容</w:t>
            </w:r>
          </w:p>
        </w:tc>
        <w:tc>
          <w:tcPr>
            <w:tcW w:w="5079" w:type="dxa"/>
            <w:gridSpan w:val="2"/>
            <w:tcBorders>
              <w:top w:val="nil"/>
              <w:left w:val="nil"/>
              <w:bottom w:val="single" w:color="000000" w:sz="4" w:space="0"/>
              <w:right w:val="single" w:color="000000" w:sz="4" w:space="0"/>
            </w:tcBorders>
            <w:shd w:val="clear" w:color="000000" w:fill="auto"/>
            <w:vAlign w:val="center"/>
          </w:tcPr>
          <w:p w14:paraId="3C8CD261">
            <w:pPr>
              <w:keepLines w:val="0"/>
              <w:pageBreakBefore w:val="0"/>
              <w:widowControl w:val="0"/>
              <w:kinsoku/>
              <w:overflowPunct/>
              <w:topLinePunct w:val="0"/>
              <w:autoSpaceDE/>
              <w:autoSpaceDN/>
              <w:bidi w:val="0"/>
              <w:adjustRightInd/>
              <w:ind w:firstLine="422" w:firstLineChars="200"/>
              <w:jc w:val="both"/>
              <w:textAlignment w:val="auto"/>
              <w:rPr>
                <w:rFonts w:hint="default" w:ascii="Times New Roman" w:hAnsi="Times New Roman" w:cs="Times New Roman"/>
                <w:color w:val="000000"/>
                <w:kern w:val="0"/>
                <w:sz w:val="21"/>
                <w:szCs w:val="21"/>
              </w:rPr>
            </w:pPr>
            <w:r>
              <w:rPr>
                <w:rFonts w:hint="default" w:ascii="Times New Roman" w:hAnsi="Times New Roman" w:cs="Times New Roman" w:eastAsiaTheme="minorEastAsia"/>
                <w:b/>
                <w:kern w:val="0"/>
                <w:sz w:val="21"/>
                <w:szCs w:val="21"/>
              </w:rPr>
              <w:t>内容说明</w:t>
            </w:r>
          </w:p>
        </w:tc>
        <w:tc>
          <w:tcPr>
            <w:tcW w:w="1155" w:type="dxa"/>
            <w:tcBorders>
              <w:top w:val="nil"/>
              <w:left w:val="nil"/>
              <w:bottom w:val="single" w:color="000000" w:sz="4" w:space="0"/>
              <w:right w:val="single" w:color="000000" w:sz="4" w:space="0"/>
            </w:tcBorders>
            <w:shd w:val="clear" w:color="000000" w:fill="auto"/>
            <w:vAlign w:val="center"/>
          </w:tcPr>
          <w:p w14:paraId="5CE380DE">
            <w:pPr>
              <w:keepLines w:val="0"/>
              <w:pageBreakBefore w:val="0"/>
              <w:widowControl w:val="0"/>
              <w:kinsoku/>
              <w:overflowPunct/>
              <w:topLinePunct w:val="0"/>
              <w:autoSpaceDE/>
              <w:autoSpaceDN/>
              <w:bidi w:val="0"/>
              <w:adjustRightInd/>
              <w:jc w:val="both"/>
              <w:textAlignment w:val="auto"/>
              <w:rPr>
                <w:rFonts w:hint="default" w:ascii="Times New Roman" w:hAnsi="Times New Roman" w:cs="Times New Roman"/>
                <w:color w:val="000000"/>
                <w:kern w:val="0"/>
                <w:sz w:val="21"/>
                <w:szCs w:val="21"/>
              </w:rPr>
            </w:pPr>
            <w:r>
              <w:rPr>
                <w:rFonts w:hint="default" w:ascii="Times New Roman" w:hAnsi="Times New Roman" w:cs="Times New Roman" w:eastAsiaTheme="minorEastAsia"/>
                <w:b/>
                <w:kern w:val="0"/>
                <w:sz w:val="21"/>
                <w:szCs w:val="21"/>
              </w:rPr>
              <w:t>服务方式</w:t>
            </w:r>
          </w:p>
        </w:tc>
      </w:tr>
      <w:tr w14:paraId="51CE5BEA">
        <w:tblPrEx>
          <w:tblCellMar>
            <w:top w:w="0" w:type="dxa"/>
            <w:left w:w="108" w:type="dxa"/>
            <w:bottom w:w="0" w:type="dxa"/>
            <w:right w:w="108" w:type="dxa"/>
          </w:tblCellMar>
        </w:tblPrEx>
        <w:trPr>
          <w:trHeight w:val="1194" w:hRule="atLeast"/>
        </w:trPr>
        <w:tc>
          <w:tcPr>
            <w:tcW w:w="1418" w:type="dxa"/>
            <w:vMerge w:val="restart"/>
            <w:tcBorders>
              <w:top w:val="single" w:color="000000" w:sz="4" w:space="0"/>
              <w:left w:val="single" w:color="auto" w:sz="4" w:space="0"/>
              <w:bottom w:val="single" w:color="auto" w:sz="4" w:space="0"/>
              <w:right w:val="single" w:color="000000" w:sz="4" w:space="0"/>
            </w:tcBorders>
            <w:vAlign w:val="center"/>
          </w:tcPr>
          <w:p w14:paraId="7AFAEB89">
            <w:pPr>
              <w:keepLines w:val="0"/>
              <w:pageBreakBefore w:val="0"/>
              <w:widowControl w:val="0"/>
              <w:kinsoku/>
              <w:overflowPunct/>
              <w:topLinePunct w:val="0"/>
              <w:autoSpaceDE/>
              <w:autoSpaceDN/>
              <w:bidi w:val="0"/>
              <w:adjustRightInd/>
              <w:jc w:val="both"/>
              <w:textAlignment w:val="auto"/>
              <w:rPr>
                <w:rFonts w:hint="default" w:ascii="Times New Roman" w:hAnsi="Times New Roman" w:cs="Times New Roman"/>
                <w:kern w:val="0"/>
                <w:sz w:val="22"/>
                <w:szCs w:val="22"/>
              </w:rPr>
            </w:pPr>
            <w:r>
              <w:rPr>
                <w:rFonts w:hint="default" w:ascii="Times New Roman" w:hAnsi="Times New Roman" w:cs="Times New Roman"/>
                <w:kern w:val="0"/>
                <w:sz w:val="22"/>
                <w:szCs w:val="22"/>
              </w:rPr>
              <w:t>数据浏览</w:t>
            </w:r>
          </w:p>
        </w:tc>
        <w:tc>
          <w:tcPr>
            <w:tcW w:w="2126" w:type="dxa"/>
            <w:tcBorders>
              <w:top w:val="single" w:color="000000" w:sz="4" w:space="0"/>
              <w:left w:val="nil"/>
              <w:bottom w:val="single" w:color="auto" w:sz="4" w:space="0"/>
              <w:right w:val="single" w:color="000000" w:sz="4" w:space="0"/>
            </w:tcBorders>
            <w:vAlign w:val="center"/>
          </w:tcPr>
          <w:p w14:paraId="608CE179">
            <w:pPr>
              <w:keepLines w:val="0"/>
              <w:pageBreakBefore w:val="0"/>
              <w:widowControl w:val="0"/>
              <w:numPr>
                <w:ilvl w:val="0"/>
                <w:numId w:val="0"/>
              </w:numPr>
              <w:kinsoku/>
              <w:overflowPunct/>
              <w:topLinePunct w:val="0"/>
              <w:autoSpaceDE/>
              <w:autoSpaceDN/>
              <w:bidi w:val="0"/>
              <w:adjustRightInd/>
              <w:jc w:val="both"/>
              <w:textAlignment w:val="auto"/>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lang w:val="en-US" w:eastAsia="zh-CN"/>
              </w:rPr>
              <w:t>1.</w:t>
            </w:r>
            <w:r>
              <w:rPr>
                <w:rFonts w:hint="default" w:ascii="Times New Roman" w:hAnsi="Times New Roman" w:cs="Times New Roman"/>
                <w:color w:val="000000"/>
                <w:kern w:val="0"/>
                <w:sz w:val="22"/>
                <w:szCs w:val="22"/>
              </w:rPr>
              <w:t>通过浏览器访问IP到基层单位采集工作站（平台）</w:t>
            </w:r>
          </w:p>
          <w:p w14:paraId="2347712B">
            <w:pPr>
              <w:keepLines w:val="0"/>
              <w:pageBreakBefore w:val="0"/>
              <w:widowControl w:val="0"/>
              <w:numPr>
                <w:ilvl w:val="0"/>
                <w:numId w:val="0"/>
              </w:numPr>
              <w:kinsoku/>
              <w:overflowPunct/>
              <w:topLinePunct w:val="0"/>
              <w:autoSpaceDE/>
              <w:autoSpaceDN/>
              <w:bidi w:val="0"/>
              <w:adjustRightInd/>
              <w:jc w:val="both"/>
              <w:textAlignment w:val="auto"/>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lang w:val="en-US" w:eastAsia="zh-CN"/>
              </w:rPr>
              <w:t>2.</w:t>
            </w:r>
            <w:r>
              <w:rPr>
                <w:rFonts w:hint="default" w:ascii="Times New Roman" w:hAnsi="Times New Roman" w:cs="Times New Roman"/>
                <w:color w:val="000000"/>
                <w:kern w:val="0"/>
                <w:sz w:val="22"/>
                <w:szCs w:val="22"/>
              </w:rPr>
              <w:t>查看工作站状态</w:t>
            </w:r>
          </w:p>
        </w:tc>
        <w:tc>
          <w:tcPr>
            <w:tcW w:w="5079" w:type="dxa"/>
            <w:gridSpan w:val="2"/>
            <w:tcBorders>
              <w:top w:val="nil"/>
              <w:left w:val="nil"/>
              <w:bottom w:val="single" w:color="auto" w:sz="4" w:space="0"/>
              <w:right w:val="single" w:color="000000" w:sz="4" w:space="0"/>
            </w:tcBorders>
            <w:vAlign w:val="center"/>
          </w:tcPr>
          <w:p w14:paraId="48824E90">
            <w:pPr>
              <w:keepLines w:val="0"/>
              <w:pageBreakBefore w:val="0"/>
              <w:widowControl w:val="0"/>
              <w:kinsoku/>
              <w:overflowPunct/>
              <w:topLinePunct w:val="0"/>
              <w:autoSpaceDE/>
              <w:autoSpaceDN/>
              <w:bidi w:val="0"/>
              <w:adjustRightInd/>
              <w:jc w:val="both"/>
              <w:textAlignment w:val="auto"/>
              <w:rPr>
                <w:rFonts w:hint="default" w:ascii="Times New Roman" w:hAnsi="Times New Roman" w:cs="Times New Roman"/>
                <w:kern w:val="0"/>
                <w:sz w:val="22"/>
                <w:szCs w:val="22"/>
              </w:rPr>
            </w:pPr>
            <w:r>
              <w:rPr>
                <w:rFonts w:hint="default" w:ascii="Times New Roman" w:hAnsi="Times New Roman" w:cs="Times New Roman"/>
                <w:kern w:val="0"/>
                <w:sz w:val="22"/>
                <w:szCs w:val="22"/>
              </w:rPr>
              <w:t>通过平台设备管理进入各站点采集站并可查看工作站内存及运行状态；</w:t>
            </w:r>
          </w:p>
        </w:tc>
        <w:tc>
          <w:tcPr>
            <w:tcW w:w="1155" w:type="dxa"/>
            <w:tcBorders>
              <w:top w:val="nil"/>
              <w:left w:val="nil"/>
              <w:bottom w:val="single" w:color="auto" w:sz="4" w:space="0"/>
              <w:right w:val="single" w:color="000000" w:sz="4" w:space="0"/>
            </w:tcBorders>
            <w:vAlign w:val="center"/>
          </w:tcPr>
          <w:p w14:paraId="56110868">
            <w:pPr>
              <w:keepLines w:val="0"/>
              <w:pageBreakBefore w:val="0"/>
              <w:widowControl w:val="0"/>
              <w:kinsoku/>
              <w:overflowPunct/>
              <w:topLinePunct w:val="0"/>
              <w:autoSpaceDE/>
              <w:autoSpaceDN/>
              <w:bidi w:val="0"/>
              <w:adjustRightInd/>
              <w:ind w:firstLine="440" w:firstLineChars="200"/>
              <w:jc w:val="both"/>
              <w:textAlignment w:val="auto"/>
              <w:rPr>
                <w:rFonts w:hint="default" w:ascii="Times New Roman" w:hAnsi="Times New Roman" w:cs="Times New Roman"/>
                <w:kern w:val="0"/>
                <w:sz w:val="22"/>
                <w:szCs w:val="22"/>
              </w:rPr>
            </w:pPr>
            <w:r>
              <w:rPr>
                <w:rFonts w:hint="default" w:ascii="Times New Roman" w:hAnsi="Times New Roman" w:cs="Times New Roman"/>
                <w:kern w:val="0"/>
                <w:sz w:val="22"/>
                <w:szCs w:val="22"/>
              </w:rPr>
              <w:t>远程</w:t>
            </w:r>
          </w:p>
        </w:tc>
      </w:tr>
      <w:tr w14:paraId="2AE1B655">
        <w:tblPrEx>
          <w:tblCellMar>
            <w:top w:w="0" w:type="dxa"/>
            <w:left w:w="108" w:type="dxa"/>
            <w:bottom w:w="0" w:type="dxa"/>
            <w:right w:w="108" w:type="dxa"/>
          </w:tblCellMar>
        </w:tblPrEx>
        <w:trPr>
          <w:trHeight w:val="706" w:hRule="atLeast"/>
        </w:trPr>
        <w:tc>
          <w:tcPr>
            <w:tcW w:w="1418" w:type="dxa"/>
            <w:vMerge w:val="continue"/>
            <w:tcBorders>
              <w:top w:val="single" w:color="auto" w:sz="4" w:space="0"/>
              <w:left w:val="single" w:color="auto" w:sz="4" w:space="0"/>
              <w:bottom w:val="single" w:color="auto" w:sz="4" w:space="0"/>
              <w:right w:val="single" w:color="auto" w:sz="4" w:space="0"/>
            </w:tcBorders>
            <w:vAlign w:val="center"/>
          </w:tcPr>
          <w:p w14:paraId="5AF9AF71">
            <w:pPr>
              <w:keepLines w:val="0"/>
              <w:pageBreakBefore w:val="0"/>
              <w:widowControl w:val="0"/>
              <w:kinsoku/>
              <w:overflowPunct/>
              <w:topLinePunct w:val="0"/>
              <w:autoSpaceDE/>
              <w:autoSpaceDN/>
              <w:bidi w:val="0"/>
              <w:adjustRightInd/>
              <w:ind w:firstLine="440" w:firstLineChars="200"/>
              <w:jc w:val="center"/>
              <w:textAlignment w:val="auto"/>
              <w:rPr>
                <w:rFonts w:hint="default" w:ascii="Times New Roman" w:hAnsi="Times New Roman" w:cs="Times New Roman"/>
                <w:kern w:val="0"/>
                <w:sz w:val="22"/>
                <w:szCs w:val="22"/>
              </w:rPr>
            </w:pPr>
          </w:p>
        </w:tc>
        <w:tc>
          <w:tcPr>
            <w:tcW w:w="2126" w:type="dxa"/>
            <w:tcBorders>
              <w:top w:val="single" w:color="auto" w:sz="4" w:space="0"/>
              <w:left w:val="single" w:color="auto" w:sz="4" w:space="0"/>
              <w:bottom w:val="single" w:color="auto" w:sz="4" w:space="0"/>
              <w:right w:val="single" w:color="auto" w:sz="4" w:space="0"/>
            </w:tcBorders>
            <w:vAlign w:val="center"/>
          </w:tcPr>
          <w:p w14:paraId="0EA6DF92">
            <w:pPr>
              <w:keepLines w:val="0"/>
              <w:pageBreakBefore w:val="0"/>
              <w:widowControl w:val="0"/>
              <w:numPr>
                <w:ilvl w:val="0"/>
                <w:numId w:val="0"/>
              </w:numPr>
              <w:kinsoku/>
              <w:overflowPunct/>
              <w:topLinePunct w:val="0"/>
              <w:autoSpaceDE/>
              <w:autoSpaceDN/>
              <w:bidi w:val="0"/>
              <w:adjustRightInd/>
              <w:jc w:val="both"/>
              <w:textAlignment w:val="auto"/>
              <w:rPr>
                <w:rFonts w:hint="default" w:ascii="Times New Roman" w:hAnsi="Times New Roman" w:cs="Times New Roman"/>
                <w:kern w:val="0"/>
                <w:sz w:val="22"/>
                <w:szCs w:val="22"/>
              </w:rPr>
            </w:pPr>
            <w:r>
              <w:rPr>
                <w:rFonts w:hint="default" w:ascii="Times New Roman" w:hAnsi="Times New Roman" w:cs="Times New Roman"/>
                <w:kern w:val="0"/>
                <w:sz w:val="22"/>
                <w:szCs w:val="22"/>
                <w:lang w:val="en-US" w:eastAsia="zh-CN"/>
              </w:rPr>
              <w:t>1.</w:t>
            </w:r>
            <w:r>
              <w:rPr>
                <w:rFonts w:hint="default" w:ascii="Times New Roman" w:hAnsi="Times New Roman" w:cs="Times New Roman"/>
                <w:kern w:val="0"/>
                <w:sz w:val="22"/>
                <w:szCs w:val="22"/>
              </w:rPr>
              <w:t>平台查看总上传数据量</w:t>
            </w:r>
          </w:p>
          <w:p w14:paraId="05685CF7">
            <w:pPr>
              <w:keepLines w:val="0"/>
              <w:pageBreakBefore w:val="0"/>
              <w:widowControl w:val="0"/>
              <w:numPr>
                <w:ilvl w:val="0"/>
                <w:numId w:val="0"/>
              </w:numPr>
              <w:kinsoku/>
              <w:overflowPunct/>
              <w:topLinePunct w:val="0"/>
              <w:autoSpaceDE/>
              <w:autoSpaceDN/>
              <w:bidi w:val="0"/>
              <w:adjustRightInd/>
              <w:jc w:val="both"/>
              <w:textAlignment w:val="auto"/>
              <w:rPr>
                <w:rFonts w:hint="default" w:ascii="Times New Roman" w:hAnsi="Times New Roman" w:cs="Times New Roman"/>
                <w:kern w:val="0"/>
                <w:sz w:val="22"/>
                <w:szCs w:val="22"/>
              </w:rPr>
            </w:pPr>
            <w:r>
              <w:rPr>
                <w:rFonts w:hint="default" w:ascii="Times New Roman" w:hAnsi="Times New Roman" w:cs="Times New Roman"/>
                <w:kern w:val="0"/>
                <w:sz w:val="22"/>
                <w:szCs w:val="22"/>
                <w:lang w:val="en-US" w:eastAsia="zh-CN"/>
              </w:rPr>
              <w:t>2.</w:t>
            </w:r>
            <w:r>
              <w:rPr>
                <w:rFonts w:hint="default" w:ascii="Times New Roman" w:hAnsi="Times New Roman" w:cs="Times New Roman"/>
                <w:kern w:val="0"/>
                <w:sz w:val="22"/>
                <w:szCs w:val="22"/>
              </w:rPr>
              <w:t>查找、观看、编辑</w:t>
            </w:r>
          </w:p>
        </w:tc>
        <w:tc>
          <w:tcPr>
            <w:tcW w:w="5079" w:type="dxa"/>
            <w:gridSpan w:val="2"/>
            <w:tcBorders>
              <w:top w:val="single" w:color="auto" w:sz="4" w:space="0"/>
              <w:left w:val="single" w:color="auto" w:sz="4" w:space="0"/>
              <w:bottom w:val="single" w:color="auto" w:sz="4" w:space="0"/>
              <w:right w:val="single" w:color="auto" w:sz="4" w:space="0"/>
            </w:tcBorders>
            <w:vAlign w:val="center"/>
          </w:tcPr>
          <w:p w14:paraId="31ADB487">
            <w:pPr>
              <w:keepLines w:val="0"/>
              <w:pageBreakBefore w:val="0"/>
              <w:widowControl w:val="0"/>
              <w:kinsoku/>
              <w:overflowPunct/>
              <w:topLinePunct w:val="0"/>
              <w:autoSpaceDE/>
              <w:autoSpaceDN/>
              <w:bidi w:val="0"/>
              <w:adjustRightInd/>
              <w:jc w:val="both"/>
              <w:textAlignment w:val="auto"/>
              <w:rPr>
                <w:rFonts w:hint="default" w:ascii="Times New Roman" w:hAnsi="Times New Roman" w:cs="Times New Roman"/>
                <w:kern w:val="0"/>
                <w:sz w:val="22"/>
                <w:szCs w:val="22"/>
              </w:rPr>
            </w:pPr>
            <w:r>
              <w:rPr>
                <w:rFonts w:hint="default" w:ascii="Times New Roman" w:hAnsi="Times New Roman" w:cs="Times New Roman"/>
                <w:kern w:val="0"/>
                <w:sz w:val="22"/>
                <w:szCs w:val="22"/>
              </w:rPr>
              <w:t>通过平台页面显示总数据量，用分类及搜索可以观看、编辑视频；</w:t>
            </w:r>
          </w:p>
        </w:tc>
        <w:tc>
          <w:tcPr>
            <w:tcW w:w="1155" w:type="dxa"/>
            <w:tcBorders>
              <w:top w:val="single" w:color="auto" w:sz="4" w:space="0"/>
              <w:left w:val="single" w:color="auto" w:sz="4" w:space="0"/>
              <w:bottom w:val="single" w:color="auto" w:sz="4" w:space="0"/>
              <w:right w:val="single" w:color="auto" w:sz="4" w:space="0"/>
            </w:tcBorders>
            <w:vAlign w:val="center"/>
          </w:tcPr>
          <w:p w14:paraId="42B6E09F">
            <w:pPr>
              <w:keepLines w:val="0"/>
              <w:pageBreakBefore w:val="0"/>
              <w:widowControl w:val="0"/>
              <w:kinsoku/>
              <w:overflowPunct/>
              <w:topLinePunct w:val="0"/>
              <w:autoSpaceDE/>
              <w:autoSpaceDN/>
              <w:bidi w:val="0"/>
              <w:adjustRightInd/>
              <w:ind w:firstLine="440" w:firstLineChars="200"/>
              <w:jc w:val="both"/>
              <w:textAlignment w:val="auto"/>
              <w:rPr>
                <w:rFonts w:hint="default" w:ascii="Times New Roman" w:hAnsi="Times New Roman" w:cs="Times New Roman"/>
                <w:kern w:val="0"/>
                <w:sz w:val="22"/>
                <w:szCs w:val="22"/>
              </w:rPr>
            </w:pPr>
            <w:r>
              <w:rPr>
                <w:rFonts w:hint="default" w:ascii="Times New Roman" w:hAnsi="Times New Roman" w:cs="Times New Roman"/>
                <w:kern w:val="0"/>
                <w:sz w:val="22"/>
                <w:szCs w:val="22"/>
              </w:rPr>
              <w:t>远程</w:t>
            </w:r>
          </w:p>
        </w:tc>
      </w:tr>
      <w:tr w14:paraId="74A8F1BB">
        <w:tblPrEx>
          <w:tblCellMar>
            <w:top w:w="0" w:type="dxa"/>
            <w:left w:w="108" w:type="dxa"/>
            <w:bottom w:w="0" w:type="dxa"/>
            <w:right w:w="108" w:type="dxa"/>
          </w:tblCellMar>
        </w:tblPrEx>
        <w:trPr>
          <w:trHeight w:val="540" w:hRule="atLeast"/>
        </w:trPr>
        <w:tc>
          <w:tcPr>
            <w:tcW w:w="1418" w:type="dxa"/>
            <w:vMerge w:val="continue"/>
            <w:tcBorders>
              <w:top w:val="single" w:color="auto" w:sz="4" w:space="0"/>
              <w:left w:val="single" w:color="auto" w:sz="4" w:space="0"/>
              <w:bottom w:val="single" w:color="auto" w:sz="4" w:space="0"/>
              <w:right w:val="single" w:color="auto" w:sz="4" w:space="0"/>
            </w:tcBorders>
            <w:vAlign w:val="center"/>
          </w:tcPr>
          <w:p w14:paraId="00BF9D94">
            <w:pPr>
              <w:keepLines w:val="0"/>
              <w:pageBreakBefore w:val="0"/>
              <w:widowControl w:val="0"/>
              <w:kinsoku/>
              <w:overflowPunct/>
              <w:topLinePunct w:val="0"/>
              <w:autoSpaceDE/>
              <w:autoSpaceDN/>
              <w:bidi w:val="0"/>
              <w:adjustRightInd/>
              <w:ind w:firstLine="440" w:firstLineChars="200"/>
              <w:jc w:val="center"/>
              <w:textAlignment w:val="auto"/>
              <w:rPr>
                <w:rFonts w:hint="default" w:ascii="Times New Roman" w:hAnsi="Times New Roman" w:cs="Times New Roman"/>
                <w:kern w:val="0"/>
                <w:sz w:val="22"/>
                <w:szCs w:val="22"/>
              </w:rPr>
            </w:pPr>
          </w:p>
        </w:tc>
        <w:tc>
          <w:tcPr>
            <w:tcW w:w="2126" w:type="dxa"/>
            <w:tcBorders>
              <w:top w:val="single" w:color="auto" w:sz="4" w:space="0"/>
              <w:left w:val="single" w:color="auto" w:sz="4" w:space="0"/>
              <w:bottom w:val="single" w:color="auto" w:sz="4" w:space="0"/>
              <w:right w:val="single" w:color="auto" w:sz="4" w:space="0"/>
            </w:tcBorders>
            <w:vAlign w:val="center"/>
          </w:tcPr>
          <w:p w14:paraId="0BE7B710">
            <w:pPr>
              <w:keepLines w:val="0"/>
              <w:pageBreakBefore w:val="0"/>
              <w:widowControl w:val="0"/>
              <w:numPr>
                <w:ilvl w:val="0"/>
                <w:numId w:val="0"/>
              </w:numPr>
              <w:kinsoku/>
              <w:overflowPunct/>
              <w:topLinePunct w:val="0"/>
              <w:autoSpaceDE/>
              <w:autoSpaceDN/>
              <w:bidi w:val="0"/>
              <w:adjustRightInd/>
              <w:jc w:val="both"/>
              <w:textAlignment w:val="auto"/>
              <w:rPr>
                <w:rFonts w:hint="default" w:ascii="Times New Roman" w:hAnsi="Times New Roman" w:cs="Times New Roman"/>
                <w:kern w:val="0"/>
                <w:sz w:val="22"/>
                <w:szCs w:val="22"/>
              </w:rPr>
            </w:pPr>
            <w:r>
              <w:rPr>
                <w:rFonts w:hint="default" w:ascii="Times New Roman" w:hAnsi="Times New Roman" w:cs="Times New Roman"/>
                <w:kern w:val="0"/>
                <w:sz w:val="22"/>
                <w:szCs w:val="22"/>
                <w:lang w:val="en-US" w:eastAsia="zh-CN"/>
              </w:rPr>
              <w:t>1.</w:t>
            </w:r>
            <w:r>
              <w:rPr>
                <w:rFonts w:hint="default" w:ascii="Times New Roman" w:hAnsi="Times New Roman" w:cs="Times New Roman"/>
                <w:kern w:val="0"/>
                <w:sz w:val="22"/>
                <w:szCs w:val="22"/>
              </w:rPr>
              <w:t>进入管理员账号</w:t>
            </w:r>
          </w:p>
          <w:p w14:paraId="6708B85A">
            <w:pPr>
              <w:keepLines w:val="0"/>
              <w:pageBreakBefore w:val="0"/>
              <w:widowControl w:val="0"/>
              <w:numPr>
                <w:ilvl w:val="0"/>
                <w:numId w:val="0"/>
              </w:numPr>
              <w:kinsoku/>
              <w:overflowPunct/>
              <w:topLinePunct w:val="0"/>
              <w:autoSpaceDE/>
              <w:autoSpaceDN/>
              <w:bidi w:val="0"/>
              <w:adjustRightInd/>
              <w:jc w:val="both"/>
              <w:textAlignment w:val="auto"/>
              <w:rPr>
                <w:rFonts w:hint="default" w:ascii="Times New Roman" w:hAnsi="Times New Roman" w:cs="Times New Roman"/>
                <w:kern w:val="0"/>
                <w:sz w:val="22"/>
                <w:szCs w:val="22"/>
              </w:rPr>
            </w:pPr>
            <w:r>
              <w:rPr>
                <w:rFonts w:hint="default" w:ascii="Times New Roman" w:hAnsi="Times New Roman" w:cs="Times New Roman"/>
                <w:kern w:val="0"/>
                <w:sz w:val="22"/>
                <w:szCs w:val="22"/>
                <w:lang w:val="en-US" w:eastAsia="zh-CN"/>
              </w:rPr>
              <w:t>2.</w:t>
            </w:r>
            <w:r>
              <w:rPr>
                <w:rFonts w:hint="default" w:ascii="Times New Roman" w:hAnsi="Times New Roman" w:cs="Times New Roman"/>
                <w:kern w:val="0"/>
                <w:sz w:val="22"/>
                <w:szCs w:val="22"/>
              </w:rPr>
              <w:t>数据管理</w:t>
            </w:r>
          </w:p>
          <w:p w14:paraId="418A929B">
            <w:pPr>
              <w:keepLines w:val="0"/>
              <w:pageBreakBefore w:val="0"/>
              <w:widowControl w:val="0"/>
              <w:numPr>
                <w:ilvl w:val="0"/>
                <w:numId w:val="0"/>
              </w:numPr>
              <w:kinsoku/>
              <w:overflowPunct/>
              <w:topLinePunct w:val="0"/>
              <w:autoSpaceDE/>
              <w:autoSpaceDN/>
              <w:bidi w:val="0"/>
              <w:adjustRightInd/>
              <w:jc w:val="both"/>
              <w:textAlignment w:val="auto"/>
              <w:rPr>
                <w:rFonts w:hint="default" w:ascii="Times New Roman" w:hAnsi="Times New Roman" w:cs="Times New Roman"/>
                <w:kern w:val="0"/>
                <w:sz w:val="22"/>
                <w:szCs w:val="22"/>
              </w:rPr>
            </w:pPr>
            <w:r>
              <w:rPr>
                <w:rFonts w:hint="default" w:ascii="Times New Roman" w:hAnsi="Times New Roman" w:cs="Times New Roman"/>
                <w:kern w:val="0"/>
                <w:sz w:val="22"/>
                <w:szCs w:val="22"/>
                <w:lang w:val="en-US" w:eastAsia="zh-CN"/>
              </w:rPr>
              <w:t>3.</w:t>
            </w:r>
            <w:r>
              <w:rPr>
                <w:rFonts w:hint="default" w:ascii="Times New Roman" w:hAnsi="Times New Roman" w:cs="Times New Roman"/>
                <w:kern w:val="0"/>
                <w:sz w:val="22"/>
                <w:szCs w:val="22"/>
              </w:rPr>
              <w:t>页面</w:t>
            </w:r>
          </w:p>
        </w:tc>
        <w:tc>
          <w:tcPr>
            <w:tcW w:w="5079" w:type="dxa"/>
            <w:gridSpan w:val="2"/>
            <w:tcBorders>
              <w:top w:val="single" w:color="auto" w:sz="4" w:space="0"/>
              <w:left w:val="single" w:color="auto" w:sz="4" w:space="0"/>
              <w:bottom w:val="single" w:color="auto" w:sz="4" w:space="0"/>
              <w:right w:val="single" w:color="auto" w:sz="4" w:space="0"/>
            </w:tcBorders>
            <w:vAlign w:val="center"/>
          </w:tcPr>
          <w:p w14:paraId="609FFF78">
            <w:pPr>
              <w:keepLines w:val="0"/>
              <w:pageBreakBefore w:val="0"/>
              <w:widowControl w:val="0"/>
              <w:kinsoku/>
              <w:overflowPunct/>
              <w:topLinePunct w:val="0"/>
              <w:autoSpaceDE/>
              <w:autoSpaceDN/>
              <w:bidi w:val="0"/>
              <w:adjustRightInd/>
              <w:jc w:val="both"/>
              <w:textAlignment w:val="auto"/>
              <w:rPr>
                <w:rFonts w:hint="default" w:ascii="Times New Roman" w:hAnsi="Times New Roman" w:cs="Times New Roman"/>
                <w:kern w:val="0"/>
                <w:sz w:val="22"/>
                <w:szCs w:val="22"/>
              </w:rPr>
            </w:pPr>
            <w:r>
              <w:rPr>
                <w:rFonts w:hint="default" w:ascii="Times New Roman" w:hAnsi="Times New Roman" w:cs="Times New Roman"/>
                <w:kern w:val="0"/>
                <w:sz w:val="22"/>
                <w:szCs w:val="22"/>
              </w:rPr>
              <w:t>进入平台页面，查看警员名称，警号，视频级别分类，重要视频有**标记，显示视频上传状态；</w:t>
            </w:r>
          </w:p>
        </w:tc>
        <w:tc>
          <w:tcPr>
            <w:tcW w:w="1155" w:type="dxa"/>
            <w:tcBorders>
              <w:top w:val="single" w:color="auto" w:sz="4" w:space="0"/>
              <w:left w:val="single" w:color="auto" w:sz="4" w:space="0"/>
              <w:bottom w:val="single" w:color="auto" w:sz="4" w:space="0"/>
              <w:right w:val="single" w:color="auto" w:sz="4" w:space="0"/>
            </w:tcBorders>
            <w:vAlign w:val="center"/>
          </w:tcPr>
          <w:p w14:paraId="48222436">
            <w:pPr>
              <w:keepLines w:val="0"/>
              <w:pageBreakBefore w:val="0"/>
              <w:widowControl w:val="0"/>
              <w:kinsoku/>
              <w:overflowPunct/>
              <w:topLinePunct w:val="0"/>
              <w:autoSpaceDE/>
              <w:autoSpaceDN/>
              <w:bidi w:val="0"/>
              <w:adjustRightInd/>
              <w:ind w:firstLine="440" w:firstLineChars="200"/>
              <w:jc w:val="both"/>
              <w:textAlignment w:val="auto"/>
              <w:rPr>
                <w:rFonts w:hint="default" w:ascii="Times New Roman" w:hAnsi="Times New Roman" w:cs="Times New Roman"/>
                <w:kern w:val="0"/>
                <w:sz w:val="22"/>
                <w:szCs w:val="22"/>
              </w:rPr>
            </w:pPr>
            <w:r>
              <w:rPr>
                <w:rFonts w:hint="default" w:ascii="Times New Roman" w:hAnsi="Times New Roman" w:cs="Times New Roman"/>
                <w:kern w:val="0"/>
                <w:sz w:val="22"/>
                <w:szCs w:val="22"/>
              </w:rPr>
              <w:t>远程</w:t>
            </w:r>
          </w:p>
        </w:tc>
      </w:tr>
      <w:tr w14:paraId="679E44EE">
        <w:tblPrEx>
          <w:tblCellMar>
            <w:top w:w="0" w:type="dxa"/>
            <w:left w:w="108" w:type="dxa"/>
            <w:bottom w:w="0" w:type="dxa"/>
            <w:right w:w="108" w:type="dxa"/>
          </w:tblCellMar>
        </w:tblPrEx>
        <w:trPr>
          <w:trHeight w:val="540" w:hRule="atLeast"/>
        </w:trPr>
        <w:tc>
          <w:tcPr>
            <w:tcW w:w="1418" w:type="dxa"/>
            <w:vMerge w:val="continue"/>
            <w:tcBorders>
              <w:top w:val="single" w:color="auto" w:sz="4" w:space="0"/>
              <w:left w:val="single" w:color="auto" w:sz="4" w:space="0"/>
              <w:bottom w:val="single" w:color="auto" w:sz="4" w:space="0"/>
              <w:right w:val="single" w:color="auto" w:sz="4" w:space="0"/>
            </w:tcBorders>
            <w:vAlign w:val="center"/>
          </w:tcPr>
          <w:p w14:paraId="7237FC1C">
            <w:pPr>
              <w:keepLines w:val="0"/>
              <w:pageBreakBefore w:val="0"/>
              <w:widowControl w:val="0"/>
              <w:kinsoku/>
              <w:overflowPunct/>
              <w:topLinePunct w:val="0"/>
              <w:autoSpaceDE/>
              <w:autoSpaceDN/>
              <w:bidi w:val="0"/>
              <w:adjustRightInd/>
              <w:ind w:firstLine="440" w:firstLineChars="200"/>
              <w:jc w:val="center"/>
              <w:textAlignment w:val="auto"/>
              <w:rPr>
                <w:rFonts w:hint="default" w:ascii="Times New Roman" w:hAnsi="Times New Roman" w:cs="Times New Roman"/>
                <w:kern w:val="0"/>
                <w:sz w:val="22"/>
                <w:szCs w:val="22"/>
              </w:rPr>
            </w:pPr>
          </w:p>
        </w:tc>
        <w:tc>
          <w:tcPr>
            <w:tcW w:w="2126" w:type="dxa"/>
            <w:tcBorders>
              <w:top w:val="single" w:color="auto" w:sz="4" w:space="0"/>
              <w:left w:val="single" w:color="auto" w:sz="4" w:space="0"/>
              <w:bottom w:val="single" w:color="auto" w:sz="4" w:space="0"/>
              <w:right w:val="single" w:color="auto" w:sz="4" w:space="0"/>
            </w:tcBorders>
            <w:vAlign w:val="center"/>
          </w:tcPr>
          <w:p w14:paraId="6137BF92">
            <w:pPr>
              <w:keepLines w:val="0"/>
              <w:pageBreakBefore w:val="0"/>
              <w:widowControl w:val="0"/>
              <w:kinsoku/>
              <w:overflowPunct/>
              <w:topLinePunct w:val="0"/>
              <w:autoSpaceDE/>
              <w:autoSpaceDN/>
              <w:bidi w:val="0"/>
              <w:adjustRightInd/>
              <w:jc w:val="both"/>
              <w:textAlignment w:val="auto"/>
              <w:rPr>
                <w:rFonts w:hint="default" w:ascii="Times New Roman" w:hAnsi="Times New Roman" w:cs="Times New Roman"/>
                <w:kern w:val="0"/>
                <w:sz w:val="22"/>
                <w:szCs w:val="22"/>
              </w:rPr>
            </w:pPr>
            <w:r>
              <w:rPr>
                <w:rFonts w:hint="default" w:ascii="Times New Roman" w:hAnsi="Times New Roman" w:cs="Times New Roman"/>
                <w:kern w:val="0"/>
                <w:sz w:val="22"/>
                <w:szCs w:val="22"/>
                <w:lang w:val="en-US" w:eastAsia="zh-CN"/>
              </w:rPr>
              <w:t>1.</w:t>
            </w:r>
            <w:r>
              <w:rPr>
                <w:rFonts w:hint="default" w:ascii="Times New Roman" w:hAnsi="Times New Roman" w:cs="Times New Roman"/>
                <w:kern w:val="0"/>
                <w:sz w:val="22"/>
                <w:szCs w:val="22"/>
              </w:rPr>
              <w:t>进入管理员账号</w:t>
            </w:r>
          </w:p>
          <w:p w14:paraId="043321FA">
            <w:pPr>
              <w:keepLines w:val="0"/>
              <w:pageBreakBefore w:val="0"/>
              <w:widowControl w:val="0"/>
              <w:kinsoku/>
              <w:overflowPunct/>
              <w:topLinePunct w:val="0"/>
              <w:autoSpaceDE/>
              <w:autoSpaceDN/>
              <w:bidi w:val="0"/>
              <w:adjustRightInd/>
              <w:jc w:val="both"/>
              <w:textAlignment w:val="auto"/>
              <w:rPr>
                <w:rFonts w:hint="default" w:ascii="Times New Roman" w:hAnsi="Times New Roman" w:cs="Times New Roman"/>
                <w:kern w:val="0"/>
                <w:sz w:val="22"/>
                <w:szCs w:val="22"/>
              </w:rPr>
            </w:pPr>
            <w:r>
              <w:rPr>
                <w:rFonts w:hint="default" w:ascii="Times New Roman" w:hAnsi="Times New Roman" w:cs="Times New Roman"/>
                <w:kern w:val="0"/>
                <w:sz w:val="22"/>
                <w:szCs w:val="22"/>
                <w:lang w:val="en-US" w:eastAsia="zh-CN"/>
              </w:rPr>
              <w:t>2.</w:t>
            </w:r>
            <w:r>
              <w:rPr>
                <w:rFonts w:hint="default" w:ascii="Times New Roman" w:hAnsi="Times New Roman" w:cs="Times New Roman"/>
                <w:kern w:val="0"/>
                <w:sz w:val="22"/>
                <w:szCs w:val="22"/>
              </w:rPr>
              <w:t>数据管理</w:t>
            </w:r>
          </w:p>
          <w:p w14:paraId="77A71958">
            <w:pPr>
              <w:keepLines w:val="0"/>
              <w:pageBreakBefore w:val="0"/>
              <w:widowControl w:val="0"/>
              <w:kinsoku/>
              <w:overflowPunct/>
              <w:topLinePunct w:val="0"/>
              <w:autoSpaceDE/>
              <w:autoSpaceDN/>
              <w:bidi w:val="0"/>
              <w:adjustRightInd/>
              <w:jc w:val="both"/>
              <w:textAlignment w:val="auto"/>
              <w:rPr>
                <w:rFonts w:hint="default" w:ascii="Times New Roman" w:hAnsi="Times New Roman" w:cs="Times New Roman"/>
                <w:kern w:val="0"/>
                <w:sz w:val="22"/>
                <w:szCs w:val="22"/>
              </w:rPr>
            </w:pPr>
            <w:r>
              <w:rPr>
                <w:rFonts w:hint="default" w:ascii="Times New Roman" w:hAnsi="Times New Roman" w:cs="Times New Roman"/>
                <w:kern w:val="0"/>
                <w:sz w:val="22"/>
                <w:szCs w:val="22"/>
                <w:lang w:val="en-US" w:eastAsia="zh-CN"/>
              </w:rPr>
              <w:t>3.</w:t>
            </w:r>
            <w:r>
              <w:rPr>
                <w:rFonts w:hint="default" w:ascii="Times New Roman" w:hAnsi="Times New Roman" w:cs="Times New Roman"/>
                <w:kern w:val="0"/>
                <w:sz w:val="22"/>
                <w:szCs w:val="22"/>
              </w:rPr>
              <w:t>导入时间</w:t>
            </w:r>
          </w:p>
        </w:tc>
        <w:tc>
          <w:tcPr>
            <w:tcW w:w="5079" w:type="dxa"/>
            <w:gridSpan w:val="2"/>
            <w:tcBorders>
              <w:top w:val="single" w:color="auto" w:sz="4" w:space="0"/>
              <w:left w:val="single" w:color="auto" w:sz="4" w:space="0"/>
              <w:bottom w:val="single" w:color="auto" w:sz="4" w:space="0"/>
              <w:right w:val="single" w:color="auto" w:sz="4" w:space="0"/>
            </w:tcBorders>
            <w:vAlign w:val="center"/>
          </w:tcPr>
          <w:p w14:paraId="22D8C69D">
            <w:pPr>
              <w:keepLines w:val="0"/>
              <w:pageBreakBefore w:val="0"/>
              <w:widowControl w:val="0"/>
              <w:kinsoku/>
              <w:overflowPunct/>
              <w:topLinePunct w:val="0"/>
              <w:autoSpaceDE/>
              <w:autoSpaceDN/>
              <w:bidi w:val="0"/>
              <w:adjustRightInd/>
              <w:jc w:val="both"/>
              <w:textAlignment w:val="auto"/>
              <w:rPr>
                <w:rFonts w:hint="default" w:ascii="Times New Roman" w:hAnsi="Times New Roman" w:cs="Times New Roman"/>
                <w:kern w:val="0"/>
                <w:sz w:val="22"/>
                <w:szCs w:val="22"/>
              </w:rPr>
            </w:pPr>
            <w:r>
              <w:rPr>
                <w:rFonts w:hint="default" w:ascii="Times New Roman" w:hAnsi="Times New Roman" w:cs="Times New Roman"/>
                <w:kern w:val="0"/>
                <w:sz w:val="22"/>
                <w:szCs w:val="22"/>
              </w:rPr>
              <w:t>通过输入导入时间精准查找视频；</w:t>
            </w:r>
          </w:p>
        </w:tc>
        <w:tc>
          <w:tcPr>
            <w:tcW w:w="1155" w:type="dxa"/>
            <w:tcBorders>
              <w:top w:val="single" w:color="auto" w:sz="4" w:space="0"/>
              <w:left w:val="single" w:color="auto" w:sz="4" w:space="0"/>
              <w:bottom w:val="single" w:color="auto" w:sz="4" w:space="0"/>
              <w:right w:val="single" w:color="auto" w:sz="4" w:space="0"/>
            </w:tcBorders>
            <w:vAlign w:val="center"/>
          </w:tcPr>
          <w:p w14:paraId="3F6E2B3C">
            <w:pPr>
              <w:keepLines w:val="0"/>
              <w:pageBreakBefore w:val="0"/>
              <w:widowControl w:val="0"/>
              <w:kinsoku/>
              <w:overflowPunct/>
              <w:topLinePunct w:val="0"/>
              <w:autoSpaceDE/>
              <w:autoSpaceDN/>
              <w:bidi w:val="0"/>
              <w:adjustRightInd/>
              <w:ind w:firstLine="440" w:firstLineChars="200"/>
              <w:jc w:val="both"/>
              <w:textAlignment w:val="auto"/>
              <w:rPr>
                <w:rFonts w:hint="default" w:ascii="Times New Roman" w:hAnsi="Times New Roman" w:cs="Times New Roman"/>
                <w:kern w:val="0"/>
                <w:sz w:val="22"/>
                <w:szCs w:val="22"/>
              </w:rPr>
            </w:pPr>
            <w:r>
              <w:rPr>
                <w:rFonts w:hint="default" w:ascii="Times New Roman" w:hAnsi="Times New Roman" w:cs="Times New Roman"/>
                <w:kern w:val="0"/>
                <w:sz w:val="22"/>
                <w:szCs w:val="22"/>
              </w:rPr>
              <w:t>远程</w:t>
            </w:r>
          </w:p>
        </w:tc>
      </w:tr>
      <w:tr w14:paraId="42F8E93F">
        <w:tblPrEx>
          <w:tblCellMar>
            <w:top w:w="0" w:type="dxa"/>
            <w:left w:w="108" w:type="dxa"/>
            <w:bottom w:w="0" w:type="dxa"/>
            <w:right w:w="108" w:type="dxa"/>
          </w:tblCellMar>
        </w:tblPrEx>
        <w:trPr>
          <w:trHeight w:val="646" w:hRule="atLeast"/>
        </w:trPr>
        <w:tc>
          <w:tcPr>
            <w:tcW w:w="1418" w:type="dxa"/>
            <w:vMerge w:val="continue"/>
            <w:tcBorders>
              <w:top w:val="single" w:color="auto" w:sz="4" w:space="0"/>
              <w:left w:val="single" w:color="auto" w:sz="4" w:space="0"/>
              <w:bottom w:val="single" w:color="auto" w:sz="4" w:space="0"/>
              <w:right w:val="single" w:color="auto" w:sz="4" w:space="0"/>
            </w:tcBorders>
            <w:vAlign w:val="center"/>
          </w:tcPr>
          <w:p w14:paraId="5677CC0E">
            <w:pPr>
              <w:keepLines w:val="0"/>
              <w:pageBreakBefore w:val="0"/>
              <w:widowControl w:val="0"/>
              <w:kinsoku/>
              <w:overflowPunct/>
              <w:topLinePunct w:val="0"/>
              <w:autoSpaceDE/>
              <w:autoSpaceDN/>
              <w:bidi w:val="0"/>
              <w:adjustRightInd/>
              <w:ind w:firstLine="440" w:firstLineChars="200"/>
              <w:jc w:val="center"/>
              <w:textAlignment w:val="auto"/>
              <w:rPr>
                <w:rFonts w:hint="default" w:ascii="Times New Roman" w:hAnsi="Times New Roman" w:cs="Times New Roman"/>
                <w:kern w:val="0"/>
                <w:sz w:val="22"/>
                <w:szCs w:val="22"/>
              </w:rPr>
            </w:pPr>
          </w:p>
        </w:tc>
        <w:tc>
          <w:tcPr>
            <w:tcW w:w="2126" w:type="dxa"/>
            <w:tcBorders>
              <w:top w:val="single" w:color="auto" w:sz="4" w:space="0"/>
              <w:left w:val="single" w:color="auto" w:sz="4" w:space="0"/>
              <w:bottom w:val="single" w:color="auto" w:sz="4" w:space="0"/>
              <w:right w:val="single" w:color="auto" w:sz="4" w:space="0"/>
            </w:tcBorders>
            <w:vAlign w:val="center"/>
          </w:tcPr>
          <w:p w14:paraId="7FB71D55">
            <w:pPr>
              <w:keepLines w:val="0"/>
              <w:pageBreakBefore w:val="0"/>
              <w:widowControl w:val="0"/>
              <w:numPr>
                <w:ilvl w:val="0"/>
                <w:numId w:val="0"/>
              </w:numPr>
              <w:kinsoku/>
              <w:overflowPunct/>
              <w:topLinePunct w:val="0"/>
              <w:autoSpaceDE/>
              <w:autoSpaceDN/>
              <w:bidi w:val="0"/>
              <w:adjustRightInd/>
              <w:jc w:val="both"/>
              <w:textAlignment w:val="auto"/>
              <w:rPr>
                <w:rFonts w:hint="default" w:ascii="Times New Roman" w:hAnsi="Times New Roman" w:cs="Times New Roman"/>
                <w:kern w:val="0"/>
                <w:sz w:val="22"/>
                <w:szCs w:val="22"/>
              </w:rPr>
            </w:pPr>
            <w:r>
              <w:rPr>
                <w:rFonts w:hint="default" w:ascii="Times New Roman" w:hAnsi="Times New Roman" w:cs="Times New Roman"/>
                <w:kern w:val="0"/>
                <w:sz w:val="22"/>
                <w:szCs w:val="22"/>
                <w:lang w:val="en-US" w:eastAsia="zh-CN"/>
              </w:rPr>
              <w:t>1.</w:t>
            </w:r>
            <w:r>
              <w:rPr>
                <w:rFonts w:hint="default" w:ascii="Times New Roman" w:hAnsi="Times New Roman" w:cs="Times New Roman"/>
                <w:kern w:val="0"/>
                <w:sz w:val="22"/>
                <w:szCs w:val="22"/>
              </w:rPr>
              <w:t>进入管理员账号</w:t>
            </w:r>
          </w:p>
          <w:p w14:paraId="318264BA">
            <w:pPr>
              <w:keepLines w:val="0"/>
              <w:pageBreakBefore w:val="0"/>
              <w:widowControl w:val="0"/>
              <w:numPr>
                <w:ilvl w:val="0"/>
                <w:numId w:val="0"/>
              </w:numPr>
              <w:kinsoku/>
              <w:overflowPunct/>
              <w:topLinePunct w:val="0"/>
              <w:autoSpaceDE/>
              <w:autoSpaceDN/>
              <w:bidi w:val="0"/>
              <w:adjustRightInd/>
              <w:jc w:val="both"/>
              <w:textAlignment w:val="auto"/>
              <w:rPr>
                <w:rFonts w:hint="default" w:ascii="Times New Roman" w:hAnsi="Times New Roman" w:cs="Times New Roman"/>
                <w:kern w:val="0"/>
                <w:sz w:val="22"/>
                <w:szCs w:val="22"/>
              </w:rPr>
            </w:pPr>
            <w:r>
              <w:rPr>
                <w:rFonts w:hint="default" w:ascii="Times New Roman" w:hAnsi="Times New Roman" w:cs="Times New Roman"/>
                <w:kern w:val="0"/>
                <w:sz w:val="22"/>
                <w:szCs w:val="22"/>
                <w:lang w:val="en-US" w:eastAsia="zh-CN"/>
              </w:rPr>
              <w:t>2.</w:t>
            </w:r>
            <w:r>
              <w:rPr>
                <w:rFonts w:hint="default" w:ascii="Times New Roman" w:hAnsi="Times New Roman" w:cs="Times New Roman"/>
                <w:kern w:val="0"/>
                <w:sz w:val="22"/>
                <w:szCs w:val="22"/>
              </w:rPr>
              <w:t>数据管理</w:t>
            </w:r>
          </w:p>
          <w:p w14:paraId="55A34377">
            <w:pPr>
              <w:keepLines w:val="0"/>
              <w:pageBreakBefore w:val="0"/>
              <w:widowControl w:val="0"/>
              <w:numPr>
                <w:ilvl w:val="0"/>
                <w:numId w:val="0"/>
              </w:numPr>
              <w:kinsoku/>
              <w:overflowPunct/>
              <w:topLinePunct w:val="0"/>
              <w:autoSpaceDE/>
              <w:autoSpaceDN/>
              <w:bidi w:val="0"/>
              <w:adjustRightInd/>
              <w:jc w:val="both"/>
              <w:textAlignment w:val="auto"/>
              <w:rPr>
                <w:rFonts w:hint="default" w:ascii="Times New Roman" w:hAnsi="Times New Roman" w:cs="Times New Roman"/>
                <w:kern w:val="0"/>
                <w:sz w:val="22"/>
                <w:szCs w:val="22"/>
              </w:rPr>
            </w:pPr>
            <w:r>
              <w:rPr>
                <w:rFonts w:hint="default" w:ascii="Times New Roman" w:hAnsi="Times New Roman" w:cs="Times New Roman"/>
                <w:kern w:val="0"/>
                <w:sz w:val="22"/>
                <w:szCs w:val="22"/>
                <w:lang w:val="en-US" w:eastAsia="zh-CN"/>
              </w:rPr>
              <w:t>3.</w:t>
            </w:r>
            <w:r>
              <w:rPr>
                <w:rFonts w:hint="default" w:ascii="Times New Roman" w:hAnsi="Times New Roman" w:cs="Times New Roman"/>
                <w:kern w:val="0"/>
                <w:sz w:val="22"/>
                <w:szCs w:val="22"/>
              </w:rPr>
              <w:t>下载</w:t>
            </w:r>
          </w:p>
        </w:tc>
        <w:tc>
          <w:tcPr>
            <w:tcW w:w="5079" w:type="dxa"/>
            <w:gridSpan w:val="2"/>
            <w:tcBorders>
              <w:top w:val="single" w:color="auto" w:sz="4" w:space="0"/>
              <w:left w:val="single" w:color="auto" w:sz="4" w:space="0"/>
              <w:bottom w:val="single" w:color="auto" w:sz="4" w:space="0"/>
              <w:right w:val="single" w:color="auto" w:sz="4" w:space="0"/>
            </w:tcBorders>
            <w:vAlign w:val="center"/>
          </w:tcPr>
          <w:p w14:paraId="0C5A8A1F">
            <w:pPr>
              <w:keepLines w:val="0"/>
              <w:pageBreakBefore w:val="0"/>
              <w:widowControl w:val="0"/>
              <w:kinsoku/>
              <w:overflowPunct/>
              <w:topLinePunct w:val="0"/>
              <w:autoSpaceDE/>
              <w:autoSpaceDN/>
              <w:bidi w:val="0"/>
              <w:adjustRightInd/>
              <w:jc w:val="both"/>
              <w:textAlignment w:val="auto"/>
              <w:rPr>
                <w:rFonts w:hint="default" w:ascii="Times New Roman" w:hAnsi="Times New Roman" w:cs="Times New Roman"/>
                <w:kern w:val="0"/>
                <w:sz w:val="22"/>
                <w:szCs w:val="22"/>
              </w:rPr>
            </w:pPr>
            <w:r>
              <w:rPr>
                <w:rFonts w:hint="default" w:ascii="Times New Roman" w:hAnsi="Times New Roman" w:cs="Times New Roman"/>
                <w:kern w:val="0"/>
                <w:sz w:val="22"/>
                <w:szCs w:val="22"/>
              </w:rPr>
              <w:t>下载，批量下载视频；</w:t>
            </w:r>
          </w:p>
        </w:tc>
        <w:tc>
          <w:tcPr>
            <w:tcW w:w="1155" w:type="dxa"/>
            <w:tcBorders>
              <w:top w:val="single" w:color="auto" w:sz="4" w:space="0"/>
              <w:left w:val="single" w:color="auto" w:sz="4" w:space="0"/>
              <w:bottom w:val="single" w:color="auto" w:sz="4" w:space="0"/>
              <w:right w:val="single" w:color="auto" w:sz="4" w:space="0"/>
            </w:tcBorders>
            <w:vAlign w:val="center"/>
          </w:tcPr>
          <w:p w14:paraId="141EDC0C">
            <w:pPr>
              <w:keepLines w:val="0"/>
              <w:pageBreakBefore w:val="0"/>
              <w:widowControl w:val="0"/>
              <w:kinsoku/>
              <w:overflowPunct/>
              <w:topLinePunct w:val="0"/>
              <w:autoSpaceDE/>
              <w:autoSpaceDN/>
              <w:bidi w:val="0"/>
              <w:adjustRightInd/>
              <w:ind w:firstLine="440" w:firstLineChars="200"/>
              <w:jc w:val="both"/>
              <w:textAlignment w:val="auto"/>
              <w:rPr>
                <w:rFonts w:hint="default" w:ascii="Times New Roman" w:hAnsi="Times New Roman" w:cs="Times New Roman"/>
                <w:kern w:val="0"/>
                <w:sz w:val="22"/>
                <w:szCs w:val="22"/>
              </w:rPr>
            </w:pPr>
            <w:r>
              <w:rPr>
                <w:rFonts w:hint="default" w:ascii="Times New Roman" w:hAnsi="Times New Roman" w:cs="Times New Roman"/>
                <w:kern w:val="0"/>
                <w:sz w:val="22"/>
                <w:szCs w:val="22"/>
              </w:rPr>
              <w:t>远程</w:t>
            </w:r>
          </w:p>
        </w:tc>
      </w:tr>
      <w:tr w14:paraId="4DD5EDB6">
        <w:tblPrEx>
          <w:tblCellMar>
            <w:top w:w="0" w:type="dxa"/>
            <w:left w:w="108" w:type="dxa"/>
            <w:bottom w:w="0" w:type="dxa"/>
            <w:right w:w="108" w:type="dxa"/>
          </w:tblCellMar>
        </w:tblPrEx>
        <w:trPr>
          <w:trHeight w:val="480" w:hRule="atLeast"/>
        </w:trPr>
        <w:tc>
          <w:tcPr>
            <w:tcW w:w="1418" w:type="dxa"/>
            <w:vMerge w:val="restart"/>
            <w:tcBorders>
              <w:top w:val="single" w:color="auto" w:sz="4" w:space="0"/>
              <w:left w:val="single" w:color="auto" w:sz="4" w:space="0"/>
              <w:bottom w:val="single" w:color="auto" w:sz="4" w:space="0"/>
              <w:right w:val="single" w:color="auto" w:sz="4" w:space="0"/>
            </w:tcBorders>
            <w:vAlign w:val="center"/>
          </w:tcPr>
          <w:p w14:paraId="3C6CB26E">
            <w:pPr>
              <w:keepLines w:val="0"/>
              <w:pageBreakBefore w:val="0"/>
              <w:widowControl w:val="0"/>
              <w:kinsoku/>
              <w:overflowPunct/>
              <w:topLinePunct w:val="0"/>
              <w:autoSpaceDE/>
              <w:autoSpaceDN/>
              <w:bidi w:val="0"/>
              <w:adjustRightInd/>
              <w:jc w:val="both"/>
              <w:textAlignment w:val="auto"/>
              <w:rPr>
                <w:rFonts w:hint="default" w:ascii="Times New Roman" w:hAnsi="Times New Roman" w:cs="Times New Roman"/>
                <w:kern w:val="0"/>
                <w:sz w:val="22"/>
                <w:szCs w:val="22"/>
              </w:rPr>
            </w:pPr>
            <w:r>
              <w:rPr>
                <w:rFonts w:hint="default" w:ascii="Times New Roman" w:hAnsi="Times New Roman" w:cs="Times New Roman"/>
                <w:color w:val="000000"/>
                <w:kern w:val="0"/>
                <w:sz w:val="22"/>
                <w:szCs w:val="22"/>
              </w:rPr>
              <w:t>系统管理</w:t>
            </w:r>
          </w:p>
        </w:tc>
        <w:tc>
          <w:tcPr>
            <w:tcW w:w="2126" w:type="dxa"/>
            <w:tcBorders>
              <w:top w:val="single" w:color="auto" w:sz="4" w:space="0"/>
              <w:left w:val="single" w:color="auto" w:sz="4" w:space="0"/>
              <w:bottom w:val="single" w:color="auto" w:sz="4" w:space="0"/>
              <w:right w:val="single" w:color="auto" w:sz="4" w:space="0"/>
            </w:tcBorders>
            <w:vAlign w:val="center"/>
          </w:tcPr>
          <w:p w14:paraId="1409D14A">
            <w:pPr>
              <w:keepLines w:val="0"/>
              <w:pageBreakBefore w:val="0"/>
              <w:widowControl w:val="0"/>
              <w:numPr>
                <w:ilvl w:val="0"/>
                <w:numId w:val="0"/>
              </w:numPr>
              <w:kinsoku/>
              <w:overflowPunct/>
              <w:topLinePunct w:val="0"/>
              <w:autoSpaceDE/>
              <w:autoSpaceDN/>
              <w:bidi w:val="0"/>
              <w:adjustRightInd/>
              <w:jc w:val="both"/>
              <w:textAlignment w:val="auto"/>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lang w:val="en-US" w:eastAsia="zh-CN"/>
              </w:rPr>
              <w:t>1.</w:t>
            </w:r>
            <w:r>
              <w:rPr>
                <w:rFonts w:hint="default" w:ascii="Times New Roman" w:hAnsi="Times New Roman" w:cs="Times New Roman"/>
                <w:color w:val="000000"/>
                <w:kern w:val="0"/>
                <w:sz w:val="22"/>
                <w:szCs w:val="22"/>
              </w:rPr>
              <w:t>进入管理员账号</w:t>
            </w:r>
          </w:p>
          <w:p w14:paraId="63737A0B">
            <w:pPr>
              <w:keepLines w:val="0"/>
              <w:pageBreakBefore w:val="0"/>
              <w:widowControl w:val="0"/>
              <w:numPr>
                <w:ilvl w:val="0"/>
                <w:numId w:val="0"/>
              </w:numPr>
              <w:kinsoku/>
              <w:overflowPunct/>
              <w:topLinePunct w:val="0"/>
              <w:autoSpaceDE/>
              <w:autoSpaceDN/>
              <w:bidi w:val="0"/>
              <w:adjustRightInd/>
              <w:jc w:val="both"/>
              <w:textAlignment w:val="auto"/>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lang w:val="en-US" w:eastAsia="zh-CN"/>
              </w:rPr>
              <w:t>2.</w:t>
            </w:r>
            <w:r>
              <w:rPr>
                <w:rFonts w:hint="default" w:ascii="Times New Roman" w:hAnsi="Times New Roman" w:cs="Times New Roman"/>
                <w:color w:val="000000"/>
                <w:kern w:val="0"/>
                <w:sz w:val="22"/>
                <w:szCs w:val="22"/>
              </w:rPr>
              <w:t>设置不同角色</w:t>
            </w:r>
          </w:p>
          <w:p w14:paraId="374ABFCC">
            <w:pPr>
              <w:keepLines w:val="0"/>
              <w:pageBreakBefore w:val="0"/>
              <w:widowControl w:val="0"/>
              <w:numPr>
                <w:ilvl w:val="0"/>
                <w:numId w:val="0"/>
              </w:numPr>
              <w:kinsoku/>
              <w:overflowPunct/>
              <w:topLinePunct w:val="0"/>
              <w:autoSpaceDE/>
              <w:autoSpaceDN/>
              <w:bidi w:val="0"/>
              <w:adjustRightInd/>
              <w:jc w:val="both"/>
              <w:textAlignment w:val="auto"/>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lang w:val="en-US" w:eastAsia="zh-CN"/>
              </w:rPr>
              <w:t>3.</w:t>
            </w:r>
            <w:r>
              <w:rPr>
                <w:rFonts w:hint="default" w:ascii="Times New Roman" w:hAnsi="Times New Roman" w:cs="Times New Roman"/>
                <w:color w:val="000000"/>
                <w:kern w:val="0"/>
                <w:sz w:val="22"/>
                <w:szCs w:val="22"/>
              </w:rPr>
              <w:t>勾选权限</w:t>
            </w:r>
          </w:p>
        </w:tc>
        <w:tc>
          <w:tcPr>
            <w:tcW w:w="5079" w:type="dxa"/>
            <w:gridSpan w:val="2"/>
            <w:tcBorders>
              <w:top w:val="single" w:color="auto" w:sz="4" w:space="0"/>
              <w:left w:val="single" w:color="auto" w:sz="4" w:space="0"/>
              <w:bottom w:val="single" w:color="auto" w:sz="4" w:space="0"/>
              <w:right w:val="single" w:color="auto" w:sz="4" w:space="0"/>
            </w:tcBorders>
            <w:vAlign w:val="center"/>
          </w:tcPr>
          <w:p w14:paraId="16E7B30F">
            <w:pPr>
              <w:keepLines w:val="0"/>
              <w:pageBreakBefore w:val="0"/>
              <w:widowControl w:val="0"/>
              <w:kinsoku/>
              <w:overflowPunct/>
              <w:topLinePunct w:val="0"/>
              <w:autoSpaceDE/>
              <w:autoSpaceDN/>
              <w:bidi w:val="0"/>
              <w:adjustRightInd/>
              <w:jc w:val="both"/>
              <w:textAlignment w:val="auto"/>
              <w:rPr>
                <w:rFonts w:hint="default" w:ascii="Times New Roman" w:hAnsi="Times New Roman" w:cs="Times New Roman"/>
                <w:kern w:val="0"/>
                <w:sz w:val="22"/>
                <w:szCs w:val="22"/>
              </w:rPr>
            </w:pPr>
            <w:r>
              <w:rPr>
                <w:rFonts w:hint="default" w:ascii="Times New Roman" w:hAnsi="Times New Roman" w:cs="Times New Roman"/>
                <w:color w:val="000000"/>
                <w:kern w:val="0"/>
                <w:sz w:val="22"/>
                <w:szCs w:val="22"/>
              </w:rPr>
              <w:t xml:space="preserve">按用户不同的角色来分配权限。上级部门可以查阅下级部门的数据信息，下级部门不能查看上级部门数据信息。 </w:t>
            </w:r>
          </w:p>
        </w:tc>
        <w:tc>
          <w:tcPr>
            <w:tcW w:w="1155" w:type="dxa"/>
            <w:tcBorders>
              <w:top w:val="single" w:color="auto" w:sz="4" w:space="0"/>
              <w:left w:val="single" w:color="auto" w:sz="4" w:space="0"/>
              <w:bottom w:val="single" w:color="auto" w:sz="4" w:space="0"/>
              <w:right w:val="single" w:color="auto" w:sz="4" w:space="0"/>
            </w:tcBorders>
            <w:vAlign w:val="center"/>
          </w:tcPr>
          <w:p w14:paraId="4146ED51">
            <w:pPr>
              <w:keepLines w:val="0"/>
              <w:pageBreakBefore w:val="0"/>
              <w:widowControl w:val="0"/>
              <w:kinsoku/>
              <w:overflowPunct/>
              <w:topLinePunct w:val="0"/>
              <w:autoSpaceDE/>
              <w:autoSpaceDN/>
              <w:bidi w:val="0"/>
              <w:adjustRightInd/>
              <w:ind w:firstLine="440" w:firstLineChars="200"/>
              <w:jc w:val="both"/>
              <w:textAlignment w:val="auto"/>
              <w:rPr>
                <w:rFonts w:hint="default" w:ascii="Times New Roman" w:hAnsi="Times New Roman" w:cs="Times New Roman"/>
                <w:kern w:val="0"/>
                <w:sz w:val="22"/>
                <w:szCs w:val="22"/>
              </w:rPr>
            </w:pPr>
            <w:r>
              <w:rPr>
                <w:rFonts w:hint="default" w:ascii="Times New Roman" w:hAnsi="Times New Roman" w:cs="Times New Roman"/>
                <w:kern w:val="0"/>
                <w:sz w:val="22"/>
                <w:szCs w:val="22"/>
              </w:rPr>
              <w:t>远程</w:t>
            </w:r>
          </w:p>
        </w:tc>
      </w:tr>
      <w:tr w14:paraId="0E507432">
        <w:tblPrEx>
          <w:tblCellMar>
            <w:top w:w="0" w:type="dxa"/>
            <w:left w:w="108" w:type="dxa"/>
            <w:bottom w:w="0" w:type="dxa"/>
            <w:right w:w="108" w:type="dxa"/>
          </w:tblCellMar>
        </w:tblPrEx>
        <w:trPr>
          <w:trHeight w:val="666" w:hRule="atLeast"/>
        </w:trPr>
        <w:tc>
          <w:tcPr>
            <w:tcW w:w="1418" w:type="dxa"/>
            <w:vMerge w:val="continue"/>
            <w:tcBorders>
              <w:top w:val="single" w:color="auto" w:sz="4" w:space="0"/>
              <w:left w:val="single" w:color="auto" w:sz="4" w:space="0"/>
              <w:bottom w:val="single" w:color="auto" w:sz="4" w:space="0"/>
              <w:right w:val="single" w:color="auto" w:sz="4" w:space="0"/>
            </w:tcBorders>
            <w:vAlign w:val="center"/>
          </w:tcPr>
          <w:p w14:paraId="05200B8C">
            <w:pPr>
              <w:keepLines w:val="0"/>
              <w:pageBreakBefore w:val="0"/>
              <w:widowControl w:val="0"/>
              <w:kinsoku/>
              <w:overflowPunct/>
              <w:topLinePunct w:val="0"/>
              <w:autoSpaceDE/>
              <w:autoSpaceDN/>
              <w:bidi w:val="0"/>
              <w:adjustRightInd/>
              <w:ind w:firstLine="440" w:firstLineChars="200"/>
              <w:jc w:val="center"/>
              <w:textAlignment w:val="auto"/>
              <w:rPr>
                <w:rFonts w:hint="default" w:ascii="Times New Roman" w:hAnsi="Times New Roman" w:cs="Times New Roman"/>
                <w:kern w:val="0"/>
                <w:sz w:val="22"/>
                <w:szCs w:val="22"/>
              </w:rPr>
            </w:pPr>
          </w:p>
        </w:tc>
        <w:tc>
          <w:tcPr>
            <w:tcW w:w="2126" w:type="dxa"/>
            <w:tcBorders>
              <w:top w:val="single" w:color="auto" w:sz="4" w:space="0"/>
              <w:left w:val="single" w:color="auto" w:sz="4" w:space="0"/>
              <w:bottom w:val="single" w:color="auto" w:sz="4" w:space="0"/>
              <w:right w:val="single" w:color="auto" w:sz="4" w:space="0"/>
            </w:tcBorders>
            <w:vAlign w:val="center"/>
          </w:tcPr>
          <w:p w14:paraId="44230B35">
            <w:pPr>
              <w:keepLines w:val="0"/>
              <w:pageBreakBefore w:val="0"/>
              <w:widowControl w:val="0"/>
              <w:numPr>
                <w:ilvl w:val="0"/>
                <w:numId w:val="0"/>
              </w:numPr>
              <w:kinsoku/>
              <w:overflowPunct/>
              <w:topLinePunct w:val="0"/>
              <w:autoSpaceDE/>
              <w:autoSpaceDN/>
              <w:bidi w:val="0"/>
              <w:adjustRightInd/>
              <w:jc w:val="both"/>
              <w:textAlignment w:val="auto"/>
              <w:rPr>
                <w:rFonts w:hint="default" w:ascii="Times New Roman" w:hAnsi="Times New Roman" w:cs="Times New Roman"/>
                <w:kern w:val="0"/>
                <w:sz w:val="22"/>
                <w:szCs w:val="22"/>
              </w:rPr>
            </w:pPr>
            <w:r>
              <w:rPr>
                <w:rFonts w:hint="default" w:ascii="Times New Roman" w:hAnsi="Times New Roman" w:cs="Times New Roman"/>
                <w:kern w:val="0"/>
                <w:sz w:val="22"/>
                <w:szCs w:val="22"/>
                <w:lang w:val="en-US" w:eastAsia="zh-CN"/>
              </w:rPr>
              <w:t>1.</w:t>
            </w:r>
            <w:r>
              <w:rPr>
                <w:rFonts w:hint="default" w:ascii="Times New Roman" w:hAnsi="Times New Roman" w:cs="Times New Roman"/>
                <w:kern w:val="0"/>
                <w:sz w:val="22"/>
                <w:szCs w:val="22"/>
              </w:rPr>
              <w:t>进入管理员账号</w:t>
            </w:r>
          </w:p>
          <w:p w14:paraId="38E3B53B">
            <w:pPr>
              <w:keepLines w:val="0"/>
              <w:pageBreakBefore w:val="0"/>
              <w:widowControl w:val="0"/>
              <w:numPr>
                <w:ilvl w:val="0"/>
                <w:numId w:val="0"/>
              </w:numPr>
              <w:kinsoku/>
              <w:overflowPunct/>
              <w:topLinePunct w:val="0"/>
              <w:autoSpaceDE/>
              <w:autoSpaceDN/>
              <w:bidi w:val="0"/>
              <w:adjustRightInd/>
              <w:jc w:val="both"/>
              <w:textAlignment w:val="auto"/>
              <w:rPr>
                <w:rFonts w:hint="default" w:ascii="Times New Roman" w:hAnsi="Times New Roman" w:cs="Times New Roman"/>
                <w:kern w:val="0"/>
                <w:sz w:val="22"/>
                <w:szCs w:val="22"/>
              </w:rPr>
            </w:pPr>
            <w:r>
              <w:rPr>
                <w:rFonts w:hint="default" w:ascii="Times New Roman" w:hAnsi="Times New Roman" w:cs="Times New Roman"/>
                <w:kern w:val="0"/>
                <w:sz w:val="22"/>
                <w:szCs w:val="22"/>
                <w:lang w:val="en-US" w:eastAsia="zh-CN"/>
              </w:rPr>
              <w:t>2.</w:t>
            </w:r>
            <w:r>
              <w:rPr>
                <w:rFonts w:hint="default" w:ascii="Times New Roman" w:hAnsi="Times New Roman" w:cs="Times New Roman"/>
                <w:kern w:val="0"/>
                <w:sz w:val="22"/>
                <w:szCs w:val="22"/>
              </w:rPr>
              <w:t>建立总部门</w:t>
            </w:r>
          </w:p>
          <w:p w14:paraId="7E407EA9">
            <w:pPr>
              <w:keepLines w:val="0"/>
              <w:pageBreakBefore w:val="0"/>
              <w:widowControl w:val="0"/>
              <w:numPr>
                <w:ilvl w:val="0"/>
                <w:numId w:val="0"/>
              </w:numPr>
              <w:kinsoku/>
              <w:overflowPunct/>
              <w:topLinePunct w:val="0"/>
              <w:autoSpaceDE/>
              <w:autoSpaceDN/>
              <w:bidi w:val="0"/>
              <w:adjustRightInd/>
              <w:jc w:val="both"/>
              <w:textAlignment w:val="auto"/>
              <w:rPr>
                <w:rFonts w:hint="default" w:ascii="Times New Roman" w:hAnsi="Times New Roman" w:cs="Times New Roman"/>
                <w:kern w:val="0"/>
                <w:sz w:val="22"/>
                <w:szCs w:val="22"/>
              </w:rPr>
            </w:pPr>
            <w:r>
              <w:rPr>
                <w:rFonts w:hint="default" w:ascii="Times New Roman" w:hAnsi="Times New Roman" w:cs="Times New Roman"/>
                <w:kern w:val="0"/>
                <w:sz w:val="22"/>
                <w:szCs w:val="22"/>
                <w:lang w:val="en-US" w:eastAsia="zh-CN"/>
              </w:rPr>
              <w:t>3.</w:t>
            </w:r>
            <w:r>
              <w:rPr>
                <w:rFonts w:hint="default" w:ascii="Times New Roman" w:hAnsi="Times New Roman" w:cs="Times New Roman"/>
                <w:kern w:val="0"/>
                <w:sz w:val="22"/>
                <w:szCs w:val="22"/>
              </w:rPr>
              <w:t>拓展子部门</w:t>
            </w:r>
          </w:p>
        </w:tc>
        <w:tc>
          <w:tcPr>
            <w:tcW w:w="5079" w:type="dxa"/>
            <w:gridSpan w:val="2"/>
            <w:tcBorders>
              <w:top w:val="single" w:color="auto" w:sz="4" w:space="0"/>
              <w:left w:val="single" w:color="auto" w:sz="4" w:space="0"/>
              <w:bottom w:val="single" w:color="auto" w:sz="4" w:space="0"/>
              <w:right w:val="single" w:color="auto" w:sz="4" w:space="0"/>
            </w:tcBorders>
            <w:vAlign w:val="center"/>
          </w:tcPr>
          <w:p w14:paraId="136339F7">
            <w:pPr>
              <w:keepLines w:val="0"/>
              <w:pageBreakBefore w:val="0"/>
              <w:widowControl w:val="0"/>
              <w:kinsoku/>
              <w:overflowPunct/>
              <w:topLinePunct w:val="0"/>
              <w:autoSpaceDE/>
              <w:autoSpaceDN/>
              <w:bidi w:val="0"/>
              <w:adjustRightInd/>
              <w:jc w:val="both"/>
              <w:textAlignment w:val="auto"/>
              <w:rPr>
                <w:rFonts w:hint="default" w:ascii="Times New Roman" w:hAnsi="Times New Roman" w:cs="Times New Roman"/>
                <w:kern w:val="0"/>
                <w:sz w:val="22"/>
                <w:szCs w:val="22"/>
              </w:rPr>
            </w:pPr>
            <w:r>
              <w:rPr>
                <w:rFonts w:hint="default" w:ascii="Times New Roman" w:hAnsi="Times New Roman" w:cs="Times New Roman"/>
                <w:color w:val="000000"/>
                <w:kern w:val="0"/>
                <w:sz w:val="22"/>
                <w:szCs w:val="22"/>
              </w:rPr>
              <w:t>部门设置多层级管理，可无限极扩展，有各层级部门信息的增加、修改、删除功能；</w:t>
            </w:r>
          </w:p>
        </w:tc>
        <w:tc>
          <w:tcPr>
            <w:tcW w:w="1155" w:type="dxa"/>
            <w:tcBorders>
              <w:top w:val="single" w:color="auto" w:sz="4" w:space="0"/>
              <w:left w:val="single" w:color="auto" w:sz="4" w:space="0"/>
              <w:bottom w:val="single" w:color="auto" w:sz="4" w:space="0"/>
              <w:right w:val="single" w:color="auto" w:sz="4" w:space="0"/>
            </w:tcBorders>
            <w:vAlign w:val="center"/>
          </w:tcPr>
          <w:p w14:paraId="1C2ADBCC">
            <w:pPr>
              <w:keepLines w:val="0"/>
              <w:pageBreakBefore w:val="0"/>
              <w:widowControl w:val="0"/>
              <w:kinsoku/>
              <w:overflowPunct/>
              <w:topLinePunct w:val="0"/>
              <w:autoSpaceDE/>
              <w:autoSpaceDN/>
              <w:bidi w:val="0"/>
              <w:adjustRightInd/>
              <w:ind w:firstLine="440" w:firstLineChars="200"/>
              <w:jc w:val="both"/>
              <w:textAlignment w:val="auto"/>
              <w:rPr>
                <w:rFonts w:hint="default" w:ascii="Times New Roman" w:hAnsi="Times New Roman" w:cs="Times New Roman"/>
                <w:kern w:val="0"/>
                <w:sz w:val="22"/>
                <w:szCs w:val="22"/>
              </w:rPr>
            </w:pPr>
            <w:r>
              <w:rPr>
                <w:rFonts w:hint="default" w:ascii="Times New Roman" w:hAnsi="Times New Roman" w:cs="Times New Roman"/>
                <w:kern w:val="0"/>
                <w:sz w:val="22"/>
                <w:szCs w:val="22"/>
              </w:rPr>
              <w:t>远程</w:t>
            </w:r>
          </w:p>
        </w:tc>
      </w:tr>
      <w:tr w14:paraId="08D619BB">
        <w:tblPrEx>
          <w:tblCellMar>
            <w:top w:w="0" w:type="dxa"/>
            <w:left w:w="108" w:type="dxa"/>
            <w:bottom w:w="0" w:type="dxa"/>
            <w:right w:w="108" w:type="dxa"/>
          </w:tblCellMar>
        </w:tblPrEx>
        <w:trPr>
          <w:trHeight w:val="862" w:hRule="atLeast"/>
        </w:trPr>
        <w:tc>
          <w:tcPr>
            <w:tcW w:w="1418" w:type="dxa"/>
            <w:vMerge w:val="continue"/>
            <w:tcBorders>
              <w:top w:val="single" w:color="auto" w:sz="4" w:space="0"/>
              <w:left w:val="single" w:color="auto" w:sz="4" w:space="0"/>
              <w:bottom w:val="single" w:color="auto" w:sz="4" w:space="0"/>
              <w:right w:val="single" w:color="auto" w:sz="4" w:space="0"/>
            </w:tcBorders>
            <w:vAlign w:val="center"/>
          </w:tcPr>
          <w:p w14:paraId="092EB0DA">
            <w:pPr>
              <w:keepLines w:val="0"/>
              <w:pageBreakBefore w:val="0"/>
              <w:widowControl w:val="0"/>
              <w:kinsoku/>
              <w:overflowPunct/>
              <w:topLinePunct w:val="0"/>
              <w:autoSpaceDE/>
              <w:autoSpaceDN/>
              <w:bidi w:val="0"/>
              <w:adjustRightInd/>
              <w:ind w:firstLine="440" w:firstLineChars="200"/>
              <w:jc w:val="center"/>
              <w:textAlignment w:val="auto"/>
              <w:rPr>
                <w:rFonts w:hint="default" w:ascii="Times New Roman" w:hAnsi="Times New Roman" w:cs="Times New Roman"/>
                <w:kern w:val="0"/>
                <w:sz w:val="22"/>
                <w:szCs w:val="22"/>
              </w:rPr>
            </w:pPr>
          </w:p>
        </w:tc>
        <w:tc>
          <w:tcPr>
            <w:tcW w:w="2126" w:type="dxa"/>
            <w:tcBorders>
              <w:top w:val="single" w:color="auto" w:sz="4" w:space="0"/>
              <w:left w:val="single" w:color="auto" w:sz="4" w:space="0"/>
              <w:bottom w:val="single" w:color="auto" w:sz="4" w:space="0"/>
              <w:right w:val="single" w:color="auto" w:sz="4" w:space="0"/>
            </w:tcBorders>
            <w:vAlign w:val="center"/>
          </w:tcPr>
          <w:p w14:paraId="18582B31">
            <w:pPr>
              <w:keepLines w:val="0"/>
              <w:pageBreakBefore w:val="0"/>
              <w:widowControl w:val="0"/>
              <w:numPr>
                <w:ilvl w:val="0"/>
                <w:numId w:val="0"/>
              </w:numPr>
              <w:kinsoku/>
              <w:overflowPunct/>
              <w:topLinePunct w:val="0"/>
              <w:autoSpaceDE/>
              <w:autoSpaceDN/>
              <w:bidi w:val="0"/>
              <w:adjustRightInd/>
              <w:jc w:val="both"/>
              <w:textAlignment w:val="auto"/>
              <w:rPr>
                <w:rFonts w:hint="default" w:ascii="Times New Roman" w:hAnsi="Times New Roman" w:cs="Times New Roman"/>
                <w:kern w:val="0"/>
                <w:sz w:val="22"/>
                <w:szCs w:val="22"/>
              </w:rPr>
            </w:pPr>
            <w:r>
              <w:rPr>
                <w:rFonts w:hint="default" w:ascii="Times New Roman" w:hAnsi="Times New Roman" w:cs="Times New Roman"/>
                <w:kern w:val="0"/>
                <w:sz w:val="22"/>
                <w:szCs w:val="22"/>
                <w:lang w:val="en-US" w:eastAsia="zh-CN"/>
              </w:rPr>
              <w:t>1.</w:t>
            </w:r>
            <w:r>
              <w:rPr>
                <w:rFonts w:hint="default" w:ascii="Times New Roman" w:hAnsi="Times New Roman" w:cs="Times New Roman"/>
                <w:kern w:val="0"/>
                <w:sz w:val="22"/>
                <w:szCs w:val="22"/>
              </w:rPr>
              <w:t>进入管理员账号</w:t>
            </w:r>
          </w:p>
          <w:p w14:paraId="71047846">
            <w:pPr>
              <w:keepLines w:val="0"/>
              <w:pageBreakBefore w:val="0"/>
              <w:widowControl w:val="0"/>
              <w:numPr>
                <w:ilvl w:val="0"/>
                <w:numId w:val="0"/>
              </w:numPr>
              <w:kinsoku/>
              <w:overflowPunct/>
              <w:topLinePunct w:val="0"/>
              <w:autoSpaceDE/>
              <w:autoSpaceDN/>
              <w:bidi w:val="0"/>
              <w:adjustRightInd/>
              <w:jc w:val="both"/>
              <w:textAlignment w:val="auto"/>
              <w:rPr>
                <w:rFonts w:hint="default" w:ascii="Times New Roman" w:hAnsi="Times New Roman" w:cs="Times New Roman"/>
                <w:kern w:val="0"/>
                <w:sz w:val="22"/>
                <w:szCs w:val="22"/>
              </w:rPr>
            </w:pPr>
            <w:r>
              <w:rPr>
                <w:rFonts w:hint="default" w:ascii="Times New Roman" w:hAnsi="Times New Roman" w:cs="Times New Roman"/>
                <w:kern w:val="0"/>
                <w:sz w:val="22"/>
                <w:szCs w:val="22"/>
                <w:lang w:val="en-US" w:eastAsia="zh-CN"/>
              </w:rPr>
              <w:t>2.</w:t>
            </w:r>
            <w:r>
              <w:rPr>
                <w:rFonts w:hint="default" w:ascii="Times New Roman" w:hAnsi="Times New Roman" w:cs="Times New Roman"/>
                <w:kern w:val="0"/>
                <w:sz w:val="22"/>
                <w:szCs w:val="22"/>
              </w:rPr>
              <w:t>菜单-系统日志</w:t>
            </w:r>
          </w:p>
        </w:tc>
        <w:tc>
          <w:tcPr>
            <w:tcW w:w="5079" w:type="dxa"/>
            <w:gridSpan w:val="2"/>
            <w:tcBorders>
              <w:top w:val="single" w:color="auto" w:sz="4" w:space="0"/>
              <w:left w:val="single" w:color="auto" w:sz="4" w:space="0"/>
              <w:bottom w:val="single" w:color="auto" w:sz="4" w:space="0"/>
              <w:right w:val="single" w:color="auto" w:sz="4" w:space="0"/>
            </w:tcBorders>
            <w:vAlign w:val="center"/>
          </w:tcPr>
          <w:p w14:paraId="06FF8891">
            <w:pPr>
              <w:keepLines w:val="0"/>
              <w:pageBreakBefore w:val="0"/>
              <w:widowControl w:val="0"/>
              <w:kinsoku/>
              <w:overflowPunct/>
              <w:topLinePunct w:val="0"/>
              <w:autoSpaceDE/>
              <w:autoSpaceDN/>
              <w:bidi w:val="0"/>
              <w:adjustRightInd/>
              <w:jc w:val="both"/>
              <w:textAlignment w:val="auto"/>
              <w:rPr>
                <w:rFonts w:hint="default" w:ascii="Times New Roman" w:hAnsi="Times New Roman" w:cs="Times New Roman"/>
                <w:kern w:val="0"/>
                <w:sz w:val="22"/>
                <w:szCs w:val="22"/>
              </w:rPr>
            </w:pPr>
            <w:r>
              <w:rPr>
                <w:rFonts w:hint="default" w:ascii="Times New Roman" w:hAnsi="Times New Roman" w:cs="Times New Roman"/>
                <w:kern w:val="0"/>
                <w:sz w:val="22"/>
                <w:szCs w:val="22"/>
              </w:rPr>
              <w:t>显示用户进入系统的操作记录；</w:t>
            </w:r>
          </w:p>
        </w:tc>
        <w:tc>
          <w:tcPr>
            <w:tcW w:w="1155" w:type="dxa"/>
            <w:tcBorders>
              <w:top w:val="single" w:color="auto" w:sz="4" w:space="0"/>
              <w:left w:val="single" w:color="auto" w:sz="4" w:space="0"/>
              <w:bottom w:val="single" w:color="auto" w:sz="4" w:space="0"/>
              <w:right w:val="single" w:color="auto" w:sz="4" w:space="0"/>
            </w:tcBorders>
            <w:vAlign w:val="center"/>
          </w:tcPr>
          <w:p w14:paraId="313685AB">
            <w:pPr>
              <w:keepLines w:val="0"/>
              <w:pageBreakBefore w:val="0"/>
              <w:widowControl w:val="0"/>
              <w:kinsoku/>
              <w:overflowPunct/>
              <w:topLinePunct w:val="0"/>
              <w:autoSpaceDE/>
              <w:autoSpaceDN/>
              <w:bidi w:val="0"/>
              <w:adjustRightInd/>
              <w:ind w:firstLine="440" w:firstLineChars="200"/>
              <w:jc w:val="both"/>
              <w:textAlignment w:val="auto"/>
              <w:rPr>
                <w:rFonts w:hint="default" w:ascii="Times New Roman" w:hAnsi="Times New Roman" w:cs="Times New Roman"/>
                <w:kern w:val="0"/>
                <w:sz w:val="22"/>
                <w:szCs w:val="22"/>
              </w:rPr>
            </w:pPr>
            <w:r>
              <w:rPr>
                <w:rFonts w:hint="default" w:ascii="Times New Roman" w:hAnsi="Times New Roman" w:cs="Times New Roman"/>
                <w:kern w:val="0"/>
                <w:sz w:val="22"/>
                <w:szCs w:val="22"/>
              </w:rPr>
              <w:t>远程</w:t>
            </w:r>
          </w:p>
        </w:tc>
      </w:tr>
      <w:tr w14:paraId="4C59AE69">
        <w:tblPrEx>
          <w:tblCellMar>
            <w:top w:w="0" w:type="dxa"/>
            <w:left w:w="108" w:type="dxa"/>
            <w:bottom w:w="0" w:type="dxa"/>
            <w:right w:w="108" w:type="dxa"/>
          </w:tblCellMar>
        </w:tblPrEx>
        <w:trPr>
          <w:trHeight w:val="639" w:hRule="atLeast"/>
        </w:trPr>
        <w:tc>
          <w:tcPr>
            <w:tcW w:w="1418" w:type="dxa"/>
            <w:vMerge w:val="continue"/>
            <w:tcBorders>
              <w:top w:val="single" w:color="auto" w:sz="4" w:space="0"/>
              <w:left w:val="single" w:color="auto" w:sz="4" w:space="0"/>
              <w:bottom w:val="single" w:color="auto" w:sz="4" w:space="0"/>
              <w:right w:val="single" w:color="auto" w:sz="4" w:space="0"/>
            </w:tcBorders>
            <w:vAlign w:val="center"/>
          </w:tcPr>
          <w:p w14:paraId="21CF53E2">
            <w:pPr>
              <w:keepLines w:val="0"/>
              <w:pageBreakBefore w:val="0"/>
              <w:widowControl w:val="0"/>
              <w:kinsoku/>
              <w:overflowPunct/>
              <w:topLinePunct w:val="0"/>
              <w:autoSpaceDE/>
              <w:autoSpaceDN/>
              <w:bidi w:val="0"/>
              <w:adjustRightInd/>
              <w:ind w:firstLine="440" w:firstLineChars="200"/>
              <w:jc w:val="center"/>
              <w:textAlignment w:val="auto"/>
              <w:rPr>
                <w:rFonts w:hint="default" w:ascii="Times New Roman" w:hAnsi="Times New Roman" w:cs="Times New Roman"/>
                <w:kern w:val="0"/>
                <w:sz w:val="22"/>
                <w:szCs w:val="22"/>
              </w:rPr>
            </w:pPr>
          </w:p>
        </w:tc>
        <w:tc>
          <w:tcPr>
            <w:tcW w:w="2126" w:type="dxa"/>
            <w:tcBorders>
              <w:top w:val="single" w:color="auto" w:sz="4" w:space="0"/>
              <w:left w:val="single" w:color="auto" w:sz="4" w:space="0"/>
              <w:bottom w:val="single" w:color="auto" w:sz="4" w:space="0"/>
              <w:right w:val="single" w:color="auto" w:sz="4" w:space="0"/>
            </w:tcBorders>
            <w:vAlign w:val="center"/>
          </w:tcPr>
          <w:p w14:paraId="74613F22">
            <w:pPr>
              <w:keepLines w:val="0"/>
              <w:pageBreakBefore w:val="0"/>
              <w:widowControl w:val="0"/>
              <w:numPr>
                <w:ilvl w:val="0"/>
                <w:numId w:val="0"/>
              </w:numPr>
              <w:kinsoku/>
              <w:overflowPunct/>
              <w:topLinePunct w:val="0"/>
              <w:autoSpaceDE/>
              <w:autoSpaceDN/>
              <w:bidi w:val="0"/>
              <w:adjustRightInd/>
              <w:jc w:val="both"/>
              <w:textAlignment w:val="auto"/>
              <w:rPr>
                <w:rFonts w:hint="default" w:ascii="Times New Roman" w:hAnsi="Times New Roman" w:cs="Times New Roman"/>
                <w:kern w:val="0"/>
                <w:sz w:val="22"/>
                <w:szCs w:val="22"/>
              </w:rPr>
            </w:pPr>
            <w:r>
              <w:rPr>
                <w:rFonts w:hint="default" w:ascii="Times New Roman" w:hAnsi="Times New Roman" w:cs="Times New Roman"/>
                <w:kern w:val="0"/>
                <w:sz w:val="22"/>
                <w:szCs w:val="22"/>
                <w:lang w:val="en-US" w:eastAsia="zh-CN"/>
              </w:rPr>
              <w:t>1.</w:t>
            </w:r>
            <w:r>
              <w:rPr>
                <w:rFonts w:hint="default" w:ascii="Times New Roman" w:hAnsi="Times New Roman" w:cs="Times New Roman"/>
                <w:kern w:val="0"/>
                <w:sz w:val="22"/>
                <w:szCs w:val="22"/>
              </w:rPr>
              <w:t>进入管理员账号</w:t>
            </w:r>
          </w:p>
          <w:p w14:paraId="06D2ED87">
            <w:pPr>
              <w:keepLines w:val="0"/>
              <w:pageBreakBefore w:val="0"/>
              <w:widowControl w:val="0"/>
              <w:numPr>
                <w:ilvl w:val="0"/>
                <w:numId w:val="0"/>
              </w:numPr>
              <w:kinsoku/>
              <w:overflowPunct/>
              <w:topLinePunct w:val="0"/>
              <w:autoSpaceDE/>
              <w:autoSpaceDN/>
              <w:bidi w:val="0"/>
              <w:adjustRightInd/>
              <w:jc w:val="both"/>
              <w:textAlignment w:val="auto"/>
              <w:rPr>
                <w:rFonts w:hint="default" w:ascii="Times New Roman" w:hAnsi="Times New Roman" w:cs="Times New Roman"/>
                <w:kern w:val="0"/>
                <w:sz w:val="22"/>
                <w:szCs w:val="22"/>
              </w:rPr>
            </w:pPr>
            <w:r>
              <w:rPr>
                <w:rFonts w:hint="default" w:ascii="Times New Roman" w:hAnsi="Times New Roman" w:cs="Times New Roman"/>
                <w:kern w:val="0"/>
                <w:sz w:val="22"/>
                <w:szCs w:val="22"/>
                <w:lang w:val="en-US" w:eastAsia="zh-CN"/>
              </w:rPr>
              <w:t>2.</w:t>
            </w:r>
            <w:r>
              <w:rPr>
                <w:rFonts w:hint="default" w:ascii="Times New Roman" w:hAnsi="Times New Roman" w:cs="Times New Roman"/>
                <w:kern w:val="0"/>
                <w:sz w:val="22"/>
                <w:szCs w:val="22"/>
              </w:rPr>
              <w:t>修改密码</w:t>
            </w:r>
          </w:p>
        </w:tc>
        <w:tc>
          <w:tcPr>
            <w:tcW w:w="5079" w:type="dxa"/>
            <w:gridSpan w:val="2"/>
            <w:tcBorders>
              <w:top w:val="single" w:color="auto" w:sz="4" w:space="0"/>
              <w:left w:val="single" w:color="auto" w:sz="4" w:space="0"/>
              <w:bottom w:val="single" w:color="auto" w:sz="4" w:space="0"/>
              <w:right w:val="single" w:color="auto" w:sz="4" w:space="0"/>
            </w:tcBorders>
            <w:vAlign w:val="center"/>
          </w:tcPr>
          <w:p w14:paraId="200A56FA">
            <w:pPr>
              <w:keepLines w:val="0"/>
              <w:pageBreakBefore w:val="0"/>
              <w:widowControl w:val="0"/>
              <w:kinsoku/>
              <w:overflowPunct/>
              <w:topLinePunct w:val="0"/>
              <w:autoSpaceDE/>
              <w:autoSpaceDN/>
              <w:bidi w:val="0"/>
              <w:adjustRightInd/>
              <w:jc w:val="both"/>
              <w:textAlignment w:val="auto"/>
              <w:rPr>
                <w:rFonts w:hint="default" w:ascii="Times New Roman" w:hAnsi="Times New Roman" w:cs="Times New Roman"/>
                <w:kern w:val="0"/>
                <w:sz w:val="22"/>
                <w:szCs w:val="22"/>
              </w:rPr>
            </w:pPr>
            <w:r>
              <w:rPr>
                <w:rFonts w:hint="default" w:ascii="Times New Roman" w:hAnsi="Times New Roman" w:cs="Times New Roman"/>
                <w:kern w:val="0"/>
                <w:sz w:val="22"/>
                <w:szCs w:val="22"/>
              </w:rPr>
              <w:t>通过管理员对其任意连接平台采集站进行远程修改密码；</w:t>
            </w:r>
          </w:p>
        </w:tc>
        <w:tc>
          <w:tcPr>
            <w:tcW w:w="1155" w:type="dxa"/>
            <w:tcBorders>
              <w:top w:val="single" w:color="auto" w:sz="4" w:space="0"/>
              <w:left w:val="single" w:color="auto" w:sz="4" w:space="0"/>
              <w:bottom w:val="single" w:color="auto" w:sz="4" w:space="0"/>
              <w:right w:val="single" w:color="auto" w:sz="4" w:space="0"/>
            </w:tcBorders>
            <w:vAlign w:val="center"/>
          </w:tcPr>
          <w:p w14:paraId="4EC13B29">
            <w:pPr>
              <w:keepLines w:val="0"/>
              <w:pageBreakBefore w:val="0"/>
              <w:widowControl w:val="0"/>
              <w:kinsoku/>
              <w:overflowPunct/>
              <w:topLinePunct w:val="0"/>
              <w:autoSpaceDE/>
              <w:autoSpaceDN/>
              <w:bidi w:val="0"/>
              <w:adjustRightInd/>
              <w:ind w:firstLine="440" w:firstLineChars="200"/>
              <w:jc w:val="both"/>
              <w:textAlignment w:val="auto"/>
              <w:rPr>
                <w:rFonts w:hint="default" w:ascii="Times New Roman" w:hAnsi="Times New Roman" w:cs="Times New Roman"/>
                <w:kern w:val="0"/>
                <w:sz w:val="22"/>
                <w:szCs w:val="22"/>
              </w:rPr>
            </w:pPr>
            <w:r>
              <w:rPr>
                <w:rFonts w:hint="default" w:ascii="Times New Roman" w:hAnsi="Times New Roman" w:cs="Times New Roman"/>
                <w:kern w:val="0"/>
                <w:sz w:val="22"/>
                <w:szCs w:val="22"/>
              </w:rPr>
              <w:t>远程</w:t>
            </w:r>
          </w:p>
        </w:tc>
      </w:tr>
      <w:tr w14:paraId="215343F1">
        <w:tblPrEx>
          <w:tblCellMar>
            <w:top w:w="0" w:type="dxa"/>
            <w:left w:w="108" w:type="dxa"/>
            <w:bottom w:w="0" w:type="dxa"/>
            <w:right w:w="108" w:type="dxa"/>
          </w:tblCellMar>
        </w:tblPrEx>
        <w:trPr>
          <w:trHeight w:val="270" w:hRule="atLeast"/>
        </w:trPr>
        <w:tc>
          <w:tcPr>
            <w:tcW w:w="1418" w:type="dxa"/>
            <w:vMerge w:val="restart"/>
            <w:tcBorders>
              <w:top w:val="single" w:color="auto" w:sz="4" w:space="0"/>
              <w:left w:val="single" w:color="auto" w:sz="4" w:space="0"/>
              <w:bottom w:val="single" w:color="auto" w:sz="4" w:space="0"/>
              <w:right w:val="single" w:color="auto" w:sz="4" w:space="0"/>
            </w:tcBorders>
            <w:vAlign w:val="center"/>
          </w:tcPr>
          <w:p w14:paraId="0636BE70">
            <w:pPr>
              <w:keepLines w:val="0"/>
              <w:pageBreakBefore w:val="0"/>
              <w:widowControl w:val="0"/>
              <w:kinsoku/>
              <w:overflowPunct/>
              <w:topLinePunct w:val="0"/>
              <w:autoSpaceDE/>
              <w:autoSpaceDN/>
              <w:bidi w:val="0"/>
              <w:adjustRightInd/>
              <w:jc w:val="both"/>
              <w:textAlignment w:val="auto"/>
              <w:rPr>
                <w:rFonts w:hint="default" w:ascii="Times New Roman" w:hAnsi="Times New Roman" w:cs="Times New Roman"/>
                <w:kern w:val="0"/>
                <w:sz w:val="22"/>
                <w:szCs w:val="22"/>
              </w:rPr>
            </w:pPr>
            <w:r>
              <w:rPr>
                <w:rFonts w:hint="default" w:ascii="Times New Roman" w:hAnsi="Times New Roman" w:cs="Times New Roman"/>
                <w:kern w:val="0"/>
                <w:sz w:val="22"/>
                <w:szCs w:val="22"/>
              </w:rPr>
              <w:t>配置管理</w:t>
            </w:r>
          </w:p>
        </w:tc>
        <w:tc>
          <w:tcPr>
            <w:tcW w:w="2126" w:type="dxa"/>
            <w:tcBorders>
              <w:top w:val="single" w:color="auto" w:sz="4" w:space="0"/>
              <w:left w:val="single" w:color="auto" w:sz="4" w:space="0"/>
              <w:bottom w:val="single" w:color="auto" w:sz="4" w:space="0"/>
              <w:right w:val="single" w:color="auto" w:sz="4" w:space="0"/>
            </w:tcBorders>
            <w:vAlign w:val="center"/>
          </w:tcPr>
          <w:p w14:paraId="52398C77">
            <w:pPr>
              <w:keepLines w:val="0"/>
              <w:pageBreakBefore w:val="0"/>
              <w:widowControl w:val="0"/>
              <w:kinsoku/>
              <w:overflowPunct/>
              <w:topLinePunct w:val="0"/>
              <w:autoSpaceDE/>
              <w:autoSpaceDN/>
              <w:bidi w:val="0"/>
              <w:adjustRightInd/>
              <w:jc w:val="both"/>
              <w:textAlignment w:val="auto"/>
              <w:rPr>
                <w:rFonts w:hint="default" w:ascii="Times New Roman" w:hAnsi="Times New Roman" w:cs="Times New Roman"/>
                <w:kern w:val="0"/>
                <w:sz w:val="22"/>
                <w:szCs w:val="22"/>
              </w:rPr>
            </w:pPr>
            <w:r>
              <w:rPr>
                <w:rFonts w:hint="default" w:ascii="Times New Roman" w:hAnsi="Times New Roman" w:cs="Times New Roman"/>
                <w:kern w:val="0"/>
                <w:sz w:val="22"/>
                <w:szCs w:val="22"/>
              </w:rPr>
              <w:t>1.进入管理员账号</w:t>
            </w:r>
          </w:p>
          <w:p w14:paraId="1F0C3E97">
            <w:pPr>
              <w:keepLines w:val="0"/>
              <w:pageBreakBefore w:val="0"/>
              <w:widowControl w:val="0"/>
              <w:kinsoku/>
              <w:overflowPunct/>
              <w:topLinePunct w:val="0"/>
              <w:autoSpaceDE/>
              <w:autoSpaceDN/>
              <w:bidi w:val="0"/>
              <w:adjustRightInd/>
              <w:jc w:val="both"/>
              <w:textAlignment w:val="auto"/>
              <w:rPr>
                <w:rFonts w:hint="default" w:ascii="Times New Roman" w:hAnsi="Times New Roman" w:cs="Times New Roman"/>
                <w:kern w:val="0"/>
                <w:sz w:val="22"/>
                <w:szCs w:val="22"/>
              </w:rPr>
            </w:pPr>
            <w:r>
              <w:rPr>
                <w:rFonts w:hint="default" w:ascii="Times New Roman" w:hAnsi="Times New Roman" w:cs="Times New Roman"/>
                <w:kern w:val="0"/>
                <w:sz w:val="22"/>
                <w:szCs w:val="22"/>
                <w:lang w:val="en-US" w:eastAsia="zh-CN"/>
              </w:rPr>
              <w:t>2</w:t>
            </w:r>
            <w:r>
              <w:rPr>
                <w:rFonts w:hint="default" w:ascii="Times New Roman" w:hAnsi="Times New Roman" w:cs="Times New Roman"/>
                <w:kern w:val="0"/>
                <w:sz w:val="22"/>
                <w:szCs w:val="22"/>
              </w:rPr>
              <w:t>.进入参数配置</w:t>
            </w:r>
          </w:p>
          <w:p w14:paraId="43A11905">
            <w:pPr>
              <w:keepLines w:val="0"/>
              <w:pageBreakBefore w:val="0"/>
              <w:widowControl w:val="0"/>
              <w:kinsoku/>
              <w:overflowPunct/>
              <w:topLinePunct w:val="0"/>
              <w:autoSpaceDE/>
              <w:autoSpaceDN/>
              <w:bidi w:val="0"/>
              <w:adjustRightInd/>
              <w:jc w:val="both"/>
              <w:textAlignment w:val="auto"/>
              <w:rPr>
                <w:rFonts w:hint="default" w:ascii="Times New Roman" w:hAnsi="Times New Roman" w:cs="Times New Roman"/>
                <w:kern w:val="0"/>
                <w:sz w:val="22"/>
                <w:szCs w:val="22"/>
              </w:rPr>
            </w:pPr>
            <w:r>
              <w:rPr>
                <w:rFonts w:hint="default" w:ascii="Times New Roman" w:hAnsi="Times New Roman" w:cs="Times New Roman"/>
                <w:kern w:val="0"/>
                <w:sz w:val="22"/>
                <w:szCs w:val="22"/>
              </w:rPr>
              <w:t>3.设置参数</w:t>
            </w:r>
          </w:p>
        </w:tc>
        <w:tc>
          <w:tcPr>
            <w:tcW w:w="5079" w:type="dxa"/>
            <w:gridSpan w:val="2"/>
            <w:tcBorders>
              <w:top w:val="single" w:color="auto" w:sz="4" w:space="0"/>
              <w:left w:val="single" w:color="auto" w:sz="4" w:space="0"/>
              <w:bottom w:val="single" w:color="auto" w:sz="4" w:space="0"/>
              <w:right w:val="single" w:color="auto" w:sz="4" w:space="0"/>
            </w:tcBorders>
            <w:vAlign w:val="center"/>
          </w:tcPr>
          <w:p w14:paraId="52D14731">
            <w:pPr>
              <w:keepLines w:val="0"/>
              <w:pageBreakBefore w:val="0"/>
              <w:widowControl w:val="0"/>
              <w:kinsoku/>
              <w:overflowPunct/>
              <w:topLinePunct w:val="0"/>
              <w:autoSpaceDE/>
              <w:autoSpaceDN/>
              <w:bidi w:val="0"/>
              <w:adjustRightInd/>
              <w:jc w:val="both"/>
              <w:textAlignment w:val="auto"/>
              <w:rPr>
                <w:rFonts w:hint="default" w:ascii="Times New Roman" w:hAnsi="Times New Roman" w:cs="Times New Roman"/>
                <w:kern w:val="0"/>
                <w:sz w:val="22"/>
                <w:szCs w:val="22"/>
              </w:rPr>
            </w:pPr>
            <w:r>
              <w:rPr>
                <w:rFonts w:hint="default" w:ascii="Times New Roman" w:hAnsi="Times New Roman" w:cs="Times New Roman"/>
                <w:kern w:val="0"/>
                <w:sz w:val="22"/>
                <w:szCs w:val="22"/>
              </w:rPr>
              <w:t>管理员账号可通过设备设置进入采集站进行名称、上传时间、云端、网络IP、是否本地存储等设置；</w:t>
            </w:r>
          </w:p>
        </w:tc>
        <w:tc>
          <w:tcPr>
            <w:tcW w:w="1155" w:type="dxa"/>
            <w:tcBorders>
              <w:top w:val="single" w:color="auto" w:sz="4" w:space="0"/>
              <w:left w:val="single" w:color="auto" w:sz="4" w:space="0"/>
              <w:bottom w:val="single" w:color="auto" w:sz="4" w:space="0"/>
              <w:right w:val="single" w:color="auto" w:sz="4" w:space="0"/>
            </w:tcBorders>
            <w:vAlign w:val="center"/>
          </w:tcPr>
          <w:p w14:paraId="1B29B564">
            <w:pPr>
              <w:keepLines w:val="0"/>
              <w:pageBreakBefore w:val="0"/>
              <w:widowControl w:val="0"/>
              <w:kinsoku/>
              <w:overflowPunct/>
              <w:topLinePunct w:val="0"/>
              <w:autoSpaceDE/>
              <w:autoSpaceDN/>
              <w:bidi w:val="0"/>
              <w:adjustRightInd/>
              <w:ind w:firstLine="440" w:firstLineChars="200"/>
              <w:jc w:val="both"/>
              <w:textAlignment w:val="auto"/>
              <w:rPr>
                <w:rFonts w:hint="default" w:ascii="Times New Roman" w:hAnsi="Times New Roman" w:cs="Times New Roman"/>
                <w:kern w:val="0"/>
                <w:sz w:val="22"/>
                <w:szCs w:val="22"/>
              </w:rPr>
            </w:pPr>
            <w:r>
              <w:rPr>
                <w:rFonts w:hint="default" w:ascii="Times New Roman" w:hAnsi="Times New Roman" w:cs="Times New Roman"/>
                <w:kern w:val="0"/>
                <w:sz w:val="22"/>
                <w:szCs w:val="22"/>
              </w:rPr>
              <w:t>远程</w:t>
            </w:r>
          </w:p>
        </w:tc>
      </w:tr>
      <w:tr w14:paraId="37422C32">
        <w:tblPrEx>
          <w:tblCellMar>
            <w:top w:w="0" w:type="dxa"/>
            <w:left w:w="108" w:type="dxa"/>
            <w:bottom w:w="0" w:type="dxa"/>
            <w:right w:w="108" w:type="dxa"/>
          </w:tblCellMar>
        </w:tblPrEx>
        <w:trPr>
          <w:trHeight w:val="270" w:hRule="atLeast"/>
        </w:trPr>
        <w:tc>
          <w:tcPr>
            <w:tcW w:w="1418" w:type="dxa"/>
            <w:vMerge w:val="continue"/>
            <w:tcBorders>
              <w:top w:val="single" w:color="auto" w:sz="4" w:space="0"/>
              <w:left w:val="single" w:color="auto" w:sz="4" w:space="0"/>
              <w:bottom w:val="single" w:color="auto" w:sz="4" w:space="0"/>
              <w:right w:val="single" w:color="auto" w:sz="4" w:space="0"/>
            </w:tcBorders>
            <w:vAlign w:val="center"/>
          </w:tcPr>
          <w:p w14:paraId="7AC912AC">
            <w:pPr>
              <w:keepLines w:val="0"/>
              <w:pageBreakBefore w:val="0"/>
              <w:widowControl w:val="0"/>
              <w:kinsoku/>
              <w:overflowPunct/>
              <w:topLinePunct w:val="0"/>
              <w:autoSpaceDE/>
              <w:autoSpaceDN/>
              <w:bidi w:val="0"/>
              <w:adjustRightInd/>
              <w:ind w:firstLine="440" w:firstLineChars="200"/>
              <w:jc w:val="both"/>
              <w:textAlignment w:val="auto"/>
              <w:rPr>
                <w:rFonts w:hint="default" w:ascii="Times New Roman" w:hAnsi="Times New Roman" w:cs="Times New Roman"/>
                <w:kern w:val="0"/>
                <w:sz w:val="22"/>
                <w:szCs w:val="22"/>
              </w:rPr>
            </w:pPr>
          </w:p>
        </w:tc>
        <w:tc>
          <w:tcPr>
            <w:tcW w:w="2126" w:type="dxa"/>
            <w:tcBorders>
              <w:top w:val="single" w:color="auto" w:sz="4" w:space="0"/>
              <w:left w:val="single" w:color="auto" w:sz="4" w:space="0"/>
              <w:bottom w:val="single" w:color="auto" w:sz="4" w:space="0"/>
              <w:right w:val="single" w:color="auto" w:sz="4" w:space="0"/>
            </w:tcBorders>
            <w:vAlign w:val="center"/>
          </w:tcPr>
          <w:p w14:paraId="34BA660F">
            <w:pPr>
              <w:keepLines w:val="0"/>
              <w:pageBreakBefore w:val="0"/>
              <w:widowControl w:val="0"/>
              <w:kinsoku/>
              <w:overflowPunct/>
              <w:topLinePunct w:val="0"/>
              <w:autoSpaceDE/>
              <w:autoSpaceDN/>
              <w:bidi w:val="0"/>
              <w:adjustRightInd/>
              <w:jc w:val="both"/>
              <w:textAlignment w:val="auto"/>
              <w:rPr>
                <w:rFonts w:hint="default" w:ascii="Times New Roman" w:hAnsi="Times New Roman" w:cs="Times New Roman"/>
                <w:kern w:val="0"/>
                <w:sz w:val="22"/>
                <w:szCs w:val="22"/>
              </w:rPr>
            </w:pPr>
            <w:r>
              <w:rPr>
                <w:rFonts w:hint="default" w:ascii="Times New Roman" w:hAnsi="Times New Roman" w:cs="Times New Roman"/>
                <w:kern w:val="0"/>
                <w:sz w:val="22"/>
                <w:szCs w:val="22"/>
              </w:rPr>
              <w:t>1.进入管理员账号</w:t>
            </w:r>
            <w:r>
              <w:rPr>
                <w:rFonts w:hint="default" w:ascii="Times New Roman" w:hAnsi="Times New Roman" w:cs="Times New Roman"/>
                <w:kern w:val="0"/>
                <w:sz w:val="22"/>
                <w:szCs w:val="22"/>
              </w:rPr>
              <w:br w:type="textWrapping"/>
            </w:r>
            <w:r>
              <w:rPr>
                <w:rFonts w:hint="default" w:ascii="Times New Roman" w:hAnsi="Times New Roman" w:cs="Times New Roman"/>
                <w:kern w:val="0"/>
                <w:sz w:val="22"/>
                <w:szCs w:val="22"/>
              </w:rPr>
              <w:t>2.设备管理</w:t>
            </w:r>
          </w:p>
        </w:tc>
        <w:tc>
          <w:tcPr>
            <w:tcW w:w="5079" w:type="dxa"/>
            <w:gridSpan w:val="2"/>
            <w:tcBorders>
              <w:top w:val="single" w:color="auto" w:sz="4" w:space="0"/>
              <w:left w:val="single" w:color="auto" w:sz="4" w:space="0"/>
              <w:bottom w:val="single" w:color="auto" w:sz="4" w:space="0"/>
              <w:right w:val="single" w:color="auto" w:sz="4" w:space="0"/>
            </w:tcBorders>
            <w:vAlign w:val="center"/>
          </w:tcPr>
          <w:p w14:paraId="5F693C99">
            <w:pPr>
              <w:keepLines w:val="0"/>
              <w:pageBreakBefore w:val="0"/>
              <w:widowControl w:val="0"/>
              <w:kinsoku/>
              <w:overflowPunct/>
              <w:topLinePunct w:val="0"/>
              <w:autoSpaceDE/>
              <w:autoSpaceDN/>
              <w:bidi w:val="0"/>
              <w:adjustRightInd/>
              <w:jc w:val="both"/>
              <w:textAlignment w:val="auto"/>
              <w:rPr>
                <w:rFonts w:hint="default" w:ascii="Times New Roman" w:hAnsi="Times New Roman" w:cs="Times New Roman"/>
                <w:kern w:val="0"/>
                <w:sz w:val="22"/>
                <w:szCs w:val="22"/>
              </w:rPr>
            </w:pPr>
            <w:r>
              <w:rPr>
                <w:rFonts w:hint="default" w:ascii="Times New Roman" w:hAnsi="Times New Roman" w:cs="Times New Roman"/>
                <w:kern w:val="0"/>
                <w:sz w:val="22"/>
                <w:szCs w:val="22"/>
              </w:rPr>
              <w:t>可通过工作站设置查看各个站点工作站连接状态及修改各工作站设置；</w:t>
            </w:r>
          </w:p>
        </w:tc>
        <w:tc>
          <w:tcPr>
            <w:tcW w:w="1155" w:type="dxa"/>
            <w:tcBorders>
              <w:top w:val="single" w:color="auto" w:sz="4" w:space="0"/>
              <w:left w:val="single" w:color="auto" w:sz="4" w:space="0"/>
              <w:bottom w:val="single" w:color="auto" w:sz="4" w:space="0"/>
              <w:right w:val="single" w:color="auto" w:sz="4" w:space="0"/>
            </w:tcBorders>
            <w:vAlign w:val="center"/>
          </w:tcPr>
          <w:p w14:paraId="7FF4DB8C">
            <w:pPr>
              <w:keepLines w:val="0"/>
              <w:pageBreakBefore w:val="0"/>
              <w:widowControl w:val="0"/>
              <w:kinsoku/>
              <w:overflowPunct/>
              <w:topLinePunct w:val="0"/>
              <w:autoSpaceDE/>
              <w:autoSpaceDN/>
              <w:bidi w:val="0"/>
              <w:adjustRightInd/>
              <w:ind w:firstLine="440" w:firstLineChars="200"/>
              <w:jc w:val="both"/>
              <w:textAlignment w:val="auto"/>
              <w:rPr>
                <w:rFonts w:hint="default" w:ascii="Times New Roman" w:hAnsi="Times New Roman" w:cs="Times New Roman"/>
                <w:kern w:val="0"/>
                <w:sz w:val="22"/>
                <w:szCs w:val="22"/>
              </w:rPr>
            </w:pPr>
            <w:r>
              <w:rPr>
                <w:rFonts w:hint="default" w:ascii="Times New Roman" w:hAnsi="Times New Roman" w:cs="Times New Roman"/>
                <w:kern w:val="0"/>
                <w:sz w:val="22"/>
                <w:szCs w:val="22"/>
              </w:rPr>
              <w:t>远程</w:t>
            </w:r>
          </w:p>
        </w:tc>
      </w:tr>
      <w:tr w14:paraId="411B7B17">
        <w:tblPrEx>
          <w:tblCellMar>
            <w:top w:w="0" w:type="dxa"/>
            <w:left w:w="108" w:type="dxa"/>
            <w:bottom w:w="0" w:type="dxa"/>
            <w:right w:w="108" w:type="dxa"/>
          </w:tblCellMar>
        </w:tblPrEx>
        <w:trPr>
          <w:trHeight w:val="1366" w:hRule="atLeast"/>
        </w:trPr>
        <w:tc>
          <w:tcPr>
            <w:tcW w:w="1418" w:type="dxa"/>
            <w:tcBorders>
              <w:top w:val="single" w:color="auto" w:sz="4" w:space="0"/>
              <w:left w:val="single" w:color="auto" w:sz="4" w:space="0"/>
              <w:bottom w:val="single" w:color="auto" w:sz="4" w:space="0"/>
              <w:right w:val="single" w:color="auto" w:sz="4" w:space="0"/>
            </w:tcBorders>
            <w:vAlign w:val="center"/>
          </w:tcPr>
          <w:p w14:paraId="6ACB4F16">
            <w:pPr>
              <w:keepLines w:val="0"/>
              <w:pageBreakBefore w:val="0"/>
              <w:widowControl w:val="0"/>
              <w:kinsoku/>
              <w:overflowPunct/>
              <w:topLinePunct w:val="0"/>
              <w:autoSpaceDE/>
              <w:autoSpaceDN/>
              <w:bidi w:val="0"/>
              <w:adjustRightInd/>
              <w:jc w:val="both"/>
              <w:textAlignment w:val="auto"/>
              <w:rPr>
                <w:rFonts w:hint="default" w:ascii="Times New Roman" w:hAnsi="Times New Roman" w:cs="Times New Roman"/>
                <w:kern w:val="0"/>
                <w:sz w:val="22"/>
                <w:szCs w:val="22"/>
              </w:rPr>
            </w:pPr>
            <w:r>
              <w:rPr>
                <w:rFonts w:hint="default" w:ascii="Times New Roman" w:hAnsi="Times New Roman" w:cs="Times New Roman"/>
                <w:kern w:val="0"/>
                <w:sz w:val="22"/>
                <w:szCs w:val="22"/>
              </w:rPr>
              <w:t>驻场服务</w:t>
            </w:r>
          </w:p>
        </w:tc>
        <w:tc>
          <w:tcPr>
            <w:tcW w:w="2126" w:type="dxa"/>
            <w:tcBorders>
              <w:top w:val="single" w:color="auto" w:sz="4" w:space="0"/>
              <w:left w:val="single" w:color="auto" w:sz="4" w:space="0"/>
              <w:bottom w:val="single" w:color="auto" w:sz="4" w:space="0"/>
              <w:right w:val="single" w:color="auto" w:sz="4" w:space="0"/>
            </w:tcBorders>
            <w:vAlign w:val="center"/>
          </w:tcPr>
          <w:p w14:paraId="1C1322C3">
            <w:pPr>
              <w:keepLines w:val="0"/>
              <w:pageBreakBefore w:val="0"/>
              <w:widowControl w:val="0"/>
              <w:kinsoku/>
              <w:overflowPunct/>
              <w:topLinePunct w:val="0"/>
              <w:autoSpaceDE/>
              <w:autoSpaceDN/>
              <w:bidi w:val="0"/>
              <w:adjustRightInd/>
              <w:ind w:firstLine="440" w:firstLineChars="200"/>
              <w:jc w:val="both"/>
              <w:textAlignment w:val="auto"/>
              <w:rPr>
                <w:rFonts w:hint="default" w:ascii="Times New Roman" w:hAnsi="Times New Roman" w:cs="Times New Roman"/>
                <w:kern w:val="0"/>
                <w:sz w:val="22"/>
                <w:szCs w:val="22"/>
              </w:rPr>
            </w:pPr>
            <w:r>
              <w:rPr>
                <w:rFonts w:hint="default" w:ascii="Times New Roman" w:hAnsi="Times New Roman" w:cs="Times New Roman"/>
                <w:kern w:val="0"/>
                <w:sz w:val="22"/>
                <w:szCs w:val="22"/>
              </w:rPr>
              <w:t>甲方指定工作地点，以甲方的身份入驻用户场地，协助厂商处理日常事务；</w:t>
            </w:r>
          </w:p>
        </w:tc>
        <w:tc>
          <w:tcPr>
            <w:tcW w:w="5079" w:type="dxa"/>
            <w:gridSpan w:val="2"/>
            <w:tcBorders>
              <w:top w:val="single" w:color="auto" w:sz="4" w:space="0"/>
              <w:left w:val="single" w:color="auto" w:sz="4" w:space="0"/>
              <w:bottom w:val="single" w:color="auto" w:sz="4" w:space="0"/>
              <w:right w:val="single" w:color="auto" w:sz="4" w:space="0"/>
            </w:tcBorders>
            <w:vAlign w:val="center"/>
          </w:tcPr>
          <w:p w14:paraId="1CF35605">
            <w:pPr>
              <w:keepLines w:val="0"/>
              <w:pageBreakBefore w:val="0"/>
              <w:widowControl w:val="0"/>
              <w:kinsoku/>
              <w:overflowPunct/>
              <w:topLinePunct w:val="0"/>
              <w:autoSpaceDE/>
              <w:autoSpaceDN/>
              <w:bidi w:val="0"/>
              <w:adjustRightInd/>
              <w:jc w:val="both"/>
              <w:textAlignment w:val="auto"/>
              <w:rPr>
                <w:rFonts w:hint="default" w:ascii="Times New Roman" w:hAnsi="Times New Roman" w:cs="Times New Roman"/>
                <w:kern w:val="0"/>
                <w:sz w:val="22"/>
                <w:szCs w:val="22"/>
              </w:rPr>
            </w:pPr>
            <w:r>
              <w:rPr>
                <w:rFonts w:hint="default" w:ascii="Times New Roman" w:hAnsi="Times New Roman" w:cs="Times New Roman"/>
                <w:kern w:val="0"/>
                <w:sz w:val="22"/>
                <w:szCs w:val="22"/>
              </w:rPr>
              <w:t>中级工程师（熟悉PC、网络运维、良好的沟通能力、工作经验2年以上）</w:t>
            </w:r>
          </w:p>
        </w:tc>
        <w:tc>
          <w:tcPr>
            <w:tcW w:w="1155" w:type="dxa"/>
            <w:tcBorders>
              <w:top w:val="single" w:color="auto" w:sz="4" w:space="0"/>
              <w:left w:val="single" w:color="auto" w:sz="4" w:space="0"/>
              <w:bottom w:val="single" w:color="auto" w:sz="4" w:space="0"/>
              <w:right w:val="single" w:color="auto" w:sz="4" w:space="0"/>
            </w:tcBorders>
            <w:vAlign w:val="center"/>
          </w:tcPr>
          <w:p w14:paraId="73B65BA6">
            <w:pPr>
              <w:keepLines w:val="0"/>
              <w:pageBreakBefore w:val="0"/>
              <w:widowControl w:val="0"/>
              <w:kinsoku/>
              <w:overflowPunct/>
              <w:topLinePunct w:val="0"/>
              <w:autoSpaceDE/>
              <w:autoSpaceDN/>
              <w:bidi w:val="0"/>
              <w:adjustRightInd/>
              <w:ind w:firstLine="440" w:firstLineChars="200"/>
              <w:jc w:val="both"/>
              <w:textAlignment w:val="auto"/>
              <w:rPr>
                <w:rFonts w:hint="default" w:ascii="Times New Roman" w:hAnsi="Times New Roman" w:cs="Times New Roman"/>
                <w:kern w:val="0"/>
                <w:sz w:val="22"/>
                <w:szCs w:val="22"/>
              </w:rPr>
            </w:pPr>
            <w:r>
              <w:rPr>
                <w:rFonts w:hint="default" w:ascii="Times New Roman" w:hAnsi="Times New Roman" w:cs="Times New Roman"/>
                <w:kern w:val="0"/>
                <w:sz w:val="22"/>
                <w:szCs w:val="22"/>
              </w:rPr>
              <w:t>现场</w:t>
            </w:r>
          </w:p>
        </w:tc>
      </w:tr>
    </w:tbl>
    <w:p w14:paraId="33ADE1B6">
      <w:pPr>
        <w:autoSpaceDE w:val="0"/>
        <w:autoSpaceDN w:val="0"/>
        <w:adjustRightInd w:val="0"/>
        <w:spacing w:line="360" w:lineRule="auto"/>
        <w:ind w:firstLine="480" w:firstLineChars="200"/>
        <w:rPr>
          <w:rFonts w:hint="default" w:ascii="宋体" w:hAnsi="宋体" w:eastAsia="宋体" w:cs="仿宋"/>
          <w:kern w:val="0"/>
          <w:sz w:val="24"/>
          <w:szCs w:val="20"/>
          <w:lang w:val="en-US" w:eastAsia="zh-CN"/>
        </w:rPr>
      </w:pPr>
      <w:bookmarkStart w:id="59" w:name="_Toc1008722044_WPSOffice_Level1"/>
      <w:r>
        <w:rPr>
          <w:rFonts w:hint="eastAsia" w:ascii="宋体" w:hAnsi="宋体" w:eastAsia="宋体" w:cs="仿宋"/>
          <w:kern w:val="0"/>
          <w:sz w:val="24"/>
          <w:szCs w:val="20"/>
          <w:lang w:val="en-US" w:eastAsia="zh-CN"/>
        </w:rPr>
        <w:t>3</w:t>
      </w:r>
      <w:r>
        <w:rPr>
          <w:rFonts w:hint="default" w:ascii="宋体" w:hAnsi="宋体" w:eastAsia="宋体" w:cs="仿宋"/>
          <w:kern w:val="0"/>
          <w:sz w:val="24"/>
          <w:szCs w:val="20"/>
          <w:lang w:val="en-US" w:eastAsia="zh-CN"/>
        </w:rPr>
        <w:t>、维保服务内容</w:t>
      </w:r>
      <w:bookmarkEnd w:id="59"/>
    </w:p>
    <w:p w14:paraId="252DBCD4">
      <w:pPr>
        <w:autoSpaceDE w:val="0"/>
        <w:autoSpaceDN w:val="0"/>
        <w:adjustRightInd w:val="0"/>
        <w:spacing w:line="360" w:lineRule="auto"/>
        <w:ind w:firstLine="480" w:firstLineChars="200"/>
        <w:rPr>
          <w:rFonts w:hint="default" w:ascii="宋体" w:hAnsi="宋体" w:eastAsia="宋体" w:cs="仿宋"/>
          <w:kern w:val="0"/>
          <w:sz w:val="24"/>
          <w:szCs w:val="20"/>
          <w:lang w:val="en-US" w:eastAsia="zh-CN"/>
        </w:rPr>
      </w:pPr>
      <w:r>
        <w:rPr>
          <w:rFonts w:hint="default" w:ascii="宋体" w:hAnsi="宋体" w:eastAsia="宋体" w:cs="仿宋"/>
          <w:kern w:val="0"/>
          <w:sz w:val="24"/>
          <w:szCs w:val="20"/>
          <w:lang w:val="en-US" w:eastAsia="zh-CN"/>
        </w:rPr>
        <w:t xml:space="preserve">维保服务主要包括系统日常运维、数据库升级维护、系统功能维护三个方面，具体服务方式及内容如下： </w:t>
      </w:r>
    </w:p>
    <w:p w14:paraId="7DAD7462">
      <w:pPr>
        <w:autoSpaceDE w:val="0"/>
        <w:autoSpaceDN w:val="0"/>
        <w:adjustRightInd w:val="0"/>
        <w:spacing w:line="360" w:lineRule="auto"/>
        <w:ind w:firstLine="480" w:firstLineChars="200"/>
        <w:rPr>
          <w:rFonts w:hint="default" w:ascii="宋体" w:hAnsi="宋体" w:eastAsia="宋体" w:cs="仿宋"/>
          <w:kern w:val="0"/>
          <w:sz w:val="24"/>
          <w:szCs w:val="20"/>
          <w:lang w:val="en-US" w:eastAsia="zh-CN"/>
        </w:rPr>
      </w:pPr>
      <w:bookmarkStart w:id="60" w:name="_Toc647383932_WPSOffice_Level2"/>
      <w:bookmarkStart w:id="61" w:name="_Toc21007"/>
      <w:bookmarkStart w:id="62" w:name="_Toc442"/>
      <w:r>
        <w:rPr>
          <w:rFonts w:hint="eastAsia" w:ascii="宋体" w:hAnsi="宋体" w:eastAsia="宋体" w:cs="仿宋"/>
          <w:kern w:val="0"/>
          <w:sz w:val="24"/>
          <w:szCs w:val="20"/>
          <w:lang w:val="en-US" w:eastAsia="zh-CN"/>
        </w:rPr>
        <w:t>3</w:t>
      </w:r>
      <w:r>
        <w:rPr>
          <w:rFonts w:hint="default" w:ascii="宋体" w:hAnsi="宋体" w:eastAsia="宋体" w:cs="仿宋"/>
          <w:kern w:val="0"/>
          <w:sz w:val="24"/>
          <w:szCs w:val="20"/>
          <w:lang w:val="en-US" w:eastAsia="zh-CN"/>
        </w:rPr>
        <w:t>.1系统日常运维：</w:t>
      </w:r>
      <w:bookmarkEnd w:id="60"/>
      <w:bookmarkEnd w:id="61"/>
    </w:p>
    <w:p w14:paraId="6BDD7CAB">
      <w:pPr>
        <w:autoSpaceDE w:val="0"/>
        <w:autoSpaceDN w:val="0"/>
        <w:adjustRightInd w:val="0"/>
        <w:spacing w:line="360" w:lineRule="auto"/>
        <w:ind w:firstLine="480" w:firstLineChars="200"/>
        <w:rPr>
          <w:rFonts w:hint="default" w:ascii="宋体" w:hAnsi="宋体" w:eastAsia="宋体" w:cs="仿宋"/>
          <w:kern w:val="0"/>
          <w:sz w:val="24"/>
          <w:szCs w:val="20"/>
          <w:lang w:val="en-US" w:eastAsia="zh-CN"/>
        </w:rPr>
      </w:pPr>
      <w:r>
        <w:rPr>
          <w:rFonts w:hint="default" w:ascii="宋体" w:hAnsi="宋体" w:eastAsia="宋体" w:cs="仿宋"/>
          <w:kern w:val="0"/>
          <w:sz w:val="24"/>
          <w:szCs w:val="20"/>
          <w:lang w:val="en-US" w:eastAsia="zh-CN"/>
        </w:rPr>
        <w:t>日常巡检，定时对数据管理服务器指挥调度服务器、数据库服务器、空间分析服务器等日常巡检，检查是否正常工作，客户端能否正常访问系统服务。</w:t>
      </w:r>
    </w:p>
    <w:p w14:paraId="38CEB166">
      <w:pPr>
        <w:autoSpaceDE w:val="0"/>
        <w:autoSpaceDN w:val="0"/>
        <w:adjustRightInd w:val="0"/>
        <w:spacing w:line="360" w:lineRule="auto"/>
        <w:ind w:firstLine="480" w:firstLineChars="200"/>
        <w:rPr>
          <w:rFonts w:hint="default" w:ascii="宋体" w:hAnsi="宋体" w:eastAsia="宋体" w:cs="仿宋"/>
          <w:kern w:val="0"/>
          <w:sz w:val="24"/>
          <w:szCs w:val="20"/>
          <w:lang w:val="en-US" w:eastAsia="zh-CN"/>
        </w:rPr>
      </w:pPr>
      <w:r>
        <w:rPr>
          <w:rFonts w:hint="default" w:ascii="宋体" w:hAnsi="宋体" w:eastAsia="宋体" w:cs="仿宋"/>
          <w:kern w:val="0"/>
          <w:sz w:val="24"/>
          <w:szCs w:val="20"/>
          <w:lang w:val="en-US" w:eastAsia="zh-CN"/>
        </w:rPr>
        <w:t>操作系统、空间信息服务、系统漏洞检测和修补，处理系统运行中出现的故障和问题。</w:t>
      </w:r>
    </w:p>
    <w:p w14:paraId="1FAA7FC4">
      <w:pPr>
        <w:autoSpaceDE w:val="0"/>
        <w:autoSpaceDN w:val="0"/>
        <w:adjustRightInd w:val="0"/>
        <w:spacing w:line="360" w:lineRule="auto"/>
        <w:ind w:firstLine="480" w:firstLineChars="200"/>
        <w:rPr>
          <w:rFonts w:hint="default" w:ascii="宋体" w:hAnsi="宋体" w:eastAsia="宋体" w:cs="仿宋"/>
          <w:kern w:val="0"/>
          <w:sz w:val="24"/>
          <w:szCs w:val="20"/>
          <w:lang w:val="en-US" w:eastAsia="zh-CN"/>
        </w:rPr>
      </w:pPr>
      <w:r>
        <w:rPr>
          <w:rFonts w:hint="default" w:ascii="宋体" w:hAnsi="宋体" w:eastAsia="宋体" w:cs="仿宋"/>
          <w:kern w:val="0"/>
          <w:sz w:val="24"/>
          <w:szCs w:val="20"/>
          <w:lang w:val="en-US" w:eastAsia="zh-CN"/>
        </w:rPr>
        <w:t>对平台服务的管理、用户体系的管理，通过设备监控、网络监控、流量控制等技术手段保证平台的安全与稳定，并对信息资源的访问、业务功能调用、系统管理等活动进行记录，及时发现系统隐患。快速恢复系统故障和优化系统管理，为平台7*24小时稳定运行给予支撑。</w:t>
      </w:r>
    </w:p>
    <w:p w14:paraId="666D492D">
      <w:pPr>
        <w:autoSpaceDE w:val="0"/>
        <w:autoSpaceDN w:val="0"/>
        <w:adjustRightInd w:val="0"/>
        <w:spacing w:line="360" w:lineRule="auto"/>
        <w:ind w:firstLine="480" w:firstLineChars="200"/>
        <w:rPr>
          <w:rFonts w:hint="default" w:ascii="宋体" w:hAnsi="宋体" w:eastAsia="宋体" w:cs="仿宋"/>
          <w:kern w:val="0"/>
          <w:sz w:val="24"/>
          <w:szCs w:val="20"/>
          <w:lang w:val="en-US" w:eastAsia="zh-CN"/>
        </w:rPr>
      </w:pPr>
      <w:bookmarkStart w:id="63" w:name="_Toc23170"/>
      <w:bookmarkStart w:id="64" w:name="_Toc2020677577_WPSOffice_Level2"/>
      <w:r>
        <w:rPr>
          <w:rFonts w:hint="eastAsia" w:ascii="宋体" w:hAnsi="宋体" w:eastAsia="宋体" w:cs="仿宋"/>
          <w:kern w:val="0"/>
          <w:sz w:val="24"/>
          <w:szCs w:val="20"/>
          <w:lang w:val="en-US" w:eastAsia="zh-CN"/>
        </w:rPr>
        <w:t>3</w:t>
      </w:r>
      <w:r>
        <w:rPr>
          <w:rFonts w:hint="default" w:ascii="宋体" w:hAnsi="宋体" w:eastAsia="宋体" w:cs="仿宋"/>
          <w:kern w:val="0"/>
          <w:sz w:val="24"/>
          <w:szCs w:val="20"/>
          <w:lang w:val="en-US" w:eastAsia="zh-CN"/>
        </w:rPr>
        <w:t>.2数据库升级维护：</w:t>
      </w:r>
      <w:bookmarkEnd w:id="63"/>
      <w:bookmarkEnd w:id="64"/>
    </w:p>
    <w:p w14:paraId="57993557">
      <w:pPr>
        <w:autoSpaceDE w:val="0"/>
        <w:autoSpaceDN w:val="0"/>
        <w:adjustRightInd w:val="0"/>
        <w:spacing w:line="360" w:lineRule="auto"/>
        <w:ind w:firstLine="480" w:firstLineChars="200"/>
        <w:rPr>
          <w:rFonts w:hint="default" w:ascii="宋体" w:hAnsi="宋体" w:eastAsia="宋体" w:cs="仿宋"/>
          <w:kern w:val="0"/>
          <w:sz w:val="24"/>
          <w:szCs w:val="20"/>
          <w:lang w:val="en-US" w:eastAsia="zh-CN"/>
        </w:rPr>
      </w:pPr>
      <w:r>
        <w:rPr>
          <w:rFonts w:hint="default" w:ascii="宋体" w:hAnsi="宋体" w:eastAsia="宋体" w:cs="仿宋"/>
          <w:kern w:val="0"/>
          <w:sz w:val="24"/>
          <w:szCs w:val="20"/>
          <w:lang w:val="en-US" w:eastAsia="zh-CN"/>
        </w:rPr>
        <w:t>数据库升级，Tomcat、MySQL、Redis、ActiveMQ、nginx等数据存量的处理、导入、服务发布等。保障系统数据安全，提供数据库的备份及恢复。</w:t>
      </w:r>
    </w:p>
    <w:p w14:paraId="0401D5DD">
      <w:pPr>
        <w:autoSpaceDE w:val="0"/>
        <w:autoSpaceDN w:val="0"/>
        <w:adjustRightInd w:val="0"/>
        <w:spacing w:line="360" w:lineRule="auto"/>
        <w:ind w:firstLine="480" w:firstLineChars="200"/>
        <w:rPr>
          <w:rFonts w:hint="default" w:ascii="宋体" w:hAnsi="宋体" w:eastAsia="宋体" w:cs="仿宋"/>
          <w:kern w:val="0"/>
          <w:sz w:val="24"/>
          <w:szCs w:val="20"/>
          <w:lang w:val="en-US" w:eastAsia="zh-CN"/>
        </w:rPr>
      </w:pPr>
      <w:bookmarkStart w:id="65" w:name="_Toc31143"/>
      <w:bookmarkStart w:id="66" w:name="_Toc1140192813_WPSOffice_Level2"/>
      <w:r>
        <w:rPr>
          <w:rFonts w:hint="eastAsia" w:ascii="宋体" w:hAnsi="宋体" w:eastAsia="宋体" w:cs="仿宋"/>
          <w:kern w:val="0"/>
          <w:sz w:val="24"/>
          <w:szCs w:val="20"/>
          <w:lang w:val="en-US" w:eastAsia="zh-CN"/>
        </w:rPr>
        <w:t>3</w:t>
      </w:r>
      <w:r>
        <w:rPr>
          <w:rFonts w:hint="default" w:ascii="宋体" w:hAnsi="宋体" w:eastAsia="宋体" w:cs="仿宋"/>
          <w:kern w:val="0"/>
          <w:sz w:val="24"/>
          <w:szCs w:val="20"/>
          <w:lang w:val="en-US" w:eastAsia="zh-CN"/>
        </w:rPr>
        <w:t>.3系统功能维护：</w:t>
      </w:r>
      <w:bookmarkEnd w:id="65"/>
      <w:bookmarkEnd w:id="66"/>
    </w:p>
    <w:p w14:paraId="4E7A63A4">
      <w:pPr>
        <w:autoSpaceDE w:val="0"/>
        <w:autoSpaceDN w:val="0"/>
        <w:adjustRightInd w:val="0"/>
        <w:spacing w:line="360" w:lineRule="auto"/>
        <w:ind w:firstLine="480" w:firstLineChars="200"/>
        <w:rPr>
          <w:rFonts w:hint="default" w:ascii="宋体" w:hAnsi="宋体" w:eastAsia="宋体" w:cs="仿宋"/>
          <w:kern w:val="0"/>
          <w:sz w:val="24"/>
          <w:szCs w:val="20"/>
          <w:lang w:val="en-US" w:eastAsia="zh-CN"/>
        </w:rPr>
      </w:pPr>
      <w:r>
        <w:rPr>
          <w:rFonts w:hint="default" w:ascii="宋体" w:hAnsi="宋体" w:eastAsia="宋体" w:cs="仿宋"/>
          <w:kern w:val="0"/>
          <w:sz w:val="24"/>
          <w:szCs w:val="20"/>
          <w:lang w:val="en-US" w:eastAsia="zh-CN"/>
        </w:rPr>
        <w:t>对于运行、安全、日志、服务几个维度进行维护服务。</w:t>
      </w:r>
    </w:p>
    <w:p w14:paraId="6CCD92B4">
      <w:pPr>
        <w:autoSpaceDE w:val="0"/>
        <w:autoSpaceDN w:val="0"/>
        <w:adjustRightInd w:val="0"/>
        <w:spacing w:line="360" w:lineRule="auto"/>
        <w:ind w:firstLine="480" w:firstLineChars="200"/>
        <w:rPr>
          <w:rFonts w:hint="default" w:ascii="宋体" w:hAnsi="宋体" w:eastAsia="宋体" w:cs="仿宋"/>
          <w:kern w:val="0"/>
          <w:sz w:val="24"/>
          <w:szCs w:val="20"/>
          <w:lang w:val="en-US" w:eastAsia="zh-CN"/>
        </w:rPr>
      </w:pPr>
      <w:r>
        <w:rPr>
          <w:rFonts w:hint="default" w:ascii="宋体" w:hAnsi="宋体" w:eastAsia="宋体" w:cs="仿宋"/>
          <w:kern w:val="0"/>
          <w:sz w:val="24"/>
          <w:szCs w:val="20"/>
          <w:lang w:val="en-US" w:eastAsia="zh-CN"/>
        </w:rPr>
        <w:t>对站点配置、集群管理、安全管理、日志等进行运维。</w:t>
      </w:r>
    </w:p>
    <w:p w14:paraId="5BD8AA9C">
      <w:pPr>
        <w:autoSpaceDE w:val="0"/>
        <w:autoSpaceDN w:val="0"/>
        <w:adjustRightInd w:val="0"/>
        <w:spacing w:line="360" w:lineRule="auto"/>
        <w:ind w:firstLine="480" w:firstLineChars="200"/>
        <w:rPr>
          <w:rFonts w:hint="default" w:ascii="宋体" w:hAnsi="宋体" w:eastAsia="宋体" w:cs="仿宋"/>
          <w:kern w:val="0"/>
          <w:sz w:val="24"/>
          <w:szCs w:val="20"/>
          <w:lang w:val="en-US" w:eastAsia="zh-CN"/>
        </w:rPr>
      </w:pPr>
      <w:r>
        <w:rPr>
          <w:rFonts w:hint="default" w:ascii="宋体" w:hAnsi="宋体" w:eastAsia="宋体" w:cs="仿宋"/>
          <w:kern w:val="0"/>
          <w:sz w:val="24"/>
          <w:szCs w:val="20"/>
          <w:lang w:val="en-US" w:eastAsia="zh-CN"/>
        </w:rPr>
        <w:t>对用户权限、监控（告警、拦截、硬件、操作）、日志（统计分析、图表展示、审计）；</w:t>
      </w:r>
    </w:p>
    <w:p w14:paraId="5DCB2B85">
      <w:pPr>
        <w:autoSpaceDE w:val="0"/>
        <w:autoSpaceDN w:val="0"/>
        <w:adjustRightInd w:val="0"/>
        <w:spacing w:line="360" w:lineRule="auto"/>
        <w:ind w:firstLine="480" w:firstLineChars="200"/>
        <w:rPr>
          <w:rFonts w:hint="default" w:ascii="宋体" w:hAnsi="宋体" w:eastAsia="宋体" w:cs="仿宋"/>
          <w:kern w:val="0"/>
          <w:sz w:val="24"/>
          <w:szCs w:val="20"/>
          <w:lang w:val="en-US" w:eastAsia="zh-CN"/>
        </w:rPr>
      </w:pPr>
      <w:r>
        <w:rPr>
          <w:rFonts w:hint="default" w:ascii="宋体" w:hAnsi="宋体" w:eastAsia="宋体" w:cs="仿宋"/>
          <w:kern w:val="0"/>
          <w:sz w:val="24"/>
          <w:szCs w:val="20"/>
          <w:lang w:val="en-US" w:eastAsia="zh-CN"/>
        </w:rPr>
        <w:t>进行运维服务器的调优，随着系统运行时间的增长，状态会有所下降，需要对操作系统及数据库进行性能调优，保证系统处在最佳的工作状态。</w:t>
      </w:r>
    </w:p>
    <w:p w14:paraId="149F006E">
      <w:pPr>
        <w:autoSpaceDE w:val="0"/>
        <w:autoSpaceDN w:val="0"/>
        <w:adjustRightInd w:val="0"/>
        <w:spacing w:line="360" w:lineRule="auto"/>
        <w:ind w:firstLine="480" w:firstLineChars="200"/>
        <w:rPr>
          <w:rFonts w:hint="default" w:ascii="宋体" w:hAnsi="宋体" w:eastAsia="宋体" w:cs="仿宋"/>
          <w:kern w:val="0"/>
          <w:sz w:val="24"/>
          <w:szCs w:val="20"/>
          <w:lang w:val="en-US" w:eastAsia="zh-CN"/>
        </w:rPr>
      </w:pPr>
      <w:r>
        <w:rPr>
          <w:rFonts w:hint="eastAsia" w:ascii="宋体" w:hAnsi="宋体" w:eastAsia="宋体" w:cs="仿宋"/>
          <w:kern w:val="0"/>
          <w:sz w:val="24"/>
          <w:szCs w:val="20"/>
          <w:lang w:val="en-US" w:eastAsia="zh-CN"/>
        </w:rPr>
        <w:t>3</w:t>
      </w:r>
      <w:r>
        <w:rPr>
          <w:rFonts w:hint="default" w:ascii="宋体" w:hAnsi="宋体" w:eastAsia="宋体" w:cs="仿宋"/>
          <w:kern w:val="0"/>
          <w:sz w:val="24"/>
          <w:szCs w:val="20"/>
          <w:lang w:val="en-US" w:eastAsia="zh-CN"/>
        </w:rPr>
        <w:t>.4年度巡检：</w:t>
      </w:r>
    </w:p>
    <w:p w14:paraId="44DDC377">
      <w:pPr>
        <w:autoSpaceDE w:val="0"/>
        <w:autoSpaceDN w:val="0"/>
        <w:adjustRightInd w:val="0"/>
        <w:spacing w:line="360" w:lineRule="auto"/>
        <w:ind w:firstLine="480" w:firstLineChars="200"/>
        <w:rPr>
          <w:rFonts w:hint="default" w:ascii="宋体" w:hAnsi="宋体" w:eastAsia="宋体" w:cs="仿宋"/>
          <w:kern w:val="0"/>
          <w:sz w:val="24"/>
          <w:szCs w:val="20"/>
          <w:lang w:val="en-US" w:eastAsia="zh-CN"/>
        </w:rPr>
      </w:pPr>
      <w:r>
        <w:rPr>
          <w:rFonts w:hint="default" w:ascii="宋体" w:hAnsi="宋体" w:eastAsia="宋体" w:cs="仿宋"/>
          <w:kern w:val="0"/>
          <w:sz w:val="24"/>
          <w:szCs w:val="20"/>
          <w:lang w:val="en-US" w:eastAsia="zh-CN"/>
        </w:rPr>
        <w:t>对采集站软硬件状态及使用情况进行检查，针对派出所使用实际提出针对性意见建议并开展相关操作培训</w:t>
      </w:r>
      <w:bookmarkEnd w:id="62"/>
      <w:r>
        <w:rPr>
          <w:rFonts w:hint="eastAsia" w:ascii="宋体" w:hAnsi="宋体" w:eastAsia="宋体" w:cs="仿宋"/>
          <w:kern w:val="0"/>
          <w:sz w:val="24"/>
          <w:szCs w:val="20"/>
          <w:lang w:val="en-US" w:eastAsia="zh-CN"/>
        </w:rPr>
        <w:t>。</w:t>
      </w:r>
    </w:p>
    <w:p w14:paraId="685D670D">
      <w:pPr>
        <w:spacing w:before="56" w:line="289" w:lineRule="auto"/>
        <w:ind w:right="253"/>
        <w:jc w:val="center"/>
        <w:outlineLvl w:val="1"/>
        <w:rPr>
          <w:rFonts w:hint="eastAsia" w:ascii="宋体" w:hAnsi="宋体" w:eastAsia="宋体" w:cs="宋体"/>
          <w:b/>
          <w:bCs/>
          <w:spacing w:val="-5"/>
          <w:sz w:val="28"/>
          <w:szCs w:val="28"/>
          <w:lang w:val="en-US" w:eastAsia="zh-CN"/>
        </w:rPr>
      </w:pPr>
      <w:r>
        <w:rPr>
          <w:rFonts w:hint="eastAsia" w:ascii="宋体" w:hAnsi="宋体" w:eastAsia="宋体" w:cs="宋体"/>
          <w:b/>
          <w:bCs/>
          <w:spacing w:val="-5"/>
          <w:sz w:val="28"/>
          <w:szCs w:val="28"/>
          <w:lang w:val="en-US" w:eastAsia="zh-CN"/>
        </w:rPr>
        <w:t>三、商务要求</w:t>
      </w:r>
    </w:p>
    <w:p w14:paraId="1075E1DF">
      <w:pPr>
        <w:autoSpaceDE w:val="0"/>
        <w:autoSpaceDN w:val="0"/>
        <w:adjustRightInd w:val="0"/>
        <w:spacing w:line="360" w:lineRule="auto"/>
        <w:ind w:firstLine="480" w:firstLineChars="200"/>
        <w:rPr>
          <w:rFonts w:ascii="宋体" w:hAnsi="宋体" w:eastAsia="宋体" w:cs="仿宋"/>
          <w:kern w:val="0"/>
          <w:sz w:val="24"/>
          <w:szCs w:val="20"/>
        </w:rPr>
      </w:pPr>
      <w:r>
        <w:rPr>
          <w:rFonts w:hint="eastAsia" w:ascii="宋体" w:hAnsi="宋体" w:eastAsia="宋体" w:cs="仿宋"/>
          <w:kern w:val="0"/>
          <w:sz w:val="24"/>
          <w:szCs w:val="20"/>
          <w:lang w:val="en-US" w:eastAsia="zh-CN"/>
        </w:rPr>
        <w:t>1</w:t>
      </w:r>
      <w:r>
        <w:rPr>
          <w:rFonts w:hint="default" w:ascii="宋体" w:hAnsi="宋体" w:eastAsia="宋体" w:cs="仿宋"/>
          <w:kern w:val="0"/>
          <w:sz w:val="24"/>
          <w:szCs w:val="20"/>
          <w:lang w:val="en-US" w:eastAsia="zh-CN"/>
        </w:rPr>
        <w:t xml:space="preserve">、供货及安装地点 </w:t>
      </w:r>
    </w:p>
    <w:p w14:paraId="586AFFE9">
      <w:pPr>
        <w:autoSpaceDE w:val="0"/>
        <w:autoSpaceDN w:val="0"/>
        <w:adjustRightInd w:val="0"/>
        <w:spacing w:line="360" w:lineRule="auto"/>
        <w:ind w:firstLine="480" w:firstLineChars="200"/>
        <w:rPr>
          <w:rFonts w:ascii="宋体" w:hAnsi="宋体" w:eastAsia="宋体" w:cs="仿宋"/>
          <w:kern w:val="0"/>
          <w:sz w:val="24"/>
          <w:szCs w:val="20"/>
        </w:rPr>
      </w:pPr>
      <w:r>
        <w:rPr>
          <w:rFonts w:hint="default" w:ascii="宋体" w:hAnsi="宋体" w:eastAsia="宋体" w:cs="仿宋"/>
          <w:kern w:val="0"/>
          <w:sz w:val="24"/>
          <w:szCs w:val="20"/>
          <w:lang w:val="en-US" w:eastAsia="zh-CN"/>
        </w:rPr>
        <w:t xml:space="preserve">新疆出入境边防检查总站 </w:t>
      </w:r>
    </w:p>
    <w:p w14:paraId="7F88A4E6">
      <w:pPr>
        <w:autoSpaceDE w:val="0"/>
        <w:autoSpaceDN w:val="0"/>
        <w:adjustRightInd w:val="0"/>
        <w:spacing w:line="360" w:lineRule="auto"/>
        <w:ind w:firstLine="480" w:firstLineChars="200"/>
        <w:rPr>
          <w:rFonts w:ascii="宋体" w:hAnsi="宋体" w:eastAsia="宋体" w:cs="仿宋"/>
          <w:kern w:val="0"/>
          <w:sz w:val="24"/>
          <w:szCs w:val="20"/>
        </w:rPr>
      </w:pPr>
      <w:r>
        <w:rPr>
          <w:rFonts w:hint="eastAsia" w:ascii="宋体" w:hAnsi="宋体" w:eastAsia="宋体" w:cs="仿宋"/>
          <w:kern w:val="0"/>
          <w:sz w:val="24"/>
          <w:szCs w:val="20"/>
          <w:lang w:val="en-US" w:eastAsia="zh-CN"/>
        </w:rPr>
        <w:t>2</w:t>
      </w:r>
      <w:r>
        <w:rPr>
          <w:rFonts w:hint="default" w:ascii="宋体" w:hAnsi="宋体" w:eastAsia="宋体" w:cs="仿宋"/>
          <w:kern w:val="0"/>
          <w:sz w:val="24"/>
          <w:szCs w:val="20"/>
          <w:lang w:val="en-US" w:eastAsia="zh-CN"/>
        </w:rPr>
        <w:t xml:space="preserve">、履约期限 </w:t>
      </w:r>
    </w:p>
    <w:p w14:paraId="3CB735B0">
      <w:pPr>
        <w:autoSpaceDE w:val="0"/>
        <w:autoSpaceDN w:val="0"/>
        <w:adjustRightInd w:val="0"/>
        <w:spacing w:line="360" w:lineRule="auto"/>
        <w:ind w:firstLine="480" w:firstLineChars="200"/>
        <w:rPr>
          <w:rFonts w:ascii="宋体" w:hAnsi="宋体" w:eastAsia="宋体" w:cs="仿宋"/>
          <w:kern w:val="0"/>
          <w:sz w:val="24"/>
          <w:szCs w:val="20"/>
        </w:rPr>
      </w:pPr>
      <w:r>
        <w:rPr>
          <w:rFonts w:hint="default" w:ascii="宋体" w:hAnsi="宋体" w:eastAsia="宋体" w:cs="仿宋"/>
          <w:kern w:val="0"/>
          <w:sz w:val="24"/>
          <w:szCs w:val="20"/>
          <w:lang w:val="en-US" w:eastAsia="zh-CN"/>
        </w:rPr>
        <w:t xml:space="preserve">履约期限为1年，自合同签订后7日内配合完成驻场人员背景审查、工作交接等准备工作，正式开展驻场运维工作。项目履约完成后30日内配合开展项目验收。 </w:t>
      </w:r>
    </w:p>
    <w:p w14:paraId="02441968">
      <w:pPr>
        <w:autoSpaceDE w:val="0"/>
        <w:autoSpaceDN w:val="0"/>
        <w:adjustRightInd w:val="0"/>
        <w:spacing w:line="360" w:lineRule="auto"/>
        <w:ind w:firstLine="480" w:firstLineChars="200"/>
        <w:rPr>
          <w:rFonts w:ascii="宋体" w:hAnsi="宋体" w:eastAsia="宋体" w:cs="仿宋"/>
          <w:kern w:val="0"/>
          <w:sz w:val="24"/>
          <w:szCs w:val="20"/>
        </w:rPr>
      </w:pPr>
      <w:r>
        <w:rPr>
          <w:rFonts w:hint="eastAsia" w:ascii="宋体" w:hAnsi="宋体" w:eastAsia="宋体" w:cs="仿宋"/>
          <w:kern w:val="0"/>
          <w:sz w:val="24"/>
          <w:szCs w:val="20"/>
          <w:lang w:val="en-US" w:eastAsia="zh-CN"/>
        </w:rPr>
        <w:t>3</w:t>
      </w:r>
      <w:r>
        <w:rPr>
          <w:rFonts w:hint="default" w:ascii="宋体" w:hAnsi="宋体" w:eastAsia="宋体" w:cs="仿宋"/>
          <w:kern w:val="0"/>
          <w:sz w:val="24"/>
          <w:szCs w:val="20"/>
          <w:lang w:val="en-US" w:eastAsia="zh-CN"/>
        </w:rPr>
        <w:t xml:space="preserve">、验收方式及标准 </w:t>
      </w:r>
    </w:p>
    <w:p w14:paraId="4C181107">
      <w:pPr>
        <w:autoSpaceDE w:val="0"/>
        <w:autoSpaceDN w:val="0"/>
        <w:adjustRightInd w:val="0"/>
        <w:spacing w:line="360" w:lineRule="auto"/>
        <w:ind w:firstLine="480" w:firstLineChars="200"/>
        <w:rPr>
          <w:rFonts w:ascii="宋体" w:hAnsi="宋体" w:eastAsia="宋体" w:cs="仿宋"/>
          <w:kern w:val="0"/>
          <w:sz w:val="24"/>
          <w:szCs w:val="20"/>
        </w:rPr>
      </w:pPr>
      <w:r>
        <w:rPr>
          <w:rFonts w:hint="default" w:ascii="宋体" w:hAnsi="宋体" w:eastAsia="宋体" w:cs="仿宋"/>
          <w:kern w:val="0"/>
          <w:sz w:val="24"/>
          <w:szCs w:val="20"/>
          <w:lang w:val="en-US" w:eastAsia="zh-CN"/>
        </w:rPr>
        <w:t xml:space="preserve">合同履约完成后，由总站后勤保障处政府采购部门、法制处、基层基础工作指导处以及边境管理处组成验收小组，采取查看合同资料、现场核对服务清单、功能体验等方式进行验收，完全满足合同参数及标准为验收合格。 </w:t>
      </w:r>
    </w:p>
    <w:p w14:paraId="6EBBBE1B">
      <w:pPr>
        <w:autoSpaceDE w:val="0"/>
        <w:autoSpaceDN w:val="0"/>
        <w:adjustRightInd w:val="0"/>
        <w:spacing w:line="360" w:lineRule="auto"/>
        <w:ind w:firstLine="480" w:firstLineChars="200"/>
        <w:rPr>
          <w:rFonts w:ascii="宋体" w:hAnsi="宋体" w:eastAsia="宋体" w:cs="仿宋"/>
          <w:kern w:val="0"/>
          <w:sz w:val="24"/>
          <w:szCs w:val="20"/>
        </w:rPr>
      </w:pPr>
      <w:r>
        <w:rPr>
          <w:rFonts w:hint="eastAsia" w:ascii="宋体" w:hAnsi="宋体" w:eastAsia="宋体" w:cs="仿宋"/>
          <w:kern w:val="0"/>
          <w:sz w:val="24"/>
          <w:szCs w:val="20"/>
          <w:lang w:val="en-US" w:eastAsia="zh-CN"/>
        </w:rPr>
        <w:t>4</w:t>
      </w:r>
      <w:r>
        <w:rPr>
          <w:rFonts w:hint="default" w:ascii="宋体" w:hAnsi="宋体" w:eastAsia="宋体" w:cs="仿宋"/>
          <w:kern w:val="0"/>
          <w:sz w:val="24"/>
          <w:szCs w:val="20"/>
          <w:lang w:val="en-US" w:eastAsia="zh-CN"/>
        </w:rPr>
        <w:t xml:space="preserve">、付款方式 </w:t>
      </w:r>
    </w:p>
    <w:p w14:paraId="3857BEFE">
      <w:pPr>
        <w:autoSpaceDE w:val="0"/>
        <w:autoSpaceDN w:val="0"/>
        <w:adjustRightInd w:val="0"/>
        <w:spacing w:line="360" w:lineRule="auto"/>
        <w:ind w:firstLine="480" w:firstLineChars="200"/>
        <w:rPr>
          <w:rFonts w:hint="eastAsia" w:ascii="宋体" w:hAnsi="宋体" w:eastAsia="宋体" w:cs="宋体"/>
          <w:color w:val="auto"/>
          <w:sz w:val="24"/>
          <w:szCs w:val="24"/>
          <w:highlight w:val="none"/>
          <w:lang w:val="zh-TW" w:eastAsia="zh-CN"/>
        </w:rPr>
      </w:pPr>
      <w:r>
        <w:rPr>
          <w:rFonts w:hint="eastAsia" w:ascii="宋体" w:hAnsi="宋体" w:eastAsia="宋体" w:cs="楷体_GB2312"/>
          <w:kern w:val="0"/>
          <w:sz w:val="24"/>
          <w:szCs w:val="24"/>
          <w:highlight w:val="none"/>
          <w:lang w:val="en-US" w:eastAsia="zh-CN"/>
        </w:rPr>
        <w:t>合同签订前，乙方向甲方提供成交金额10%的履约保证金（有效期：12个月），合同签订后10个工作日内，乙方开具合同价100%发票，甲方支付合同价款的100%。项目履约完成后，乙方配合甲方开展决算审计工作。</w:t>
      </w:r>
      <w:r>
        <w:rPr>
          <w:rFonts w:hint="eastAsia" w:ascii="宋体" w:hAnsi="宋体" w:eastAsia="宋体" w:cs="宋体"/>
          <w:color w:val="auto"/>
          <w:sz w:val="24"/>
          <w:szCs w:val="24"/>
          <w:highlight w:val="none"/>
          <w:lang w:val="zh-TW" w:eastAsia="zh-CN"/>
        </w:rPr>
        <w:t>（</w:t>
      </w:r>
      <w:r>
        <w:rPr>
          <w:rFonts w:hint="eastAsia" w:ascii="宋体" w:hAnsi="宋体" w:eastAsia="宋体" w:cs="宋体"/>
          <w:color w:val="auto"/>
          <w:sz w:val="24"/>
          <w:szCs w:val="24"/>
          <w:highlight w:val="none"/>
          <w:lang w:val="zh-TW"/>
        </w:rPr>
        <w:t>服务周期内存在未按照合同履行服务</w:t>
      </w:r>
      <w:r>
        <w:rPr>
          <w:rFonts w:hint="eastAsia" w:ascii="宋体" w:hAnsi="宋体" w:eastAsia="宋体" w:cs="宋体"/>
          <w:color w:val="auto"/>
          <w:sz w:val="24"/>
          <w:szCs w:val="24"/>
          <w:highlight w:val="none"/>
          <w:lang w:val="en-US" w:eastAsia="zh-CN"/>
        </w:rPr>
        <w:t>等情形</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en-US" w:eastAsia="zh-CN"/>
        </w:rPr>
        <w:t>经第三方审计公司审减，审减金额可从履约保证金中扣除，若超出履约保证金上限，由乙方另行支付。</w:t>
      </w:r>
      <w:r>
        <w:rPr>
          <w:rFonts w:hint="eastAsia" w:ascii="宋体" w:hAnsi="宋体" w:eastAsia="宋体" w:cs="宋体"/>
          <w:color w:val="auto"/>
          <w:sz w:val="24"/>
          <w:szCs w:val="24"/>
          <w:highlight w:val="none"/>
          <w:lang w:val="zh-TW" w:eastAsia="zh-CN"/>
        </w:rPr>
        <w:t>）</w:t>
      </w:r>
    </w:p>
    <w:p w14:paraId="297A7044">
      <w:pPr>
        <w:autoSpaceDE w:val="0"/>
        <w:autoSpaceDN w:val="0"/>
        <w:adjustRightInd w:val="0"/>
        <w:spacing w:line="360" w:lineRule="auto"/>
        <w:ind w:firstLine="480" w:firstLineChars="200"/>
        <w:rPr>
          <w:rFonts w:ascii="宋体" w:hAnsi="宋体" w:eastAsia="宋体" w:cs="仿宋"/>
          <w:kern w:val="0"/>
          <w:sz w:val="24"/>
          <w:szCs w:val="20"/>
        </w:rPr>
      </w:pPr>
      <w:r>
        <w:rPr>
          <w:rFonts w:hint="eastAsia" w:ascii="宋体" w:hAnsi="宋体" w:eastAsia="宋体" w:cs="仿宋"/>
          <w:kern w:val="0"/>
          <w:sz w:val="24"/>
          <w:szCs w:val="20"/>
          <w:lang w:val="en-US" w:eastAsia="zh-CN"/>
        </w:rPr>
        <w:t>5</w:t>
      </w:r>
      <w:r>
        <w:rPr>
          <w:rFonts w:hint="default" w:ascii="宋体" w:hAnsi="宋体" w:eastAsia="宋体" w:cs="仿宋"/>
          <w:kern w:val="0"/>
          <w:sz w:val="24"/>
          <w:szCs w:val="20"/>
          <w:lang w:val="en-US" w:eastAsia="zh-CN"/>
        </w:rPr>
        <w:t xml:space="preserve">、其他技术、服务要求 </w:t>
      </w:r>
    </w:p>
    <w:p w14:paraId="051AD2D9">
      <w:pPr>
        <w:autoSpaceDE w:val="0"/>
        <w:autoSpaceDN w:val="0"/>
        <w:adjustRightInd w:val="0"/>
        <w:spacing w:line="360" w:lineRule="auto"/>
        <w:ind w:firstLine="480" w:firstLineChars="200"/>
        <w:rPr>
          <w:rFonts w:ascii="宋体" w:hAnsi="宋体" w:eastAsia="宋体" w:cs="仿宋"/>
          <w:kern w:val="0"/>
          <w:sz w:val="24"/>
          <w:szCs w:val="20"/>
        </w:rPr>
      </w:pPr>
      <w:r>
        <w:rPr>
          <w:rFonts w:hint="default" w:ascii="宋体" w:hAnsi="宋体" w:eastAsia="宋体" w:cs="仿宋"/>
          <w:kern w:val="0"/>
          <w:sz w:val="24"/>
          <w:szCs w:val="20"/>
          <w:lang w:val="en-US" w:eastAsia="zh-CN"/>
        </w:rPr>
        <w:t>无</w:t>
      </w:r>
    </w:p>
    <w:p w14:paraId="6E90A8D1">
      <w:pPr>
        <w:widowControl/>
        <w:ind w:firstLine="723"/>
        <w:jc w:val="left"/>
        <w:rPr>
          <w:rFonts w:ascii="宋体" w:hAnsi="宋体" w:eastAsia="宋体" w:cs="仿宋"/>
          <w:b/>
          <w:bCs/>
          <w:sz w:val="36"/>
          <w:szCs w:val="20"/>
        </w:rPr>
      </w:pPr>
      <w:r>
        <w:rPr>
          <w:rFonts w:ascii="宋体" w:hAnsi="宋体" w:eastAsia="宋体" w:cs="仿宋"/>
          <w:b/>
          <w:bCs/>
          <w:sz w:val="36"/>
          <w:szCs w:val="20"/>
        </w:rPr>
        <w:br w:type="page"/>
      </w:r>
    </w:p>
    <w:p w14:paraId="6D3907D1">
      <w:pPr>
        <w:spacing w:line="360" w:lineRule="auto"/>
        <w:jc w:val="center"/>
        <w:outlineLvl w:val="0"/>
        <w:rPr>
          <w:rFonts w:ascii="宋体" w:hAnsi="宋体" w:eastAsia="宋体" w:cs="仿宋"/>
          <w:b/>
          <w:bCs/>
          <w:sz w:val="28"/>
          <w:szCs w:val="20"/>
        </w:rPr>
      </w:pPr>
      <w:bookmarkStart w:id="120" w:name="_GoBack"/>
      <w:bookmarkEnd w:id="120"/>
      <w:bookmarkStart w:id="67" w:name="_Toc195529421"/>
      <w:r>
        <w:rPr>
          <w:rFonts w:hint="eastAsia" w:ascii="宋体" w:hAnsi="宋体" w:eastAsia="宋体" w:cs="仿宋"/>
          <w:b/>
          <w:bCs/>
          <w:sz w:val="36"/>
          <w:szCs w:val="20"/>
        </w:rPr>
        <w:t>第四章、合同</w:t>
      </w:r>
      <w:bookmarkEnd w:id="53"/>
      <w:bookmarkEnd w:id="54"/>
      <w:bookmarkEnd w:id="55"/>
      <w:bookmarkEnd w:id="56"/>
      <w:bookmarkEnd w:id="67"/>
    </w:p>
    <w:p w14:paraId="2FF0086A">
      <w:pPr>
        <w:adjustRightInd w:val="0"/>
        <w:spacing w:line="440" w:lineRule="exact"/>
        <w:ind w:firstLine="883"/>
        <w:jc w:val="center"/>
        <w:rPr>
          <w:rFonts w:ascii="宋体" w:hAnsi="宋体" w:eastAsia="宋体" w:cs="宋体"/>
          <w:b/>
          <w:bCs/>
          <w:sz w:val="44"/>
          <w:szCs w:val="28"/>
        </w:rPr>
      </w:pPr>
    </w:p>
    <w:p w14:paraId="42B8C016">
      <w:pPr>
        <w:spacing w:before="79" w:line="185" w:lineRule="auto"/>
        <w:ind w:left="2237"/>
        <w:rPr>
          <w:rFonts w:ascii="宋体" w:hAnsi="宋体" w:eastAsia="宋体" w:cs="宋体"/>
          <w:sz w:val="24"/>
          <w:szCs w:val="24"/>
        </w:rPr>
      </w:pPr>
      <w:bookmarkStart w:id="68" w:name="_Toc31249"/>
      <w:bookmarkStart w:id="69" w:name="_Toc6273"/>
      <w:bookmarkStart w:id="70" w:name="_Toc195529423"/>
      <w:bookmarkStart w:id="71" w:name="_Toc56170392"/>
      <w:r>
        <w:rPr>
          <w:rFonts w:ascii="宋体" w:hAnsi="宋体" w:eastAsia="宋体" w:cs="宋体"/>
          <w:b/>
          <w:bCs/>
          <w:spacing w:val="-3"/>
          <w:sz w:val="24"/>
          <w:szCs w:val="24"/>
        </w:rPr>
        <w:t>备注：最终与以实际签订合同为准。</w:t>
      </w:r>
    </w:p>
    <w:p w14:paraId="6809AA3F">
      <w:pPr>
        <w:pStyle w:val="20"/>
        <w:spacing w:line="254" w:lineRule="auto"/>
      </w:pPr>
    </w:p>
    <w:p w14:paraId="53270F49">
      <w:pPr>
        <w:pStyle w:val="20"/>
        <w:spacing w:line="274" w:lineRule="auto"/>
      </w:pPr>
    </w:p>
    <w:p w14:paraId="7A231AD3">
      <w:pPr>
        <w:spacing w:before="143" w:line="360" w:lineRule="auto"/>
        <w:jc w:val="center"/>
        <w:outlineLvl w:val="0"/>
        <w:rPr>
          <w:rFonts w:hint="default" w:ascii="宋体" w:hAnsi="宋体" w:eastAsia="宋体" w:cs="宋体"/>
          <w:b/>
          <w:bCs/>
          <w:spacing w:val="-8"/>
          <w:sz w:val="44"/>
          <w:szCs w:val="44"/>
          <w:lang w:val="en-US"/>
        </w:rPr>
      </w:pPr>
      <w:r>
        <w:rPr>
          <w:rFonts w:hint="eastAsia" w:ascii="宋体" w:hAnsi="宋体" w:eastAsia="宋体" w:cs="宋体"/>
          <w:b/>
          <w:bCs/>
          <w:spacing w:val="-8"/>
          <w:sz w:val="44"/>
          <w:szCs w:val="44"/>
          <w:lang w:eastAsia="zh-CN"/>
        </w:rPr>
        <w:t>中华人民共和国新疆出入境边防检查总站执法记录仪数据管理平台、调度平台维保服务采购项目</w:t>
      </w:r>
      <w:r>
        <w:rPr>
          <w:rFonts w:hint="eastAsia" w:ascii="宋体" w:hAnsi="宋体" w:eastAsia="宋体" w:cs="宋体"/>
          <w:b/>
          <w:bCs/>
          <w:spacing w:val="-8"/>
          <w:sz w:val="44"/>
          <w:szCs w:val="44"/>
          <w:lang w:val="en-US" w:eastAsia="zh-CN"/>
        </w:rPr>
        <w:t>合同</w:t>
      </w:r>
    </w:p>
    <w:p w14:paraId="2D91EA12">
      <w:pPr>
        <w:pStyle w:val="20"/>
        <w:spacing w:line="279" w:lineRule="auto"/>
      </w:pPr>
    </w:p>
    <w:p w14:paraId="544061FE">
      <w:pPr>
        <w:pStyle w:val="20"/>
        <w:spacing w:line="279" w:lineRule="auto"/>
      </w:pPr>
    </w:p>
    <w:p w14:paraId="397497E9">
      <w:pPr>
        <w:pStyle w:val="20"/>
        <w:spacing w:line="251" w:lineRule="auto"/>
      </w:pPr>
    </w:p>
    <w:p w14:paraId="1C1105B8">
      <w:pPr>
        <w:pStyle w:val="20"/>
        <w:spacing w:line="251" w:lineRule="auto"/>
      </w:pPr>
    </w:p>
    <w:p w14:paraId="21302EFC">
      <w:pPr>
        <w:pStyle w:val="20"/>
        <w:spacing w:line="251" w:lineRule="auto"/>
      </w:pPr>
    </w:p>
    <w:p w14:paraId="7FE68FAC">
      <w:pPr>
        <w:pStyle w:val="20"/>
        <w:spacing w:line="251" w:lineRule="auto"/>
      </w:pPr>
    </w:p>
    <w:p w14:paraId="5D421AA9">
      <w:pPr>
        <w:pStyle w:val="20"/>
        <w:spacing w:line="251" w:lineRule="auto"/>
      </w:pPr>
    </w:p>
    <w:p w14:paraId="1FD47273">
      <w:pPr>
        <w:pStyle w:val="20"/>
        <w:spacing w:line="251" w:lineRule="auto"/>
      </w:pPr>
    </w:p>
    <w:p w14:paraId="76D4C3BD">
      <w:pPr>
        <w:pStyle w:val="20"/>
        <w:spacing w:line="251" w:lineRule="auto"/>
      </w:pPr>
    </w:p>
    <w:p w14:paraId="0D1DD94A">
      <w:pPr>
        <w:spacing w:before="104" w:line="220" w:lineRule="auto"/>
        <w:ind w:left="410"/>
        <w:rPr>
          <w:rFonts w:ascii="宋体" w:hAnsi="宋体" w:eastAsia="宋体" w:cs="宋体"/>
          <w:sz w:val="32"/>
          <w:szCs w:val="32"/>
        </w:rPr>
      </w:pPr>
      <w:r>
        <w:rPr>
          <w:rFonts w:ascii="宋体" w:hAnsi="宋体" w:eastAsia="宋体" w:cs="宋体"/>
          <w:b/>
          <w:bCs/>
          <w:spacing w:val="-4"/>
          <w:sz w:val="32"/>
          <w:szCs w:val="32"/>
        </w:rPr>
        <w:t>甲</w:t>
      </w:r>
      <w:r>
        <w:rPr>
          <w:rFonts w:ascii="宋体" w:hAnsi="宋体" w:eastAsia="宋体" w:cs="宋体"/>
          <w:spacing w:val="-4"/>
          <w:sz w:val="32"/>
          <w:szCs w:val="32"/>
        </w:rPr>
        <w:t xml:space="preserve">   </w:t>
      </w:r>
      <w:r>
        <w:rPr>
          <w:rFonts w:ascii="宋体" w:hAnsi="宋体" w:eastAsia="宋体" w:cs="宋体"/>
          <w:b/>
          <w:bCs/>
          <w:spacing w:val="-4"/>
          <w:sz w:val="32"/>
          <w:szCs w:val="32"/>
        </w:rPr>
        <w:t>方：</w:t>
      </w:r>
      <w:r>
        <w:rPr>
          <w:rFonts w:ascii="宋体" w:hAnsi="宋体" w:eastAsia="宋体" w:cs="宋体"/>
          <w:b/>
          <w:bCs/>
          <w:spacing w:val="-4"/>
          <w:sz w:val="32"/>
          <w:szCs w:val="32"/>
          <w:u w:val="single" w:color="auto"/>
        </w:rPr>
        <w:t>中华人民共和国新疆出入境边</w:t>
      </w:r>
      <w:r>
        <w:rPr>
          <w:rFonts w:ascii="宋体" w:hAnsi="宋体" w:eastAsia="宋体" w:cs="宋体"/>
          <w:b/>
          <w:bCs/>
          <w:spacing w:val="-5"/>
          <w:sz w:val="32"/>
          <w:szCs w:val="32"/>
          <w:u w:val="single" w:color="auto"/>
        </w:rPr>
        <w:t>防检查总站</w:t>
      </w:r>
      <w:r>
        <w:rPr>
          <w:rFonts w:ascii="宋体" w:hAnsi="宋体" w:eastAsia="宋体" w:cs="宋体"/>
          <w:sz w:val="32"/>
          <w:szCs w:val="32"/>
          <w:u w:val="single" w:color="auto"/>
        </w:rPr>
        <w:t xml:space="preserve">  </w:t>
      </w:r>
    </w:p>
    <w:p w14:paraId="7D7D7E61">
      <w:pPr>
        <w:pStyle w:val="20"/>
        <w:spacing w:line="251" w:lineRule="auto"/>
      </w:pPr>
    </w:p>
    <w:p w14:paraId="65F13979">
      <w:pPr>
        <w:pStyle w:val="20"/>
        <w:spacing w:line="252" w:lineRule="auto"/>
      </w:pPr>
    </w:p>
    <w:p w14:paraId="62C15CF2">
      <w:pPr>
        <w:pStyle w:val="20"/>
        <w:spacing w:line="252" w:lineRule="auto"/>
      </w:pPr>
    </w:p>
    <w:p w14:paraId="53ED5F82">
      <w:pPr>
        <w:spacing w:before="104" w:line="221" w:lineRule="auto"/>
        <w:ind w:left="400"/>
        <w:rPr>
          <w:rFonts w:ascii="宋体" w:hAnsi="宋体" w:eastAsia="宋体" w:cs="宋体"/>
          <w:sz w:val="32"/>
          <w:szCs w:val="32"/>
        </w:rPr>
      </w:pPr>
      <w:r>
        <w:rPr>
          <w:rFonts w:ascii="宋体" w:hAnsi="宋体" w:eastAsia="宋体" w:cs="宋体"/>
          <w:b/>
          <w:bCs/>
          <w:spacing w:val="-22"/>
          <w:sz w:val="32"/>
          <w:szCs w:val="32"/>
        </w:rPr>
        <w:t>乙</w:t>
      </w:r>
      <w:r>
        <w:rPr>
          <w:rFonts w:ascii="宋体" w:hAnsi="宋体" w:eastAsia="宋体" w:cs="宋体"/>
          <w:spacing w:val="5"/>
          <w:sz w:val="32"/>
          <w:szCs w:val="32"/>
        </w:rPr>
        <w:t xml:space="preserve">   </w:t>
      </w:r>
      <w:r>
        <w:rPr>
          <w:rFonts w:ascii="宋体" w:hAnsi="宋体" w:eastAsia="宋体" w:cs="宋体"/>
          <w:b/>
          <w:bCs/>
          <w:spacing w:val="-22"/>
          <w:sz w:val="32"/>
          <w:szCs w:val="32"/>
        </w:rPr>
        <w:t>方：</w:t>
      </w:r>
      <w:r>
        <w:rPr>
          <w:rFonts w:ascii="宋体" w:hAnsi="宋体" w:eastAsia="宋体" w:cs="宋体"/>
          <w:sz w:val="32"/>
          <w:szCs w:val="32"/>
          <w:u w:val="single" w:color="auto"/>
        </w:rPr>
        <w:t xml:space="preserve">                                      </w:t>
      </w:r>
    </w:p>
    <w:p w14:paraId="64C9BA34">
      <w:pPr>
        <w:pStyle w:val="20"/>
        <w:spacing w:line="250" w:lineRule="auto"/>
      </w:pPr>
    </w:p>
    <w:p w14:paraId="3025075E">
      <w:pPr>
        <w:pStyle w:val="20"/>
        <w:spacing w:line="251" w:lineRule="auto"/>
      </w:pPr>
    </w:p>
    <w:p w14:paraId="39F627E0">
      <w:pPr>
        <w:pStyle w:val="20"/>
        <w:spacing w:line="251" w:lineRule="auto"/>
      </w:pPr>
    </w:p>
    <w:p w14:paraId="4AD73750">
      <w:pPr>
        <w:spacing w:before="104" w:line="220" w:lineRule="auto"/>
        <w:ind w:left="330"/>
        <w:rPr>
          <w:rFonts w:ascii="宋体" w:hAnsi="宋体" w:eastAsia="宋体" w:cs="宋体"/>
          <w:sz w:val="32"/>
          <w:szCs w:val="32"/>
        </w:rPr>
      </w:pPr>
      <w:r>
        <w:rPr>
          <w:rFonts w:ascii="宋体" w:hAnsi="宋体" w:eastAsia="宋体" w:cs="宋体"/>
          <w:b/>
          <w:bCs/>
          <w:spacing w:val="-6"/>
          <w:sz w:val="32"/>
          <w:szCs w:val="32"/>
        </w:rPr>
        <w:t>签订地点：</w:t>
      </w:r>
      <w:r>
        <w:rPr>
          <w:rFonts w:ascii="宋体" w:hAnsi="宋体" w:eastAsia="宋体" w:cs="宋体"/>
          <w:b/>
          <w:bCs/>
          <w:spacing w:val="-6"/>
          <w:sz w:val="32"/>
          <w:szCs w:val="32"/>
          <w:u w:val="single" w:color="auto"/>
        </w:rPr>
        <w:t>新疆乌鲁木齐市团结路</w:t>
      </w:r>
      <w:r>
        <w:rPr>
          <w:rFonts w:ascii="宋体" w:hAnsi="宋体" w:eastAsia="宋体" w:cs="宋体"/>
          <w:spacing w:val="-38"/>
          <w:sz w:val="32"/>
          <w:szCs w:val="32"/>
          <w:u w:val="single" w:color="auto"/>
        </w:rPr>
        <w:t xml:space="preserve"> </w:t>
      </w:r>
      <w:r>
        <w:rPr>
          <w:rFonts w:ascii="宋体" w:hAnsi="宋体" w:eastAsia="宋体" w:cs="宋体"/>
          <w:b/>
          <w:bCs/>
          <w:spacing w:val="-6"/>
          <w:sz w:val="32"/>
          <w:szCs w:val="32"/>
          <w:u w:val="single" w:color="auto"/>
        </w:rPr>
        <w:t>1551</w:t>
      </w:r>
      <w:r>
        <w:rPr>
          <w:rFonts w:ascii="宋体" w:hAnsi="宋体" w:eastAsia="宋体" w:cs="宋体"/>
          <w:spacing w:val="-59"/>
          <w:sz w:val="32"/>
          <w:szCs w:val="32"/>
          <w:u w:val="single" w:color="auto"/>
        </w:rPr>
        <w:t xml:space="preserve"> </w:t>
      </w:r>
      <w:r>
        <w:rPr>
          <w:rFonts w:ascii="宋体" w:hAnsi="宋体" w:eastAsia="宋体" w:cs="宋体"/>
          <w:b/>
          <w:bCs/>
          <w:spacing w:val="-6"/>
          <w:sz w:val="32"/>
          <w:szCs w:val="32"/>
          <w:u w:val="single" w:color="auto"/>
        </w:rPr>
        <w:t>号</w:t>
      </w:r>
      <w:r>
        <w:rPr>
          <w:rFonts w:ascii="宋体" w:hAnsi="宋体" w:eastAsia="宋体" w:cs="宋体"/>
          <w:sz w:val="32"/>
          <w:szCs w:val="32"/>
          <w:u w:val="single" w:color="auto"/>
        </w:rPr>
        <w:t xml:space="preserve">          </w:t>
      </w:r>
    </w:p>
    <w:p w14:paraId="6B58E2A3">
      <w:pPr>
        <w:pStyle w:val="20"/>
        <w:spacing w:line="274" w:lineRule="auto"/>
      </w:pPr>
    </w:p>
    <w:p w14:paraId="291341F2">
      <w:pPr>
        <w:pStyle w:val="20"/>
        <w:spacing w:line="274" w:lineRule="auto"/>
      </w:pPr>
    </w:p>
    <w:p w14:paraId="2442191D">
      <w:pPr>
        <w:pStyle w:val="20"/>
        <w:spacing w:line="275" w:lineRule="auto"/>
      </w:pPr>
    </w:p>
    <w:p w14:paraId="616C5839">
      <w:pPr>
        <w:pStyle w:val="20"/>
        <w:spacing w:line="275" w:lineRule="auto"/>
      </w:pPr>
    </w:p>
    <w:p w14:paraId="167915DD">
      <w:pPr>
        <w:pStyle w:val="20"/>
        <w:spacing w:line="275" w:lineRule="auto"/>
      </w:pPr>
    </w:p>
    <w:p w14:paraId="3AC7301A">
      <w:pPr>
        <w:spacing w:before="105" w:line="220" w:lineRule="auto"/>
        <w:ind w:left="3298"/>
        <w:rPr>
          <w:rFonts w:ascii="宋体" w:hAnsi="宋体" w:eastAsia="宋体" w:cs="宋体"/>
          <w:sz w:val="32"/>
          <w:szCs w:val="32"/>
        </w:rPr>
      </w:pPr>
      <w:r>
        <w:rPr>
          <w:rFonts w:ascii="宋体" w:hAnsi="宋体" w:eastAsia="宋体" w:cs="宋体"/>
          <w:b/>
          <w:bCs/>
          <w:spacing w:val="-15"/>
          <w:sz w:val="32"/>
          <w:szCs w:val="32"/>
        </w:rPr>
        <w:t>年</w:t>
      </w:r>
      <w:r>
        <w:rPr>
          <w:rFonts w:ascii="宋体" w:hAnsi="宋体" w:eastAsia="宋体" w:cs="宋体"/>
          <w:spacing w:val="4"/>
          <w:sz w:val="32"/>
          <w:szCs w:val="32"/>
        </w:rPr>
        <w:t xml:space="preserve">     </w:t>
      </w:r>
      <w:r>
        <w:rPr>
          <w:rFonts w:ascii="宋体" w:hAnsi="宋体" w:eastAsia="宋体" w:cs="宋体"/>
          <w:b/>
          <w:bCs/>
          <w:spacing w:val="-15"/>
          <w:sz w:val="32"/>
          <w:szCs w:val="32"/>
        </w:rPr>
        <w:t>月</w:t>
      </w:r>
      <w:r>
        <w:rPr>
          <w:rFonts w:ascii="宋体" w:hAnsi="宋体" w:eastAsia="宋体" w:cs="宋体"/>
          <w:spacing w:val="14"/>
          <w:sz w:val="32"/>
          <w:szCs w:val="32"/>
        </w:rPr>
        <w:t xml:space="preserve">     </w:t>
      </w:r>
      <w:r>
        <w:rPr>
          <w:rFonts w:ascii="宋体" w:hAnsi="宋体" w:eastAsia="宋体" w:cs="宋体"/>
          <w:b/>
          <w:bCs/>
          <w:spacing w:val="-15"/>
          <w:sz w:val="32"/>
          <w:szCs w:val="32"/>
        </w:rPr>
        <w:t>日</w:t>
      </w:r>
    </w:p>
    <w:p w14:paraId="70682B0A">
      <w:pPr>
        <w:spacing w:line="220" w:lineRule="auto"/>
        <w:rPr>
          <w:rFonts w:ascii="宋体" w:hAnsi="宋体" w:eastAsia="宋体" w:cs="宋体"/>
          <w:sz w:val="32"/>
          <w:szCs w:val="32"/>
        </w:rPr>
        <w:sectPr>
          <w:footerReference r:id="rId5" w:type="default"/>
          <w:pgSz w:w="11906" w:h="16839"/>
          <w:pgMar w:top="1431" w:right="1785" w:bottom="1262" w:left="1785" w:header="0" w:footer="1102" w:gutter="0"/>
          <w:pgNumType w:fmt="decimal" w:start="1"/>
          <w:cols w:space="720" w:num="1"/>
        </w:sectPr>
      </w:pPr>
    </w:p>
    <w:p w14:paraId="0FA51743">
      <w:pPr>
        <w:spacing w:before="56" w:line="289" w:lineRule="auto"/>
        <w:ind w:right="253"/>
        <w:jc w:val="center"/>
        <w:outlineLvl w:val="1"/>
        <w:rPr>
          <w:rFonts w:ascii="宋体" w:hAnsi="宋体" w:eastAsia="宋体" w:cs="宋体"/>
          <w:sz w:val="28"/>
          <w:szCs w:val="28"/>
        </w:rPr>
      </w:pPr>
      <w:r>
        <w:rPr>
          <w:rFonts w:hint="eastAsia" w:ascii="宋体" w:hAnsi="宋体" w:eastAsia="宋体" w:cs="宋体"/>
          <w:b/>
          <w:bCs/>
          <w:spacing w:val="-5"/>
          <w:sz w:val="28"/>
          <w:szCs w:val="28"/>
          <w:lang w:eastAsia="zh-CN"/>
        </w:rPr>
        <w:t>中华人民共和国新疆出入境边防检查总站执法记录仪数据管理平台、调度平台维保服务采购项目</w:t>
      </w:r>
      <w:r>
        <w:rPr>
          <w:rFonts w:ascii="宋体" w:hAnsi="宋体" w:eastAsia="宋体" w:cs="宋体"/>
          <w:b/>
          <w:bCs/>
          <w:spacing w:val="-5"/>
          <w:sz w:val="28"/>
          <w:szCs w:val="28"/>
        </w:rPr>
        <w:t>服务合同</w:t>
      </w:r>
    </w:p>
    <w:p w14:paraId="7C219545">
      <w:pPr>
        <w:spacing w:before="204" w:line="347" w:lineRule="auto"/>
        <w:ind w:left="503" w:right="4018" w:firstLine="7"/>
        <w:rPr>
          <w:rFonts w:ascii="宋体" w:hAnsi="宋体" w:eastAsia="宋体" w:cs="宋体"/>
          <w:sz w:val="24"/>
          <w:szCs w:val="24"/>
        </w:rPr>
      </w:pPr>
      <w:r>
        <w:rPr>
          <w:rFonts w:ascii="宋体" w:hAnsi="宋体" w:eastAsia="宋体" w:cs="宋体"/>
          <w:spacing w:val="-2"/>
          <w:sz w:val="24"/>
          <w:szCs w:val="24"/>
        </w:rPr>
        <w:t>甲方：中华人民共和国新疆出入境边防检查总站</w:t>
      </w:r>
      <w:r>
        <w:rPr>
          <w:rFonts w:ascii="宋体" w:hAnsi="宋体" w:eastAsia="宋体" w:cs="宋体"/>
          <w:sz w:val="24"/>
          <w:szCs w:val="24"/>
        </w:rPr>
        <w:t xml:space="preserve"> </w:t>
      </w:r>
      <w:r>
        <w:rPr>
          <w:rFonts w:ascii="宋体" w:hAnsi="宋体" w:eastAsia="宋体" w:cs="宋体"/>
          <w:spacing w:val="-20"/>
          <w:sz w:val="24"/>
          <w:szCs w:val="24"/>
        </w:rPr>
        <w:t>乙方：</w:t>
      </w:r>
    </w:p>
    <w:p w14:paraId="379886D5">
      <w:pPr>
        <w:spacing w:before="32" w:line="223" w:lineRule="auto"/>
        <w:ind w:left="482"/>
        <w:rPr>
          <w:rFonts w:ascii="宋体" w:hAnsi="宋体" w:eastAsia="宋体" w:cs="宋体"/>
          <w:sz w:val="24"/>
          <w:szCs w:val="24"/>
        </w:rPr>
      </w:pPr>
      <w:r>
        <w:rPr>
          <w:rFonts w:ascii="宋体" w:hAnsi="宋体" w:eastAsia="宋体" w:cs="宋体"/>
          <w:spacing w:val="-15"/>
          <w:sz w:val="24"/>
          <w:szCs w:val="24"/>
        </w:rPr>
        <w:t>鉴于：</w:t>
      </w:r>
    </w:p>
    <w:p w14:paraId="3E2249F2">
      <w:pPr>
        <w:spacing w:before="178" w:line="345" w:lineRule="auto"/>
        <w:ind w:left="6" w:right="212" w:firstLine="474"/>
        <w:rPr>
          <w:rFonts w:ascii="宋体" w:hAnsi="宋体" w:eastAsia="宋体" w:cs="宋体"/>
          <w:sz w:val="24"/>
          <w:szCs w:val="24"/>
        </w:rPr>
      </w:pPr>
      <w:r>
        <w:rPr>
          <w:rFonts w:ascii="宋体" w:hAnsi="宋体" w:eastAsia="宋体" w:cs="宋体"/>
          <w:sz w:val="24"/>
          <w:szCs w:val="24"/>
        </w:rPr>
        <w:t xml:space="preserve">本合同双方当事人（1）均为依照中华人民共和国法律成立并有效存续的独立法人， </w:t>
      </w:r>
      <w:r>
        <w:rPr>
          <w:rFonts w:ascii="宋体" w:hAnsi="宋体" w:eastAsia="宋体" w:cs="宋体"/>
          <w:spacing w:val="-1"/>
          <w:sz w:val="24"/>
          <w:szCs w:val="24"/>
        </w:rPr>
        <w:t>（2）并且已经获得签署本合同的相应授权，（3）具备履行本</w:t>
      </w:r>
      <w:r>
        <w:rPr>
          <w:rFonts w:ascii="宋体" w:hAnsi="宋体" w:eastAsia="宋体" w:cs="宋体"/>
          <w:spacing w:val="-2"/>
          <w:sz w:val="24"/>
          <w:szCs w:val="24"/>
        </w:rPr>
        <w:t>合同所必须的资质和条件。</w:t>
      </w:r>
    </w:p>
    <w:p w14:paraId="28330116">
      <w:pPr>
        <w:pStyle w:val="20"/>
        <w:spacing w:line="422" w:lineRule="auto"/>
      </w:pPr>
    </w:p>
    <w:p w14:paraId="2DD237F3">
      <w:pPr>
        <w:tabs>
          <w:tab w:val="left" w:pos="9287"/>
        </w:tabs>
        <w:spacing w:before="78" w:line="350" w:lineRule="auto"/>
        <w:ind w:left="3" w:right="240" w:firstLine="498"/>
        <w:jc w:val="both"/>
        <w:rPr>
          <w:rFonts w:ascii="宋体" w:hAnsi="宋体" w:eastAsia="宋体" w:cs="宋体"/>
          <w:sz w:val="24"/>
          <w:szCs w:val="24"/>
        </w:rPr>
      </w:pPr>
      <w:r>
        <w:rPr>
          <w:rFonts w:ascii="宋体" w:hAnsi="宋体" w:eastAsia="宋体" w:cs="宋体"/>
          <w:spacing w:val="-2"/>
          <w:sz w:val="24"/>
          <w:szCs w:val="24"/>
          <w:u w:val="single" w:color="auto"/>
        </w:rPr>
        <w:t xml:space="preserve">中华人民共和国新疆出入境边防检查总站 </w:t>
      </w:r>
      <w:r>
        <w:rPr>
          <w:rFonts w:ascii="宋体" w:hAnsi="宋体" w:eastAsia="宋体" w:cs="宋体"/>
          <w:spacing w:val="-2"/>
          <w:sz w:val="24"/>
          <w:szCs w:val="24"/>
        </w:rPr>
        <w:t>（以下简称甲方）与</w:t>
      </w:r>
      <w:r>
        <w:rPr>
          <w:rFonts w:ascii="宋体" w:hAnsi="宋体" w:eastAsia="宋体" w:cs="宋体"/>
          <w:spacing w:val="-97"/>
          <w:sz w:val="24"/>
          <w:szCs w:val="24"/>
        </w:rPr>
        <w:t xml:space="preserve"> </w:t>
      </w:r>
      <w:r>
        <w:rPr>
          <w:rFonts w:ascii="宋体" w:hAnsi="宋体" w:eastAsia="宋体" w:cs="宋体"/>
          <w:sz w:val="24"/>
          <w:szCs w:val="24"/>
          <w:u w:val="single" w:color="auto"/>
        </w:rPr>
        <w:tab/>
      </w:r>
      <w:r>
        <w:rPr>
          <w:rFonts w:ascii="宋体" w:hAnsi="宋体" w:eastAsia="宋体" w:cs="宋体"/>
          <w:sz w:val="24"/>
          <w:szCs w:val="24"/>
        </w:rPr>
        <w:t xml:space="preserve"> </w:t>
      </w:r>
      <w:r>
        <w:rPr>
          <w:rFonts w:ascii="宋体" w:hAnsi="宋体" w:eastAsia="宋体" w:cs="宋体"/>
          <w:spacing w:val="-1"/>
          <w:sz w:val="24"/>
          <w:szCs w:val="24"/>
        </w:rPr>
        <w:t>（以下简称乙方）就</w:t>
      </w:r>
      <w:r>
        <w:rPr>
          <w:rFonts w:ascii="宋体" w:hAnsi="宋体" w:eastAsia="宋体" w:cs="宋体"/>
          <w:spacing w:val="-109"/>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12"/>
          <w:sz w:val="24"/>
          <w:szCs w:val="24"/>
        </w:rPr>
        <w:t xml:space="preserve"> </w:t>
      </w:r>
      <w:r>
        <w:rPr>
          <w:rFonts w:ascii="宋体" w:hAnsi="宋体" w:eastAsia="宋体" w:cs="宋体"/>
          <w:spacing w:val="-1"/>
          <w:sz w:val="24"/>
          <w:szCs w:val="24"/>
        </w:rPr>
        <w:t>采购项目，经双方协商一致，签订本合同，共同</w:t>
      </w:r>
      <w:r>
        <w:rPr>
          <w:rFonts w:ascii="宋体" w:hAnsi="宋体" w:eastAsia="宋体" w:cs="宋体"/>
          <w:spacing w:val="-2"/>
          <w:sz w:val="24"/>
          <w:szCs w:val="24"/>
        </w:rPr>
        <w:t>遵守</w:t>
      </w:r>
      <w:r>
        <w:rPr>
          <w:rFonts w:ascii="宋体" w:hAnsi="宋体" w:eastAsia="宋体" w:cs="宋体"/>
          <w:spacing w:val="-11"/>
          <w:sz w:val="24"/>
          <w:szCs w:val="24"/>
        </w:rPr>
        <w:t>如下条款：</w:t>
      </w:r>
    </w:p>
    <w:p w14:paraId="3688FD2D">
      <w:pPr>
        <w:spacing w:before="34" w:line="220" w:lineRule="auto"/>
        <w:ind w:left="3926"/>
        <w:outlineLvl w:val="0"/>
        <w:rPr>
          <w:rFonts w:ascii="宋体" w:hAnsi="宋体" w:eastAsia="宋体" w:cs="宋体"/>
          <w:sz w:val="24"/>
          <w:szCs w:val="24"/>
        </w:rPr>
      </w:pPr>
      <w:r>
        <w:rPr>
          <w:rFonts w:ascii="宋体" w:hAnsi="宋体" w:eastAsia="宋体" w:cs="宋体"/>
          <w:b/>
          <w:bCs/>
          <w:spacing w:val="-7"/>
          <w:sz w:val="24"/>
          <w:szCs w:val="24"/>
        </w:rPr>
        <w:t>第一条</w:t>
      </w:r>
      <w:r>
        <w:rPr>
          <w:rFonts w:ascii="宋体" w:hAnsi="宋体" w:eastAsia="宋体" w:cs="宋体"/>
          <w:spacing w:val="8"/>
          <w:sz w:val="24"/>
          <w:szCs w:val="24"/>
        </w:rPr>
        <w:t xml:space="preserve">  </w:t>
      </w:r>
      <w:r>
        <w:rPr>
          <w:rFonts w:ascii="宋体" w:hAnsi="宋体" w:eastAsia="宋体" w:cs="宋体"/>
          <w:b/>
          <w:bCs/>
          <w:spacing w:val="-7"/>
          <w:sz w:val="24"/>
          <w:szCs w:val="24"/>
        </w:rPr>
        <w:t>总则</w:t>
      </w:r>
    </w:p>
    <w:p w14:paraId="3D825F9E">
      <w:pPr>
        <w:spacing w:before="183" w:line="345" w:lineRule="auto"/>
        <w:ind w:left="497" w:right="212"/>
        <w:rPr>
          <w:rFonts w:ascii="宋体" w:hAnsi="宋体" w:eastAsia="宋体" w:cs="宋体"/>
          <w:spacing w:val="15"/>
          <w:sz w:val="24"/>
          <w:szCs w:val="24"/>
        </w:rPr>
      </w:pPr>
      <w:r>
        <w:rPr>
          <w:rFonts w:ascii="宋体" w:hAnsi="宋体" w:eastAsia="宋体" w:cs="宋体"/>
          <w:spacing w:val="-2"/>
          <w:sz w:val="24"/>
          <w:szCs w:val="24"/>
        </w:rPr>
        <w:t>1.1.本合同双方必须遵守《中华人民共和国民法典》，并各自履行应付的全部义务。</w:t>
      </w:r>
      <w:r>
        <w:rPr>
          <w:rFonts w:ascii="宋体" w:hAnsi="宋体" w:eastAsia="宋体" w:cs="宋体"/>
          <w:spacing w:val="15"/>
          <w:sz w:val="24"/>
          <w:szCs w:val="24"/>
        </w:rPr>
        <w:t xml:space="preserve"> </w:t>
      </w:r>
    </w:p>
    <w:p w14:paraId="13661DA9">
      <w:pPr>
        <w:spacing w:before="183" w:line="345" w:lineRule="auto"/>
        <w:ind w:left="497" w:right="212"/>
        <w:rPr>
          <w:rFonts w:ascii="宋体" w:hAnsi="宋体" w:eastAsia="宋体" w:cs="宋体"/>
          <w:sz w:val="24"/>
          <w:szCs w:val="24"/>
        </w:rPr>
      </w:pPr>
      <w:r>
        <w:rPr>
          <w:rFonts w:ascii="宋体" w:hAnsi="宋体" w:eastAsia="宋体" w:cs="宋体"/>
          <w:spacing w:val="-3"/>
          <w:sz w:val="24"/>
          <w:szCs w:val="24"/>
        </w:rPr>
        <w:t>1.2.下列文件组成本合同的文件及作为解释的先后顺序：</w:t>
      </w:r>
    </w:p>
    <w:p w14:paraId="2268E022">
      <w:pPr>
        <w:spacing w:before="35" w:line="220" w:lineRule="auto"/>
        <w:ind w:left="617"/>
        <w:rPr>
          <w:rFonts w:ascii="宋体" w:hAnsi="宋体" w:eastAsia="宋体" w:cs="宋体"/>
          <w:sz w:val="24"/>
          <w:szCs w:val="24"/>
        </w:rPr>
      </w:pPr>
      <w:r>
        <w:rPr>
          <w:rFonts w:ascii="宋体" w:hAnsi="宋体" w:eastAsia="宋体" w:cs="宋体"/>
          <w:spacing w:val="-2"/>
          <w:sz w:val="24"/>
          <w:szCs w:val="24"/>
        </w:rPr>
        <w:t xml:space="preserve">1.2.1  </w:t>
      </w:r>
      <w:r>
        <w:rPr>
          <w:rFonts w:ascii="宋体" w:hAnsi="宋体" w:eastAsia="宋体" w:cs="宋体"/>
          <w:spacing w:val="-2"/>
          <w:sz w:val="24"/>
          <w:szCs w:val="24"/>
          <w:u w:val="single" w:color="auto"/>
        </w:rPr>
        <w:t xml:space="preserve">                </w:t>
      </w:r>
      <w:r>
        <w:rPr>
          <w:rFonts w:ascii="宋体" w:hAnsi="宋体" w:eastAsia="宋体" w:cs="宋体"/>
          <w:spacing w:val="-107"/>
          <w:sz w:val="24"/>
          <w:szCs w:val="24"/>
        </w:rPr>
        <w:t xml:space="preserve"> </w:t>
      </w:r>
      <w:r>
        <w:rPr>
          <w:rFonts w:ascii="宋体" w:hAnsi="宋体" w:eastAsia="宋体" w:cs="宋体"/>
          <w:spacing w:val="-2"/>
          <w:sz w:val="24"/>
          <w:szCs w:val="24"/>
        </w:rPr>
        <w:t>项目的谈判文</w:t>
      </w:r>
      <w:r>
        <w:rPr>
          <w:rFonts w:ascii="宋体" w:hAnsi="宋体" w:eastAsia="宋体" w:cs="宋体"/>
          <w:spacing w:val="-3"/>
          <w:sz w:val="24"/>
          <w:szCs w:val="24"/>
        </w:rPr>
        <w:t>件、谈判文件成交人澄清；</w:t>
      </w:r>
    </w:p>
    <w:p w14:paraId="68D3FA64">
      <w:pPr>
        <w:spacing w:before="181" w:line="219" w:lineRule="auto"/>
        <w:ind w:left="617"/>
        <w:rPr>
          <w:rFonts w:ascii="宋体" w:hAnsi="宋体" w:eastAsia="宋体" w:cs="宋体"/>
          <w:sz w:val="24"/>
          <w:szCs w:val="24"/>
        </w:rPr>
      </w:pPr>
      <w:r>
        <w:rPr>
          <w:rFonts w:ascii="宋体" w:hAnsi="宋体" w:eastAsia="宋体" w:cs="宋体"/>
          <w:spacing w:val="-5"/>
          <w:sz w:val="24"/>
          <w:szCs w:val="24"/>
        </w:rPr>
        <w:t>1.2.2 本项目的成交通知书；</w:t>
      </w:r>
    </w:p>
    <w:p w14:paraId="0582AB6E">
      <w:pPr>
        <w:spacing w:before="182" w:line="219" w:lineRule="auto"/>
        <w:ind w:left="617"/>
        <w:rPr>
          <w:rFonts w:ascii="宋体" w:hAnsi="宋体" w:eastAsia="宋体" w:cs="宋体"/>
          <w:sz w:val="24"/>
          <w:szCs w:val="24"/>
        </w:rPr>
      </w:pPr>
      <w:r>
        <w:rPr>
          <w:rFonts w:ascii="宋体" w:hAnsi="宋体" w:eastAsia="宋体" w:cs="宋体"/>
          <w:spacing w:val="-6"/>
          <w:sz w:val="24"/>
          <w:szCs w:val="24"/>
        </w:rPr>
        <w:t>1.2.3 本合同及其附件；</w:t>
      </w:r>
    </w:p>
    <w:p w14:paraId="486133D7">
      <w:pPr>
        <w:spacing w:before="182" w:line="219" w:lineRule="auto"/>
        <w:ind w:left="617"/>
        <w:rPr>
          <w:rFonts w:ascii="宋体" w:hAnsi="宋体" w:eastAsia="宋体" w:cs="宋体"/>
          <w:sz w:val="24"/>
          <w:szCs w:val="24"/>
        </w:rPr>
      </w:pPr>
      <w:r>
        <w:rPr>
          <w:rFonts w:ascii="宋体" w:hAnsi="宋体" w:eastAsia="宋体" w:cs="宋体"/>
          <w:spacing w:val="-5"/>
          <w:sz w:val="24"/>
          <w:szCs w:val="24"/>
        </w:rPr>
        <w:t>1.2.4</w:t>
      </w:r>
      <w:r>
        <w:rPr>
          <w:rFonts w:ascii="宋体" w:hAnsi="宋体" w:eastAsia="宋体" w:cs="宋体"/>
          <w:spacing w:val="33"/>
          <w:sz w:val="24"/>
          <w:szCs w:val="24"/>
        </w:rPr>
        <w:t xml:space="preserve"> </w:t>
      </w:r>
      <w:r>
        <w:rPr>
          <w:rFonts w:ascii="宋体" w:hAnsi="宋体" w:eastAsia="宋体" w:cs="宋体"/>
          <w:spacing w:val="-5"/>
          <w:sz w:val="24"/>
          <w:szCs w:val="24"/>
        </w:rPr>
        <w:t>乙方(成交人)的响应文件及其附</w:t>
      </w:r>
      <w:r>
        <w:rPr>
          <w:rFonts w:ascii="宋体" w:hAnsi="宋体" w:eastAsia="宋体" w:cs="宋体"/>
          <w:spacing w:val="-6"/>
          <w:sz w:val="24"/>
          <w:szCs w:val="24"/>
        </w:rPr>
        <w:t>件；</w:t>
      </w:r>
    </w:p>
    <w:p w14:paraId="04BBDA82">
      <w:pPr>
        <w:spacing w:before="182" w:line="220" w:lineRule="auto"/>
        <w:ind w:left="617"/>
        <w:rPr>
          <w:rFonts w:ascii="宋体" w:hAnsi="宋体" w:eastAsia="宋体" w:cs="宋体"/>
          <w:sz w:val="24"/>
          <w:szCs w:val="24"/>
        </w:rPr>
      </w:pPr>
      <w:r>
        <w:rPr>
          <w:rFonts w:ascii="宋体" w:hAnsi="宋体" w:eastAsia="宋体" w:cs="宋体"/>
          <w:spacing w:val="-3"/>
          <w:sz w:val="24"/>
          <w:szCs w:val="24"/>
        </w:rPr>
        <w:t>1.2.5 行业标准、规范及有关技术文件等。</w:t>
      </w:r>
    </w:p>
    <w:p w14:paraId="505EC217">
      <w:pPr>
        <w:spacing w:before="182" w:line="219" w:lineRule="auto"/>
        <w:ind w:left="497"/>
        <w:rPr>
          <w:rFonts w:ascii="宋体" w:hAnsi="宋体" w:eastAsia="宋体" w:cs="宋体"/>
          <w:sz w:val="24"/>
          <w:szCs w:val="24"/>
        </w:rPr>
      </w:pPr>
      <w:r>
        <w:rPr>
          <w:rFonts w:ascii="宋体" w:hAnsi="宋体" w:eastAsia="宋体" w:cs="宋体"/>
          <w:spacing w:val="-2"/>
          <w:sz w:val="24"/>
          <w:szCs w:val="24"/>
        </w:rPr>
        <w:t>1.3.乙方保证全部按照合同条款的规定向甲方提供优质的产品和服务。</w:t>
      </w:r>
    </w:p>
    <w:p w14:paraId="0D898894">
      <w:pPr>
        <w:spacing w:before="182" w:line="218" w:lineRule="auto"/>
        <w:ind w:left="497"/>
        <w:rPr>
          <w:rFonts w:ascii="宋体" w:hAnsi="宋体" w:eastAsia="宋体" w:cs="宋体"/>
          <w:sz w:val="24"/>
          <w:szCs w:val="24"/>
        </w:rPr>
      </w:pPr>
      <w:r>
        <w:rPr>
          <w:rFonts w:ascii="宋体" w:hAnsi="宋体" w:eastAsia="宋体" w:cs="宋体"/>
          <w:spacing w:val="-2"/>
          <w:sz w:val="24"/>
          <w:szCs w:val="24"/>
        </w:rPr>
        <w:t>1.4.甲方保证按照合同条款规定的时间和方式付给乙方到期应付的价款。</w:t>
      </w:r>
    </w:p>
    <w:p w14:paraId="66F06CE8">
      <w:pPr>
        <w:spacing w:before="183" w:line="220" w:lineRule="auto"/>
        <w:ind w:left="3926"/>
        <w:outlineLvl w:val="0"/>
        <w:rPr>
          <w:rFonts w:ascii="宋体" w:hAnsi="宋体" w:eastAsia="宋体" w:cs="宋体"/>
          <w:sz w:val="24"/>
          <w:szCs w:val="24"/>
        </w:rPr>
      </w:pPr>
      <w:r>
        <w:rPr>
          <w:rFonts w:ascii="宋体" w:hAnsi="宋体" w:eastAsia="宋体" w:cs="宋体"/>
          <w:b/>
          <w:bCs/>
          <w:spacing w:val="-7"/>
          <w:sz w:val="24"/>
          <w:szCs w:val="24"/>
        </w:rPr>
        <w:t>第二条</w:t>
      </w:r>
      <w:r>
        <w:rPr>
          <w:rFonts w:ascii="宋体" w:hAnsi="宋体" w:eastAsia="宋体" w:cs="宋体"/>
          <w:spacing w:val="8"/>
          <w:sz w:val="24"/>
          <w:szCs w:val="24"/>
        </w:rPr>
        <w:t xml:space="preserve">  </w:t>
      </w:r>
      <w:r>
        <w:rPr>
          <w:rFonts w:ascii="宋体" w:hAnsi="宋体" w:eastAsia="宋体" w:cs="宋体"/>
          <w:b/>
          <w:bCs/>
          <w:spacing w:val="-7"/>
          <w:sz w:val="24"/>
          <w:szCs w:val="24"/>
        </w:rPr>
        <w:t>定义</w:t>
      </w:r>
    </w:p>
    <w:p w14:paraId="10B4B441">
      <w:pPr>
        <w:spacing w:before="181" w:line="346" w:lineRule="auto"/>
        <w:ind w:left="481" w:right="6233" w:hanging="1"/>
        <w:rPr>
          <w:rFonts w:ascii="宋体" w:hAnsi="宋体" w:eastAsia="宋体" w:cs="宋体"/>
          <w:sz w:val="24"/>
          <w:szCs w:val="24"/>
        </w:rPr>
      </w:pPr>
      <w:r>
        <w:rPr>
          <w:rFonts w:ascii="宋体" w:hAnsi="宋体" w:eastAsia="宋体" w:cs="宋体"/>
          <w:spacing w:val="-6"/>
          <w:sz w:val="24"/>
          <w:szCs w:val="24"/>
        </w:rPr>
        <w:t>本合同下列术语应解释为：</w:t>
      </w:r>
      <w:r>
        <w:rPr>
          <w:rFonts w:ascii="宋体" w:hAnsi="宋体" w:eastAsia="宋体" w:cs="宋体"/>
          <w:spacing w:val="5"/>
          <w:sz w:val="24"/>
          <w:szCs w:val="24"/>
        </w:rPr>
        <w:t xml:space="preserve"> </w:t>
      </w:r>
      <w:r>
        <w:rPr>
          <w:rFonts w:ascii="宋体" w:hAnsi="宋体" w:eastAsia="宋体" w:cs="宋体"/>
          <w:spacing w:val="-7"/>
          <w:sz w:val="24"/>
          <w:szCs w:val="24"/>
        </w:rPr>
        <w:t>2.1.合同要素：</w:t>
      </w:r>
    </w:p>
    <w:p w14:paraId="61A6C49D">
      <w:pPr>
        <w:spacing w:before="36" w:line="345" w:lineRule="auto"/>
        <w:ind w:firstLine="482"/>
        <w:rPr>
          <w:rFonts w:ascii="宋体" w:hAnsi="宋体" w:eastAsia="宋体" w:cs="宋体"/>
          <w:sz w:val="24"/>
          <w:szCs w:val="24"/>
        </w:rPr>
      </w:pPr>
      <w:r>
        <w:rPr>
          <w:rFonts w:ascii="宋体" w:hAnsi="宋体" w:eastAsia="宋体" w:cs="宋体"/>
          <w:spacing w:val="-5"/>
          <w:sz w:val="24"/>
          <w:szCs w:val="24"/>
        </w:rPr>
        <w:t>2.1.1.“合同”系指甲乙双方签署的、合同格式中载明的甲乙双方所达成的协议， 包</w:t>
      </w:r>
      <w:r>
        <w:rPr>
          <w:rFonts w:ascii="宋体" w:hAnsi="宋体" w:eastAsia="宋体" w:cs="宋体"/>
          <w:spacing w:val="-3"/>
          <w:sz w:val="24"/>
          <w:szCs w:val="24"/>
        </w:rPr>
        <w:t>括所有的附件、附录和上述文件所提到的构成合同的所有文件，</w:t>
      </w:r>
      <w:r>
        <w:rPr>
          <w:rFonts w:ascii="宋体" w:hAnsi="宋体" w:eastAsia="宋体" w:cs="宋体"/>
          <w:spacing w:val="-72"/>
          <w:sz w:val="24"/>
          <w:szCs w:val="24"/>
        </w:rPr>
        <w:t xml:space="preserve"> </w:t>
      </w:r>
      <w:r>
        <w:rPr>
          <w:rFonts w:ascii="宋体" w:hAnsi="宋体" w:eastAsia="宋体" w:cs="宋体"/>
          <w:spacing w:val="-3"/>
          <w:sz w:val="24"/>
          <w:szCs w:val="24"/>
        </w:rPr>
        <w:t>并按本合同第一条“总则”</w:t>
      </w:r>
      <w:r>
        <w:rPr>
          <w:rFonts w:ascii="宋体" w:hAnsi="宋体" w:eastAsia="宋体" w:cs="宋体"/>
          <w:spacing w:val="-8"/>
          <w:sz w:val="24"/>
          <w:szCs w:val="24"/>
        </w:rPr>
        <w:t>1.2</w:t>
      </w:r>
      <w:r>
        <w:rPr>
          <w:rFonts w:ascii="宋体" w:hAnsi="宋体" w:eastAsia="宋体" w:cs="宋体"/>
          <w:spacing w:val="33"/>
          <w:sz w:val="24"/>
          <w:szCs w:val="24"/>
        </w:rPr>
        <w:t xml:space="preserve"> </w:t>
      </w:r>
      <w:r>
        <w:rPr>
          <w:rFonts w:ascii="宋体" w:hAnsi="宋体" w:eastAsia="宋体" w:cs="宋体"/>
          <w:spacing w:val="-8"/>
          <w:sz w:val="24"/>
          <w:szCs w:val="24"/>
        </w:rPr>
        <w:t>的先后顺序解释。</w:t>
      </w:r>
    </w:p>
    <w:p w14:paraId="41AC9F7A">
      <w:pPr>
        <w:spacing w:before="182" w:line="345" w:lineRule="auto"/>
        <w:ind w:right="240" w:firstLine="481"/>
        <w:rPr>
          <w:rFonts w:ascii="宋体" w:hAnsi="宋体" w:eastAsia="宋体" w:cs="宋体"/>
          <w:sz w:val="24"/>
          <w:szCs w:val="24"/>
        </w:rPr>
      </w:pPr>
      <w:r>
        <w:rPr>
          <w:rFonts w:ascii="宋体" w:hAnsi="宋体" w:eastAsia="宋体" w:cs="宋体"/>
          <w:spacing w:val="-2"/>
          <w:sz w:val="24"/>
          <w:szCs w:val="24"/>
        </w:rPr>
        <w:t>2.1.2.“合同价格”系指根据合同规定乙方在正确地完全履行合同义务后甲方应支付</w:t>
      </w:r>
      <w:r>
        <w:rPr>
          <w:rFonts w:ascii="宋体" w:hAnsi="宋体" w:eastAsia="宋体" w:cs="宋体"/>
          <w:spacing w:val="4"/>
          <w:sz w:val="24"/>
          <w:szCs w:val="24"/>
        </w:rPr>
        <w:t xml:space="preserve"> </w:t>
      </w:r>
      <w:r>
        <w:rPr>
          <w:rFonts w:ascii="宋体" w:hAnsi="宋体" w:eastAsia="宋体" w:cs="宋体"/>
          <w:spacing w:val="-6"/>
          <w:sz w:val="24"/>
          <w:szCs w:val="24"/>
        </w:rPr>
        <w:t>给乙方的价格。</w:t>
      </w:r>
    </w:p>
    <w:p w14:paraId="6E187985">
      <w:pPr>
        <w:spacing w:before="36" w:line="219" w:lineRule="auto"/>
        <w:ind w:left="482"/>
        <w:rPr>
          <w:rFonts w:ascii="宋体" w:hAnsi="宋体" w:eastAsia="宋体" w:cs="宋体"/>
          <w:sz w:val="24"/>
          <w:szCs w:val="24"/>
        </w:rPr>
      </w:pPr>
      <w:r>
        <w:rPr>
          <w:rFonts w:ascii="宋体" w:hAnsi="宋体" w:eastAsia="宋体" w:cs="宋体"/>
          <w:spacing w:val="-3"/>
          <w:sz w:val="24"/>
          <w:szCs w:val="24"/>
        </w:rPr>
        <w:t>2.1.3.“合同条款”系指本合同条款。</w:t>
      </w:r>
    </w:p>
    <w:p w14:paraId="7B273670">
      <w:pPr>
        <w:spacing w:line="219" w:lineRule="auto"/>
        <w:rPr>
          <w:rFonts w:ascii="宋体" w:hAnsi="宋体" w:eastAsia="宋体" w:cs="宋体"/>
          <w:sz w:val="24"/>
          <w:szCs w:val="24"/>
        </w:rPr>
        <w:sectPr>
          <w:footerReference r:id="rId6" w:type="default"/>
          <w:pgSz w:w="11906" w:h="16839"/>
          <w:pgMar w:top="1121" w:right="1063" w:bottom="1262" w:left="1313" w:header="0" w:footer="1102" w:gutter="0"/>
          <w:pgNumType w:fmt="decimal"/>
          <w:cols w:space="720" w:num="1"/>
        </w:sectPr>
      </w:pPr>
    </w:p>
    <w:p w14:paraId="0AA60D1C">
      <w:pPr>
        <w:spacing w:before="48" w:line="346" w:lineRule="auto"/>
        <w:ind w:left="484" w:right="2698"/>
        <w:rPr>
          <w:rFonts w:ascii="宋体" w:hAnsi="宋体" w:eastAsia="宋体" w:cs="宋体"/>
          <w:sz w:val="24"/>
          <w:szCs w:val="24"/>
        </w:rPr>
      </w:pPr>
      <w:r>
        <w:rPr>
          <w:rFonts w:ascii="宋体" w:hAnsi="宋体" w:eastAsia="宋体" w:cs="宋体"/>
          <w:spacing w:val="-2"/>
          <w:sz w:val="24"/>
          <w:szCs w:val="24"/>
        </w:rPr>
        <w:t>2.1.4.“技术需求”指的是竞争性谈判文件中的技术需求。</w:t>
      </w:r>
      <w:r>
        <w:rPr>
          <w:rFonts w:ascii="宋体" w:hAnsi="宋体" w:eastAsia="宋体" w:cs="宋体"/>
          <w:spacing w:val="9"/>
          <w:sz w:val="24"/>
          <w:szCs w:val="24"/>
        </w:rPr>
        <w:t xml:space="preserve"> </w:t>
      </w:r>
      <w:r>
        <w:rPr>
          <w:rFonts w:ascii="宋体" w:hAnsi="宋体" w:eastAsia="宋体" w:cs="宋体"/>
          <w:spacing w:val="-7"/>
          <w:sz w:val="24"/>
          <w:szCs w:val="24"/>
        </w:rPr>
        <w:t>2.2.实体：</w:t>
      </w:r>
    </w:p>
    <w:p w14:paraId="5B0B0651">
      <w:pPr>
        <w:spacing w:before="33" w:line="220" w:lineRule="auto"/>
        <w:ind w:left="484"/>
        <w:rPr>
          <w:rFonts w:ascii="宋体" w:hAnsi="宋体" w:eastAsia="宋体" w:cs="宋体"/>
          <w:sz w:val="24"/>
          <w:szCs w:val="24"/>
        </w:rPr>
      </w:pPr>
      <w:r>
        <w:rPr>
          <w:rFonts w:ascii="宋体" w:hAnsi="宋体" w:eastAsia="宋体" w:cs="宋体"/>
          <w:spacing w:val="-2"/>
          <w:sz w:val="24"/>
          <w:szCs w:val="24"/>
        </w:rPr>
        <w:t>2.2.1.“甲方”系指在合同中指明的购买服务的单位。</w:t>
      </w:r>
    </w:p>
    <w:p w14:paraId="7420500A">
      <w:pPr>
        <w:spacing w:before="181" w:line="219" w:lineRule="auto"/>
        <w:ind w:left="484"/>
        <w:rPr>
          <w:rFonts w:ascii="宋体" w:hAnsi="宋体" w:eastAsia="宋体" w:cs="宋体"/>
          <w:sz w:val="24"/>
          <w:szCs w:val="24"/>
        </w:rPr>
      </w:pPr>
      <w:r>
        <w:rPr>
          <w:rFonts w:ascii="宋体" w:hAnsi="宋体" w:eastAsia="宋体" w:cs="宋体"/>
          <w:spacing w:val="-1"/>
          <w:sz w:val="24"/>
          <w:szCs w:val="24"/>
        </w:rPr>
        <w:t>2.2.1.“乙方”系指在合同中指明的提供本合</w:t>
      </w:r>
      <w:r>
        <w:rPr>
          <w:rFonts w:ascii="宋体" w:hAnsi="宋体" w:eastAsia="宋体" w:cs="宋体"/>
          <w:spacing w:val="-2"/>
          <w:sz w:val="24"/>
          <w:szCs w:val="24"/>
        </w:rPr>
        <w:t>同项下服务的公司或实体。</w:t>
      </w:r>
    </w:p>
    <w:p w14:paraId="597C691D">
      <w:pPr>
        <w:spacing w:before="182" w:line="346" w:lineRule="auto"/>
        <w:ind w:left="484" w:right="58"/>
        <w:rPr>
          <w:rFonts w:ascii="宋体" w:hAnsi="宋体" w:eastAsia="宋体" w:cs="宋体"/>
          <w:sz w:val="24"/>
          <w:szCs w:val="24"/>
        </w:rPr>
      </w:pPr>
      <w:r>
        <w:rPr>
          <w:rFonts w:ascii="宋体" w:hAnsi="宋体" w:eastAsia="宋体" w:cs="宋体"/>
          <w:spacing w:val="-1"/>
          <w:sz w:val="24"/>
          <w:szCs w:val="24"/>
        </w:rPr>
        <w:t>2.2.3.“最终用户”系指在合同中指明的、授权甲方采购合同项</w:t>
      </w:r>
      <w:r>
        <w:rPr>
          <w:rFonts w:ascii="宋体" w:hAnsi="宋体" w:eastAsia="宋体" w:cs="宋体"/>
          <w:spacing w:val="-2"/>
          <w:sz w:val="24"/>
          <w:szCs w:val="24"/>
        </w:rPr>
        <w:t>下服务的委托单位。</w:t>
      </w:r>
      <w:r>
        <w:rPr>
          <w:rFonts w:ascii="宋体" w:hAnsi="宋体" w:eastAsia="宋体" w:cs="宋体"/>
          <w:sz w:val="24"/>
          <w:szCs w:val="24"/>
        </w:rPr>
        <w:t xml:space="preserve"> </w:t>
      </w:r>
      <w:r>
        <w:rPr>
          <w:rFonts w:ascii="宋体" w:hAnsi="宋体" w:eastAsia="宋体" w:cs="宋体"/>
          <w:spacing w:val="-8"/>
          <w:sz w:val="24"/>
          <w:szCs w:val="24"/>
        </w:rPr>
        <w:t>2.3.事项：</w:t>
      </w:r>
    </w:p>
    <w:p w14:paraId="013A6B9E">
      <w:pPr>
        <w:spacing w:before="34" w:line="345" w:lineRule="auto"/>
        <w:ind w:left="18" w:right="85" w:firstLine="466"/>
        <w:rPr>
          <w:rFonts w:ascii="宋体" w:hAnsi="宋体" w:eastAsia="宋体" w:cs="宋体"/>
          <w:sz w:val="24"/>
          <w:szCs w:val="24"/>
        </w:rPr>
      </w:pPr>
      <w:r>
        <w:rPr>
          <w:rFonts w:ascii="宋体" w:hAnsi="宋体" w:eastAsia="宋体" w:cs="宋体"/>
          <w:spacing w:val="-6"/>
          <w:sz w:val="24"/>
          <w:szCs w:val="24"/>
        </w:rPr>
        <w:t>2.3.1.“服务”系指根据合同规定，乙方应提供的技术、管理和其它服务，</w:t>
      </w:r>
      <w:r>
        <w:rPr>
          <w:rFonts w:ascii="宋体" w:hAnsi="宋体" w:eastAsia="宋体" w:cs="宋体"/>
          <w:spacing w:val="47"/>
          <w:sz w:val="24"/>
          <w:szCs w:val="24"/>
        </w:rPr>
        <w:t xml:space="preserve"> </w:t>
      </w:r>
      <w:r>
        <w:rPr>
          <w:rFonts w:ascii="宋体" w:hAnsi="宋体" w:eastAsia="宋体" w:cs="宋体"/>
          <w:spacing w:val="-6"/>
          <w:sz w:val="24"/>
          <w:szCs w:val="24"/>
        </w:rPr>
        <w:t>包</w:t>
      </w:r>
      <w:r>
        <w:rPr>
          <w:rFonts w:ascii="宋体" w:hAnsi="宋体" w:eastAsia="宋体" w:cs="宋体"/>
          <w:spacing w:val="-7"/>
          <w:sz w:val="24"/>
          <w:szCs w:val="24"/>
        </w:rPr>
        <w:t>括但不</w:t>
      </w:r>
      <w:r>
        <w:rPr>
          <w:rFonts w:ascii="宋体" w:hAnsi="宋体" w:eastAsia="宋体" w:cs="宋体"/>
          <w:spacing w:val="-1"/>
          <w:sz w:val="24"/>
          <w:szCs w:val="24"/>
        </w:rPr>
        <w:t>限于：检测、验收及技术服务等。详见本合同第六条“ 维保执行标准及技</w:t>
      </w:r>
      <w:r>
        <w:rPr>
          <w:rFonts w:ascii="宋体" w:hAnsi="宋体" w:eastAsia="宋体" w:cs="宋体"/>
          <w:spacing w:val="-2"/>
          <w:sz w:val="24"/>
          <w:szCs w:val="24"/>
        </w:rPr>
        <w:t>术要求 ”。</w:t>
      </w:r>
    </w:p>
    <w:p w14:paraId="10D009E9">
      <w:pPr>
        <w:spacing w:before="36" w:line="346" w:lineRule="auto"/>
        <w:ind w:left="484" w:right="778"/>
        <w:rPr>
          <w:rFonts w:ascii="宋体" w:hAnsi="宋体" w:eastAsia="宋体" w:cs="宋体"/>
          <w:sz w:val="24"/>
          <w:szCs w:val="24"/>
        </w:rPr>
      </w:pPr>
      <w:r>
        <w:rPr>
          <w:rFonts w:ascii="宋体" w:hAnsi="宋体" w:eastAsia="宋体" w:cs="宋体"/>
          <w:spacing w:val="-1"/>
          <w:sz w:val="24"/>
          <w:szCs w:val="24"/>
        </w:rPr>
        <w:t>2.3.2.“资料”指乙方在合同项下，根据合同规定</w:t>
      </w:r>
      <w:r>
        <w:rPr>
          <w:rFonts w:ascii="宋体" w:hAnsi="宋体" w:eastAsia="宋体" w:cs="宋体"/>
          <w:spacing w:val="-2"/>
          <w:sz w:val="24"/>
          <w:szCs w:val="24"/>
        </w:rPr>
        <w:t>须向甲方提供的所有文件。</w:t>
      </w:r>
      <w:r>
        <w:rPr>
          <w:rFonts w:ascii="宋体" w:hAnsi="宋体" w:eastAsia="宋体" w:cs="宋体"/>
          <w:sz w:val="24"/>
          <w:szCs w:val="24"/>
        </w:rPr>
        <w:t xml:space="preserve"> </w:t>
      </w:r>
      <w:r>
        <w:rPr>
          <w:rFonts w:ascii="宋体" w:hAnsi="宋体" w:eastAsia="宋体" w:cs="宋体"/>
          <w:spacing w:val="-7"/>
          <w:sz w:val="24"/>
          <w:szCs w:val="24"/>
        </w:rPr>
        <w:t>2.4.活动：</w:t>
      </w:r>
    </w:p>
    <w:p w14:paraId="3E262AC4">
      <w:pPr>
        <w:spacing w:before="35" w:line="345" w:lineRule="auto"/>
        <w:ind w:left="3" w:firstLine="480"/>
        <w:rPr>
          <w:rFonts w:ascii="宋体" w:hAnsi="宋体" w:eastAsia="宋体" w:cs="宋体"/>
          <w:sz w:val="24"/>
          <w:szCs w:val="24"/>
        </w:rPr>
      </w:pPr>
      <w:r>
        <w:rPr>
          <w:rFonts w:ascii="宋体" w:hAnsi="宋体" w:eastAsia="宋体" w:cs="宋体"/>
          <w:spacing w:val="-2"/>
          <w:sz w:val="24"/>
          <w:szCs w:val="24"/>
        </w:rPr>
        <w:t>2.4.1.“验收”是指所有合同项下所供货物或服务在检测中达到合同规定的技术标准</w:t>
      </w:r>
      <w:r>
        <w:rPr>
          <w:rFonts w:ascii="宋体" w:hAnsi="宋体" w:eastAsia="宋体" w:cs="宋体"/>
          <w:spacing w:val="4"/>
          <w:sz w:val="24"/>
          <w:szCs w:val="24"/>
        </w:rPr>
        <w:t xml:space="preserve"> </w:t>
      </w:r>
      <w:r>
        <w:rPr>
          <w:rFonts w:ascii="宋体" w:hAnsi="宋体" w:eastAsia="宋体" w:cs="宋体"/>
          <w:spacing w:val="-6"/>
          <w:sz w:val="24"/>
          <w:szCs w:val="24"/>
        </w:rPr>
        <w:t>后，甲方予以接受，成交人在合同签订之前按照甲方需求确定验收方案，并作为合同附件。</w:t>
      </w:r>
    </w:p>
    <w:p w14:paraId="68F27FD3">
      <w:pPr>
        <w:spacing w:before="35" w:line="222" w:lineRule="auto"/>
        <w:ind w:left="484"/>
        <w:rPr>
          <w:rFonts w:ascii="宋体" w:hAnsi="宋体" w:eastAsia="宋体" w:cs="宋体"/>
          <w:sz w:val="24"/>
          <w:szCs w:val="24"/>
        </w:rPr>
      </w:pPr>
      <w:r>
        <w:rPr>
          <w:rFonts w:ascii="宋体" w:hAnsi="宋体" w:eastAsia="宋体" w:cs="宋体"/>
          <w:spacing w:val="-6"/>
          <w:sz w:val="24"/>
          <w:szCs w:val="24"/>
        </w:rPr>
        <w:t>2.5.地点和时间：</w:t>
      </w:r>
    </w:p>
    <w:p w14:paraId="5E1B876E">
      <w:pPr>
        <w:spacing w:before="178" w:line="219" w:lineRule="auto"/>
        <w:ind w:left="484"/>
        <w:rPr>
          <w:rFonts w:ascii="宋体" w:hAnsi="宋体" w:eastAsia="宋体" w:cs="宋体"/>
          <w:sz w:val="24"/>
          <w:szCs w:val="24"/>
        </w:rPr>
      </w:pPr>
      <w:r>
        <w:rPr>
          <w:rFonts w:ascii="宋体" w:hAnsi="宋体" w:eastAsia="宋体" w:cs="宋体"/>
          <w:spacing w:val="-2"/>
          <w:sz w:val="24"/>
          <w:szCs w:val="24"/>
        </w:rPr>
        <w:t>2.5.1.“服务地点”指的是本合同约定地点。</w:t>
      </w:r>
    </w:p>
    <w:p w14:paraId="6BCDBAFE">
      <w:pPr>
        <w:spacing w:before="182" w:line="220" w:lineRule="auto"/>
        <w:ind w:left="3687"/>
        <w:outlineLvl w:val="0"/>
        <w:rPr>
          <w:rFonts w:ascii="宋体" w:hAnsi="宋体" w:eastAsia="宋体" w:cs="宋体"/>
          <w:sz w:val="24"/>
          <w:szCs w:val="24"/>
        </w:rPr>
      </w:pPr>
      <w:r>
        <w:rPr>
          <w:rFonts w:ascii="宋体" w:hAnsi="宋体" w:eastAsia="宋体" w:cs="宋体"/>
          <w:b/>
          <w:bCs/>
          <w:spacing w:val="-3"/>
          <w:sz w:val="24"/>
          <w:szCs w:val="24"/>
        </w:rPr>
        <w:t>第三条</w:t>
      </w:r>
      <w:r>
        <w:rPr>
          <w:rFonts w:ascii="宋体" w:hAnsi="宋体" w:eastAsia="宋体" w:cs="宋体"/>
          <w:spacing w:val="-3"/>
          <w:sz w:val="24"/>
          <w:szCs w:val="24"/>
        </w:rPr>
        <w:t xml:space="preserve">  </w:t>
      </w:r>
      <w:r>
        <w:rPr>
          <w:rFonts w:ascii="宋体" w:hAnsi="宋体" w:eastAsia="宋体" w:cs="宋体"/>
          <w:b/>
          <w:bCs/>
          <w:spacing w:val="-3"/>
          <w:sz w:val="24"/>
          <w:szCs w:val="24"/>
        </w:rPr>
        <w:t>合同标的</w:t>
      </w:r>
    </w:p>
    <w:p w14:paraId="436F7E10">
      <w:pPr>
        <w:spacing w:before="183" w:line="350" w:lineRule="auto"/>
        <w:ind w:right="85" w:firstLine="486"/>
        <w:rPr>
          <w:rFonts w:ascii="宋体" w:hAnsi="宋体" w:eastAsia="宋体" w:cs="宋体"/>
          <w:sz w:val="24"/>
          <w:szCs w:val="24"/>
        </w:rPr>
      </w:pPr>
      <w:r>
        <w:rPr>
          <w:rFonts w:ascii="宋体" w:hAnsi="宋体" w:eastAsia="宋体" w:cs="宋体"/>
          <w:sz w:val="24"/>
          <w:szCs w:val="24"/>
        </w:rPr>
        <w:t>3.1.本合同标的为中华人民共和国新疆出入境</w:t>
      </w:r>
      <w:r>
        <w:rPr>
          <w:rFonts w:ascii="宋体" w:hAnsi="宋体" w:eastAsia="宋体" w:cs="宋体"/>
          <w:spacing w:val="-1"/>
          <w:sz w:val="24"/>
          <w:szCs w:val="24"/>
        </w:rPr>
        <w:t>边防检查</w:t>
      </w:r>
      <w:r>
        <w:rPr>
          <w:rFonts w:hint="eastAsia" w:ascii="宋体" w:hAnsi="宋体" w:eastAsia="宋体" w:cs="宋体"/>
          <w:spacing w:val="-1"/>
          <w:sz w:val="24"/>
          <w:szCs w:val="24"/>
          <w:lang w:eastAsia="zh-CN"/>
        </w:rPr>
        <w:t>总站执法记录仪数据管理平台、调度平台维保服务</w:t>
      </w:r>
      <w:r>
        <w:rPr>
          <w:rFonts w:ascii="宋体" w:hAnsi="宋体" w:eastAsia="宋体" w:cs="宋体"/>
          <w:spacing w:val="-1"/>
          <w:sz w:val="24"/>
          <w:szCs w:val="24"/>
        </w:rPr>
        <w:t>采</w:t>
      </w:r>
      <w:r>
        <w:rPr>
          <w:rFonts w:ascii="宋体" w:hAnsi="宋体" w:eastAsia="宋体" w:cs="宋体"/>
          <w:spacing w:val="-2"/>
          <w:sz w:val="24"/>
          <w:szCs w:val="24"/>
        </w:rPr>
        <w:t>购项目，本合同价格为固定价。合同总价包含维修、保养及所需的特殊专用工具、人员的工资、劳务、加班、差旅等一切税金和费用，除此甲方不再承担任何费用；</w:t>
      </w:r>
    </w:p>
    <w:p w14:paraId="1BE6AF1D">
      <w:pPr>
        <w:spacing w:before="34" w:line="219" w:lineRule="auto"/>
        <w:ind w:left="486"/>
        <w:rPr>
          <w:rFonts w:ascii="宋体" w:hAnsi="宋体" w:eastAsia="宋体" w:cs="宋体"/>
          <w:sz w:val="24"/>
          <w:szCs w:val="24"/>
        </w:rPr>
      </w:pPr>
      <w:r>
        <w:rPr>
          <w:rFonts w:ascii="宋体" w:hAnsi="宋体" w:eastAsia="宋体" w:cs="宋体"/>
          <w:spacing w:val="-1"/>
          <w:sz w:val="24"/>
          <w:szCs w:val="24"/>
        </w:rPr>
        <w:t>3.2.项目金额：大写：</w:t>
      </w:r>
      <w:r>
        <w:rPr>
          <w:rFonts w:ascii="宋体" w:hAnsi="宋体" w:eastAsia="宋体" w:cs="宋体"/>
          <w:spacing w:val="-1"/>
          <w:sz w:val="24"/>
          <w:szCs w:val="24"/>
          <w:u w:val="single" w:color="auto"/>
        </w:rPr>
        <w:t xml:space="preserve">         </w:t>
      </w:r>
      <w:r>
        <w:rPr>
          <w:rFonts w:ascii="宋体" w:hAnsi="宋体" w:eastAsia="宋体" w:cs="宋体"/>
          <w:spacing w:val="-2"/>
          <w:sz w:val="24"/>
          <w:szCs w:val="24"/>
          <w:u w:val="single" w:color="auto"/>
        </w:rPr>
        <w:t xml:space="preserve">  </w:t>
      </w:r>
      <w:r>
        <w:rPr>
          <w:rFonts w:ascii="宋体" w:hAnsi="宋体" w:eastAsia="宋体" w:cs="宋体"/>
          <w:spacing w:val="-108"/>
          <w:sz w:val="24"/>
          <w:szCs w:val="24"/>
        </w:rPr>
        <w:t xml:space="preserve"> </w:t>
      </w:r>
      <w:r>
        <w:rPr>
          <w:rFonts w:ascii="宋体" w:hAnsi="宋体" w:eastAsia="宋体" w:cs="宋体"/>
          <w:spacing w:val="-2"/>
          <w:sz w:val="24"/>
          <w:szCs w:val="24"/>
        </w:rPr>
        <w:t>元。 小写</w:t>
      </w:r>
      <w:r>
        <w:rPr>
          <w:rFonts w:ascii="宋体" w:hAnsi="宋体" w:eastAsia="宋体" w:cs="宋体"/>
          <w:spacing w:val="-5"/>
          <w:sz w:val="24"/>
          <w:szCs w:val="24"/>
        </w:rPr>
        <w:t>：</w:t>
      </w:r>
      <w:r>
        <w:rPr>
          <w:rFonts w:ascii="宋体" w:hAnsi="宋体" w:eastAsia="宋体" w:cs="宋体"/>
          <w:sz w:val="24"/>
          <w:szCs w:val="24"/>
          <w:u w:val="single" w:color="auto"/>
        </w:rPr>
        <w:t xml:space="preserve">        </w:t>
      </w:r>
      <w:r>
        <w:rPr>
          <w:rFonts w:ascii="宋体" w:hAnsi="宋体" w:eastAsia="宋体" w:cs="宋体"/>
          <w:spacing w:val="-5"/>
          <w:sz w:val="24"/>
          <w:szCs w:val="24"/>
        </w:rPr>
        <w:t>（</w:t>
      </w:r>
      <w:r>
        <w:rPr>
          <w:rFonts w:ascii="宋体" w:hAnsi="宋体" w:eastAsia="宋体" w:cs="宋体"/>
          <w:spacing w:val="-2"/>
          <w:sz w:val="24"/>
          <w:szCs w:val="24"/>
        </w:rPr>
        <w:t>人民币元）。</w:t>
      </w:r>
    </w:p>
    <w:p w14:paraId="06C5EA37">
      <w:pPr>
        <w:spacing w:before="182" w:line="220" w:lineRule="auto"/>
        <w:ind w:left="3687"/>
        <w:outlineLvl w:val="0"/>
        <w:rPr>
          <w:rFonts w:ascii="宋体" w:hAnsi="宋体" w:eastAsia="宋体" w:cs="宋体"/>
          <w:sz w:val="24"/>
          <w:szCs w:val="24"/>
        </w:rPr>
      </w:pPr>
      <w:r>
        <w:rPr>
          <w:rFonts w:ascii="宋体" w:hAnsi="宋体" w:eastAsia="宋体" w:cs="宋体"/>
          <w:b/>
          <w:bCs/>
          <w:spacing w:val="-3"/>
          <w:sz w:val="24"/>
          <w:szCs w:val="24"/>
        </w:rPr>
        <w:t>第四条</w:t>
      </w:r>
      <w:r>
        <w:rPr>
          <w:rFonts w:ascii="宋体" w:hAnsi="宋体" w:eastAsia="宋体" w:cs="宋体"/>
          <w:spacing w:val="-3"/>
          <w:sz w:val="24"/>
          <w:szCs w:val="24"/>
        </w:rPr>
        <w:t xml:space="preserve">  </w:t>
      </w:r>
      <w:r>
        <w:rPr>
          <w:rFonts w:ascii="宋体" w:hAnsi="宋体" w:eastAsia="宋体" w:cs="宋体"/>
          <w:b/>
          <w:bCs/>
          <w:spacing w:val="-3"/>
          <w:sz w:val="24"/>
          <w:szCs w:val="24"/>
        </w:rPr>
        <w:t>保密条款</w:t>
      </w:r>
    </w:p>
    <w:p w14:paraId="16122727">
      <w:pPr>
        <w:spacing w:before="183" w:line="352" w:lineRule="auto"/>
        <w:ind w:right="18" w:firstLine="480"/>
        <w:jc w:val="both"/>
        <w:rPr>
          <w:rFonts w:ascii="宋体" w:hAnsi="宋体" w:eastAsia="宋体" w:cs="宋体"/>
          <w:sz w:val="24"/>
          <w:szCs w:val="24"/>
        </w:rPr>
      </w:pPr>
      <w:r>
        <w:rPr>
          <w:rFonts w:ascii="宋体" w:hAnsi="宋体" w:eastAsia="宋体" w:cs="宋体"/>
          <w:spacing w:val="-2"/>
          <w:sz w:val="24"/>
          <w:szCs w:val="24"/>
        </w:rPr>
        <w:t>4.1.甲乙任何一方应对在本合同签订或履行过程中所接触到的对方的保密信息，包括</w:t>
      </w:r>
      <w:r>
        <w:rPr>
          <w:rFonts w:ascii="宋体" w:hAnsi="宋体" w:eastAsia="宋体" w:cs="宋体"/>
          <w:spacing w:val="6"/>
          <w:sz w:val="24"/>
          <w:szCs w:val="24"/>
        </w:rPr>
        <w:t xml:space="preserve"> </w:t>
      </w:r>
      <w:r>
        <w:rPr>
          <w:rFonts w:ascii="宋体" w:hAnsi="宋体" w:eastAsia="宋体" w:cs="宋体"/>
          <w:spacing w:val="-2"/>
          <w:sz w:val="24"/>
          <w:szCs w:val="24"/>
        </w:rPr>
        <w:t>但不限于知识产权信息、内部管理办法、内部规章制度以及其他与甲乙双方内部规章相关</w:t>
      </w:r>
      <w:r>
        <w:rPr>
          <w:rFonts w:ascii="宋体" w:hAnsi="宋体" w:eastAsia="宋体" w:cs="宋体"/>
          <w:spacing w:val="-6"/>
          <w:sz w:val="24"/>
          <w:szCs w:val="24"/>
        </w:rPr>
        <w:t>的信息，负有保密义务。除甲方为了了解本项目建设必须对项目业主等相关第三方</w:t>
      </w:r>
      <w:r>
        <w:rPr>
          <w:rFonts w:ascii="宋体" w:hAnsi="宋体" w:eastAsia="宋体" w:cs="宋体"/>
          <w:spacing w:val="-7"/>
          <w:sz w:val="24"/>
          <w:szCs w:val="24"/>
        </w:rPr>
        <w:t>披露外，</w:t>
      </w:r>
      <w:r>
        <w:rPr>
          <w:rFonts w:ascii="宋体" w:hAnsi="宋体" w:eastAsia="宋体" w:cs="宋体"/>
          <w:spacing w:val="-1"/>
          <w:sz w:val="24"/>
          <w:szCs w:val="24"/>
        </w:rPr>
        <w:t>未经对方同意任何一方不得将本合同及履行本合同的相关文</w:t>
      </w:r>
      <w:r>
        <w:rPr>
          <w:rFonts w:ascii="宋体" w:hAnsi="宋体" w:eastAsia="宋体" w:cs="宋体"/>
          <w:spacing w:val="-2"/>
          <w:sz w:val="24"/>
          <w:szCs w:val="24"/>
        </w:rPr>
        <w:t>件向第三方披露。</w:t>
      </w:r>
    </w:p>
    <w:p w14:paraId="3C00880B">
      <w:pPr>
        <w:spacing w:before="35" w:line="346" w:lineRule="auto"/>
        <w:ind w:right="85" w:firstLine="480"/>
        <w:rPr>
          <w:rFonts w:ascii="宋体" w:hAnsi="宋体" w:eastAsia="宋体" w:cs="宋体"/>
          <w:sz w:val="24"/>
          <w:szCs w:val="24"/>
        </w:rPr>
      </w:pPr>
      <w:r>
        <w:rPr>
          <w:rFonts w:ascii="宋体" w:hAnsi="宋体" w:eastAsia="宋体" w:cs="宋体"/>
          <w:spacing w:val="-2"/>
          <w:sz w:val="24"/>
          <w:szCs w:val="24"/>
        </w:rPr>
        <w:t>4.2.在本合同履行期间内，任何一方对获得与本项目相关的对方的商业机密，皆应谨</w:t>
      </w:r>
      <w:r>
        <w:rPr>
          <w:rFonts w:ascii="宋体" w:hAnsi="宋体" w:eastAsia="宋体" w:cs="宋体"/>
          <w:spacing w:val="6"/>
          <w:sz w:val="24"/>
          <w:szCs w:val="24"/>
        </w:rPr>
        <w:t xml:space="preserve"> </w:t>
      </w:r>
      <w:r>
        <w:rPr>
          <w:rFonts w:ascii="宋体" w:hAnsi="宋体" w:eastAsia="宋体" w:cs="宋体"/>
          <w:spacing w:val="-4"/>
          <w:sz w:val="24"/>
          <w:szCs w:val="24"/>
        </w:rPr>
        <w:t>慎地进行披露和接受。</w:t>
      </w:r>
    </w:p>
    <w:p w14:paraId="75360ABB">
      <w:pPr>
        <w:spacing w:before="35" w:line="346" w:lineRule="auto"/>
        <w:ind w:left="29" w:right="85" w:firstLine="451"/>
        <w:rPr>
          <w:rFonts w:ascii="宋体" w:hAnsi="宋体" w:eastAsia="宋体" w:cs="宋体"/>
          <w:sz w:val="24"/>
          <w:szCs w:val="24"/>
        </w:rPr>
      </w:pPr>
      <w:r>
        <w:rPr>
          <w:rFonts w:ascii="宋体" w:hAnsi="宋体" w:eastAsia="宋体" w:cs="宋体"/>
          <w:spacing w:val="-2"/>
          <w:sz w:val="24"/>
          <w:szCs w:val="24"/>
        </w:rPr>
        <w:t>4.3.本合同履行完毕或终止后，一方将立即归还从对方处获得的一切保密信息，或者</w:t>
      </w:r>
      <w:r>
        <w:rPr>
          <w:rFonts w:ascii="宋体" w:hAnsi="宋体" w:eastAsia="宋体" w:cs="宋体"/>
          <w:spacing w:val="6"/>
          <w:sz w:val="24"/>
          <w:szCs w:val="24"/>
        </w:rPr>
        <w:t xml:space="preserve"> </w:t>
      </w:r>
      <w:r>
        <w:rPr>
          <w:rFonts w:ascii="宋体" w:hAnsi="宋体" w:eastAsia="宋体" w:cs="宋体"/>
          <w:spacing w:val="-6"/>
          <w:sz w:val="24"/>
          <w:szCs w:val="24"/>
        </w:rPr>
        <w:t>以对方认可的方式进行销毁。</w:t>
      </w:r>
    </w:p>
    <w:p w14:paraId="106F68D9">
      <w:pPr>
        <w:spacing w:before="153" w:line="219" w:lineRule="auto"/>
        <w:ind w:left="481"/>
        <w:rPr>
          <w:rFonts w:ascii="宋体" w:hAnsi="宋体" w:eastAsia="宋体" w:cs="宋体"/>
          <w:sz w:val="24"/>
          <w:szCs w:val="24"/>
        </w:rPr>
      </w:pPr>
      <w:r>
        <w:rPr>
          <w:rFonts w:ascii="宋体" w:hAnsi="宋体" w:eastAsia="宋体" w:cs="宋体"/>
          <w:spacing w:val="-2"/>
          <w:sz w:val="24"/>
          <w:szCs w:val="24"/>
        </w:rPr>
        <w:t>双方的保密义务不受本合同的终止或解除的影响。</w:t>
      </w:r>
    </w:p>
    <w:p w14:paraId="544C47CA">
      <w:pPr>
        <w:spacing w:before="182" w:line="220" w:lineRule="auto"/>
        <w:ind w:left="2603"/>
        <w:outlineLvl w:val="0"/>
        <w:rPr>
          <w:rFonts w:ascii="宋体" w:hAnsi="宋体" w:eastAsia="宋体" w:cs="宋体"/>
          <w:sz w:val="24"/>
          <w:szCs w:val="24"/>
        </w:rPr>
      </w:pPr>
      <w:r>
        <w:rPr>
          <w:rFonts w:ascii="宋体" w:hAnsi="宋体" w:eastAsia="宋体" w:cs="宋体"/>
          <w:b/>
          <w:bCs/>
          <w:spacing w:val="-2"/>
          <w:sz w:val="24"/>
          <w:szCs w:val="24"/>
        </w:rPr>
        <w:t>第五条</w:t>
      </w:r>
      <w:r>
        <w:rPr>
          <w:rFonts w:ascii="宋体" w:hAnsi="宋体" w:eastAsia="宋体" w:cs="宋体"/>
          <w:spacing w:val="-2"/>
          <w:sz w:val="24"/>
          <w:szCs w:val="24"/>
        </w:rPr>
        <w:t xml:space="preserve">  </w:t>
      </w:r>
      <w:r>
        <w:rPr>
          <w:rFonts w:ascii="宋体" w:hAnsi="宋体" w:eastAsia="宋体" w:cs="宋体"/>
          <w:b/>
          <w:bCs/>
          <w:spacing w:val="-2"/>
          <w:sz w:val="24"/>
          <w:szCs w:val="24"/>
        </w:rPr>
        <w:t>付款方式、履约保证金和期限</w:t>
      </w:r>
    </w:p>
    <w:p w14:paraId="7A0F5154">
      <w:pPr>
        <w:spacing w:line="220" w:lineRule="auto"/>
        <w:rPr>
          <w:rFonts w:ascii="宋体" w:hAnsi="宋体" w:eastAsia="宋体" w:cs="宋体"/>
          <w:sz w:val="24"/>
          <w:szCs w:val="24"/>
        </w:rPr>
        <w:sectPr>
          <w:footerReference r:id="rId7" w:type="default"/>
          <w:pgSz w:w="11906" w:h="16839"/>
          <w:pgMar w:top="1123" w:right="1218" w:bottom="1262" w:left="1311" w:header="0" w:footer="1102" w:gutter="0"/>
          <w:pgNumType w:fmt="decimal"/>
          <w:cols w:space="720" w:num="1"/>
        </w:sectPr>
      </w:pPr>
    </w:p>
    <w:p w14:paraId="3B1ABB65">
      <w:pPr>
        <w:spacing w:before="34" w:line="350" w:lineRule="auto"/>
        <w:ind w:left="2" w:right="98" w:firstLine="241"/>
        <w:jc w:val="both"/>
        <w:rPr>
          <w:rFonts w:ascii="宋体" w:hAnsi="宋体" w:eastAsia="宋体" w:cs="宋体"/>
          <w:spacing w:val="-2"/>
          <w:sz w:val="24"/>
          <w:szCs w:val="24"/>
          <w:highlight w:val="yellow"/>
        </w:rPr>
      </w:pPr>
      <w:r>
        <w:rPr>
          <w:rFonts w:ascii="宋体" w:hAnsi="宋体" w:eastAsia="宋体" w:cs="宋体"/>
          <w:spacing w:val="-2"/>
          <w:sz w:val="24"/>
          <w:szCs w:val="24"/>
        </w:rPr>
        <w:t>5.1.</w:t>
      </w:r>
      <w:r>
        <w:rPr>
          <w:rFonts w:hint="eastAsia" w:ascii="宋体" w:hAnsi="宋体" w:eastAsia="宋体" w:cs="宋体"/>
          <w:spacing w:val="-2"/>
          <w:sz w:val="24"/>
          <w:szCs w:val="24"/>
          <w:highlight w:val="yellow"/>
          <w:lang w:val="en-US" w:eastAsia="zh-CN"/>
        </w:rPr>
        <w:t>合同签订前，乙方向甲方提供成交金额10%的履约保证金（有效期：12个月），合同签订后10个工作日内，乙方开具合同价100%发票，甲方支付合同价款的100%。项目履约完成后，乙方配合甲方开展决算审计工作。</w:t>
      </w:r>
      <w:r>
        <w:rPr>
          <w:rFonts w:hint="eastAsia" w:ascii="宋体" w:hAnsi="宋体" w:eastAsia="宋体" w:cs="宋体"/>
          <w:color w:val="auto"/>
          <w:sz w:val="24"/>
          <w:szCs w:val="24"/>
          <w:highlight w:val="yellow"/>
          <w:lang w:val="zh-TW" w:eastAsia="zh-CN"/>
        </w:rPr>
        <w:t>（</w:t>
      </w:r>
      <w:r>
        <w:rPr>
          <w:rFonts w:hint="eastAsia" w:ascii="宋体" w:hAnsi="宋体" w:eastAsia="宋体" w:cs="宋体"/>
          <w:color w:val="auto"/>
          <w:sz w:val="24"/>
          <w:szCs w:val="24"/>
          <w:highlight w:val="yellow"/>
          <w:lang w:val="zh-TW"/>
        </w:rPr>
        <w:t>服务周期内存在未按照合同履行服务</w:t>
      </w:r>
      <w:r>
        <w:rPr>
          <w:rFonts w:hint="eastAsia" w:ascii="宋体" w:hAnsi="宋体" w:eastAsia="宋体" w:cs="宋体"/>
          <w:color w:val="auto"/>
          <w:sz w:val="24"/>
          <w:szCs w:val="24"/>
          <w:highlight w:val="yellow"/>
          <w:lang w:val="en-US" w:eastAsia="zh-CN"/>
        </w:rPr>
        <w:t>等情形</w:t>
      </w:r>
      <w:r>
        <w:rPr>
          <w:rFonts w:hint="eastAsia" w:ascii="宋体" w:hAnsi="宋体" w:eastAsia="宋体" w:cs="宋体"/>
          <w:color w:val="auto"/>
          <w:sz w:val="24"/>
          <w:szCs w:val="24"/>
          <w:highlight w:val="yellow"/>
          <w:lang w:val="zh-TW"/>
        </w:rPr>
        <w:t>，</w:t>
      </w:r>
      <w:r>
        <w:rPr>
          <w:rFonts w:hint="eastAsia" w:ascii="宋体" w:hAnsi="宋体" w:eastAsia="宋体" w:cs="宋体"/>
          <w:color w:val="auto"/>
          <w:sz w:val="24"/>
          <w:szCs w:val="24"/>
          <w:highlight w:val="yellow"/>
          <w:lang w:val="en-US" w:eastAsia="zh-CN"/>
        </w:rPr>
        <w:t>经第三方审计公司审减，审减金额可从履约保证金中扣除，若超出履约保证金上限，由乙方另行支付。</w:t>
      </w:r>
      <w:r>
        <w:rPr>
          <w:rFonts w:hint="eastAsia" w:ascii="宋体" w:hAnsi="宋体" w:eastAsia="宋体" w:cs="宋体"/>
          <w:color w:val="auto"/>
          <w:sz w:val="24"/>
          <w:szCs w:val="24"/>
          <w:highlight w:val="yellow"/>
          <w:lang w:val="zh-TW" w:eastAsia="zh-CN"/>
        </w:rPr>
        <w:t>）</w:t>
      </w:r>
    </w:p>
    <w:p w14:paraId="6D5EA306">
      <w:pPr>
        <w:spacing w:before="34" w:line="350" w:lineRule="auto"/>
        <w:ind w:left="2" w:right="98" w:firstLine="241"/>
        <w:jc w:val="both"/>
        <w:rPr>
          <w:rFonts w:ascii="宋体" w:hAnsi="宋体" w:eastAsia="宋体" w:cs="宋体"/>
          <w:sz w:val="24"/>
          <w:szCs w:val="24"/>
        </w:rPr>
      </w:pPr>
      <w:r>
        <w:rPr>
          <w:rFonts w:ascii="宋体" w:hAnsi="宋体" w:eastAsia="宋体" w:cs="宋体"/>
          <w:spacing w:val="-2"/>
          <w:sz w:val="24"/>
          <w:szCs w:val="24"/>
        </w:rPr>
        <w:t>5.2.履约保证金：乙方在收到中标通知书后</w:t>
      </w:r>
      <w:r>
        <w:rPr>
          <w:rFonts w:ascii="宋体" w:hAnsi="宋体" w:eastAsia="宋体" w:cs="宋体"/>
          <w:spacing w:val="-32"/>
          <w:sz w:val="24"/>
          <w:szCs w:val="24"/>
          <w:highlight w:val="yellow"/>
        </w:rPr>
        <w:t xml:space="preserve"> </w:t>
      </w:r>
      <w:r>
        <w:rPr>
          <w:rFonts w:ascii="宋体" w:hAnsi="宋体" w:eastAsia="宋体" w:cs="宋体"/>
          <w:spacing w:val="-2"/>
          <w:sz w:val="24"/>
          <w:szCs w:val="24"/>
          <w:highlight w:val="yellow"/>
        </w:rPr>
        <w:t>7</w:t>
      </w:r>
      <w:r>
        <w:rPr>
          <w:rFonts w:ascii="宋体" w:hAnsi="宋体" w:eastAsia="宋体" w:cs="宋体"/>
          <w:spacing w:val="-51"/>
          <w:sz w:val="24"/>
          <w:szCs w:val="24"/>
          <w:highlight w:val="yellow"/>
        </w:rPr>
        <w:t xml:space="preserve"> </w:t>
      </w:r>
      <w:r>
        <w:rPr>
          <w:rFonts w:ascii="宋体" w:hAnsi="宋体" w:eastAsia="宋体" w:cs="宋体"/>
          <w:spacing w:val="-2"/>
          <w:sz w:val="24"/>
          <w:szCs w:val="24"/>
        </w:rPr>
        <w:t>个工作日内，向甲方缴纳中标金额</w:t>
      </w:r>
      <w:r>
        <w:rPr>
          <w:rFonts w:ascii="宋体" w:hAnsi="宋体" w:eastAsia="宋体" w:cs="宋体"/>
          <w:spacing w:val="-33"/>
          <w:sz w:val="24"/>
          <w:szCs w:val="24"/>
        </w:rPr>
        <w:t xml:space="preserve"> </w:t>
      </w:r>
      <w:r>
        <w:rPr>
          <w:rFonts w:ascii="宋体" w:hAnsi="宋体" w:eastAsia="宋体" w:cs="宋体"/>
          <w:spacing w:val="-2"/>
          <w:sz w:val="24"/>
          <w:szCs w:val="24"/>
        </w:rPr>
        <w:t>10%的履约保证金，项目履约完成后，双方不存在任何争议，甲方通过公对公支付的方式退还全</w:t>
      </w:r>
      <w:r>
        <w:rPr>
          <w:rFonts w:ascii="宋体" w:hAnsi="宋体" w:eastAsia="宋体" w:cs="宋体"/>
          <w:spacing w:val="-6"/>
          <w:sz w:val="24"/>
          <w:szCs w:val="24"/>
        </w:rPr>
        <w:t>部履约保证金。</w:t>
      </w:r>
    </w:p>
    <w:p w14:paraId="50059203">
      <w:pPr>
        <w:spacing w:before="34" w:line="346" w:lineRule="auto"/>
        <w:ind w:left="1" w:right="98" w:firstLine="482"/>
        <w:rPr>
          <w:rFonts w:ascii="宋体" w:hAnsi="宋体" w:eastAsia="宋体" w:cs="宋体"/>
          <w:sz w:val="24"/>
          <w:szCs w:val="24"/>
        </w:rPr>
      </w:pPr>
      <w:r>
        <w:rPr>
          <w:rFonts w:ascii="宋体" w:hAnsi="宋体" w:eastAsia="宋体" w:cs="宋体"/>
          <w:spacing w:val="-5"/>
          <w:sz w:val="24"/>
          <w:szCs w:val="24"/>
        </w:rPr>
        <w:t>5.3.履约期限为</w:t>
      </w:r>
      <w:r>
        <w:rPr>
          <w:rFonts w:ascii="宋体" w:hAnsi="宋体" w:eastAsia="宋体" w:cs="宋体"/>
          <w:spacing w:val="-23"/>
          <w:sz w:val="24"/>
          <w:szCs w:val="24"/>
        </w:rPr>
        <w:t xml:space="preserve"> </w:t>
      </w:r>
      <w:r>
        <w:rPr>
          <w:rFonts w:ascii="宋体" w:hAnsi="宋体" w:eastAsia="宋体" w:cs="宋体"/>
          <w:spacing w:val="-5"/>
          <w:sz w:val="24"/>
          <w:szCs w:val="24"/>
        </w:rPr>
        <w:t>1</w:t>
      </w:r>
      <w:r>
        <w:rPr>
          <w:rFonts w:ascii="宋体" w:hAnsi="宋体" w:eastAsia="宋体" w:cs="宋体"/>
          <w:spacing w:val="-50"/>
          <w:sz w:val="24"/>
          <w:szCs w:val="24"/>
        </w:rPr>
        <w:t xml:space="preserve"> </w:t>
      </w:r>
      <w:r>
        <w:rPr>
          <w:rFonts w:ascii="宋体" w:hAnsi="宋体" w:eastAsia="宋体" w:cs="宋体"/>
          <w:spacing w:val="-5"/>
          <w:sz w:val="24"/>
          <w:szCs w:val="24"/>
        </w:rPr>
        <w:t>年</w:t>
      </w:r>
      <w:r>
        <w:rPr>
          <w:rFonts w:hint="eastAsia" w:ascii="宋体" w:hAnsi="宋体" w:eastAsia="宋体" w:cs="宋体"/>
          <w:spacing w:val="-5"/>
          <w:sz w:val="24"/>
          <w:szCs w:val="24"/>
          <w:lang w:eastAsia="zh-CN"/>
        </w:rPr>
        <w:t>（</w:t>
      </w:r>
      <w:r>
        <w:rPr>
          <w:rFonts w:hint="eastAsia" w:ascii="宋体" w:hAnsi="宋体" w:eastAsia="宋体" w:cs="宋体"/>
          <w:spacing w:val="-5"/>
          <w:sz w:val="24"/>
          <w:szCs w:val="24"/>
          <w:lang w:val="en-US" w:eastAsia="zh-CN"/>
        </w:rPr>
        <w:t>自  年  月  日至  年  月  日</w:t>
      </w:r>
      <w:r>
        <w:rPr>
          <w:rFonts w:hint="eastAsia" w:ascii="宋体" w:hAnsi="宋体" w:eastAsia="宋体" w:cs="宋体"/>
          <w:spacing w:val="-5"/>
          <w:sz w:val="24"/>
          <w:szCs w:val="24"/>
          <w:lang w:eastAsia="zh-CN"/>
        </w:rPr>
        <w:t>）</w:t>
      </w:r>
      <w:r>
        <w:rPr>
          <w:rFonts w:ascii="宋体" w:hAnsi="宋体" w:eastAsia="宋体" w:cs="宋体"/>
          <w:spacing w:val="-5"/>
          <w:sz w:val="24"/>
          <w:szCs w:val="24"/>
        </w:rPr>
        <w:t>，自合同签订后</w:t>
      </w:r>
      <w:r>
        <w:rPr>
          <w:rFonts w:ascii="宋体" w:hAnsi="宋体" w:eastAsia="宋体" w:cs="宋体"/>
          <w:spacing w:val="-45"/>
          <w:sz w:val="24"/>
          <w:szCs w:val="24"/>
        </w:rPr>
        <w:t xml:space="preserve"> </w:t>
      </w:r>
      <w:r>
        <w:rPr>
          <w:rFonts w:ascii="宋体" w:hAnsi="宋体" w:eastAsia="宋体" w:cs="宋体"/>
          <w:spacing w:val="-5"/>
          <w:sz w:val="24"/>
          <w:szCs w:val="24"/>
        </w:rPr>
        <w:t>7 日内配合完成驻场人员背景审查、工作交接等</w:t>
      </w:r>
      <w:r>
        <w:rPr>
          <w:rFonts w:ascii="宋体" w:hAnsi="宋体" w:eastAsia="宋体" w:cs="宋体"/>
          <w:spacing w:val="-3"/>
          <w:sz w:val="24"/>
          <w:szCs w:val="24"/>
        </w:rPr>
        <w:t>准备工作，正式开展驻场运维工作。项目履约完成后</w:t>
      </w:r>
      <w:r>
        <w:rPr>
          <w:rFonts w:ascii="宋体" w:hAnsi="宋体" w:eastAsia="宋体" w:cs="宋体"/>
          <w:spacing w:val="-46"/>
          <w:sz w:val="24"/>
          <w:szCs w:val="24"/>
        </w:rPr>
        <w:t xml:space="preserve"> </w:t>
      </w:r>
      <w:r>
        <w:rPr>
          <w:rFonts w:ascii="宋体" w:hAnsi="宋体" w:eastAsia="宋体" w:cs="宋体"/>
          <w:spacing w:val="-3"/>
          <w:sz w:val="24"/>
          <w:szCs w:val="24"/>
        </w:rPr>
        <w:t>30 日内配合开展项目</w:t>
      </w:r>
      <w:r>
        <w:rPr>
          <w:rFonts w:ascii="宋体" w:hAnsi="宋体" w:eastAsia="宋体" w:cs="宋体"/>
          <w:spacing w:val="-4"/>
          <w:sz w:val="24"/>
          <w:szCs w:val="24"/>
        </w:rPr>
        <w:t>验收。</w:t>
      </w:r>
    </w:p>
    <w:p w14:paraId="7A94401A">
      <w:pPr>
        <w:spacing w:before="36" w:line="345" w:lineRule="auto"/>
        <w:ind w:right="98" w:firstLine="483"/>
        <w:rPr>
          <w:rFonts w:ascii="宋体" w:hAnsi="宋体" w:eastAsia="宋体" w:cs="宋体"/>
          <w:sz w:val="24"/>
          <w:szCs w:val="24"/>
        </w:rPr>
      </w:pPr>
      <w:r>
        <w:rPr>
          <w:rFonts w:ascii="宋体" w:hAnsi="宋体" w:eastAsia="宋体" w:cs="宋体"/>
          <w:spacing w:val="-2"/>
          <w:sz w:val="24"/>
          <w:szCs w:val="24"/>
        </w:rPr>
        <w:t>5.4.乙方具备上述付款条件后向甲方申请服务款时，先将相关结算资料提交甲方。乙</w:t>
      </w:r>
      <w:r>
        <w:rPr>
          <w:rFonts w:ascii="宋体" w:hAnsi="宋体" w:eastAsia="宋体" w:cs="宋体"/>
          <w:sz w:val="24"/>
          <w:szCs w:val="24"/>
        </w:rPr>
        <w:t xml:space="preserve"> </w:t>
      </w:r>
      <w:r>
        <w:rPr>
          <w:rFonts w:ascii="宋体" w:hAnsi="宋体" w:eastAsia="宋体" w:cs="宋体"/>
          <w:spacing w:val="-6"/>
          <w:sz w:val="24"/>
          <w:szCs w:val="24"/>
        </w:rPr>
        <w:t>方需要提供以下付款单据：</w:t>
      </w:r>
    </w:p>
    <w:p w14:paraId="68D70C84">
      <w:pPr>
        <w:spacing w:before="35" w:line="219" w:lineRule="auto"/>
        <w:ind w:left="484"/>
        <w:rPr>
          <w:rFonts w:ascii="宋体" w:hAnsi="宋体" w:eastAsia="宋体" w:cs="宋体"/>
          <w:sz w:val="24"/>
          <w:szCs w:val="24"/>
        </w:rPr>
      </w:pPr>
      <w:r>
        <w:rPr>
          <w:rFonts w:ascii="宋体" w:hAnsi="宋体" w:eastAsia="宋体" w:cs="宋体"/>
          <w:spacing w:val="-2"/>
          <w:sz w:val="24"/>
          <w:szCs w:val="24"/>
        </w:rPr>
        <w:t>5.4.1.甲方签署的验收合格证明正本一份；</w:t>
      </w:r>
    </w:p>
    <w:p w14:paraId="1631714D">
      <w:pPr>
        <w:spacing w:before="182" w:line="219" w:lineRule="auto"/>
        <w:ind w:left="484"/>
        <w:rPr>
          <w:rFonts w:ascii="宋体" w:hAnsi="宋体" w:eastAsia="宋体" w:cs="宋体"/>
          <w:sz w:val="24"/>
          <w:szCs w:val="24"/>
        </w:rPr>
      </w:pPr>
      <w:r>
        <w:rPr>
          <w:rFonts w:ascii="宋体" w:hAnsi="宋体" w:eastAsia="宋体" w:cs="宋体"/>
          <w:spacing w:val="-2"/>
          <w:sz w:val="24"/>
          <w:szCs w:val="24"/>
        </w:rPr>
        <w:t>5.4.2.与申请服务款等值的税务发票正本一份。</w:t>
      </w:r>
    </w:p>
    <w:p w14:paraId="38AAA3FC">
      <w:pPr>
        <w:spacing w:before="183" w:line="345" w:lineRule="auto"/>
        <w:ind w:left="484" w:right="311"/>
        <w:rPr>
          <w:rFonts w:ascii="宋体" w:hAnsi="宋体" w:eastAsia="宋体" w:cs="宋体"/>
          <w:sz w:val="24"/>
          <w:szCs w:val="24"/>
        </w:rPr>
      </w:pPr>
      <w:r>
        <w:rPr>
          <w:rFonts w:ascii="宋体" w:hAnsi="宋体" w:eastAsia="宋体" w:cs="宋体"/>
          <w:spacing w:val="-1"/>
          <w:sz w:val="24"/>
          <w:szCs w:val="24"/>
        </w:rPr>
        <w:t>5.5.乙方申请付款时，发票必须由乙方提供，不得将服</w:t>
      </w:r>
      <w:r>
        <w:rPr>
          <w:rFonts w:ascii="宋体" w:hAnsi="宋体" w:eastAsia="宋体" w:cs="宋体"/>
          <w:spacing w:val="-2"/>
          <w:sz w:val="24"/>
          <w:szCs w:val="24"/>
        </w:rPr>
        <w:t>务等发票直接提供给甲方。</w:t>
      </w:r>
      <w:r>
        <w:rPr>
          <w:rFonts w:ascii="宋体" w:hAnsi="宋体" w:eastAsia="宋体" w:cs="宋体"/>
          <w:sz w:val="24"/>
          <w:szCs w:val="24"/>
        </w:rPr>
        <w:t xml:space="preserve"> </w:t>
      </w:r>
      <w:r>
        <w:rPr>
          <w:rFonts w:ascii="宋体" w:hAnsi="宋体" w:eastAsia="宋体" w:cs="宋体"/>
          <w:spacing w:val="-3"/>
          <w:sz w:val="24"/>
          <w:szCs w:val="24"/>
        </w:rPr>
        <w:t>5.6.本合同项目下合同价款由甲方负责支付。</w:t>
      </w:r>
    </w:p>
    <w:p w14:paraId="24BED220">
      <w:pPr>
        <w:spacing w:before="37" w:line="346" w:lineRule="auto"/>
        <w:ind w:left="483" w:right="6996" w:firstLine="19"/>
        <w:rPr>
          <w:rFonts w:ascii="宋体" w:hAnsi="宋体" w:eastAsia="宋体" w:cs="宋体"/>
          <w:sz w:val="24"/>
          <w:szCs w:val="24"/>
        </w:rPr>
      </w:pPr>
      <w:r>
        <w:rPr>
          <w:rFonts w:ascii="宋体" w:hAnsi="宋体" w:eastAsia="宋体" w:cs="宋体"/>
          <w:spacing w:val="-5"/>
          <w:sz w:val="24"/>
          <w:szCs w:val="24"/>
        </w:rPr>
        <w:t>乙方指定收款账户</w:t>
      </w:r>
      <w:r>
        <w:rPr>
          <w:rFonts w:ascii="宋体" w:hAnsi="宋体" w:eastAsia="宋体" w:cs="宋体"/>
          <w:spacing w:val="6"/>
          <w:sz w:val="24"/>
          <w:szCs w:val="24"/>
        </w:rPr>
        <w:t xml:space="preserve"> </w:t>
      </w:r>
      <w:r>
        <w:rPr>
          <w:rFonts w:ascii="宋体" w:hAnsi="宋体" w:eastAsia="宋体" w:cs="宋体"/>
          <w:spacing w:val="-11"/>
          <w:sz w:val="24"/>
          <w:szCs w:val="24"/>
        </w:rPr>
        <w:t>账户名称：</w:t>
      </w:r>
    </w:p>
    <w:p w14:paraId="70593B10">
      <w:pPr>
        <w:spacing w:before="154" w:line="220" w:lineRule="auto"/>
        <w:ind w:left="480"/>
        <w:rPr>
          <w:rFonts w:ascii="宋体" w:hAnsi="宋体" w:eastAsia="宋体" w:cs="宋体"/>
          <w:sz w:val="24"/>
          <w:szCs w:val="24"/>
        </w:rPr>
      </w:pPr>
      <w:r>
        <w:rPr>
          <w:rFonts w:ascii="宋体" w:hAnsi="宋体" w:eastAsia="宋体" w:cs="宋体"/>
          <w:spacing w:val="-8"/>
          <w:sz w:val="24"/>
          <w:szCs w:val="24"/>
        </w:rPr>
        <w:t>开户行：</w:t>
      </w:r>
      <w:r>
        <w:rPr>
          <w:rFonts w:ascii="宋体" w:hAnsi="宋体" w:eastAsia="宋体" w:cs="宋体"/>
          <w:spacing w:val="1"/>
          <w:sz w:val="24"/>
          <w:szCs w:val="24"/>
        </w:rPr>
        <w:t xml:space="preserve">             </w:t>
      </w:r>
      <w:r>
        <w:rPr>
          <w:rFonts w:ascii="宋体" w:hAnsi="宋体" w:eastAsia="宋体" w:cs="宋体"/>
          <w:spacing w:val="-8"/>
          <w:sz w:val="24"/>
          <w:szCs w:val="24"/>
        </w:rPr>
        <w:t>账号：</w:t>
      </w:r>
    </w:p>
    <w:p w14:paraId="1A948A0E">
      <w:pPr>
        <w:spacing w:before="181" w:line="350" w:lineRule="auto"/>
        <w:ind w:right="13"/>
        <w:jc w:val="both"/>
        <w:rPr>
          <w:rFonts w:ascii="宋体" w:hAnsi="宋体" w:eastAsia="宋体" w:cs="宋体"/>
          <w:sz w:val="24"/>
          <w:szCs w:val="24"/>
        </w:rPr>
      </w:pPr>
      <w:r>
        <w:rPr>
          <w:rFonts w:ascii="宋体" w:hAnsi="宋体" w:eastAsia="宋体" w:cs="宋体"/>
          <w:spacing w:val="-6"/>
          <w:sz w:val="24"/>
          <w:szCs w:val="24"/>
        </w:rPr>
        <w:t>注：1.</w:t>
      </w:r>
      <w:r>
        <w:rPr>
          <w:rFonts w:hint="eastAsia" w:ascii="宋体" w:hAnsi="宋体" w:eastAsia="宋体" w:cs="宋体"/>
          <w:spacing w:val="-6"/>
          <w:sz w:val="24"/>
          <w:szCs w:val="24"/>
          <w:lang w:val="en-US" w:eastAsia="zh-CN"/>
        </w:rPr>
        <w:t>因乙方增值税专用发票存在信息错误、不规范等问题的，乙方应在甲方要求的时限内重新开具。乙方延迟开具发票或重新开具的，甲方付款时间相应顺延。因乙方发票问题导致甲方不能正常认证或抵扣的，乙方应赔偿甲方因此遭受的相关损失。</w:t>
      </w:r>
      <w:r>
        <w:rPr>
          <w:rFonts w:ascii="宋体" w:hAnsi="宋体" w:eastAsia="宋体" w:cs="宋体"/>
          <w:spacing w:val="-2"/>
          <w:sz w:val="24"/>
          <w:szCs w:val="24"/>
        </w:rPr>
        <w:t>乙方上述收款账户信息变更的，应当于变更前三日书面通知甲方，否则甲方按照原信息付</w:t>
      </w:r>
      <w:r>
        <w:rPr>
          <w:rFonts w:ascii="宋体" w:hAnsi="宋体" w:eastAsia="宋体" w:cs="宋体"/>
          <w:spacing w:val="-5"/>
          <w:sz w:val="24"/>
          <w:szCs w:val="24"/>
        </w:rPr>
        <w:t>款的视为已完成付款。</w:t>
      </w:r>
    </w:p>
    <w:p w14:paraId="61CA06C7">
      <w:pPr>
        <w:spacing w:before="36" w:line="229" w:lineRule="auto"/>
        <w:ind w:left="7" w:right="31" w:firstLine="475"/>
        <w:rPr>
          <w:rFonts w:ascii="宋体" w:hAnsi="宋体" w:eastAsia="宋体" w:cs="宋体"/>
          <w:sz w:val="24"/>
          <w:szCs w:val="24"/>
        </w:rPr>
      </w:pPr>
      <w:r>
        <w:rPr>
          <w:rFonts w:ascii="宋体" w:hAnsi="宋体" w:eastAsia="宋体" w:cs="宋体"/>
          <w:spacing w:val="-8"/>
          <w:sz w:val="24"/>
          <w:szCs w:val="24"/>
        </w:rPr>
        <w:t>2.上述乙方账户信息为甲方付款依据，如有变更，应当于变更前</w:t>
      </w:r>
      <w:r>
        <w:rPr>
          <w:rFonts w:ascii="宋体" w:hAnsi="宋体" w:eastAsia="宋体" w:cs="宋体"/>
          <w:spacing w:val="-46"/>
          <w:sz w:val="24"/>
          <w:szCs w:val="24"/>
        </w:rPr>
        <w:t xml:space="preserve"> </w:t>
      </w:r>
      <w:r>
        <w:rPr>
          <w:rFonts w:ascii="宋体" w:hAnsi="宋体" w:eastAsia="宋体" w:cs="宋体"/>
          <w:spacing w:val="-8"/>
          <w:sz w:val="24"/>
          <w:szCs w:val="24"/>
        </w:rPr>
        <w:t>3 日内书面通知</w:t>
      </w:r>
      <w:r>
        <w:rPr>
          <w:rFonts w:ascii="宋体" w:hAnsi="宋体" w:eastAsia="宋体" w:cs="宋体"/>
          <w:spacing w:val="-9"/>
          <w:sz w:val="24"/>
          <w:szCs w:val="24"/>
        </w:rPr>
        <w:t>甲方，</w:t>
      </w:r>
      <w:r>
        <w:rPr>
          <w:rFonts w:ascii="宋体" w:hAnsi="宋体" w:eastAsia="宋体" w:cs="宋体"/>
          <w:sz w:val="24"/>
          <w:szCs w:val="24"/>
        </w:rPr>
        <w:t xml:space="preserve"> </w:t>
      </w:r>
      <w:r>
        <w:rPr>
          <w:rFonts w:ascii="宋体" w:hAnsi="宋体" w:eastAsia="宋体" w:cs="宋体"/>
          <w:spacing w:val="-3"/>
          <w:sz w:val="24"/>
          <w:szCs w:val="24"/>
        </w:rPr>
        <w:t>否则甲方按照原信息付款的视为完成付款。</w:t>
      </w:r>
    </w:p>
    <w:p w14:paraId="4EAA6ABC">
      <w:pPr>
        <w:spacing w:before="145" w:line="220" w:lineRule="auto"/>
        <w:ind w:left="2480"/>
        <w:outlineLvl w:val="0"/>
        <w:rPr>
          <w:rFonts w:ascii="宋体" w:hAnsi="宋体" w:eastAsia="宋体" w:cs="宋体"/>
          <w:sz w:val="24"/>
          <w:szCs w:val="24"/>
        </w:rPr>
      </w:pPr>
      <w:r>
        <w:rPr>
          <w:rFonts w:ascii="宋体" w:hAnsi="宋体" w:eastAsia="宋体" w:cs="宋体"/>
          <w:b/>
          <w:bCs/>
          <w:spacing w:val="-2"/>
          <w:sz w:val="24"/>
          <w:szCs w:val="24"/>
        </w:rPr>
        <w:t>第六条</w:t>
      </w:r>
      <w:r>
        <w:rPr>
          <w:rFonts w:ascii="宋体" w:hAnsi="宋体" w:eastAsia="宋体" w:cs="宋体"/>
          <w:spacing w:val="-2"/>
          <w:sz w:val="24"/>
          <w:szCs w:val="24"/>
        </w:rPr>
        <w:t xml:space="preserve">  </w:t>
      </w:r>
      <w:r>
        <w:rPr>
          <w:rFonts w:ascii="宋体" w:hAnsi="宋体" w:eastAsia="宋体" w:cs="宋体"/>
          <w:b/>
          <w:bCs/>
          <w:spacing w:val="-2"/>
          <w:sz w:val="24"/>
          <w:szCs w:val="24"/>
        </w:rPr>
        <w:t>服务要求及执行标准、技术要求</w:t>
      </w:r>
    </w:p>
    <w:p w14:paraId="46F31243">
      <w:pPr>
        <w:spacing w:before="182" w:line="218" w:lineRule="auto"/>
        <w:ind w:left="481"/>
        <w:rPr>
          <w:rFonts w:ascii="宋体" w:hAnsi="宋体" w:eastAsia="宋体" w:cs="宋体"/>
          <w:sz w:val="24"/>
          <w:szCs w:val="24"/>
        </w:rPr>
      </w:pPr>
      <w:r>
        <w:rPr>
          <w:rFonts w:ascii="宋体" w:hAnsi="宋体" w:eastAsia="宋体" w:cs="宋体"/>
          <w:spacing w:val="-3"/>
          <w:sz w:val="24"/>
          <w:szCs w:val="24"/>
        </w:rPr>
        <w:t>6.1</w:t>
      </w:r>
      <w:r>
        <w:rPr>
          <w:rFonts w:ascii="宋体" w:hAnsi="宋体" w:eastAsia="宋体" w:cs="宋体"/>
          <w:spacing w:val="-44"/>
          <w:sz w:val="24"/>
          <w:szCs w:val="24"/>
        </w:rPr>
        <w:t xml:space="preserve"> </w:t>
      </w:r>
      <w:r>
        <w:rPr>
          <w:rFonts w:ascii="宋体" w:hAnsi="宋体" w:eastAsia="宋体" w:cs="宋体"/>
          <w:spacing w:val="-3"/>
          <w:sz w:val="24"/>
          <w:szCs w:val="24"/>
        </w:rPr>
        <w:t>服务要求</w:t>
      </w:r>
    </w:p>
    <w:p w14:paraId="09DC59E0">
      <w:pPr>
        <w:autoSpaceDE w:val="0"/>
        <w:autoSpaceDN w:val="0"/>
        <w:adjustRightInd w:val="0"/>
        <w:spacing w:line="360" w:lineRule="auto"/>
        <w:ind w:firstLine="480" w:firstLineChars="200"/>
        <w:rPr>
          <w:rFonts w:hint="default" w:ascii="宋体" w:hAnsi="宋体" w:eastAsia="宋体" w:cs="仿宋"/>
          <w:kern w:val="0"/>
          <w:sz w:val="24"/>
          <w:szCs w:val="20"/>
          <w:lang w:val="en-US" w:eastAsia="zh-CN" w:bidi="ar-SA"/>
        </w:rPr>
      </w:pPr>
      <w:r>
        <w:rPr>
          <w:rFonts w:hint="eastAsia" w:ascii="宋体" w:hAnsi="宋体" w:eastAsia="宋体" w:cs="仿宋"/>
          <w:kern w:val="0"/>
          <w:sz w:val="24"/>
          <w:szCs w:val="20"/>
          <w:lang w:val="en-US" w:eastAsia="zh-CN"/>
        </w:rPr>
        <w:t>6.1.1</w:t>
      </w:r>
      <w:r>
        <w:rPr>
          <w:rFonts w:hint="default" w:ascii="宋体" w:hAnsi="宋体" w:eastAsia="宋体" w:cs="仿宋"/>
          <w:kern w:val="0"/>
          <w:sz w:val="24"/>
          <w:szCs w:val="20"/>
          <w:lang w:val="en-US" w:eastAsia="zh-CN"/>
        </w:rPr>
        <w:t xml:space="preserve">行业标准及产品要求 </w:t>
      </w:r>
    </w:p>
    <w:p w14:paraId="01EE7062">
      <w:pPr>
        <w:autoSpaceDE w:val="0"/>
        <w:autoSpaceDN w:val="0"/>
        <w:adjustRightInd w:val="0"/>
        <w:spacing w:line="360" w:lineRule="auto"/>
        <w:ind w:firstLine="480" w:firstLineChars="200"/>
        <w:rPr>
          <w:rFonts w:ascii="宋体" w:hAnsi="宋体" w:eastAsia="宋体" w:cs="仿宋"/>
          <w:kern w:val="0"/>
          <w:sz w:val="24"/>
          <w:szCs w:val="20"/>
        </w:rPr>
      </w:pPr>
      <w:r>
        <w:rPr>
          <w:rFonts w:hint="eastAsia" w:ascii="宋体" w:hAnsi="宋体" w:eastAsia="宋体" w:cs="仿宋"/>
          <w:kern w:val="0"/>
          <w:sz w:val="24"/>
          <w:szCs w:val="20"/>
          <w:lang w:val="en-US" w:eastAsia="zh-CN"/>
        </w:rPr>
        <w:t>6.1.1.1</w:t>
      </w:r>
      <w:r>
        <w:rPr>
          <w:rFonts w:hint="default" w:ascii="宋体" w:hAnsi="宋体" w:eastAsia="宋体" w:cs="仿宋"/>
          <w:kern w:val="0"/>
          <w:sz w:val="24"/>
          <w:szCs w:val="20"/>
          <w:lang w:val="en-US" w:eastAsia="zh-CN"/>
        </w:rPr>
        <w:t xml:space="preserve">驻场运维。安排1名运维单位正式工作人员或者是与运维单位签订1年以上按劳动合同且具备网络中级工程师资质的运维技术工程师，周一至周五（5x8小时）驻场，系统出现问题及时排查解决问题，平均故障修复时间：＜1小时。 </w:t>
      </w:r>
    </w:p>
    <w:p w14:paraId="22D4694B">
      <w:pPr>
        <w:autoSpaceDE w:val="0"/>
        <w:autoSpaceDN w:val="0"/>
        <w:adjustRightInd w:val="0"/>
        <w:spacing w:line="360" w:lineRule="auto"/>
        <w:ind w:firstLine="480" w:firstLineChars="200"/>
        <w:rPr>
          <w:rFonts w:ascii="宋体" w:hAnsi="宋体" w:eastAsia="宋体" w:cs="仿宋"/>
          <w:kern w:val="0"/>
          <w:sz w:val="24"/>
          <w:szCs w:val="20"/>
        </w:rPr>
      </w:pPr>
      <w:r>
        <w:rPr>
          <w:rFonts w:hint="eastAsia" w:ascii="宋体" w:hAnsi="宋体" w:eastAsia="宋体" w:cs="仿宋"/>
          <w:kern w:val="0"/>
          <w:sz w:val="24"/>
          <w:szCs w:val="20"/>
          <w:lang w:val="en-US" w:eastAsia="zh-CN"/>
        </w:rPr>
        <w:t>6.1.1.2</w:t>
      </w:r>
      <w:r>
        <w:rPr>
          <w:rFonts w:hint="default" w:ascii="宋体" w:hAnsi="宋体" w:eastAsia="宋体" w:cs="仿宋"/>
          <w:kern w:val="0"/>
          <w:sz w:val="24"/>
          <w:szCs w:val="20"/>
          <w:lang w:val="en-US" w:eastAsia="zh-CN"/>
        </w:rPr>
        <w:t xml:space="preserve">系统日常运维。服务人员要确保系统提供7x24小时连续运行、一年至少开展1次视频培训1次现场培训、制作业务流程、完善统计功能、对新增需求进行完善、对系统异常进行应对处理、现场指导用户操作、基层单位采集站日常维护。 </w:t>
      </w:r>
    </w:p>
    <w:p w14:paraId="74ACB86F">
      <w:pPr>
        <w:autoSpaceDE w:val="0"/>
        <w:autoSpaceDN w:val="0"/>
        <w:adjustRightInd w:val="0"/>
        <w:spacing w:line="360" w:lineRule="auto"/>
        <w:ind w:firstLine="480" w:firstLineChars="200"/>
        <w:rPr>
          <w:rFonts w:ascii="宋体" w:hAnsi="宋体" w:eastAsia="宋体" w:cs="仿宋"/>
          <w:kern w:val="0"/>
          <w:sz w:val="24"/>
          <w:szCs w:val="20"/>
        </w:rPr>
      </w:pPr>
      <w:r>
        <w:rPr>
          <w:rFonts w:hint="eastAsia" w:ascii="宋体" w:hAnsi="宋体" w:eastAsia="宋体" w:cs="仿宋"/>
          <w:kern w:val="0"/>
          <w:sz w:val="24"/>
          <w:szCs w:val="20"/>
          <w:lang w:val="en-US" w:eastAsia="zh-CN"/>
        </w:rPr>
        <w:t>6.1.1.3</w:t>
      </w:r>
      <w:r>
        <w:rPr>
          <w:rFonts w:hint="default" w:ascii="宋体" w:hAnsi="宋体" w:eastAsia="宋体" w:cs="仿宋"/>
          <w:kern w:val="0"/>
          <w:sz w:val="24"/>
          <w:szCs w:val="20"/>
          <w:lang w:val="en-US" w:eastAsia="zh-CN"/>
        </w:rPr>
        <w:t xml:space="preserve">系统开发维护。负责执法记录仪管理平台、指挥调度平台的“二合一”升级、前端采集站巡检、各功能模块配置，沟通新增需求，开展平台更新、优化调度功能，为全疆平台应用提供技术支撑。 </w:t>
      </w:r>
    </w:p>
    <w:p w14:paraId="206A36BE">
      <w:pPr>
        <w:autoSpaceDE w:val="0"/>
        <w:autoSpaceDN w:val="0"/>
        <w:adjustRightInd w:val="0"/>
        <w:spacing w:line="360" w:lineRule="auto"/>
        <w:ind w:firstLine="480" w:firstLineChars="200"/>
        <w:rPr>
          <w:rFonts w:ascii="宋体" w:hAnsi="宋体" w:eastAsia="宋体" w:cs="仿宋"/>
          <w:kern w:val="0"/>
          <w:sz w:val="24"/>
          <w:szCs w:val="20"/>
        </w:rPr>
      </w:pPr>
      <w:r>
        <w:rPr>
          <w:rFonts w:hint="eastAsia" w:ascii="宋体" w:hAnsi="宋体" w:eastAsia="宋体" w:cs="仿宋"/>
          <w:kern w:val="0"/>
          <w:sz w:val="24"/>
          <w:szCs w:val="20"/>
          <w:lang w:val="en-US" w:eastAsia="zh-CN"/>
        </w:rPr>
        <w:t>6.1.1.4</w:t>
      </w:r>
      <w:r>
        <w:rPr>
          <w:rFonts w:hint="default" w:ascii="宋体" w:hAnsi="宋体" w:eastAsia="宋体" w:cs="仿宋"/>
          <w:kern w:val="0"/>
          <w:sz w:val="24"/>
          <w:szCs w:val="20"/>
          <w:lang w:val="en-US" w:eastAsia="zh-CN"/>
        </w:rPr>
        <w:t xml:space="preserve">数据管理运维。数据备份管理、不能丢失数据、定期进行自动还原测试，确保业务数据的可用性、完整性、可靠性、如出现问题时需要完成恢复数据，数据备份迁移等。 </w:t>
      </w:r>
    </w:p>
    <w:p w14:paraId="264F6A31">
      <w:pPr>
        <w:autoSpaceDE w:val="0"/>
        <w:autoSpaceDN w:val="0"/>
        <w:adjustRightInd w:val="0"/>
        <w:spacing w:line="360" w:lineRule="auto"/>
        <w:ind w:firstLine="480" w:firstLineChars="200"/>
        <w:rPr>
          <w:rFonts w:hint="default" w:ascii="宋体" w:hAnsi="宋体" w:eastAsia="宋体" w:cs="仿宋"/>
          <w:kern w:val="0"/>
          <w:sz w:val="24"/>
          <w:szCs w:val="20"/>
          <w:lang w:val="en-US" w:eastAsia="zh-CN"/>
        </w:rPr>
      </w:pPr>
      <w:r>
        <w:rPr>
          <w:rFonts w:hint="eastAsia" w:ascii="宋体" w:hAnsi="宋体" w:eastAsia="宋体" w:cs="仿宋"/>
          <w:kern w:val="0"/>
          <w:sz w:val="24"/>
          <w:szCs w:val="20"/>
          <w:lang w:val="en-US" w:eastAsia="zh-CN"/>
        </w:rPr>
        <w:t>6.1.1.5</w:t>
      </w:r>
      <w:r>
        <w:rPr>
          <w:rFonts w:hint="default" w:ascii="宋体" w:hAnsi="宋体" w:eastAsia="宋体" w:cs="仿宋"/>
          <w:kern w:val="0"/>
          <w:sz w:val="24"/>
          <w:szCs w:val="20"/>
          <w:lang w:val="en-US" w:eastAsia="zh-CN"/>
        </w:rPr>
        <w:t xml:space="preserve">其他服务。执法记录仪管理平台、指挥调度平台定期巡检，系统状态检查、系统日志检查、系统性能分析等。执法记录仪管理平台、指挥调度平台环境优化和调整，包括软件服务端调优、网络迁移部署，硬件支撑资源调整等。非驻场服务期间如节假日期间要保障系统的正常运行，驻场服务人员或其他技术人员保持24小时电话开机，提供远程技术支持。 </w:t>
      </w:r>
    </w:p>
    <w:p w14:paraId="2D8C94C3">
      <w:pPr>
        <w:autoSpaceDE w:val="0"/>
        <w:autoSpaceDN w:val="0"/>
        <w:adjustRightInd w:val="0"/>
        <w:spacing w:line="360" w:lineRule="auto"/>
        <w:ind w:firstLine="480" w:firstLineChars="200"/>
        <w:rPr>
          <w:rFonts w:hint="eastAsia" w:ascii="宋体" w:hAnsi="宋体" w:eastAsia="宋体" w:cs="仿宋"/>
          <w:kern w:val="0"/>
          <w:sz w:val="24"/>
          <w:szCs w:val="20"/>
          <w:lang w:val="en-US" w:eastAsia="zh-CN"/>
        </w:rPr>
      </w:pPr>
      <w:r>
        <w:rPr>
          <w:rFonts w:hint="eastAsia" w:ascii="宋体" w:hAnsi="宋体" w:eastAsia="宋体" w:cs="仿宋"/>
          <w:kern w:val="0"/>
          <w:sz w:val="24"/>
          <w:szCs w:val="20"/>
          <w:lang w:val="en-US" w:eastAsia="zh-CN"/>
        </w:rPr>
        <w:t>6.1.1.6 行业标准及产品要求</w:t>
      </w:r>
    </w:p>
    <w:p w14:paraId="221899C6">
      <w:pPr>
        <w:autoSpaceDE w:val="0"/>
        <w:autoSpaceDN w:val="0"/>
        <w:adjustRightInd w:val="0"/>
        <w:spacing w:line="360" w:lineRule="auto"/>
        <w:ind w:firstLine="480" w:firstLineChars="200"/>
        <w:rPr>
          <w:rFonts w:hint="eastAsia" w:ascii="宋体" w:hAnsi="宋体" w:eastAsia="宋体" w:cs="仿宋"/>
          <w:kern w:val="0"/>
          <w:sz w:val="24"/>
          <w:szCs w:val="20"/>
          <w:lang w:val="en-US" w:eastAsia="zh-CN"/>
        </w:rPr>
      </w:pPr>
      <w:r>
        <w:rPr>
          <w:rFonts w:hint="eastAsia" w:ascii="宋体" w:hAnsi="宋体" w:eastAsia="宋体" w:cs="仿宋"/>
          <w:kern w:val="0"/>
          <w:sz w:val="24"/>
          <w:szCs w:val="20"/>
          <w:lang w:val="en-US" w:eastAsia="zh-CN"/>
        </w:rPr>
        <w:t>《信息技术服务 运行维护 第 1 部分：通用要求》（GB/T28827.1—2022）</w:t>
      </w:r>
    </w:p>
    <w:p w14:paraId="16494384">
      <w:pPr>
        <w:autoSpaceDE w:val="0"/>
        <w:autoSpaceDN w:val="0"/>
        <w:adjustRightInd w:val="0"/>
        <w:spacing w:line="360" w:lineRule="auto"/>
        <w:ind w:firstLine="480" w:firstLineChars="200"/>
        <w:rPr>
          <w:rFonts w:hint="eastAsia" w:ascii="宋体" w:hAnsi="宋体" w:eastAsia="宋体" w:cs="仿宋"/>
          <w:kern w:val="0"/>
          <w:sz w:val="24"/>
          <w:szCs w:val="20"/>
          <w:lang w:val="en-US" w:eastAsia="zh-CN"/>
        </w:rPr>
      </w:pPr>
      <w:r>
        <w:rPr>
          <w:rFonts w:hint="eastAsia" w:ascii="宋体" w:hAnsi="宋体" w:eastAsia="宋体" w:cs="仿宋"/>
          <w:kern w:val="0"/>
          <w:sz w:val="24"/>
          <w:szCs w:val="20"/>
          <w:lang w:val="en-US" w:eastAsia="zh-CN"/>
        </w:rPr>
        <w:t>《信息技术服务 运行维护 第 5 部分：桌面及外围设备服务规范》 （GB/T28827.5—2022）</w:t>
      </w:r>
    </w:p>
    <w:p w14:paraId="50C3DF4E">
      <w:pPr>
        <w:autoSpaceDE w:val="0"/>
        <w:autoSpaceDN w:val="0"/>
        <w:adjustRightInd w:val="0"/>
        <w:spacing w:line="360" w:lineRule="auto"/>
        <w:ind w:firstLine="480" w:firstLineChars="200"/>
        <w:rPr>
          <w:rFonts w:hint="eastAsia" w:ascii="宋体" w:hAnsi="宋体" w:eastAsia="宋体" w:cs="仿宋"/>
          <w:kern w:val="0"/>
          <w:sz w:val="24"/>
          <w:szCs w:val="20"/>
          <w:lang w:val="en-US" w:eastAsia="zh-CN"/>
        </w:rPr>
      </w:pPr>
      <w:r>
        <w:rPr>
          <w:rFonts w:hint="eastAsia" w:ascii="宋体" w:hAnsi="宋体" w:eastAsia="宋体" w:cs="仿宋"/>
          <w:kern w:val="0"/>
          <w:sz w:val="24"/>
          <w:szCs w:val="20"/>
          <w:lang w:val="en-US" w:eastAsia="zh-CN"/>
        </w:rPr>
        <w:t>《信息技术服务 运行维护 第 6 部分：应用系统服务要求》（GB/T28827.6—2022） 《信息安全技术服务 信息系统安全运维管理指南》（GB/T36626-2018）</w:t>
      </w:r>
    </w:p>
    <w:p w14:paraId="37F1757B">
      <w:pPr>
        <w:pStyle w:val="2"/>
        <w:rPr>
          <w:rFonts w:hint="eastAsia" w:ascii="宋体" w:hAnsi="宋体" w:eastAsia="宋体" w:cs="仿宋"/>
          <w:kern w:val="0"/>
          <w:sz w:val="24"/>
          <w:szCs w:val="20"/>
          <w:lang w:val="en-US" w:eastAsia="zh-CN"/>
        </w:rPr>
      </w:pPr>
      <w:r>
        <w:rPr>
          <w:rFonts w:hint="eastAsia" w:ascii="宋体" w:hAnsi="宋体" w:cs="仿宋"/>
          <w:kern w:val="0"/>
          <w:sz w:val="24"/>
          <w:szCs w:val="20"/>
          <w:lang w:val="en-US" w:eastAsia="zh-CN"/>
        </w:rPr>
        <w:t>6.2</w:t>
      </w:r>
      <w:r>
        <w:rPr>
          <w:rFonts w:hint="eastAsia" w:ascii="宋体" w:hAnsi="宋体" w:eastAsia="宋体" w:cs="仿宋"/>
          <w:kern w:val="0"/>
          <w:sz w:val="24"/>
          <w:szCs w:val="20"/>
          <w:lang w:val="en-US" w:eastAsia="zh-CN"/>
        </w:rPr>
        <w:t>维保目标</w:t>
      </w:r>
    </w:p>
    <w:p w14:paraId="1B14041B">
      <w:pPr>
        <w:pStyle w:val="176"/>
        <w:keepNext w:val="0"/>
        <w:keepLines w:val="0"/>
        <w:pageBreakBefore w:val="0"/>
        <w:widowControl w:val="0"/>
        <w:numPr>
          <w:ilvl w:val="0"/>
          <w:numId w:val="0"/>
        </w:numPr>
        <w:kinsoku/>
        <w:overflowPunct/>
        <w:topLinePunct w:val="0"/>
        <w:autoSpaceDE/>
        <w:autoSpaceDN/>
        <w:bidi w:val="0"/>
        <w:adjustRightInd/>
        <w:spacing w:before="0" w:line="580" w:lineRule="exact"/>
        <w:ind w:leftChars="0" w:right="0" w:rightChars="0" w:firstLine="480" w:firstLineChars="200"/>
        <w:jc w:val="both"/>
        <w:textAlignment w:val="auto"/>
        <w:rPr>
          <w:rFonts w:hint="default" w:ascii="宋体" w:hAnsi="宋体" w:eastAsia="宋体" w:cs="仿宋"/>
          <w:kern w:val="0"/>
          <w:sz w:val="24"/>
          <w:szCs w:val="20"/>
          <w:lang w:val="en-US" w:eastAsia="zh-CN" w:bidi="ar-SA"/>
        </w:rPr>
      </w:pPr>
      <w:r>
        <w:rPr>
          <w:rFonts w:hint="default" w:ascii="宋体" w:hAnsi="宋体" w:eastAsia="宋体" w:cs="仿宋"/>
          <w:kern w:val="0"/>
          <w:sz w:val="24"/>
          <w:szCs w:val="20"/>
          <w:lang w:val="en-US" w:eastAsia="zh-CN" w:bidi="ar-SA"/>
        </w:rPr>
        <w:t>提供系统已有功能运行保障，包括系统已有功能的异常修复、服务器数据库升级（服务器本身问题由服务器厂家解决）等，保证系统已有功能全面正常的运行。</w:t>
      </w:r>
    </w:p>
    <w:p w14:paraId="5C524495">
      <w:pPr>
        <w:pStyle w:val="176"/>
        <w:keepNext w:val="0"/>
        <w:keepLines w:val="0"/>
        <w:pageBreakBefore w:val="0"/>
        <w:widowControl w:val="0"/>
        <w:numPr>
          <w:ilvl w:val="0"/>
          <w:numId w:val="0"/>
        </w:numPr>
        <w:kinsoku/>
        <w:overflowPunct/>
        <w:topLinePunct w:val="0"/>
        <w:autoSpaceDE/>
        <w:autoSpaceDN/>
        <w:bidi w:val="0"/>
        <w:adjustRightInd/>
        <w:spacing w:before="0" w:line="580" w:lineRule="exact"/>
        <w:ind w:leftChars="0" w:right="0" w:rightChars="0" w:firstLine="480" w:firstLineChars="200"/>
        <w:jc w:val="both"/>
        <w:textAlignment w:val="auto"/>
        <w:rPr>
          <w:rFonts w:hint="default" w:ascii="宋体" w:hAnsi="宋体" w:eastAsia="宋体" w:cs="仿宋"/>
          <w:kern w:val="0"/>
          <w:sz w:val="24"/>
          <w:szCs w:val="20"/>
          <w:lang w:val="en-US" w:eastAsia="zh-CN" w:bidi="ar-SA"/>
        </w:rPr>
      </w:pPr>
      <w:r>
        <w:rPr>
          <w:rFonts w:hint="eastAsia" w:ascii="宋体" w:hAnsi="宋体" w:eastAsia="宋体" w:cs="仿宋"/>
          <w:kern w:val="0"/>
          <w:sz w:val="24"/>
          <w:szCs w:val="20"/>
          <w:lang w:val="en-US" w:eastAsia="zh-CN" w:bidi="ar-SA"/>
        </w:rPr>
        <w:t>6.2.1</w:t>
      </w:r>
      <w:r>
        <w:rPr>
          <w:rFonts w:hint="default" w:ascii="宋体" w:hAnsi="宋体" w:eastAsia="宋体" w:cs="仿宋"/>
          <w:kern w:val="0"/>
          <w:sz w:val="24"/>
          <w:szCs w:val="20"/>
          <w:lang w:val="en-US" w:eastAsia="zh-CN" w:bidi="ar-SA"/>
        </w:rPr>
        <w:t>平台升级服务：一体化平台、统一管理、调度、指挥、音视频数据、数据管理和应用。</w:t>
      </w:r>
    </w:p>
    <w:p w14:paraId="424B6205">
      <w:pPr>
        <w:pStyle w:val="176"/>
        <w:keepNext w:val="0"/>
        <w:keepLines w:val="0"/>
        <w:pageBreakBefore w:val="0"/>
        <w:widowControl w:val="0"/>
        <w:numPr>
          <w:ilvl w:val="0"/>
          <w:numId w:val="0"/>
        </w:numPr>
        <w:kinsoku/>
        <w:overflowPunct/>
        <w:topLinePunct w:val="0"/>
        <w:autoSpaceDE/>
        <w:autoSpaceDN/>
        <w:bidi w:val="0"/>
        <w:adjustRightInd/>
        <w:spacing w:before="0" w:line="580" w:lineRule="exact"/>
        <w:ind w:leftChars="0" w:right="0" w:rightChars="0" w:firstLine="480" w:firstLineChars="200"/>
        <w:jc w:val="both"/>
        <w:textAlignment w:val="auto"/>
        <w:rPr>
          <w:rFonts w:hint="default" w:ascii="宋体" w:hAnsi="宋体" w:eastAsia="宋体" w:cs="仿宋"/>
          <w:kern w:val="0"/>
          <w:sz w:val="24"/>
          <w:szCs w:val="20"/>
          <w:lang w:val="en-US" w:eastAsia="zh-CN" w:bidi="ar-SA"/>
        </w:rPr>
      </w:pPr>
      <w:r>
        <w:rPr>
          <w:rFonts w:hint="eastAsia" w:ascii="宋体" w:hAnsi="宋体" w:eastAsia="宋体" w:cs="仿宋"/>
          <w:kern w:val="0"/>
          <w:sz w:val="24"/>
          <w:szCs w:val="20"/>
          <w:lang w:val="en-US" w:eastAsia="zh-CN" w:bidi="ar-SA"/>
        </w:rPr>
        <w:t>6.2.2</w:t>
      </w:r>
      <w:r>
        <w:rPr>
          <w:rFonts w:hint="default" w:ascii="宋体" w:hAnsi="宋体" w:eastAsia="宋体" w:cs="仿宋"/>
          <w:kern w:val="0"/>
          <w:sz w:val="24"/>
          <w:szCs w:val="20"/>
          <w:lang w:val="en-US" w:eastAsia="zh-CN" w:bidi="ar-SA"/>
        </w:rPr>
        <w:t>单北斗升级服务：通过软件升级的方式屏蔽GPS信号让其单独使用北斗网络系统。</w:t>
      </w:r>
    </w:p>
    <w:p w14:paraId="6D876C77">
      <w:pPr>
        <w:pStyle w:val="176"/>
        <w:keepNext w:val="0"/>
        <w:keepLines w:val="0"/>
        <w:pageBreakBefore w:val="0"/>
        <w:widowControl w:val="0"/>
        <w:numPr>
          <w:ilvl w:val="0"/>
          <w:numId w:val="0"/>
        </w:numPr>
        <w:kinsoku/>
        <w:overflowPunct/>
        <w:topLinePunct w:val="0"/>
        <w:autoSpaceDE/>
        <w:autoSpaceDN/>
        <w:bidi w:val="0"/>
        <w:adjustRightInd/>
        <w:spacing w:before="0" w:line="580" w:lineRule="exact"/>
        <w:ind w:leftChars="0" w:right="0" w:rightChars="0" w:firstLine="480" w:firstLineChars="200"/>
        <w:jc w:val="both"/>
        <w:textAlignment w:val="auto"/>
        <w:rPr>
          <w:rFonts w:hint="default" w:ascii="宋体" w:hAnsi="宋体" w:eastAsia="宋体" w:cs="仿宋"/>
          <w:kern w:val="0"/>
          <w:sz w:val="24"/>
          <w:szCs w:val="20"/>
          <w:lang w:val="en-US" w:eastAsia="zh-CN" w:bidi="ar-SA"/>
        </w:rPr>
      </w:pPr>
      <w:r>
        <w:rPr>
          <w:rFonts w:hint="eastAsia" w:ascii="宋体" w:hAnsi="宋体" w:eastAsia="宋体" w:cs="仿宋"/>
          <w:kern w:val="0"/>
          <w:sz w:val="24"/>
          <w:szCs w:val="20"/>
          <w:lang w:val="en-US" w:eastAsia="zh-CN" w:bidi="ar-SA"/>
        </w:rPr>
        <w:t>6.2.3</w:t>
      </w:r>
      <w:r>
        <w:rPr>
          <w:rFonts w:hint="default" w:ascii="宋体" w:hAnsi="宋体" w:eastAsia="宋体" w:cs="仿宋"/>
          <w:kern w:val="0"/>
          <w:sz w:val="24"/>
          <w:szCs w:val="20"/>
          <w:lang w:val="en-US" w:eastAsia="zh-CN" w:bidi="ar-SA"/>
        </w:rPr>
        <w:t>漏洞修复服务：修复安全扫描中发现的系统和软件安全漏洞，安装补丁程序或升级相关组件。</w:t>
      </w:r>
    </w:p>
    <w:p w14:paraId="78C08E2B">
      <w:pPr>
        <w:pStyle w:val="176"/>
        <w:keepNext w:val="0"/>
        <w:keepLines w:val="0"/>
        <w:pageBreakBefore w:val="0"/>
        <w:widowControl w:val="0"/>
        <w:numPr>
          <w:ilvl w:val="0"/>
          <w:numId w:val="0"/>
        </w:numPr>
        <w:kinsoku/>
        <w:overflowPunct/>
        <w:topLinePunct w:val="0"/>
        <w:autoSpaceDE/>
        <w:autoSpaceDN/>
        <w:bidi w:val="0"/>
        <w:adjustRightInd/>
        <w:spacing w:before="0" w:line="580" w:lineRule="exact"/>
        <w:ind w:leftChars="0" w:right="0" w:rightChars="0" w:firstLine="480" w:firstLineChars="200"/>
        <w:jc w:val="both"/>
        <w:textAlignment w:val="auto"/>
        <w:rPr>
          <w:rFonts w:hint="default" w:ascii="宋体" w:hAnsi="宋体" w:eastAsia="宋体" w:cs="仿宋"/>
          <w:kern w:val="0"/>
          <w:sz w:val="24"/>
          <w:szCs w:val="20"/>
          <w:lang w:val="en-US" w:eastAsia="zh-CN" w:bidi="ar-SA"/>
        </w:rPr>
      </w:pPr>
      <w:r>
        <w:rPr>
          <w:rFonts w:hint="eastAsia" w:ascii="宋体" w:hAnsi="宋体" w:eastAsia="宋体" w:cs="仿宋"/>
          <w:kern w:val="0"/>
          <w:sz w:val="24"/>
          <w:szCs w:val="20"/>
          <w:lang w:val="en-US" w:eastAsia="zh-CN" w:bidi="ar-SA"/>
        </w:rPr>
        <w:t>2.4</w:t>
      </w:r>
      <w:r>
        <w:rPr>
          <w:rFonts w:hint="default" w:ascii="宋体" w:hAnsi="宋体" w:eastAsia="宋体" w:cs="仿宋"/>
          <w:kern w:val="0"/>
          <w:sz w:val="24"/>
          <w:szCs w:val="20"/>
          <w:lang w:val="en-US" w:eastAsia="zh-CN" w:bidi="ar-SA"/>
        </w:rPr>
        <w:t>病毒查杀服务：进行病毒查杀，抵御来自互联网的各种安全问题（客户自备正版杀毒软件）。</w:t>
      </w:r>
    </w:p>
    <w:p w14:paraId="077F8506">
      <w:pPr>
        <w:pStyle w:val="176"/>
        <w:keepNext w:val="0"/>
        <w:keepLines w:val="0"/>
        <w:pageBreakBefore w:val="0"/>
        <w:widowControl w:val="0"/>
        <w:numPr>
          <w:ilvl w:val="0"/>
          <w:numId w:val="0"/>
        </w:numPr>
        <w:kinsoku/>
        <w:overflowPunct/>
        <w:topLinePunct w:val="0"/>
        <w:autoSpaceDE/>
        <w:autoSpaceDN/>
        <w:bidi w:val="0"/>
        <w:adjustRightInd/>
        <w:spacing w:before="0" w:line="580" w:lineRule="exact"/>
        <w:ind w:leftChars="0" w:right="0" w:rightChars="0" w:firstLine="480" w:firstLineChars="200"/>
        <w:jc w:val="both"/>
        <w:textAlignment w:val="auto"/>
        <w:rPr>
          <w:rFonts w:hint="default" w:ascii="宋体" w:hAnsi="宋体" w:eastAsia="宋体" w:cs="仿宋"/>
          <w:kern w:val="0"/>
          <w:sz w:val="24"/>
          <w:szCs w:val="20"/>
          <w:lang w:val="en-US" w:eastAsia="zh-CN" w:bidi="ar-SA"/>
        </w:rPr>
      </w:pPr>
      <w:r>
        <w:rPr>
          <w:rFonts w:hint="eastAsia" w:ascii="宋体" w:hAnsi="宋体" w:eastAsia="宋体" w:cs="仿宋"/>
          <w:kern w:val="0"/>
          <w:sz w:val="24"/>
          <w:szCs w:val="20"/>
          <w:lang w:val="en-US" w:eastAsia="zh-CN" w:bidi="ar-SA"/>
        </w:rPr>
        <w:t>6.2.5</w:t>
      </w:r>
      <w:r>
        <w:rPr>
          <w:rFonts w:hint="default" w:ascii="宋体" w:hAnsi="宋体" w:eastAsia="宋体" w:cs="仿宋"/>
          <w:kern w:val="0"/>
          <w:sz w:val="24"/>
          <w:szCs w:val="20"/>
          <w:lang w:val="en-US" w:eastAsia="zh-CN" w:bidi="ar-SA"/>
        </w:rPr>
        <w:t>系统配置服务：设置应用系统环境以满足系统正常工作。</w:t>
      </w:r>
    </w:p>
    <w:p w14:paraId="6EE5821E">
      <w:pPr>
        <w:pStyle w:val="176"/>
        <w:keepNext w:val="0"/>
        <w:keepLines w:val="0"/>
        <w:pageBreakBefore w:val="0"/>
        <w:widowControl w:val="0"/>
        <w:numPr>
          <w:ilvl w:val="0"/>
          <w:numId w:val="0"/>
        </w:numPr>
        <w:kinsoku/>
        <w:overflowPunct/>
        <w:topLinePunct w:val="0"/>
        <w:autoSpaceDE/>
        <w:autoSpaceDN/>
        <w:bidi w:val="0"/>
        <w:adjustRightInd/>
        <w:spacing w:before="0" w:line="580" w:lineRule="exact"/>
        <w:ind w:leftChars="0" w:right="0" w:rightChars="0" w:firstLine="480" w:firstLineChars="200"/>
        <w:jc w:val="both"/>
        <w:textAlignment w:val="auto"/>
        <w:rPr>
          <w:rFonts w:hint="default" w:ascii="宋体" w:hAnsi="宋体" w:eastAsia="宋体" w:cs="仿宋"/>
          <w:kern w:val="0"/>
          <w:sz w:val="24"/>
          <w:szCs w:val="20"/>
          <w:lang w:val="en-US" w:eastAsia="zh-CN" w:bidi="ar-SA"/>
        </w:rPr>
      </w:pPr>
      <w:r>
        <w:rPr>
          <w:rFonts w:hint="eastAsia" w:ascii="宋体" w:hAnsi="宋体" w:eastAsia="宋体" w:cs="仿宋"/>
          <w:kern w:val="0"/>
          <w:sz w:val="24"/>
          <w:szCs w:val="20"/>
          <w:lang w:val="en-US" w:eastAsia="zh-CN" w:bidi="ar-SA"/>
        </w:rPr>
        <w:t>6.2.6</w:t>
      </w:r>
      <w:r>
        <w:rPr>
          <w:rFonts w:hint="default" w:ascii="宋体" w:hAnsi="宋体" w:eastAsia="宋体" w:cs="仿宋"/>
          <w:kern w:val="0"/>
          <w:sz w:val="24"/>
          <w:szCs w:val="20"/>
          <w:lang w:val="en-US" w:eastAsia="zh-CN" w:bidi="ar-SA"/>
        </w:rPr>
        <w:t>软件升级服务：将系统软件升级为最新版本（所有软件安装与升级服务，需用户提供安装介质或恢复介质）。</w:t>
      </w:r>
    </w:p>
    <w:p w14:paraId="2E1493FD">
      <w:pPr>
        <w:pStyle w:val="176"/>
        <w:keepNext w:val="0"/>
        <w:keepLines w:val="0"/>
        <w:pageBreakBefore w:val="0"/>
        <w:widowControl w:val="0"/>
        <w:numPr>
          <w:ilvl w:val="0"/>
          <w:numId w:val="0"/>
        </w:numPr>
        <w:kinsoku/>
        <w:overflowPunct/>
        <w:topLinePunct w:val="0"/>
        <w:autoSpaceDE/>
        <w:autoSpaceDN/>
        <w:bidi w:val="0"/>
        <w:adjustRightInd/>
        <w:spacing w:before="0" w:line="580" w:lineRule="exact"/>
        <w:ind w:leftChars="0" w:right="0" w:rightChars="0" w:firstLine="480" w:firstLineChars="200"/>
        <w:jc w:val="both"/>
        <w:textAlignment w:val="auto"/>
        <w:rPr>
          <w:rFonts w:hint="default" w:ascii="宋体" w:hAnsi="宋体" w:eastAsia="宋体" w:cs="仿宋"/>
          <w:kern w:val="0"/>
          <w:sz w:val="24"/>
          <w:szCs w:val="20"/>
          <w:lang w:val="en-US" w:eastAsia="zh-CN" w:bidi="ar-SA"/>
        </w:rPr>
      </w:pPr>
      <w:r>
        <w:rPr>
          <w:rFonts w:hint="eastAsia" w:ascii="宋体" w:hAnsi="宋体" w:eastAsia="宋体" w:cs="仿宋"/>
          <w:kern w:val="0"/>
          <w:sz w:val="24"/>
          <w:szCs w:val="20"/>
          <w:lang w:val="en-US" w:eastAsia="zh-CN" w:bidi="ar-SA"/>
        </w:rPr>
        <w:t>6.2.7</w:t>
      </w:r>
      <w:r>
        <w:rPr>
          <w:rFonts w:hint="default" w:ascii="宋体" w:hAnsi="宋体" w:eastAsia="宋体" w:cs="仿宋"/>
          <w:kern w:val="0"/>
          <w:sz w:val="24"/>
          <w:szCs w:val="20"/>
          <w:lang w:val="en-US" w:eastAsia="zh-CN" w:bidi="ar-SA"/>
        </w:rPr>
        <w:t>网络配置服务：采集站与服务器链接服务，保证可正常链接（IP设置、名称设置、设备连接等）。</w:t>
      </w:r>
    </w:p>
    <w:p w14:paraId="4B9B62E9">
      <w:pPr>
        <w:pStyle w:val="176"/>
        <w:keepNext w:val="0"/>
        <w:keepLines w:val="0"/>
        <w:pageBreakBefore w:val="0"/>
        <w:widowControl w:val="0"/>
        <w:numPr>
          <w:ilvl w:val="0"/>
          <w:numId w:val="0"/>
        </w:numPr>
        <w:kinsoku/>
        <w:overflowPunct/>
        <w:topLinePunct w:val="0"/>
        <w:autoSpaceDE/>
        <w:autoSpaceDN/>
        <w:bidi w:val="0"/>
        <w:adjustRightInd/>
        <w:spacing w:before="0" w:line="580" w:lineRule="exact"/>
        <w:ind w:leftChars="0" w:right="0" w:rightChars="0" w:firstLine="480" w:firstLineChars="200"/>
        <w:jc w:val="both"/>
        <w:textAlignment w:val="auto"/>
        <w:rPr>
          <w:rFonts w:hint="default" w:ascii="宋体" w:hAnsi="宋体" w:eastAsia="宋体" w:cs="仿宋"/>
          <w:kern w:val="0"/>
          <w:sz w:val="24"/>
          <w:szCs w:val="20"/>
          <w:lang w:val="en-US" w:eastAsia="zh-CN" w:bidi="ar-SA"/>
        </w:rPr>
      </w:pPr>
      <w:r>
        <w:rPr>
          <w:rFonts w:hint="eastAsia" w:ascii="宋体" w:hAnsi="宋体" w:eastAsia="宋体" w:cs="仿宋"/>
          <w:kern w:val="0"/>
          <w:sz w:val="24"/>
          <w:szCs w:val="20"/>
          <w:lang w:val="en-US" w:eastAsia="zh-CN" w:bidi="ar-SA"/>
        </w:rPr>
        <w:t>6.2.8</w:t>
      </w:r>
      <w:r>
        <w:rPr>
          <w:rFonts w:hint="default" w:ascii="宋体" w:hAnsi="宋体" w:eastAsia="宋体" w:cs="仿宋"/>
          <w:kern w:val="0"/>
          <w:sz w:val="24"/>
          <w:szCs w:val="20"/>
          <w:lang w:val="en-US" w:eastAsia="zh-CN" w:bidi="ar-SA"/>
        </w:rPr>
        <w:t>网络连接故障处置：采集站网络链接故障排查与处理服务（需客户提供网络链接环境要求及配置信息）。</w:t>
      </w:r>
    </w:p>
    <w:p w14:paraId="35CECEDB">
      <w:pPr>
        <w:pStyle w:val="176"/>
        <w:keepNext w:val="0"/>
        <w:keepLines w:val="0"/>
        <w:pageBreakBefore w:val="0"/>
        <w:widowControl w:val="0"/>
        <w:numPr>
          <w:ilvl w:val="0"/>
          <w:numId w:val="0"/>
        </w:numPr>
        <w:kinsoku/>
        <w:overflowPunct/>
        <w:topLinePunct w:val="0"/>
        <w:autoSpaceDE/>
        <w:autoSpaceDN/>
        <w:bidi w:val="0"/>
        <w:adjustRightInd/>
        <w:spacing w:before="0" w:line="580" w:lineRule="exact"/>
        <w:ind w:leftChars="0" w:right="0" w:rightChars="0" w:firstLine="480" w:firstLineChars="200"/>
        <w:jc w:val="both"/>
        <w:textAlignment w:val="auto"/>
        <w:rPr>
          <w:rFonts w:hint="default" w:ascii="宋体" w:hAnsi="宋体" w:eastAsia="宋体" w:cs="仿宋"/>
          <w:kern w:val="0"/>
          <w:sz w:val="24"/>
          <w:szCs w:val="20"/>
          <w:lang w:val="en-US" w:eastAsia="zh-CN" w:bidi="ar-SA"/>
        </w:rPr>
      </w:pPr>
      <w:r>
        <w:rPr>
          <w:rFonts w:hint="eastAsia" w:ascii="宋体" w:hAnsi="宋体" w:eastAsia="宋体" w:cs="仿宋"/>
          <w:kern w:val="0"/>
          <w:sz w:val="24"/>
          <w:szCs w:val="20"/>
          <w:lang w:val="en-US" w:eastAsia="zh-CN" w:bidi="ar-SA"/>
        </w:rPr>
        <w:t>6.2.9</w:t>
      </w:r>
      <w:r>
        <w:rPr>
          <w:rFonts w:hint="default" w:ascii="宋体" w:hAnsi="宋体" w:eastAsia="宋体" w:cs="仿宋"/>
          <w:kern w:val="0"/>
          <w:sz w:val="24"/>
          <w:szCs w:val="20"/>
          <w:lang w:val="en-US" w:eastAsia="zh-CN" w:bidi="ar-SA"/>
        </w:rPr>
        <w:t>系统巡检服务：定期对系统进行检查，对系统运行状态时刻掌握，降低设备故障风险，年内派员实地前往各基层单位开展执法记录仪采集站巡检1次。</w:t>
      </w:r>
    </w:p>
    <w:p w14:paraId="2E68B75C">
      <w:pPr>
        <w:pStyle w:val="176"/>
        <w:keepNext w:val="0"/>
        <w:keepLines w:val="0"/>
        <w:pageBreakBefore w:val="0"/>
        <w:widowControl w:val="0"/>
        <w:numPr>
          <w:ilvl w:val="0"/>
          <w:numId w:val="0"/>
        </w:numPr>
        <w:kinsoku/>
        <w:overflowPunct/>
        <w:topLinePunct w:val="0"/>
        <w:autoSpaceDE/>
        <w:autoSpaceDN/>
        <w:bidi w:val="0"/>
        <w:adjustRightInd/>
        <w:spacing w:before="0" w:line="580" w:lineRule="exact"/>
        <w:ind w:leftChars="0" w:right="0" w:rightChars="0" w:firstLine="480" w:firstLineChars="200"/>
        <w:jc w:val="both"/>
        <w:textAlignment w:val="auto"/>
        <w:rPr>
          <w:rFonts w:hint="default" w:ascii="宋体" w:hAnsi="宋体" w:eastAsia="宋体" w:cs="仿宋"/>
          <w:kern w:val="0"/>
          <w:sz w:val="24"/>
          <w:szCs w:val="20"/>
          <w:lang w:val="en-US" w:eastAsia="zh-CN" w:bidi="ar-SA"/>
        </w:rPr>
      </w:pPr>
      <w:r>
        <w:rPr>
          <w:rFonts w:hint="eastAsia" w:ascii="宋体" w:hAnsi="宋体" w:eastAsia="宋体" w:cs="仿宋"/>
          <w:kern w:val="0"/>
          <w:sz w:val="24"/>
          <w:szCs w:val="20"/>
          <w:lang w:val="en-US" w:eastAsia="zh-CN" w:bidi="ar-SA"/>
        </w:rPr>
        <w:t>6.2.10</w:t>
      </w:r>
      <w:r>
        <w:rPr>
          <w:rFonts w:hint="default" w:ascii="宋体" w:hAnsi="宋体" w:eastAsia="宋体" w:cs="仿宋"/>
          <w:kern w:val="0"/>
          <w:sz w:val="24"/>
          <w:szCs w:val="20"/>
          <w:lang w:val="en-US" w:eastAsia="zh-CN" w:bidi="ar-SA"/>
        </w:rPr>
        <w:t>系统保养服务：定期对系统进行保养维护，清理系统垃圾，优化系统运行速度。</w:t>
      </w:r>
    </w:p>
    <w:p w14:paraId="55A91A06">
      <w:pPr>
        <w:pStyle w:val="2"/>
        <w:rPr>
          <w:rFonts w:hint="default" w:ascii="宋体" w:hAnsi="宋体" w:eastAsia="宋体" w:cs="仿宋"/>
          <w:kern w:val="0"/>
          <w:sz w:val="24"/>
          <w:szCs w:val="20"/>
          <w:lang w:val="en-US" w:eastAsia="zh-CN"/>
        </w:rPr>
      </w:pPr>
      <w:r>
        <w:rPr>
          <w:rFonts w:hint="eastAsia" w:ascii="宋体" w:hAnsi="宋体" w:eastAsia="宋体" w:cs="仿宋"/>
          <w:kern w:val="0"/>
          <w:sz w:val="24"/>
          <w:szCs w:val="20"/>
          <w:lang w:val="en-US" w:eastAsia="zh-CN"/>
        </w:rPr>
        <w:t>6.3</w:t>
      </w:r>
      <w:r>
        <w:rPr>
          <w:rFonts w:hint="default" w:ascii="宋体" w:hAnsi="宋体" w:eastAsia="宋体" w:cs="仿宋"/>
          <w:kern w:val="0"/>
          <w:sz w:val="24"/>
          <w:szCs w:val="20"/>
          <w:lang w:val="en-US" w:eastAsia="zh-CN"/>
        </w:rPr>
        <w:t>维保方式</w:t>
      </w:r>
    </w:p>
    <w:p w14:paraId="1182BAF7">
      <w:pPr>
        <w:pStyle w:val="2"/>
        <w:rPr>
          <w:rFonts w:hint="default" w:ascii="宋体" w:hAnsi="宋体" w:eastAsia="宋体" w:cs="仿宋"/>
          <w:kern w:val="0"/>
          <w:sz w:val="24"/>
          <w:szCs w:val="20"/>
          <w:lang w:val="en-US" w:eastAsia="zh-CN"/>
        </w:rPr>
      </w:pPr>
      <w:r>
        <w:rPr>
          <w:rFonts w:hint="default" w:ascii="宋体" w:hAnsi="宋体" w:eastAsia="宋体" w:cs="仿宋"/>
          <w:kern w:val="0"/>
          <w:sz w:val="24"/>
          <w:szCs w:val="20"/>
          <w:lang w:val="en-US" w:eastAsia="zh-CN"/>
        </w:rPr>
        <w:t>新疆出入境边防检查总站执法记录仪数据管理平台、指挥调度平台在日常工作中非常重要，要求各类系统7*24小时无故障运行，且对在系统使用过程中的突发性故障、各种临时事件要求立即恢复正常运行；基于以上，为了体现运维服务的重要性和专业性，应采用以下三种方式：</w:t>
      </w:r>
    </w:p>
    <w:p w14:paraId="3A47C994">
      <w:pPr>
        <w:pStyle w:val="2"/>
        <w:rPr>
          <w:rFonts w:hint="default" w:ascii="宋体" w:hAnsi="宋体" w:eastAsia="宋体" w:cs="仿宋"/>
          <w:kern w:val="0"/>
          <w:sz w:val="24"/>
          <w:szCs w:val="20"/>
          <w:lang w:val="en-US" w:eastAsia="zh-CN"/>
        </w:rPr>
      </w:pPr>
      <w:r>
        <w:rPr>
          <w:rFonts w:hint="eastAsia" w:ascii="宋体" w:hAnsi="宋体" w:eastAsia="宋体" w:cs="仿宋"/>
          <w:kern w:val="0"/>
          <w:sz w:val="24"/>
          <w:szCs w:val="20"/>
          <w:lang w:val="en-US" w:eastAsia="zh-CN"/>
        </w:rPr>
        <w:t>6.3.1</w:t>
      </w:r>
      <w:r>
        <w:rPr>
          <w:rFonts w:hint="default" w:ascii="宋体" w:hAnsi="宋体" w:eastAsia="宋体" w:cs="仿宋"/>
          <w:kern w:val="0"/>
          <w:sz w:val="24"/>
          <w:szCs w:val="20"/>
          <w:lang w:val="en-US" w:eastAsia="zh-CN"/>
        </w:rPr>
        <w:t>现场技术服务：安排1名技术工程师驻场，以甲方的身份入驻用户场地，处理日常事务，每周5*8工作方式，为执法仪数据管理和调度平台提供7*24小时稳定运行给予支撑。负责日常服务器维护、操作系统、系统漏洞检测和修补，处理系统运行中出现的故障和问题。对于出现的各种问题迅速定位并解决，在日常工作中不断优化系统架构和部署的合理性，以提升系统的稳定性。年内派员前往各基层单位开展执法记录仪采集站巡检1次</w:t>
      </w:r>
    </w:p>
    <w:p w14:paraId="60841771">
      <w:pPr>
        <w:pStyle w:val="2"/>
        <w:rPr>
          <w:rFonts w:hint="default" w:ascii="宋体" w:hAnsi="宋体" w:eastAsia="宋体" w:cs="仿宋"/>
          <w:kern w:val="0"/>
          <w:sz w:val="24"/>
          <w:szCs w:val="20"/>
          <w:lang w:val="en-US" w:eastAsia="zh-CN"/>
        </w:rPr>
      </w:pPr>
      <w:r>
        <w:rPr>
          <w:rFonts w:hint="eastAsia" w:ascii="宋体" w:hAnsi="宋体" w:eastAsia="宋体" w:cs="仿宋"/>
          <w:kern w:val="0"/>
          <w:sz w:val="24"/>
          <w:szCs w:val="20"/>
          <w:lang w:val="en-US" w:eastAsia="zh-CN"/>
        </w:rPr>
        <w:t>6.3.2</w:t>
      </w:r>
      <w:r>
        <w:rPr>
          <w:rFonts w:hint="default" w:ascii="宋体" w:hAnsi="宋体" w:eastAsia="宋体" w:cs="仿宋"/>
          <w:kern w:val="0"/>
          <w:sz w:val="24"/>
          <w:szCs w:val="20"/>
          <w:lang w:val="en-US" w:eastAsia="zh-CN"/>
        </w:rPr>
        <w:t>远程支持服务：建立与用户连接的技术支持与响应中心，由公司技术部进行远程技术支持，支持系统检查、故障诊断、软件调整等。</w:t>
      </w:r>
    </w:p>
    <w:p w14:paraId="263D642E">
      <w:pPr>
        <w:pStyle w:val="2"/>
        <w:rPr>
          <w:rFonts w:hint="default"/>
          <w:lang w:val="en-US" w:eastAsia="zh-CN"/>
        </w:rPr>
      </w:pPr>
      <w:r>
        <w:rPr>
          <w:rFonts w:hint="eastAsia" w:ascii="宋体" w:hAnsi="宋体" w:eastAsia="宋体" w:cs="仿宋"/>
          <w:kern w:val="0"/>
          <w:sz w:val="24"/>
          <w:szCs w:val="20"/>
          <w:lang w:val="en-US" w:eastAsia="zh-CN"/>
        </w:rPr>
        <w:t>6.3.3</w:t>
      </w:r>
      <w:r>
        <w:rPr>
          <w:rFonts w:hint="default" w:ascii="宋体" w:hAnsi="宋体" w:eastAsia="宋体" w:cs="仿宋"/>
          <w:kern w:val="0"/>
          <w:sz w:val="24"/>
          <w:szCs w:val="20"/>
          <w:lang w:val="en-US" w:eastAsia="zh-CN"/>
        </w:rPr>
        <w:t>电话热线服务：在维护期内，提供快捷、方便、多样的通讯手段，实现7x24小时热线服务支持。技术支持包括提供将系统恢复到正常状态所需的各种工具及相关设备。</w:t>
      </w:r>
    </w:p>
    <w:tbl>
      <w:tblPr>
        <w:tblStyle w:val="47"/>
        <w:tblpPr w:leftFromText="180" w:rightFromText="180" w:vertAnchor="text" w:horzAnchor="page" w:tblpX="1130" w:tblpY="1381"/>
        <w:tblOverlap w:val="never"/>
        <w:tblW w:w="9778" w:type="dxa"/>
        <w:tblInd w:w="0" w:type="dxa"/>
        <w:tblLayout w:type="fixed"/>
        <w:tblCellMar>
          <w:top w:w="0" w:type="dxa"/>
          <w:left w:w="108" w:type="dxa"/>
          <w:bottom w:w="0" w:type="dxa"/>
          <w:right w:w="108" w:type="dxa"/>
        </w:tblCellMar>
      </w:tblPr>
      <w:tblGrid>
        <w:gridCol w:w="1418"/>
        <w:gridCol w:w="2126"/>
        <w:gridCol w:w="533"/>
        <w:gridCol w:w="4546"/>
        <w:gridCol w:w="1155"/>
      </w:tblGrid>
      <w:tr w14:paraId="31FC6922">
        <w:tblPrEx>
          <w:tblCellMar>
            <w:top w:w="0" w:type="dxa"/>
            <w:left w:w="108" w:type="dxa"/>
            <w:bottom w:w="0" w:type="dxa"/>
            <w:right w:w="108" w:type="dxa"/>
          </w:tblCellMar>
        </w:tblPrEx>
        <w:trPr>
          <w:trHeight w:val="510" w:hRule="atLeast"/>
        </w:trPr>
        <w:tc>
          <w:tcPr>
            <w:tcW w:w="9778" w:type="dxa"/>
            <w:gridSpan w:val="5"/>
            <w:tcBorders>
              <w:top w:val="single" w:color="000000" w:sz="4" w:space="0"/>
              <w:left w:val="single" w:color="000000" w:sz="4" w:space="0"/>
              <w:bottom w:val="single" w:color="000000" w:sz="4" w:space="0"/>
              <w:right w:val="single" w:color="000000" w:sz="4" w:space="0"/>
            </w:tcBorders>
            <w:vAlign w:val="center"/>
          </w:tcPr>
          <w:p w14:paraId="46ECDD1D">
            <w:pPr>
              <w:keepLines w:val="0"/>
              <w:pageBreakBefore w:val="0"/>
              <w:widowControl w:val="0"/>
              <w:kinsoku/>
              <w:overflowPunct/>
              <w:topLinePunct w:val="0"/>
              <w:autoSpaceDE/>
              <w:autoSpaceDN/>
              <w:bidi w:val="0"/>
              <w:adjustRightInd/>
              <w:jc w:val="center"/>
              <w:textAlignment w:val="auto"/>
              <w:rPr>
                <w:rFonts w:hint="default" w:ascii="Times New Roman" w:hAnsi="Times New Roman" w:cs="Times New Roman"/>
                <w:kern w:val="0"/>
                <w:sz w:val="48"/>
                <w:szCs w:val="48"/>
              </w:rPr>
            </w:pPr>
            <w:r>
              <w:rPr>
                <w:rFonts w:hint="default" w:ascii="Times New Roman" w:hAnsi="Times New Roman" w:cs="Times New Roman"/>
                <w:kern w:val="0"/>
                <w:sz w:val="48"/>
                <w:szCs w:val="48"/>
              </w:rPr>
              <w:t>采集站软件功能维护</w:t>
            </w:r>
          </w:p>
        </w:tc>
      </w:tr>
      <w:tr w14:paraId="4A7C8C92">
        <w:tblPrEx>
          <w:tblCellMar>
            <w:top w:w="0" w:type="dxa"/>
            <w:left w:w="108" w:type="dxa"/>
            <w:bottom w:w="0" w:type="dxa"/>
            <w:right w:w="108" w:type="dxa"/>
          </w:tblCellMar>
        </w:tblPrEx>
        <w:trPr>
          <w:trHeight w:val="345" w:hRule="atLeast"/>
        </w:trPr>
        <w:tc>
          <w:tcPr>
            <w:tcW w:w="1418" w:type="dxa"/>
            <w:tcBorders>
              <w:top w:val="single" w:color="000000" w:sz="4" w:space="0"/>
              <w:left w:val="single" w:color="000000" w:sz="4" w:space="0"/>
              <w:bottom w:val="single" w:color="000000" w:sz="4" w:space="0"/>
              <w:right w:val="single" w:color="000000" w:sz="4" w:space="0"/>
            </w:tcBorders>
            <w:vAlign w:val="center"/>
          </w:tcPr>
          <w:p w14:paraId="65D1305D">
            <w:pPr>
              <w:keepLines w:val="0"/>
              <w:pageBreakBefore w:val="0"/>
              <w:widowControl w:val="0"/>
              <w:kinsoku/>
              <w:overflowPunct/>
              <w:topLinePunct w:val="0"/>
              <w:autoSpaceDE/>
              <w:autoSpaceDN/>
              <w:bidi w:val="0"/>
              <w:adjustRightInd/>
              <w:jc w:val="both"/>
              <w:textAlignment w:val="auto"/>
              <w:rPr>
                <w:rFonts w:hint="default" w:ascii="Times New Roman" w:hAnsi="Times New Roman" w:cs="Times New Roman"/>
                <w:kern w:val="0"/>
                <w:sz w:val="22"/>
                <w:szCs w:val="32"/>
              </w:rPr>
            </w:pPr>
            <w:r>
              <w:rPr>
                <w:rFonts w:hint="default" w:ascii="Times New Roman" w:hAnsi="Times New Roman" w:cs="Times New Roman"/>
                <w:kern w:val="0"/>
                <w:sz w:val="22"/>
                <w:szCs w:val="32"/>
              </w:rPr>
              <w:t>功能特性</w:t>
            </w:r>
          </w:p>
        </w:tc>
        <w:tc>
          <w:tcPr>
            <w:tcW w:w="8360" w:type="dxa"/>
            <w:gridSpan w:val="4"/>
            <w:tcBorders>
              <w:top w:val="single" w:color="000000" w:sz="4" w:space="0"/>
              <w:left w:val="nil"/>
              <w:bottom w:val="single" w:color="000000" w:sz="4" w:space="0"/>
              <w:right w:val="single" w:color="000000" w:sz="4" w:space="0"/>
            </w:tcBorders>
            <w:vAlign w:val="center"/>
          </w:tcPr>
          <w:p w14:paraId="23C4749C">
            <w:pPr>
              <w:keepLines w:val="0"/>
              <w:pageBreakBefore w:val="0"/>
              <w:widowControl w:val="0"/>
              <w:kinsoku/>
              <w:overflowPunct/>
              <w:topLinePunct w:val="0"/>
              <w:autoSpaceDE/>
              <w:autoSpaceDN/>
              <w:bidi w:val="0"/>
              <w:adjustRightInd/>
              <w:jc w:val="both"/>
              <w:textAlignment w:val="auto"/>
              <w:rPr>
                <w:rFonts w:hint="default" w:ascii="Times New Roman" w:hAnsi="Times New Roman" w:cs="Times New Roman"/>
                <w:kern w:val="0"/>
                <w:sz w:val="22"/>
                <w:szCs w:val="32"/>
              </w:rPr>
            </w:pPr>
            <w:r>
              <w:rPr>
                <w:rFonts w:hint="default" w:ascii="Times New Roman" w:hAnsi="Times New Roman" w:cs="Times New Roman"/>
                <w:kern w:val="0"/>
                <w:sz w:val="22"/>
                <w:szCs w:val="32"/>
              </w:rPr>
              <w:t>此维护项为采集站系统软件维护项目</w:t>
            </w:r>
          </w:p>
        </w:tc>
      </w:tr>
      <w:tr w14:paraId="541B5453">
        <w:tblPrEx>
          <w:tblCellMar>
            <w:top w:w="0" w:type="dxa"/>
            <w:left w:w="108" w:type="dxa"/>
            <w:bottom w:w="0" w:type="dxa"/>
            <w:right w:w="108" w:type="dxa"/>
          </w:tblCellMar>
        </w:tblPrEx>
        <w:trPr>
          <w:trHeight w:val="350" w:hRule="atLeast"/>
        </w:trPr>
        <w:tc>
          <w:tcPr>
            <w:tcW w:w="1418" w:type="dxa"/>
            <w:tcBorders>
              <w:top w:val="single" w:color="000000" w:sz="4" w:space="0"/>
              <w:left w:val="single" w:color="000000" w:sz="4" w:space="0"/>
              <w:bottom w:val="single" w:color="000000" w:sz="4" w:space="0"/>
              <w:right w:val="single" w:color="000000" w:sz="4" w:space="0"/>
            </w:tcBorders>
            <w:vAlign w:val="center"/>
          </w:tcPr>
          <w:p w14:paraId="13C24784">
            <w:pPr>
              <w:keepLines w:val="0"/>
              <w:pageBreakBefore w:val="0"/>
              <w:widowControl w:val="0"/>
              <w:kinsoku/>
              <w:overflowPunct/>
              <w:topLinePunct w:val="0"/>
              <w:autoSpaceDE/>
              <w:autoSpaceDN/>
              <w:bidi w:val="0"/>
              <w:adjustRightInd/>
              <w:jc w:val="both"/>
              <w:textAlignment w:val="auto"/>
              <w:rPr>
                <w:rFonts w:hint="default" w:ascii="Times New Roman" w:hAnsi="Times New Roman" w:cs="Times New Roman"/>
                <w:kern w:val="0"/>
                <w:sz w:val="22"/>
                <w:szCs w:val="32"/>
              </w:rPr>
            </w:pPr>
            <w:r>
              <w:rPr>
                <w:rFonts w:hint="default" w:ascii="Times New Roman" w:hAnsi="Times New Roman" w:cs="Times New Roman"/>
                <w:kern w:val="0"/>
                <w:sz w:val="22"/>
                <w:szCs w:val="32"/>
              </w:rPr>
              <w:t>维护目的</w:t>
            </w:r>
          </w:p>
        </w:tc>
        <w:tc>
          <w:tcPr>
            <w:tcW w:w="8360" w:type="dxa"/>
            <w:gridSpan w:val="4"/>
            <w:tcBorders>
              <w:top w:val="single" w:color="000000" w:sz="4" w:space="0"/>
              <w:left w:val="nil"/>
              <w:bottom w:val="single" w:color="000000" w:sz="4" w:space="0"/>
              <w:right w:val="single" w:color="000000" w:sz="4" w:space="0"/>
            </w:tcBorders>
            <w:vAlign w:val="center"/>
          </w:tcPr>
          <w:p w14:paraId="3C392310">
            <w:pPr>
              <w:keepLines w:val="0"/>
              <w:pageBreakBefore w:val="0"/>
              <w:widowControl w:val="0"/>
              <w:kinsoku/>
              <w:overflowPunct/>
              <w:topLinePunct w:val="0"/>
              <w:autoSpaceDE/>
              <w:autoSpaceDN/>
              <w:bidi w:val="0"/>
              <w:adjustRightInd/>
              <w:jc w:val="both"/>
              <w:textAlignment w:val="auto"/>
              <w:rPr>
                <w:rFonts w:hint="default" w:ascii="Times New Roman" w:hAnsi="Times New Roman" w:cs="Times New Roman"/>
                <w:kern w:val="0"/>
                <w:sz w:val="22"/>
                <w:szCs w:val="32"/>
              </w:rPr>
            </w:pPr>
            <w:r>
              <w:rPr>
                <w:rFonts w:hint="default" w:ascii="Times New Roman" w:hAnsi="Times New Roman" w:cs="Times New Roman"/>
                <w:kern w:val="0"/>
                <w:sz w:val="22"/>
                <w:szCs w:val="32"/>
              </w:rPr>
              <w:t>验证数据上传下载及观看功能是否满足日常使用要求</w:t>
            </w:r>
          </w:p>
        </w:tc>
      </w:tr>
      <w:tr w14:paraId="1A305288">
        <w:tblPrEx>
          <w:tblCellMar>
            <w:top w:w="0" w:type="dxa"/>
            <w:left w:w="108" w:type="dxa"/>
            <w:bottom w:w="0" w:type="dxa"/>
            <w:right w:w="108" w:type="dxa"/>
          </w:tblCellMar>
        </w:tblPrEx>
        <w:trPr>
          <w:trHeight w:val="345" w:hRule="atLeast"/>
        </w:trPr>
        <w:tc>
          <w:tcPr>
            <w:tcW w:w="1418" w:type="dxa"/>
            <w:tcBorders>
              <w:top w:val="single" w:color="000000" w:sz="4" w:space="0"/>
              <w:left w:val="single" w:color="000000" w:sz="4" w:space="0"/>
              <w:bottom w:val="single" w:color="000000" w:sz="4" w:space="0"/>
              <w:right w:val="single" w:color="000000" w:sz="4" w:space="0"/>
            </w:tcBorders>
            <w:vAlign w:val="center"/>
          </w:tcPr>
          <w:p w14:paraId="09247FA9">
            <w:pPr>
              <w:keepLines w:val="0"/>
              <w:pageBreakBefore w:val="0"/>
              <w:widowControl w:val="0"/>
              <w:kinsoku/>
              <w:overflowPunct/>
              <w:topLinePunct w:val="0"/>
              <w:autoSpaceDE/>
              <w:autoSpaceDN/>
              <w:bidi w:val="0"/>
              <w:adjustRightInd/>
              <w:jc w:val="both"/>
              <w:textAlignment w:val="auto"/>
              <w:rPr>
                <w:rFonts w:hint="default" w:ascii="Times New Roman" w:hAnsi="Times New Roman" w:cs="Times New Roman"/>
                <w:kern w:val="0"/>
                <w:sz w:val="22"/>
                <w:szCs w:val="32"/>
              </w:rPr>
            </w:pPr>
            <w:r>
              <w:rPr>
                <w:rFonts w:hint="default" w:ascii="Times New Roman" w:hAnsi="Times New Roman" w:cs="Times New Roman"/>
                <w:kern w:val="0"/>
                <w:sz w:val="22"/>
                <w:szCs w:val="32"/>
              </w:rPr>
              <w:t>维护条件</w:t>
            </w:r>
          </w:p>
        </w:tc>
        <w:tc>
          <w:tcPr>
            <w:tcW w:w="8360" w:type="dxa"/>
            <w:gridSpan w:val="4"/>
            <w:tcBorders>
              <w:top w:val="single" w:color="000000" w:sz="4" w:space="0"/>
              <w:left w:val="nil"/>
              <w:bottom w:val="single" w:color="000000" w:sz="4" w:space="0"/>
              <w:right w:val="single" w:color="000000" w:sz="4" w:space="0"/>
            </w:tcBorders>
            <w:vAlign w:val="center"/>
          </w:tcPr>
          <w:p w14:paraId="3A225880">
            <w:pPr>
              <w:keepLines w:val="0"/>
              <w:pageBreakBefore w:val="0"/>
              <w:widowControl w:val="0"/>
              <w:kinsoku/>
              <w:overflowPunct/>
              <w:topLinePunct w:val="0"/>
              <w:autoSpaceDE/>
              <w:autoSpaceDN/>
              <w:bidi w:val="0"/>
              <w:adjustRightInd/>
              <w:jc w:val="both"/>
              <w:textAlignment w:val="auto"/>
              <w:rPr>
                <w:rFonts w:hint="default" w:ascii="Times New Roman" w:hAnsi="Times New Roman" w:cs="Times New Roman"/>
                <w:kern w:val="0"/>
                <w:sz w:val="22"/>
                <w:szCs w:val="32"/>
              </w:rPr>
            </w:pPr>
            <w:r>
              <w:rPr>
                <w:rFonts w:hint="default" w:ascii="Times New Roman" w:hAnsi="Times New Roman" w:cs="Times New Roman"/>
                <w:kern w:val="0"/>
                <w:sz w:val="22"/>
                <w:szCs w:val="32"/>
              </w:rPr>
              <w:t>1.采集站连接正常. 2.数据上传正常</w:t>
            </w:r>
          </w:p>
        </w:tc>
      </w:tr>
      <w:tr w14:paraId="72F28E24">
        <w:tblPrEx>
          <w:tblCellMar>
            <w:top w:w="0" w:type="dxa"/>
            <w:left w:w="108" w:type="dxa"/>
            <w:bottom w:w="0" w:type="dxa"/>
            <w:right w:w="108" w:type="dxa"/>
          </w:tblCellMar>
        </w:tblPrEx>
        <w:trPr>
          <w:trHeight w:val="540" w:hRule="atLeast"/>
        </w:trPr>
        <w:tc>
          <w:tcPr>
            <w:tcW w:w="1418" w:type="dxa"/>
            <w:tcBorders>
              <w:top w:val="nil"/>
              <w:left w:val="single" w:color="000000" w:sz="4" w:space="0"/>
              <w:bottom w:val="single" w:color="000000" w:sz="4" w:space="0"/>
              <w:right w:val="single" w:color="000000" w:sz="4" w:space="0"/>
            </w:tcBorders>
            <w:shd w:val="clear" w:color="000000" w:fill="auto"/>
            <w:vAlign w:val="center"/>
          </w:tcPr>
          <w:p w14:paraId="0C0EFAAB">
            <w:pPr>
              <w:keepLines w:val="0"/>
              <w:pageBreakBefore w:val="0"/>
              <w:widowControl w:val="0"/>
              <w:kinsoku/>
              <w:overflowPunct/>
              <w:topLinePunct w:val="0"/>
              <w:autoSpaceDE/>
              <w:autoSpaceDN/>
              <w:bidi w:val="0"/>
              <w:adjustRightInd/>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eastAsiaTheme="minorEastAsia"/>
                <w:b/>
                <w:color w:val="auto"/>
                <w:kern w:val="0"/>
                <w:sz w:val="21"/>
                <w:szCs w:val="21"/>
                <w:highlight w:val="none"/>
              </w:rPr>
              <w:t>服务项目</w:t>
            </w:r>
          </w:p>
        </w:tc>
        <w:tc>
          <w:tcPr>
            <w:tcW w:w="2659" w:type="dxa"/>
            <w:gridSpan w:val="2"/>
            <w:tcBorders>
              <w:top w:val="single" w:color="000000" w:sz="4" w:space="0"/>
              <w:left w:val="nil"/>
              <w:bottom w:val="single" w:color="000000" w:sz="4" w:space="0"/>
              <w:right w:val="single" w:color="000000" w:sz="4" w:space="0"/>
            </w:tcBorders>
            <w:shd w:val="clear" w:color="000000" w:fill="auto"/>
            <w:vAlign w:val="center"/>
          </w:tcPr>
          <w:p w14:paraId="02768C04">
            <w:pPr>
              <w:keepLines w:val="0"/>
              <w:pageBreakBefore w:val="0"/>
              <w:widowControl w:val="0"/>
              <w:kinsoku/>
              <w:overflowPunct/>
              <w:topLinePunct w:val="0"/>
              <w:autoSpaceDE/>
              <w:autoSpaceDN/>
              <w:bidi w:val="0"/>
              <w:adjustRightInd/>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eastAsiaTheme="minorEastAsia"/>
                <w:b/>
                <w:color w:val="auto"/>
                <w:kern w:val="0"/>
                <w:sz w:val="21"/>
                <w:szCs w:val="21"/>
                <w:highlight w:val="none"/>
              </w:rPr>
              <w:t>服务内容</w:t>
            </w:r>
          </w:p>
        </w:tc>
        <w:tc>
          <w:tcPr>
            <w:tcW w:w="4546" w:type="dxa"/>
            <w:tcBorders>
              <w:top w:val="nil"/>
              <w:left w:val="nil"/>
              <w:bottom w:val="single" w:color="000000" w:sz="4" w:space="0"/>
              <w:right w:val="single" w:color="000000" w:sz="4" w:space="0"/>
            </w:tcBorders>
            <w:shd w:val="clear" w:color="000000" w:fill="auto"/>
            <w:vAlign w:val="center"/>
          </w:tcPr>
          <w:p w14:paraId="1E6E0D5D">
            <w:pPr>
              <w:keepLines w:val="0"/>
              <w:pageBreakBefore w:val="0"/>
              <w:widowControl w:val="0"/>
              <w:kinsoku/>
              <w:overflowPunct/>
              <w:topLinePunct w:val="0"/>
              <w:autoSpaceDE/>
              <w:autoSpaceDN/>
              <w:bidi w:val="0"/>
              <w:adjustRightInd/>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eastAsiaTheme="minorEastAsia"/>
                <w:b/>
                <w:color w:val="auto"/>
                <w:kern w:val="0"/>
                <w:sz w:val="21"/>
                <w:szCs w:val="21"/>
                <w:highlight w:val="none"/>
              </w:rPr>
              <w:t>内容说明</w:t>
            </w:r>
          </w:p>
        </w:tc>
        <w:tc>
          <w:tcPr>
            <w:tcW w:w="1155" w:type="dxa"/>
            <w:tcBorders>
              <w:top w:val="nil"/>
              <w:left w:val="nil"/>
              <w:bottom w:val="single" w:color="000000" w:sz="4" w:space="0"/>
              <w:right w:val="single" w:color="000000" w:sz="4" w:space="0"/>
            </w:tcBorders>
            <w:shd w:val="clear" w:color="000000" w:fill="auto"/>
            <w:vAlign w:val="center"/>
          </w:tcPr>
          <w:p w14:paraId="4B7356E6">
            <w:pPr>
              <w:keepLines w:val="0"/>
              <w:pageBreakBefore w:val="0"/>
              <w:widowControl w:val="0"/>
              <w:kinsoku/>
              <w:overflowPunct/>
              <w:topLinePunct w:val="0"/>
              <w:autoSpaceDE/>
              <w:autoSpaceDN/>
              <w:bidi w:val="0"/>
              <w:adjustRightInd/>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eastAsiaTheme="minorEastAsia"/>
                <w:b/>
                <w:color w:val="auto"/>
                <w:kern w:val="0"/>
                <w:sz w:val="21"/>
                <w:szCs w:val="21"/>
                <w:highlight w:val="none"/>
              </w:rPr>
              <w:t>服务方式</w:t>
            </w:r>
          </w:p>
        </w:tc>
      </w:tr>
      <w:tr w14:paraId="5875CF2E">
        <w:tblPrEx>
          <w:tblCellMar>
            <w:top w:w="0" w:type="dxa"/>
            <w:left w:w="108" w:type="dxa"/>
            <w:bottom w:w="0" w:type="dxa"/>
            <w:right w:w="108" w:type="dxa"/>
          </w:tblCellMar>
        </w:tblPrEx>
        <w:trPr>
          <w:trHeight w:val="339" w:hRule="atLeast"/>
        </w:trPr>
        <w:tc>
          <w:tcPr>
            <w:tcW w:w="1418" w:type="dxa"/>
            <w:vMerge w:val="restart"/>
            <w:tcBorders>
              <w:top w:val="single" w:color="auto" w:sz="4" w:space="0"/>
              <w:left w:val="single" w:color="auto" w:sz="4" w:space="0"/>
              <w:right w:val="single" w:color="auto" w:sz="4" w:space="0"/>
            </w:tcBorders>
            <w:vAlign w:val="center"/>
          </w:tcPr>
          <w:p w14:paraId="29F89CFE">
            <w:pPr>
              <w:keepLines w:val="0"/>
              <w:pageBreakBefore w:val="0"/>
              <w:widowControl w:val="0"/>
              <w:kinsoku/>
              <w:overflowPunct/>
              <w:topLinePunct w:val="0"/>
              <w:autoSpaceDE/>
              <w:autoSpaceDN/>
              <w:bidi w:val="0"/>
              <w:adjustRightInd/>
              <w:jc w:val="center"/>
              <w:textAlignment w:val="auto"/>
              <w:rPr>
                <w:rFonts w:hint="default" w:ascii="Times New Roman" w:hAnsi="Times New Roman" w:cs="Times New Roman"/>
                <w:kern w:val="0"/>
                <w:sz w:val="20"/>
                <w:szCs w:val="20"/>
              </w:rPr>
            </w:pPr>
            <w:r>
              <w:rPr>
                <w:rFonts w:hint="default" w:ascii="Times New Roman" w:hAnsi="Times New Roman" w:cs="Times New Roman"/>
                <w:kern w:val="0"/>
                <w:sz w:val="20"/>
                <w:szCs w:val="20"/>
              </w:rPr>
              <w:t>基础软件维护</w:t>
            </w:r>
          </w:p>
        </w:tc>
        <w:tc>
          <w:tcPr>
            <w:tcW w:w="2659" w:type="dxa"/>
            <w:gridSpan w:val="2"/>
            <w:tcBorders>
              <w:top w:val="single" w:color="auto" w:sz="4" w:space="0"/>
              <w:left w:val="single" w:color="auto" w:sz="4" w:space="0"/>
              <w:bottom w:val="single" w:color="auto" w:sz="4" w:space="0"/>
              <w:right w:val="single" w:color="auto" w:sz="4" w:space="0"/>
            </w:tcBorders>
            <w:vAlign w:val="center"/>
          </w:tcPr>
          <w:p w14:paraId="41123172">
            <w:pPr>
              <w:keepLines w:val="0"/>
              <w:pageBreakBefore w:val="0"/>
              <w:widowControl w:val="0"/>
              <w:kinsoku/>
              <w:overflowPunct/>
              <w:topLinePunct w:val="0"/>
              <w:autoSpaceDE/>
              <w:autoSpaceDN/>
              <w:bidi w:val="0"/>
              <w:adjustRightInd/>
              <w:jc w:val="center"/>
              <w:textAlignment w:val="auto"/>
              <w:rPr>
                <w:rFonts w:hint="default" w:ascii="Times New Roman" w:hAnsi="Times New Roman" w:cs="Times New Roman"/>
                <w:kern w:val="0"/>
                <w:sz w:val="20"/>
                <w:szCs w:val="20"/>
              </w:rPr>
            </w:pPr>
            <w:r>
              <w:rPr>
                <w:rFonts w:hint="default" w:ascii="Times New Roman" w:hAnsi="Times New Roman" w:cs="Times New Roman"/>
                <w:kern w:val="0"/>
                <w:sz w:val="20"/>
                <w:szCs w:val="20"/>
              </w:rPr>
              <w:t>数据库维护</w:t>
            </w:r>
          </w:p>
        </w:tc>
        <w:tc>
          <w:tcPr>
            <w:tcW w:w="4546" w:type="dxa"/>
            <w:tcBorders>
              <w:top w:val="nil"/>
              <w:left w:val="single" w:color="auto" w:sz="4" w:space="0"/>
              <w:bottom w:val="single" w:color="000000" w:sz="4" w:space="0"/>
              <w:right w:val="single" w:color="000000" w:sz="4" w:space="0"/>
            </w:tcBorders>
            <w:vAlign w:val="center"/>
          </w:tcPr>
          <w:p w14:paraId="336FAD00">
            <w:pPr>
              <w:keepLines w:val="0"/>
              <w:pageBreakBefore w:val="0"/>
              <w:widowControl w:val="0"/>
              <w:kinsoku/>
              <w:overflowPunct/>
              <w:topLinePunct w:val="0"/>
              <w:autoSpaceDE/>
              <w:autoSpaceDN/>
              <w:bidi w:val="0"/>
              <w:adjustRightInd/>
              <w:jc w:val="both"/>
              <w:textAlignment w:val="auto"/>
              <w:rPr>
                <w:rFonts w:hint="default" w:ascii="Times New Roman" w:hAnsi="Times New Roman" w:cs="Times New Roman"/>
                <w:kern w:val="0"/>
                <w:sz w:val="20"/>
                <w:szCs w:val="20"/>
              </w:rPr>
            </w:pPr>
            <w:r>
              <w:rPr>
                <w:rFonts w:hint="default" w:ascii="Times New Roman" w:hAnsi="Times New Roman" w:cs="Times New Roman"/>
                <w:kern w:val="0"/>
                <w:sz w:val="20"/>
                <w:szCs w:val="20"/>
              </w:rPr>
              <w:t>Mysql服务日常维护及故障处理</w:t>
            </w:r>
          </w:p>
        </w:tc>
        <w:tc>
          <w:tcPr>
            <w:tcW w:w="1155" w:type="dxa"/>
            <w:tcBorders>
              <w:top w:val="nil"/>
              <w:left w:val="nil"/>
              <w:bottom w:val="single" w:color="000000" w:sz="4" w:space="0"/>
              <w:right w:val="single" w:color="000000" w:sz="4" w:space="0"/>
            </w:tcBorders>
            <w:vAlign w:val="center"/>
          </w:tcPr>
          <w:p w14:paraId="129D9E21">
            <w:pPr>
              <w:keepLines w:val="0"/>
              <w:pageBreakBefore w:val="0"/>
              <w:widowControl w:val="0"/>
              <w:kinsoku/>
              <w:overflowPunct/>
              <w:topLinePunct w:val="0"/>
              <w:autoSpaceDE/>
              <w:autoSpaceDN/>
              <w:bidi w:val="0"/>
              <w:adjustRightInd/>
              <w:ind w:firstLine="400" w:firstLineChars="200"/>
              <w:jc w:val="center"/>
              <w:textAlignment w:val="auto"/>
              <w:rPr>
                <w:rFonts w:hint="default" w:ascii="Times New Roman" w:hAnsi="Times New Roman" w:cs="Times New Roman"/>
                <w:kern w:val="0"/>
                <w:sz w:val="20"/>
                <w:szCs w:val="20"/>
              </w:rPr>
            </w:pPr>
            <w:r>
              <w:rPr>
                <w:rFonts w:hint="default" w:ascii="Times New Roman" w:hAnsi="Times New Roman" w:cs="Times New Roman"/>
                <w:kern w:val="0"/>
                <w:sz w:val="20"/>
                <w:szCs w:val="20"/>
              </w:rPr>
              <w:t>远程</w:t>
            </w:r>
          </w:p>
        </w:tc>
      </w:tr>
      <w:tr w14:paraId="4973118A">
        <w:tblPrEx>
          <w:tblCellMar>
            <w:top w:w="0" w:type="dxa"/>
            <w:left w:w="108" w:type="dxa"/>
            <w:bottom w:w="0" w:type="dxa"/>
            <w:right w:w="108" w:type="dxa"/>
          </w:tblCellMar>
        </w:tblPrEx>
        <w:trPr>
          <w:trHeight w:val="460" w:hRule="atLeast"/>
        </w:trPr>
        <w:tc>
          <w:tcPr>
            <w:tcW w:w="1418" w:type="dxa"/>
            <w:vMerge w:val="continue"/>
            <w:tcBorders>
              <w:left w:val="single" w:color="auto" w:sz="4" w:space="0"/>
              <w:right w:val="single" w:color="auto" w:sz="4" w:space="0"/>
            </w:tcBorders>
            <w:vAlign w:val="center"/>
          </w:tcPr>
          <w:p w14:paraId="2D6FC1BB">
            <w:pPr>
              <w:keepLines w:val="0"/>
              <w:pageBreakBefore w:val="0"/>
              <w:widowControl w:val="0"/>
              <w:kinsoku/>
              <w:overflowPunct/>
              <w:topLinePunct w:val="0"/>
              <w:autoSpaceDE/>
              <w:autoSpaceDN/>
              <w:bidi w:val="0"/>
              <w:adjustRightInd/>
              <w:ind w:firstLine="400" w:firstLineChars="200"/>
              <w:jc w:val="center"/>
              <w:textAlignment w:val="auto"/>
              <w:rPr>
                <w:rFonts w:hint="default" w:ascii="Times New Roman" w:hAnsi="Times New Roman" w:cs="Times New Roman"/>
                <w:kern w:val="0"/>
                <w:sz w:val="20"/>
                <w:szCs w:val="20"/>
              </w:rPr>
            </w:pPr>
          </w:p>
        </w:tc>
        <w:tc>
          <w:tcPr>
            <w:tcW w:w="2659" w:type="dxa"/>
            <w:gridSpan w:val="2"/>
            <w:tcBorders>
              <w:top w:val="single" w:color="auto" w:sz="4" w:space="0"/>
              <w:left w:val="single" w:color="auto" w:sz="4" w:space="0"/>
              <w:right w:val="single" w:color="auto" w:sz="4" w:space="0"/>
            </w:tcBorders>
            <w:vAlign w:val="center"/>
          </w:tcPr>
          <w:p w14:paraId="0A9A336C">
            <w:pPr>
              <w:keepLines w:val="0"/>
              <w:pageBreakBefore w:val="0"/>
              <w:widowControl w:val="0"/>
              <w:kinsoku/>
              <w:overflowPunct/>
              <w:topLinePunct w:val="0"/>
              <w:autoSpaceDE/>
              <w:autoSpaceDN/>
              <w:bidi w:val="0"/>
              <w:adjustRightInd/>
              <w:jc w:val="center"/>
              <w:textAlignment w:val="auto"/>
              <w:rPr>
                <w:rFonts w:hint="default" w:ascii="Times New Roman" w:hAnsi="Times New Roman" w:cs="Times New Roman"/>
                <w:kern w:val="0"/>
                <w:sz w:val="20"/>
                <w:szCs w:val="20"/>
              </w:rPr>
            </w:pPr>
            <w:r>
              <w:rPr>
                <w:rFonts w:hint="default" w:ascii="Times New Roman" w:hAnsi="Times New Roman" w:cs="Times New Roman"/>
                <w:kern w:val="0"/>
                <w:sz w:val="20"/>
                <w:szCs w:val="20"/>
              </w:rPr>
              <w:t>网站服务维护</w:t>
            </w:r>
          </w:p>
        </w:tc>
        <w:tc>
          <w:tcPr>
            <w:tcW w:w="4546" w:type="dxa"/>
            <w:tcBorders>
              <w:top w:val="nil"/>
              <w:left w:val="single" w:color="auto" w:sz="4" w:space="0"/>
              <w:right w:val="single" w:color="000000" w:sz="4" w:space="0"/>
            </w:tcBorders>
            <w:vAlign w:val="center"/>
          </w:tcPr>
          <w:p w14:paraId="18D04EF0">
            <w:pPr>
              <w:keepLines w:val="0"/>
              <w:pageBreakBefore w:val="0"/>
              <w:widowControl w:val="0"/>
              <w:kinsoku/>
              <w:overflowPunct/>
              <w:topLinePunct w:val="0"/>
              <w:autoSpaceDE/>
              <w:autoSpaceDN/>
              <w:bidi w:val="0"/>
              <w:adjustRightInd/>
              <w:jc w:val="both"/>
              <w:textAlignment w:val="auto"/>
              <w:rPr>
                <w:rFonts w:hint="default" w:ascii="Times New Roman" w:hAnsi="Times New Roman" w:cs="Times New Roman"/>
                <w:kern w:val="0"/>
                <w:sz w:val="20"/>
                <w:szCs w:val="20"/>
              </w:rPr>
            </w:pPr>
            <w:r>
              <w:rPr>
                <w:rFonts w:hint="default" w:ascii="Times New Roman" w:hAnsi="Times New Roman" w:cs="Times New Roman"/>
                <w:kern w:val="0"/>
                <w:sz w:val="20"/>
                <w:szCs w:val="20"/>
              </w:rPr>
              <w:t>Ahache2服务日常维护及故障处理</w:t>
            </w:r>
          </w:p>
          <w:p w14:paraId="772F4C24">
            <w:pPr>
              <w:keepLines w:val="0"/>
              <w:pageBreakBefore w:val="0"/>
              <w:widowControl w:val="0"/>
              <w:kinsoku/>
              <w:overflowPunct/>
              <w:topLinePunct w:val="0"/>
              <w:autoSpaceDE/>
              <w:autoSpaceDN/>
              <w:bidi w:val="0"/>
              <w:adjustRightInd/>
              <w:jc w:val="both"/>
              <w:textAlignment w:val="auto"/>
              <w:rPr>
                <w:rFonts w:hint="default" w:ascii="Times New Roman" w:hAnsi="Times New Roman" w:cs="Times New Roman"/>
                <w:kern w:val="0"/>
                <w:sz w:val="20"/>
                <w:szCs w:val="20"/>
              </w:rPr>
            </w:pPr>
            <w:r>
              <w:rPr>
                <w:rFonts w:hint="default" w:ascii="Times New Roman" w:hAnsi="Times New Roman" w:cs="Times New Roman"/>
                <w:kern w:val="0"/>
                <w:sz w:val="20"/>
                <w:szCs w:val="20"/>
              </w:rPr>
              <w:t>PHP服务日常维护及故障处理</w:t>
            </w:r>
          </w:p>
        </w:tc>
        <w:tc>
          <w:tcPr>
            <w:tcW w:w="1155" w:type="dxa"/>
            <w:tcBorders>
              <w:top w:val="nil"/>
              <w:left w:val="nil"/>
              <w:right w:val="single" w:color="000000" w:sz="4" w:space="0"/>
            </w:tcBorders>
            <w:vAlign w:val="center"/>
          </w:tcPr>
          <w:p w14:paraId="3C525AB3">
            <w:pPr>
              <w:keepLines w:val="0"/>
              <w:pageBreakBefore w:val="0"/>
              <w:widowControl w:val="0"/>
              <w:kinsoku/>
              <w:overflowPunct/>
              <w:topLinePunct w:val="0"/>
              <w:autoSpaceDE/>
              <w:autoSpaceDN/>
              <w:bidi w:val="0"/>
              <w:adjustRightInd/>
              <w:ind w:firstLine="400" w:firstLineChars="200"/>
              <w:jc w:val="center"/>
              <w:textAlignment w:val="auto"/>
              <w:rPr>
                <w:rFonts w:hint="default" w:ascii="Times New Roman" w:hAnsi="Times New Roman" w:cs="Times New Roman"/>
                <w:kern w:val="0"/>
                <w:sz w:val="20"/>
                <w:szCs w:val="20"/>
              </w:rPr>
            </w:pPr>
            <w:r>
              <w:rPr>
                <w:rFonts w:hint="default" w:ascii="Times New Roman" w:hAnsi="Times New Roman" w:cs="Times New Roman"/>
                <w:kern w:val="0"/>
                <w:sz w:val="20"/>
                <w:szCs w:val="20"/>
              </w:rPr>
              <w:t>远程</w:t>
            </w:r>
          </w:p>
        </w:tc>
      </w:tr>
      <w:tr w14:paraId="0B833B12">
        <w:tblPrEx>
          <w:tblCellMar>
            <w:top w:w="0" w:type="dxa"/>
            <w:left w:w="108" w:type="dxa"/>
            <w:bottom w:w="0" w:type="dxa"/>
            <w:right w:w="108" w:type="dxa"/>
          </w:tblCellMar>
        </w:tblPrEx>
        <w:trPr>
          <w:trHeight w:val="556" w:hRule="atLeast"/>
        </w:trPr>
        <w:tc>
          <w:tcPr>
            <w:tcW w:w="1418" w:type="dxa"/>
            <w:vMerge w:val="continue"/>
            <w:tcBorders>
              <w:left w:val="single" w:color="auto" w:sz="4" w:space="0"/>
              <w:bottom w:val="single" w:color="auto" w:sz="4" w:space="0"/>
              <w:right w:val="single" w:color="auto" w:sz="4" w:space="0"/>
            </w:tcBorders>
            <w:vAlign w:val="center"/>
          </w:tcPr>
          <w:p w14:paraId="241F483A">
            <w:pPr>
              <w:keepLines w:val="0"/>
              <w:pageBreakBefore w:val="0"/>
              <w:widowControl w:val="0"/>
              <w:kinsoku/>
              <w:overflowPunct/>
              <w:topLinePunct w:val="0"/>
              <w:autoSpaceDE/>
              <w:autoSpaceDN/>
              <w:bidi w:val="0"/>
              <w:adjustRightInd/>
              <w:ind w:firstLine="400" w:firstLineChars="200"/>
              <w:jc w:val="center"/>
              <w:textAlignment w:val="auto"/>
              <w:rPr>
                <w:rFonts w:hint="default" w:ascii="Times New Roman" w:hAnsi="Times New Roman" w:cs="Times New Roman"/>
                <w:kern w:val="0"/>
                <w:sz w:val="20"/>
                <w:szCs w:val="20"/>
              </w:rPr>
            </w:pPr>
          </w:p>
        </w:tc>
        <w:tc>
          <w:tcPr>
            <w:tcW w:w="2659" w:type="dxa"/>
            <w:gridSpan w:val="2"/>
            <w:tcBorders>
              <w:top w:val="single" w:color="auto" w:sz="4" w:space="0"/>
              <w:left w:val="single" w:color="auto" w:sz="4" w:space="0"/>
              <w:bottom w:val="single" w:color="auto" w:sz="4" w:space="0"/>
              <w:right w:val="single" w:color="auto" w:sz="4" w:space="0"/>
            </w:tcBorders>
            <w:vAlign w:val="center"/>
          </w:tcPr>
          <w:p w14:paraId="3813647A">
            <w:pPr>
              <w:keepLines w:val="0"/>
              <w:pageBreakBefore w:val="0"/>
              <w:widowControl w:val="0"/>
              <w:kinsoku/>
              <w:overflowPunct/>
              <w:topLinePunct w:val="0"/>
              <w:autoSpaceDE/>
              <w:autoSpaceDN/>
              <w:bidi w:val="0"/>
              <w:adjustRightInd/>
              <w:jc w:val="center"/>
              <w:textAlignment w:val="auto"/>
              <w:rPr>
                <w:rFonts w:hint="default" w:ascii="Times New Roman" w:hAnsi="Times New Roman" w:cs="Times New Roman"/>
                <w:kern w:val="0"/>
                <w:sz w:val="20"/>
                <w:szCs w:val="20"/>
              </w:rPr>
            </w:pPr>
            <w:r>
              <w:rPr>
                <w:rFonts w:hint="default" w:ascii="Times New Roman" w:hAnsi="Times New Roman" w:cs="Times New Roman"/>
                <w:kern w:val="0"/>
                <w:sz w:val="20"/>
                <w:szCs w:val="20"/>
              </w:rPr>
              <w:t>存储服务维护</w:t>
            </w:r>
          </w:p>
        </w:tc>
        <w:tc>
          <w:tcPr>
            <w:tcW w:w="4546" w:type="dxa"/>
            <w:tcBorders>
              <w:top w:val="single" w:color="auto" w:sz="4" w:space="0"/>
              <w:left w:val="single" w:color="auto" w:sz="4" w:space="0"/>
              <w:bottom w:val="single" w:color="auto" w:sz="4" w:space="0"/>
              <w:right w:val="single" w:color="auto" w:sz="4" w:space="0"/>
            </w:tcBorders>
            <w:vAlign w:val="center"/>
          </w:tcPr>
          <w:p w14:paraId="21DFC8E4">
            <w:pPr>
              <w:keepLines w:val="0"/>
              <w:pageBreakBefore w:val="0"/>
              <w:widowControl w:val="0"/>
              <w:kinsoku/>
              <w:overflowPunct/>
              <w:topLinePunct w:val="0"/>
              <w:autoSpaceDE/>
              <w:autoSpaceDN/>
              <w:bidi w:val="0"/>
              <w:adjustRightInd/>
              <w:jc w:val="both"/>
              <w:textAlignment w:val="auto"/>
              <w:rPr>
                <w:rFonts w:hint="default" w:ascii="Times New Roman" w:hAnsi="Times New Roman" w:cs="Times New Roman"/>
                <w:kern w:val="0"/>
                <w:sz w:val="20"/>
                <w:szCs w:val="20"/>
              </w:rPr>
            </w:pPr>
            <w:r>
              <w:rPr>
                <w:rFonts w:hint="default" w:ascii="Times New Roman" w:hAnsi="Times New Roman" w:cs="Times New Roman"/>
                <w:kern w:val="0"/>
                <w:sz w:val="20"/>
                <w:szCs w:val="20"/>
              </w:rPr>
              <w:t>FTP存储服务日常维护及故障处理FileZilla软件日常维护及故障处理</w:t>
            </w:r>
          </w:p>
        </w:tc>
        <w:tc>
          <w:tcPr>
            <w:tcW w:w="1155" w:type="dxa"/>
            <w:tcBorders>
              <w:top w:val="single" w:color="auto" w:sz="4" w:space="0"/>
              <w:left w:val="single" w:color="auto" w:sz="4" w:space="0"/>
              <w:bottom w:val="single" w:color="auto" w:sz="4" w:space="0"/>
              <w:right w:val="single" w:color="auto" w:sz="4" w:space="0"/>
            </w:tcBorders>
            <w:vAlign w:val="center"/>
          </w:tcPr>
          <w:p w14:paraId="5320ECFD">
            <w:pPr>
              <w:keepLines w:val="0"/>
              <w:pageBreakBefore w:val="0"/>
              <w:widowControl w:val="0"/>
              <w:kinsoku/>
              <w:overflowPunct/>
              <w:topLinePunct w:val="0"/>
              <w:autoSpaceDE/>
              <w:autoSpaceDN/>
              <w:bidi w:val="0"/>
              <w:adjustRightInd/>
              <w:ind w:firstLine="400" w:firstLineChars="200"/>
              <w:jc w:val="center"/>
              <w:textAlignment w:val="auto"/>
              <w:rPr>
                <w:rFonts w:hint="default" w:ascii="Times New Roman" w:hAnsi="Times New Roman" w:cs="Times New Roman"/>
                <w:kern w:val="0"/>
                <w:sz w:val="20"/>
                <w:szCs w:val="20"/>
              </w:rPr>
            </w:pPr>
            <w:r>
              <w:rPr>
                <w:rFonts w:hint="default" w:ascii="Times New Roman" w:hAnsi="Times New Roman" w:cs="Times New Roman"/>
                <w:kern w:val="0"/>
                <w:sz w:val="20"/>
                <w:szCs w:val="20"/>
              </w:rPr>
              <w:t>远程</w:t>
            </w:r>
          </w:p>
        </w:tc>
      </w:tr>
      <w:tr w14:paraId="32197D76">
        <w:tblPrEx>
          <w:tblCellMar>
            <w:top w:w="0" w:type="dxa"/>
            <w:left w:w="108" w:type="dxa"/>
            <w:bottom w:w="0" w:type="dxa"/>
            <w:right w:w="108" w:type="dxa"/>
          </w:tblCellMar>
        </w:tblPrEx>
        <w:trPr>
          <w:trHeight w:val="460" w:hRule="atLeast"/>
        </w:trPr>
        <w:tc>
          <w:tcPr>
            <w:tcW w:w="1418" w:type="dxa"/>
            <w:vMerge w:val="restart"/>
            <w:tcBorders>
              <w:top w:val="single" w:color="auto" w:sz="4" w:space="0"/>
              <w:left w:val="single" w:color="auto" w:sz="4" w:space="0"/>
              <w:right w:val="single" w:color="auto" w:sz="4" w:space="0"/>
            </w:tcBorders>
            <w:vAlign w:val="center"/>
          </w:tcPr>
          <w:p w14:paraId="16A6B4B3">
            <w:pPr>
              <w:keepLines w:val="0"/>
              <w:pageBreakBefore w:val="0"/>
              <w:widowControl w:val="0"/>
              <w:kinsoku/>
              <w:overflowPunct/>
              <w:topLinePunct w:val="0"/>
              <w:autoSpaceDE/>
              <w:autoSpaceDN/>
              <w:bidi w:val="0"/>
              <w:adjustRightInd/>
              <w:jc w:val="center"/>
              <w:textAlignment w:val="auto"/>
              <w:rPr>
                <w:rFonts w:hint="default" w:ascii="Times New Roman" w:hAnsi="Times New Roman" w:cs="Times New Roman"/>
                <w:kern w:val="0"/>
                <w:sz w:val="20"/>
                <w:szCs w:val="20"/>
              </w:rPr>
            </w:pPr>
            <w:r>
              <w:rPr>
                <w:rFonts w:hint="default" w:ascii="Times New Roman" w:hAnsi="Times New Roman" w:cs="Times New Roman"/>
                <w:kern w:val="0"/>
                <w:sz w:val="20"/>
                <w:szCs w:val="20"/>
              </w:rPr>
              <w:t>复杂软件维护</w:t>
            </w:r>
          </w:p>
        </w:tc>
        <w:tc>
          <w:tcPr>
            <w:tcW w:w="2659" w:type="dxa"/>
            <w:gridSpan w:val="2"/>
            <w:tcBorders>
              <w:top w:val="single" w:color="auto" w:sz="4" w:space="0"/>
              <w:left w:val="single" w:color="auto" w:sz="4" w:space="0"/>
              <w:bottom w:val="single" w:color="auto" w:sz="4" w:space="0"/>
              <w:right w:val="single" w:color="auto" w:sz="4" w:space="0"/>
            </w:tcBorders>
            <w:vAlign w:val="center"/>
          </w:tcPr>
          <w:p w14:paraId="0D096875">
            <w:pPr>
              <w:keepLines w:val="0"/>
              <w:pageBreakBefore w:val="0"/>
              <w:widowControl w:val="0"/>
              <w:kinsoku/>
              <w:overflowPunct/>
              <w:topLinePunct w:val="0"/>
              <w:autoSpaceDE/>
              <w:autoSpaceDN/>
              <w:bidi w:val="0"/>
              <w:adjustRightInd/>
              <w:jc w:val="center"/>
              <w:textAlignment w:val="auto"/>
              <w:rPr>
                <w:rFonts w:hint="default" w:ascii="Times New Roman" w:hAnsi="Times New Roman" w:cs="Times New Roman"/>
                <w:kern w:val="0"/>
                <w:sz w:val="20"/>
                <w:szCs w:val="20"/>
              </w:rPr>
            </w:pPr>
            <w:r>
              <w:rPr>
                <w:rFonts w:hint="default" w:ascii="Times New Roman" w:hAnsi="Times New Roman" w:cs="Times New Roman"/>
                <w:kern w:val="0"/>
                <w:sz w:val="20"/>
                <w:szCs w:val="20"/>
              </w:rPr>
              <w:t>重建RAID</w:t>
            </w:r>
          </w:p>
        </w:tc>
        <w:tc>
          <w:tcPr>
            <w:tcW w:w="4546" w:type="dxa"/>
            <w:tcBorders>
              <w:top w:val="single" w:color="auto" w:sz="4" w:space="0"/>
              <w:left w:val="single" w:color="auto" w:sz="4" w:space="0"/>
              <w:bottom w:val="single" w:color="auto" w:sz="4" w:space="0"/>
              <w:right w:val="single" w:color="auto" w:sz="4" w:space="0"/>
            </w:tcBorders>
            <w:vAlign w:val="center"/>
          </w:tcPr>
          <w:p w14:paraId="3AADCE56">
            <w:pPr>
              <w:keepLines w:val="0"/>
              <w:pageBreakBefore w:val="0"/>
              <w:widowControl w:val="0"/>
              <w:kinsoku/>
              <w:overflowPunct/>
              <w:topLinePunct w:val="0"/>
              <w:autoSpaceDE/>
              <w:autoSpaceDN/>
              <w:bidi w:val="0"/>
              <w:adjustRightInd/>
              <w:jc w:val="both"/>
              <w:textAlignment w:val="auto"/>
              <w:rPr>
                <w:rFonts w:hint="default" w:ascii="Times New Roman" w:hAnsi="Times New Roman" w:cs="Times New Roman"/>
                <w:kern w:val="0"/>
                <w:sz w:val="20"/>
                <w:szCs w:val="20"/>
              </w:rPr>
            </w:pPr>
            <w:r>
              <w:rPr>
                <w:rFonts w:hint="default" w:ascii="Times New Roman" w:hAnsi="Times New Roman" w:cs="Times New Roman"/>
                <w:kern w:val="0"/>
                <w:sz w:val="20"/>
                <w:szCs w:val="20"/>
              </w:rPr>
              <w:t>采集站硬盘阵列故障时需要重建R</w:t>
            </w:r>
            <w:r>
              <w:rPr>
                <w:rFonts w:hint="eastAsia" w:ascii="Times New Roman" w:hAnsi="Times New Roman" w:cs="Times New Roman"/>
                <w:kern w:val="0"/>
                <w:sz w:val="20"/>
                <w:szCs w:val="20"/>
                <w:lang w:val="en-US" w:eastAsia="zh-CN"/>
              </w:rPr>
              <w:t>AI</w:t>
            </w:r>
            <w:r>
              <w:rPr>
                <w:rFonts w:hint="default" w:ascii="Times New Roman" w:hAnsi="Times New Roman" w:cs="Times New Roman"/>
                <w:kern w:val="0"/>
                <w:sz w:val="20"/>
                <w:szCs w:val="20"/>
              </w:rPr>
              <w:t>D阵列</w:t>
            </w:r>
          </w:p>
        </w:tc>
        <w:tc>
          <w:tcPr>
            <w:tcW w:w="1155" w:type="dxa"/>
            <w:tcBorders>
              <w:top w:val="single" w:color="auto" w:sz="4" w:space="0"/>
              <w:left w:val="single" w:color="auto" w:sz="4" w:space="0"/>
              <w:bottom w:val="single" w:color="auto" w:sz="4" w:space="0"/>
              <w:right w:val="single" w:color="auto" w:sz="4" w:space="0"/>
            </w:tcBorders>
            <w:vAlign w:val="center"/>
          </w:tcPr>
          <w:p w14:paraId="04EC860E">
            <w:pPr>
              <w:keepLines w:val="0"/>
              <w:pageBreakBefore w:val="0"/>
              <w:widowControl w:val="0"/>
              <w:kinsoku/>
              <w:overflowPunct/>
              <w:topLinePunct w:val="0"/>
              <w:autoSpaceDE/>
              <w:autoSpaceDN/>
              <w:bidi w:val="0"/>
              <w:adjustRightInd/>
              <w:ind w:firstLine="400" w:firstLineChars="200"/>
              <w:jc w:val="center"/>
              <w:textAlignment w:val="auto"/>
              <w:rPr>
                <w:rFonts w:hint="default" w:ascii="Times New Roman" w:hAnsi="Times New Roman" w:cs="Times New Roman"/>
                <w:kern w:val="0"/>
                <w:sz w:val="20"/>
                <w:szCs w:val="20"/>
              </w:rPr>
            </w:pPr>
            <w:r>
              <w:rPr>
                <w:rFonts w:hint="default" w:ascii="Times New Roman" w:hAnsi="Times New Roman" w:cs="Times New Roman"/>
                <w:kern w:val="0"/>
                <w:sz w:val="20"/>
                <w:szCs w:val="20"/>
              </w:rPr>
              <w:t>现场</w:t>
            </w:r>
          </w:p>
        </w:tc>
      </w:tr>
      <w:tr w14:paraId="60D775EF">
        <w:tblPrEx>
          <w:tblCellMar>
            <w:top w:w="0" w:type="dxa"/>
            <w:left w:w="108" w:type="dxa"/>
            <w:bottom w:w="0" w:type="dxa"/>
            <w:right w:w="108" w:type="dxa"/>
          </w:tblCellMar>
        </w:tblPrEx>
        <w:trPr>
          <w:trHeight w:val="457" w:hRule="atLeast"/>
        </w:trPr>
        <w:tc>
          <w:tcPr>
            <w:tcW w:w="1418" w:type="dxa"/>
            <w:vMerge w:val="continue"/>
            <w:tcBorders>
              <w:left w:val="single" w:color="auto" w:sz="4" w:space="0"/>
              <w:right w:val="single" w:color="auto" w:sz="4" w:space="0"/>
            </w:tcBorders>
            <w:vAlign w:val="center"/>
          </w:tcPr>
          <w:p w14:paraId="3F267EA1">
            <w:pPr>
              <w:keepLines w:val="0"/>
              <w:pageBreakBefore w:val="0"/>
              <w:widowControl w:val="0"/>
              <w:kinsoku/>
              <w:overflowPunct/>
              <w:topLinePunct w:val="0"/>
              <w:autoSpaceDE/>
              <w:autoSpaceDN/>
              <w:bidi w:val="0"/>
              <w:adjustRightInd/>
              <w:ind w:firstLine="400" w:firstLineChars="200"/>
              <w:jc w:val="center"/>
              <w:textAlignment w:val="auto"/>
              <w:rPr>
                <w:rFonts w:hint="default" w:ascii="Times New Roman" w:hAnsi="Times New Roman" w:cs="Times New Roman"/>
                <w:kern w:val="0"/>
                <w:sz w:val="20"/>
                <w:szCs w:val="20"/>
              </w:rPr>
            </w:pPr>
          </w:p>
        </w:tc>
        <w:tc>
          <w:tcPr>
            <w:tcW w:w="2659" w:type="dxa"/>
            <w:gridSpan w:val="2"/>
            <w:tcBorders>
              <w:top w:val="single" w:color="auto" w:sz="4" w:space="0"/>
              <w:left w:val="single" w:color="auto" w:sz="4" w:space="0"/>
              <w:bottom w:val="single" w:color="auto" w:sz="4" w:space="0"/>
              <w:right w:val="single" w:color="auto" w:sz="4" w:space="0"/>
            </w:tcBorders>
            <w:vAlign w:val="center"/>
          </w:tcPr>
          <w:p w14:paraId="58DA6C25">
            <w:pPr>
              <w:keepLines w:val="0"/>
              <w:pageBreakBefore w:val="0"/>
              <w:widowControl w:val="0"/>
              <w:kinsoku/>
              <w:overflowPunct/>
              <w:topLinePunct w:val="0"/>
              <w:autoSpaceDE/>
              <w:autoSpaceDN/>
              <w:bidi w:val="0"/>
              <w:adjustRightInd/>
              <w:jc w:val="center"/>
              <w:textAlignment w:val="auto"/>
              <w:rPr>
                <w:rFonts w:hint="default" w:ascii="Times New Roman" w:hAnsi="Times New Roman" w:cs="Times New Roman"/>
                <w:kern w:val="0"/>
                <w:sz w:val="20"/>
                <w:szCs w:val="20"/>
              </w:rPr>
            </w:pPr>
            <w:r>
              <w:rPr>
                <w:rFonts w:hint="default" w:ascii="Times New Roman" w:hAnsi="Times New Roman" w:cs="Times New Roman"/>
                <w:kern w:val="0"/>
                <w:sz w:val="20"/>
                <w:szCs w:val="20"/>
              </w:rPr>
              <w:t>数据备份</w:t>
            </w:r>
          </w:p>
        </w:tc>
        <w:tc>
          <w:tcPr>
            <w:tcW w:w="4546" w:type="dxa"/>
            <w:tcBorders>
              <w:top w:val="single" w:color="auto" w:sz="4" w:space="0"/>
              <w:left w:val="single" w:color="auto" w:sz="4" w:space="0"/>
              <w:bottom w:val="single" w:color="auto" w:sz="4" w:space="0"/>
              <w:right w:val="single" w:color="auto" w:sz="4" w:space="0"/>
            </w:tcBorders>
            <w:vAlign w:val="center"/>
          </w:tcPr>
          <w:p w14:paraId="7CD482AC">
            <w:pPr>
              <w:keepLines w:val="0"/>
              <w:pageBreakBefore w:val="0"/>
              <w:widowControl w:val="0"/>
              <w:kinsoku/>
              <w:overflowPunct/>
              <w:topLinePunct w:val="0"/>
              <w:autoSpaceDE/>
              <w:autoSpaceDN/>
              <w:bidi w:val="0"/>
              <w:adjustRightInd/>
              <w:jc w:val="both"/>
              <w:textAlignment w:val="auto"/>
              <w:rPr>
                <w:rFonts w:hint="default" w:ascii="Times New Roman" w:hAnsi="Times New Roman" w:cs="Times New Roman"/>
                <w:kern w:val="0"/>
                <w:sz w:val="20"/>
                <w:szCs w:val="20"/>
              </w:rPr>
            </w:pPr>
            <w:r>
              <w:rPr>
                <w:rFonts w:hint="default" w:ascii="Times New Roman" w:hAnsi="Times New Roman" w:cs="Times New Roman"/>
                <w:kern w:val="0"/>
                <w:sz w:val="20"/>
                <w:szCs w:val="20"/>
              </w:rPr>
              <w:t>采集站硬盘阵列故障时需要备份历史数据</w:t>
            </w:r>
          </w:p>
        </w:tc>
        <w:tc>
          <w:tcPr>
            <w:tcW w:w="1155" w:type="dxa"/>
            <w:tcBorders>
              <w:top w:val="single" w:color="auto" w:sz="4" w:space="0"/>
              <w:left w:val="single" w:color="auto" w:sz="4" w:space="0"/>
              <w:bottom w:val="single" w:color="auto" w:sz="4" w:space="0"/>
              <w:right w:val="single" w:color="auto" w:sz="4" w:space="0"/>
            </w:tcBorders>
            <w:vAlign w:val="center"/>
          </w:tcPr>
          <w:p w14:paraId="14D8DA38">
            <w:pPr>
              <w:keepLines w:val="0"/>
              <w:pageBreakBefore w:val="0"/>
              <w:widowControl w:val="0"/>
              <w:kinsoku/>
              <w:overflowPunct/>
              <w:topLinePunct w:val="0"/>
              <w:autoSpaceDE/>
              <w:autoSpaceDN/>
              <w:bidi w:val="0"/>
              <w:adjustRightInd/>
              <w:ind w:firstLine="400" w:firstLineChars="200"/>
              <w:jc w:val="center"/>
              <w:textAlignment w:val="auto"/>
              <w:rPr>
                <w:rFonts w:hint="default" w:ascii="Times New Roman" w:hAnsi="Times New Roman" w:cs="Times New Roman"/>
                <w:kern w:val="0"/>
                <w:sz w:val="20"/>
                <w:szCs w:val="20"/>
              </w:rPr>
            </w:pPr>
            <w:r>
              <w:rPr>
                <w:rFonts w:hint="default" w:ascii="Times New Roman" w:hAnsi="Times New Roman" w:cs="Times New Roman"/>
                <w:kern w:val="0"/>
                <w:sz w:val="20"/>
                <w:szCs w:val="20"/>
              </w:rPr>
              <w:t>现场</w:t>
            </w:r>
          </w:p>
        </w:tc>
      </w:tr>
      <w:tr w14:paraId="2F56567F">
        <w:tblPrEx>
          <w:tblCellMar>
            <w:top w:w="0" w:type="dxa"/>
            <w:left w:w="108" w:type="dxa"/>
            <w:bottom w:w="0" w:type="dxa"/>
            <w:right w:w="108" w:type="dxa"/>
          </w:tblCellMar>
        </w:tblPrEx>
        <w:trPr>
          <w:trHeight w:val="457" w:hRule="atLeast"/>
        </w:trPr>
        <w:tc>
          <w:tcPr>
            <w:tcW w:w="1418" w:type="dxa"/>
            <w:vMerge w:val="continue"/>
            <w:tcBorders>
              <w:left w:val="single" w:color="auto" w:sz="4" w:space="0"/>
              <w:right w:val="single" w:color="auto" w:sz="4" w:space="0"/>
            </w:tcBorders>
            <w:vAlign w:val="center"/>
          </w:tcPr>
          <w:p w14:paraId="10E21DDC">
            <w:pPr>
              <w:keepLines w:val="0"/>
              <w:pageBreakBefore w:val="0"/>
              <w:widowControl w:val="0"/>
              <w:kinsoku/>
              <w:overflowPunct/>
              <w:topLinePunct w:val="0"/>
              <w:autoSpaceDE/>
              <w:autoSpaceDN/>
              <w:bidi w:val="0"/>
              <w:adjustRightInd/>
              <w:ind w:firstLine="400" w:firstLineChars="200"/>
              <w:jc w:val="center"/>
              <w:textAlignment w:val="auto"/>
              <w:rPr>
                <w:rFonts w:hint="default" w:ascii="Times New Roman" w:hAnsi="Times New Roman" w:cs="Times New Roman"/>
                <w:kern w:val="0"/>
                <w:sz w:val="20"/>
                <w:szCs w:val="20"/>
              </w:rPr>
            </w:pPr>
          </w:p>
        </w:tc>
        <w:tc>
          <w:tcPr>
            <w:tcW w:w="2659" w:type="dxa"/>
            <w:gridSpan w:val="2"/>
            <w:tcBorders>
              <w:top w:val="single" w:color="auto" w:sz="4" w:space="0"/>
              <w:left w:val="single" w:color="auto" w:sz="4" w:space="0"/>
              <w:bottom w:val="single" w:color="auto" w:sz="4" w:space="0"/>
              <w:right w:val="single" w:color="auto" w:sz="4" w:space="0"/>
            </w:tcBorders>
            <w:vAlign w:val="center"/>
          </w:tcPr>
          <w:p w14:paraId="1A5D0C70">
            <w:pPr>
              <w:keepLines w:val="0"/>
              <w:pageBreakBefore w:val="0"/>
              <w:widowControl w:val="0"/>
              <w:kinsoku/>
              <w:overflowPunct/>
              <w:topLinePunct w:val="0"/>
              <w:autoSpaceDE/>
              <w:autoSpaceDN/>
              <w:bidi w:val="0"/>
              <w:adjustRightInd/>
              <w:jc w:val="center"/>
              <w:textAlignment w:val="auto"/>
              <w:rPr>
                <w:rFonts w:hint="default" w:ascii="Times New Roman" w:hAnsi="Times New Roman" w:cs="Times New Roman"/>
                <w:kern w:val="0"/>
                <w:sz w:val="20"/>
                <w:szCs w:val="20"/>
              </w:rPr>
            </w:pPr>
            <w:r>
              <w:rPr>
                <w:rFonts w:hint="default" w:ascii="Times New Roman" w:hAnsi="Times New Roman" w:cs="Times New Roman"/>
                <w:kern w:val="0"/>
                <w:sz w:val="20"/>
                <w:szCs w:val="20"/>
              </w:rPr>
              <w:t>系统安装</w:t>
            </w:r>
          </w:p>
        </w:tc>
        <w:tc>
          <w:tcPr>
            <w:tcW w:w="4546" w:type="dxa"/>
            <w:tcBorders>
              <w:top w:val="single" w:color="auto" w:sz="4" w:space="0"/>
              <w:left w:val="single" w:color="auto" w:sz="4" w:space="0"/>
              <w:bottom w:val="single" w:color="auto" w:sz="4" w:space="0"/>
              <w:right w:val="single" w:color="auto" w:sz="4" w:space="0"/>
            </w:tcBorders>
            <w:vAlign w:val="center"/>
          </w:tcPr>
          <w:p w14:paraId="6572C00C">
            <w:pPr>
              <w:keepLines w:val="0"/>
              <w:pageBreakBefore w:val="0"/>
              <w:widowControl w:val="0"/>
              <w:kinsoku/>
              <w:overflowPunct/>
              <w:topLinePunct w:val="0"/>
              <w:autoSpaceDE/>
              <w:autoSpaceDN/>
              <w:bidi w:val="0"/>
              <w:adjustRightInd/>
              <w:jc w:val="both"/>
              <w:textAlignment w:val="auto"/>
              <w:rPr>
                <w:rFonts w:hint="default" w:ascii="Times New Roman" w:hAnsi="Times New Roman" w:cs="Times New Roman"/>
                <w:kern w:val="0"/>
                <w:sz w:val="20"/>
                <w:szCs w:val="20"/>
              </w:rPr>
            </w:pPr>
            <w:r>
              <w:rPr>
                <w:rFonts w:hint="default" w:ascii="Times New Roman" w:hAnsi="Times New Roman" w:cs="Times New Roman"/>
                <w:kern w:val="0"/>
                <w:sz w:val="20"/>
                <w:szCs w:val="20"/>
              </w:rPr>
              <w:t>采集站系统崩溃或蓝屏时需要重装操作系统</w:t>
            </w:r>
          </w:p>
        </w:tc>
        <w:tc>
          <w:tcPr>
            <w:tcW w:w="1155" w:type="dxa"/>
            <w:tcBorders>
              <w:top w:val="single" w:color="auto" w:sz="4" w:space="0"/>
              <w:left w:val="single" w:color="auto" w:sz="4" w:space="0"/>
              <w:bottom w:val="single" w:color="auto" w:sz="4" w:space="0"/>
              <w:right w:val="single" w:color="auto" w:sz="4" w:space="0"/>
            </w:tcBorders>
            <w:vAlign w:val="center"/>
          </w:tcPr>
          <w:p w14:paraId="12AF396F">
            <w:pPr>
              <w:keepLines w:val="0"/>
              <w:pageBreakBefore w:val="0"/>
              <w:widowControl w:val="0"/>
              <w:kinsoku/>
              <w:overflowPunct/>
              <w:topLinePunct w:val="0"/>
              <w:autoSpaceDE/>
              <w:autoSpaceDN/>
              <w:bidi w:val="0"/>
              <w:adjustRightInd/>
              <w:ind w:firstLine="400" w:firstLineChars="200"/>
              <w:jc w:val="center"/>
              <w:textAlignment w:val="auto"/>
              <w:rPr>
                <w:rFonts w:hint="default" w:ascii="Times New Roman" w:hAnsi="Times New Roman" w:cs="Times New Roman"/>
                <w:kern w:val="0"/>
                <w:sz w:val="20"/>
                <w:szCs w:val="20"/>
              </w:rPr>
            </w:pPr>
            <w:r>
              <w:rPr>
                <w:rFonts w:hint="default" w:ascii="Times New Roman" w:hAnsi="Times New Roman" w:cs="Times New Roman"/>
                <w:kern w:val="0"/>
                <w:sz w:val="20"/>
                <w:szCs w:val="20"/>
              </w:rPr>
              <w:t>现场</w:t>
            </w:r>
          </w:p>
        </w:tc>
      </w:tr>
      <w:tr w14:paraId="6875A7D7">
        <w:tblPrEx>
          <w:tblCellMar>
            <w:top w:w="0" w:type="dxa"/>
            <w:left w:w="108" w:type="dxa"/>
            <w:bottom w:w="0" w:type="dxa"/>
            <w:right w:w="108" w:type="dxa"/>
          </w:tblCellMar>
        </w:tblPrEx>
        <w:trPr>
          <w:trHeight w:val="404" w:hRule="atLeast"/>
        </w:trPr>
        <w:tc>
          <w:tcPr>
            <w:tcW w:w="1418" w:type="dxa"/>
            <w:vMerge w:val="continue"/>
            <w:tcBorders>
              <w:left w:val="single" w:color="auto" w:sz="4" w:space="0"/>
              <w:right w:val="single" w:color="auto" w:sz="4" w:space="0"/>
            </w:tcBorders>
            <w:vAlign w:val="center"/>
          </w:tcPr>
          <w:p w14:paraId="0E3B24A9">
            <w:pPr>
              <w:keepLines w:val="0"/>
              <w:pageBreakBefore w:val="0"/>
              <w:widowControl w:val="0"/>
              <w:kinsoku/>
              <w:overflowPunct/>
              <w:topLinePunct w:val="0"/>
              <w:autoSpaceDE/>
              <w:autoSpaceDN/>
              <w:bidi w:val="0"/>
              <w:adjustRightInd/>
              <w:ind w:firstLine="400" w:firstLineChars="200"/>
              <w:jc w:val="center"/>
              <w:textAlignment w:val="auto"/>
              <w:rPr>
                <w:rFonts w:hint="default" w:ascii="Times New Roman" w:hAnsi="Times New Roman" w:cs="Times New Roman"/>
                <w:kern w:val="0"/>
                <w:sz w:val="20"/>
                <w:szCs w:val="20"/>
              </w:rPr>
            </w:pPr>
          </w:p>
        </w:tc>
        <w:tc>
          <w:tcPr>
            <w:tcW w:w="2659" w:type="dxa"/>
            <w:gridSpan w:val="2"/>
            <w:tcBorders>
              <w:top w:val="single" w:color="auto" w:sz="4" w:space="0"/>
              <w:left w:val="single" w:color="auto" w:sz="4" w:space="0"/>
              <w:bottom w:val="single" w:color="auto" w:sz="4" w:space="0"/>
              <w:right w:val="single" w:color="auto" w:sz="4" w:space="0"/>
            </w:tcBorders>
            <w:vAlign w:val="center"/>
          </w:tcPr>
          <w:p w14:paraId="6A3CCA9B">
            <w:pPr>
              <w:keepLines w:val="0"/>
              <w:pageBreakBefore w:val="0"/>
              <w:widowControl w:val="0"/>
              <w:kinsoku/>
              <w:overflowPunct/>
              <w:topLinePunct w:val="0"/>
              <w:autoSpaceDE/>
              <w:autoSpaceDN/>
              <w:bidi w:val="0"/>
              <w:adjustRightInd/>
              <w:jc w:val="center"/>
              <w:textAlignment w:val="auto"/>
              <w:rPr>
                <w:rFonts w:hint="default" w:ascii="Times New Roman" w:hAnsi="Times New Roman" w:cs="Times New Roman"/>
                <w:kern w:val="0"/>
                <w:sz w:val="20"/>
                <w:szCs w:val="20"/>
              </w:rPr>
            </w:pPr>
            <w:r>
              <w:rPr>
                <w:rFonts w:hint="default" w:ascii="Times New Roman" w:hAnsi="Times New Roman" w:cs="Times New Roman"/>
                <w:kern w:val="0"/>
                <w:sz w:val="20"/>
                <w:szCs w:val="20"/>
              </w:rPr>
              <w:t>驱动更新</w:t>
            </w:r>
          </w:p>
        </w:tc>
        <w:tc>
          <w:tcPr>
            <w:tcW w:w="4546" w:type="dxa"/>
            <w:tcBorders>
              <w:top w:val="single" w:color="auto" w:sz="4" w:space="0"/>
              <w:left w:val="single" w:color="auto" w:sz="4" w:space="0"/>
              <w:bottom w:val="single" w:color="auto" w:sz="4" w:space="0"/>
              <w:right w:val="single" w:color="auto" w:sz="4" w:space="0"/>
            </w:tcBorders>
            <w:vAlign w:val="center"/>
          </w:tcPr>
          <w:p w14:paraId="6ADF0C8C">
            <w:pPr>
              <w:keepLines w:val="0"/>
              <w:pageBreakBefore w:val="0"/>
              <w:widowControl w:val="0"/>
              <w:kinsoku/>
              <w:overflowPunct/>
              <w:topLinePunct w:val="0"/>
              <w:autoSpaceDE/>
              <w:autoSpaceDN/>
              <w:bidi w:val="0"/>
              <w:adjustRightInd/>
              <w:jc w:val="both"/>
              <w:textAlignment w:val="auto"/>
              <w:rPr>
                <w:rFonts w:hint="default" w:ascii="Times New Roman" w:hAnsi="Times New Roman" w:cs="Times New Roman"/>
                <w:kern w:val="0"/>
                <w:sz w:val="20"/>
                <w:szCs w:val="20"/>
              </w:rPr>
            </w:pPr>
            <w:r>
              <w:rPr>
                <w:rFonts w:hint="default" w:ascii="Times New Roman" w:hAnsi="Times New Roman" w:cs="Times New Roman"/>
                <w:kern w:val="0"/>
                <w:sz w:val="20"/>
                <w:szCs w:val="20"/>
              </w:rPr>
              <w:t>采集站重装操作系统后需要更新硬件驱动</w:t>
            </w:r>
          </w:p>
        </w:tc>
        <w:tc>
          <w:tcPr>
            <w:tcW w:w="1155" w:type="dxa"/>
            <w:tcBorders>
              <w:top w:val="single" w:color="auto" w:sz="4" w:space="0"/>
              <w:left w:val="single" w:color="auto" w:sz="4" w:space="0"/>
              <w:bottom w:val="single" w:color="auto" w:sz="4" w:space="0"/>
              <w:right w:val="single" w:color="auto" w:sz="4" w:space="0"/>
            </w:tcBorders>
            <w:vAlign w:val="center"/>
          </w:tcPr>
          <w:p w14:paraId="1AF7D356">
            <w:pPr>
              <w:keepLines w:val="0"/>
              <w:pageBreakBefore w:val="0"/>
              <w:widowControl w:val="0"/>
              <w:kinsoku/>
              <w:overflowPunct/>
              <w:topLinePunct w:val="0"/>
              <w:autoSpaceDE/>
              <w:autoSpaceDN/>
              <w:bidi w:val="0"/>
              <w:adjustRightInd/>
              <w:ind w:firstLine="400" w:firstLineChars="200"/>
              <w:jc w:val="center"/>
              <w:textAlignment w:val="auto"/>
              <w:rPr>
                <w:rFonts w:hint="default" w:ascii="Times New Roman" w:hAnsi="Times New Roman" w:cs="Times New Roman"/>
                <w:kern w:val="0"/>
                <w:sz w:val="20"/>
                <w:szCs w:val="20"/>
              </w:rPr>
            </w:pPr>
            <w:r>
              <w:rPr>
                <w:rFonts w:hint="default" w:ascii="Times New Roman" w:hAnsi="Times New Roman" w:cs="Times New Roman"/>
                <w:kern w:val="0"/>
                <w:sz w:val="20"/>
                <w:szCs w:val="20"/>
              </w:rPr>
              <w:t>现场</w:t>
            </w:r>
          </w:p>
        </w:tc>
      </w:tr>
      <w:tr w14:paraId="6851DCDC">
        <w:tblPrEx>
          <w:tblCellMar>
            <w:top w:w="0" w:type="dxa"/>
            <w:left w:w="108" w:type="dxa"/>
            <w:bottom w:w="0" w:type="dxa"/>
            <w:right w:w="108" w:type="dxa"/>
          </w:tblCellMar>
        </w:tblPrEx>
        <w:trPr>
          <w:trHeight w:val="90" w:hRule="atLeast"/>
        </w:trPr>
        <w:tc>
          <w:tcPr>
            <w:tcW w:w="1418" w:type="dxa"/>
            <w:vMerge w:val="continue"/>
            <w:tcBorders>
              <w:left w:val="single" w:color="auto" w:sz="4" w:space="0"/>
              <w:bottom w:val="single" w:color="auto" w:sz="4" w:space="0"/>
              <w:right w:val="single" w:color="auto" w:sz="4" w:space="0"/>
            </w:tcBorders>
            <w:vAlign w:val="center"/>
          </w:tcPr>
          <w:p w14:paraId="094B1EAB">
            <w:pPr>
              <w:keepLines w:val="0"/>
              <w:pageBreakBefore w:val="0"/>
              <w:widowControl w:val="0"/>
              <w:kinsoku/>
              <w:overflowPunct/>
              <w:topLinePunct w:val="0"/>
              <w:autoSpaceDE/>
              <w:autoSpaceDN/>
              <w:bidi w:val="0"/>
              <w:adjustRightInd/>
              <w:ind w:firstLine="400" w:firstLineChars="200"/>
              <w:jc w:val="center"/>
              <w:textAlignment w:val="auto"/>
              <w:rPr>
                <w:rFonts w:hint="default" w:ascii="Times New Roman" w:hAnsi="Times New Roman" w:cs="Times New Roman"/>
                <w:kern w:val="0"/>
                <w:sz w:val="20"/>
                <w:szCs w:val="20"/>
              </w:rPr>
            </w:pPr>
          </w:p>
        </w:tc>
        <w:tc>
          <w:tcPr>
            <w:tcW w:w="2659" w:type="dxa"/>
            <w:gridSpan w:val="2"/>
            <w:tcBorders>
              <w:top w:val="single" w:color="auto" w:sz="4" w:space="0"/>
              <w:left w:val="single" w:color="auto" w:sz="4" w:space="0"/>
              <w:bottom w:val="single" w:color="auto" w:sz="4" w:space="0"/>
              <w:right w:val="single" w:color="auto" w:sz="4" w:space="0"/>
            </w:tcBorders>
            <w:vAlign w:val="center"/>
          </w:tcPr>
          <w:p w14:paraId="3D86F5D0">
            <w:pPr>
              <w:keepLines w:val="0"/>
              <w:pageBreakBefore w:val="0"/>
              <w:widowControl w:val="0"/>
              <w:kinsoku/>
              <w:overflowPunct/>
              <w:topLinePunct w:val="0"/>
              <w:autoSpaceDE/>
              <w:autoSpaceDN/>
              <w:bidi w:val="0"/>
              <w:adjustRightInd/>
              <w:jc w:val="center"/>
              <w:textAlignment w:val="auto"/>
              <w:rPr>
                <w:rFonts w:hint="default" w:ascii="Times New Roman" w:hAnsi="Times New Roman" w:cs="Times New Roman"/>
                <w:kern w:val="0"/>
                <w:sz w:val="20"/>
                <w:szCs w:val="20"/>
              </w:rPr>
            </w:pPr>
            <w:r>
              <w:rPr>
                <w:rFonts w:hint="default" w:ascii="Times New Roman" w:hAnsi="Times New Roman" w:cs="Times New Roman"/>
                <w:kern w:val="0"/>
                <w:sz w:val="20"/>
                <w:szCs w:val="20"/>
              </w:rPr>
              <w:t>漏洞修复</w:t>
            </w:r>
          </w:p>
        </w:tc>
        <w:tc>
          <w:tcPr>
            <w:tcW w:w="4546" w:type="dxa"/>
            <w:tcBorders>
              <w:top w:val="single" w:color="auto" w:sz="4" w:space="0"/>
              <w:left w:val="single" w:color="auto" w:sz="4" w:space="0"/>
              <w:bottom w:val="single" w:color="auto" w:sz="4" w:space="0"/>
              <w:right w:val="single" w:color="auto" w:sz="4" w:space="0"/>
            </w:tcBorders>
            <w:vAlign w:val="center"/>
          </w:tcPr>
          <w:p w14:paraId="383A5E84">
            <w:pPr>
              <w:keepLines w:val="0"/>
              <w:pageBreakBefore w:val="0"/>
              <w:widowControl w:val="0"/>
              <w:kinsoku/>
              <w:overflowPunct/>
              <w:topLinePunct w:val="0"/>
              <w:autoSpaceDE/>
              <w:autoSpaceDN/>
              <w:bidi w:val="0"/>
              <w:adjustRightInd/>
              <w:jc w:val="both"/>
              <w:textAlignment w:val="auto"/>
              <w:rPr>
                <w:rFonts w:hint="default" w:ascii="Times New Roman" w:hAnsi="Times New Roman" w:cs="Times New Roman"/>
                <w:kern w:val="0"/>
                <w:sz w:val="20"/>
                <w:szCs w:val="20"/>
              </w:rPr>
            </w:pPr>
            <w:r>
              <w:rPr>
                <w:rFonts w:hint="default" w:ascii="Times New Roman" w:hAnsi="Times New Roman" w:cs="Times New Roman"/>
                <w:kern w:val="0"/>
                <w:sz w:val="20"/>
                <w:szCs w:val="20"/>
              </w:rPr>
              <w:t>采集站被检测到系统漏洞时需要安装系统安全补丁修复漏洞</w:t>
            </w:r>
          </w:p>
        </w:tc>
        <w:tc>
          <w:tcPr>
            <w:tcW w:w="1155" w:type="dxa"/>
            <w:tcBorders>
              <w:top w:val="single" w:color="auto" w:sz="4" w:space="0"/>
              <w:left w:val="single" w:color="auto" w:sz="4" w:space="0"/>
              <w:bottom w:val="single" w:color="auto" w:sz="4" w:space="0"/>
              <w:right w:val="single" w:color="auto" w:sz="4" w:space="0"/>
            </w:tcBorders>
            <w:vAlign w:val="center"/>
          </w:tcPr>
          <w:p w14:paraId="36E68586">
            <w:pPr>
              <w:keepLines w:val="0"/>
              <w:pageBreakBefore w:val="0"/>
              <w:widowControl w:val="0"/>
              <w:kinsoku/>
              <w:overflowPunct/>
              <w:topLinePunct w:val="0"/>
              <w:autoSpaceDE/>
              <w:autoSpaceDN/>
              <w:bidi w:val="0"/>
              <w:adjustRightInd/>
              <w:ind w:firstLine="400" w:firstLineChars="200"/>
              <w:jc w:val="center"/>
              <w:textAlignment w:val="auto"/>
              <w:rPr>
                <w:rFonts w:hint="default" w:ascii="Times New Roman" w:hAnsi="Times New Roman" w:cs="Times New Roman"/>
                <w:kern w:val="0"/>
                <w:sz w:val="20"/>
                <w:szCs w:val="20"/>
              </w:rPr>
            </w:pPr>
            <w:r>
              <w:rPr>
                <w:rFonts w:hint="default" w:ascii="Times New Roman" w:hAnsi="Times New Roman" w:cs="Times New Roman"/>
                <w:kern w:val="0"/>
                <w:sz w:val="20"/>
                <w:szCs w:val="20"/>
              </w:rPr>
              <w:t>远程</w:t>
            </w:r>
          </w:p>
        </w:tc>
      </w:tr>
      <w:tr w14:paraId="69DC4A4E">
        <w:tblPrEx>
          <w:tblCellMar>
            <w:top w:w="0" w:type="dxa"/>
            <w:left w:w="108" w:type="dxa"/>
            <w:bottom w:w="0" w:type="dxa"/>
            <w:right w:w="108" w:type="dxa"/>
          </w:tblCellMar>
        </w:tblPrEx>
        <w:trPr>
          <w:trHeight w:val="484" w:hRule="atLeast"/>
        </w:trPr>
        <w:tc>
          <w:tcPr>
            <w:tcW w:w="1418" w:type="dxa"/>
            <w:vMerge w:val="restart"/>
            <w:tcBorders>
              <w:top w:val="single" w:color="auto" w:sz="4" w:space="0"/>
              <w:left w:val="single" w:color="auto" w:sz="4" w:space="0"/>
              <w:bottom w:val="single" w:color="auto" w:sz="4" w:space="0"/>
              <w:right w:val="single" w:color="auto" w:sz="4" w:space="0"/>
            </w:tcBorders>
            <w:vAlign w:val="center"/>
          </w:tcPr>
          <w:p w14:paraId="235D01BD">
            <w:pPr>
              <w:pageBreakBefore w:val="0"/>
              <w:widowControl/>
              <w:kinsoku/>
              <w:overflowPunct/>
              <w:topLinePunct w:val="0"/>
              <w:autoSpaceDE/>
              <w:autoSpaceDN/>
              <w:bidi w:val="0"/>
              <w:adjustRightInd/>
              <w:spacing w:line="600" w:lineRule="exact"/>
              <w:jc w:val="center"/>
              <w:textAlignment w:val="auto"/>
              <w:rPr>
                <w:rFonts w:hint="default" w:ascii="Times New Roman" w:hAnsi="Times New Roman" w:cs="Times New Roman"/>
                <w:kern w:val="0"/>
                <w:sz w:val="20"/>
                <w:szCs w:val="20"/>
              </w:rPr>
            </w:pPr>
            <w:r>
              <w:rPr>
                <w:rFonts w:hint="default" w:ascii="Times New Roman" w:hAnsi="Times New Roman" w:cs="Times New Roman"/>
                <w:kern w:val="0"/>
                <w:sz w:val="20"/>
                <w:lang w:val="en-US" w:eastAsia="zh-CN"/>
              </w:rPr>
              <w:t>年度巡检</w:t>
            </w:r>
          </w:p>
        </w:tc>
        <w:tc>
          <w:tcPr>
            <w:tcW w:w="2659" w:type="dxa"/>
            <w:gridSpan w:val="2"/>
            <w:tcBorders>
              <w:top w:val="single" w:color="auto" w:sz="4" w:space="0"/>
              <w:left w:val="single" w:color="auto" w:sz="4" w:space="0"/>
              <w:bottom w:val="single" w:color="auto" w:sz="4" w:space="0"/>
              <w:right w:val="single" w:color="auto" w:sz="4" w:space="0"/>
            </w:tcBorders>
            <w:vAlign w:val="center"/>
          </w:tcPr>
          <w:p w14:paraId="15DF3BFA">
            <w:pPr>
              <w:pageBreakBefore w:val="0"/>
              <w:widowControl/>
              <w:kinsoku/>
              <w:overflowPunct/>
              <w:topLinePunct w:val="0"/>
              <w:autoSpaceDE/>
              <w:autoSpaceDN/>
              <w:bidi w:val="0"/>
              <w:adjustRightInd/>
              <w:spacing w:line="600" w:lineRule="exact"/>
              <w:jc w:val="center"/>
              <w:textAlignment w:val="auto"/>
              <w:rPr>
                <w:rFonts w:hint="default" w:ascii="Times New Roman" w:hAnsi="Times New Roman" w:cs="Times New Roman"/>
                <w:kern w:val="0"/>
                <w:sz w:val="20"/>
                <w:szCs w:val="20"/>
              </w:rPr>
            </w:pPr>
            <w:r>
              <w:rPr>
                <w:rFonts w:hint="default" w:ascii="Times New Roman" w:hAnsi="Times New Roman" w:cs="Times New Roman"/>
                <w:kern w:val="0"/>
                <w:sz w:val="20"/>
                <w:lang w:val="en-US" w:eastAsia="zh-CN"/>
              </w:rPr>
              <w:t>软硬件巡检</w:t>
            </w:r>
          </w:p>
        </w:tc>
        <w:tc>
          <w:tcPr>
            <w:tcW w:w="4546" w:type="dxa"/>
            <w:tcBorders>
              <w:top w:val="single" w:color="auto" w:sz="4" w:space="0"/>
              <w:left w:val="single" w:color="auto" w:sz="4" w:space="0"/>
              <w:bottom w:val="single" w:color="auto" w:sz="4" w:space="0"/>
              <w:right w:val="single" w:color="auto" w:sz="4" w:space="0"/>
            </w:tcBorders>
            <w:vAlign w:val="center"/>
          </w:tcPr>
          <w:p w14:paraId="730F75E8">
            <w:pPr>
              <w:pageBreakBefore w:val="0"/>
              <w:widowControl/>
              <w:kinsoku/>
              <w:overflowPunct/>
              <w:topLinePunct w:val="0"/>
              <w:autoSpaceDE/>
              <w:autoSpaceDN/>
              <w:bidi w:val="0"/>
              <w:adjustRightInd/>
              <w:spacing w:line="600" w:lineRule="exact"/>
              <w:jc w:val="left"/>
              <w:textAlignment w:val="auto"/>
              <w:rPr>
                <w:rFonts w:hint="default" w:ascii="Times New Roman" w:hAnsi="Times New Roman" w:cs="Times New Roman"/>
                <w:kern w:val="0"/>
                <w:sz w:val="20"/>
                <w:szCs w:val="20"/>
              </w:rPr>
            </w:pPr>
            <w:r>
              <w:rPr>
                <w:rFonts w:hint="default" w:ascii="Times New Roman" w:hAnsi="Times New Roman" w:cs="Times New Roman"/>
                <w:kern w:val="0"/>
                <w:sz w:val="20"/>
                <w:lang w:val="en-US" w:eastAsia="zh-CN"/>
              </w:rPr>
              <w:t>对采集站软硬件状态及使用情况进行检查</w:t>
            </w:r>
          </w:p>
        </w:tc>
        <w:tc>
          <w:tcPr>
            <w:tcW w:w="1155" w:type="dxa"/>
            <w:tcBorders>
              <w:top w:val="single" w:color="auto" w:sz="4" w:space="0"/>
              <w:left w:val="single" w:color="auto" w:sz="4" w:space="0"/>
              <w:bottom w:val="single" w:color="auto" w:sz="4" w:space="0"/>
              <w:right w:val="single" w:color="auto" w:sz="4" w:space="0"/>
            </w:tcBorders>
            <w:vAlign w:val="center"/>
          </w:tcPr>
          <w:p w14:paraId="47C0CB4F">
            <w:pPr>
              <w:pageBreakBefore w:val="0"/>
              <w:widowControl/>
              <w:kinsoku/>
              <w:overflowPunct/>
              <w:topLinePunct w:val="0"/>
              <w:autoSpaceDE/>
              <w:autoSpaceDN/>
              <w:bidi w:val="0"/>
              <w:adjustRightInd/>
              <w:spacing w:line="600" w:lineRule="exact"/>
              <w:jc w:val="center"/>
              <w:textAlignment w:val="auto"/>
              <w:rPr>
                <w:rFonts w:hint="default" w:ascii="Times New Roman" w:hAnsi="Times New Roman" w:cs="Times New Roman"/>
                <w:kern w:val="0"/>
                <w:sz w:val="20"/>
                <w:szCs w:val="20"/>
              </w:rPr>
            </w:pPr>
            <w:r>
              <w:rPr>
                <w:rFonts w:hint="eastAsia" w:ascii="Times New Roman" w:hAnsi="Times New Roman" w:cs="Times New Roman"/>
                <w:kern w:val="0"/>
                <w:sz w:val="20"/>
                <w:lang w:val="en-US" w:eastAsia="zh-CN"/>
              </w:rPr>
              <w:t xml:space="preserve">    </w:t>
            </w:r>
            <w:r>
              <w:rPr>
                <w:rFonts w:hint="default" w:ascii="Times New Roman" w:hAnsi="Times New Roman" w:cs="Times New Roman"/>
                <w:kern w:val="0"/>
                <w:sz w:val="20"/>
              </w:rPr>
              <w:t>现场</w:t>
            </w:r>
          </w:p>
        </w:tc>
      </w:tr>
      <w:tr w14:paraId="78ECF3B1">
        <w:tblPrEx>
          <w:tblCellMar>
            <w:top w:w="0" w:type="dxa"/>
            <w:left w:w="108" w:type="dxa"/>
            <w:bottom w:w="0" w:type="dxa"/>
            <w:right w:w="108" w:type="dxa"/>
          </w:tblCellMar>
        </w:tblPrEx>
        <w:trPr>
          <w:trHeight w:val="978" w:hRule="atLeast"/>
        </w:trPr>
        <w:tc>
          <w:tcPr>
            <w:tcW w:w="1418" w:type="dxa"/>
            <w:vMerge w:val="continue"/>
            <w:tcBorders>
              <w:top w:val="single" w:color="auto" w:sz="4" w:space="0"/>
              <w:left w:val="single" w:color="auto" w:sz="4" w:space="0"/>
              <w:bottom w:val="single" w:color="auto" w:sz="4" w:space="0"/>
              <w:right w:val="single" w:color="auto" w:sz="4" w:space="0"/>
            </w:tcBorders>
            <w:vAlign w:val="center"/>
          </w:tcPr>
          <w:p w14:paraId="2C11C19E">
            <w:pPr>
              <w:pageBreakBefore w:val="0"/>
              <w:widowControl/>
              <w:kinsoku/>
              <w:overflowPunct/>
              <w:topLinePunct w:val="0"/>
              <w:autoSpaceDE/>
              <w:autoSpaceDN/>
              <w:bidi w:val="0"/>
              <w:adjustRightInd/>
              <w:spacing w:line="600" w:lineRule="exact"/>
              <w:jc w:val="center"/>
              <w:textAlignment w:val="auto"/>
              <w:rPr>
                <w:rFonts w:hint="default" w:ascii="Times New Roman" w:hAnsi="Times New Roman" w:cs="Times New Roman"/>
                <w:kern w:val="0"/>
                <w:sz w:val="20"/>
                <w:szCs w:val="20"/>
              </w:rPr>
            </w:pPr>
          </w:p>
        </w:tc>
        <w:tc>
          <w:tcPr>
            <w:tcW w:w="2659" w:type="dxa"/>
            <w:gridSpan w:val="2"/>
            <w:tcBorders>
              <w:top w:val="single" w:color="auto" w:sz="4" w:space="0"/>
              <w:left w:val="single" w:color="auto" w:sz="4" w:space="0"/>
              <w:bottom w:val="single" w:color="auto" w:sz="4" w:space="0"/>
              <w:right w:val="single" w:color="auto" w:sz="4" w:space="0"/>
            </w:tcBorders>
            <w:vAlign w:val="center"/>
          </w:tcPr>
          <w:p w14:paraId="0768E3EC">
            <w:pPr>
              <w:pageBreakBefore w:val="0"/>
              <w:widowControl/>
              <w:kinsoku/>
              <w:overflowPunct/>
              <w:topLinePunct w:val="0"/>
              <w:autoSpaceDE/>
              <w:autoSpaceDN/>
              <w:bidi w:val="0"/>
              <w:adjustRightInd/>
              <w:spacing w:line="600" w:lineRule="exact"/>
              <w:jc w:val="center"/>
              <w:textAlignment w:val="auto"/>
              <w:rPr>
                <w:rFonts w:hint="default" w:ascii="Times New Roman" w:hAnsi="Times New Roman" w:cs="Times New Roman"/>
                <w:kern w:val="0"/>
                <w:sz w:val="20"/>
                <w:szCs w:val="20"/>
              </w:rPr>
            </w:pPr>
            <w:r>
              <w:rPr>
                <w:rFonts w:hint="default" w:ascii="Times New Roman" w:hAnsi="Times New Roman" w:cs="Times New Roman"/>
                <w:kern w:val="0"/>
                <w:sz w:val="20"/>
                <w:lang w:val="en-US" w:eastAsia="zh-CN"/>
              </w:rPr>
              <w:t>使用建议及操作培训</w:t>
            </w:r>
          </w:p>
        </w:tc>
        <w:tc>
          <w:tcPr>
            <w:tcW w:w="4546" w:type="dxa"/>
            <w:tcBorders>
              <w:top w:val="single" w:color="auto" w:sz="4" w:space="0"/>
              <w:left w:val="single" w:color="auto" w:sz="4" w:space="0"/>
              <w:bottom w:val="single" w:color="auto" w:sz="4" w:space="0"/>
              <w:right w:val="single" w:color="auto" w:sz="4" w:space="0"/>
            </w:tcBorders>
            <w:vAlign w:val="center"/>
          </w:tcPr>
          <w:p w14:paraId="0314B6E1">
            <w:pPr>
              <w:pageBreakBefore w:val="0"/>
              <w:widowControl/>
              <w:kinsoku/>
              <w:overflowPunct/>
              <w:topLinePunct w:val="0"/>
              <w:autoSpaceDE/>
              <w:autoSpaceDN/>
              <w:bidi w:val="0"/>
              <w:adjustRightInd/>
              <w:spacing w:line="600" w:lineRule="exact"/>
              <w:jc w:val="left"/>
              <w:textAlignment w:val="auto"/>
              <w:rPr>
                <w:rFonts w:hint="default" w:ascii="Times New Roman" w:hAnsi="Times New Roman" w:cs="Times New Roman"/>
                <w:kern w:val="0"/>
                <w:sz w:val="20"/>
                <w:lang w:val="en-US" w:eastAsia="zh-CN"/>
              </w:rPr>
            </w:pPr>
            <w:r>
              <w:rPr>
                <w:rFonts w:hint="default" w:ascii="Times New Roman" w:hAnsi="Times New Roman" w:cs="Times New Roman"/>
                <w:kern w:val="0"/>
                <w:sz w:val="20"/>
                <w:lang w:val="en-US" w:eastAsia="zh-CN"/>
              </w:rPr>
              <w:t>针对派出所使用实际提出针对性意见建议并开</w:t>
            </w:r>
          </w:p>
          <w:p w14:paraId="50C2C819">
            <w:pPr>
              <w:pageBreakBefore w:val="0"/>
              <w:widowControl/>
              <w:kinsoku/>
              <w:overflowPunct/>
              <w:topLinePunct w:val="0"/>
              <w:autoSpaceDE/>
              <w:autoSpaceDN/>
              <w:bidi w:val="0"/>
              <w:adjustRightInd/>
              <w:spacing w:line="600" w:lineRule="exact"/>
              <w:jc w:val="left"/>
              <w:textAlignment w:val="auto"/>
              <w:rPr>
                <w:rFonts w:hint="default" w:ascii="Times New Roman" w:hAnsi="Times New Roman" w:cs="Times New Roman"/>
                <w:kern w:val="0"/>
                <w:sz w:val="20"/>
                <w:szCs w:val="20"/>
              </w:rPr>
            </w:pPr>
            <w:r>
              <w:rPr>
                <w:rFonts w:hint="default" w:ascii="Times New Roman" w:hAnsi="Times New Roman" w:cs="Times New Roman"/>
                <w:kern w:val="0"/>
                <w:sz w:val="20"/>
                <w:lang w:val="en-US" w:eastAsia="zh-CN"/>
              </w:rPr>
              <w:t>相关操作培训</w:t>
            </w:r>
          </w:p>
        </w:tc>
        <w:tc>
          <w:tcPr>
            <w:tcW w:w="1155" w:type="dxa"/>
            <w:tcBorders>
              <w:top w:val="single" w:color="auto" w:sz="4" w:space="0"/>
              <w:left w:val="single" w:color="auto" w:sz="4" w:space="0"/>
              <w:bottom w:val="single" w:color="auto" w:sz="4" w:space="0"/>
              <w:right w:val="single" w:color="auto" w:sz="4" w:space="0"/>
            </w:tcBorders>
            <w:vAlign w:val="center"/>
          </w:tcPr>
          <w:p w14:paraId="4491D4B7">
            <w:pPr>
              <w:pageBreakBefore w:val="0"/>
              <w:widowControl/>
              <w:kinsoku/>
              <w:overflowPunct/>
              <w:topLinePunct w:val="0"/>
              <w:autoSpaceDE/>
              <w:autoSpaceDN/>
              <w:bidi w:val="0"/>
              <w:adjustRightInd/>
              <w:spacing w:line="600" w:lineRule="exact"/>
              <w:jc w:val="center"/>
              <w:textAlignment w:val="auto"/>
              <w:rPr>
                <w:rFonts w:hint="default" w:ascii="Times New Roman" w:hAnsi="Times New Roman" w:cs="Times New Roman"/>
                <w:kern w:val="0"/>
                <w:sz w:val="20"/>
                <w:szCs w:val="20"/>
              </w:rPr>
            </w:pPr>
            <w:r>
              <w:rPr>
                <w:rFonts w:hint="eastAsia" w:ascii="Times New Roman" w:hAnsi="Times New Roman" w:cs="Times New Roman"/>
                <w:kern w:val="0"/>
                <w:sz w:val="20"/>
                <w:lang w:val="en-US" w:eastAsia="zh-CN"/>
              </w:rPr>
              <w:t xml:space="preserve">   </w:t>
            </w:r>
            <w:r>
              <w:rPr>
                <w:rFonts w:hint="default" w:ascii="Times New Roman" w:hAnsi="Times New Roman" w:cs="Times New Roman"/>
                <w:kern w:val="0"/>
                <w:sz w:val="20"/>
              </w:rPr>
              <w:t>现场</w:t>
            </w:r>
          </w:p>
        </w:tc>
      </w:tr>
      <w:tr w14:paraId="3D8E4C65">
        <w:tblPrEx>
          <w:tblCellMar>
            <w:top w:w="0" w:type="dxa"/>
            <w:left w:w="108" w:type="dxa"/>
            <w:bottom w:w="0" w:type="dxa"/>
            <w:right w:w="108" w:type="dxa"/>
          </w:tblCellMar>
        </w:tblPrEx>
        <w:trPr>
          <w:trHeight w:val="90" w:hRule="atLeast"/>
        </w:trPr>
        <w:tc>
          <w:tcPr>
            <w:tcW w:w="1418" w:type="dxa"/>
            <w:tcBorders>
              <w:top w:val="single" w:color="auto" w:sz="4" w:space="0"/>
              <w:left w:val="single" w:color="auto" w:sz="4" w:space="0"/>
              <w:bottom w:val="single" w:color="auto" w:sz="4" w:space="0"/>
              <w:right w:val="single" w:color="auto" w:sz="4" w:space="0"/>
            </w:tcBorders>
            <w:vAlign w:val="center"/>
          </w:tcPr>
          <w:p w14:paraId="0F6394BA">
            <w:pPr>
              <w:keepLines w:val="0"/>
              <w:pageBreakBefore w:val="0"/>
              <w:widowControl w:val="0"/>
              <w:kinsoku/>
              <w:overflowPunct/>
              <w:topLinePunct w:val="0"/>
              <w:autoSpaceDE/>
              <w:autoSpaceDN/>
              <w:bidi w:val="0"/>
              <w:adjustRightInd/>
              <w:ind w:firstLine="200" w:firstLineChars="100"/>
              <w:jc w:val="center"/>
              <w:textAlignment w:val="auto"/>
              <w:rPr>
                <w:rFonts w:hint="default" w:ascii="Times New Roman" w:hAnsi="Times New Roman" w:cs="Times New Roman"/>
                <w:kern w:val="0"/>
                <w:sz w:val="20"/>
                <w:szCs w:val="20"/>
              </w:rPr>
            </w:pPr>
            <w:r>
              <w:rPr>
                <w:rFonts w:hint="default" w:ascii="Times New Roman" w:hAnsi="Times New Roman" w:cs="Times New Roman"/>
                <w:kern w:val="0"/>
                <w:sz w:val="20"/>
                <w:szCs w:val="20"/>
              </w:rPr>
              <w:t>驻场服务</w:t>
            </w:r>
          </w:p>
        </w:tc>
        <w:tc>
          <w:tcPr>
            <w:tcW w:w="2659" w:type="dxa"/>
            <w:gridSpan w:val="2"/>
            <w:tcBorders>
              <w:top w:val="single" w:color="auto" w:sz="4" w:space="0"/>
              <w:left w:val="single" w:color="auto" w:sz="4" w:space="0"/>
              <w:bottom w:val="single" w:color="auto" w:sz="4" w:space="0"/>
              <w:right w:val="single" w:color="auto" w:sz="4" w:space="0"/>
            </w:tcBorders>
            <w:vAlign w:val="center"/>
          </w:tcPr>
          <w:p w14:paraId="5B760F49">
            <w:pPr>
              <w:keepLines w:val="0"/>
              <w:pageBreakBefore w:val="0"/>
              <w:widowControl w:val="0"/>
              <w:kinsoku/>
              <w:overflowPunct/>
              <w:topLinePunct w:val="0"/>
              <w:autoSpaceDE/>
              <w:autoSpaceDN/>
              <w:bidi w:val="0"/>
              <w:adjustRightInd/>
              <w:jc w:val="both"/>
              <w:textAlignment w:val="auto"/>
              <w:rPr>
                <w:rFonts w:hint="default" w:ascii="Times New Roman" w:hAnsi="Times New Roman" w:cs="Times New Roman"/>
                <w:kern w:val="0"/>
                <w:sz w:val="20"/>
                <w:szCs w:val="20"/>
              </w:rPr>
            </w:pPr>
            <w:r>
              <w:rPr>
                <w:rFonts w:hint="default" w:ascii="Times New Roman" w:hAnsi="Times New Roman" w:cs="Times New Roman"/>
                <w:kern w:val="0"/>
                <w:sz w:val="20"/>
                <w:szCs w:val="20"/>
              </w:rPr>
              <w:t>甲方指定工作地点，以甲方的身份入驻用户场地，协助厂商处理日常事务；</w:t>
            </w:r>
          </w:p>
        </w:tc>
        <w:tc>
          <w:tcPr>
            <w:tcW w:w="4546" w:type="dxa"/>
            <w:tcBorders>
              <w:top w:val="single" w:color="auto" w:sz="4" w:space="0"/>
              <w:left w:val="single" w:color="auto" w:sz="4" w:space="0"/>
              <w:bottom w:val="single" w:color="auto" w:sz="4" w:space="0"/>
              <w:right w:val="single" w:color="auto" w:sz="4" w:space="0"/>
            </w:tcBorders>
            <w:vAlign w:val="center"/>
          </w:tcPr>
          <w:p w14:paraId="07542FA9">
            <w:pPr>
              <w:keepLines w:val="0"/>
              <w:pageBreakBefore w:val="0"/>
              <w:widowControl w:val="0"/>
              <w:kinsoku/>
              <w:overflowPunct/>
              <w:topLinePunct w:val="0"/>
              <w:autoSpaceDE/>
              <w:autoSpaceDN/>
              <w:bidi w:val="0"/>
              <w:adjustRightInd/>
              <w:jc w:val="both"/>
              <w:textAlignment w:val="auto"/>
              <w:rPr>
                <w:rFonts w:hint="default" w:ascii="Times New Roman" w:hAnsi="Times New Roman" w:cs="Times New Roman"/>
                <w:kern w:val="0"/>
                <w:sz w:val="20"/>
                <w:szCs w:val="20"/>
              </w:rPr>
            </w:pPr>
            <w:r>
              <w:rPr>
                <w:rFonts w:hint="default" w:ascii="Times New Roman" w:hAnsi="Times New Roman" w:cs="Times New Roman"/>
                <w:kern w:val="0"/>
                <w:sz w:val="20"/>
                <w:szCs w:val="20"/>
              </w:rPr>
              <w:t>中级工程师（熟悉PC、网络运维、良好的沟通能力、工作经验2年以上）</w:t>
            </w:r>
          </w:p>
        </w:tc>
        <w:tc>
          <w:tcPr>
            <w:tcW w:w="1155" w:type="dxa"/>
            <w:tcBorders>
              <w:top w:val="single" w:color="auto" w:sz="4" w:space="0"/>
              <w:left w:val="single" w:color="auto" w:sz="4" w:space="0"/>
              <w:bottom w:val="single" w:color="auto" w:sz="4" w:space="0"/>
              <w:right w:val="single" w:color="auto" w:sz="4" w:space="0"/>
            </w:tcBorders>
            <w:vAlign w:val="center"/>
          </w:tcPr>
          <w:p w14:paraId="7C559697">
            <w:pPr>
              <w:keepLines w:val="0"/>
              <w:pageBreakBefore w:val="0"/>
              <w:widowControl w:val="0"/>
              <w:kinsoku/>
              <w:overflowPunct/>
              <w:topLinePunct w:val="0"/>
              <w:autoSpaceDE/>
              <w:autoSpaceDN/>
              <w:bidi w:val="0"/>
              <w:adjustRightInd/>
              <w:ind w:firstLine="400" w:firstLineChars="200"/>
              <w:jc w:val="center"/>
              <w:textAlignment w:val="auto"/>
              <w:rPr>
                <w:rFonts w:hint="default" w:ascii="Times New Roman" w:hAnsi="Times New Roman" w:cs="Times New Roman"/>
                <w:kern w:val="0"/>
                <w:sz w:val="20"/>
                <w:szCs w:val="20"/>
              </w:rPr>
            </w:pPr>
            <w:r>
              <w:rPr>
                <w:rFonts w:hint="default" w:ascii="Times New Roman" w:hAnsi="Times New Roman" w:cs="Times New Roman"/>
                <w:kern w:val="0"/>
                <w:sz w:val="20"/>
                <w:szCs w:val="20"/>
              </w:rPr>
              <w:t>现场</w:t>
            </w:r>
          </w:p>
        </w:tc>
      </w:tr>
      <w:tr w14:paraId="42FEEC55">
        <w:tblPrEx>
          <w:tblCellMar>
            <w:top w:w="0" w:type="dxa"/>
            <w:left w:w="108" w:type="dxa"/>
            <w:bottom w:w="0" w:type="dxa"/>
            <w:right w:w="108" w:type="dxa"/>
          </w:tblCellMar>
        </w:tblPrEx>
        <w:trPr>
          <w:trHeight w:val="596" w:hRule="atLeast"/>
        </w:trPr>
        <w:tc>
          <w:tcPr>
            <w:tcW w:w="9778" w:type="dxa"/>
            <w:gridSpan w:val="5"/>
            <w:tcBorders>
              <w:top w:val="single" w:color="auto" w:sz="4" w:space="0"/>
              <w:left w:val="single" w:color="000000" w:sz="4" w:space="0"/>
              <w:bottom w:val="single" w:color="000000" w:sz="4" w:space="0"/>
              <w:right w:val="single" w:color="000000" w:sz="4" w:space="0"/>
            </w:tcBorders>
            <w:vAlign w:val="center"/>
          </w:tcPr>
          <w:p w14:paraId="53C9CB54">
            <w:pPr>
              <w:keepLines w:val="0"/>
              <w:pageBreakBefore w:val="0"/>
              <w:widowControl w:val="0"/>
              <w:kinsoku/>
              <w:overflowPunct/>
              <w:topLinePunct w:val="0"/>
              <w:autoSpaceDE/>
              <w:autoSpaceDN/>
              <w:bidi w:val="0"/>
              <w:adjustRightInd/>
              <w:jc w:val="center"/>
              <w:textAlignment w:val="auto"/>
              <w:rPr>
                <w:rFonts w:hint="default" w:ascii="Times New Roman" w:hAnsi="Times New Roman" w:cs="Times New Roman"/>
                <w:kern w:val="0"/>
                <w:sz w:val="48"/>
                <w:szCs w:val="48"/>
              </w:rPr>
            </w:pPr>
            <w:r>
              <w:rPr>
                <w:rFonts w:hint="default" w:ascii="Times New Roman" w:hAnsi="Times New Roman" w:cs="Times New Roman"/>
                <w:kern w:val="0"/>
                <w:sz w:val="48"/>
                <w:szCs w:val="48"/>
              </w:rPr>
              <w:t>指挥调度平台功能维护</w:t>
            </w:r>
          </w:p>
        </w:tc>
      </w:tr>
      <w:tr w14:paraId="16AB84FC">
        <w:tblPrEx>
          <w:tblCellMar>
            <w:top w:w="0" w:type="dxa"/>
            <w:left w:w="108" w:type="dxa"/>
            <w:bottom w:w="0" w:type="dxa"/>
            <w:right w:w="108" w:type="dxa"/>
          </w:tblCellMar>
        </w:tblPrEx>
        <w:trPr>
          <w:trHeight w:val="285" w:hRule="atLeast"/>
        </w:trPr>
        <w:tc>
          <w:tcPr>
            <w:tcW w:w="1418" w:type="dxa"/>
            <w:tcBorders>
              <w:top w:val="single" w:color="000000" w:sz="4" w:space="0"/>
              <w:left w:val="single" w:color="000000" w:sz="4" w:space="0"/>
              <w:bottom w:val="single" w:color="000000" w:sz="4" w:space="0"/>
              <w:right w:val="single" w:color="000000" w:sz="4" w:space="0"/>
            </w:tcBorders>
            <w:vAlign w:val="center"/>
          </w:tcPr>
          <w:p w14:paraId="04E31DB9">
            <w:pPr>
              <w:keepLines w:val="0"/>
              <w:pageBreakBefore w:val="0"/>
              <w:widowControl w:val="0"/>
              <w:kinsoku/>
              <w:overflowPunct/>
              <w:topLinePunct w:val="0"/>
              <w:autoSpaceDE/>
              <w:autoSpaceDN/>
              <w:bidi w:val="0"/>
              <w:adjustRightInd/>
              <w:jc w:val="both"/>
              <w:textAlignment w:val="auto"/>
              <w:rPr>
                <w:rFonts w:hint="default" w:ascii="Times New Roman" w:hAnsi="Times New Roman" w:cs="Times New Roman"/>
                <w:kern w:val="0"/>
                <w:sz w:val="22"/>
                <w:szCs w:val="32"/>
              </w:rPr>
            </w:pPr>
            <w:r>
              <w:rPr>
                <w:rFonts w:hint="default" w:ascii="Times New Roman" w:hAnsi="Times New Roman" w:cs="Times New Roman"/>
                <w:kern w:val="0"/>
                <w:sz w:val="22"/>
                <w:szCs w:val="32"/>
              </w:rPr>
              <w:t>功能特性</w:t>
            </w:r>
          </w:p>
        </w:tc>
        <w:tc>
          <w:tcPr>
            <w:tcW w:w="8360" w:type="dxa"/>
            <w:gridSpan w:val="4"/>
            <w:tcBorders>
              <w:top w:val="single" w:color="000000" w:sz="4" w:space="0"/>
              <w:left w:val="nil"/>
              <w:bottom w:val="single" w:color="000000" w:sz="4" w:space="0"/>
              <w:right w:val="single" w:color="000000" w:sz="4" w:space="0"/>
            </w:tcBorders>
            <w:vAlign w:val="center"/>
          </w:tcPr>
          <w:p w14:paraId="0A875040">
            <w:pPr>
              <w:keepLines w:val="0"/>
              <w:pageBreakBefore w:val="0"/>
              <w:widowControl w:val="0"/>
              <w:kinsoku/>
              <w:overflowPunct/>
              <w:topLinePunct w:val="0"/>
              <w:autoSpaceDE/>
              <w:autoSpaceDN/>
              <w:bidi w:val="0"/>
              <w:adjustRightInd/>
              <w:jc w:val="both"/>
              <w:textAlignment w:val="auto"/>
              <w:rPr>
                <w:rFonts w:hint="default" w:ascii="Times New Roman" w:hAnsi="Times New Roman" w:cs="Times New Roman"/>
                <w:kern w:val="0"/>
                <w:sz w:val="22"/>
                <w:szCs w:val="32"/>
              </w:rPr>
            </w:pPr>
            <w:r>
              <w:rPr>
                <w:rFonts w:hint="default" w:ascii="Times New Roman" w:hAnsi="Times New Roman" w:cs="Times New Roman"/>
                <w:kern w:val="0"/>
                <w:sz w:val="22"/>
                <w:szCs w:val="32"/>
              </w:rPr>
              <w:t>此维护项为指挥调度业务功能项目</w:t>
            </w:r>
          </w:p>
        </w:tc>
      </w:tr>
      <w:tr w14:paraId="597A9427">
        <w:tblPrEx>
          <w:tblCellMar>
            <w:top w:w="0" w:type="dxa"/>
            <w:left w:w="108" w:type="dxa"/>
            <w:bottom w:w="0" w:type="dxa"/>
            <w:right w:w="108" w:type="dxa"/>
          </w:tblCellMar>
        </w:tblPrEx>
        <w:trPr>
          <w:trHeight w:val="285" w:hRule="atLeast"/>
        </w:trPr>
        <w:tc>
          <w:tcPr>
            <w:tcW w:w="1418" w:type="dxa"/>
            <w:tcBorders>
              <w:top w:val="single" w:color="000000" w:sz="4" w:space="0"/>
              <w:left w:val="single" w:color="000000" w:sz="4" w:space="0"/>
              <w:bottom w:val="single" w:color="000000" w:sz="4" w:space="0"/>
              <w:right w:val="single" w:color="000000" w:sz="4" w:space="0"/>
            </w:tcBorders>
            <w:vAlign w:val="center"/>
          </w:tcPr>
          <w:p w14:paraId="1EFE1D82">
            <w:pPr>
              <w:keepLines w:val="0"/>
              <w:pageBreakBefore w:val="0"/>
              <w:widowControl w:val="0"/>
              <w:kinsoku/>
              <w:overflowPunct/>
              <w:topLinePunct w:val="0"/>
              <w:autoSpaceDE/>
              <w:autoSpaceDN/>
              <w:bidi w:val="0"/>
              <w:adjustRightInd/>
              <w:jc w:val="both"/>
              <w:textAlignment w:val="auto"/>
              <w:rPr>
                <w:rFonts w:hint="default" w:ascii="Times New Roman" w:hAnsi="Times New Roman" w:cs="Times New Roman"/>
                <w:kern w:val="0"/>
                <w:sz w:val="22"/>
                <w:szCs w:val="32"/>
              </w:rPr>
            </w:pPr>
            <w:r>
              <w:rPr>
                <w:rFonts w:hint="default" w:ascii="Times New Roman" w:hAnsi="Times New Roman" w:cs="Times New Roman"/>
                <w:kern w:val="0"/>
                <w:sz w:val="22"/>
                <w:szCs w:val="32"/>
              </w:rPr>
              <w:t>维护目的</w:t>
            </w:r>
          </w:p>
        </w:tc>
        <w:tc>
          <w:tcPr>
            <w:tcW w:w="8360" w:type="dxa"/>
            <w:gridSpan w:val="4"/>
            <w:tcBorders>
              <w:top w:val="single" w:color="000000" w:sz="4" w:space="0"/>
              <w:left w:val="nil"/>
              <w:bottom w:val="single" w:color="000000" w:sz="4" w:space="0"/>
              <w:right w:val="single" w:color="000000" w:sz="4" w:space="0"/>
            </w:tcBorders>
            <w:vAlign w:val="center"/>
          </w:tcPr>
          <w:p w14:paraId="31194EC8">
            <w:pPr>
              <w:keepLines w:val="0"/>
              <w:pageBreakBefore w:val="0"/>
              <w:widowControl w:val="0"/>
              <w:kinsoku/>
              <w:overflowPunct/>
              <w:topLinePunct w:val="0"/>
              <w:autoSpaceDE/>
              <w:autoSpaceDN/>
              <w:bidi w:val="0"/>
              <w:adjustRightInd/>
              <w:jc w:val="both"/>
              <w:textAlignment w:val="auto"/>
              <w:rPr>
                <w:rFonts w:hint="default" w:ascii="Times New Roman" w:hAnsi="Times New Roman" w:cs="Times New Roman"/>
                <w:kern w:val="0"/>
                <w:sz w:val="22"/>
                <w:szCs w:val="32"/>
              </w:rPr>
            </w:pPr>
            <w:r>
              <w:rPr>
                <w:rFonts w:hint="default" w:ascii="Times New Roman" w:hAnsi="Times New Roman" w:cs="Times New Roman"/>
                <w:kern w:val="0"/>
                <w:sz w:val="22"/>
                <w:szCs w:val="32"/>
              </w:rPr>
              <w:t>验证相关各功能正常</w:t>
            </w:r>
          </w:p>
        </w:tc>
      </w:tr>
      <w:tr w14:paraId="38B4CA73">
        <w:tblPrEx>
          <w:tblCellMar>
            <w:top w:w="0" w:type="dxa"/>
            <w:left w:w="108" w:type="dxa"/>
            <w:bottom w:w="0" w:type="dxa"/>
            <w:right w:w="108" w:type="dxa"/>
          </w:tblCellMar>
        </w:tblPrEx>
        <w:trPr>
          <w:trHeight w:val="285" w:hRule="atLeast"/>
        </w:trPr>
        <w:tc>
          <w:tcPr>
            <w:tcW w:w="1418" w:type="dxa"/>
            <w:tcBorders>
              <w:top w:val="single" w:color="000000" w:sz="4" w:space="0"/>
              <w:left w:val="single" w:color="000000" w:sz="4" w:space="0"/>
              <w:bottom w:val="single" w:color="000000" w:sz="4" w:space="0"/>
              <w:right w:val="single" w:color="000000" w:sz="4" w:space="0"/>
            </w:tcBorders>
            <w:vAlign w:val="center"/>
          </w:tcPr>
          <w:p w14:paraId="3D47746E">
            <w:pPr>
              <w:keepLines w:val="0"/>
              <w:pageBreakBefore w:val="0"/>
              <w:widowControl w:val="0"/>
              <w:kinsoku/>
              <w:overflowPunct/>
              <w:topLinePunct w:val="0"/>
              <w:autoSpaceDE/>
              <w:autoSpaceDN/>
              <w:bidi w:val="0"/>
              <w:adjustRightInd/>
              <w:jc w:val="both"/>
              <w:textAlignment w:val="auto"/>
              <w:rPr>
                <w:rFonts w:hint="default" w:ascii="Times New Roman" w:hAnsi="Times New Roman" w:cs="Times New Roman"/>
                <w:kern w:val="0"/>
                <w:sz w:val="22"/>
                <w:szCs w:val="32"/>
              </w:rPr>
            </w:pPr>
            <w:r>
              <w:rPr>
                <w:rFonts w:hint="default" w:ascii="Times New Roman" w:hAnsi="Times New Roman" w:cs="Times New Roman"/>
                <w:kern w:val="0"/>
                <w:sz w:val="22"/>
                <w:szCs w:val="32"/>
              </w:rPr>
              <w:t>维护条件</w:t>
            </w:r>
          </w:p>
        </w:tc>
        <w:tc>
          <w:tcPr>
            <w:tcW w:w="8360" w:type="dxa"/>
            <w:gridSpan w:val="4"/>
            <w:tcBorders>
              <w:top w:val="single" w:color="000000" w:sz="4" w:space="0"/>
              <w:left w:val="nil"/>
              <w:bottom w:val="single" w:color="000000" w:sz="4" w:space="0"/>
              <w:right w:val="single" w:color="000000" w:sz="4" w:space="0"/>
            </w:tcBorders>
            <w:vAlign w:val="center"/>
          </w:tcPr>
          <w:p w14:paraId="4AB21FFA">
            <w:pPr>
              <w:keepLines w:val="0"/>
              <w:pageBreakBefore w:val="0"/>
              <w:widowControl w:val="0"/>
              <w:kinsoku/>
              <w:overflowPunct/>
              <w:topLinePunct w:val="0"/>
              <w:autoSpaceDE/>
              <w:autoSpaceDN/>
              <w:bidi w:val="0"/>
              <w:adjustRightInd/>
              <w:jc w:val="both"/>
              <w:textAlignment w:val="auto"/>
              <w:rPr>
                <w:rFonts w:hint="default" w:ascii="Times New Roman" w:hAnsi="Times New Roman" w:cs="Times New Roman"/>
                <w:kern w:val="0"/>
                <w:sz w:val="22"/>
                <w:szCs w:val="32"/>
              </w:rPr>
            </w:pPr>
            <w:r>
              <w:rPr>
                <w:rFonts w:hint="default" w:ascii="Times New Roman" w:hAnsi="Times New Roman" w:cs="Times New Roman"/>
                <w:kern w:val="0"/>
                <w:sz w:val="22"/>
                <w:szCs w:val="32"/>
              </w:rPr>
              <w:t>连接数据正常</w:t>
            </w:r>
          </w:p>
        </w:tc>
      </w:tr>
      <w:tr w14:paraId="1BB7F8C5">
        <w:tblPrEx>
          <w:tblCellMar>
            <w:top w:w="0" w:type="dxa"/>
            <w:left w:w="108" w:type="dxa"/>
            <w:bottom w:w="0" w:type="dxa"/>
            <w:right w:w="108" w:type="dxa"/>
          </w:tblCellMar>
        </w:tblPrEx>
        <w:trPr>
          <w:trHeight w:val="540" w:hRule="atLeast"/>
        </w:trPr>
        <w:tc>
          <w:tcPr>
            <w:tcW w:w="1418" w:type="dxa"/>
            <w:tcBorders>
              <w:top w:val="single" w:color="000000" w:sz="4" w:space="0"/>
              <w:left w:val="single" w:color="000000" w:sz="4" w:space="0"/>
              <w:bottom w:val="single" w:color="000000" w:sz="4" w:space="0"/>
              <w:right w:val="single" w:color="000000" w:sz="4" w:space="0"/>
            </w:tcBorders>
            <w:shd w:val="clear" w:color="000000" w:fill="auto"/>
            <w:vAlign w:val="center"/>
          </w:tcPr>
          <w:p w14:paraId="24890F97">
            <w:pPr>
              <w:keepLines w:val="0"/>
              <w:pageBreakBefore w:val="0"/>
              <w:widowControl w:val="0"/>
              <w:kinsoku/>
              <w:overflowPunct/>
              <w:topLinePunct w:val="0"/>
              <w:autoSpaceDE/>
              <w:autoSpaceDN/>
              <w:bidi w:val="0"/>
              <w:adjustRightInd/>
              <w:jc w:val="both"/>
              <w:textAlignment w:val="auto"/>
              <w:rPr>
                <w:rFonts w:hint="default" w:ascii="Times New Roman" w:hAnsi="Times New Roman" w:cs="Times New Roman"/>
                <w:color w:val="000000" w:themeColor="text1"/>
                <w:kern w:val="0"/>
                <w:sz w:val="22"/>
                <w:szCs w:val="32"/>
                <w:highlight w:val="none"/>
                <w14:textFill>
                  <w14:solidFill>
                    <w14:schemeClr w14:val="tx1"/>
                  </w14:solidFill>
                </w14:textFill>
              </w:rPr>
            </w:pPr>
            <w:r>
              <w:rPr>
                <w:rFonts w:hint="default" w:ascii="Times New Roman" w:hAnsi="Times New Roman" w:cs="Times New Roman" w:eastAsiaTheme="minorEastAsia"/>
                <w:b/>
                <w:color w:val="000000" w:themeColor="text1"/>
                <w:kern w:val="0"/>
                <w:sz w:val="21"/>
                <w:szCs w:val="21"/>
                <w:highlight w:val="none"/>
                <w14:textFill>
                  <w14:solidFill>
                    <w14:schemeClr w14:val="tx1"/>
                  </w14:solidFill>
                </w14:textFill>
              </w:rPr>
              <w:t>服务项目</w:t>
            </w:r>
          </w:p>
        </w:tc>
        <w:tc>
          <w:tcPr>
            <w:tcW w:w="2659" w:type="dxa"/>
            <w:gridSpan w:val="2"/>
            <w:tcBorders>
              <w:top w:val="single" w:color="000000" w:sz="4" w:space="0"/>
              <w:left w:val="nil"/>
              <w:bottom w:val="single" w:color="000000" w:sz="4" w:space="0"/>
              <w:right w:val="single" w:color="000000" w:sz="4" w:space="0"/>
            </w:tcBorders>
            <w:shd w:val="clear" w:color="000000" w:fill="auto"/>
            <w:vAlign w:val="center"/>
          </w:tcPr>
          <w:p w14:paraId="0C9D841F">
            <w:pPr>
              <w:keepLines w:val="0"/>
              <w:pageBreakBefore w:val="0"/>
              <w:widowControl w:val="0"/>
              <w:kinsoku/>
              <w:overflowPunct/>
              <w:topLinePunct w:val="0"/>
              <w:autoSpaceDE/>
              <w:autoSpaceDN/>
              <w:bidi w:val="0"/>
              <w:adjustRightInd/>
              <w:ind w:firstLine="422" w:firstLineChars="200"/>
              <w:jc w:val="both"/>
              <w:textAlignment w:val="auto"/>
              <w:rPr>
                <w:rFonts w:hint="default" w:ascii="Times New Roman" w:hAnsi="Times New Roman" w:cs="Times New Roman"/>
                <w:color w:val="000000" w:themeColor="text1"/>
                <w:kern w:val="0"/>
                <w:sz w:val="22"/>
                <w:szCs w:val="32"/>
                <w:highlight w:val="none"/>
                <w14:textFill>
                  <w14:solidFill>
                    <w14:schemeClr w14:val="tx1"/>
                  </w14:solidFill>
                </w14:textFill>
              </w:rPr>
            </w:pPr>
            <w:r>
              <w:rPr>
                <w:rFonts w:hint="default" w:ascii="Times New Roman" w:hAnsi="Times New Roman" w:cs="Times New Roman" w:eastAsiaTheme="minorEastAsia"/>
                <w:b/>
                <w:color w:val="000000" w:themeColor="text1"/>
                <w:kern w:val="0"/>
                <w:sz w:val="21"/>
                <w:szCs w:val="21"/>
                <w:highlight w:val="none"/>
                <w14:textFill>
                  <w14:solidFill>
                    <w14:schemeClr w14:val="tx1"/>
                  </w14:solidFill>
                </w14:textFill>
              </w:rPr>
              <w:t>服务内容</w:t>
            </w:r>
          </w:p>
        </w:tc>
        <w:tc>
          <w:tcPr>
            <w:tcW w:w="4546" w:type="dxa"/>
            <w:tcBorders>
              <w:top w:val="single" w:color="000000" w:sz="4" w:space="0"/>
              <w:left w:val="nil"/>
              <w:bottom w:val="single" w:color="000000" w:sz="4" w:space="0"/>
              <w:right w:val="single" w:color="000000" w:sz="4" w:space="0"/>
            </w:tcBorders>
            <w:shd w:val="clear" w:color="000000" w:fill="auto"/>
            <w:vAlign w:val="center"/>
          </w:tcPr>
          <w:p w14:paraId="49220A6C">
            <w:pPr>
              <w:keepLines w:val="0"/>
              <w:pageBreakBefore w:val="0"/>
              <w:widowControl w:val="0"/>
              <w:kinsoku/>
              <w:overflowPunct/>
              <w:topLinePunct w:val="0"/>
              <w:autoSpaceDE/>
              <w:autoSpaceDN/>
              <w:bidi w:val="0"/>
              <w:adjustRightInd/>
              <w:ind w:firstLine="422" w:firstLineChars="200"/>
              <w:jc w:val="both"/>
              <w:textAlignment w:val="auto"/>
              <w:rPr>
                <w:rFonts w:hint="default" w:ascii="Times New Roman" w:hAnsi="Times New Roman" w:cs="Times New Roman"/>
                <w:color w:val="000000" w:themeColor="text1"/>
                <w:kern w:val="0"/>
                <w:sz w:val="28"/>
                <w:szCs w:val="32"/>
                <w:highlight w:val="none"/>
                <w14:textFill>
                  <w14:solidFill>
                    <w14:schemeClr w14:val="tx1"/>
                  </w14:solidFill>
                </w14:textFill>
              </w:rPr>
            </w:pPr>
            <w:r>
              <w:rPr>
                <w:rFonts w:hint="default" w:ascii="Times New Roman" w:hAnsi="Times New Roman" w:cs="Times New Roman" w:eastAsiaTheme="minorEastAsia"/>
                <w:b/>
                <w:color w:val="000000" w:themeColor="text1"/>
                <w:kern w:val="0"/>
                <w:sz w:val="21"/>
                <w:szCs w:val="21"/>
                <w:highlight w:val="none"/>
                <w14:textFill>
                  <w14:solidFill>
                    <w14:schemeClr w14:val="tx1"/>
                  </w14:solidFill>
                </w14:textFill>
              </w:rPr>
              <w:t>内容说明</w:t>
            </w:r>
          </w:p>
        </w:tc>
        <w:tc>
          <w:tcPr>
            <w:tcW w:w="1155" w:type="dxa"/>
            <w:tcBorders>
              <w:top w:val="single" w:color="000000" w:sz="4" w:space="0"/>
              <w:left w:val="nil"/>
              <w:bottom w:val="single" w:color="000000" w:sz="4" w:space="0"/>
              <w:right w:val="single" w:color="000000" w:sz="4" w:space="0"/>
            </w:tcBorders>
            <w:shd w:val="clear" w:color="000000" w:fill="auto"/>
            <w:vAlign w:val="center"/>
          </w:tcPr>
          <w:p w14:paraId="366F90D9">
            <w:pPr>
              <w:keepLines w:val="0"/>
              <w:pageBreakBefore w:val="0"/>
              <w:widowControl w:val="0"/>
              <w:kinsoku/>
              <w:overflowPunct/>
              <w:topLinePunct w:val="0"/>
              <w:autoSpaceDE/>
              <w:autoSpaceDN/>
              <w:bidi w:val="0"/>
              <w:adjustRightInd/>
              <w:jc w:val="both"/>
              <w:textAlignment w:val="auto"/>
              <w:rPr>
                <w:rFonts w:hint="default" w:ascii="Times New Roman" w:hAnsi="Times New Roman" w:cs="Times New Roman"/>
                <w:color w:val="000000" w:themeColor="text1"/>
                <w:kern w:val="0"/>
                <w:sz w:val="28"/>
                <w:szCs w:val="32"/>
                <w:highlight w:val="none"/>
                <w14:textFill>
                  <w14:solidFill>
                    <w14:schemeClr w14:val="tx1"/>
                  </w14:solidFill>
                </w14:textFill>
              </w:rPr>
            </w:pPr>
            <w:r>
              <w:rPr>
                <w:rFonts w:hint="default" w:ascii="Times New Roman" w:hAnsi="Times New Roman" w:cs="Times New Roman" w:eastAsiaTheme="minorEastAsia"/>
                <w:b/>
                <w:color w:val="000000" w:themeColor="text1"/>
                <w:kern w:val="0"/>
                <w:sz w:val="21"/>
                <w:szCs w:val="21"/>
                <w:highlight w:val="none"/>
                <w14:textFill>
                  <w14:solidFill>
                    <w14:schemeClr w14:val="tx1"/>
                  </w14:solidFill>
                </w14:textFill>
              </w:rPr>
              <w:t>服务方式</w:t>
            </w:r>
          </w:p>
        </w:tc>
      </w:tr>
      <w:tr w14:paraId="280F28E0">
        <w:tblPrEx>
          <w:tblCellMar>
            <w:top w:w="0" w:type="dxa"/>
            <w:left w:w="108" w:type="dxa"/>
            <w:bottom w:w="0" w:type="dxa"/>
            <w:right w:w="108" w:type="dxa"/>
          </w:tblCellMar>
        </w:tblPrEx>
        <w:trPr>
          <w:trHeight w:val="480" w:hRule="atLeast"/>
        </w:trPr>
        <w:tc>
          <w:tcPr>
            <w:tcW w:w="1418" w:type="dxa"/>
            <w:tcBorders>
              <w:top w:val="nil"/>
              <w:left w:val="single" w:color="000000" w:sz="4" w:space="0"/>
              <w:bottom w:val="single" w:color="auto" w:sz="4" w:space="0"/>
              <w:right w:val="single" w:color="000000" w:sz="4" w:space="0"/>
            </w:tcBorders>
            <w:vAlign w:val="center"/>
          </w:tcPr>
          <w:p w14:paraId="529C9930">
            <w:pPr>
              <w:keepLines w:val="0"/>
              <w:pageBreakBefore w:val="0"/>
              <w:widowControl w:val="0"/>
              <w:kinsoku/>
              <w:overflowPunct/>
              <w:topLinePunct w:val="0"/>
              <w:autoSpaceDE/>
              <w:autoSpaceDN/>
              <w:bidi w:val="0"/>
              <w:adjustRightInd/>
              <w:jc w:val="center"/>
              <w:textAlignment w:val="auto"/>
              <w:rPr>
                <w:rFonts w:hint="default" w:ascii="Times New Roman" w:hAnsi="Times New Roman" w:cs="Times New Roman"/>
                <w:kern w:val="0"/>
                <w:sz w:val="20"/>
                <w:szCs w:val="20"/>
              </w:rPr>
            </w:pPr>
            <w:r>
              <w:rPr>
                <w:rFonts w:hint="default" w:ascii="Times New Roman" w:hAnsi="Times New Roman" w:cs="Times New Roman"/>
                <w:color w:val="000000"/>
                <w:kern w:val="0"/>
                <w:sz w:val="20"/>
                <w:szCs w:val="20"/>
              </w:rPr>
              <w:t>终端机绑定</w:t>
            </w:r>
          </w:p>
        </w:tc>
        <w:tc>
          <w:tcPr>
            <w:tcW w:w="2659" w:type="dxa"/>
            <w:gridSpan w:val="2"/>
            <w:tcBorders>
              <w:top w:val="nil"/>
              <w:left w:val="nil"/>
              <w:bottom w:val="single" w:color="auto" w:sz="4" w:space="0"/>
              <w:right w:val="single" w:color="000000" w:sz="4" w:space="0"/>
            </w:tcBorders>
            <w:vAlign w:val="center"/>
          </w:tcPr>
          <w:p w14:paraId="2C046899">
            <w:pPr>
              <w:keepLines w:val="0"/>
              <w:pageBreakBefore w:val="0"/>
              <w:widowControl w:val="0"/>
              <w:numPr>
                <w:ilvl w:val="0"/>
                <w:numId w:val="0"/>
              </w:numPr>
              <w:kinsoku/>
              <w:overflowPunct/>
              <w:topLinePunct w:val="0"/>
              <w:autoSpaceDE/>
              <w:autoSpaceDN/>
              <w:bidi w:val="0"/>
              <w:adjustRightInd/>
              <w:jc w:val="both"/>
              <w:textAlignment w:val="auto"/>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lang w:val="en-US" w:eastAsia="zh-CN"/>
              </w:rPr>
              <w:t>1.</w:t>
            </w:r>
            <w:r>
              <w:rPr>
                <w:rFonts w:hint="default" w:ascii="Times New Roman" w:hAnsi="Times New Roman" w:cs="Times New Roman"/>
                <w:color w:val="000000"/>
                <w:kern w:val="0"/>
                <w:sz w:val="20"/>
                <w:szCs w:val="20"/>
              </w:rPr>
              <w:t>二维码扫码注册终端机</w:t>
            </w:r>
          </w:p>
          <w:p w14:paraId="6CE937A9">
            <w:pPr>
              <w:keepLines w:val="0"/>
              <w:pageBreakBefore w:val="0"/>
              <w:widowControl w:val="0"/>
              <w:numPr>
                <w:ilvl w:val="0"/>
                <w:numId w:val="0"/>
              </w:numPr>
              <w:kinsoku/>
              <w:overflowPunct/>
              <w:topLinePunct w:val="0"/>
              <w:autoSpaceDE/>
              <w:autoSpaceDN/>
              <w:bidi w:val="0"/>
              <w:adjustRightInd/>
              <w:jc w:val="both"/>
              <w:textAlignment w:val="auto"/>
              <w:rPr>
                <w:rFonts w:hint="default" w:ascii="Times New Roman" w:hAnsi="Times New Roman" w:cs="Times New Roman"/>
                <w:kern w:val="0"/>
                <w:sz w:val="20"/>
                <w:szCs w:val="20"/>
              </w:rPr>
            </w:pPr>
            <w:r>
              <w:rPr>
                <w:rFonts w:hint="default" w:ascii="Times New Roman" w:hAnsi="Times New Roman" w:cs="Times New Roman"/>
                <w:color w:val="000000"/>
                <w:kern w:val="0"/>
                <w:sz w:val="20"/>
                <w:szCs w:val="20"/>
                <w:lang w:val="en-US" w:eastAsia="zh-CN"/>
              </w:rPr>
              <w:t>2.</w:t>
            </w:r>
            <w:r>
              <w:rPr>
                <w:rFonts w:hint="default" w:ascii="Times New Roman" w:hAnsi="Times New Roman" w:cs="Times New Roman"/>
                <w:color w:val="000000"/>
                <w:kern w:val="0"/>
                <w:sz w:val="20"/>
                <w:szCs w:val="20"/>
              </w:rPr>
              <w:t>终端机与使用人员的绑定信息</w:t>
            </w:r>
          </w:p>
        </w:tc>
        <w:tc>
          <w:tcPr>
            <w:tcW w:w="4546" w:type="dxa"/>
            <w:tcBorders>
              <w:top w:val="nil"/>
              <w:left w:val="nil"/>
              <w:bottom w:val="single" w:color="auto" w:sz="4" w:space="0"/>
              <w:right w:val="single" w:color="000000" w:sz="4" w:space="0"/>
            </w:tcBorders>
            <w:vAlign w:val="center"/>
          </w:tcPr>
          <w:p w14:paraId="2EF52B89">
            <w:pPr>
              <w:keepLines w:val="0"/>
              <w:pageBreakBefore w:val="0"/>
              <w:widowControl w:val="0"/>
              <w:kinsoku/>
              <w:overflowPunct/>
              <w:topLinePunct w:val="0"/>
              <w:autoSpaceDE/>
              <w:autoSpaceDN/>
              <w:bidi w:val="0"/>
              <w:adjustRightInd/>
              <w:ind w:firstLine="400" w:firstLineChars="200"/>
              <w:jc w:val="both"/>
              <w:textAlignment w:val="auto"/>
              <w:rPr>
                <w:rFonts w:hint="default" w:ascii="Times New Roman" w:hAnsi="Times New Roman" w:cs="Times New Roman"/>
                <w:kern w:val="0"/>
                <w:sz w:val="20"/>
                <w:szCs w:val="20"/>
              </w:rPr>
            </w:pPr>
            <w:r>
              <w:rPr>
                <w:rFonts w:hint="default" w:ascii="Times New Roman" w:hAnsi="Times New Roman" w:cs="Times New Roman"/>
                <w:color w:val="000000"/>
                <w:kern w:val="0"/>
                <w:sz w:val="20"/>
                <w:szCs w:val="20"/>
              </w:rPr>
              <w:t>终端机绑定需要先建立人员信息，通过扫描平台系统用户生成的二维码，完成终端机与使用人员的绑定；</w:t>
            </w:r>
          </w:p>
        </w:tc>
        <w:tc>
          <w:tcPr>
            <w:tcW w:w="1155" w:type="dxa"/>
            <w:tcBorders>
              <w:top w:val="nil"/>
              <w:left w:val="nil"/>
              <w:bottom w:val="single" w:color="auto" w:sz="4" w:space="0"/>
              <w:right w:val="single" w:color="000000" w:sz="4" w:space="0"/>
            </w:tcBorders>
            <w:vAlign w:val="center"/>
          </w:tcPr>
          <w:p w14:paraId="5CF6C69B">
            <w:pPr>
              <w:keepLines w:val="0"/>
              <w:pageBreakBefore w:val="0"/>
              <w:widowControl w:val="0"/>
              <w:kinsoku/>
              <w:overflowPunct/>
              <w:topLinePunct w:val="0"/>
              <w:autoSpaceDE/>
              <w:autoSpaceDN/>
              <w:bidi w:val="0"/>
              <w:adjustRightInd/>
              <w:ind w:firstLine="400" w:firstLineChars="200"/>
              <w:jc w:val="both"/>
              <w:textAlignment w:val="auto"/>
              <w:rPr>
                <w:rFonts w:hint="default" w:ascii="Times New Roman" w:hAnsi="Times New Roman" w:cs="Times New Roman"/>
                <w:kern w:val="0"/>
                <w:sz w:val="20"/>
                <w:szCs w:val="20"/>
              </w:rPr>
            </w:pPr>
            <w:r>
              <w:rPr>
                <w:rFonts w:hint="default" w:ascii="Times New Roman" w:hAnsi="Times New Roman" w:cs="Times New Roman"/>
                <w:kern w:val="0"/>
                <w:sz w:val="20"/>
                <w:szCs w:val="20"/>
              </w:rPr>
              <w:t>远程</w:t>
            </w:r>
          </w:p>
        </w:tc>
      </w:tr>
      <w:tr w14:paraId="194FC4CA">
        <w:tblPrEx>
          <w:tblCellMar>
            <w:top w:w="0" w:type="dxa"/>
            <w:left w:w="108" w:type="dxa"/>
            <w:bottom w:w="0" w:type="dxa"/>
            <w:right w:w="108" w:type="dxa"/>
          </w:tblCellMar>
        </w:tblPrEx>
        <w:trPr>
          <w:trHeight w:val="1182" w:hRule="atLeast"/>
        </w:trPr>
        <w:tc>
          <w:tcPr>
            <w:tcW w:w="1418" w:type="dxa"/>
            <w:tcBorders>
              <w:top w:val="single" w:color="auto" w:sz="4" w:space="0"/>
              <w:left w:val="single" w:color="auto" w:sz="4" w:space="0"/>
              <w:bottom w:val="single" w:color="auto" w:sz="4" w:space="0"/>
              <w:right w:val="single" w:color="auto" w:sz="4" w:space="0"/>
            </w:tcBorders>
            <w:vAlign w:val="center"/>
          </w:tcPr>
          <w:p w14:paraId="01DFD7A9">
            <w:pPr>
              <w:keepLines w:val="0"/>
              <w:pageBreakBefore w:val="0"/>
              <w:widowControl w:val="0"/>
              <w:kinsoku/>
              <w:overflowPunct/>
              <w:topLinePunct w:val="0"/>
              <w:autoSpaceDE/>
              <w:autoSpaceDN/>
              <w:bidi w:val="0"/>
              <w:adjustRightInd/>
              <w:jc w:val="center"/>
              <w:textAlignment w:val="auto"/>
              <w:rPr>
                <w:rFonts w:hint="default" w:ascii="Times New Roman" w:hAnsi="Times New Roman" w:cs="Times New Roman"/>
                <w:kern w:val="0"/>
                <w:sz w:val="20"/>
                <w:szCs w:val="20"/>
              </w:rPr>
            </w:pPr>
            <w:r>
              <w:rPr>
                <w:rFonts w:hint="default" w:ascii="Times New Roman" w:hAnsi="Times New Roman" w:cs="Times New Roman"/>
                <w:kern w:val="0"/>
                <w:sz w:val="20"/>
                <w:szCs w:val="20"/>
              </w:rPr>
              <w:t>视音频呼叫</w:t>
            </w:r>
          </w:p>
        </w:tc>
        <w:tc>
          <w:tcPr>
            <w:tcW w:w="2659" w:type="dxa"/>
            <w:gridSpan w:val="2"/>
            <w:tcBorders>
              <w:top w:val="single" w:color="auto" w:sz="4" w:space="0"/>
              <w:left w:val="single" w:color="auto" w:sz="4" w:space="0"/>
              <w:right w:val="single" w:color="auto" w:sz="4" w:space="0"/>
            </w:tcBorders>
            <w:vAlign w:val="center"/>
          </w:tcPr>
          <w:p w14:paraId="53232966">
            <w:pPr>
              <w:keepLines w:val="0"/>
              <w:pageBreakBefore w:val="0"/>
              <w:widowControl w:val="0"/>
              <w:kinsoku/>
              <w:overflowPunct/>
              <w:topLinePunct w:val="0"/>
              <w:autoSpaceDE/>
              <w:autoSpaceDN/>
              <w:bidi w:val="0"/>
              <w:adjustRightInd/>
              <w:jc w:val="both"/>
              <w:textAlignment w:val="auto"/>
              <w:rPr>
                <w:rFonts w:hint="default" w:ascii="Times New Roman" w:hAnsi="Times New Roman" w:cs="Times New Roman"/>
                <w:kern w:val="0"/>
                <w:sz w:val="20"/>
                <w:szCs w:val="20"/>
              </w:rPr>
            </w:pPr>
            <w:r>
              <w:rPr>
                <w:rFonts w:hint="default" w:ascii="Times New Roman" w:hAnsi="Times New Roman" w:cs="Times New Roman"/>
                <w:kern w:val="0"/>
                <w:sz w:val="20"/>
                <w:szCs w:val="20"/>
              </w:rPr>
              <w:t>1.选择组内用户（终端或调度台）</w:t>
            </w:r>
            <w:r>
              <w:rPr>
                <w:rFonts w:hint="default" w:ascii="Times New Roman" w:hAnsi="Times New Roman" w:cs="Times New Roman"/>
                <w:kern w:val="0"/>
                <w:sz w:val="20"/>
                <w:szCs w:val="20"/>
              </w:rPr>
              <w:br w:type="textWrapping"/>
            </w:r>
            <w:r>
              <w:rPr>
                <w:rFonts w:hint="default" w:ascii="Times New Roman" w:hAnsi="Times New Roman" w:cs="Times New Roman"/>
                <w:kern w:val="0"/>
                <w:sz w:val="20"/>
                <w:szCs w:val="20"/>
              </w:rPr>
              <w:t>2.视频呼叫</w:t>
            </w:r>
            <w:r>
              <w:rPr>
                <w:rFonts w:hint="default" w:ascii="Times New Roman" w:hAnsi="Times New Roman" w:cs="Times New Roman"/>
                <w:kern w:val="0"/>
                <w:sz w:val="20"/>
                <w:szCs w:val="20"/>
              </w:rPr>
              <w:br w:type="textWrapping"/>
            </w:r>
            <w:r>
              <w:rPr>
                <w:rFonts w:hint="default" w:ascii="Times New Roman" w:hAnsi="Times New Roman" w:cs="Times New Roman"/>
                <w:kern w:val="0"/>
                <w:sz w:val="20"/>
                <w:szCs w:val="20"/>
              </w:rPr>
              <w:t>3.视频互动</w:t>
            </w:r>
          </w:p>
        </w:tc>
        <w:tc>
          <w:tcPr>
            <w:tcW w:w="4546" w:type="dxa"/>
            <w:tcBorders>
              <w:top w:val="single" w:color="auto" w:sz="4" w:space="0"/>
              <w:left w:val="single" w:color="auto" w:sz="4" w:space="0"/>
              <w:right w:val="single" w:color="auto" w:sz="4" w:space="0"/>
            </w:tcBorders>
            <w:vAlign w:val="center"/>
          </w:tcPr>
          <w:p w14:paraId="56A81FF4">
            <w:pPr>
              <w:keepLines w:val="0"/>
              <w:pageBreakBefore w:val="0"/>
              <w:widowControl w:val="0"/>
              <w:kinsoku/>
              <w:overflowPunct/>
              <w:topLinePunct w:val="0"/>
              <w:autoSpaceDE/>
              <w:autoSpaceDN/>
              <w:bidi w:val="0"/>
              <w:adjustRightInd/>
              <w:ind w:firstLine="400" w:firstLineChars="200"/>
              <w:jc w:val="both"/>
              <w:textAlignment w:val="auto"/>
              <w:rPr>
                <w:rFonts w:hint="default" w:ascii="Times New Roman" w:hAnsi="Times New Roman" w:cs="Times New Roman"/>
                <w:kern w:val="0"/>
                <w:sz w:val="20"/>
                <w:szCs w:val="20"/>
              </w:rPr>
            </w:pPr>
            <w:r>
              <w:rPr>
                <w:rFonts w:hint="default" w:ascii="Times New Roman" w:hAnsi="Times New Roman" w:cs="Times New Roman"/>
                <w:kern w:val="0"/>
                <w:sz w:val="20"/>
                <w:szCs w:val="20"/>
              </w:rPr>
              <w:t>视音频呼叫需要选择组内用户，菜单选择视音频呼叫，接听后可视频互动</w:t>
            </w:r>
          </w:p>
        </w:tc>
        <w:tc>
          <w:tcPr>
            <w:tcW w:w="1155" w:type="dxa"/>
            <w:tcBorders>
              <w:top w:val="single" w:color="auto" w:sz="4" w:space="0"/>
              <w:left w:val="single" w:color="auto" w:sz="4" w:space="0"/>
              <w:right w:val="single" w:color="auto" w:sz="4" w:space="0"/>
            </w:tcBorders>
            <w:vAlign w:val="center"/>
          </w:tcPr>
          <w:p w14:paraId="41C3CAA9">
            <w:pPr>
              <w:keepLines w:val="0"/>
              <w:pageBreakBefore w:val="0"/>
              <w:widowControl w:val="0"/>
              <w:kinsoku/>
              <w:overflowPunct/>
              <w:topLinePunct w:val="0"/>
              <w:autoSpaceDE/>
              <w:autoSpaceDN/>
              <w:bidi w:val="0"/>
              <w:adjustRightInd/>
              <w:ind w:firstLine="400" w:firstLineChars="200"/>
              <w:jc w:val="both"/>
              <w:textAlignment w:val="auto"/>
              <w:rPr>
                <w:rFonts w:hint="default" w:ascii="Times New Roman" w:hAnsi="Times New Roman" w:cs="Times New Roman"/>
                <w:kern w:val="0"/>
                <w:sz w:val="20"/>
                <w:szCs w:val="20"/>
              </w:rPr>
            </w:pPr>
            <w:r>
              <w:rPr>
                <w:rFonts w:hint="default" w:ascii="Times New Roman" w:hAnsi="Times New Roman" w:cs="Times New Roman"/>
                <w:kern w:val="0"/>
                <w:sz w:val="20"/>
                <w:szCs w:val="20"/>
              </w:rPr>
              <w:t>远程</w:t>
            </w:r>
          </w:p>
        </w:tc>
      </w:tr>
      <w:tr w14:paraId="022BB370">
        <w:tblPrEx>
          <w:tblCellMar>
            <w:top w:w="0" w:type="dxa"/>
            <w:left w:w="108" w:type="dxa"/>
            <w:bottom w:w="0" w:type="dxa"/>
            <w:right w:w="108" w:type="dxa"/>
          </w:tblCellMar>
        </w:tblPrEx>
        <w:trPr>
          <w:trHeight w:val="960" w:hRule="atLeast"/>
        </w:trPr>
        <w:tc>
          <w:tcPr>
            <w:tcW w:w="1418" w:type="dxa"/>
            <w:tcBorders>
              <w:top w:val="single" w:color="auto" w:sz="4" w:space="0"/>
              <w:left w:val="single" w:color="000000" w:sz="4" w:space="0"/>
              <w:bottom w:val="single" w:color="auto" w:sz="4" w:space="0"/>
              <w:right w:val="single" w:color="000000" w:sz="4" w:space="0"/>
            </w:tcBorders>
            <w:vAlign w:val="center"/>
          </w:tcPr>
          <w:p w14:paraId="7D086FF5">
            <w:pPr>
              <w:keepLines w:val="0"/>
              <w:pageBreakBefore w:val="0"/>
              <w:widowControl w:val="0"/>
              <w:kinsoku/>
              <w:overflowPunct/>
              <w:topLinePunct w:val="0"/>
              <w:autoSpaceDE/>
              <w:autoSpaceDN/>
              <w:bidi w:val="0"/>
              <w:adjustRightInd/>
              <w:jc w:val="center"/>
              <w:textAlignment w:val="auto"/>
              <w:rPr>
                <w:rFonts w:hint="default" w:ascii="Times New Roman" w:hAnsi="Times New Roman" w:cs="Times New Roman"/>
                <w:kern w:val="0"/>
                <w:sz w:val="20"/>
                <w:szCs w:val="20"/>
              </w:rPr>
            </w:pPr>
            <w:r>
              <w:rPr>
                <w:rFonts w:hint="default" w:ascii="Times New Roman" w:hAnsi="Times New Roman" w:cs="Times New Roman"/>
                <w:color w:val="000000"/>
                <w:kern w:val="0"/>
                <w:sz w:val="20"/>
                <w:szCs w:val="20"/>
              </w:rPr>
              <w:t>群组群呼</w:t>
            </w:r>
          </w:p>
        </w:tc>
        <w:tc>
          <w:tcPr>
            <w:tcW w:w="2659" w:type="dxa"/>
            <w:gridSpan w:val="2"/>
            <w:tcBorders>
              <w:top w:val="single" w:color="auto" w:sz="4" w:space="0"/>
              <w:left w:val="nil"/>
              <w:bottom w:val="single" w:color="auto" w:sz="4" w:space="0"/>
              <w:right w:val="single" w:color="000000" w:sz="4" w:space="0"/>
            </w:tcBorders>
            <w:vAlign w:val="center"/>
          </w:tcPr>
          <w:p w14:paraId="6CCE0E20">
            <w:pPr>
              <w:keepLines w:val="0"/>
              <w:pageBreakBefore w:val="0"/>
              <w:widowControl w:val="0"/>
              <w:numPr>
                <w:ilvl w:val="0"/>
                <w:numId w:val="0"/>
              </w:numPr>
              <w:kinsoku/>
              <w:overflowPunct/>
              <w:topLinePunct w:val="0"/>
              <w:autoSpaceDE/>
              <w:autoSpaceDN/>
              <w:bidi w:val="0"/>
              <w:adjustRightInd/>
              <w:jc w:val="both"/>
              <w:textAlignment w:val="auto"/>
              <w:rPr>
                <w:rFonts w:hint="default" w:ascii="Times New Roman" w:hAnsi="Times New Roman" w:cs="Times New Roman"/>
                <w:kern w:val="0"/>
                <w:sz w:val="20"/>
                <w:szCs w:val="20"/>
              </w:rPr>
            </w:pPr>
            <w:r>
              <w:rPr>
                <w:rFonts w:hint="default" w:ascii="Times New Roman" w:hAnsi="Times New Roman" w:cs="Times New Roman"/>
                <w:color w:val="000000"/>
                <w:kern w:val="0"/>
                <w:sz w:val="20"/>
                <w:szCs w:val="20"/>
                <w:lang w:val="en-US" w:eastAsia="zh-CN"/>
              </w:rPr>
              <w:t>1.</w:t>
            </w:r>
            <w:r>
              <w:rPr>
                <w:rFonts w:hint="default" w:ascii="Times New Roman" w:hAnsi="Times New Roman" w:cs="Times New Roman"/>
                <w:color w:val="000000"/>
                <w:kern w:val="0"/>
                <w:sz w:val="20"/>
                <w:szCs w:val="20"/>
              </w:rPr>
              <w:t>多个用户可以编成一个</w:t>
            </w:r>
            <w:r>
              <w:rPr>
                <w:rFonts w:hint="default" w:ascii="Times New Roman" w:hAnsi="Times New Roman" w:cs="Times New Roman"/>
                <w:kern w:val="0"/>
                <w:sz w:val="20"/>
                <w:szCs w:val="20"/>
              </w:rPr>
              <w:t>临时组（调度台）</w:t>
            </w:r>
          </w:p>
          <w:p w14:paraId="0D96F85C">
            <w:pPr>
              <w:keepLines w:val="0"/>
              <w:pageBreakBefore w:val="0"/>
              <w:widowControl w:val="0"/>
              <w:numPr>
                <w:ilvl w:val="0"/>
                <w:numId w:val="0"/>
              </w:numPr>
              <w:kinsoku/>
              <w:overflowPunct/>
              <w:topLinePunct w:val="0"/>
              <w:autoSpaceDE/>
              <w:autoSpaceDN/>
              <w:bidi w:val="0"/>
              <w:adjustRightInd/>
              <w:jc w:val="both"/>
              <w:textAlignment w:val="auto"/>
              <w:rPr>
                <w:rFonts w:hint="default" w:ascii="Times New Roman" w:hAnsi="Times New Roman" w:cs="Times New Roman"/>
                <w:kern w:val="0"/>
                <w:sz w:val="20"/>
                <w:szCs w:val="20"/>
              </w:rPr>
            </w:pPr>
            <w:r>
              <w:rPr>
                <w:rFonts w:hint="default" w:ascii="Times New Roman" w:hAnsi="Times New Roman" w:cs="Times New Roman"/>
                <w:kern w:val="0"/>
                <w:sz w:val="20"/>
                <w:szCs w:val="20"/>
                <w:lang w:val="en-US" w:eastAsia="zh-CN"/>
              </w:rPr>
              <w:t>2.</w:t>
            </w:r>
            <w:r>
              <w:rPr>
                <w:rFonts w:hint="default" w:ascii="Times New Roman" w:hAnsi="Times New Roman" w:cs="Times New Roman"/>
                <w:kern w:val="0"/>
                <w:sz w:val="20"/>
                <w:szCs w:val="20"/>
              </w:rPr>
              <w:t>视频呼叫</w:t>
            </w:r>
          </w:p>
          <w:p w14:paraId="564D329D">
            <w:pPr>
              <w:keepLines w:val="0"/>
              <w:pageBreakBefore w:val="0"/>
              <w:widowControl w:val="0"/>
              <w:numPr>
                <w:ilvl w:val="0"/>
                <w:numId w:val="0"/>
              </w:numPr>
              <w:kinsoku/>
              <w:overflowPunct/>
              <w:topLinePunct w:val="0"/>
              <w:autoSpaceDE/>
              <w:autoSpaceDN/>
              <w:bidi w:val="0"/>
              <w:adjustRightInd/>
              <w:jc w:val="both"/>
              <w:textAlignment w:val="auto"/>
              <w:rPr>
                <w:rFonts w:hint="default" w:ascii="Times New Roman" w:hAnsi="Times New Roman" w:cs="Times New Roman"/>
                <w:kern w:val="0"/>
                <w:sz w:val="20"/>
                <w:szCs w:val="20"/>
              </w:rPr>
            </w:pPr>
            <w:r>
              <w:rPr>
                <w:rFonts w:hint="default" w:ascii="Times New Roman" w:hAnsi="Times New Roman" w:cs="Times New Roman"/>
                <w:kern w:val="0"/>
                <w:sz w:val="20"/>
                <w:szCs w:val="20"/>
                <w:lang w:val="en-US" w:eastAsia="zh-CN"/>
              </w:rPr>
              <w:t>3.</w:t>
            </w:r>
            <w:r>
              <w:rPr>
                <w:rFonts w:hint="default" w:ascii="Times New Roman" w:hAnsi="Times New Roman" w:cs="Times New Roman"/>
                <w:kern w:val="0"/>
                <w:sz w:val="20"/>
                <w:szCs w:val="20"/>
              </w:rPr>
              <w:t>语音互动</w:t>
            </w:r>
          </w:p>
        </w:tc>
        <w:tc>
          <w:tcPr>
            <w:tcW w:w="4546" w:type="dxa"/>
            <w:tcBorders>
              <w:top w:val="single" w:color="auto" w:sz="4" w:space="0"/>
              <w:left w:val="nil"/>
              <w:bottom w:val="single" w:color="auto" w:sz="4" w:space="0"/>
              <w:right w:val="single" w:color="000000" w:sz="4" w:space="0"/>
            </w:tcBorders>
            <w:vAlign w:val="center"/>
          </w:tcPr>
          <w:p w14:paraId="701774BF">
            <w:pPr>
              <w:keepLines w:val="0"/>
              <w:pageBreakBefore w:val="0"/>
              <w:widowControl w:val="0"/>
              <w:kinsoku/>
              <w:overflowPunct/>
              <w:topLinePunct w:val="0"/>
              <w:autoSpaceDE/>
              <w:autoSpaceDN/>
              <w:bidi w:val="0"/>
              <w:adjustRightInd/>
              <w:ind w:firstLine="400" w:firstLineChars="200"/>
              <w:jc w:val="both"/>
              <w:textAlignment w:val="auto"/>
              <w:rPr>
                <w:rFonts w:hint="default" w:ascii="Times New Roman" w:hAnsi="Times New Roman" w:cs="Times New Roman"/>
                <w:kern w:val="0"/>
                <w:sz w:val="20"/>
                <w:szCs w:val="20"/>
              </w:rPr>
            </w:pPr>
            <w:r>
              <w:rPr>
                <w:rFonts w:hint="default" w:ascii="Times New Roman" w:hAnsi="Times New Roman" w:cs="Times New Roman"/>
                <w:kern w:val="0"/>
                <w:sz w:val="20"/>
                <w:szCs w:val="20"/>
              </w:rPr>
              <w:t>群组呼叫需要将多个用户编成一个临时组，菜单选择视音频呼叫，接听后可语音互动</w:t>
            </w:r>
          </w:p>
        </w:tc>
        <w:tc>
          <w:tcPr>
            <w:tcW w:w="1155" w:type="dxa"/>
            <w:tcBorders>
              <w:top w:val="single" w:color="auto" w:sz="4" w:space="0"/>
              <w:left w:val="nil"/>
              <w:bottom w:val="single" w:color="auto" w:sz="4" w:space="0"/>
              <w:right w:val="single" w:color="000000" w:sz="4" w:space="0"/>
            </w:tcBorders>
            <w:vAlign w:val="center"/>
          </w:tcPr>
          <w:p w14:paraId="5F34929D">
            <w:pPr>
              <w:keepLines w:val="0"/>
              <w:pageBreakBefore w:val="0"/>
              <w:widowControl w:val="0"/>
              <w:kinsoku/>
              <w:overflowPunct/>
              <w:topLinePunct w:val="0"/>
              <w:autoSpaceDE/>
              <w:autoSpaceDN/>
              <w:bidi w:val="0"/>
              <w:adjustRightInd/>
              <w:ind w:firstLine="400" w:firstLineChars="200"/>
              <w:jc w:val="both"/>
              <w:textAlignment w:val="auto"/>
              <w:rPr>
                <w:rFonts w:hint="default" w:ascii="Times New Roman" w:hAnsi="Times New Roman" w:cs="Times New Roman"/>
                <w:kern w:val="0"/>
                <w:sz w:val="20"/>
                <w:szCs w:val="20"/>
              </w:rPr>
            </w:pPr>
            <w:r>
              <w:rPr>
                <w:rFonts w:hint="default" w:ascii="Times New Roman" w:hAnsi="Times New Roman" w:cs="Times New Roman"/>
                <w:kern w:val="0"/>
                <w:sz w:val="20"/>
                <w:szCs w:val="20"/>
              </w:rPr>
              <w:t>远程</w:t>
            </w:r>
          </w:p>
        </w:tc>
      </w:tr>
      <w:tr w14:paraId="30D638DF">
        <w:tblPrEx>
          <w:tblCellMar>
            <w:top w:w="0" w:type="dxa"/>
            <w:left w:w="108" w:type="dxa"/>
            <w:bottom w:w="0" w:type="dxa"/>
            <w:right w:w="108" w:type="dxa"/>
          </w:tblCellMar>
        </w:tblPrEx>
        <w:trPr>
          <w:trHeight w:val="778" w:hRule="atLeast"/>
        </w:trPr>
        <w:tc>
          <w:tcPr>
            <w:tcW w:w="1418" w:type="dxa"/>
            <w:tcBorders>
              <w:top w:val="single" w:color="auto" w:sz="4" w:space="0"/>
              <w:left w:val="single" w:color="auto" w:sz="4" w:space="0"/>
              <w:bottom w:val="single" w:color="auto" w:sz="4" w:space="0"/>
              <w:right w:val="single" w:color="auto" w:sz="4" w:space="0"/>
            </w:tcBorders>
            <w:vAlign w:val="center"/>
          </w:tcPr>
          <w:p w14:paraId="423C25BA">
            <w:pPr>
              <w:keepLines w:val="0"/>
              <w:pageBreakBefore w:val="0"/>
              <w:widowControl w:val="0"/>
              <w:kinsoku/>
              <w:overflowPunct/>
              <w:topLinePunct w:val="0"/>
              <w:autoSpaceDE/>
              <w:autoSpaceDN/>
              <w:bidi w:val="0"/>
              <w:adjustRightInd/>
              <w:jc w:val="center"/>
              <w:textAlignment w:val="auto"/>
              <w:rPr>
                <w:rFonts w:hint="default" w:ascii="Times New Roman" w:hAnsi="Times New Roman" w:cs="Times New Roman"/>
                <w:kern w:val="0"/>
                <w:sz w:val="20"/>
                <w:szCs w:val="20"/>
              </w:rPr>
            </w:pPr>
            <w:r>
              <w:rPr>
                <w:rFonts w:hint="default" w:ascii="Times New Roman" w:hAnsi="Times New Roman" w:cs="Times New Roman"/>
                <w:kern w:val="0"/>
                <w:sz w:val="20"/>
                <w:szCs w:val="20"/>
              </w:rPr>
              <w:t>对讲</w:t>
            </w:r>
          </w:p>
        </w:tc>
        <w:tc>
          <w:tcPr>
            <w:tcW w:w="2659" w:type="dxa"/>
            <w:gridSpan w:val="2"/>
            <w:tcBorders>
              <w:top w:val="single" w:color="auto" w:sz="4" w:space="0"/>
              <w:left w:val="single" w:color="auto" w:sz="4" w:space="0"/>
              <w:bottom w:val="single" w:color="auto" w:sz="4" w:space="0"/>
              <w:right w:val="single" w:color="auto" w:sz="4" w:space="0"/>
            </w:tcBorders>
            <w:vAlign w:val="center"/>
          </w:tcPr>
          <w:p w14:paraId="434535D9">
            <w:pPr>
              <w:keepLines w:val="0"/>
              <w:pageBreakBefore w:val="0"/>
              <w:widowControl w:val="0"/>
              <w:kinsoku/>
              <w:overflowPunct/>
              <w:topLinePunct w:val="0"/>
              <w:autoSpaceDE/>
              <w:autoSpaceDN/>
              <w:bidi w:val="0"/>
              <w:adjustRightInd/>
              <w:jc w:val="both"/>
              <w:textAlignment w:val="auto"/>
              <w:rPr>
                <w:rFonts w:hint="default" w:ascii="Times New Roman" w:hAnsi="Times New Roman" w:cs="Times New Roman"/>
                <w:kern w:val="0"/>
                <w:sz w:val="20"/>
                <w:szCs w:val="20"/>
              </w:rPr>
            </w:pPr>
            <w:r>
              <w:rPr>
                <w:rFonts w:hint="default" w:ascii="Times New Roman" w:hAnsi="Times New Roman" w:cs="Times New Roman"/>
                <w:kern w:val="0"/>
                <w:sz w:val="20"/>
                <w:szCs w:val="20"/>
              </w:rPr>
              <w:t>1.组内用户（终端）</w:t>
            </w:r>
          </w:p>
          <w:p w14:paraId="2BF1D107">
            <w:pPr>
              <w:keepLines w:val="0"/>
              <w:pageBreakBefore w:val="0"/>
              <w:widowControl w:val="0"/>
              <w:kinsoku/>
              <w:overflowPunct/>
              <w:topLinePunct w:val="0"/>
              <w:autoSpaceDE/>
              <w:autoSpaceDN/>
              <w:bidi w:val="0"/>
              <w:adjustRightInd/>
              <w:jc w:val="both"/>
              <w:textAlignment w:val="auto"/>
              <w:rPr>
                <w:rFonts w:hint="default" w:ascii="Times New Roman" w:hAnsi="Times New Roman" w:cs="Times New Roman"/>
                <w:kern w:val="0"/>
                <w:sz w:val="20"/>
                <w:szCs w:val="20"/>
              </w:rPr>
            </w:pPr>
            <w:r>
              <w:rPr>
                <w:rFonts w:hint="default" w:ascii="Times New Roman" w:hAnsi="Times New Roman" w:cs="Times New Roman"/>
                <w:kern w:val="0"/>
                <w:sz w:val="20"/>
                <w:szCs w:val="20"/>
              </w:rPr>
              <w:t>2.按下PTT键组内对讲</w:t>
            </w:r>
          </w:p>
        </w:tc>
        <w:tc>
          <w:tcPr>
            <w:tcW w:w="4546" w:type="dxa"/>
            <w:tcBorders>
              <w:top w:val="single" w:color="auto" w:sz="4" w:space="0"/>
              <w:left w:val="single" w:color="auto" w:sz="4" w:space="0"/>
              <w:bottom w:val="single" w:color="auto" w:sz="4" w:space="0"/>
              <w:right w:val="single" w:color="auto" w:sz="4" w:space="0"/>
            </w:tcBorders>
            <w:vAlign w:val="center"/>
          </w:tcPr>
          <w:p w14:paraId="01C3992D">
            <w:pPr>
              <w:keepLines w:val="0"/>
              <w:pageBreakBefore w:val="0"/>
              <w:widowControl w:val="0"/>
              <w:kinsoku/>
              <w:overflowPunct/>
              <w:topLinePunct w:val="0"/>
              <w:autoSpaceDE/>
              <w:autoSpaceDN/>
              <w:bidi w:val="0"/>
              <w:adjustRightInd/>
              <w:ind w:firstLine="400" w:firstLineChars="200"/>
              <w:jc w:val="both"/>
              <w:textAlignment w:val="auto"/>
              <w:rPr>
                <w:rFonts w:hint="default" w:ascii="Times New Roman" w:hAnsi="Times New Roman" w:cs="Times New Roman"/>
                <w:kern w:val="0"/>
                <w:sz w:val="20"/>
                <w:szCs w:val="20"/>
              </w:rPr>
            </w:pPr>
            <w:r>
              <w:rPr>
                <w:rFonts w:hint="default" w:ascii="Times New Roman" w:hAnsi="Times New Roman" w:cs="Times New Roman"/>
                <w:kern w:val="0"/>
                <w:sz w:val="20"/>
                <w:szCs w:val="20"/>
              </w:rPr>
              <w:t>对讲需要将多个用户编成一个临时组，组内终端用户按下 PPT键可互动对讲</w:t>
            </w:r>
          </w:p>
        </w:tc>
        <w:tc>
          <w:tcPr>
            <w:tcW w:w="1155" w:type="dxa"/>
            <w:tcBorders>
              <w:top w:val="single" w:color="auto" w:sz="4" w:space="0"/>
              <w:left w:val="single" w:color="auto" w:sz="4" w:space="0"/>
              <w:bottom w:val="single" w:color="auto" w:sz="4" w:space="0"/>
              <w:right w:val="single" w:color="auto" w:sz="4" w:space="0"/>
            </w:tcBorders>
            <w:vAlign w:val="center"/>
          </w:tcPr>
          <w:p w14:paraId="1D38B92C">
            <w:pPr>
              <w:keepLines w:val="0"/>
              <w:pageBreakBefore w:val="0"/>
              <w:widowControl w:val="0"/>
              <w:kinsoku/>
              <w:overflowPunct/>
              <w:topLinePunct w:val="0"/>
              <w:autoSpaceDE/>
              <w:autoSpaceDN/>
              <w:bidi w:val="0"/>
              <w:adjustRightInd/>
              <w:ind w:firstLine="400" w:firstLineChars="200"/>
              <w:jc w:val="both"/>
              <w:textAlignment w:val="auto"/>
              <w:rPr>
                <w:rFonts w:hint="default" w:ascii="Times New Roman" w:hAnsi="Times New Roman" w:cs="Times New Roman"/>
                <w:kern w:val="0"/>
                <w:sz w:val="20"/>
                <w:szCs w:val="20"/>
              </w:rPr>
            </w:pPr>
            <w:r>
              <w:rPr>
                <w:rFonts w:hint="default" w:ascii="Times New Roman" w:hAnsi="Times New Roman" w:cs="Times New Roman"/>
                <w:kern w:val="0"/>
                <w:sz w:val="20"/>
                <w:szCs w:val="20"/>
              </w:rPr>
              <w:t>远程</w:t>
            </w:r>
          </w:p>
        </w:tc>
      </w:tr>
      <w:tr w14:paraId="1A535CAD">
        <w:tblPrEx>
          <w:tblCellMar>
            <w:top w:w="0" w:type="dxa"/>
            <w:left w:w="108" w:type="dxa"/>
            <w:bottom w:w="0" w:type="dxa"/>
            <w:right w:w="108" w:type="dxa"/>
          </w:tblCellMar>
        </w:tblPrEx>
        <w:trPr>
          <w:trHeight w:val="814" w:hRule="atLeast"/>
        </w:trPr>
        <w:tc>
          <w:tcPr>
            <w:tcW w:w="1418" w:type="dxa"/>
            <w:tcBorders>
              <w:top w:val="single" w:color="auto" w:sz="4" w:space="0"/>
              <w:left w:val="single" w:color="auto" w:sz="4" w:space="0"/>
              <w:bottom w:val="single" w:color="auto" w:sz="4" w:space="0"/>
              <w:right w:val="single" w:color="auto" w:sz="4" w:space="0"/>
            </w:tcBorders>
            <w:vAlign w:val="center"/>
          </w:tcPr>
          <w:p w14:paraId="4B2BA1D6">
            <w:pPr>
              <w:keepLines w:val="0"/>
              <w:pageBreakBefore w:val="0"/>
              <w:widowControl w:val="0"/>
              <w:kinsoku/>
              <w:overflowPunct/>
              <w:topLinePunct w:val="0"/>
              <w:autoSpaceDE/>
              <w:autoSpaceDN/>
              <w:bidi w:val="0"/>
              <w:adjustRightInd/>
              <w:jc w:val="center"/>
              <w:textAlignment w:val="auto"/>
              <w:rPr>
                <w:rFonts w:hint="default" w:ascii="Times New Roman" w:hAnsi="Times New Roman" w:cs="Times New Roman"/>
                <w:kern w:val="0"/>
                <w:sz w:val="20"/>
                <w:szCs w:val="20"/>
              </w:rPr>
            </w:pPr>
            <w:r>
              <w:rPr>
                <w:rFonts w:hint="default" w:ascii="Times New Roman" w:hAnsi="Times New Roman" w:cs="Times New Roman"/>
                <w:kern w:val="0"/>
                <w:sz w:val="20"/>
                <w:szCs w:val="20"/>
              </w:rPr>
              <w:t>北斗/GPS功能</w:t>
            </w:r>
          </w:p>
        </w:tc>
        <w:tc>
          <w:tcPr>
            <w:tcW w:w="2659" w:type="dxa"/>
            <w:gridSpan w:val="2"/>
            <w:tcBorders>
              <w:top w:val="single" w:color="auto" w:sz="4" w:space="0"/>
              <w:left w:val="single" w:color="auto" w:sz="4" w:space="0"/>
              <w:bottom w:val="single" w:color="auto" w:sz="4" w:space="0"/>
              <w:right w:val="single" w:color="auto" w:sz="4" w:space="0"/>
            </w:tcBorders>
            <w:vAlign w:val="center"/>
          </w:tcPr>
          <w:p w14:paraId="0D0C6DC8">
            <w:pPr>
              <w:keepLines w:val="0"/>
              <w:pageBreakBefore w:val="0"/>
              <w:widowControl w:val="0"/>
              <w:kinsoku/>
              <w:overflowPunct/>
              <w:topLinePunct w:val="0"/>
              <w:autoSpaceDE/>
              <w:autoSpaceDN/>
              <w:bidi w:val="0"/>
              <w:adjustRightInd/>
              <w:jc w:val="both"/>
              <w:textAlignment w:val="auto"/>
              <w:rPr>
                <w:rFonts w:hint="default" w:ascii="Times New Roman" w:hAnsi="Times New Roman" w:cs="Times New Roman"/>
                <w:kern w:val="0"/>
                <w:sz w:val="20"/>
                <w:szCs w:val="20"/>
              </w:rPr>
            </w:pPr>
            <w:r>
              <w:rPr>
                <w:rFonts w:hint="default" w:ascii="Times New Roman" w:hAnsi="Times New Roman" w:cs="Times New Roman"/>
                <w:color w:val="000000"/>
                <w:kern w:val="0"/>
                <w:sz w:val="20"/>
                <w:szCs w:val="20"/>
              </w:rPr>
              <w:t>调度台在电子地图上显示终端的实时位置（调度台）</w:t>
            </w:r>
          </w:p>
        </w:tc>
        <w:tc>
          <w:tcPr>
            <w:tcW w:w="4546" w:type="dxa"/>
            <w:tcBorders>
              <w:top w:val="single" w:color="auto" w:sz="4" w:space="0"/>
              <w:left w:val="single" w:color="auto" w:sz="4" w:space="0"/>
              <w:bottom w:val="single" w:color="auto" w:sz="4" w:space="0"/>
              <w:right w:val="single" w:color="auto" w:sz="4" w:space="0"/>
            </w:tcBorders>
            <w:vAlign w:val="center"/>
          </w:tcPr>
          <w:p w14:paraId="0D6C2EBB">
            <w:pPr>
              <w:keepLines w:val="0"/>
              <w:pageBreakBefore w:val="0"/>
              <w:widowControl w:val="0"/>
              <w:kinsoku/>
              <w:overflowPunct/>
              <w:topLinePunct w:val="0"/>
              <w:autoSpaceDE/>
              <w:autoSpaceDN/>
              <w:bidi w:val="0"/>
              <w:adjustRightInd/>
              <w:ind w:firstLine="400" w:firstLineChars="200"/>
              <w:jc w:val="both"/>
              <w:textAlignment w:val="auto"/>
              <w:rPr>
                <w:rFonts w:hint="default" w:ascii="Times New Roman" w:hAnsi="Times New Roman" w:cs="Times New Roman"/>
                <w:kern w:val="0"/>
                <w:sz w:val="20"/>
                <w:szCs w:val="20"/>
              </w:rPr>
            </w:pPr>
            <w:r>
              <w:rPr>
                <w:rFonts w:hint="default" w:ascii="Times New Roman" w:hAnsi="Times New Roman" w:cs="Times New Roman"/>
                <w:kern w:val="0"/>
                <w:sz w:val="20"/>
                <w:szCs w:val="20"/>
              </w:rPr>
              <w:t>通过调度台查看终端实时定位并查询到历史轨迹</w:t>
            </w:r>
          </w:p>
        </w:tc>
        <w:tc>
          <w:tcPr>
            <w:tcW w:w="1155" w:type="dxa"/>
            <w:tcBorders>
              <w:top w:val="single" w:color="auto" w:sz="4" w:space="0"/>
              <w:left w:val="single" w:color="auto" w:sz="4" w:space="0"/>
              <w:bottom w:val="single" w:color="auto" w:sz="4" w:space="0"/>
              <w:right w:val="single" w:color="auto" w:sz="4" w:space="0"/>
            </w:tcBorders>
            <w:vAlign w:val="center"/>
          </w:tcPr>
          <w:p w14:paraId="1FCE3028">
            <w:pPr>
              <w:keepLines w:val="0"/>
              <w:pageBreakBefore w:val="0"/>
              <w:widowControl w:val="0"/>
              <w:kinsoku/>
              <w:overflowPunct/>
              <w:topLinePunct w:val="0"/>
              <w:autoSpaceDE/>
              <w:autoSpaceDN/>
              <w:bidi w:val="0"/>
              <w:adjustRightInd/>
              <w:ind w:firstLine="400" w:firstLineChars="200"/>
              <w:jc w:val="both"/>
              <w:textAlignment w:val="auto"/>
              <w:rPr>
                <w:rFonts w:hint="default" w:ascii="Times New Roman" w:hAnsi="Times New Roman" w:cs="Times New Roman"/>
                <w:kern w:val="0"/>
                <w:sz w:val="20"/>
                <w:szCs w:val="20"/>
              </w:rPr>
            </w:pPr>
            <w:r>
              <w:rPr>
                <w:rFonts w:hint="default" w:ascii="Times New Roman" w:hAnsi="Times New Roman" w:cs="Times New Roman"/>
                <w:kern w:val="0"/>
                <w:sz w:val="20"/>
                <w:szCs w:val="20"/>
              </w:rPr>
              <w:t>远程</w:t>
            </w:r>
          </w:p>
        </w:tc>
      </w:tr>
      <w:tr w14:paraId="484B4158">
        <w:tblPrEx>
          <w:tblCellMar>
            <w:top w:w="0" w:type="dxa"/>
            <w:left w:w="108" w:type="dxa"/>
            <w:bottom w:w="0" w:type="dxa"/>
            <w:right w:w="108" w:type="dxa"/>
          </w:tblCellMar>
        </w:tblPrEx>
        <w:trPr>
          <w:trHeight w:val="960" w:hRule="atLeast"/>
        </w:trPr>
        <w:tc>
          <w:tcPr>
            <w:tcW w:w="1418" w:type="dxa"/>
            <w:tcBorders>
              <w:top w:val="single" w:color="auto" w:sz="4" w:space="0"/>
              <w:left w:val="single" w:color="auto" w:sz="4" w:space="0"/>
              <w:bottom w:val="single" w:color="auto" w:sz="4" w:space="0"/>
              <w:right w:val="single" w:color="auto" w:sz="4" w:space="0"/>
            </w:tcBorders>
            <w:vAlign w:val="center"/>
          </w:tcPr>
          <w:p w14:paraId="6E42CA63">
            <w:pPr>
              <w:keepLines w:val="0"/>
              <w:pageBreakBefore w:val="0"/>
              <w:widowControl w:val="0"/>
              <w:kinsoku/>
              <w:overflowPunct/>
              <w:topLinePunct w:val="0"/>
              <w:autoSpaceDE/>
              <w:autoSpaceDN/>
              <w:bidi w:val="0"/>
              <w:adjustRightInd/>
              <w:jc w:val="center"/>
              <w:textAlignment w:val="auto"/>
              <w:rPr>
                <w:rFonts w:hint="default" w:ascii="Times New Roman" w:hAnsi="Times New Roman" w:cs="Times New Roman"/>
                <w:kern w:val="0"/>
                <w:sz w:val="20"/>
                <w:szCs w:val="20"/>
              </w:rPr>
            </w:pPr>
            <w:r>
              <w:rPr>
                <w:rFonts w:hint="default" w:ascii="Times New Roman" w:hAnsi="Times New Roman" w:cs="Times New Roman"/>
                <w:color w:val="000000"/>
                <w:kern w:val="0"/>
                <w:sz w:val="20"/>
                <w:szCs w:val="20"/>
              </w:rPr>
              <w:t>广播</w:t>
            </w:r>
          </w:p>
        </w:tc>
        <w:tc>
          <w:tcPr>
            <w:tcW w:w="2659" w:type="dxa"/>
            <w:gridSpan w:val="2"/>
            <w:tcBorders>
              <w:top w:val="single" w:color="auto" w:sz="4" w:space="0"/>
              <w:left w:val="single" w:color="auto" w:sz="4" w:space="0"/>
              <w:bottom w:val="single" w:color="auto" w:sz="4" w:space="0"/>
              <w:right w:val="single" w:color="auto" w:sz="4" w:space="0"/>
            </w:tcBorders>
            <w:vAlign w:val="center"/>
          </w:tcPr>
          <w:p w14:paraId="6193FD38">
            <w:pPr>
              <w:keepLines w:val="0"/>
              <w:pageBreakBefore w:val="0"/>
              <w:widowControl w:val="0"/>
              <w:kinsoku/>
              <w:overflowPunct/>
              <w:topLinePunct w:val="0"/>
              <w:autoSpaceDE/>
              <w:autoSpaceDN/>
              <w:bidi w:val="0"/>
              <w:adjustRightInd/>
              <w:jc w:val="both"/>
              <w:textAlignment w:val="auto"/>
              <w:rPr>
                <w:rFonts w:hint="default" w:ascii="Times New Roman" w:hAnsi="Times New Roman" w:cs="Times New Roman"/>
                <w:kern w:val="0"/>
                <w:sz w:val="20"/>
                <w:szCs w:val="20"/>
              </w:rPr>
            </w:pPr>
            <w:r>
              <w:rPr>
                <w:rFonts w:hint="default" w:ascii="Times New Roman" w:hAnsi="Times New Roman" w:cs="Times New Roman"/>
                <w:color w:val="000000"/>
                <w:kern w:val="0"/>
                <w:sz w:val="20"/>
                <w:szCs w:val="20"/>
              </w:rPr>
              <w:t>调度台可对组发起广播，组内成员可收听调度台话音</w:t>
            </w:r>
            <w:r>
              <w:rPr>
                <w:rFonts w:hint="default" w:ascii="Times New Roman" w:hAnsi="Times New Roman" w:cs="Times New Roman"/>
                <w:kern w:val="0"/>
                <w:sz w:val="20"/>
                <w:szCs w:val="20"/>
              </w:rPr>
              <w:t>（调度台）</w:t>
            </w:r>
          </w:p>
        </w:tc>
        <w:tc>
          <w:tcPr>
            <w:tcW w:w="4546" w:type="dxa"/>
            <w:tcBorders>
              <w:top w:val="single" w:color="auto" w:sz="4" w:space="0"/>
              <w:left w:val="single" w:color="auto" w:sz="4" w:space="0"/>
              <w:bottom w:val="single" w:color="auto" w:sz="4" w:space="0"/>
              <w:right w:val="single" w:color="auto" w:sz="4" w:space="0"/>
            </w:tcBorders>
            <w:vAlign w:val="center"/>
          </w:tcPr>
          <w:p w14:paraId="2A0968E3">
            <w:pPr>
              <w:keepLines w:val="0"/>
              <w:pageBreakBefore w:val="0"/>
              <w:widowControl w:val="0"/>
              <w:kinsoku/>
              <w:overflowPunct/>
              <w:topLinePunct w:val="0"/>
              <w:autoSpaceDE/>
              <w:autoSpaceDN/>
              <w:bidi w:val="0"/>
              <w:adjustRightInd/>
              <w:ind w:firstLine="400" w:firstLineChars="200"/>
              <w:jc w:val="both"/>
              <w:textAlignment w:val="auto"/>
              <w:rPr>
                <w:rFonts w:hint="default" w:ascii="Times New Roman" w:hAnsi="Times New Roman" w:cs="Times New Roman"/>
                <w:color w:val="000000"/>
                <w:kern w:val="0"/>
                <w:sz w:val="20"/>
                <w:szCs w:val="20"/>
              </w:rPr>
            </w:pPr>
            <w:r>
              <w:rPr>
                <w:rFonts w:hint="default" w:ascii="Times New Roman" w:hAnsi="Times New Roman" w:cs="Times New Roman"/>
                <w:kern w:val="0"/>
                <w:sz w:val="20"/>
                <w:szCs w:val="20"/>
              </w:rPr>
              <w:t>通过调度台打开麦克风进行语音广播</w:t>
            </w:r>
          </w:p>
        </w:tc>
        <w:tc>
          <w:tcPr>
            <w:tcW w:w="1155" w:type="dxa"/>
            <w:tcBorders>
              <w:top w:val="single" w:color="auto" w:sz="4" w:space="0"/>
              <w:left w:val="single" w:color="auto" w:sz="4" w:space="0"/>
              <w:bottom w:val="single" w:color="auto" w:sz="4" w:space="0"/>
              <w:right w:val="single" w:color="auto" w:sz="4" w:space="0"/>
            </w:tcBorders>
            <w:vAlign w:val="center"/>
          </w:tcPr>
          <w:p w14:paraId="3B52FB7A">
            <w:pPr>
              <w:keepLines w:val="0"/>
              <w:pageBreakBefore w:val="0"/>
              <w:widowControl w:val="0"/>
              <w:kinsoku/>
              <w:overflowPunct/>
              <w:topLinePunct w:val="0"/>
              <w:autoSpaceDE/>
              <w:autoSpaceDN/>
              <w:bidi w:val="0"/>
              <w:adjustRightInd/>
              <w:ind w:firstLine="400" w:firstLineChars="200"/>
              <w:jc w:val="both"/>
              <w:textAlignment w:val="auto"/>
              <w:rPr>
                <w:rFonts w:hint="default" w:ascii="Times New Roman" w:hAnsi="Times New Roman" w:cs="Times New Roman"/>
                <w:kern w:val="0"/>
                <w:sz w:val="20"/>
                <w:szCs w:val="20"/>
              </w:rPr>
            </w:pPr>
            <w:r>
              <w:rPr>
                <w:rFonts w:hint="default" w:ascii="Times New Roman" w:hAnsi="Times New Roman" w:cs="Times New Roman"/>
                <w:kern w:val="0"/>
                <w:sz w:val="20"/>
                <w:szCs w:val="20"/>
              </w:rPr>
              <w:t>远程</w:t>
            </w:r>
          </w:p>
        </w:tc>
      </w:tr>
      <w:tr w14:paraId="74198DFB">
        <w:tblPrEx>
          <w:tblCellMar>
            <w:top w:w="0" w:type="dxa"/>
            <w:left w:w="108" w:type="dxa"/>
            <w:bottom w:w="0" w:type="dxa"/>
            <w:right w:w="108" w:type="dxa"/>
          </w:tblCellMar>
        </w:tblPrEx>
        <w:trPr>
          <w:trHeight w:val="960" w:hRule="atLeast"/>
        </w:trPr>
        <w:tc>
          <w:tcPr>
            <w:tcW w:w="1418" w:type="dxa"/>
            <w:tcBorders>
              <w:top w:val="single" w:color="auto" w:sz="4" w:space="0"/>
              <w:left w:val="single" w:color="auto" w:sz="4" w:space="0"/>
              <w:bottom w:val="single" w:color="auto" w:sz="4" w:space="0"/>
              <w:right w:val="single" w:color="auto" w:sz="4" w:space="0"/>
            </w:tcBorders>
            <w:vAlign w:val="center"/>
          </w:tcPr>
          <w:p w14:paraId="7F88098A">
            <w:pPr>
              <w:keepLines w:val="0"/>
              <w:pageBreakBefore w:val="0"/>
              <w:widowControl w:val="0"/>
              <w:kinsoku/>
              <w:overflowPunct/>
              <w:topLinePunct w:val="0"/>
              <w:autoSpaceDE/>
              <w:autoSpaceDN/>
              <w:bidi w:val="0"/>
              <w:adjustRightInd/>
              <w:jc w:val="center"/>
              <w:textAlignment w:val="auto"/>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SOS紧急呼叫求</w:t>
            </w:r>
          </w:p>
        </w:tc>
        <w:tc>
          <w:tcPr>
            <w:tcW w:w="2659" w:type="dxa"/>
            <w:gridSpan w:val="2"/>
            <w:tcBorders>
              <w:top w:val="single" w:color="auto" w:sz="4" w:space="0"/>
              <w:left w:val="single" w:color="auto" w:sz="4" w:space="0"/>
              <w:bottom w:val="single" w:color="auto" w:sz="4" w:space="0"/>
              <w:right w:val="single" w:color="auto" w:sz="4" w:space="0"/>
            </w:tcBorders>
            <w:vAlign w:val="center"/>
          </w:tcPr>
          <w:p w14:paraId="276FEA21">
            <w:pPr>
              <w:keepLines w:val="0"/>
              <w:pageBreakBefore w:val="0"/>
              <w:widowControl w:val="0"/>
              <w:numPr>
                <w:ilvl w:val="0"/>
                <w:numId w:val="0"/>
              </w:numPr>
              <w:kinsoku/>
              <w:overflowPunct/>
              <w:topLinePunct w:val="0"/>
              <w:autoSpaceDE/>
              <w:autoSpaceDN/>
              <w:bidi w:val="0"/>
              <w:adjustRightInd/>
              <w:jc w:val="both"/>
              <w:textAlignment w:val="auto"/>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lang w:val="en-US" w:eastAsia="zh-CN"/>
              </w:rPr>
              <w:t>1.</w:t>
            </w:r>
            <w:r>
              <w:rPr>
                <w:rFonts w:hint="default" w:ascii="Times New Roman" w:hAnsi="Times New Roman" w:cs="Times New Roman"/>
                <w:color w:val="000000"/>
                <w:kern w:val="0"/>
                <w:sz w:val="20"/>
                <w:szCs w:val="20"/>
              </w:rPr>
              <w:t>终端按下SOS键（终端）</w:t>
            </w:r>
          </w:p>
          <w:p w14:paraId="5754408C">
            <w:pPr>
              <w:keepLines w:val="0"/>
              <w:pageBreakBefore w:val="0"/>
              <w:widowControl w:val="0"/>
              <w:numPr>
                <w:ilvl w:val="0"/>
                <w:numId w:val="0"/>
              </w:numPr>
              <w:kinsoku/>
              <w:overflowPunct/>
              <w:topLinePunct w:val="0"/>
              <w:autoSpaceDE/>
              <w:autoSpaceDN/>
              <w:bidi w:val="0"/>
              <w:adjustRightInd/>
              <w:jc w:val="both"/>
              <w:textAlignment w:val="auto"/>
              <w:rPr>
                <w:rFonts w:hint="default" w:ascii="Times New Roman" w:hAnsi="Times New Roman" w:cs="Times New Roman"/>
                <w:kern w:val="0"/>
                <w:sz w:val="20"/>
                <w:szCs w:val="20"/>
              </w:rPr>
            </w:pPr>
            <w:r>
              <w:rPr>
                <w:rFonts w:hint="default" w:ascii="Times New Roman" w:hAnsi="Times New Roman" w:cs="Times New Roman"/>
                <w:color w:val="000000"/>
                <w:kern w:val="0"/>
                <w:sz w:val="20"/>
                <w:szCs w:val="20"/>
                <w:lang w:val="en-US" w:eastAsia="zh-CN"/>
              </w:rPr>
              <w:t>2.</w:t>
            </w:r>
            <w:r>
              <w:rPr>
                <w:rFonts w:hint="default" w:ascii="Times New Roman" w:hAnsi="Times New Roman" w:cs="Times New Roman"/>
                <w:color w:val="000000"/>
                <w:kern w:val="0"/>
                <w:sz w:val="20"/>
                <w:szCs w:val="20"/>
              </w:rPr>
              <w:t>调度台界面上显示SOS告警信息（调度台）</w:t>
            </w:r>
          </w:p>
        </w:tc>
        <w:tc>
          <w:tcPr>
            <w:tcW w:w="4546" w:type="dxa"/>
            <w:tcBorders>
              <w:top w:val="single" w:color="auto" w:sz="4" w:space="0"/>
              <w:left w:val="single" w:color="auto" w:sz="4" w:space="0"/>
              <w:bottom w:val="single" w:color="auto" w:sz="4" w:space="0"/>
              <w:right w:val="single" w:color="auto" w:sz="4" w:space="0"/>
            </w:tcBorders>
            <w:vAlign w:val="center"/>
          </w:tcPr>
          <w:p w14:paraId="3089B50E">
            <w:pPr>
              <w:keepLines w:val="0"/>
              <w:pageBreakBefore w:val="0"/>
              <w:widowControl w:val="0"/>
              <w:kinsoku/>
              <w:overflowPunct/>
              <w:topLinePunct w:val="0"/>
              <w:autoSpaceDE/>
              <w:autoSpaceDN/>
              <w:bidi w:val="0"/>
              <w:adjustRightInd/>
              <w:ind w:firstLine="400" w:firstLineChars="200"/>
              <w:jc w:val="both"/>
              <w:textAlignment w:val="auto"/>
              <w:rPr>
                <w:rFonts w:hint="default" w:ascii="Times New Roman" w:hAnsi="Times New Roman" w:cs="Times New Roman"/>
                <w:color w:val="000000"/>
                <w:kern w:val="0"/>
                <w:sz w:val="20"/>
                <w:szCs w:val="20"/>
              </w:rPr>
            </w:pPr>
            <w:r>
              <w:rPr>
                <w:rFonts w:hint="default" w:ascii="Times New Roman" w:hAnsi="Times New Roman" w:cs="Times New Roman"/>
                <w:kern w:val="0"/>
                <w:sz w:val="20"/>
                <w:szCs w:val="20"/>
              </w:rPr>
              <w:t>通过调度台显示终端SOS信息，点入直接进入视音屏页面；</w:t>
            </w:r>
          </w:p>
        </w:tc>
        <w:tc>
          <w:tcPr>
            <w:tcW w:w="1155" w:type="dxa"/>
            <w:tcBorders>
              <w:top w:val="single" w:color="auto" w:sz="4" w:space="0"/>
              <w:left w:val="single" w:color="auto" w:sz="4" w:space="0"/>
              <w:bottom w:val="single" w:color="auto" w:sz="4" w:space="0"/>
              <w:right w:val="single" w:color="auto" w:sz="4" w:space="0"/>
            </w:tcBorders>
            <w:vAlign w:val="center"/>
          </w:tcPr>
          <w:p w14:paraId="4EE965C6">
            <w:pPr>
              <w:keepLines w:val="0"/>
              <w:pageBreakBefore w:val="0"/>
              <w:widowControl w:val="0"/>
              <w:kinsoku/>
              <w:overflowPunct/>
              <w:topLinePunct w:val="0"/>
              <w:autoSpaceDE/>
              <w:autoSpaceDN/>
              <w:bidi w:val="0"/>
              <w:adjustRightInd/>
              <w:ind w:firstLine="400" w:firstLineChars="200"/>
              <w:jc w:val="both"/>
              <w:textAlignment w:val="auto"/>
              <w:rPr>
                <w:rFonts w:hint="default" w:ascii="Times New Roman" w:hAnsi="Times New Roman" w:cs="Times New Roman"/>
                <w:kern w:val="0"/>
                <w:sz w:val="20"/>
                <w:szCs w:val="20"/>
              </w:rPr>
            </w:pPr>
            <w:r>
              <w:rPr>
                <w:rFonts w:hint="default" w:ascii="Times New Roman" w:hAnsi="Times New Roman" w:cs="Times New Roman"/>
                <w:kern w:val="0"/>
                <w:sz w:val="20"/>
                <w:szCs w:val="20"/>
              </w:rPr>
              <w:t>远程</w:t>
            </w:r>
          </w:p>
        </w:tc>
      </w:tr>
      <w:tr w14:paraId="1BA32F89">
        <w:tblPrEx>
          <w:tblCellMar>
            <w:top w:w="0" w:type="dxa"/>
            <w:left w:w="108" w:type="dxa"/>
            <w:bottom w:w="0" w:type="dxa"/>
            <w:right w:w="108" w:type="dxa"/>
          </w:tblCellMar>
        </w:tblPrEx>
        <w:trPr>
          <w:trHeight w:val="960" w:hRule="atLeast"/>
        </w:trPr>
        <w:tc>
          <w:tcPr>
            <w:tcW w:w="1418" w:type="dxa"/>
            <w:tcBorders>
              <w:top w:val="single" w:color="auto" w:sz="4" w:space="0"/>
              <w:left w:val="single" w:color="auto" w:sz="4" w:space="0"/>
              <w:bottom w:val="single" w:color="auto" w:sz="4" w:space="0"/>
              <w:right w:val="single" w:color="auto" w:sz="4" w:space="0"/>
            </w:tcBorders>
            <w:vAlign w:val="center"/>
          </w:tcPr>
          <w:p w14:paraId="2FF03BEA">
            <w:pPr>
              <w:keepLines w:val="0"/>
              <w:pageBreakBefore w:val="0"/>
              <w:widowControl w:val="0"/>
              <w:kinsoku/>
              <w:overflowPunct/>
              <w:topLinePunct w:val="0"/>
              <w:autoSpaceDE/>
              <w:autoSpaceDN/>
              <w:bidi w:val="0"/>
              <w:adjustRightInd/>
              <w:jc w:val="center"/>
              <w:textAlignment w:val="auto"/>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电子围栏</w:t>
            </w:r>
          </w:p>
        </w:tc>
        <w:tc>
          <w:tcPr>
            <w:tcW w:w="2659" w:type="dxa"/>
            <w:gridSpan w:val="2"/>
            <w:tcBorders>
              <w:top w:val="single" w:color="auto" w:sz="4" w:space="0"/>
              <w:left w:val="single" w:color="auto" w:sz="4" w:space="0"/>
              <w:bottom w:val="single" w:color="auto" w:sz="4" w:space="0"/>
              <w:right w:val="single" w:color="auto" w:sz="4" w:space="0"/>
            </w:tcBorders>
            <w:vAlign w:val="center"/>
          </w:tcPr>
          <w:p w14:paraId="4FEC11E4">
            <w:pPr>
              <w:keepLines w:val="0"/>
              <w:pageBreakBefore w:val="0"/>
              <w:widowControl w:val="0"/>
              <w:numPr>
                <w:ilvl w:val="0"/>
                <w:numId w:val="0"/>
              </w:numPr>
              <w:kinsoku/>
              <w:overflowPunct/>
              <w:topLinePunct w:val="0"/>
              <w:autoSpaceDE/>
              <w:autoSpaceDN/>
              <w:bidi w:val="0"/>
              <w:adjustRightInd/>
              <w:jc w:val="both"/>
              <w:textAlignment w:val="auto"/>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lang w:val="en-US" w:eastAsia="zh-CN"/>
              </w:rPr>
              <w:t>1.</w:t>
            </w:r>
            <w:r>
              <w:rPr>
                <w:rFonts w:hint="default" w:ascii="Times New Roman" w:hAnsi="Times New Roman" w:cs="Times New Roman"/>
                <w:color w:val="000000"/>
                <w:kern w:val="0"/>
                <w:sz w:val="20"/>
                <w:szCs w:val="20"/>
              </w:rPr>
              <w:t>地图上圈定一定的范围设置围栏（调度台）</w:t>
            </w:r>
          </w:p>
          <w:p w14:paraId="530FE065">
            <w:pPr>
              <w:keepLines w:val="0"/>
              <w:pageBreakBefore w:val="0"/>
              <w:widowControl w:val="0"/>
              <w:numPr>
                <w:ilvl w:val="0"/>
                <w:numId w:val="0"/>
              </w:numPr>
              <w:kinsoku/>
              <w:overflowPunct/>
              <w:topLinePunct w:val="0"/>
              <w:autoSpaceDE/>
              <w:autoSpaceDN/>
              <w:bidi w:val="0"/>
              <w:adjustRightInd/>
              <w:jc w:val="both"/>
              <w:textAlignment w:val="auto"/>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lang w:val="en-US" w:eastAsia="zh-CN"/>
              </w:rPr>
              <w:t>2.</w:t>
            </w:r>
            <w:r>
              <w:rPr>
                <w:rFonts w:hint="default" w:ascii="Times New Roman" w:hAnsi="Times New Roman" w:cs="Times New Roman"/>
                <w:color w:val="000000"/>
                <w:kern w:val="0"/>
                <w:sz w:val="20"/>
                <w:szCs w:val="20"/>
              </w:rPr>
              <w:t>设置终端进围栏警告</w:t>
            </w:r>
          </w:p>
          <w:p w14:paraId="72B0BB50">
            <w:pPr>
              <w:keepLines w:val="0"/>
              <w:pageBreakBefore w:val="0"/>
              <w:widowControl w:val="0"/>
              <w:numPr>
                <w:ilvl w:val="0"/>
                <w:numId w:val="0"/>
              </w:numPr>
              <w:kinsoku/>
              <w:overflowPunct/>
              <w:topLinePunct w:val="0"/>
              <w:autoSpaceDE/>
              <w:autoSpaceDN/>
              <w:bidi w:val="0"/>
              <w:adjustRightInd/>
              <w:jc w:val="both"/>
              <w:textAlignment w:val="auto"/>
              <w:rPr>
                <w:rFonts w:hint="default" w:ascii="Times New Roman" w:hAnsi="Times New Roman" w:cs="Times New Roman"/>
                <w:kern w:val="0"/>
                <w:sz w:val="20"/>
                <w:szCs w:val="20"/>
              </w:rPr>
            </w:pPr>
            <w:r>
              <w:rPr>
                <w:rFonts w:hint="default" w:ascii="Times New Roman" w:hAnsi="Times New Roman" w:cs="Times New Roman"/>
                <w:color w:val="000000"/>
                <w:kern w:val="0"/>
                <w:sz w:val="20"/>
                <w:szCs w:val="20"/>
                <w:lang w:val="en-US" w:eastAsia="zh-CN"/>
              </w:rPr>
              <w:t>3.</w:t>
            </w:r>
            <w:r>
              <w:rPr>
                <w:rFonts w:hint="default" w:ascii="Times New Roman" w:hAnsi="Times New Roman" w:cs="Times New Roman"/>
                <w:color w:val="000000"/>
                <w:kern w:val="0"/>
                <w:sz w:val="20"/>
                <w:szCs w:val="20"/>
              </w:rPr>
              <w:t>设置终端出围栏警告</w:t>
            </w:r>
          </w:p>
        </w:tc>
        <w:tc>
          <w:tcPr>
            <w:tcW w:w="4546" w:type="dxa"/>
            <w:tcBorders>
              <w:top w:val="single" w:color="auto" w:sz="4" w:space="0"/>
              <w:left w:val="single" w:color="auto" w:sz="4" w:space="0"/>
              <w:bottom w:val="single" w:color="auto" w:sz="4" w:space="0"/>
              <w:right w:val="single" w:color="auto" w:sz="4" w:space="0"/>
            </w:tcBorders>
            <w:vAlign w:val="center"/>
          </w:tcPr>
          <w:p w14:paraId="133E184F">
            <w:pPr>
              <w:keepLines w:val="0"/>
              <w:pageBreakBefore w:val="0"/>
              <w:widowControl w:val="0"/>
              <w:kinsoku/>
              <w:overflowPunct/>
              <w:topLinePunct w:val="0"/>
              <w:autoSpaceDE/>
              <w:autoSpaceDN/>
              <w:bidi w:val="0"/>
              <w:adjustRightInd/>
              <w:ind w:firstLine="400" w:firstLineChars="200"/>
              <w:jc w:val="both"/>
              <w:textAlignment w:val="auto"/>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通过平台在地图上圈定一定的范围设置围栏后，对进入围栏或离开围栏用户进行位置告警</w:t>
            </w:r>
            <w:r>
              <w:rPr>
                <w:rFonts w:hint="default" w:ascii="Times New Roman" w:hAnsi="Times New Roman" w:cs="Times New Roman"/>
                <w:kern w:val="0"/>
                <w:sz w:val="20"/>
                <w:szCs w:val="20"/>
              </w:rPr>
              <w:t>；维护</w:t>
            </w:r>
          </w:p>
        </w:tc>
        <w:tc>
          <w:tcPr>
            <w:tcW w:w="1155" w:type="dxa"/>
            <w:tcBorders>
              <w:top w:val="single" w:color="auto" w:sz="4" w:space="0"/>
              <w:left w:val="single" w:color="auto" w:sz="4" w:space="0"/>
              <w:bottom w:val="single" w:color="auto" w:sz="4" w:space="0"/>
              <w:right w:val="single" w:color="auto" w:sz="4" w:space="0"/>
            </w:tcBorders>
            <w:vAlign w:val="center"/>
          </w:tcPr>
          <w:p w14:paraId="03188EB3">
            <w:pPr>
              <w:keepLines w:val="0"/>
              <w:pageBreakBefore w:val="0"/>
              <w:widowControl w:val="0"/>
              <w:kinsoku/>
              <w:overflowPunct/>
              <w:topLinePunct w:val="0"/>
              <w:autoSpaceDE/>
              <w:autoSpaceDN/>
              <w:bidi w:val="0"/>
              <w:adjustRightInd/>
              <w:ind w:firstLine="400" w:firstLineChars="200"/>
              <w:jc w:val="both"/>
              <w:textAlignment w:val="auto"/>
              <w:rPr>
                <w:rFonts w:hint="default" w:ascii="Times New Roman" w:hAnsi="Times New Roman" w:cs="Times New Roman"/>
                <w:kern w:val="0"/>
                <w:sz w:val="20"/>
                <w:szCs w:val="20"/>
              </w:rPr>
            </w:pPr>
            <w:r>
              <w:rPr>
                <w:rFonts w:hint="default" w:ascii="Times New Roman" w:hAnsi="Times New Roman" w:cs="Times New Roman"/>
                <w:kern w:val="0"/>
                <w:sz w:val="20"/>
                <w:szCs w:val="20"/>
              </w:rPr>
              <w:t>远程</w:t>
            </w:r>
          </w:p>
        </w:tc>
      </w:tr>
      <w:tr w14:paraId="79F23248">
        <w:tblPrEx>
          <w:tblCellMar>
            <w:top w:w="0" w:type="dxa"/>
            <w:left w:w="108" w:type="dxa"/>
            <w:bottom w:w="0" w:type="dxa"/>
            <w:right w:w="108" w:type="dxa"/>
          </w:tblCellMar>
        </w:tblPrEx>
        <w:trPr>
          <w:trHeight w:val="960" w:hRule="atLeast"/>
        </w:trPr>
        <w:tc>
          <w:tcPr>
            <w:tcW w:w="1418" w:type="dxa"/>
            <w:tcBorders>
              <w:top w:val="single" w:color="auto" w:sz="4" w:space="0"/>
              <w:left w:val="single" w:color="auto" w:sz="4" w:space="0"/>
              <w:bottom w:val="single" w:color="auto" w:sz="4" w:space="0"/>
              <w:right w:val="single" w:color="auto" w:sz="4" w:space="0"/>
            </w:tcBorders>
            <w:vAlign w:val="center"/>
          </w:tcPr>
          <w:p w14:paraId="59A1210A">
            <w:pPr>
              <w:keepLines w:val="0"/>
              <w:pageBreakBefore w:val="0"/>
              <w:widowControl w:val="0"/>
              <w:kinsoku/>
              <w:overflowPunct/>
              <w:topLinePunct w:val="0"/>
              <w:autoSpaceDE/>
              <w:autoSpaceDN/>
              <w:bidi w:val="0"/>
              <w:adjustRightInd/>
              <w:jc w:val="center"/>
              <w:textAlignment w:val="auto"/>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视频截图与录像</w:t>
            </w:r>
          </w:p>
        </w:tc>
        <w:tc>
          <w:tcPr>
            <w:tcW w:w="2659" w:type="dxa"/>
            <w:gridSpan w:val="2"/>
            <w:tcBorders>
              <w:top w:val="single" w:color="auto" w:sz="4" w:space="0"/>
              <w:left w:val="single" w:color="auto" w:sz="4" w:space="0"/>
              <w:bottom w:val="single" w:color="auto" w:sz="4" w:space="0"/>
              <w:right w:val="single" w:color="auto" w:sz="4" w:space="0"/>
            </w:tcBorders>
            <w:vAlign w:val="center"/>
          </w:tcPr>
          <w:p w14:paraId="6D72AC48">
            <w:pPr>
              <w:keepLines w:val="0"/>
              <w:pageBreakBefore w:val="0"/>
              <w:widowControl w:val="0"/>
              <w:numPr>
                <w:ilvl w:val="0"/>
                <w:numId w:val="0"/>
              </w:numPr>
              <w:kinsoku/>
              <w:overflowPunct/>
              <w:topLinePunct w:val="0"/>
              <w:autoSpaceDE/>
              <w:autoSpaceDN/>
              <w:bidi w:val="0"/>
              <w:adjustRightInd/>
              <w:jc w:val="both"/>
              <w:textAlignment w:val="auto"/>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lang w:val="en-US" w:eastAsia="zh-CN"/>
              </w:rPr>
              <w:t>1.</w:t>
            </w:r>
            <w:r>
              <w:rPr>
                <w:rFonts w:hint="default" w:ascii="Times New Roman" w:hAnsi="Times New Roman" w:cs="Times New Roman"/>
                <w:color w:val="000000"/>
                <w:kern w:val="0"/>
                <w:sz w:val="20"/>
                <w:szCs w:val="20"/>
              </w:rPr>
              <w:t>视频呼叫（调度台）</w:t>
            </w:r>
          </w:p>
          <w:p w14:paraId="2E4AC49D">
            <w:pPr>
              <w:keepLines w:val="0"/>
              <w:pageBreakBefore w:val="0"/>
              <w:widowControl w:val="0"/>
              <w:numPr>
                <w:ilvl w:val="0"/>
                <w:numId w:val="0"/>
              </w:numPr>
              <w:kinsoku/>
              <w:overflowPunct/>
              <w:topLinePunct w:val="0"/>
              <w:autoSpaceDE/>
              <w:autoSpaceDN/>
              <w:bidi w:val="0"/>
              <w:adjustRightInd/>
              <w:jc w:val="both"/>
              <w:textAlignment w:val="auto"/>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lang w:val="en-US" w:eastAsia="zh-CN"/>
              </w:rPr>
              <w:t>2.</w:t>
            </w:r>
            <w:r>
              <w:rPr>
                <w:rFonts w:hint="default" w:ascii="Times New Roman" w:hAnsi="Times New Roman" w:cs="Times New Roman"/>
                <w:color w:val="000000"/>
                <w:kern w:val="0"/>
                <w:sz w:val="20"/>
                <w:szCs w:val="20"/>
              </w:rPr>
              <w:t>截图保存终端实时画面</w:t>
            </w:r>
          </w:p>
          <w:p w14:paraId="34DF502F">
            <w:pPr>
              <w:keepLines w:val="0"/>
              <w:pageBreakBefore w:val="0"/>
              <w:widowControl w:val="0"/>
              <w:numPr>
                <w:ilvl w:val="0"/>
                <w:numId w:val="0"/>
              </w:numPr>
              <w:kinsoku/>
              <w:overflowPunct/>
              <w:topLinePunct w:val="0"/>
              <w:autoSpaceDE/>
              <w:autoSpaceDN/>
              <w:bidi w:val="0"/>
              <w:adjustRightInd/>
              <w:jc w:val="both"/>
              <w:textAlignment w:val="auto"/>
              <w:rPr>
                <w:rFonts w:hint="default" w:ascii="Times New Roman" w:hAnsi="Times New Roman" w:cs="Times New Roman"/>
                <w:kern w:val="0"/>
                <w:sz w:val="20"/>
                <w:szCs w:val="20"/>
              </w:rPr>
            </w:pPr>
            <w:r>
              <w:rPr>
                <w:rFonts w:hint="default" w:ascii="Times New Roman" w:hAnsi="Times New Roman" w:cs="Times New Roman"/>
                <w:color w:val="000000"/>
                <w:kern w:val="0"/>
                <w:sz w:val="20"/>
                <w:szCs w:val="20"/>
                <w:lang w:val="en-US" w:eastAsia="zh-CN"/>
              </w:rPr>
              <w:t>3.</w:t>
            </w:r>
            <w:r>
              <w:rPr>
                <w:rFonts w:hint="default" w:ascii="Times New Roman" w:hAnsi="Times New Roman" w:cs="Times New Roman"/>
                <w:color w:val="000000"/>
                <w:kern w:val="0"/>
                <w:sz w:val="20"/>
                <w:szCs w:val="20"/>
              </w:rPr>
              <w:t>录制终端实时画面</w:t>
            </w:r>
          </w:p>
        </w:tc>
        <w:tc>
          <w:tcPr>
            <w:tcW w:w="4546" w:type="dxa"/>
            <w:tcBorders>
              <w:top w:val="single" w:color="auto" w:sz="4" w:space="0"/>
              <w:left w:val="single" w:color="auto" w:sz="4" w:space="0"/>
              <w:bottom w:val="single" w:color="auto" w:sz="4" w:space="0"/>
              <w:right w:val="single" w:color="auto" w:sz="4" w:space="0"/>
            </w:tcBorders>
            <w:vAlign w:val="center"/>
          </w:tcPr>
          <w:p w14:paraId="1C6D42DB">
            <w:pPr>
              <w:keepLines w:val="0"/>
              <w:pageBreakBefore w:val="0"/>
              <w:widowControl w:val="0"/>
              <w:kinsoku/>
              <w:overflowPunct/>
              <w:topLinePunct w:val="0"/>
              <w:autoSpaceDE/>
              <w:autoSpaceDN/>
              <w:bidi w:val="0"/>
              <w:adjustRightInd/>
              <w:ind w:firstLine="400" w:firstLineChars="200"/>
              <w:jc w:val="both"/>
              <w:textAlignment w:val="auto"/>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通过调度平台上实现对实时视频进行截图保存及视频的录制、保存</w:t>
            </w:r>
            <w:r>
              <w:rPr>
                <w:rFonts w:hint="default" w:ascii="Times New Roman" w:hAnsi="Times New Roman" w:cs="Times New Roman"/>
                <w:kern w:val="0"/>
                <w:sz w:val="20"/>
                <w:szCs w:val="20"/>
              </w:rPr>
              <w:t>；维护</w:t>
            </w:r>
            <w:r>
              <w:rPr>
                <w:rFonts w:hint="default" w:ascii="Times New Roman" w:hAnsi="Times New Roman" w:cs="Times New Roman"/>
                <w:color w:val="000000"/>
                <w:kern w:val="0"/>
                <w:sz w:val="20"/>
                <w:szCs w:val="20"/>
              </w:rPr>
              <w:br w:type="textWrapping"/>
            </w:r>
          </w:p>
        </w:tc>
        <w:tc>
          <w:tcPr>
            <w:tcW w:w="1155" w:type="dxa"/>
            <w:tcBorders>
              <w:top w:val="single" w:color="auto" w:sz="4" w:space="0"/>
              <w:left w:val="single" w:color="auto" w:sz="4" w:space="0"/>
              <w:bottom w:val="single" w:color="auto" w:sz="4" w:space="0"/>
              <w:right w:val="single" w:color="auto" w:sz="4" w:space="0"/>
            </w:tcBorders>
            <w:vAlign w:val="center"/>
          </w:tcPr>
          <w:p w14:paraId="3111B13A">
            <w:pPr>
              <w:keepLines w:val="0"/>
              <w:pageBreakBefore w:val="0"/>
              <w:widowControl w:val="0"/>
              <w:kinsoku/>
              <w:overflowPunct/>
              <w:topLinePunct w:val="0"/>
              <w:autoSpaceDE/>
              <w:autoSpaceDN/>
              <w:bidi w:val="0"/>
              <w:adjustRightInd/>
              <w:ind w:firstLine="400" w:firstLineChars="200"/>
              <w:jc w:val="both"/>
              <w:textAlignment w:val="auto"/>
              <w:rPr>
                <w:rFonts w:hint="default" w:ascii="Times New Roman" w:hAnsi="Times New Roman" w:cs="Times New Roman"/>
                <w:color w:val="000000"/>
                <w:kern w:val="0"/>
                <w:sz w:val="20"/>
                <w:szCs w:val="20"/>
              </w:rPr>
            </w:pPr>
            <w:r>
              <w:rPr>
                <w:rFonts w:hint="default" w:ascii="Times New Roman" w:hAnsi="Times New Roman" w:cs="Times New Roman"/>
                <w:kern w:val="0"/>
                <w:sz w:val="20"/>
                <w:szCs w:val="20"/>
              </w:rPr>
              <w:t>远程</w:t>
            </w:r>
          </w:p>
        </w:tc>
      </w:tr>
      <w:tr w14:paraId="0825E785">
        <w:tblPrEx>
          <w:tblCellMar>
            <w:top w:w="0" w:type="dxa"/>
            <w:left w:w="108" w:type="dxa"/>
            <w:bottom w:w="0" w:type="dxa"/>
            <w:right w:w="108" w:type="dxa"/>
          </w:tblCellMar>
        </w:tblPrEx>
        <w:trPr>
          <w:trHeight w:val="917" w:hRule="atLeast"/>
        </w:trPr>
        <w:tc>
          <w:tcPr>
            <w:tcW w:w="1418" w:type="dxa"/>
            <w:tcBorders>
              <w:top w:val="single" w:color="auto" w:sz="4" w:space="0"/>
              <w:left w:val="single" w:color="auto" w:sz="4" w:space="0"/>
              <w:bottom w:val="single" w:color="auto" w:sz="4" w:space="0"/>
              <w:right w:val="single" w:color="auto" w:sz="4" w:space="0"/>
            </w:tcBorders>
            <w:vAlign w:val="center"/>
          </w:tcPr>
          <w:p w14:paraId="29D1796D">
            <w:pPr>
              <w:keepLines w:val="0"/>
              <w:pageBreakBefore w:val="0"/>
              <w:widowControl w:val="0"/>
              <w:kinsoku/>
              <w:overflowPunct/>
              <w:topLinePunct w:val="0"/>
              <w:autoSpaceDE/>
              <w:autoSpaceDN/>
              <w:bidi w:val="0"/>
              <w:adjustRightInd/>
              <w:jc w:val="center"/>
              <w:textAlignment w:val="auto"/>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热区设置</w:t>
            </w:r>
          </w:p>
        </w:tc>
        <w:tc>
          <w:tcPr>
            <w:tcW w:w="2659" w:type="dxa"/>
            <w:gridSpan w:val="2"/>
            <w:tcBorders>
              <w:top w:val="single" w:color="auto" w:sz="4" w:space="0"/>
              <w:left w:val="single" w:color="auto" w:sz="4" w:space="0"/>
              <w:bottom w:val="single" w:color="auto" w:sz="4" w:space="0"/>
              <w:right w:val="single" w:color="auto" w:sz="4" w:space="0"/>
            </w:tcBorders>
            <w:vAlign w:val="center"/>
          </w:tcPr>
          <w:p w14:paraId="51587EF7">
            <w:pPr>
              <w:keepLines w:val="0"/>
              <w:pageBreakBefore w:val="0"/>
              <w:widowControl w:val="0"/>
              <w:numPr>
                <w:ilvl w:val="0"/>
                <w:numId w:val="0"/>
              </w:numPr>
              <w:kinsoku/>
              <w:overflowPunct/>
              <w:topLinePunct w:val="0"/>
              <w:autoSpaceDE/>
              <w:autoSpaceDN/>
              <w:bidi w:val="0"/>
              <w:adjustRightInd/>
              <w:jc w:val="both"/>
              <w:textAlignment w:val="auto"/>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lang w:val="en-US" w:eastAsia="zh-CN"/>
              </w:rPr>
              <w:t>1.</w:t>
            </w:r>
            <w:r>
              <w:rPr>
                <w:rFonts w:hint="default" w:ascii="Times New Roman" w:hAnsi="Times New Roman" w:cs="Times New Roman"/>
                <w:color w:val="000000"/>
                <w:kern w:val="0"/>
                <w:sz w:val="20"/>
                <w:szCs w:val="20"/>
              </w:rPr>
              <w:t>配置管理</w:t>
            </w:r>
          </w:p>
          <w:p w14:paraId="57481E4F">
            <w:pPr>
              <w:keepLines w:val="0"/>
              <w:pageBreakBefore w:val="0"/>
              <w:widowControl w:val="0"/>
              <w:numPr>
                <w:ilvl w:val="0"/>
                <w:numId w:val="0"/>
              </w:numPr>
              <w:kinsoku/>
              <w:overflowPunct/>
              <w:topLinePunct w:val="0"/>
              <w:autoSpaceDE/>
              <w:autoSpaceDN/>
              <w:bidi w:val="0"/>
              <w:adjustRightInd/>
              <w:jc w:val="both"/>
              <w:textAlignment w:val="auto"/>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lang w:val="en-US" w:eastAsia="zh-CN"/>
              </w:rPr>
              <w:t>2.</w:t>
            </w:r>
            <w:r>
              <w:rPr>
                <w:rFonts w:hint="default" w:ascii="Times New Roman" w:hAnsi="Times New Roman" w:cs="Times New Roman"/>
                <w:color w:val="000000"/>
                <w:kern w:val="0"/>
                <w:sz w:val="20"/>
                <w:szCs w:val="20"/>
              </w:rPr>
              <w:t>热区设置</w:t>
            </w:r>
          </w:p>
          <w:p w14:paraId="741FC6CE">
            <w:pPr>
              <w:keepLines w:val="0"/>
              <w:pageBreakBefore w:val="0"/>
              <w:widowControl w:val="0"/>
              <w:numPr>
                <w:ilvl w:val="0"/>
                <w:numId w:val="0"/>
              </w:numPr>
              <w:kinsoku/>
              <w:overflowPunct/>
              <w:topLinePunct w:val="0"/>
              <w:autoSpaceDE/>
              <w:autoSpaceDN/>
              <w:bidi w:val="0"/>
              <w:adjustRightInd/>
              <w:jc w:val="both"/>
              <w:textAlignment w:val="auto"/>
              <w:rPr>
                <w:rFonts w:hint="default" w:ascii="Times New Roman" w:hAnsi="Times New Roman" w:cs="Times New Roman"/>
                <w:kern w:val="0"/>
                <w:sz w:val="20"/>
                <w:szCs w:val="20"/>
              </w:rPr>
            </w:pPr>
            <w:r>
              <w:rPr>
                <w:rFonts w:hint="default" w:ascii="Times New Roman" w:hAnsi="Times New Roman" w:cs="Times New Roman"/>
                <w:color w:val="000000"/>
                <w:kern w:val="0"/>
                <w:sz w:val="20"/>
                <w:szCs w:val="20"/>
                <w:lang w:val="en-US" w:eastAsia="zh-CN"/>
              </w:rPr>
              <w:t>3.</w:t>
            </w:r>
            <w:r>
              <w:rPr>
                <w:rFonts w:hint="default" w:ascii="Times New Roman" w:hAnsi="Times New Roman" w:cs="Times New Roman"/>
                <w:color w:val="000000"/>
                <w:kern w:val="0"/>
                <w:sz w:val="20"/>
                <w:szCs w:val="20"/>
              </w:rPr>
              <w:t>添加热区</w:t>
            </w:r>
          </w:p>
        </w:tc>
        <w:tc>
          <w:tcPr>
            <w:tcW w:w="4546" w:type="dxa"/>
            <w:tcBorders>
              <w:top w:val="single" w:color="auto" w:sz="4" w:space="0"/>
              <w:left w:val="single" w:color="auto" w:sz="4" w:space="0"/>
              <w:bottom w:val="single" w:color="auto" w:sz="4" w:space="0"/>
              <w:right w:val="single" w:color="auto" w:sz="4" w:space="0"/>
            </w:tcBorders>
            <w:vAlign w:val="center"/>
          </w:tcPr>
          <w:p w14:paraId="05A7482A">
            <w:pPr>
              <w:keepLines w:val="0"/>
              <w:pageBreakBefore w:val="0"/>
              <w:widowControl w:val="0"/>
              <w:kinsoku/>
              <w:overflowPunct/>
              <w:topLinePunct w:val="0"/>
              <w:autoSpaceDE/>
              <w:autoSpaceDN/>
              <w:bidi w:val="0"/>
              <w:adjustRightInd/>
              <w:ind w:firstLine="400" w:firstLineChars="200"/>
              <w:jc w:val="both"/>
              <w:textAlignment w:val="auto"/>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通过热区设置在地图上快速切换目标城市</w:t>
            </w:r>
          </w:p>
        </w:tc>
        <w:tc>
          <w:tcPr>
            <w:tcW w:w="1155" w:type="dxa"/>
            <w:tcBorders>
              <w:top w:val="single" w:color="auto" w:sz="4" w:space="0"/>
              <w:left w:val="single" w:color="auto" w:sz="4" w:space="0"/>
              <w:bottom w:val="single" w:color="auto" w:sz="4" w:space="0"/>
              <w:right w:val="single" w:color="auto" w:sz="4" w:space="0"/>
            </w:tcBorders>
            <w:vAlign w:val="center"/>
          </w:tcPr>
          <w:p w14:paraId="5E8A87D3">
            <w:pPr>
              <w:keepLines w:val="0"/>
              <w:pageBreakBefore w:val="0"/>
              <w:widowControl w:val="0"/>
              <w:kinsoku/>
              <w:overflowPunct/>
              <w:topLinePunct w:val="0"/>
              <w:autoSpaceDE/>
              <w:autoSpaceDN/>
              <w:bidi w:val="0"/>
              <w:adjustRightInd/>
              <w:ind w:firstLine="400" w:firstLineChars="200"/>
              <w:jc w:val="both"/>
              <w:textAlignment w:val="auto"/>
              <w:rPr>
                <w:rFonts w:hint="default" w:ascii="Times New Roman" w:hAnsi="Times New Roman" w:cs="Times New Roman"/>
                <w:color w:val="000000"/>
                <w:kern w:val="0"/>
                <w:sz w:val="20"/>
                <w:szCs w:val="20"/>
              </w:rPr>
            </w:pPr>
            <w:r>
              <w:rPr>
                <w:rFonts w:hint="default" w:ascii="Times New Roman" w:hAnsi="Times New Roman" w:cs="Times New Roman"/>
                <w:kern w:val="0"/>
                <w:sz w:val="20"/>
                <w:szCs w:val="20"/>
              </w:rPr>
              <w:t>远程</w:t>
            </w:r>
          </w:p>
        </w:tc>
      </w:tr>
      <w:tr w14:paraId="442722F1">
        <w:tblPrEx>
          <w:tblCellMar>
            <w:top w:w="0" w:type="dxa"/>
            <w:left w:w="108" w:type="dxa"/>
            <w:bottom w:w="0" w:type="dxa"/>
            <w:right w:w="108" w:type="dxa"/>
          </w:tblCellMar>
        </w:tblPrEx>
        <w:trPr>
          <w:trHeight w:val="1080" w:hRule="atLeast"/>
        </w:trPr>
        <w:tc>
          <w:tcPr>
            <w:tcW w:w="1418" w:type="dxa"/>
            <w:tcBorders>
              <w:top w:val="single" w:color="auto" w:sz="4" w:space="0"/>
              <w:left w:val="single" w:color="auto" w:sz="4" w:space="0"/>
              <w:bottom w:val="single" w:color="auto" w:sz="4" w:space="0"/>
              <w:right w:val="single" w:color="auto" w:sz="4" w:space="0"/>
            </w:tcBorders>
            <w:vAlign w:val="center"/>
          </w:tcPr>
          <w:p w14:paraId="06F913CE">
            <w:pPr>
              <w:keepLines w:val="0"/>
              <w:pageBreakBefore w:val="0"/>
              <w:widowControl w:val="0"/>
              <w:kinsoku/>
              <w:overflowPunct/>
              <w:topLinePunct w:val="0"/>
              <w:autoSpaceDE/>
              <w:autoSpaceDN/>
              <w:bidi w:val="0"/>
              <w:adjustRightInd/>
              <w:ind w:firstLine="400" w:firstLineChars="200"/>
              <w:jc w:val="both"/>
              <w:textAlignment w:val="auto"/>
              <w:rPr>
                <w:rFonts w:hint="default" w:ascii="Times New Roman" w:hAnsi="Times New Roman" w:cs="Times New Roman"/>
                <w:kern w:val="0"/>
                <w:sz w:val="20"/>
                <w:szCs w:val="20"/>
              </w:rPr>
            </w:pPr>
            <w:r>
              <w:rPr>
                <w:rFonts w:hint="default" w:ascii="Times New Roman" w:hAnsi="Times New Roman" w:cs="Times New Roman"/>
                <w:kern w:val="0"/>
                <w:sz w:val="20"/>
                <w:szCs w:val="20"/>
              </w:rPr>
              <w:t>驻场服务</w:t>
            </w:r>
          </w:p>
        </w:tc>
        <w:tc>
          <w:tcPr>
            <w:tcW w:w="2659" w:type="dxa"/>
            <w:gridSpan w:val="2"/>
            <w:tcBorders>
              <w:top w:val="single" w:color="auto" w:sz="4" w:space="0"/>
              <w:left w:val="single" w:color="auto" w:sz="4" w:space="0"/>
              <w:bottom w:val="single" w:color="auto" w:sz="4" w:space="0"/>
              <w:right w:val="single" w:color="auto" w:sz="4" w:space="0"/>
            </w:tcBorders>
            <w:vAlign w:val="center"/>
          </w:tcPr>
          <w:p w14:paraId="191635BC">
            <w:pPr>
              <w:keepLines w:val="0"/>
              <w:pageBreakBefore w:val="0"/>
              <w:widowControl w:val="0"/>
              <w:kinsoku/>
              <w:overflowPunct/>
              <w:topLinePunct w:val="0"/>
              <w:autoSpaceDE/>
              <w:autoSpaceDN/>
              <w:bidi w:val="0"/>
              <w:adjustRightInd/>
              <w:ind w:firstLine="200" w:firstLineChars="100"/>
              <w:jc w:val="both"/>
              <w:textAlignment w:val="auto"/>
              <w:rPr>
                <w:rFonts w:hint="default" w:ascii="Times New Roman" w:hAnsi="Times New Roman" w:cs="Times New Roman"/>
                <w:kern w:val="0"/>
                <w:sz w:val="20"/>
                <w:szCs w:val="20"/>
              </w:rPr>
            </w:pPr>
            <w:r>
              <w:rPr>
                <w:rFonts w:hint="default" w:ascii="Times New Roman" w:hAnsi="Times New Roman" w:cs="Times New Roman"/>
                <w:kern w:val="0"/>
                <w:sz w:val="20"/>
                <w:szCs w:val="20"/>
              </w:rPr>
              <w:t>甲方指定工作地点，以甲方的身份入驻用户场地，协助厂商处理日常事务；</w:t>
            </w:r>
          </w:p>
        </w:tc>
        <w:tc>
          <w:tcPr>
            <w:tcW w:w="4546" w:type="dxa"/>
            <w:tcBorders>
              <w:top w:val="single" w:color="auto" w:sz="4" w:space="0"/>
              <w:left w:val="single" w:color="auto" w:sz="4" w:space="0"/>
              <w:bottom w:val="single" w:color="auto" w:sz="4" w:space="0"/>
              <w:right w:val="single" w:color="auto" w:sz="4" w:space="0"/>
            </w:tcBorders>
            <w:vAlign w:val="center"/>
          </w:tcPr>
          <w:p w14:paraId="701F15EC">
            <w:pPr>
              <w:keepLines w:val="0"/>
              <w:pageBreakBefore w:val="0"/>
              <w:widowControl w:val="0"/>
              <w:kinsoku/>
              <w:overflowPunct/>
              <w:topLinePunct w:val="0"/>
              <w:autoSpaceDE/>
              <w:autoSpaceDN/>
              <w:bidi w:val="0"/>
              <w:adjustRightInd/>
              <w:ind w:firstLine="400" w:firstLineChars="200"/>
              <w:jc w:val="both"/>
              <w:textAlignment w:val="auto"/>
              <w:rPr>
                <w:rFonts w:hint="default" w:ascii="Times New Roman" w:hAnsi="Times New Roman" w:cs="Times New Roman"/>
                <w:kern w:val="0"/>
                <w:sz w:val="20"/>
                <w:szCs w:val="20"/>
              </w:rPr>
            </w:pPr>
            <w:r>
              <w:rPr>
                <w:rFonts w:hint="default" w:ascii="Times New Roman" w:hAnsi="Times New Roman" w:cs="Times New Roman"/>
                <w:kern w:val="0"/>
                <w:sz w:val="20"/>
                <w:szCs w:val="20"/>
              </w:rPr>
              <w:t>中级工程师（熟悉PC、网络运维、良好的沟通能力、工作经验2年以上）</w:t>
            </w:r>
          </w:p>
        </w:tc>
        <w:tc>
          <w:tcPr>
            <w:tcW w:w="1155" w:type="dxa"/>
            <w:tcBorders>
              <w:top w:val="single" w:color="auto" w:sz="4" w:space="0"/>
              <w:left w:val="single" w:color="auto" w:sz="4" w:space="0"/>
              <w:bottom w:val="single" w:color="auto" w:sz="4" w:space="0"/>
              <w:right w:val="single" w:color="auto" w:sz="4" w:space="0"/>
            </w:tcBorders>
            <w:vAlign w:val="center"/>
          </w:tcPr>
          <w:p w14:paraId="2DAEF87F">
            <w:pPr>
              <w:keepLines w:val="0"/>
              <w:pageBreakBefore w:val="0"/>
              <w:widowControl w:val="0"/>
              <w:kinsoku/>
              <w:overflowPunct/>
              <w:topLinePunct w:val="0"/>
              <w:autoSpaceDE/>
              <w:autoSpaceDN/>
              <w:bidi w:val="0"/>
              <w:adjustRightInd/>
              <w:ind w:firstLine="400" w:firstLineChars="200"/>
              <w:jc w:val="both"/>
              <w:textAlignment w:val="auto"/>
              <w:rPr>
                <w:rFonts w:hint="default" w:ascii="Times New Roman" w:hAnsi="Times New Roman" w:cs="Times New Roman"/>
                <w:kern w:val="0"/>
                <w:sz w:val="20"/>
                <w:szCs w:val="20"/>
              </w:rPr>
            </w:pPr>
            <w:r>
              <w:rPr>
                <w:rFonts w:hint="default" w:ascii="Times New Roman" w:hAnsi="Times New Roman" w:cs="Times New Roman"/>
                <w:kern w:val="0"/>
                <w:sz w:val="20"/>
                <w:szCs w:val="20"/>
              </w:rPr>
              <w:t>现场</w:t>
            </w:r>
          </w:p>
        </w:tc>
      </w:tr>
      <w:tr w14:paraId="0AB3B590">
        <w:tblPrEx>
          <w:tblCellMar>
            <w:top w:w="0" w:type="dxa"/>
            <w:left w:w="108" w:type="dxa"/>
            <w:bottom w:w="0" w:type="dxa"/>
            <w:right w:w="108" w:type="dxa"/>
          </w:tblCellMar>
        </w:tblPrEx>
        <w:trPr>
          <w:trHeight w:val="495" w:hRule="atLeast"/>
        </w:trPr>
        <w:tc>
          <w:tcPr>
            <w:tcW w:w="9778" w:type="dxa"/>
            <w:gridSpan w:val="5"/>
            <w:tcBorders>
              <w:top w:val="single" w:color="auto" w:sz="4" w:space="0"/>
              <w:left w:val="single" w:color="000000" w:sz="4" w:space="0"/>
              <w:bottom w:val="single" w:color="000000" w:sz="4" w:space="0"/>
              <w:right w:val="single" w:color="000000" w:sz="4" w:space="0"/>
            </w:tcBorders>
            <w:vAlign w:val="center"/>
          </w:tcPr>
          <w:p w14:paraId="1AE538EB">
            <w:pPr>
              <w:keepLines w:val="0"/>
              <w:pageBreakBefore w:val="0"/>
              <w:widowControl w:val="0"/>
              <w:kinsoku/>
              <w:overflowPunct/>
              <w:topLinePunct w:val="0"/>
              <w:autoSpaceDE/>
              <w:autoSpaceDN/>
              <w:bidi w:val="0"/>
              <w:adjustRightInd/>
              <w:jc w:val="center"/>
              <w:textAlignment w:val="auto"/>
              <w:rPr>
                <w:rFonts w:hint="default" w:ascii="Times New Roman" w:hAnsi="Times New Roman" w:cs="Times New Roman"/>
                <w:kern w:val="0"/>
                <w:sz w:val="48"/>
                <w:szCs w:val="48"/>
              </w:rPr>
            </w:pPr>
            <w:r>
              <w:rPr>
                <w:rFonts w:hint="default" w:ascii="Times New Roman" w:hAnsi="Times New Roman" w:cs="Times New Roman"/>
                <w:kern w:val="0"/>
                <w:sz w:val="48"/>
                <w:szCs w:val="48"/>
              </w:rPr>
              <w:t>数据管理平台功能维护</w:t>
            </w:r>
          </w:p>
        </w:tc>
      </w:tr>
      <w:tr w14:paraId="387A52C8">
        <w:tblPrEx>
          <w:tblCellMar>
            <w:top w:w="0" w:type="dxa"/>
            <w:left w:w="108" w:type="dxa"/>
            <w:bottom w:w="0" w:type="dxa"/>
            <w:right w:w="108" w:type="dxa"/>
          </w:tblCellMar>
        </w:tblPrEx>
        <w:trPr>
          <w:trHeight w:val="345" w:hRule="atLeast"/>
        </w:trPr>
        <w:tc>
          <w:tcPr>
            <w:tcW w:w="1418" w:type="dxa"/>
            <w:tcBorders>
              <w:top w:val="single" w:color="000000" w:sz="4" w:space="0"/>
              <w:left w:val="single" w:color="000000" w:sz="4" w:space="0"/>
              <w:bottom w:val="single" w:color="000000" w:sz="4" w:space="0"/>
              <w:right w:val="single" w:color="000000" w:sz="4" w:space="0"/>
            </w:tcBorders>
            <w:vAlign w:val="center"/>
          </w:tcPr>
          <w:p w14:paraId="36D96CE5">
            <w:pPr>
              <w:keepLines w:val="0"/>
              <w:pageBreakBefore w:val="0"/>
              <w:widowControl w:val="0"/>
              <w:kinsoku/>
              <w:overflowPunct/>
              <w:topLinePunct w:val="0"/>
              <w:autoSpaceDE/>
              <w:autoSpaceDN/>
              <w:bidi w:val="0"/>
              <w:adjustRightInd/>
              <w:jc w:val="both"/>
              <w:textAlignment w:val="auto"/>
              <w:rPr>
                <w:rFonts w:hint="default" w:ascii="Times New Roman" w:hAnsi="Times New Roman" w:cs="Times New Roman"/>
                <w:kern w:val="0"/>
                <w:sz w:val="22"/>
                <w:szCs w:val="22"/>
              </w:rPr>
            </w:pPr>
            <w:r>
              <w:rPr>
                <w:rFonts w:hint="default" w:ascii="Times New Roman" w:hAnsi="Times New Roman" w:cs="Times New Roman"/>
                <w:kern w:val="0"/>
                <w:sz w:val="22"/>
                <w:szCs w:val="22"/>
              </w:rPr>
              <w:t>功能特性</w:t>
            </w:r>
          </w:p>
        </w:tc>
        <w:tc>
          <w:tcPr>
            <w:tcW w:w="8360" w:type="dxa"/>
            <w:gridSpan w:val="4"/>
            <w:tcBorders>
              <w:top w:val="single" w:color="000000" w:sz="4" w:space="0"/>
              <w:left w:val="nil"/>
              <w:bottom w:val="single" w:color="000000" w:sz="4" w:space="0"/>
              <w:right w:val="single" w:color="000000" w:sz="4" w:space="0"/>
            </w:tcBorders>
            <w:vAlign w:val="center"/>
          </w:tcPr>
          <w:p w14:paraId="621D9CD4">
            <w:pPr>
              <w:keepLines w:val="0"/>
              <w:pageBreakBefore w:val="0"/>
              <w:widowControl w:val="0"/>
              <w:kinsoku/>
              <w:overflowPunct/>
              <w:topLinePunct w:val="0"/>
              <w:autoSpaceDE/>
              <w:autoSpaceDN/>
              <w:bidi w:val="0"/>
              <w:adjustRightInd/>
              <w:jc w:val="both"/>
              <w:textAlignment w:val="auto"/>
              <w:rPr>
                <w:rFonts w:hint="default" w:ascii="Times New Roman" w:hAnsi="Times New Roman" w:cs="Times New Roman"/>
                <w:kern w:val="0"/>
                <w:sz w:val="22"/>
                <w:szCs w:val="22"/>
              </w:rPr>
            </w:pPr>
            <w:r>
              <w:rPr>
                <w:rFonts w:hint="default" w:ascii="Times New Roman" w:hAnsi="Times New Roman" w:cs="Times New Roman"/>
                <w:kern w:val="0"/>
                <w:sz w:val="22"/>
                <w:szCs w:val="22"/>
              </w:rPr>
              <w:t>此维护项为数据平台项目</w:t>
            </w:r>
          </w:p>
        </w:tc>
      </w:tr>
      <w:tr w14:paraId="6406F132">
        <w:tblPrEx>
          <w:tblCellMar>
            <w:top w:w="0" w:type="dxa"/>
            <w:left w:w="108" w:type="dxa"/>
            <w:bottom w:w="0" w:type="dxa"/>
            <w:right w:w="108" w:type="dxa"/>
          </w:tblCellMar>
        </w:tblPrEx>
        <w:trPr>
          <w:trHeight w:val="350" w:hRule="atLeast"/>
        </w:trPr>
        <w:tc>
          <w:tcPr>
            <w:tcW w:w="1418" w:type="dxa"/>
            <w:tcBorders>
              <w:top w:val="single" w:color="000000" w:sz="4" w:space="0"/>
              <w:left w:val="single" w:color="000000" w:sz="4" w:space="0"/>
              <w:bottom w:val="single" w:color="000000" w:sz="4" w:space="0"/>
              <w:right w:val="single" w:color="000000" w:sz="4" w:space="0"/>
            </w:tcBorders>
            <w:vAlign w:val="center"/>
          </w:tcPr>
          <w:p w14:paraId="31F2DFE1">
            <w:pPr>
              <w:keepLines w:val="0"/>
              <w:pageBreakBefore w:val="0"/>
              <w:widowControl w:val="0"/>
              <w:kinsoku/>
              <w:overflowPunct/>
              <w:topLinePunct w:val="0"/>
              <w:autoSpaceDE/>
              <w:autoSpaceDN/>
              <w:bidi w:val="0"/>
              <w:adjustRightInd/>
              <w:jc w:val="both"/>
              <w:textAlignment w:val="auto"/>
              <w:rPr>
                <w:rFonts w:hint="default" w:ascii="Times New Roman" w:hAnsi="Times New Roman" w:cs="Times New Roman"/>
                <w:kern w:val="0"/>
                <w:sz w:val="22"/>
                <w:szCs w:val="22"/>
              </w:rPr>
            </w:pPr>
            <w:r>
              <w:rPr>
                <w:rFonts w:hint="default" w:ascii="Times New Roman" w:hAnsi="Times New Roman" w:cs="Times New Roman"/>
                <w:kern w:val="0"/>
                <w:sz w:val="22"/>
                <w:szCs w:val="22"/>
              </w:rPr>
              <w:t>维护目的</w:t>
            </w:r>
          </w:p>
        </w:tc>
        <w:tc>
          <w:tcPr>
            <w:tcW w:w="8360" w:type="dxa"/>
            <w:gridSpan w:val="4"/>
            <w:tcBorders>
              <w:top w:val="single" w:color="000000" w:sz="4" w:space="0"/>
              <w:left w:val="nil"/>
              <w:bottom w:val="single" w:color="000000" w:sz="4" w:space="0"/>
              <w:right w:val="single" w:color="000000" w:sz="4" w:space="0"/>
            </w:tcBorders>
            <w:vAlign w:val="center"/>
          </w:tcPr>
          <w:p w14:paraId="67DDC6D3">
            <w:pPr>
              <w:keepLines w:val="0"/>
              <w:pageBreakBefore w:val="0"/>
              <w:widowControl w:val="0"/>
              <w:kinsoku/>
              <w:overflowPunct/>
              <w:topLinePunct w:val="0"/>
              <w:autoSpaceDE/>
              <w:autoSpaceDN/>
              <w:bidi w:val="0"/>
              <w:adjustRightInd/>
              <w:jc w:val="both"/>
              <w:textAlignment w:val="auto"/>
              <w:rPr>
                <w:rFonts w:hint="default" w:ascii="Times New Roman" w:hAnsi="Times New Roman" w:cs="Times New Roman"/>
                <w:kern w:val="0"/>
                <w:sz w:val="22"/>
                <w:szCs w:val="22"/>
              </w:rPr>
            </w:pPr>
            <w:r>
              <w:rPr>
                <w:rFonts w:hint="default" w:ascii="Times New Roman" w:hAnsi="Times New Roman" w:cs="Times New Roman"/>
                <w:kern w:val="0"/>
                <w:sz w:val="22"/>
                <w:szCs w:val="22"/>
              </w:rPr>
              <w:t>验证数据上传下载及观看功能是否满足日常使用要求</w:t>
            </w:r>
          </w:p>
        </w:tc>
      </w:tr>
      <w:tr w14:paraId="38483A6D">
        <w:tblPrEx>
          <w:tblCellMar>
            <w:top w:w="0" w:type="dxa"/>
            <w:left w:w="108" w:type="dxa"/>
            <w:bottom w:w="0" w:type="dxa"/>
            <w:right w:w="108" w:type="dxa"/>
          </w:tblCellMar>
        </w:tblPrEx>
        <w:trPr>
          <w:trHeight w:val="345" w:hRule="atLeast"/>
        </w:trPr>
        <w:tc>
          <w:tcPr>
            <w:tcW w:w="1418" w:type="dxa"/>
            <w:tcBorders>
              <w:top w:val="single" w:color="000000" w:sz="4" w:space="0"/>
              <w:left w:val="single" w:color="000000" w:sz="4" w:space="0"/>
              <w:bottom w:val="single" w:color="000000" w:sz="4" w:space="0"/>
              <w:right w:val="single" w:color="000000" w:sz="4" w:space="0"/>
            </w:tcBorders>
            <w:vAlign w:val="center"/>
          </w:tcPr>
          <w:p w14:paraId="2C356A23">
            <w:pPr>
              <w:keepLines w:val="0"/>
              <w:pageBreakBefore w:val="0"/>
              <w:widowControl w:val="0"/>
              <w:kinsoku/>
              <w:overflowPunct/>
              <w:topLinePunct w:val="0"/>
              <w:autoSpaceDE/>
              <w:autoSpaceDN/>
              <w:bidi w:val="0"/>
              <w:adjustRightInd/>
              <w:jc w:val="both"/>
              <w:textAlignment w:val="auto"/>
              <w:rPr>
                <w:rFonts w:hint="default" w:ascii="Times New Roman" w:hAnsi="Times New Roman" w:cs="Times New Roman"/>
                <w:kern w:val="0"/>
                <w:sz w:val="22"/>
                <w:szCs w:val="22"/>
              </w:rPr>
            </w:pPr>
            <w:r>
              <w:rPr>
                <w:rFonts w:hint="default" w:ascii="Times New Roman" w:hAnsi="Times New Roman" w:cs="Times New Roman"/>
                <w:kern w:val="0"/>
                <w:sz w:val="22"/>
                <w:szCs w:val="22"/>
              </w:rPr>
              <w:t>维护条件</w:t>
            </w:r>
          </w:p>
        </w:tc>
        <w:tc>
          <w:tcPr>
            <w:tcW w:w="8360" w:type="dxa"/>
            <w:gridSpan w:val="4"/>
            <w:tcBorders>
              <w:top w:val="single" w:color="000000" w:sz="4" w:space="0"/>
              <w:left w:val="nil"/>
              <w:bottom w:val="single" w:color="000000" w:sz="4" w:space="0"/>
              <w:right w:val="single" w:color="000000" w:sz="4" w:space="0"/>
            </w:tcBorders>
            <w:vAlign w:val="center"/>
          </w:tcPr>
          <w:p w14:paraId="11AC32DD">
            <w:pPr>
              <w:keepLines w:val="0"/>
              <w:pageBreakBefore w:val="0"/>
              <w:widowControl w:val="0"/>
              <w:kinsoku/>
              <w:overflowPunct/>
              <w:topLinePunct w:val="0"/>
              <w:autoSpaceDE/>
              <w:autoSpaceDN/>
              <w:bidi w:val="0"/>
              <w:adjustRightInd/>
              <w:jc w:val="both"/>
              <w:textAlignment w:val="auto"/>
              <w:rPr>
                <w:rFonts w:hint="default" w:ascii="Times New Roman" w:hAnsi="Times New Roman" w:cs="Times New Roman"/>
                <w:kern w:val="0"/>
                <w:sz w:val="22"/>
                <w:szCs w:val="22"/>
              </w:rPr>
            </w:pPr>
            <w:r>
              <w:rPr>
                <w:rFonts w:hint="default" w:ascii="Times New Roman" w:hAnsi="Times New Roman" w:cs="Times New Roman"/>
                <w:kern w:val="0"/>
                <w:sz w:val="22"/>
                <w:szCs w:val="22"/>
              </w:rPr>
              <w:t>1.采集站连接正常. 2.数据上传正常</w:t>
            </w:r>
          </w:p>
        </w:tc>
      </w:tr>
      <w:tr w14:paraId="3AA5DC87">
        <w:tblPrEx>
          <w:tblCellMar>
            <w:top w:w="0" w:type="dxa"/>
            <w:left w:w="108" w:type="dxa"/>
            <w:bottom w:w="0" w:type="dxa"/>
            <w:right w:w="108" w:type="dxa"/>
          </w:tblCellMar>
        </w:tblPrEx>
        <w:trPr>
          <w:trHeight w:val="375" w:hRule="atLeast"/>
        </w:trPr>
        <w:tc>
          <w:tcPr>
            <w:tcW w:w="1418" w:type="dxa"/>
            <w:tcBorders>
              <w:top w:val="nil"/>
              <w:left w:val="single" w:color="000000" w:sz="4" w:space="0"/>
              <w:bottom w:val="single" w:color="000000" w:sz="4" w:space="0"/>
              <w:right w:val="single" w:color="000000" w:sz="4" w:space="0"/>
            </w:tcBorders>
            <w:shd w:val="clear" w:color="000000" w:fill="auto"/>
            <w:vAlign w:val="center"/>
          </w:tcPr>
          <w:p w14:paraId="4DBAFF6E">
            <w:pPr>
              <w:keepLines w:val="0"/>
              <w:pageBreakBefore w:val="0"/>
              <w:widowControl w:val="0"/>
              <w:kinsoku/>
              <w:overflowPunct/>
              <w:topLinePunct w:val="0"/>
              <w:autoSpaceDE/>
              <w:autoSpaceDN/>
              <w:bidi w:val="0"/>
              <w:adjustRightInd/>
              <w:jc w:val="both"/>
              <w:textAlignment w:val="auto"/>
              <w:rPr>
                <w:rFonts w:hint="default" w:ascii="Times New Roman" w:hAnsi="Times New Roman" w:cs="Times New Roman"/>
                <w:color w:val="000000"/>
                <w:kern w:val="0"/>
                <w:sz w:val="21"/>
                <w:szCs w:val="21"/>
              </w:rPr>
            </w:pPr>
            <w:r>
              <w:rPr>
                <w:rFonts w:hint="default" w:ascii="Times New Roman" w:hAnsi="Times New Roman" w:cs="Times New Roman" w:eastAsiaTheme="minorEastAsia"/>
                <w:b/>
                <w:kern w:val="0"/>
                <w:sz w:val="21"/>
                <w:szCs w:val="21"/>
              </w:rPr>
              <w:t>服务项目</w:t>
            </w:r>
          </w:p>
        </w:tc>
        <w:tc>
          <w:tcPr>
            <w:tcW w:w="2126" w:type="dxa"/>
            <w:tcBorders>
              <w:top w:val="single" w:color="000000" w:sz="4" w:space="0"/>
              <w:left w:val="nil"/>
              <w:bottom w:val="single" w:color="000000" w:sz="4" w:space="0"/>
              <w:right w:val="single" w:color="000000" w:sz="4" w:space="0"/>
            </w:tcBorders>
            <w:shd w:val="clear" w:color="000000" w:fill="auto"/>
            <w:vAlign w:val="center"/>
          </w:tcPr>
          <w:p w14:paraId="4BDD7785">
            <w:pPr>
              <w:keepLines w:val="0"/>
              <w:pageBreakBefore w:val="0"/>
              <w:widowControl w:val="0"/>
              <w:kinsoku/>
              <w:overflowPunct/>
              <w:topLinePunct w:val="0"/>
              <w:autoSpaceDE/>
              <w:autoSpaceDN/>
              <w:bidi w:val="0"/>
              <w:adjustRightInd/>
              <w:ind w:firstLine="422" w:firstLineChars="200"/>
              <w:jc w:val="both"/>
              <w:textAlignment w:val="auto"/>
              <w:rPr>
                <w:rFonts w:hint="default" w:ascii="Times New Roman" w:hAnsi="Times New Roman" w:cs="Times New Roman"/>
                <w:color w:val="000000"/>
                <w:kern w:val="0"/>
                <w:sz w:val="21"/>
                <w:szCs w:val="21"/>
              </w:rPr>
            </w:pPr>
            <w:r>
              <w:rPr>
                <w:rFonts w:hint="default" w:ascii="Times New Roman" w:hAnsi="Times New Roman" w:cs="Times New Roman" w:eastAsiaTheme="minorEastAsia"/>
                <w:b/>
                <w:kern w:val="0"/>
                <w:sz w:val="21"/>
                <w:szCs w:val="21"/>
              </w:rPr>
              <w:t>服务内容</w:t>
            </w:r>
          </w:p>
        </w:tc>
        <w:tc>
          <w:tcPr>
            <w:tcW w:w="5079" w:type="dxa"/>
            <w:gridSpan w:val="2"/>
            <w:tcBorders>
              <w:top w:val="nil"/>
              <w:left w:val="nil"/>
              <w:bottom w:val="single" w:color="000000" w:sz="4" w:space="0"/>
              <w:right w:val="single" w:color="000000" w:sz="4" w:space="0"/>
            </w:tcBorders>
            <w:shd w:val="clear" w:color="000000" w:fill="auto"/>
            <w:vAlign w:val="center"/>
          </w:tcPr>
          <w:p w14:paraId="5E3E0835">
            <w:pPr>
              <w:keepLines w:val="0"/>
              <w:pageBreakBefore w:val="0"/>
              <w:widowControl w:val="0"/>
              <w:kinsoku/>
              <w:overflowPunct/>
              <w:topLinePunct w:val="0"/>
              <w:autoSpaceDE/>
              <w:autoSpaceDN/>
              <w:bidi w:val="0"/>
              <w:adjustRightInd/>
              <w:ind w:firstLine="422" w:firstLineChars="200"/>
              <w:jc w:val="both"/>
              <w:textAlignment w:val="auto"/>
              <w:rPr>
                <w:rFonts w:hint="default" w:ascii="Times New Roman" w:hAnsi="Times New Roman" w:cs="Times New Roman"/>
                <w:color w:val="000000"/>
                <w:kern w:val="0"/>
                <w:sz w:val="21"/>
                <w:szCs w:val="21"/>
              </w:rPr>
            </w:pPr>
            <w:r>
              <w:rPr>
                <w:rFonts w:hint="default" w:ascii="Times New Roman" w:hAnsi="Times New Roman" w:cs="Times New Roman" w:eastAsiaTheme="minorEastAsia"/>
                <w:b/>
                <w:kern w:val="0"/>
                <w:sz w:val="21"/>
                <w:szCs w:val="21"/>
              </w:rPr>
              <w:t>内容说明</w:t>
            </w:r>
          </w:p>
        </w:tc>
        <w:tc>
          <w:tcPr>
            <w:tcW w:w="1155" w:type="dxa"/>
            <w:tcBorders>
              <w:top w:val="nil"/>
              <w:left w:val="nil"/>
              <w:bottom w:val="single" w:color="000000" w:sz="4" w:space="0"/>
              <w:right w:val="single" w:color="000000" w:sz="4" w:space="0"/>
            </w:tcBorders>
            <w:shd w:val="clear" w:color="000000" w:fill="auto"/>
            <w:vAlign w:val="center"/>
          </w:tcPr>
          <w:p w14:paraId="52D2E8B0">
            <w:pPr>
              <w:keepLines w:val="0"/>
              <w:pageBreakBefore w:val="0"/>
              <w:widowControl w:val="0"/>
              <w:kinsoku/>
              <w:overflowPunct/>
              <w:topLinePunct w:val="0"/>
              <w:autoSpaceDE/>
              <w:autoSpaceDN/>
              <w:bidi w:val="0"/>
              <w:adjustRightInd/>
              <w:jc w:val="both"/>
              <w:textAlignment w:val="auto"/>
              <w:rPr>
                <w:rFonts w:hint="default" w:ascii="Times New Roman" w:hAnsi="Times New Roman" w:cs="Times New Roman"/>
                <w:color w:val="000000"/>
                <w:kern w:val="0"/>
                <w:sz w:val="21"/>
                <w:szCs w:val="21"/>
              </w:rPr>
            </w:pPr>
            <w:r>
              <w:rPr>
                <w:rFonts w:hint="default" w:ascii="Times New Roman" w:hAnsi="Times New Roman" w:cs="Times New Roman" w:eastAsiaTheme="minorEastAsia"/>
                <w:b/>
                <w:kern w:val="0"/>
                <w:sz w:val="21"/>
                <w:szCs w:val="21"/>
              </w:rPr>
              <w:t>服务方式</w:t>
            </w:r>
          </w:p>
        </w:tc>
      </w:tr>
      <w:tr w14:paraId="0D968FD5">
        <w:tblPrEx>
          <w:tblCellMar>
            <w:top w:w="0" w:type="dxa"/>
            <w:left w:w="108" w:type="dxa"/>
            <w:bottom w:w="0" w:type="dxa"/>
            <w:right w:w="108" w:type="dxa"/>
          </w:tblCellMar>
        </w:tblPrEx>
        <w:trPr>
          <w:trHeight w:val="1194" w:hRule="atLeast"/>
        </w:trPr>
        <w:tc>
          <w:tcPr>
            <w:tcW w:w="1418" w:type="dxa"/>
            <w:vMerge w:val="restart"/>
            <w:tcBorders>
              <w:top w:val="single" w:color="000000" w:sz="4" w:space="0"/>
              <w:left w:val="single" w:color="auto" w:sz="4" w:space="0"/>
              <w:bottom w:val="single" w:color="auto" w:sz="4" w:space="0"/>
              <w:right w:val="single" w:color="000000" w:sz="4" w:space="0"/>
            </w:tcBorders>
            <w:vAlign w:val="center"/>
          </w:tcPr>
          <w:p w14:paraId="3E4F23CD">
            <w:pPr>
              <w:keepLines w:val="0"/>
              <w:pageBreakBefore w:val="0"/>
              <w:widowControl w:val="0"/>
              <w:kinsoku/>
              <w:overflowPunct/>
              <w:topLinePunct w:val="0"/>
              <w:autoSpaceDE/>
              <w:autoSpaceDN/>
              <w:bidi w:val="0"/>
              <w:adjustRightInd/>
              <w:jc w:val="both"/>
              <w:textAlignment w:val="auto"/>
              <w:rPr>
                <w:rFonts w:hint="default" w:ascii="Times New Roman" w:hAnsi="Times New Roman" w:cs="Times New Roman"/>
                <w:kern w:val="0"/>
                <w:sz w:val="22"/>
                <w:szCs w:val="22"/>
              </w:rPr>
            </w:pPr>
            <w:r>
              <w:rPr>
                <w:rFonts w:hint="default" w:ascii="Times New Roman" w:hAnsi="Times New Roman" w:cs="Times New Roman"/>
                <w:kern w:val="0"/>
                <w:sz w:val="22"/>
                <w:szCs w:val="22"/>
              </w:rPr>
              <w:t>数据浏览</w:t>
            </w:r>
          </w:p>
        </w:tc>
        <w:tc>
          <w:tcPr>
            <w:tcW w:w="2126" w:type="dxa"/>
            <w:tcBorders>
              <w:top w:val="single" w:color="000000" w:sz="4" w:space="0"/>
              <w:left w:val="nil"/>
              <w:bottom w:val="single" w:color="auto" w:sz="4" w:space="0"/>
              <w:right w:val="single" w:color="000000" w:sz="4" w:space="0"/>
            </w:tcBorders>
            <w:vAlign w:val="center"/>
          </w:tcPr>
          <w:p w14:paraId="31DD5243">
            <w:pPr>
              <w:keepLines w:val="0"/>
              <w:pageBreakBefore w:val="0"/>
              <w:widowControl w:val="0"/>
              <w:numPr>
                <w:ilvl w:val="0"/>
                <w:numId w:val="0"/>
              </w:numPr>
              <w:kinsoku/>
              <w:overflowPunct/>
              <w:topLinePunct w:val="0"/>
              <w:autoSpaceDE/>
              <w:autoSpaceDN/>
              <w:bidi w:val="0"/>
              <w:adjustRightInd/>
              <w:jc w:val="both"/>
              <w:textAlignment w:val="auto"/>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lang w:val="en-US" w:eastAsia="zh-CN"/>
              </w:rPr>
              <w:t>1.</w:t>
            </w:r>
            <w:r>
              <w:rPr>
                <w:rFonts w:hint="default" w:ascii="Times New Roman" w:hAnsi="Times New Roman" w:cs="Times New Roman"/>
                <w:color w:val="000000"/>
                <w:kern w:val="0"/>
                <w:sz w:val="22"/>
                <w:szCs w:val="22"/>
              </w:rPr>
              <w:t>通过浏览器访问IP到基层单位采集工作站（平台）</w:t>
            </w:r>
          </w:p>
          <w:p w14:paraId="20CCCFD8">
            <w:pPr>
              <w:keepLines w:val="0"/>
              <w:pageBreakBefore w:val="0"/>
              <w:widowControl w:val="0"/>
              <w:numPr>
                <w:ilvl w:val="0"/>
                <w:numId w:val="0"/>
              </w:numPr>
              <w:kinsoku/>
              <w:overflowPunct/>
              <w:topLinePunct w:val="0"/>
              <w:autoSpaceDE/>
              <w:autoSpaceDN/>
              <w:bidi w:val="0"/>
              <w:adjustRightInd/>
              <w:jc w:val="both"/>
              <w:textAlignment w:val="auto"/>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lang w:val="en-US" w:eastAsia="zh-CN"/>
              </w:rPr>
              <w:t>2.</w:t>
            </w:r>
            <w:r>
              <w:rPr>
                <w:rFonts w:hint="default" w:ascii="Times New Roman" w:hAnsi="Times New Roman" w:cs="Times New Roman"/>
                <w:color w:val="000000"/>
                <w:kern w:val="0"/>
                <w:sz w:val="22"/>
                <w:szCs w:val="22"/>
              </w:rPr>
              <w:t>查看工作站状态</w:t>
            </w:r>
          </w:p>
        </w:tc>
        <w:tc>
          <w:tcPr>
            <w:tcW w:w="5079" w:type="dxa"/>
            <w:gridSpan w:val="2"/>
            <w:tcBorders>
              <w:top w:val="nil"/>
              <w:left w:val="nil"/>
              <w:bottom w:val="single" w:color="auto" w:sz="4" w:space="0"/>
              <w:right w:val="single" w:color="000000" w:sz="4" w:space="0"/>
            </w:tcBorders>
            <w:vAlign w:val="center"/>
          </w:tcPr>
          <w:p w14:paraId="778B4B76">
            <w:pPr>
              <w:keepLines w:val="0"/>
              <w:pageBreakBefore w:val="0"/>
              <w:widowControl w:val="0"/>
              <w:kinsoku/>
              <w:overflowPunct/>
              <w:topLinePunct w:val="0"/>
              <w:autoSpaceDE/>
              <w:autoSpaceDN/>
              <w:bidi w:val="0"/>
              <w:adjustRightInd/>
              <w:jc w:val="both"/>
              <w:textAlignment w:val="auto"/>
              <w:rPr>
                <w:rFonts w:hint="default" w:ascii="Times New Roman" w:hAnsi="Times New Roman" w:cs="Times New Roman"/>
                <w:kern w:val="0"/>
                <w:sz w:val="22"/>
                <w:szCs w:val="22"/>
              </w:rPr>
            </w:pPr>
            <w:r>
              <w:rPr>
                <w:rFonts w:hint="default" w:ascii="Times New Roman" w:hAnsi="Times New Roman" w:cs="Times New Roman"/>
                <w:kern w:val="0"/>
                <w:sz w:val="22"/>
                <w:szCs w:val="22"/>
              </w:rPr>
              <w:t>通过平台设备管理进入各站点采集站并可查看工作站内存及运行状态；</w:t>
            </w:r>
          </w:p>
        </w:tc>
        <w:tc>
          <w:tcPr>
            <w:tcW w:w="1155" w:type="dxa"/>
            <w:tcBorders>
              <w:top w:val="nil"/>
              <w:left w:val="nil"/>
              <w:bottom w:val="single" w:color="auto" w:sz="4" w:space="0"/>
              <w:right w:val="single" w:color="000000" w:sz="4" w:space="0"/>
            </w:tcBorders>
            <w:vAlign w:val="center"/>
          </w:tcPr>
          <w:p w14:paraId="2432885B">
            <w:pPr>
              <w:keepLines w:val="0"/>
              <w:pageBreakBefore w:val="0"/>
              <w:widowControl w:val="0"/>
              <w:kinsoku/>
              <w:overflowPunct/>
              <w:topLinePunct w:val="0"/>
              <w:autoSpaceDE/>
              <w:autoSpaceDN/>
              <w:bidi w:val="0"/>
              <w:adjustRightInd/>
              <w:ind w:firstLine="440" w:firstLineChars="200"/>
              <w:jc w:val="both"/>
              <w:textAlignment w:val="auto"/>
              <w:rPr>
                <w:rFonts w:hint="default" w:ascii="Times New Roman" w:hAnsi="Times New Roman" w:cs="Times New Roman"/>
                <w:kern w:val="0"/>
                <w:sz w:val="22"/>
                <w:szCs w:val="22"/>
              </w:rPr>
            </w:pPr>
            <w:r>
              <w:rPr>
                <w:rFonts w:hint="default" w:ascii="Times New Roman" w:hAnsi="Times New Roman" w:cs="Times New Roman"/>
                <w:kern w:val="0"/>
                <w:sz w:val="22"/>
                <w:szCs w:val="22"/>
              </w:rPr>
              <w:t>远程</w:t>
            </w:r>
          </w:p>
        </w:tc>
      </w:tr>
      <w:tr w14:paraId="594C4835">
        <w:tblPrEx>
          <w:tblCellMar>
            <w:top w:w="0" w:type="dxa"/>
            <w:left w:w="108" w:type="dxa"/>
            <w:bottom w:w="0" w:type="dxa"/>
            <w:right w:w="108" w:type="dxa"/>
          </w:tblCellMar>
        </w:tblPrEx>
        <w:trPr>
          <w:trHeight w:val="706" w:hRule="atLeast"/>
        </w:trPr>
        <w:tc>
          <w:tcPr>
            <w:tcW w:w="1418" w:type="dxa"/>
            <w:vMerge w:val="continue"/>
            <w:tcBorders>
              <w:top w:val="single" w:color="auto" w:sz="4" w:space="0"/>
              <w:left w:val="single" w:color="auto" w:sz="4" w:space="0"/>
              <w:bottom w:val="single" w:color="auto" w:sz="4" w:space="0"/>
              <w:right w:val="single" w:color="auto" w:sz="4" w:space="0"/>
            </w:tcBorders>
            <w:vAlign w:val="center"/>
          </w:tcPr>
          <w:p w14:paraId="646456F9">
            <w:pPr>
              <w:keepLines w:val="0"/>
              <w:pageBreakBefore w:val="0"/>
              <w:widowControl w:val="0"/>
              <w:kinsoku/>
              <w:overflowPunct/>
              <w:topLinePunct w:val="0"/>
              <w:autoSpaceDE/>
              <w:autoSpaceDN/>
              <w:bidi w:val="0"/>
              <w:adjustRightInd/>
              <w:ind w:firstLine="440" w:firstLineChars="200"/>
              <w:jc w:val="center"/>
              <w:textAlignment w:val="auto"/>
              <w:rPr>
                <w:rFonts w:hint="default" w:ascii="Times New Roman" w:hAnsi="Times New Roman" w:cs="Times New Roman"/>
                <w:kern w:val="0"/>
                <w:sz w:val="22"/>
                <w:szCs w:val="22"/>
              </w:rPr>
            </w:pPr>
          </w:p>
        </w:tc>
        <w:tc>
          <w:tcPr>
            <w:tcW w:w="2126" w:type="dxa"/>
            <w:tcBorders>
              <w:top w:val="single" w:color="auto" w:sz="4" w:space="0"/>
              <w:left w:val="single" w:color="auto" w:sz="4" w:space="0"/>
              <w:bottom w:val="single" w:color="auto" w:sz="4" w:space="0"/>
              <w:right w:val="single" w:color="auto" w:sz="4" w:space="0"/>
            </w:tcBorders>
            <w:vAlign w:val="center"/>
          </w:tcPr>
          <w:p w14:paraId="04F812C8">
            <w:pPr>
              <w:keepLines w:val="0"/>
              <w:pageBreakBefore w:val="0"/>
              <w:widowControl w:val="0"/>
              <w:numPr>
                <w:ilvl w:val="0"/>
                <w:numId w:val="0"/>
              </w:numPr>
              <w:kinsoku/>
              <w:overflowPunct/>
              <w:topLinePunct w:val="0"/>
              <w:autoSpaceDE/>
              <w:autoSpaceDN/>
              <w:bidi w:val="0"/>
              <w:adjustRightInd/>
              <w:jc w:val="both"/>
              <w:textAlignment w:val="auto"/>
              <w:rPr>
                <w:rFonts w:hint="default" w:ascii="Times New Roman" w:hAnsi="Times New Roman" w:cs="Times New Roman"/>
                <w:kern w:val="0"/>
                <w:sz w:val="22"/>
                <w:szCs w:val="22"/>
              </w:rPr>
            </w:pPr>
            <w:r>
              <w:rPr>
                <w:rFonts w:hint="default" w:ascii="Times New Roman" w:hAnsi="Times New Roman" w:cs="Times New Roman"/>
                <w:kern w:val="0"/>
                <w:sz w:val="22"/>
                <w:szCs w:val="22"/>
                <w:lang w:val="en-US" w:eastAsia="zh-CN"/>
              </w:rPr>
              <w:t>1.</w:t>
            </w:r>
            <w:r>
              <w:rPr>
                <w:rFonts w:hint="default" w:ascii="Times New Roman" w:hAnsi="Times New Roman" w:cs="Times New Roman"/>
                <w:kern w:val="0"/>
                <w:sz w:val="22"/>
                <w:szCs w:val="22"/>
              </w:rPr>
              <w:t>平台查看总上传数据量</w:t>
            </w:r>
          </w:p>
          <w:p w14:paraId="0C1C5347">
            <w:pPr>
              <w:keepLines w:val="0"/>
              <w:pageBreakBefore w:val="0"/>
              <w:widowControl w:val="0"/>
              <w:numPr>
                <w:ilvl w:val="0"/>
                <w:numId w:val="0"/>
              </w:numPr>
              <w:kinsoku/>
              <w:overflowPunct/>
              <w:topLinePunct w:val="0"/>
              <w:autoSpaceDE/>
              <w:autoSpaceDN/>
              <w:bidi w:val="0"/>
              <w:adjustRightInd/>
              <w:jc w:val="both"/>
              <w:textAlignment w:val="auto"/>
              <w:rPr>
                <w:rFonts w:hint="default" w:ascii="Times New Roman" w:hAnsi="Times New Roman" w:cs="Times New Roman"/>
                <w:kern w:val="0"/>
                <w:sz w:val="22"/>
                <w:szCs w:val="22"/>
              </w:rPr>
            </w:pPr>
            <w:r>
              <w:rPr>
                <w:rFonts w:hint="default" w:ascii="Times New Roman" w:hAnsi="Times New Roman" w:cs="Times New Roman"/>
                <w:kern w:val="0"/>
                <w:sz w:val="22"/>
                <w:szCs w:val="22"/>
                <w:lang w:val="en-US" w:eastAsia="zh-CN"/>
              </w:rPr>
              <w:t>2.</w:t>
            </w:r>
            <w:r>
              <w:rPr>
                <w:rFonts w:hint="default" w:ascii="Times New Roman" w:hAnsi="Times New Roman" w:cs="Times New Roman"/>
                <w:kern w:val="0"/>
                <w:sz w:val="22"/>
                <w:szCs w:val="22"/>
              </w:rPr>
              <w:t>查找、观看、编辑</w:t>
            </w:r>
          </w:p>
        </w:tc>
        <w:tc>
          <w:tcPr>
            <w:tcW w:w="5079" w:type="dxa"/>
            <w:gridSpan w:val="2"/>
            <w:tcBorders>
              <w:top w:val="single" w:color="auto" w:sz="4" w:space="0"/>
              <w:left w:val="single" w:color="auto" w:sz="4" w:space="0"/>
              <w:bottom w:val="single" w:color="auto" w:sz="4" w:space="0"/>
              <w:right w:val="single" w:color="auto" w:sz="4" w:space="0"/>
            </w:tcBorders>
            <w:vAlign w:val="center"/>
          </w:tcPr>
          <w:p w14:paraId="02AD2F26">
            <w:pPr>
              <w:keepLines w:val="0"/>
              <w:pageBreakBefore w:val="0"/>
              <w:widowControl w:val="0"/>
              <w:kinsoku/>
              <w:overflowPunct/>
              <w:topLinePunct w:val="0"/>
              <w:autoSpaceDE/>
              <w:autoSpaceDN/>
              <w:bidi w:val="0"/>
              <w:adjustRightInd/>
              <w:jc w:val="both"/>
              <w:textAlignment w:val="auto"/>
              <w:rPr>
                <w:rFonts w:hint="default" w:ascii="Times New Roman" w:hAnsi="Times New Roman" w:cs="Times New Roman"/>
                <w:kern w:val="0"/>
                <w:sz w:val="22"/>
                <w:szCs w:val="22"/>
              </w:rPr>
            </w:pPr>
            <w:r>
              <w:rPr>
                <w:rFonts w:hint="default" w:ascii="Times New Roman" w:hAnsi="Times New Roman" w:cs="Times New Roman"/>
                <w:kern w:val="0"/>
                <w:sz w:val="22"/>
                <w:szCs w:val="22"/>
              </w:rPr>
              <w:t>通过平台页面显示总数据量，用分类及搜索可以观看、编辑视频；</w:t>
            </w:r>
          </w:p>
        </w:tc>
        <w:tc>
          <w:tcPr>
            <w:tcW w:w="1155" w:type="dxa"/>
            <w:tcBorders>
              <w:top w:val="single" w:color="auto" w:sz="4" w:space="0"/>
              <w:left w:val="single" w:color="auto" w:sz="4" w:space="0"/>
              <w:bottom w:val="single" w:color="auto" w:sz="4" w:space="0"/>
              <w:right w:val="single" w:color="auto" w:sz="4" w:space="0"/>
            </w:tcBorders>
            <w:vAlign w:val="center"/>
          </w:tcPr>
          <w:p w14:paraId="1A3FB9BB">
            <w:pPr>
              <w:keepLines w:val="0"/>
              <w:pageBreakBefore w:val="0"/>
              <w:widowControl w:val="0"/>
              <w:kinsoku/>
              <w:overflowPunct/>
              <w:topLinePunct w:val="0"/>
              <w:autoSpaceDE/>
              <w:autoSpaceDN/>
              <w:bidi w:val="0"/>
              <w:adjustRightInd/>
              <w:ind w:firstLine="440" w:firstLineChars="200"/>
              <w:jc w:val="both"/>
              <w:textAlignment w:val="auto"/>
              <w:rPr>
                <w:rFonts w:hint="default" w:ascii="Times New Roman" w:hAnsi="Times New Roman" w:cs="Times New Roman"/>
                <w:kern w:val="0"/>
                <w:sz w:val="22"/>
                <w:szCs w:val="22"/>
              </w:rPr>
            </w:pPr>
            <w:r>
              <w:rPr>
                <w:rFonts w:hint="default" w:ascii="Times New Roman" w:hAnsi="Times New Roman" w:cs="Times New Roman"/>
                <w:kern w:val="0"/>
                <w:sz w:val="22"/>
                <w:szCs w:val="22"/>
              </w:rPr>
              <w:t>远程</w:t>
            </w:r>
          </w:p>
        </w:tc>
      </w:tr>
      <w:tr w14:paraId="36F08579">
        <w:tblPrEx>
          <w:tblCellMar>
            <w:top w:w="0" w:type="dxa"/>
            <w:left w:w="108" w:type="dxa"/>
            <w:bottom w:w="0" w:type="dxa"/>
            <w:right w:w="108" w:type="dxa"/>
          </w:tblCellMar>
        </w:tblPrEx>
        <w:trPr>
          <w:trHeight w:val="540" w:hRule="atLeast"/>
        </w:trPr>
        <w:tc>
          <w:tcPr>
            <w:tcW w:w="1418" w:type="dxa"/>
            <w:vMerge w:val="continue"/>
            <w:tcBorders>
              <w:top w:val="single" w:color="auto" w:sz="4" w:space="0"/>
              <w:left w:val="single" w:color="auto" w:sz="4" w:space="0"/>
              <w:bottom w:val="single" w:color="auto" w:sz="4" w:space="0"/>
              <w:right w:val="single" w:color="auto" w:sz="4" w:space="0"/>
            </w:tcBorders>
            <w:vAlign w:val="center"/>
          </w:tcPr>
          <w:p w14:paraId="74465A5E">
            <w:pPr>
              <w:keepLines w:val="0"/>
              <w:pageBreakBefore w:val="0"/>
              <w:widowControl w:val="0"/>
              <w:kinsoku/>
              <w:overflowPunct/>
              <w:topLinePunct w:val="0"/>
              <w:autoSpaceDE/>
              <w:autoSpaceDN/>
              <w:bidi w:val="0"/>
              <w:adjustRightInd/>
              <w:ind w:firstLine="440" w:firstLineChars="200"/>
              <w:jc w:val="center"/>
              <w:textAlignment w:val="auto"/>
              <w:rPr>
                <w:rFonts w:hint="default" w:ascii="Times New Roman" w:hAnsi="Times New Roman" w:cs="Times New Roman"/>
                <w:kern w:val="0"/>
                <w:sz w:val="22"/>
                <w:szCs w:val="22"/>
              </w:rPr>
            </w:pPr>
          </w:p>
        </w:tc>
        <w:tc>
          <w:tcPr>
            <w:tcW w:w="2126" w:type="dxa"/>
            <w:tcBorders>
              <w:top w:val="single" w:color="auto" w:sz="4" w:space="0"/>
              <w:left w:val="single" w:color="auto" w:sz="4" w:space="0"/>
              <w:bottom w:val="single" w:color="auto" w:sz="4" w:space="0"/>
              <w:right w:val="single" w:color="auto" w:sz="4" w:space="0"/>
            </w:tcBorders>
            <w:vAlign w:val="center"/>
          </w:tcPr>
          <w:p w14:paraId="36876A70">
            <w:pPr>
              <w:keepLines w:val="0"/>
              <w:pageBreakBefore w:val="0"/>
              <w:widowControl w:val="0"/>
              <w:numPr>
                <w:ilvl w:val="0"/>
                <w:numId w:val="0"/>
              </w:numPr>
              <w:kinsoku/>
              <w:overflowPunct/>
              <w:topLinePunct w:val="0"/>
              <w:autoSpaceDE/>
              <w:autoSpaceDN/>
              <w:bidi w:val="0"/>
              <w:adjustRightInd/>
              <w:jc w:val="both"/>
              <w:textAlignment w:val="auto"/>
              <w:rPr>
                <w:rFonts w:hint="default" w:ascii="Times New Roman" w:hAnsi="Times New Roman" w:cs="Times New Roman"/>
                <w:kern w:val="0"/>
                <w:sz w:val="22"/>
                <w:szCs w:val="22"/>
              </w:rPr>
            </w:pPr>
            <w:r>
              <w:rPr>
                <w:rFonts w:hint="default" w:ascii="Times New Roman" w:hAnsi="Times New Roman" w:cs="Times New Roman"/>
                <w:kern w:val="0"/>
                <w:sz w:val="22"/>
                <w:szCs w:val="22"/>
                <w:lang w:val="en-US" w:eastAsia="zh-CN"/>
              </w:rPr>
              <w:t>1.</w:t>
            </w:r>
            <w:r>
              <w:rPr>
                <w:rFonts w:hint="default" w:ascii="Times New Roman" w:hAnsi="Times New Roman" w:cs="Times New Roman"/>
                <w:kern w:val="0"/>
                <w:sz w:val="22"/>
                <w:szCs w:val="22"/>
              </w:rPr>
              <w:t>进入管理员账号</w:t>
            </w:r>
          </w:p>
          <w:p w14:paraId="4892F906">
            <w:pPr>
              <w:keepLines w:val="0"/>
              <w:pageBreakBefore w:val="0"/>
              <w:widowControl w:val="0"/>
              <w:numPr>
                <w:ilvl w:val="0"/>
                <w:numId w:val="0"/>
              </w:numPr>
              <w:kinsoku/>
              <w:overflowPunct/>
              <w:topLinePunct w:val="0"/>
              <w:autoSpaceDE/>
              <w:autoSpaceDN/>
              <w:bidi w:val="0"/>
              <w:adjustRightInd/>
              <w:jc w:val="both"/>
              <w:textAlignment w:val="auto"/>
              <w:rPr>
                <w:rFonts w:hint="default" w:ascii="Times New Roman" w:hAnsi="Times New Roman" w:cs="Times New Roman"/>
                <w:kern w:val="0"/>
                <w:sz w:val="22"/>
                <w:szCs w:val="22"/>
              </w:rPr>
            </w:pPr>
            <w:r>
              <w:rPr>
                <w:rFonts w:hint="default" w:ascii="Times New Roman" w:hAnsi="Times New Roman" w:cs="Times New Roman"/>
                <w:kern w:val="0"/>
                <w:sz w:val="22"/>
                <w:szCs w:val="22"/>
                <w:lang w:val="en-US" w:eastAsia="zh-CN"/>
              </w:rPr>
              <w:t>2.</w:t>
            </w:r>
            <w:r>
              <w:rPr>
                <w:rFonts w:hint="default" w:ascii="Times New Roman" w:hAnsi="Times New Roman" w:cs="Times New Roman"/>
                <w:kern w:val="0"/>
                <w:sz w:val="22"/>
                <w:szCs w:val="22"/>
              </w:rPr>
              <w:t>数据管理</w:t>
            </w:r>
          </w:p>
          <w:p w14:paraId="245EE89E">
            <w:pPr>
              <w:keepLines w:val="0"/>
              <w:pageBreakBefore w:val="0"/>
              <w:widowControl w:val="0"/>
              <w:numPr>
                <w:ilvl w:val="0"/>
                <w:numId w:val="0"/>
              </w:numPr>
              <w:kinsoku/>
              <w:overflowPunct/>
              <w:topLinePunct w:val="0"/>
              <w:autoSpaceDE/>
              <w:autoSpaceDN/>
              <w:bidi w:val="0"/>
              <w:adjustRightInd/>
              <w:jc w:val="both"/>
              <w:textAlignment w:val="auto"/>
              <w:rPr>
                <w:rFonts w:hint="default" w:ascii="Times New Roman" w:hAnsi="Times New Roman" w:cs="Times New Roman"/>
                <w:kern w:val="0"/>
                <w:sz w:val="22"/>
                <w:szCs w:val="22"/>
              </w:rPr>
            </w:pPr>
            <w:r>
              <w:rPr>
                <w:rFonts w:hint="default" w:ascii="Times New Roman" w:hAnsi="Times New Roman" w:cs="Times New Roman"/>
                <w:kern w:val="0"/>
                <w:sz w:val="22"/>
                <w:szCs w:val="22"/>
                <w:lang w:val="en-US" w:eastAsia="zh-CN"/>
              </w:rPr>
              <w:t>3.</w:t>
            </w:r>
            <w:r>
              <w:rPr>
                <w:rFonts w:hint="default" w:ascii="Times New Roman" w:hAnsi="Times New Roman" w:cs="Times New Roman"/>
                <w:kern w:val="0"/>
                <w:sz w:val="22"/>
                <w:szCs w:val="22"/>
              </w:rPr>
              <w:t>页面</w:t>
            </w:r>
          </w:p>
        </w:tc>
        <w:tc>
          <w:tcPr>
            <w:tcW w:w="5079" w:type="dxa"/>
            <w:gridSpan w:val="2"/>
            <w:tcBorders>
              <w:top w:val="single" w:color="auto" w:sz="4" w:space="0"/>
              <w:left w:val="single" w:color="auto" w:sz="4" w:space="0"/>
              <w:bottom w:val="single" w:color="auto" w:sz="4" w:space="0"/>
              <w:right w:val="single" w:color="auto" w:sz="4" w:space="0"/>
            </w:tcBorders>
            <w:vAlign w:val="center"/>
          </w:tcPr>
          <w:p w14:paraId="26FB992C">
            <w:pPr>
              <w:keepLines w:val="0"/>
              <w:pageBreakBefore w:val="0"/>
              <w:widowControl w:val="0"/>
              <w:kinsoku/>
              <w:overflowPunct/>
              <w:topLinePunct w:val="0"/>
              <w:autoSpaceDE/>
              <w:autoSpaceDN/>
              <w:bidi w:val="0"/>
              <w:adjustRightInd/>
              <w:jc w:val="both"/>
              <w:textAlignment w:val="auto"/>
              <w:rPr>
                <w:rFonts w:hint="default" w:ascii="Times New Roman" w:hAnsi="Times New Roman" w:cs="Times New Roman"/>
                <w:kern w:val="0"/>
                <w:sz w:val="22"/>
                <w:szCs w:val="22"/>
              </w:rPr>
            </w:pPr>
            <w:r>
              <w:rPr>
                <w:rFonts w:hint="default" w:ascii="Times New Roman" w:hAnsi="Times New Roman" w:cs="Times New Roman"/>
                <w:kern w:val="0"/>
                <w:sz w:val="22"/>
                <w:szCs w:val="22"/>
              </w:rPr>
              <w:t>进入平台页面，查看警员名称，警号，视频级别分类，重要视频有**标记，显示视频上传状态；</w:t>
            </w:r>
          </w:p>
        </w:tc>
        <w:tc>
          <w:tcPr>
            <w:tcW w:w="1155" w:type="dxa"/>
            <w:tcBorders>
              <w:top w:val="single" w:color="auto" w:sz="4" w:space="0"/>
              <w:left w:val="single" w:color="auto" w:sz="4" w:space="0"/>
              <w:bottom w:val="single" w:color="auto" w:sz="4" w:space="0"/>
              <w:right w:val="single" w:color="auto" w:sz="4" w:space="0"/>
            </w:tcBorders>
            <w:vAlign w:val="center"/>
          </w:tcPr>
          <w:p w14:paraId="2579241D">
            <w:pPr>
              <w:keepLines w:val="0"/>
              <w:pageBreakBefore w:val="0"/>
              <w:widowControl w:val="0"/>
              <w:kinsoku/>
              <w:overflowPunct/>
              <w:topLinePunct w:val="0"/>
              <w:autoSpaceDE/>
              <w:autoSpaceDN/>
              <w:bidi w:val="0"/>
              <w:adjustRightInd/>
              <w:ind w:firstLine="440" w:firstLineChars="200"/>
              <w:jc w:val="both"/>
              <w:textAlignment w:val="auto"/>
              <w:rPr>
                <w:rFonts w:hint="default" w:ascii="Times New Roman" w:hAnsi="Times New Roman" w:cs="Times New Roman"/>
                <w:kern w:val="0"/>
                <w:sz w:val="22"/>
                <w:szCs w:val="22"/>
              </w:rPr>
            </w:pPr>
            <w:r>
              <w:rPr>
                <w:rFonts w:hint="default" w:ascii="Times New Roman" w:hAnsi="Times New Roman" w:cs="Times New Roman"/>
                <w:kern w:val="0"/>
                <w:sz w:val="22"/>
                <w:szCs w:val="22"/>
              </w:rPr>
              <w:t>远程</w:t>
            </w:r>
          </w:p>
        </w:tc>
      </w:tr>
      <w:tr w14:paraId="0873029D">
        <w:tblPrEx>
          <w:tblCellMar>
            <w:top w:w="0" w:type="dxa"/>
            <w:left w:w="108" w:type="dxa"/>
            <w:bottom w:w="0" w:type="dxa"/>
            <w:right w:w="108" w:type="dxa"/>
          </w:tblCellMar>
        </w:tblPrEx>
        <w:trPr>
          <w:trHeight w:val="540" w:hRule="atLeast"/>
        </w:trPr>
        <w:tc>
          <w:tcPr>
            <w:tcW w:w="1418" w:type="dxa"/>
            <w:vMerge w:val="continue"/>
            <w:tcBorders>
              <w:top w:val="single" w:color="auto" w:sz="4" w:space="0"/>
              <w:left w:val="single" w:color="auto" w:sz="4" w:space="0"/>
              <w:bottom w:val="single" w:color="auto" w:sz="4" w:space="0"/>
              <w:right w:val="single" w:color="auto" w:sz="4" w:space="0"/>
            </w:tcBorders>
            <w:vAlign w:val="center"/>
          </w:tcPr>
          <w:p w14:paraId="0612F969">
            <w:pPr>
              <w:keepLines w:val="0"/>
              <w:pageBreakBefore w:val="0"/>
              <w:widowControl w:val="0"/>
              <w:kinsoku/>
              <w:overflowPunct/>
              <w:topLinePunct w:val="0"/>
              <w:autoSpaceDE/>
              <w:autoSpaceDN/>
              <w:bidi w:val="0"/>
              <w:adjustRightInd/>
              <w:ind w:firstLine="440" w:firstLineChars="200"/>
              <w:jc w:val="center"/>
              <w:textAlignment w:val="auto"/>
              <w:rPr>
                <w:rFonts w:hint="default" w:ascii="Times New Roman" w:hAnsi="Times New Roman" w:cs="Times New Roman"/>
                <w:kern w:val="0"/>
                <w:sz w:val="22"/>
                <w:szCs w:val="22"/>
              </w:rPr>
            </w:pPr>
          </w:p>
        </w:tc>
        <w:tc>
          <w:tcPr>
            <w:tcW w:w="2126" w:type="dxa"/>
            <w:tcBorders>
              <w:top w:val="single" w:color="auto" w:sz="4" w:space="0"/>
              <w:left w:val="single" w:color="auto" w:sz="4" w:space="0"/>
              <w:bottom w:val="single" w:color="auto" w:sz="4" w:space="0"/>
              <w:right w:val="single" w:color="auto" w:sz="4" w:space="0"/>
            </w:tcBorders>
            <w:vAlign w:val="center"/>
          </w:tcPr>
          <w:p w14:paraId="67E638CF">
            <w:pPr>
              <w:keepLines w:val="0"/>
              <w:pageBreakBefore w:val="0"/>
              <w:widowControl w:val="0"/>
              <w:kinsoku/>
              <w:overflowPunct/>
              <w:topLinePunct w:val="0"/>
              <w:autoSpaceDE/>
              <w:autoSpaceDN/>
              <w:bidi w:val="0"/>
              <w:adjustRightInd/>
              <w:jc w:val="both"/>
              <w:textAlignment w:val="auto"/>
              <w:rPr>
                <w:rFonts w:hint="default" w:ascii="Times New Roman" w:hAnsi="Times New Roman" w:cs="Times New Roman"/>
                <w:kern w:val="0"/>
                <w:sz w:val="22"/>
                <w:szCs w:val="22"/>
              </w:rPr>
            </w:pPr>
            <w:r>
              <w:rPr>
                <w:rFonts w:hint="default" w:ascii="Times New Roman" w:hAnsi="Times New Roman" w:cs="Times New Roman"/>
                <w:kern w:val="0"/>
                <w:sz w:val="22"/>
                <w:szCs w:val="22"/>
                <w:lang w:val="en-US" w:eastAsia="zh-CN"/>
              </w:rPr>
              <w:t>1.</w:t>
            </w:r>
            <w:r>
              <w:rPr>
                <w:rFonts w:hint="default" w:ascii="Times New Roman" w:hAnsi="Times New Roman" w:cs="Times New Roman"/>
                <w:kern w:val="0"/>
                <w:sz w:val="22"/>
                <w:szCs w:val="22"/>
              </w:rPr>
              <w:t>进入管理员账号</w:t>
            </w:r>
          </w:p>
          <w:p w14:paraId="438DECF2">
            <w:pPr>
              <w:keepLines w:val="0"/>
              <w:pageBreakBefore w:val="0"/>
              <w:widowControl w:val="0"/>
              <w:kinsoku/>
              <w:overflowPunct/>
              <w:topLinePunct w:val="0"/>
              <w:autoSpaceDE/>
              <w:autoSpaceDN/>
              <w:bidi w:val="0"/>
              <w:adjustRightInd/>
              <w:jc w:val="both"/>
              <w:textAlignment w:val="auto"/>
              <w:rPr>
                <w:rFonts w:hint="default" w:ascii="Times New Roman" w:hAnsi="Times New Roman" w:cs="Times New Roman"/>
                <w:kern w:val="0"/>
                <w:sz w:val="22"/>
                <w:szCs w:val="22"/>
              </w:rPr>
            </w:pPr>
            <w:r>
              <w:rPr>
                <w:rFonts w:hint="default" w:ascii="Times New Roman" w:hAnsi="Times New Roman" w:cs="Times New Roman"/>
                <w:kern w:val="0"/>
                <w:sz w:val="22"/>
                <w:szCs w:val="22"/>
                <w:lang w:val="en-US" w:eastAsia="zh-CN"/>
              </w:rPr>
              <w:t>2.</w:t>
            </w:r>
            <w:r>
              <w:rPr>
                <w:rFonts w:hint="default" w:ascii="Times New Roman" w:hAnsi="Times New Roman" w:cs="Times New Roman"/>
                <w:kern w:val="0"/>
                <w:sz w:val="22"/>
                <w:szCs w:val="22"/>
              </w:rPr>
              <w:t>数据管理</w:t>
            </w:r>
          </w:p>
          <w:p w14:paraId="582B4B64">
            <w:pPr>
              <w:keepLines w:val="0"/>
              <w:pageBreakBefore w:val="0"/>
              <w:widowControl w:val="0"/>
              <w:kinsoku/>
              <w:overflowPunct/>
              <w:topLinePunct w:val="0"/>
              <w:autoSpaceDE/>
              <w:autoSpaceDN/>
              <w:bidi w:val="0"/>
              <w:adjustRightInd/>
              <w:jc w:val="both"/>
              <w:textAlignment w:val="auto"/>
              <w:rPr>
                <w:rFonts w:hint="default" w:ascii="Times New Roman" w:hAnsi="Times New Roman" w:cs="Times New Roman"/>
                <w:kern w:val="0"/>
                <w:sz w:val="22"/>
                <w:szCs w:val="22"/>
              </w:rPr>
            </w:pPr>
            <w:r>
              <w:rPr>
                <w:rFonts w:hint="default" w:ascii="Times New Roman" w:hAnsi="Times New Roman" w:cs="Times New Roman"/>
                <w:kern w:val="0"/>
                <w:sz w:val="22"/>
                <w:szCs w:val="22"/>
                <w:lang w:val="en-US" w:eastAsia="zh-CN"/>
              </w:rPr>
              <w:t>3.</w:t>
            </w:r>
            <w:r>
              <w:rPr>
                <w:rFonts w:hint="default" w:ascii="Times New Roman" w:hAnsi="Times New Roman" w:cs="Times New Roman"/>
                <w:kern w:val="0"/>
                <w:sz w:val="22"/>
                <w:szCs w:val="22"/>
              </w:rPr>
              <w:t>导入时间</w:t>
            </w:r>
          </w:p>
        </w:tc>
        <w:tc>
          <w:tcPr>
            <w:tcW w:w="5079" w:type="dxa"/>
            <w:gridSpan w:val="2"/>
            <w:tcBorders>
              <w:top w:val="single" w:color="auto" w:sz="4" w:space="0"/>
              <w:left w:val="single" w:color="auto" w:sz="4" w:space="0"/>
              <w:bottom w:val="single" w:color="auto" w:sz="4" w:space="0"/>
              <w:right w:val="single" w:color="auto" w:sz="4" w:space="0"/>
            </w:tcBorders>
            <w:vAlign w:val="center"/>
          </w:tcPr>
          <w:p w14:paraId="487D8E1D">
            <w:pPr>
              <w:keepLines w:val="0"/>
              <w:pageBreakBefore w:val="0"/>
              <w:widowControl w:val="0"/>
              <w:kinsoku/>
              <w:overflowPunct/>
              <w:topLinePunct w:val="0"/>
              <w:autoSpaceDE/>
              <w:autoSpaceDN/>
              <w:bidi w:val="0"/>
              <w:adjustRightInd/>
              <w:jc w:val="both"/>
              <w:textAlignment w:val="auto"/>
              <w:rPr>
                <w:rFonts w:hint="default" w:ascii="Times New Roman" w:hAnsi="Times New Roman" w:cs="Times New Roman"/>
                <w:kern w:val="0"/>
                <w:sz w:val="22"/>
                <w:szCs w:val="22"/>
              </w:rPr>
            </w:pPr>
            <w:r>
              <w:rPr>
                <w:rFonts w:hint="default" w:ascii="Times New Roman" w:hAnsi="Times New Roman" w:cs="Times New Roman"/>
                <w:kern w:val="0"/>
                <w:sz w:val="22"/>
                <w:szCs w:val="22"/>
              </w:rPr>
              <w:t>通过输入导入时间精准查找视频；</w:t>
            </w:r>
          </w:p>
        </w:tc>
        <w:tc>
          <w:tcPr>
            <w:tcW w:w="1155" w:type="dxa"/>
            <w:tcBorders>
              <w:top w:val="single" w:color="auto" w:sz="4" w:space="0"/>
              <w:left w:val="single" w:color="auto" w:sz="4" w:space="0"/>
              <w:bottom w:val="single" w:color="auto" w:sz="4" w:space="0"/>
              <w:right w:val="single" w:color="auto" w:sz="4" w:space="0"/>
            </w:tcBorders>
            <w:vAlign w:val="center"/>
          </w:tcPr>
          <w:p w14:paraId="1F8FAFF0">
            <w:pPr>
              <w:keepLines w:val="0"/>
              <w:pageBreakBefore w:val="0"/>
              <w:widowControl w:val="0"/>
              <w:kinsoku/>
              <w:overflowPunct/>
              <w:topLinePunct w:val="0"/>
              <w:autoSpaceDE/>
              <w:autoSpaceDN/>
              <w:bidi w:val="0"/>
              <w:adjustRightInd/>
              <w:ind w:firstLine="440" w:firstLineChars="200"/>
              <w:jc w:val="both"/>
              <w:textAlignment w:val="auto"/>
              <w:rPr>
                <w:rFonts w:hint="default" w:ascii="Times New Roman" w:hAnsi="Times New Roman" w:cs="Times New Roman"/>
                <w:kern w:val="0"/>
                <w:sz w:val="22"/>
                <w:szCs w:val="22"/>
              </w:rPr>
            </w:pPr>
            <w:r>
              <w:rPr>
                <w:rFonts w:hint="default" w:ascii="Times New Roman" w:hAnsi="Times New Roman" w:cs="Times New Roman"/>
                <w:kern w:val="0"/>
                <w:sz w:val="22"/>
                <w:szCs w:val="22"/>
              </w:rPr>
              <w:t>远程</w:t>
            </w:r>
          </w:p>
        </w:tc>
      </w:tr>
      <w:tr w14:paraId="6D23BE32">
        <w:tblPrEx>
          <w:tblCellMar>
            <w:top w:w="0" w:type="dxa"/>
            <w:left w:w="108" w:type="dxa"/>
            <w:bottom w:w="0" w:type="dxa"/>
            <w:right w:w="108" w:type="dxa"/>
          </w:tblCellMar>
        </w:tblPrEx>
        <w:trPr>
          <w:trHeight w:val="646" w:hRule="atLeast"/>
        </w:trPr>
        <w:tc>
          <w:tcPr>
            <w:tcW w:w="1418" w:type="dxa"/>
            <w:vMerge w:val="continue"/>
            <w:tcBorders>
              <w:top w:val="single" w:color="auto" w:sz="4" w:space="0"/>
              <w:left w:val="single" w:color="auto" w:sz="4" w:space="0"/>
              <w:bottom w:val="single" w:color="auto" w:sz="4" w:space="0"/>
              <w:right w:val="single" w:color="auto" w:sz="4" w:space="0"/>
            </w:tcBorders>
            <w:vAlign w:val="center"/>
          </w:tcPr>
          <w:p w14:paraId="5AFFF0C8">
            <w:pPr>
              <w:keepLines w:val="0"/>
              <w:pageBreakBefore w:val="0"/>
              <w:widowControl w:val="0"/>
              <w:kinsoku/>
              <w:overflowPunct/>
              <w:topLinePunct w:val="0"/>
              <w:autoSpaceDE/>
              <w:autoSpaceDN/>
              <w:bidi w:val="0"/>
              <w:adjustRightInd/>
              <w:ind w:firstLine="440" w:firstLineChars="200"/>
              <w:jc w:val="center"/>
              <w:textAlignment w:val="auto"/>
              <w:rPr>
                <w:rFonts w:hint="default" w:ascii="Times New Roman" w:hAnsi="Times New Roman" w:cs="Times New Roman"/>
                <w:kern w:val="0"/>
                <w:sz w:val="22"/>
                <w:szCs w:val="22"/>
              </w:rPr>
            </w:pPr>
          </w:p>
        </w:tc>
        <w:tc>
          <w:tcPr>
            <w:tcW w:w="2126" w:type="dxa"/>
            <w:tcBorders>
              <w:top w:val="single" w:color="auto" w:sz="4" w:space="0"/>
              <w:left w:val="single" w:color="auto" w:sz="4" w:space="0"/>
              <w:bottom w:val="single" w:color="auto" w:sz="4" w:space="0"/>
              <w:right w:val="single" w:color="auto" w:sz="4" w:space="0"/>
            </w:tcBorders>
            <w:vAlign w:val="center"/>
          </w:tcPr>
          <w:p w14:paraId="721BD332">
            <w:pPr>
              <w:keepLines w:val="0"/>
              <w:pageBreakBefore w:val="0"/>
              <w:widowControl w:val="0"/>
              <w:numPr>
                <w:ilvl w:val="0"/>
                <w:numId w:val="0"/>
              </w:numPr>
              <w:kinsoku/>
              <w:overflowPunct/>
              <w:topLinePunct w:val="0"/>
              <w:autoSpaceDE/>
              <w:autoSpaceDN/>
              <w:bidi w:val="0"/>
              <w:adjustRightInd/>
              <w:jc w:val="both"/>
              <w:textAlignment w:val="auto"/>
              <w:rPr>
                <w:rFonts w:hint="default" w:ascii="Times New Roman" w:hAnsi="Times New Roman" w:cs="Times New Roman"/>
                <w:kern w:val="0"/>
                <w:sz w:val="22"/>
                <w:szCs w:val="22"/>
              </w:rPr>
            </w:pPr>
            <w:r>
              <w:rPr>
                <w:rFonts w:hint="default" w:ascii="Times New Roman" w:hAnsi="Times New Roman" w:cs="Times New Roman"/>
                <w:kern w:val="0"/>
                <w:sz w:val="22"/>
                <w:szCs w:val="22"/>
                <w:lang w:val="en-US" w:eastAsia="zh-CN"/>
              </w:rPr>
              <w:t>1.</w:t>
            </w:r>
            <w:r>
              <w:rPr>
                <w:rFonts w:hint="default" w:ascii="Times New Roman" w:hAnsi="Times New Roman" w:cs="Times New Roman"/>
                <w:kern w:val="0"/>
                <w:sz w:val="22"/>
                <w:szCs w:val="22"/>
              </w:rPr>
              <w:t>进入管理员账号</w:t>
            </w:r>
          </w:p>
          <w:p w14:paraId="6BAEE15C">
            <w:pPr>
              <w:keepLines w:val="0"/>
              <w:pageBreakBefore w:val="0"/>
              <w:widowControl w:val="0"/>
              <w:numPr>
                <w:ilvl w:val="0"/>
                <w:numId w:val="0"/>
              </w:numPr>
              <w:kinsoku/>
              <w:overflowPunct/>
              <w:topLinePunct w:val="0"/>
              <w:autoSpaceDE/>
              <w:autoSpaceDN/>
              <w:bidi w:val="0"/>
              <w:adjustRightInd/>
              <w:jc w:val="both"/>
              <w:textAlignment w:val="auto"/>
              <w:rPr>
                <w:rFonts w:hint="default" w:ascii="Times New Roman" w:hAnsi="Times New Roman" w:cs="Times New Roman"/>
                <w:kern w:val="0"/>
                <w:sz w:val="22"/>
                <w:szCs w:val="22"/>
              </w:rPr>
            </w:pPr>
            <w:r>
              <w:rPr>
                <w:rFonts w:hint="default" w:ascii="Times New Roman" w:hAnsi="Times New Roman" w:cs="Times New Roman"/>
                <w:kern w:val="0"/>
                <w:sz w:val="22"/>
                <w:szCs w:val="22"/>
                <w:lang w:val="en-US" w:eastAsia="zh-CN"/>
              </w:rPr>
              <w:t>2.</w:t>
            </w:r>
            <w:r>
              <w:rPr>
                <w:rFonts w:hint="default" w:ascii="Times New Roman" w:hAnsi="Times New Roman" w:cs="Times New Roman"/>
                <w:kern w:val="0"/>
                <w:sz w:val="22"/>
                <w:szCs w:val="22"/>
              </w:rPr>
              <w:t>数据管理</w:t>
            </w:r>
          </w:p>
          <w:p w14:paraId="50FB691C">
            <w:pPr>
              <w:keepLines w:val="0"/>
              <w:pageBreakBefore w:val="0"/>
              <w:widowControl w:val="0"/>
              <w:numPr>
                <w:ilvl w:val="0"/>
                <w:numId w:val="0"/>
              </w:numPr>
              <w:kinsoku/>
              <w:overflowPunct/>
              <w:topLinePunct w:val="0"/>
              <w:autoSpaceDE/>
              <w:autoSpaceDN/>
              <w:bidi w:val="0"/>
              <w:adjustRightInd/>
              <w:jc w:val="both"/>
              <w:textAlignment w:val="auto"/>
              <w:rPr>
                <w:rFonts w:hint="default" w:ascii="Times New Roman" w:hAnsi="Times New Roman" w:cs="Times New Roman"/>
                <w:kern w:val="0"/>
                <w:sz w:val="22"/>
                <w:szCs w:val="22"/>
              </w:rPr>
            </w:pPr>
            <w:r>
              <w:rPr>
                <w:rFonts w:hint="default" w:ascii="Times New Roman" w:hAnsi="Times New Roman" w:cs="Times New Roman"/>
                <w:kern w:val="0"/>
                <w:sz w:val="22"/>
                <w:szCs w:val="22"/>
                <w:lang w:val="en-US" w:eastAsia="zh-CN"/>
              </w:rPr>
              <w:t>3.</w:t>
            </w:r>
            <w:r>
              <w:rPr>
                <w:rFonts w:hint="default" w:ascii="Times New Roman" w:hAnsi="Times New Roman" w:cs="Times New Roman"/>
                <w:kern w:val="0"/>
                <w:sz w:val="22"/>
                <w:szCs w:val="22"/>
              </w:rPr>
              <w:t>下载</w:t>
            </w:r>
          </w:p>
        </w:tc>
        <w:tc>
          <w:tcPr>
            <w:tcW w:w="5079" w:type="dxa"/>
            <w:gridSpan w:val="2"/>
            <w:tcBorders>
              <w:top w:val="single" w:color="auto" w:sz="4" w:space="0"/>
              <w:left w:val="single" w:color="auto" w:sz="4" w:space="0"/>
              <w:bottom w:val="single" w:color="auto" w:sz="4" w:space="0"/>
              <w:right w:val="single" w:color="auto" w:sz="4" w:space="0"/>
            </w:tcBorders>
            <w:vAlign w:val="center"/>
          </w:tcPr>
          <w:p w14:paraId="14FD2D2F">
            <w:pPr>
              <w:keepLines w:val="0"/>
              <w:pageBreakBefore w:val="0"/>
              <w:widowControl w:val="0"/>
              <w:kinsoku/>
              <w:overflowPunct/>
              <w:topLinePunct w:val="0"/>
              <w:autoSpaceDE/>
              <w:autoSpaceDN/>
              <w:bidi w:val="0"/>
              <w:adjustRightInd/>
              <w:jc w:val="both"/>
              <w:textAlignment w:val="auto"/>
              <w:rPr>
                <w:rFonts w:hint="default" w:ascii="Times New Roman" w:hAnsi="Times New Roman" w:cs="Times New Roman"/>
                <w:kern w:val="0"/>
                <w:sz w:val="22"/>
                <w:szCs w:val="22"/>
              </w:rPr>
            </w:pPr>
            <w:r>
              <w:rPr>
                <w:rFonts w:hint="default" w:ascii="Times New Roman" w:hAnsi="Times New Roman" w:cs="Times New Roman"/>
                <w:kern w:val="0"/>
                <w:sz w:val="22"/>
                <w:szCs w:val="22"/>
              </w:rPr>
              <w:t>下载，批量下载视频；</w:t>
            </w:r>
          </w:p>
        </w:tc>
        <w:tc>
          <w:tcPr>
            <w:tcW w:w="1155" w:type="dxa"/>
            <w:tcBorders>
              <w:top w:val="single" w:color="auto" w:sz="4" w:space="0"/>
              <w:left w:val="single" w:color="auto" w:sz="4" w:space="0"/>
              <w:bottom w:val="single" w:color="auto" w:sz="4" w:space="0"/>
              <w:right w:val="single" w:color="auto" w:sz="4" w:space="0"/>
            </w:tcBorders>
            <w:vAlign w:val="center"/>
          </w:tcPr>
          <w:p w14:paraId="1E93177E">
            <w:pPr>
              <w:keepLines w:val="0"/>
              <w:pageBreakBefore w:val="0"/>
              <w:widowControl w:val="0"/>
              <w:kinsoku/>
              <w:overflowPunct/>
              <w:topLinePunct w:val="0"/>
              <w:autoSpaceDE/>
              <w:autoSpaceDN/>
              <w:bidi w:val="0"/>
              <w:adjustRightInd/>
              <w:ind w:firstLine="440" w:firstLineChars="200"/>
              <w:jc w:val="both"/>
              <w:textAlignment w:val="auto"/>
              <w:rPr>
                <w:rFonts w:hint="default" w:ascii="Times New Roman" w:hAnsi="Times New Roman" w:cs="Times New Roman"/>
                <w:kern w:val="0"/>
                <w:sz w:val="22"/>
                <w:szCs w:val="22"/>
              </w:rPr>
            </w:pPr>
            <w:r>
              <w:rPr>
                <w:rFonts w:hint="default" w:ascii="Times New Roman" w:hAnsi="Times New Roman" w:cs="Times New Roman"/>
                <w:kern w:val="0"/>
                <w:sz w:val="22"/>
                <w:szCs w:val="22"/>
              </w:rPr>
              <w:t>远程</w:t>
            </w:r>
          </w:p>
        </w:tc>
      </w:tr>
      <w:tr w14:paraId="34E36CC6">
        <w:tblPrEx>
          <w:tblCellMar>
            <w:top w:w="0" w:type="dxa"/>
            <w:left w:w="108" w:type="dxa"/>
            <w:bottom w:w="0" w:type="dxa"/>
            <w:right w:w="108" w:type="dxa"/>
          </w:tblCellMar>
        </w:tblPrEx>
        <w:trPr>
          <w:trHeight w:val="480" w:hRule="atLeast"/>
        </w:trPr>
        <w:tc>
          <w:tcPr>
            <w:tcW w:w="1418" w:type="dxa"/>
            <w:vMerge w:val="restart"/>
            <w:tcBorders>
              <w:top w:val="single" w:color="auto" w:sz="4" w:space="0"/>
              <w:left w:val="single" w:color="auto" w:sz="4" w:space="0"/>
              <w:bottom w:val="single" w:color="auto" w:sz="4" w:space="0"/>
              <w:right w:val="single" w:color="auto" w:sz="4" w:space="0"/>
            </w:tcBorders>
            <w:vAlign w:val="center"/>
          </w:tcPr>
          <w:p w14:paraId="46191B11">
            <w:pPr>
              <w:keepLines w:val="0"/>
              <w:pageBreakBefore w:val="0"/>
              <w:widowControl w:val="0"/>
              <w:kinsoku/>
              <w:overflowPunct/>
              <w:topLinePunct w:val="0"/>
              <w:autoSpaceDE/>
              <w:autoSpaceDN/>
              <w:bidi w:val="0"/>
              <w:adjustRightInd/>
              <w:jc w:val="both"/>
              <w:textAlignment w:val="auto"/>
              <w:rPr>
                <w:rFonts w:hint="default" w:ascii="Times New Roman" w:hAnsi="Times New Roman" w:cs="Times New Roman"/>
                <w:kern w:val="0"/>
                <w:sz w:val="22"/>
                <w:szCs w:val="22"/>
              </w:rPr>
            </w:pPr>
            <w:r>
              <w:rPr>
                <w:rFonts w:hint="default" w:ascii="Times New Roman" w:hAnsi="Times New Roman" w:cs="Times New Roman"/>
                <w:color w:val="000000"/>
                <w:kern w:val="0"/>
                <w:sz w:val="22"/>
                <w:szCs w:val="22"/>
              </w:rPr>
              <w:t>系统管理</w:t>
            </w:r>
          </w:p>
        </w:tc>
        <w:tc>
          <w:tcPr>
            <w:tcW w:w="2126" w:type="dxa"/>
            <w:tcBorders>
              <w:top w:val="single" w:color="auto" w:sz="4" w:space="0"/>
              <w:left w:val="single" w:color="auto" w:sz="4" w:space="0"/>
              <w:bottom w:val="single" w:color="auto" w:sz="4" w:space="0"/>
              <w:right w:val="single" w:color="auto" w:sz="4" w:space="0"/>
            </w:tcBorders>
            <w:vAlign w:val="center"/>
          </w:tcPr>
          <w:p w14:paraId="17F49B79">
            <w:pPr>
              <w:keepLines w:val="0"/>
              <w:pageBreakBefore w:val="0"/>
              <w:widowControl w:val="0"/>
              <w:numPr>
                <w:ilvl w:val="0"/>
                <w:numId w:val="0"/>
              </w:numPr>
              <w:kinsoku/>
              <w:overflowPunct/>
              <w:topLinePunct w:val="0"/>
              <w:autoSpaceDE/>
              <w:autoSpaceDN/>
              <w:bidi w:val="0"/>
              <w:adjustRightInd/>
              <w:jc w:val="both"/>
              <w:textAlignment w:val="auto"/>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lang w:val="en-US" w:eastAsia="zh-CN"/>
              </w:rPr>
              <w:t>1.</w:t>
            </w:r>
            <w:r>
              <w:rPr>
                <w:rFonts w:hint="default" w:ascii="Times New Roman" w:hAnsi="Times New Roman" w:cs="Times New Roman"/>
                <w:color w:val="000000"/>
                <w:kern w:val="0"/>
                <w:sz w:val="22"/>
                <w:szCs w:val="22"/>
              </w:rPr>
              <w:t>进入管理员账号</w:t>
            </w:r>
          </w:p>
          <w:p w14:paraId="4BFCC877">
            <w:pPr>
              <w:keepLines w:val="0"/>
              <w:pageBreakBefore w:val="0"/>
              <w:widowControl w:val="0"/>
              <w:numPr>
                <w:ilvl w:val="0"/>
                <w:numId w:val="0"/>
              </w:numPr>
              <w:kinsoku/>
              <w:overflowPunct/>
              <w:topLinePunct w:val="0"/>
              <w:autoSpaceDE/>
              <w:autoSpaceDN/>
              <w:bidi w:val="0"/>
              <w:adjustRightInd/>
              <w:jc w:val="both"/>
              <w:textAlignment w:val="auto"/>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lang w:val="en-US" w:eastAsia="zh-CN"/>
              </w:rPr>
              <w:t>2.</w:t>
            </w:r>
            <w:r>
              <w:rPr>
                <w:rFonts w:hint="default" w:ascii="Times New Roman" w:hAnsi="Times New Roman" w:cs="Times New Roman"/>
                <w:color w:val="000000"/>
                <w:kern w:val="0"/>
                <w:sz w:val="22"/>
                <w:szCs w:val="22"/>
              </w:rPr>
              <w:t>设置不同角色</w:t>
            </w:r>
          </w:p>
          <w:p w14:paraId="1C23FC37">
            <w:pPr>
              <w:keepLines w:val="0"/>
              <w:pageBreakBefore w:val="0"/>
              <w:widowControl w:val="0"/>
              <w:numPr>
                <w:ilvl w:val="0"/>
                <w:numId w:val="0"/>
              </w:numPr>
              <w:kinsoku/>
              <w:overflowPunct/>
              <w:topLinePunct w:val="0"/>
              <w:autoSpaceDE/>
              <w:autoSpaceDN/>
              <w:bidi w:val="0"/>
              <w:adjustRightInd/>
              <w:jc w:val="both"/>
              <w:textAlignment w:val="auto"/>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lang w:val="en-US" w:eastAsia="zh-CN"/>
              </w:rPr>
              <w:t>3.</w:t>
            </w:r>
            <w:r>
              <w:rPr>
                <w:rFonts w:hint="default" w:ascii="Times New Roman" w:hAnsi="Times New Roman" w:cs="Times New Roman"/>
                <w:color w:val="000000"/>
                <w:kern w:val="0"/>
                <w:sz w:val="22"/>
                <w:szCs w:val="22"/>
              </w:rPr>
              <w:t>勾选权限</w:t>
            </w:r>
          </w:p>
        </w:tc>
        <w:tc>
          <w:tcPr>
            <w:tcW w:w="5079" w:type="dxa"/>
            <w:gridSpan w:val="2"/>
            <w:tcBorders>
              <w:top w:val="single" w:color="auto" w:sz="4" w:space="0"/>
              <w:left w:val="single" w:color="auto" w:sz="4" w:space="0"/>
              <w:bottom w:val="single" w:color="auto" w:sz="4" w:space="0"/>
              <w:right w:val="single" w:color="auto" w:sz="4" w:space="0"/>
            </w:tcBorders>
            <w:vAlign w:val="center"/>
          </w:tcPr>
          <w:p w14:paraId="4AFE8DE4">
            <w:pPr>
              <w:keepLines w:val="0"/>
              <w:pageBreakBefore w:val="0"/>
              <w:widowControl w:val="0"/>
              <w:kinsoku/>
              <w:overflowPunct/>
              <w:topLinePunct w:val="0"/>
              <w:autoSpaceDE/>
              <w:autoSpaceDN/>
              <w:bidi w:val="0"/>
              <w:adjustRightInd/>
              <w:jc w:val="both"/>
              <w:textAlignment w:val="auto"/>
              <w:rPr>
                <w:rFonts w:hint="default" w:ascii="Times New Roman" w:hAnsi="Times New Roman" w:cs="Times New Roman"/>
                <w:kern w:val="0"/>
                <w:sz w:val="22"/>
                <w:szCs w:val="22"/>
              </w:rPr>
            </w:pPr>
            <w:r>
              <w:rPr>
                <w:rFonts w:hint="default" w:ascii="Times New Roman" w:hAnsi="Times New Roman" w:cs="Times New Roman"/>
                <w:color w:val="000000"/>
                <w:kern w:val="0"/>
                <w:sz w:val="22"/>
                <w:szCs w:val="22"/>
              </w:rPr>
              <w:t xml:space="preserve">按用户不同的角色来分配权限。上级部门可以查阅下级部门的数据信息，下级部门不能查看上级部门数据信息。 </w:t>
            </w:r>
          </w:p>
        </w:tc>
        <w:tc>
          <w:tcPr>
            <w:tcW w:w="1155" w:type="dxa"/>
            <w:tcBorders>
              <w:top w:val="single" w:color="auto" w:sz="4" w:space="0"/>
              <w:left w:val="single" w:color="auto" w:sz="4" w:space="0"/>
              <w:bottom w:val="single" w:color="auto" w:sz="4" w:space="0"/>
              <w:right w:val="single" w:color="auto" w:sz="4" w:space="0"/>
            </w:tcBorders>
            <w:vAlign w:val="center"/>
          </w:tcPr>
          <w:p w14:paraId="19D7F5E0">
            <w:pPr>
              <w:keepLines w:val="0"/>
              <w:pageBreakBefore w:val="0"/>
              <w:widowControl w:val="0"/>
              <w:kinsoku/>
              <w:overflowPunct/>
              <w:topLinePunct w:val="0"/>
              <w:autoSpaceDE/>
              <w:autoSpaceDN/>
              <w:bidi w:val="0"/>
              <w:adjustRightInd/>
              <w:ind w:firstLine="440" w:firstLineChars="200"/>
              <w:jc w:val="both"/>
              <w:textAlignment w:val="auto"/>
              <w:rPr>
                <w:rFonts w:hint="default" w:ascii="Times New Roman" w:hAnsi="Times New Roman" w:cs="Times New Roman"/>
                <w:kern w:val="0"/>
                <w:sz w:val="22"/>
                <w:szCs w:val="22"/>
              </w:rPr>
            </w:pPr>
            <w:r>
              <w:rPr>
                <w:rFonts w:hint="default" w:ascii="Times New Roman" w:hAnsi="Times New Roman" w:cs="Times New Roman"/>
                <w:kern w:val="0"/>
                <w:sz w:val="22"/>
                <w:szCs w:val="22"/>
              </w:rPr>
              <w:t>远程</w:t>
            </w:r>
          </w:p>
        </w:tc>
      </w:tr>
      <w:tr w14:paraId="6D629E7C">
        <w:tblPrEx>
          <w:tblCellMar>
            <w:top w:w="0" w:type="dxa"/>
            <w:left w:w="108" w:type="dxa"/>
            <w:bottom w:w="0" w:type="dxa"/>
            <w:right w:w="108" w:type="dxa"/>
          </w:tblCellMar>
        </w:tblPrEx>
        <w:trPr>
          <w:trHeight w:val="666" w:hRule="atLeast"/>
        </w:trPr>
        <w:tc>
          <w:tcPr>
            <w:tcW w:w="1418" w:type="dxa"/>
            <w:vMerge w:val="continue"/>
            <w:tcBorders>
              <w:top w:val="single" w:color="auto" w:sz="4" w:space="0"/>
              <w:left w:val="single" w:color="auto" w:sz="4" w:space="0"/>
              <w:bottom w:val="single" w:color="auto" w:sz="4" w:space="0"/>
              <w:right w:val="single" w:color="auto" w:sz="4" w:space="0"/>
            </w:tcBorders>
            <w:vAlign w:val="center"/>
          </w:tcPr>
          <w:p w14:paraId="3DC8C6A9">
            <w:pPr>
              <w:keepLines w:val="0"/>
              <w:pageBreakBefore w:val="0"/>
              <w:widowControl w:val="0"/>
              <w:kinsoku/>
              <w:overflowPunct/>
              <w:topLinePunct w:val="0"/>
              <w:autoSpaceDE/>
              <w:autoSpaceDN/>
              <w:bidi w:val="0"/>
              <w:adjustRightInd/>
              <w:ind w:firstLine="440" w:firstLineChars="200"/>
              <w:jc w:val="center"/>
              <w:textAlignment w:val="auto"/>
              <w:rPr>
                <w:rFonts w:hint="default" w:ascii="Times New Roman" w:hAnsi="Times New Roman" w:cs="Times New Roman"/>
                <w:kern w:val="0"/>
                <w:sz w:val="22"/>
                <w:szCs w:val="22"/>
              </w:rPr>
            </w:pPr>
          </w:p>
        </w:tc>
        <w:tc>
          <w:tcPr>
            <w:tcW w:w="2126" w:type="dxa"/>
            <w:tcBorders>
              <w:top w:val="single" w:color="auto" w:sz="4" w:space="0"/>
              <w:left w:val="single" w:color="auto" w:sz="4" w:space="0"/>
              <w:bottom w:val="single" w:color="auto" w:sz="4" w:space="0"/>
              <w:right w:val="single" w:color="auto" w:sz="4" w:space="0"/>
            </w:tcBorders>
            <w:vAlign w:val="center"/>
          </w:tcPr>
          <w:p w14:paraId="4C2F8023">
            <w:pPr>
              <w:keepLines w:val="0"/>
              <w:pageBreakBefore w:val="0"/>
              <w:widowControl w:val="0"/>
              <w:numPr>
                <w:ilvl w:val="0"/>
                <w:numId w:val="0"/>
              </w:numPr>
              <w:kinsoku/>
              <w:overflowPunct/>
              <w:topLinePunct w:val="0"/>
              <w:autoSpaceDE/>
              <w:autoSpaceDN/>
              <w:bidi w:val="0"/>
              <w:adjustRightInd/>
              <w:jc w:val="both"/>
              <w:textAlignment w:val="auto"/>
              <w:rPr>
                <w:rFonts w:hint="default" w:ascii="Times New Roman" w:hAnsi="Times New Roman" w:cs="Times New Roman"/>
                <w:kern w:val="0"/>
                <w:sz w:val="22"/>
                <w:szCs w:val="22"/>
              </w:rPr>
            </w:pPr>
            <w:r>
              <w:rPr>
                <w:rFonts w:hint="default" w:ascii="Times New Roman" w:hAnsi="Times New Roman" w:cs="Times New Roman"/>
                <w:kern w:val="0"/>
                <w:sz w:val="22"/>
                <w:szCs w:val="22"/>
                <w:lang w:val="en-US" w:eastAsia="zh-CN"/>
              </w:rPr>
              <w:t>1.</w:t>
            </w:r>
            <w:r>
              <w:rPr>
                <w:rFonts w:hint="default" w:ascii="Times New Roman" w:hAnsi="Times New Roman" w:cs="Times New Roman"/>
                <w:kern w:val="0"/>
                <w:sz w:val="22"/>
                <w:szCs w:val="22"/>
              </w:rPr>
              <w:t>进入管理员账号</w:t>
            </w:r>
          </w:p>
          <w:p w14:paraId="464263EF">
            <w:pPr>
              <w:keepLines w:val="0"/>
              <w:pageBreakBefore w:val="0"/>
              <w:widowControl w:val="0"/>
              <w:numPr>
                <w:ilvl w:val="0"/>
                <w:numId w:val="0"/>
              </w:numPr>
              <w:kinsoku/>
              <w:overflowPunct/>
              <w:topLinePunct w:val="0"/>
              <w:autoSpaceDE/>
              <w:autoSpaceDN/>
              <w:bidi w:val="0"/>
              <w:adjustRightInd/>
              <w:jc w:val="both"/>
              <w:textAlignment w:val="auto"/>
              <w:rPr>
                <w:rFonts w:hint="default" w:ascii="Times New Roman" w:hAnsi="Times New Roman" w:cs="Times New Roman"/>
                <w:kern w:val="0"/>
                <w:sz w:val="22"/>
                <w:szCs w:val="22"/>
              </w:rPr>
            </w:pPr>
            <w:r>
              <w:rPr>
                <w:rFonts w:hint="default" w:ascii="Times New Roman" w:hAnsi="Times New Roman" w:cs="Times New Roman"/>
                <w:kern w:val="0"/>
                <w:sz w:val="22"/>
                <w:szCs w:val="22"/>
                <w:lang w:val="en-US" w:eastAsia="zh-CN"/>
              </w:rPr>
              <w:t>2.</w:t>
            </w:r>
            <w:r>
              <w:rPr>
                <w:rFonts w:hint="default" w:ascii="Times New Roman" w:hAnsi="Times New Roman" w:cs="Times New Roman"/>
                <w:kern w:val="0"/>
                <w:sz w:val="22"/>
                <w:szCs w:val="22"/>
              </w:rPr>
              <w:t>建立总部门</w:t>
            </w:r>
          </w:p>
          <w:p w14:paraId="0061BB89">
            <w:pPr>
              <w:keepLines w:val="0"/>
              <w:pageBreakBefore w:val="0"/>
              <w:widowControl w:val="0"/>
              <w:numPr>
                <w:ilvl w:val="0"/>
                <w:numId w:val="0"/>
              </w:numPr>
              <w:kinsoku/>
              <w:overflowPunct/>
              <w:topLinePunct w:val="0"/>
              <w:autoSpaceDE/>
              <w:autoSpaceDN/>
              <w:bidi w:val="0"/>
              <w:adjustRightInd/>
              <w:jc w:val="both"/>
              <w:textAlignment w:val="auto"/>
              <w:rPr>
                <w:rFonts w:hint="default" w:ascii="Times New Roman" w:hAnsi="Times New Roman" w:cs="Times New Roman"/>
                <w:kern w:val="0"/>
                <w:sz w:val="22"/>
                <w:szCs w:val="22"/>
              </w:rPr>
            </w:pPr>
            <w:r>
              <w:rPr>
                <w:rFonts w:hint="default" w:ascii="Times New Roman" w:hAnsi="Times New Roman" w:cs="Times New Roman"/>
                <w:kern w:val="0"/>
                <w:sz w:val="22"/>
                <w:szCs w:val="22"/>
                <w:lang w:val="en-US" w:eastAsia="zh-CN"/>
              </w:rPr>
              <w:t>3.</w:t>
            </w:r>
            <w:r>
              <w:rPr>
                <w:rFonts w:hint="default" w:ascii="Times New Roman" w:hAnsi="Times New Roman" w:cs="Times New Roman"/>
                <w:kern w:val="0"/>
                <w:sz w:val="22"/>
                <w:szCs w:val="22"/>
              </w:rPr>
              <w:t>拓展子部门</w:t>
            </w:r>
          </w:p>
        </w:tc>
        <w:tc>
          <w:tcPr>
            <w:tcW w:w="5079" w:type="dxa"/>
            <w:gridSpan w:val="2"/>
            <w:tcBorders>
              <w:top w:val="single" w:color="auto" w:sz="4" w:space="0"/>
              <w:left w:val="single" w:color="auto" w:sz="4" w:space="0"/>
              <w:bottom w:val="single" w:color="auto" w:sz="4" w:space="0"/>
              <w:right w:val="single" w:color="auto" w:sz="4" w:space="0"/>
            </w:tcBorders>
            <w:vAlign w:val="center"/>
          </w:tcPr>
          <w:p w14:paraId="53AF7A7D">
            <w:pPr>
              <w:keepLines w:val="0"/>
              <w:pageBreakBefore w:val="0"/>
              <w:widowControl w:val="0"/>
              <w:kinsoku/>
              <w:overflowPunct/>
              <w:topLinePunct w:val="0"/>
              <w:autoSpaceDE/>
              <w:autoSpaceDN/>
              <w:bidi w:val="0"/>
              <w:adjustRightInd/>
              <w:jc w:val="both"/>
              <w:textAlignment w:val="auto"/>
              <w:rPr>
                <w:rFonts w:hint="default" w:ascii="Times New Roman" w:hAnsi="Times New Roman" w:cs="Times New Roman"/>
                <w:kern w:val="0"/>
                <w:sz w:val="22"/>
                <w:szCs w:val="22"/>
              </w:rPr>
            </w:pPr>
            <w:r>
              <w:rPr>
                <w:rFonts w:hint="default" w:ascii="Times New Roman" w:hAnsi="Times New Roman" w:cs="Times New Roman"/>
                <w:color w:val="000000"/>
                <w:kern w:val="0"/>
                <w:sz w:val="22"/>
                <w:szCs w:val="22"/>
              </w:rPr>
              <w:t>部门设置多层级管理，可无限极扩展，有各层级部门信息的增加、修改、删除功能；</w:t>
            </w:r>
          </w:p>
        </w:tc>
        <w:tc>
          <w:tcPr>
            <w:tcW w:w="1155" w:type="dxa"/>
            <w:tcBorders>
              <w:top w:val="single" w:color="auto" w:sz="4" w:space="0"/>
              <w:left w:val="single" w:color="auto" w:sz="4" w:space="0"/>
              <w:bottom w:val="single" w:color="auto" w:sz="4" w:space="0"/>
              <w:right w:val="single" w:color="auto" w:sz="4" w:space="0"/>
            </w:tcBorders>
            <w:vAlign w:val="center"/>
          </w:tcPr>
          <w:p w14:paraId="18752AF5">
            <w:pPr>
              <w:keepLines w:val="0"/>
              <w:pageBreakBefore w:val="0"/>
              <w:widowControl w:val="0"/>
              <w:kinsoku/>
              <w:overflowPunct/>
              <w:topLinePunct w:val="0"/>
              <w:autoSpaceDE/>
              <w:autoSpaceDN/>
              <w:bidi w:val="0"/>
              <w:adjustRightInd/>
              <w:ind w:firstLine="440" w:firstLineChars="200"/>
              <w:jc w:val="both"/>
              <w:textAlignment w:val="auto"/>
              <w:rPr>
                <w:rFonts w:hint="default" w:ascii="Times New Roman" w:hAnsi="Times New Roman" w:cs="Times New Roman"/>
                <w:kern w:val="0"/>
                <w:sz w:val="22"/>
                <w:szCs w:val="22"/>
              </w:rPr>
            </w:pPr>
            <w:r>
              <w:rPr>
                <w:rFonts w:hint="default" w:ascii="Times New Roman" w:hAnsi="Times New Roman" w:cs="Times New Roman"/>
                <w:kern w:val="0"/>
                <w:sz w:val="22"/>
                <w:szCs w:val="22"/>
              </w:rPr>
              <w:t>远程</w:t>
            </w:r>
          </w:p>
        </w:tc>
      </w:tr>
      <w:tr w14:paraId="3FC26E37">
        <w:tblPrEx>
          <w:tblCellMar>
            <w:top w:w="0" w:type="dxa"/>
            <w:left w:w="108" w:type="dxa"/>
            <w:bottom w:w="0" w:type="dxa"/>
            <w:right w:w="108" w:type="dxa"/>
          </w:tblCellMar>
        </w:tblPrEx>
        <w:trPr>
          <w:trHeight w:val="862" w:hRule="atLeast"/>
        </w:trPr>
        <w:tc>
          <w:tcPr>
            <w:tcW w:w="1418" w:type="dxa"/>
            <w:vMerge w:val="continue"/>
            <w:tcBorders>
              <w:top w:val="single" w:color="auto" w:sz="4" w:space="0"/>
              <w:left w:val="single" w:color="auto" w:sz="4" w:space="0"/>
              <w:bottom w:val="single" w:color="auto" w:sz="4" w:space="0"/>
              <w:right w:val="single" w:color="auto" w:sz="4" w:space="0"/>
            </w:tcBorders>
            <w:vAlign w:val="center"/>
          </w:tcPr>
          <w:p w14:paraId="3E15B3BE">
            <w:pPr>
              <w:keepLines w:val="0"/>
              <w:pageBreakBefore w:val="0"/>
              <w:widowControl w:val="0"/>
              <w:kinsoku/>
              <w:overflowPunct/>
              <w:topLinePunct w:val="0"/>
              <w:autoSpaceDE/>
              <w:autoSpaceDN/>
              <w:bidi w:val="0"/>
              <w:adjustRightInd/>
              <w:ind w:firstLine="440" w:firstLineChars="200"/>
              <w:jc w:val="center"/>
              <w:textAlignment w:val="auto"/>
              <w:rPr>
                <w:rFonts w:hint="default" w:ascii="Times New Roman" w:hAnsi="Times New Roman" w:cs="Times New Roman"/>
                <w:kern w:val="0"/>
                <w:sz w:val="22"/>
                <w:szCs w:val="22"/>
              </w:rPr>
            </w:pPr>
          </w:p>
        </w:tc>
        <w:tc>
          <w:tcPr>
            <w:tcW w:w="2126" w:type="dxa"/>
            <w:tcBorders>
              <w:top w:val="single" w:color="auto" w:sz="4" w:space="0"/>
              <w:left w:val="single" w:color="auto" w:sz="4" w:space="0"/>
              <w:bottom w:val="single" w:color="auto" w:sz="4" w:space="0"/>
              <w:right w:val="single" w:color="auto" w:sz="4" w:space="0"/>
            </w:tcBorders>
            <w:vAlign w:val="center"/>
          </w:tcPr>
          <w:p w14:paraId="25AF805B">
            <w:pPr>
              <w:keepLines w:val="0"/>
              <w:pageBreakBefore w:val="0"/>
              <w:widowControl w:val="0"/>
              <w:numPr>
                <w:ilvl w:val="0"/>
                <w:numId w:val="0"/>
              </w:numPr>
              <w:kinsoku/>
              <w:overflowPunct/>
              <w:topLinePunct w:val="0"/>
              <w:autoSpaceDE/>
              <w:autoSpaceDN/>
              <w:bidi w:val="0"/>
              <w:adjustRightInd/>
              <w:jc w:val="both"/>
              <w:textAlignment w:val="auto"/>
              <w:rPr>
                <w:rFonts w:hint="default" w:ascii="Times New Roman" w:hAnsi="Times New Roman" w:cs="Times New Roman"/>
                <w:kern w:val="0"/>
                <w:sz w:val="22"/>
                <w:szCs w:val="22"/>
              </w:rPr>
            </w:pPr>
            <w:r>
              <w:rPr>
                <w:rFonts w:hint="default" w:ascii="Times New Roman" w:hAnsi="Times New Roman" w:cs="Times New Roman"/>
                <w:kern w:val="0"/>
                <w:sz w:val="22"/>
                <w:szCs w:val="22"/>
                <w:lang w:val="en-US" w:eastAsia="zh-CN"/>
              </w:rPr>
              <w:t>1.</w:t>
            </w:r>
            <w:r>
              <w:rPr>
                <w:rFonts w:hint="default" w:ascii="Times New Roman" w:hAnsi="Times New Roman" w:cs="Times New Roman"/>
                <w:kern w:val="0"/>
                <w:sz w:val="22"/>
                <w:szCs w:val="22"/>
              </w:rPr>
              <w:t>进入管理员账号</w:t>
            </w:r>
          </w:p>
          <w:p w14:paraId="1F262FB8">
            <w:pPr>
              <w:keepLines w:val="0"/>
              <w:pageBreakBefore w:val="0"/>
              <w:widowControl w:val="0"/>
              <w:numPr>
                <w:ilvl w:val="0"/>
                <w:numId w:val="0"/>
              </w:numPr>
              <w:kinsoku/>
              <w:overflowPunct/>
              <w:topLinePunct w:val="0"/>
              <w:autoSpaceDE/>
              <w:autoSpaceDN/>
              <w:bidi w:val="0"/>
              <w:adjustRightInd/>
              <w:jc w:val="both"/>
              <w:textAlignment w:val="auto"/>
              <w:rPr>
                <w:rFonts w:hint="default" w:ascii="Times New Roman" w:hAnsi="Times New Roman" w:cs="Times New Roman"/>
                <w:kern w:val="0"/>
                <w:sz w:val="22"/>
                <w:szCs w:val="22"/>
              </w:rPr>
            </w:pPr>
            <w:r>
              <w:rPr>
                <w:rFonts w:hint="default" w:ascii="Times New Roman" w:hAnsi="Times New Roman" w:cs="Times New Roman"/>
                <w:kern w:val="0"/>
                <w:sz w:val="22"/>
                <w:szCs w:val="22"/>
                <w:lang w:val="en-US" w:eastAsia="zh-CN"/>
              </w:rPr>
              <w:t>2.</w:t>
            </w:r>
            <w:r>
              <w:rPr>
                <w:rFonts w:hint="default" w:ascii="Times New Roman" w:hAnsi="Times New Roman" w:cs="Times New Roman"/>
                <w:kern w:val="0"/>
                <w:sz w:val="22"/>
                <w:szCs w:val="22"/>
              </w:rPr>
              <w:t>菜单-系统日志</w:t>
            </w:r>
          </w:p>
        </w:tc>
        <w:tc>
          <w:tcPr>
            <w:tcW w:w="5079" w:type="dxa"/>
            <w:gridSpan w:val="2"/>
            <w:tcBorders>
              <w:top w:val="single" w:color="auto" w:sz="4" w:space="0"/>
              <w:left w:val="single" w:color="auto" w:sz="4" w:space="0"/>
              <w:bottom w:val="single" w:color="auto" w:sz="4" w:space="0"/>
              <w:right w:val="single" w:color="auto" w:sz="4" w:space="0"/>
            </w:tcBorders>
            <w:vAlign w:val="center"/>
          </w:tcPr>
          <w:p w14:paraId="06D58FA1">
            <w:pPr>
              <w:keepLines w:val="0"/>
              <w:pageBreakBefore w:val="0"/>
              <w:widowControl w:val="0"/>
              <w:kinsoku/>
              <w:overflowPunct/>
              <w:topLinePunct w:val="0"/>
              <w:autoSpaceDE/>
              <w:autoSpaceDN/>
              <w:bidi w:val="0"/>
              <w:adjustRightInd/>
              <w:jc w:val="both"/>
              <w:textAlignment w:val="auto"/>
              <w:rPr>
                <w:rFonts w:hint="default" w:ascii="Times New Roman" w:hAnsi="Times New Roman" w:cs="Times New Roman"/>
                <w:kern w:val="0"/>
                <w:sz w:val="22"/>
                <w:szCs w:val="22"/>
              </w:rPr>
            </w:pPr>
            <w:r>
              <w:rPr>
                <w:rFonts w:hint="default" w:ascii="Times New Roman" w:hAnsi="Times New Roman" w:cs="Times New Roman"/>
                <w:kern w:val="0"/>
                <w:sz w:val="22"/>
                <w:szCs w:val="22"/>
              </w:rPr>
              <w:t>显示用户进入系统的操作记录；</w:t>
            </w:r>
          </w:p>
        </w:tc>
        <w:tc>
          <w:tcPr>
            <w:tcW w:w="1155" w:type="dxa"/>
            <w:tcBorders>
              <w:top w:val="single" w:color="auto" w:sz="4" w:space="0"/>
              <w:left w:val="single" w:color="auto" w:sz="4" w:space="0"/>
              <w:bottom w:val="single" w:color="auto" w:sz="4" w:space="0"/>
              <w:right w:val="single" w:color="auto" w:sz="4" w:space="0"/>
            </w:tcBorders>
            <w:vAlign w:val="center"/>
          </w:tcPr>
          <w:p w14:paraId="72ECB502">
            <w:pPr>
              <w:keepLines w:val="0"/>
              <w:pageBreakBefore w:val="0"/>
              <w:widowControl w:val="0"/>
              <w:kinsoku/>
              <w:overflowPunct/>
              <w:topLinePunct w:val="0"/>
              <w:autoSpaceDE/>
              <w:autoSpaceDN/>
              <w:bidi w:val="0"/>
              <w:adjustRightInd/>
              <w:ind w:firstLine="440" w:firstLineChars="200"/>
              <w:jc w:val="both"/>
              <w:textAlignment w:val="auto"/>
              <w:rPr>
                <w:rFonts w:hint="default" w:ascii="Times New Roman" w:hAnsi="Times New Roman" w:cs="Times New Roman"/>
                <w:kern w:val="0"/>
                <w:sz w:val="22"/>
                <w:szCs w:val="22"/>
              </w:rPr>
            </w:pPr>
            <w:r>
              <w:rPr>
                <w:rFonts w:hint="default" w:ascii="Times New Roman" w:hAnsi="Times New Roman" w:cs="Times New Roman"/>
                <w:kern w:val="0"/>
                <w:sz w:val="22"/>
                <w:szCs w:val="22"/>
              </w:rPr>
              <w:t>远程</w:t>
            </w:r>
          </w:p>
        </w:tc>
      </w:tr>
      <w:tr w14:paraId="7FF2048E">
        <w:tblPrEx>
          <w:tblCellMar>
            <w:top w:w="0" w:type="dxa"/>
            <w:left w:w="108" w:type="dxa"/>
            <w:bottom w:w="0" w:type="dxa"/>
            <w:right w:w="108" w:type="dxa"/>
          </w:tblCellMar>
        </w:tblPrEx>
        <w:trPr>
          <w:trHeight w:val="639" w:hRule="atLeast"/>
        </w:trPr>
        <w:tc>
          <w:tcPr>
            <w:tcW w:w="1418" w:type="dxa"/>
            <w:vMerge w:val="continue"/>
            <w:tcBorders>
              <w:top w:val="single" w:color="auto" w:sz="4" w:space="0"/>
              <w:left w:val="single" w:color="auto" w:sz="4" w:space="0"/>
              <w:bottom w:val="single" w:color="auto" w:sz="4" w:space="0"/>
              <w:right w:val="single" w:color="auto" w:sz="4" w:space="0"/>
            </w:tcBorders>
            <w:vAlign w:val="center"/>
          </w:tcPr>
          <w:p w14:paraId="6A8CE862">
            <w:pPr>
              <w:keepLines w:val="0"/>
              <w:pageBreakBefore w:val="0"/>
              <w:widowControl w:val="0"/>
              <w:kinsoku/>
              <w:overflowPunct/>
              <w:topLinePunct w:val="0"/>
              <w:autoSpaceDE/>
              <w:autoSpaceDN/>
              <w:bidi w:val="0"/>
              <w:adjustRightInd/>
              <w:ind w:firstLine="440" w:firstLineChars="200"/>
              <w:jc w:val="center"/>
              <w:textAlignment w:val="auto"/>
              <w:rPr>
                <w:rFonts w:hint="default" w:ascii="Times New Roman" w:hAnsi="Times New Roman" w:cs="Times New Roman"/>
                <w:kern w:val="0"/>
                <w:sz w:val="22"/>
                <w:szCs w:val="22"/>
              </w:rPr>
            </w:pPr>
          </w:p>
        </w:tc>
        <w:tc>
          <w:tcPr>
            <w:tcW w:w="2126" w:type="dxa"/>
            <w:tcBorders>
              <w:top w:val="single" w:color="auto" w:sz="4" w:space="0"/>
              <w:left w:val="single" w:color="auto" w:sz="4" w:space="0"/>
              <w:bottom w:val="single" w:color="auto" w:sz="4" w:space="0"/>
              <w:right w:val="single" w:color="auto" w:sz="4" w:space="0"/>
            </w:tcBorders>
            <w:vAlign w:val="center"/>
          </w:tcPr>
          <w:p w14:paraId="37B5ED55">
            <w:pPr>
              <w:keepLines w:val="0"/>
              <w:pageBreakBefore w:val="0"/>
              <w:widowControl w:val="0"/>
              <w:numPr>
                <w:ilvl w:val="0"/>
                <w:numId w:val="0"/>
              </w:numPr>
              <w:kinsoku/>
              <w:overflowPunct/>
              <w:topLinePunct w:val="0"/>
              <w:autoSpaceDE/>
              <w:autoSpaceDN/>
              <w:bidi w:val="0"/>
              <w:adjustRightInd/>
              <w:jc w:val="both"/>
              <w:textAlignment w:val="auto"/>
              <w:rPr>
                <w:rFonts w:hint="default" w:ascii="Times New Roman" w:hAnsi="Times New Roman" w:cs="Times New Roman"/>
                <w:kern w:val="0"/>
                <w:sz w:val="22"/>
                <w:szCs w:val="22"/>
              </w:rPr>
            </w:pPr>
            <w:r>
              <w:rPr>
                <w:rFonts w:hint="default" w:ascii="Times New Roman" w:hAnsi="Times New Roman" w:cs="Times New Roman"/>
                <w:kern w:val="0"/>
                <w:sz w:val="22"/>
                <w:szCs w:val="22"/>
                <w:lang w:val="en-US" w:eastAsia="zh-CN"/>
              </w:rPr>
              <w:t>1.</w:t>
            </w:r>
            <w:r>
              <w:rPr>
                <w:rFonts w:hint="default" w:ascii="Times New Roman" w:hAnsi="Times New Roman" w:cs="Times New Roman"/>
                <w:kern w:val="0"/>
                <w:sz w:val="22"/>
                <w:szCs w:val="22"/>
              </w:rPr>
              <w:t>进入管理员账号</w:t>
            </w:r>
          </w:p>
          <w:p w14:paraId="49F09068">
            <w:pPr>
              <w:keepLines w:val="0"/>
              <w:pageBreakBefore w:val="0"/>
              <w:widowControl w:val="0"/>
              <w:numPr>
                <w:ilvl w:val="0"/>
                <w:numId w:val="0"/>
              </w:numPr>
              <w:kinsoku/>
              <w:overflowPunct/>
              <w:topLinePunct w:val="0"/>
              <w:autoSpaceDE/>
              <w:autoSpaceDN/>
              <w:bidi w:val="0"/>
              <w:adjustRightInd/>
              <w:jc w:val="both"/>
              <w:textAlignment w:val="auto"/>
              <w:rPr>
                <w:rFonts w:hint="default" w:ascii="Times New Roman" w:hAnsi="Times New Roman" w:cs="Times New Roman"/>
                <w:kern w:val="0"/>
                <w:sz w:val="22"/>
                <w:szCs w:val="22"/>
              </w:rPr>
            </w:pPr>
            <w:r>
              <w:rPr>
                <w:rFonts w:hint="default" w:ascii="Times New Roman" w:hAnsi="Times New Roman" w:cs="Times New Roman"/>
                <w:kern w:val="0"/>
                <w:sz w:val="22"/>
                <w:szCs w:val="22"/>
                <w:lang w:val="en-US" w:eastAsia="zh-CN"/>
              </w:rPr>
              <w:t>2.</w:t>
            </w:r>
            <w:r>
              <w:rPr>
                <w:rFonts w:hint="default" w:ascii="Times New Roman" w:hAnsi="Times New Roman" w:cs="Times New Roman"/>
                <w:kern w:val="0"/>
                <w:sz w:val="22"/>
                <w:szCs w:val="22"/>
              </w:rPr>
              <w:t>修改密码</w:t>
            </w:r>
          </w:p>
        </w:tc>
        <w:tc>
          <w:tcPr>
            <w:tcW w:w="5079" w:type="dxa"/>
            <w:gridSpan w:val="2"/>
            <w:tcBorders>
              <w:top w:val="single" w:color="auto" w:sz="4" w:space="0"/>
              <w:left w:val="single" w:color="auto" w:sz="4" w:space="0"/>
              <w:bottom w:val="single" w:color="auto" w:sz="4" w:space="0"/>
              <w:right w:val="single" w:color="auto" w:sz="4" w:space="0"/>
            </w:tcBorders>
            <w:vAlign w:val="center"/>
          </w:tcPr>
          <w:p w14:paraId="184CEA2B">
            <w:pPr>
              <w:keepLines w:val="0"/>
              <w:pageBreakBefore w:val="0"/>
              <w:widowControl w:val="0"/>
              <w:kinsoku/>
              <w:overflowPunct/>
              <w:topLinePunct w:val="0"/>
              <w:autoSpaceDE/>
              <w:autoSpaceDN/>
              <w:bidi w:val="0"/>
              <w:adjustRightInd/>
              <w:jc w:val="both"/>
              <w:textAlignment w:val="auto"/>
              <w:rPr>
                <w:rFonts w:hint="default" w:ascii="Times New Roman" w:hAnsi="Times New Roman" w:cs="Times New Roman"/>
                <w:kern w:val="0"/>
                <w:sz w:val="22"/>
                <w:szCs w:val="22"/>
              </w:rPr>
            </w:pPr>
            <w:r>
              <w:rPr>
                <w:rFonts w:hint="default" w:ascii="Times New Roman" w:hAnsi="Times New Roman" w:cs="Times New Roman"/>
                <w:kern w:val="0"/>
                <w:sz w:val="22"/>
                <w:szCs w:val="22"/>
              </w:rPr>
              <w:t>通过管理员对其任意连接平台采集站进行远程修改密码；</w:t>
            </w:r>
          </w:p>
        </w:tc>
        <w:tc>
          <w:tcPr>
            <w:tcW w:w="1155" w:type="dxa"/>
            <w:tcBorders>
              <w:top w:val="single" w:color="auto" w:sz="4" w:space="0"/>
              <w:left w:val="single" w:color="auto" w:sz="4" w:space="0"/>
              <w:bottom w:val="single" w:color="auto" w:sz="4" w:space="0"/>
              <w:right w:val="single" w:color="auto" w:sz="4" w:space="0"/>
            </w:tcBorders>
            <w:vAlign w:val="center"/>
          </w:tcPr>
          <w:p w14:paraId="34B09541">
            <w:pPr>
              <w:keepLines w:val="0"/>
              <w:pageBreakBefore w:val="0"/>
              <w:widowControl w:val="0"/>
              <w:kinsoku/>
              <w:overflowPunct/>
              <w:topLinePunct w:val="0"/>
              <w:autoSpaceDE/>
              <w:autoSpaceDN/>
              <w:bidi w:val="0"/>
              <w:adjustRightInd/>
              <w:ind w:firstLine="440" w:firstLineChars="200"/>
              <w:jc w:val="both"/>
              <w:textAlignment w:val="auto"/>
              <w:rPr>
                <w:rFonts w:hint="default" w:ascii="Times New Roman" w:hAnsi="Times New Roman" w:cs="Times New Roman"/>
                <w:kern w:val="0"/>
                <w:sz w:val="22"/>
                <w:szCs w:val="22"/>
              </w:rPr>
            </w:pPr>
            <w:r>
              <w:rPr>
                <w:rFonts w:hint="default" w:ascii="Times New Roman" w:hAnsi="Times New Roman" w:cs="Times New Roman"/>
                <w:kern w:val="0"/>
                <w:sz w:val="22"/>
                <w:szCs w:val="22"/>
              </w:rPr>
              <w:t>远程</w:t>
            </w:r>
          </w:p>
        </w:tc>
      </w:tr>
      <w:tr w14:paraId="6A233FAC">
        <w:tblPrEx>
          <w:tblCellMar>
            <w:top w:w="0" w:type="dxa"/>
            <w:left w:w="108" w:type="dxa"/>
            <w:bottom w:w="0" w:type="dxa"/>
            <w:right w:w="108" w:type="dxa"/>
          </w:tblCellMar>
        </w:tblPrEx>
        <w:trPr>
          <w:trHeight w:val="270" w:hRule="atLeast"/>
        </w:trPr>
        <w:tc>
          <w:tcPr>
            <w:tcW w:w="1418" w:type="dxa"/>
            <w:vMerge w:val="restart"/>
            <w:tcBorders>
              <w:top w:val="single" w:color="auto" w:sz="4" w:space="0"/>
              <w:left w:val="single" w:color="auto" w:sz="4" w:space="0"/>
              <w:bottom w:val="single" w:color="auto" w:sz="4" w:space="0"/>
              <w:right w:val="single" w:color="auto" w:sz="4" w:space="0"/>
            </w:tcBorders>
            <w:vAlign w:val="center"/>
          </w:tcPr>
          <w:p w14:paraId="7AC125DC">
            <w:pPr>
              <w:keepLines w:val="0"/>
              <w:pageBreakBefore w:val="0"/>
              <w:widowControl w:val="0"/>
              <w:kinsoku/>
              <w:overflowPunct/>
              <w:topLinePunct w:val="0"/>
              <w:autoSpaceDE/>
              <w:autoSpaceDN/>
              <w:bidi w:val="0"/>
              <w:adjustRightInd/>
              <w:jc w:val="both"/>
              <w:textAlignment w:val="auto"/>
              <w:rPr>
                <w:rFonts w:hint="default" w:ascii="Times New Roman" w:hAnsi="Times New Roman" w:cs="Times New Roman"/>
                <w:kern w:val="0"/>
                <w:sz w:val="22"/>
                <w:szCs w:val="22"/>
              </w:rPr>
            </w:pPr>
            <w:r>
              <w:rPr>
                <w:rFonts w:hint="default" w:ascii="Times New Roman" w:hAnsi="Times New Roman" w:cs="Times New Roman"/>
                <w:kern w:val="0"/>
                <w:sz w:val="22"/>
                <w:szCs w:val="22"/>
              </w:rPr>
              <w:t>配置管理</w:t>
            </w:r>
          </w:p>
        </w:tc>
        <w:tc>
          <w:tcPr>
            <w:tcW w:w="2126" w:type="dxa"/>
            <w:tcBorders>
              <w:top w:val="single" w:color="auto" w:sz="4" w:space="0"/>
              <w:left w:val="single" w:color="auto" w:sz="4" w:space="0"/>
              <w:bottom w:val="single" w:color="auto" w:sz="4" w:space="0"/>
              <w:right w:val="single" w:color="auto" w:sz="4" w:space="0"/>
            </w:tcBorders>
            <w:vAlign w:val="center"/>
          </w:tcPr>
          <w:p w14:paraId="352CF3D5">
            <w:pPr>
              <w:keepLines w:val="0"/>
              <w:pageBreakBefore w:val="0"/>
              <w:widowControl w:val="0"/>
              <w:kinsoku/>
              <w:overflowPunct/>
              <w:topLinePunct w:val="0"/>
              <w:autoSpaceDE/>
              <w:autoSpaceDN/>
              <w:bidi w:val="0"/>
              <w:adjustRightInd/>
              <w:jc w:val="both"/>
              <w:textAlignment w:val="auto"/>
              <w:rPr>
                <w:rFonts w:hint="default" w:ascii="Times New Roman" w:hAnsi="Times New Roman" w:cs="Times New Roman"/>
                <w:kern w:val="0"/>
                <w:sz w:val="22"/>
                <w:szCs w:val="22"/>
              </w:rPr>
            </w:pPr>
            <w:r>
              <w:rPr>
                <w:rFonts w:hint="default" w:ascii="Times New Roman" w:hAnsi="Times New Roman" w:cs="Times New Roman"/>
                <w:kern w:val="0"/>
                <w:sz w:val="22"/>
                <w:szCs w:val="22"/>
              </w:rPr>
              <w:t>1.进入管理员账号</w:t>
            </w:r>
          </w:p>
          <w:p w14:paraId="4D763FCC">
            <w:pPr>
              <w:keepLines w:val="0"/>
              <w:pageBreakBefore w:val="0"/>
              <w:widowControl w:val="0"/>
              <w:kinsoku/>
              <w:overflowPunct/>
              <w:topLinePunct w:val="0"/>
              <w:autoSpaceDE/>
              <w:autoSpaceDN/>
              <w:bidi w:val="0"/>
              <w:adjustRightInd/>
              <w:jc w:val="both"/>
              <w:textAlignment w:val="auto"/>
              <w:rPr>
                <w:rFonts w:hint="default" w:ascii="Times New Roman" w:hAnsi="Times New Roman" w:cs="Times New Roman"/>
                <w:kern w:val="0"/>
                <w:sz w:val="22"/>
                <w:szCs w:val="22"/>
              </w:rPr>
            </w:pPr>
            <w:r>
              <w:rPr>
                <w:rFonts w:hint="default" w:ascii="Times New Roman" w:hAnsi="Times New Roman" w:cs="Times New Roman"/>
                <w:kern w:val="0"/>
                <w:sz w:val="22"/>
                <w:szCs w:val="22"/>
                <w:lang w:val="en-US" w:eastAsia="zh-CN"/>
              </w:rPr>
              <w:t>2</w:t>
            </w:r>
            <w:r>
              <w:rPr>
                <w:rFonts w:hint="default" w:ascii="Times New Roman" w:hAnsi="Times New Roman" w:cs="Times New Roman"/>
                <w:kern w:val="0"/>
                <w:sz w:val="22"/>
                <w:szCs w:val="22"/>
              </w:rPr>
              <w:t>.进入参数配置</w:t>
            </w:r>
          </w:p>
          <w:p w14:paraId="5597AF7F">
            <w:pPr>
              <w:keepLines w:val="0"/>
              <w:pageBreakBefore w:val="0"/>
              <w:widowControl w:val="0"/>
              <w:kinsoku/>
              <w:overflowPunct/>
              <w:topLinePunct w:val="0"/>
              <w:autoSpaceDE/>
              <w:autoSpaceDN/>
              <w:bidi w:val="0"/>
              <w:adjustRightInd/>
              <w:jc w:val="both"/>
              <w:textAlignment w:val="auto"/>
              <w:rPr>
                <w:rFonts w:hint="default" w:ascii="Times New Roman" w:hAnsi="Times New Roman" w:cs="Times New Roman"/>
                <w:kern w:val="0"/>
                <w:sz w:val="22"/>
                <w:szCs w:val="22"/>
              </w:rPr>
            </w:pPr>
            <w:r>
              <w:rPr>
                <w:rFonts w:hint="default" w:ascii="Times New Roman" w:hAnsi="Times New Roman" w:cs="Times New Roman"/>
                <w:kern w:val="0"/>
                <w:sz w:val="22"/>
                <w:szCs w:val="22"/>
              </w:rPr>
              <w:t>3.设置参数</w:t>
            </w:r>
          </w:p>
        </w:tc>
        <w:tc>
          <w:tcPr>
            <w:tcW w:w="5079" w:type="dxa"/>
            <w:gridSpan w:val="2"/>
            <w:tcBorders>
              <w:top w:val="single" w:color="auto" w:sz="4" w:space="0"/>
              <w:left w:val="single" w:color="auto" w:sz="4" w:space="0"/>
              <w:bottom w:val="single" w:color="auto" w:sz="4" w:space="0"/>
              <w:right w:val="single" w:color="auto" w:sz="4" w:space="0"/>
            </w:tcBorders>
            <w:vAlign w:val="center"/>
          </w:tcPr>
          <w:p w14:paraId="3EB56D09">
            <w:pPr>
              <w:keepLines w:val="0"/>
              <w:pageBreakBefore w:val="0"/>
              <w:widowControl w:val="0"/>
              <w:kinsoku/>
              <w:overflowPunct/>
              <w:topLinePunct w:val="0"/>
              <w:autoSpaceDE/>
              <w:autoSpaceDN/>
              <w:bidi w:val="0"/>
              <w:adjustRightInd/>
              <w:jc w:val="both"/>
              <w:textAlignment w:val="auto"/>
              <w:rPr>
                <w:rFonts w:hint="default" w:ascii="Times New Roman" w:hAnsi="Times New Roman" w:cs="Times New Roman"/>
                <w:kern w:val="0"/>
                <w:sz w:val="22"/>
                <w:szCs w:val="22"/>
              </w:rPr>
            </w:pPr>
            <w:r>
              <w:rPr>
                <w:rFonts w:hint="default" w:ascii="Times New Roman" w:hAnsi="Times New Roman" w:cs="Times New Roman"/>
                <w:kern w:val="0"/>
                <w:sz w:val="22"/>
                <w:szCs w:val="22"/>
              </w:rPr>
              <w:t>管理员账号可通过设备设置进入采集站进行名称、上传时间、云端、网络IP、是否本地存储等设置；</w:t>
            </w:r>
          </w:p>
        </w:tc>
        <w:tc>
          <w:tcPr>
            <w:tcW w:w="1155" w:type="dxa"/>
            <w:tcBorders>
              <w:top w:val="single" w:color="auto" w:sz="4" w:space="0"/>
              <w:left w:val="single" w:color="auto" w:sz="4" w:space="0"/>
              <w:bottom w:val="single" w:color="auto" w:sz="4" w:space="0"/>
              <w:right w:val="single" w:color="auto" w:sz="4" w:space="0"/>
            </w:tcBorders>
            <w:vAlign w:val="center"/>
          </w:tcPr>
          <w:p w14:paraId="721E5303">
            <w:pPr>
              <w:keepLines w:val="0"/>
              <w:pageBreakBefore w:val="0"/>
              <w:widowControl w:val="0"/>
              <w:kinsoku/>
              <w:overflowPunct/>
              <w:topLinePunct w:val="0"/>
              <w:autoSpaceDE/>
              <w:autoSpaceDN/>
              <w:bidi w:val="0"/>
              <w:adjustRightInd/>
              <w:ind w:firstLine="440" w:firstLineChars="200"/>
              <w:jc w:val="both"/>
              <w:textAlignment w:val="auto"/>
              <w:rPr>
                <w:rFonts w:hint="default" w:ascii="Times New Roman" w:hAnsi="Times New Roman" w:cs="Times New Roman"/>
                <w:kern w:val="0"/>
                <w:sz w:val="22"/>
                <w:szCs w:val="22"/>
              </w:rPr>
            </w:pPr>
            <w:r>
              <w:rPr>
                <w:rFonts w:hint="default" w:ascii="Times New Roman" w:hAnsi="Times New Roman" w:cs="Times New Roman"/>
                <w:kern w:val="0"/>
                <w:sz w:val="22"/>
                <w:szCs w:val="22"/>
              </w:rPr>
              <w:t>远程</w:t>
            </w:r>
          </w:p>
        </w:tc>
      </w:tr>
      <w:tr w14:paraId="606278C9">
        <w:tblPrEx>
          <w:tblCellMar>
            <w:top w:w="0" w:type="dxa"/>
            <w:left w:w="108" w:type="dxa"/>
            <w:bottom w:w="0" w:type="dxa"/>
            <w:right w:w="108" w:type="dxa"/>
          </w:tblCellMar>
        </w:tblPrEx>
        <w:trPr>
          <w:trHeight w:val="270" w:hRule="atLeast"/>
        </w:trPr>
        <w:tc>
          <w:tcPr>
            <w:tcW w:w="1418" w:type="dxa"/>
            <w:vMerge w:val="continue"/>
            <w:tcBorders>
              <w:top w:val="single" w:color="auto" w:sz="4" w:space="0"/>
              <w:left w:val="single" w:color="auto" w:sz="4" w:space="0"/>
              <w:bottom w:val="single" w:color="auto" w:sz="4" w:space="0"/>
              <w:right w:val="single" w:color="auto" w:sz="4" w:space="0"/>
            </w:tcBorders>
            <w:vAlign w:val="center"/>
          </w:tcPr>
          <w:p w14:paraId="4B2968C5">
            <w:pPr>
              <w:keepLines w:val="0"/>
              <w:pageBreakBefore w:val="0"/>
              <w:widowControl w:val="0"/>
              <w:kinsoku/>
              <w:overflowPunct/>
              <w:topLinePunct w:val="0"/>
              <w:autoSpaceDE/>
              <w:autoSpaceDN/>
              <w:bidi w:val="0"/>
              <w:adjustRightInd/>
              <w:ind w:firstLine="440" w:firstLineChars="200"/>
              <w:jc w:val="both"/>
              <w:textAlignment w:val="auto"/>
              <w:rPr>
                <w:rFonts w:hint="default" w:ascii="Times New Roman" w:hAnsi="Times New Roman" w:cs="Times New Roman"/>
                <w:kern w:val="0"/>
                <w:sz w:val="22"/>
                <w:szCs w:val="22"/>
              </w:rPr>
            </w:pPr>
          </w:p>
        </w:tc>
        <w:tc>
          <w:tcPr>
            <w:tcW w:w="2126" w:type="dxa"/>
            <w:tcBorders>
              <w:top w:val="single" w:color="auto" w:sz="4" w:space="0"/>
              <w:left w:val="single" w:color="auto" w:sz="4" w:space="0"/>
              <w:bottom w:val="single" w:color="auto" w:sz="4" w:space="0"/>
              <w:right w:val="single" w:color="auto" w:sz="4" w:space="0"/>
            </w:tcBorders>
            <w:vAlign w:val="center"/>
          </w:tcPr>
          <w:p w14:paraId="3DFA73D6">
            <w:pPr>
              <w:keepLines w:val="0"/>
              <w:pageBreakBefore w:val="0"/>
              <w:widowControl w:val="0"/>
              <w:kinsoku/>
              <w:overflowPunct/>
              <w:topLinePunct w:val="0"/>
              <w:autoSpaceDE/>
              <w:autoSpaceDN/>
              <w:bidi w:val="0"/>
              <w:adjustRightInd/>
              <w:jc w:val="both"/>
              <w:textAlignment w:val="auto"/>
              <w:rPr>
                <w:rFonts w:hint="default" w:ascii="Times New Roman" w:hAnsi="Times New Roman" w:cs="Times New Roman"/>
                <w:kern w:val="0"/>
                <w:sz w:val="22"/>
                <w:szCs w:val="22"/>
              </w:rPr>
            </w:pPr>
            <w:r>
              <w:rPr>
                <w:rFonts w:hint="default" w:ascii="Times New Roman" w:hAnsi="Times New Roman" w:cs="Times New Roman"/>
                <w:kern w:val="0"/>
                <w:sz w:val="22"/>
                <w:szCs w:val="22"/>
              </w:rPr>
              <w:t>1.进入管理员账号</w:t>
            </w:r>
            <w:r>
              <w:rPr>
                <w:rFonts w:hint="default" w:ascii="Times New Roman" w:hAnsi="Times New Roman" w:cs="Times New Roman"/>
                <w:kern w:val="0"/>
                <w:sz w:val="22"/>
                <w:szCs w:val="22"/>
              </w:rPr>
              <w:br w:type="textWrapping"/>
            </w:r>
            <w:r>
              <w:rPr>
                <w:rFonts w:hint="default" w:ascii="Times New Roman" w:hAnsi="Times New Roman" w:cs="Times New Roman"/>
                <w:kern w:val="0"/>
                <w:sz w:val="22"/>
                <w:szCs w:val="22"/>
              </w:rPr>
              <w:t>2.设备管理</w:t>
            </w:r>
          </w:p>
        </w:tc>
        <w:tc>
          <w:tcPr>
            <w:tcW w:w="5079" w:type="dxa"/>
            <w:gridSpan w:val="2"/>
            <w:tcBorders>
              <w:top w:val="single" w:color="auto" w:sz="4" w:space="0"/>
              <w:left w:val="single" w:color="auto" w:sz="4" w:space="0"/>
              <w:bottom w:val="single" w:color="auto" w:sz="4" w:space="0"/>
              <w:right w:val="single" w:color="auto" w:sz="4" w:space="0"/>
            </w:tcBorders>
            <w:vAlign w:val="center"/>
          </w:tcPr>
          <w:p w14:paraId="06ADE06C">
            <w:pPr>
              <w:keepLines w:val="0"/>
              <w:pageBreakBefore w:val="0"/>
              <w:widowControl w:val="0"/>
              <w:kinsoku/>
              <w:overflowPunct/>
              <w:topLinePunct w:val="0"/>
              <w:autoSpaceDE/>
              <w:autoSpaceDN/>
              <w:bidi w:val="0"/>
              <w:adjustRightInd/>
              <w:jc w:val="both"/>
              <w:textAlignment w:val="auto"/>
              <w:rPr>
                <w:rFonts w:hint="default" w:ascii="Times New Roman" w:hAnsi="Times New Roman" w:cs="Times New Roman"/>
                <w:kern w:val="0"/>
                <w:sz w:val="22"/>
                <w:szCs w:val="22"/>
              </w:rPr>
            </w:pPr>
            <w:r>
              <w:rPr>
                <w:rFonts w:hint="default" w:ascii="Times New Roman" w:hAnsi="Times New Roman" w:cs="Times New Roman"/>
                <w:kern w:val="0"/>
                <w:sz w:val="22"/>
                <w:szCs w:val="22"/>
              </w:rPr>
              <w:t>可通过工作站设置查看各个站点工作站连接状态及修改各工作站设置；</w:t>
            </w:r>
          </w:p>
        </w:tc>
        <w:tc>
          <w:tcPr>
            <w:tcW w:w="1155" w:type="dxa"/>
            <w:tcBorders>
              <w:top w:val="single" w:color="auto" w:sz="4" w:space="0"/>
              <w:left w:val="single" w:color="auto" w:sz="4" w:space="0"/>
              <w:bottom w:val="single" w:color="auto" w:sz="4" w:space="0"/>
              <w:right w:val="single" w:color="auto" w:sz="4" w:space="0"/>
            </w:tcBorders>
            <w:vAlign w:val="center"/>
          </w:tcPr>
          <w:p w14:paraId="7BE86C50">
            <w:pPr>
              <w:keepLines w:val="0"/>
              <w:pageBreakBefore w:val="0"/>
              <w:widowControl w:val="0"/>
              <w:kinsoku/>
              <w:overflowPunct/>
              <w:topLinePunct w:val="0"/>
              <w:autoSpaceDE/>
              <w:autoSpaceDN/>
              <w:bidi w:val="0"/>
              <w:adjustRightInd/>
              <w:ind w:firstLine="440" w:firstLineChars="200"/>
              <w:jc w:val="both"/>
              <w:textAlignment w:val="auto"/>
              <w:rPr>
                <w:rFonts w:hint="default" w:ascii="Times New Roman" w:hAnsi="Times New Roman" w:cs="Times New Roman"/>
                <w:kern w:val="0"/>
                <w:sz w:val="22"/>
                <w:szCs w:val="22"/>
              </w:rPr>
            </w:pPr>
            <w:r>
              <w:rPr>
                <w:rFonts w:hint="default" w:ascii="Times New Roman" w:hAnsi="Times New Roman" w:cs="Times New Roman"/>
                <w:kern w:val="0"/>
                <w:sz w:val="22"/>
                <w:szCs w:val="22"/>
              </w:rPr>
              <w:t>远程</w:t>
            </w:r>
          </w:p>
        </w:tc>
      </w:tr>
      <w:tr w14:paraId="5BF3E8F3">
        <w:tblPrEx>
          <w:tblCellMar>
            <w:top w:w="0" w:type="dxa"/>
            <w:left w:w="108" w:type="dxa"/>
            <w:bottom w:w="0" w:type="dxa"/>
            <w:right w:w="108" w:type="dxa"/>
          </w:tblCellMar>
        </w:tblPrEx>
        <w:trPr>
          <w:trHeight w:val="1366" w:hRule="atLeast"/>
        </w:trPr>
        <w:tc>
          <w:tcPr>
            <w:tcW w:w="1418" w:type="dxa"/>
            <w:tcBorders>
              <w:top w:val="single" w:color="auto" w:sz="4" w:space="0"/>
              <w:left w:val="single" w:color="auto" w:sz="4" w:space="0"/>
              <w:bottom w:val="single" w:color="auto" w:sz="4" w:space="0"/>
              <w:right w:val="single" w:color="auto" w:sz="4" w:space="0"/>
            </w:tcBorders>
            <w:vAlign w:val="center"/>
          </w:tcPr>
          <w:p w14:paraId="63F64380">
            <w:pPr>
              <w:keepLines w:val="0"/>
              <w:pageBreakBefore w:val="0"/>
              <w:widowControl w:val="0"/>
              <w:kinsoku/>
              <w:overflowPunct/>
              <w:topLinePunct w:val="0"/>
              <w:autoSpaceDE/>
              <w:autoSpaceDN/>
              <w:bidi w:val="0"/>
              <w:adjustRightInd/>
              <w:jc w:val="both"/>
              <w:textAlignment w:val="auto"/>
              <w:rPr>
                <w:rFonts w:hint="default" w:ascii="Times New Roman" w:hAnsi="Times New Roman" w:cs="Times New Roman"/>
                <w:kern w:val="0"/>
                <w:sz w:val="22"/>
                <w:szCs w:val="22"/>
              </w:rPr>
            </w:pPr>
            <w:r>
              <w:rPr>
                <w:rFonts w:hint="default" w:ascii="Times New Roman" w:hAnsi="Times New Roman" w:cs="Times New Roman"/>
                <w:kern w:val="0"/>
                <w:sz w:val="22"/>
                <w:szCs w:val="22"/>
              </w:rPr>
              <w:t>驻场服务</w:t>
            </w:r>
          </w:p>
        </w:tc>
        <w:tc>
          <w:tcPr>
            <w:tcW w:w="2126" w:type="dxa"/>
            <w:tcBorders>
              <w:top w:val="single" w:color="auto" w:sz="4" w:space="0"/>
              <w:left w:val="single" w:color="auto" w:sz="4" w:space="0"/>
              <w:bottom w:val="single" w:color="auto" w:sz="4" w:space="0"/>
              <w:right w:val="single" w:color="auto" w:sz="4" w:space="0"/>
            </w:tcBorders>
            <w:vAlign w:val="center"/>
          </w:tcPr>
          <w:p w14:paraId="1D312100">
            <w:pPr>
              <w:keepLines w:val="0"/>
              <w:pageBreakBefore w:val="0"/>
              <w:widowControl w:val="0"/>
              <w:kinsoku/>
              <w:overflowPunct/>
              <w:topLinePunct w:val="0"/>
              <w:autoSpaceDE/>
              <w:autoSpaceDN/>
              <w:bidi w:val="0"/>
              <w:adjustRightInd/>
              <w:ind w:firstLine="440" w:firstLineChars="200"/>
              <w:jc w:val="both"/>
              <w:textAlignment w:val="auto"/>
              <w:rPr>
                <w:rFonts w:hint="default" w:ascii="Times New Roman" w:hAnsi="Times New Roman" w:cs="Times New Roman"/>
                <w:kern w:val="0"/>
                <w:sz w:val="22"/>
                <w:szCs w:val="22"/>
              </w:rPr>
            </w:pPr>
            <w:r>
              <w:rPr>
                <w:rFonts w:hint="default" w:ascii="Times New Roman" w:hAnsi="Times New Roman" w:cs="Times New Roman"/>
                <w:kern w:val="0"/>
                <w:sz w:val="22"/>
                <w:szCs w:val="22"/>
              </w:rPr>
              <w:t>甲方指定工作地点，以甲方的身份入驻用户场地，协助厂商处理日常事务；</w:t>
            </w:r>
          </w:p>
        </w:tc>
        <w:tc>
          <w:tcPr>
            <w:tcW w:w="5079" w:type="dxa"/>
            <w:gridSpan w:val="2"/>
            <w:tcBorders>
              <w:top w:val="single" w:color="auto" w:sz="4" w:space="0"/>
              <w:left w:val="single" w:color="auto" w:sz="4" w:space="0"/>
              <w:bottom w:val="single" w:color="auto" w:sz="4" w:space="0"/>
              <w:right w:val="single" w:color="auto" w:sz="4" w:space="0"/>
            </w:tcBorders>
            <w:vAlign w:val="center"/>
          </w:tcPr>
          <w:p w14:paraId="1BDA555A">
            <w:pPr>
              <w:keepLines w:val="0"/>
              <w:pageBreakBefore w:val="0"/>
              <w:widowControl w:val="0"/>
              <w:kinsoku/>
              <w:overflowPunct/>
              <w:topLinePunct w:val="0"/>
              <w:autoSpaceDE/>
              <w:autoSpaceDN/>
              <w:bidi w:val="0"/>
              <w:adjustRightInd/>
              <w:jc w:val="both"/>
              <w:textAlignment w:val="auto"/>
              <w:rPr>
                <w:rFonts w:hint="default" w:ascii="Times New Roman" w:hAnsi="Times New Roman" w:cs="Times New Roman"/>
                <w:kern w:val="0"/>
                <w:sz w:val="22"/>
                <w:szCs w:val="22"/>
              </w:rPr>
            </w:pPr>
            <w:r>
              <w:rPr>
                <w:rFonts w:hint="default" w:ascii="Times New Roman" w:hAnsi="Times New Roman" w:cs="Times New Roman"/>
                <w:kern w:val="0"/>
                <w:sz w:val="22"/>
                <w:szCs w:val="22"/>
              </w:rPr>
              <w:t>中级工程师（熟悉PC、网络运维、良好的沟通能力、工作经验2年以上）</w:t>
            </w:r>
          </w:p>
        </w:tc>
        <w:tc>
          <w:tcPr>
            <w:tcW w:w="1155" w:type="dxa"/>
            <w:tcBorders>
              <w:top w:val="single" w:color="auto" w:sz="4" w:space="0"/>
              <w:left w:val="single" w:color="auto" w:sz="4" w:space="0"/>
              <w:bottom w:val="single" w:color="auto" w:sz="4" w:space="0"/>
              <w:right w:val="single" w:color="auto" w:sz="4" w:space="0"/>
            </w:tcBorders>
            <w:vAlign w:val="center"/>
          </w:tcPr>
          <w:p w14:paraId="1CC99E2F">
            <w:pPr>
              <w:keepLines w:val="0"/>
              <w:pageBreakBefore w:val="0"/>
              <w:widowControl w:val="0"/>
              <w:kinsoku/>
              <w:overflowPunct/>
              <w:topLinePunct w:val="0"/>
              <w:autoSpaceDE/>
              <w:autoSpaceDN/>
              <w:bidi w:val="0"/>
              <w:adjustRightInd/>
              <w:ind w:firstLine="440" w:firstLineChars="200"/>
              <w:jc w:val="both"/>
              <w:textAlignment w:val="auto"/>
              <w:rPr>
                <w:rFonts w:hint="default" w:ascii="Times New Roman" w:hAnsi="Times New Roman" w:cs="Times New Roman"/>
                <w:kern w:val="0"/>
                <w:sz w:val="22"/>
                <w:szCs w:val="22"/>
              </w:rPr>
            </w:pPr>
            <w:r>
              <w:rPr>
                <w:rFonts w:hint="default" w:ascii="Times New Roman" w:hAnsi="Times New Roman" w:cs="Times New Roman"/>
                <w:kern w:val="0"/>
                <w:sz w:val="22"/>
                <w:szCs w:val="22"/>
              </w:rPr>
              <w:t>现场</w:t>
            </w:r>
          </w:p>
        </w:tc>
      </w:tr>
    </w:tbl>
    <w:p w14:paraId="0562B23D">
      <w:pPr>
        <w:autoSpaceDE w:val="0"/>
        <w:autoSpaceDN w:val="0"/>
        <w:adjustRightInd w:val="0"/>
        <w:spacing w:line="360" w:lineRule="auto"/>
        <w:ind w:firstLine="480" w:firstLineChars="200"/>
        <w:rPr>
          <w:rFonts w:hint="eastAsia" w:ascii="宋体" w:hAnsi="宋体" w:eastAsia="宋体" w:cs="仿宋"/>
          <w:kern w:val="0"/>
          <w:sz w:val="24"/>
          <w:szCs w:val="20"/>
          <w:lang w:val="en-US" w:eastAsia="zh-CN"/>
        </w:rPr>
      </w:pPr>
    </w:p>
    <w:p w14:paraId="283DDFC1">
      <w:pPr>
        <w:autoSpaceDE w:val="0"/>
        <w:autoSpaceDN w:val="0"/>
        <w:adjustRightInd w:val="0"/>
        <w:spacing w:line="360" w:lineRule="auto"/>
        <w:ind w:firstLine="480" w:firstLineChars="200"/>
        <w:rPr>
          <w:rFonts w:hint="default" w:ascii="宋体" w:hAnsi="宋体" w:eastAsia="宋体" w:cs="仿宋"/>
          <w:kern w:val="0"/>
          <w:sz w:val="24"/>
          <w:szCs w:val="20"/>
          <w:lang w:val="en-US" w:eastAsia="zh-CN"/>
        </w:rPr>
      </w:pPr>
      <w:r>
        <w:rPr>
          <w:rFonts w:hint="eastAsia" w:ascii="宋体" w:hAnsi="宋体" w:eastAsia="宋体" w:cs="仿宋"/>
          <w:kern w:val="0"/>
          <w:sz w:val="24"/>
          <w:szCs w:val="20"/>
          <w:lang w:val="en-US" w:eastAsia="zh-CN"/>
        </w:rPr>
        <w:t>6.4</w:t>
      </w:r>
      <w:r>
        <w:rPr>
          <w:rFonts w:hint="default" w:ascii="宋体" w:hAnsi="宋体" w:eastAsia="宋体" w:cs="仿宋"/>
          <w:kern w:val="0"/>
          <w:sz w:val="24"/>
          <w:szCs w:val="20"/>
          <w:lang w:val="en-US" w:eastAsia="zh-CN"/>
        </w:rPr>
        <w:t>维保服务内容</w:t>
      </w:r>
    </w:p>
    <w:p w14:paraId="4A5E8310">
      <w:pPr>
        <w:autoSpaceDE w:val="0"/>
        <w:autoSpaceDN w:val="0"/>
        <w:adjustRightInd w:val="0"/>
        <w:spacing w:line="360" w:lineRule="auto"/>
        <w:ind w:firstLine="480" w:firstLineChars="200"/>
        <w:rPr>
          <w:rFonts w:hint="default" w:ascii="宋体" w:hAnsi="宋体" w:eastAsia="宋体" w:cs="仿宋"/>
          <w:kern w:val="0"/>
          <w:sz w:val="24"/>
          <w:szCs w:val="20"/>
          <w:lang w:val="en-US" w:eastAsia="zh-CN"/>
        </w:rPr>
      </w:pPr>
      <w:r>
        <w:rPr>
          <w:rFonts w:hint="default" w:ascii="宋体" w:hAnsi="宋体" w:eastAsia="宋体" w:cs="仿宋"/>
          <w:kern w:val="0"/>
          <w:sz w:val="24"/>
          <w:szCs w:val="20"/>
          <w:lang w:val="en-US" w:eastAsia="zh-CN"/>
        </w:rPr>
        <w:t xml:space="preserve">维保服务主要包括系统日常运维、数据库升级维护、系统功能维护三个方面，具体服务方式及内容如下： </w:t>
      </w:r>
    </w:p>
    <w:p w14:paraId="02DCD9C5">
      <w:pPr>
        <w:autoSpaceDE w:val="0"/>
        <w:autoSpaceDN w:val="0"/>
        <w:adjustRightInd w:val="0"/>
        <w:spacing w:line="360" w:lineRule="auto"/>
        <w:ind w:firstLine="480" w:firstLineChars="200"/>
        <w:rPr>
          <w:rFonts w:hint="default" w:ascii="宋体" w:hAnsi="宋体" w:eastAsia="宋体" w:cs="仿宋"/>
          <w:kern w:val="0"/>
          <w:sz w:val="24"/>
          <w:szCs w:val="20"/>
          <w:lang w:val="en-US" w:eastAsia="zh-CN"/>
        </w:rPr>
      </w:pPr>
      <w:r>
        <w:rPr>
          <w:rFonts w:hint="eastAsia" w:ascii="宋体" w:hAnsi="宋体" w:eastAsia="宋体" w:cs="仿宋"/>
          <w:kern w:val="0"/>
          <w:sz w:val="24"/>
          <w:szCs w:val="20"/>
          <w:lang w:val="en-US" w:eastAsia="zh-CN"/>
        </w:rPr>
        <w:t>6.4</w:t>
      </w:r>
      <w:r>
        <w:rPr>
          <w:rFonts w:hint="default" w:ascii="宋体" w:hAnsi="宋体" w:eastAsia="宋体" w:cs="仿宋"/>
          <w:kern w:val="0"/>
          <w:sz w:val="24"/>
          <w:szCs w:val="20"/>
          <w:lang w:val="en-US" w:eastAsia="zh-CN"/>
        </w:rPr>
        <w:t>.1系统日常运维：</w:t>
      </w:r>
    </w:p>
    <w:p w14:paraId="088913C1">
      <w:pPr>
        <w:autoSpaceDE w:val="0"/>
        <w:autoSpaceDN w:val="0"/>
        <w:adjustRightInd w:val="0"/>
        <w:spacing w:line="360" w:lineRule="auto"/>
        <w:ind w:firstLine="480" w:firstLineChars="200"/>
        <w:rPr>
          <w:rFonts w:hint="default" w:ascii="宋体" w:hAnsi="宋体" w:eastAsia="宋体" w:cs="仿宋"/>
          <w:kern w:val="0"/>
          <w:sz w:val="24"/>
          <w:szCs w:val="20"/>
          <w:lang w:val="en-US" w:eastAsia="zh-CN"/>
        </w:rPr>
      </w:pPr>
      <w:r>
        <w:rPr>
          <w:rFonts w:hint="default" w:ascii="宋体" w:hAnsi="宋体" w:eastAsia="宋体" w:cs="仿宋"/>
          <w:kern w:val="0"/>
          <w:sz w:val="24"/>
          <w:szCs w:val="20"/>
          <w:lang w:val="en-US" w:eastAsia="zh-CN"/>
        </w:rPr>
        <w:t>日常巡检，定时对数据管理服务器指挥调度服务器、数据库服务器、空间分析服务器等日常巡检，检查是否正常工作，客户端能否正常访问系统服务。</w:t>
      </w:r>
    </w:p>
    <w:p w14:paraId="1D9E02CD">
      <w:pPr>
        <w:autoSpaceDE w:val="0"/>
        <w:autoSpaceDN w:val="0"/>
        <w:adjustRightInd w:val="0"/>
        <w:spacing w:line="360" w:lineRule="auto"/>
        <w:ind w:firstLine="480" w:firstLineChars="200"/>
        <w:rPr>
          <w:rFonts w:hint="default" w:ascii="宋体" w:hAnsi="宋体" w:eastAsia="宋体" w:cs="仿宋"/>
          <w:kern w:val="0"/>
          <w:sz w:val="24"/>
          <w:szCs w:val="20"/>
          <w:lang w:val="en-US" w:eastAsia="zh-CN"/>
        </w:rPr>
      </w:pPr>
      <w:r>
        <w:rPr>
          <w:rFonts w:hint="default" w:ascii="宋体" w:hAnsi="宋体" w:eastAsia="宋体" w:cs="仿宋"/>
          <w:kern w:val="0"/>
          <w:sz w:val="24"/>
          <w:szCs w:val="20"/>
          <w:lang w:val="en-US" w:eastAsia="zh-CN"/>
        </w:rPr>
        <w:t>操作系统、空间信息服务、系统漏洞检测和修补，处理系统运行中出现的故障和问题。</w:t>
      </w:r>
    </w:p>
    <w:p w14:paraId="18E868C1">
      <w:pPr>
        <w:autoSpaceDE w:val="0"/>
        <w:autoSpaceDN w:val="0"/>
        <w:adjustRightInd w:val="0"/>
        <w:spacing w:line="360" w:lineRule="auto"/>
        <w:ind w:firstLine="480" w:firstLineChars="200"/>
        <w:rPr>
          <w:rFonts w:hint="default" w:ascii="宋体" w:hAnsi="宋体" w:eastAsia="宋体" w:cs="仿宋"/>
          <w:kern w:val="0"/>
          <w:sz w:val="24"/>
          <w:szCs w:val="20"/>
          <w:lang w:val="en-US" w:eastAsia="zh-CN"/>
        </w:rPr>
      </w:pPr>
      <w:r>
        <w:rPr>
          <w:rFonts w:hint="default" w:ascii="宋体" w:hAnsi="宋体" w:eastAsia="宋体" w:cs="仿宋"/>
          <w:kern w:val="0"/>
          <w:sz w:val="24"/>
          <w:szCs w:val="20"/>
          <w:lang w:val="en-US" w:eastAsia="zh-CN"/>
        </w:rPr>
        <w:t>对平台服务的管理、用户体系的管理，通过设备监控、网络监控、流量控制等技术手段保证平台的安全与稳定，并对信息资源的访问、业务功能调用、系统管理等活动进行记录，及时发现系统隐患。快速恢复系统故障和优化系统管理，为平台7*24小时稳定运行给予支撑。</w:t>
      </w:r>
    </w:p>
    <w:p w14:paraId="31AA4806">
      <w:pPr>
        <w:autoSpaceDE w:val="0"/>
        <w:autoSpaceDN w:val="0"/>
        <w:adjustRightInd w:val="0"/>
        <w:spacing w:line="360" w:lineRule="auto"/>
        <w:ind w:firstLine="480" w:firstLineChars="200"/>
        <w:rPr>
          <w:rFonts w:hint="default" w:ascii="宋体" w:hAnsi="宋体" w:eastAsia="宋体" w:cs="仿宋"/>
          <w:kern w:val="0"/>
          <w:sz w:val="24"/>
          <w:szCs w:val="20"/>
          <w:lang w:val="en-US" w:eastAsia="zh-CN"/>
        </w:rPr>
      </w:pPr>
      <w:r>
        <w:rPr>
          <w:rFonts w:hint="eastAsia" w:ascii="宋体" w:hAnsi="宋体" w:eastAsia="宋体" w:cs="仿宋"/>
          <w:kern w:val="0"/>
          <w:sz w:val="24"/>
          <w:szCs w:val="20"/>
          <w:lang w:val="en-US" w:eastAsia="zh-CN"/>
        </w:rPr>
        <w:t>6.4</w:t>
      </w:r>
      <w:r>
        <w:rPr>
          <w:rFonts w:hint="default" w:ascii="宋体" w:hAnsi="宋体" w:eastAsia="宋体" w:cs="仿宋"/>
          <w:kern w:val="0"/>
          <w:sz w:val="24"/>
          <w:szCs w:val="20"/>
          <w:lang w:val="en-US" w:eastAsia="zh-CN"/>
        </w:rPr>
        <w:t>.2数据库升级维护：</w:t>
      </w:r>
    </w:p>
    <w:p w14:paraId="65626294">
      <w:pPr>
        <w:autoSpaceDE w:val="0"/>
        <w:autoSpaceDN w:val="0"/>
        <w:adjustRightInd w:val="0"/>
        <w:spacing w:line="360" w:lineRule="auto"/>
        <w:ind w:firstLine="480" w:firstLineChars="200"/>
        <w:rPr>
          <w:rFonts w:hint="default" w:ascii="宋体" w:hAnsi="宋体" w:eastAsia="宋体" w:cs="仿宋"/>
          <w:kern w:val="0"/>
          <w:sz w:val="24"/>
          <w:szCs w:val="20"/>
          <w:lang w:val="en-US" w:eastAsia="zh-CN"/>
        </w:rPr>
      </w:pPr>
      <w:r>
        <w:rPr>
          <w:rFonts w:hint="default" w:ascii="宋体" w:hAnsi="宋体" w:eastAsia="宋体" w:cs="仿宋"/>
          <w:kern w:val="0"/>
          <w:sz w:val="24"/>
          <w:szCs w:val="20"/>
          <w:lang w:val="en-US" w:eastAsia="zh-CN"/>
        </w:rPr>
        <w:t>数据库升级，Tomcat、MySQL、Redis、ActiveMQ、nginx等数据存量的处理、导入、服务发布等。保障系统数据安全，提供数据库的备份及恢复。</w:t>
      </w:r>
    </w:p>
    <w:p w14:paraId="06E875B3">
      <w:pPr>
        <w:autoSpaceDE w:val="0"/>
        <w:autoSpaceDN w:val="0"/>
        <w:adjustRightInd w:val="0"/>
        <w:spacing w:line="360" w:lineRule="auto"/>
        <w:ind w:firstLine="480" w:firstLineChars="200"/>
        <w:rPr>
          <w:rFonts w:hint="default" w:ascii="宋体" w:hAnsi="宋体" w:eastAsia="宋体" w:cs="仿宋"/>
          <w:kern w:val="0"/>
          <w:sz w:val="24"/>
          <w:szCs w:val="20"/>
          <w:lang w:val="en-US" w:eastAsia="zh-CN"/>
        </w:rPr>
      </w:pPr>
      <w:r>
        <w:rPr>
          <w:rFonts w:hint="eastAsia" w:ascii="宋体" w:hAnsi="宋体" w:eastAsia="宋体" w:cs="仿宋"/>
          <w:kern w:val="0"/>
          <w:sz w:val="24"/>
          <w:szCs w:val="20"/>
          <w:lang w:val="en-US" w:eastAsia="zh-CN"/>
        </w:rPr>
        <w:t>6.4</w:t>
      </w:r>
      <w:r>
        <w:rPr>
          <w:rFonts w:hint="default" w:ascii="宋体" w:hAnsi="宋体" w:eastAsia="宋体" w:cs="仿宋"/>
          <w:kern w:val="0"/>
          <w:sz w:val="24"/>
          <w:szCs w:val="20"/>
          <w:lang w:val="en-US" w:eastAsia="zh-CN"/>
        </w:rPr>
        <w:t>.3系统功能维护：</w:t>
      </w:r>
    </w:p>
    <w:p w14:paraId="20787FE9">
      <w:pPr>
        <w:autoSpaceDE w:val="0"/>
        <w:autoSpaceDN w:val="0"/>
        <w:adjustRightInd w:val="0"/>
        <w:spacing w:line="360" w:lineRule="auto"/>
        <w:ind w:firstLine="480" w:firstLineChars="200"/>
        <w:rPr>
          <w:rFonts w:hint="default" w:ascii="宋体" w:hAnsi="宋体" w:eastAsia="宋体" w:cs="仿宋"/>
          <w:kern w:val="0"/>
          <w:sz w:val="24"/>
          <w:szCs w:val="20"/>
          <w:lang w:val="en-US" w:eastAsia="zh-CN"/>
        </w:rPr>
      </w:pPr>
      <w:r>
        <w:rPr>
          <w:rFonts w:hint="default" w:ascii="宋体" w:hAnsi="宋体" w:eastAsia="宋体" w:cs="仿宋"/>
          <w:kern w:val="0"/>
          <w:sz w:val="24"/>
          <w:szCs w:val="20"/>
          <w:lang w:val="en-US" w:eastAsia="zh-CN"/>
        </w:rPr>
        <w:t>对于运行、安全、日志、服务几个维度进行维护服务。</w:t>
      </w:r>
    </w:p>
    <w:p w14:paraId="35D7C4E9">
      <w:pPr>
        <w:autoSpaceDE w:val="0"/>
        <w:autoSpaceDN w:val="0"/>
        <w:adjustRightInd w:val="0"/>
        <w:spacing w:line="360" w:lineRule="auto"/>
        <w:ind w:firstLine="480" w:firstLineChars="200"/>
        <w:rPr>
          <w:rFonts w:hint="default" w:ascii="宋体" w:hAnsi="宋体" w:eastAsia="宋体" w:cs="仿宋"/>
          <w:kern w:val="0"/>
          <w:sz w:val="24"/>
          <w:szCs w:val="20"/>
          <w:lang w:val="en-US" w:eastAsia="zh-CN"/>
        </w:rPr>
      </w:pPr>
      <w:r>
        <w:rPr>
          <w:rFonts w:hint="default" w:ascii="宋体" w:hAnsi="宋体" w:eastAsia="宋体" w:cs="仿宋"/>
          <w:kern w:val="0"/>
          <w:sz w:val="24"/>
          <w:szCs w:val="20"/>
          <w:lang w:val="en-US" w:eastAsia="zh-CN"/>
        </w:rPr>
        <w:t>对站点配置、集群管理、安全管理、日志等进行运维。</w:t>
      </w:r>
    </w:p>
    <w:p w14:paraId="026D2B4F">
      <w:pPr>
        <w:autoSpaceDE w:val="0"/>
        <w:autoSpaceDN w:val="0"/>
        <w:adjustRightInd w:val="0"/>
        <w:spacing w:line="360" w:lineRule="auto"/>
        <w:ind w:firstLine="480" w:firstLineChars="200"/>
        <w:rPr>
          <w:rFonts w:hint="default" w:ascii="宋体" w:hAnsi="宋体" w:eastAsia="宋体" w:cs="仿宋"/>
          <w:kern w:val="0"/>
          <w:sz w:val="24"/>
          <w:szCs w:val="20"/>
          <w:lang w:val="en-US" w:eastAsia="zh-CN"/>
        </w:rPr>
      </w:pPr>
      <w:r>
        <w:rPr>
          <w:rFonts w:hint="default" w:ascii="宋体" w:hAnsi="宋体" w:eastAsia="宋体" w:cs="仿宋"/>
          <w:kern w:val="0"/>
          <w:sz w:val="24"/>
          <w:szCs w:val="20"/>
          <w:lang w:val="en-US" w:eastAsia="zh-CN"/>
        </w:rPr>
        <w:t>对用户权限、监控（告警、拦截、硬件、操作）、日志（统计分析、图表展示、审计）；</w:t>
      </w:r>
    </w:p>
    <w:p w14:paraId="4DF24F24">
      <w:pPr>
        <w:autoSpaceDE w:val="0"/>
        <w:autoSpaceDN w:val="0"/>
        <w:adjustRightInd w:val="0"/>
        <w:spacing w:line="360" w:lineRule="auto"/>
        <w:ind w:firstLine="480" w:firstLineChars="200"/>
        <w:rPr>
          <w:rFonts w:hint="default" w:ascii="宋体" w:hAnsi="宋体" w:eastAsia="宋体" w:cs="仿宋"/>
          <w:kern w:val="0"/>
          <w:sz w:val="24"/>
          <w:szCs w:val="20"/>
          <w:lang w:val="en-US" w:eastAsia="zh-CN"/>
        </w:rPr>
      </w:pPr>
      <w:r>
        <w:rPr>
          <w:rFonts w:hint="default" w:ascii="宋体" w:hAnsi="宋体" w:eastAsia="宋体" w:cs="仿宋"/>
          <w:kern w:val="0"/>
          <w:sz w:val="24"/>
          <w:szCs w:val="20"/>
          <w:lang w:val="en-US" w:eastAsia="zh-CN"/>
        </w:rPr>
        <w:t>进行运维服务器的调优，随着系统运行时间的增长，状态会有所下降，需要对操作系统及数据库进行性能调优，保证系统处在最佳的工作状态。</w:t>
      </w:r>
    </w:p>
    <w:p w14:paraId="06954EA1">
      <w:pPr>
        <w:autoSpaceDE w:val="0"/>
        <w:autoSpaceDN w:val="0"/>
        <w:adjustRightInd w:val="0"/>
        <w:spacing w:line="360" w:lineRule="auto"/>
        <w:ind w:firstLine="480" w:firstLineChars="200"/>
        <w:rPr>
          <w:rFonts w:hint="default" w:ascii="宋体" w:hAnsi="宋体" w:eastAsia="宋体" w:cs="仿宋"/>
          <w:kern w:val="0"/>
          <w:sz w:val="24"/>
          <w:szCs w:val="20"/>
          <w:lang w:val="en-US" w:eastAsia="zh-CN"/>
        </w:rPr>
      </w:pPr>
      <w:r>
        <w:rPr>
          <w:rFonts w:hint="eastAsia" w:ascii="宋体" w:hAnsi="宋体" w:eastAsia="宋体" w:cs="仿宋"/>
          <w:kern w:val="0"/>
          <w:sz w:val="24"/>
          <w:szCs w:val="20"/>
          <w:lang w:val="en-US" w:eastAsia="zh-CN"/>
        </w:rPr>
        <w:t>6.4</w:t>
      </w:r>
      <w:r>
        <w:rPr>
          <w:rFonts w:hint="default" w:ascii="宋体" w:hAnsi="宋体" w:eastAsia="宋体" w:cs="仿宋"/>
          <w:kern w:val="0"/>
          <w:sz w:val="24"/>
          <w:szCs w:val="20"/>
          <w:lang w:val="en-US" w:eastAsia="zh-CN"/>
        </w:rPr>
        <w:t>.4年度巡检：</w:t>
      </w:r>
    </w:p>
    <w:p w14:paraId="52020516">
      <w:pPr>
        <w:autoSpaceDE w:val="0"/>
        <w:autoSpaceDN w:val="0"/>
        <w:adjustRightInd w:val="0"/>
        <w:spacing w:line="360" w:lineRule="auto"/>
        <w:ind w:firstLine="480" w:firstLineChars="200"/>
        <w:rPr>
          <w:rFonts w:hint="default" w:ascii="宋体" w:hAnsi="宋体" w:eastAsia="宋体" w:cs="仿宋"/>
          <w:kern w:val="0"/>
          <w:sz w:val="24"/>
          <w:szCs w:val="20"/>
          <w:lang w:val="en-US" w:eastAsia="zh-CN"/>
        </w:rPr>
      </w:pPr>
      <w:r>
        <w:rPr>
          <w:rFonts w:hint="default" w:ascii="宋体" w:hAnsi="宋体" w:eastAsia="宋体" w:cs="仿宋"/>
          <w:kern w:val="0"/>
          <w:sz w:val="24"/>
          <w:szCs w:val="20"/>
          <w:lang w:val="en-US" w:eastAsia="zh-CN"/>
        </w:rPr>
        <w:t>对采集站软硬件状态及使用情况进行检查，针对派出所使用实际提出针对性意见建议并开展相关操作培训</w:t>
      </w:r>
    </w:p>
    <w:p w14:paraId="7325D070">
      <w:pPr>
        <w:spacing w:before="2" w:line="377" w:lineRule="auto"/>
        <w:ind w:left="481" w:right="222"/>
        <w:rPr>
          <w:rFonts w:ascii="宋体" w:hAnsi="宋体" w:eastAsia="宋体" w:cs="宋体"/>
          <w:sz w:val="24"/>
          <w:szCs w:val="24"/>
        </w:rPr>
      </w:pPr>
    </w:p>
    <w:p w14:paraId="7A9B67C5">
      <w:pPr>
        <w:spacing w:before="11" w:line="220" w:lineRule="auto"/>
        <w:ind w:left="3686"/>
        <w:outlineLvl w:val="0"/>
        <w:rPr>
          <w:rFonts w:ascii="宋体" w:hAnsi="宋体" w:eastAsia="宋体" w:cs="宋体"/>
          <w:sz w:val="24"/>
          <w:szCs w:val="24"/>
        </w:rPr>
      </w:pPr>
      <w:r>
        <w:rPr>
          <w:rFonts w:ascii="宋体" w:hAnsi="宋体" w:eastAsia="宋体" w:cs="宋体"/>
          <w:b/>
          <w:bCs/>
          <w:spacing w:val="-3"/>
          <w:sz w:val="24"/>
          <w:szCs w:val="24"/>
        </w:rPr>
        <w:t>第七条</w:t>
      </w:r>
      <w:r>
        <w:rPr>
          <w:rFonts w:ascii="宋体" w:hAnsi="宋体" w:eastAsia="宋体" w:cs="宋体"/>
          <w:spacing w:val="-3"/>
          <w:sz w:val="24"/>
          <w:szCs w:val="24"/>
        </w:rPr>
        <w:t xml:space="preserve">  </w:t>
      </w:r>
      <w:r>
        <w:rPr>
          <w:rFonts w:ascii="宋体" w:hAnsi="宋体" w:eastAsia="宋体" w:cs="宋体"/>
          <w:b/>
          <w:bCs/>
          <w:spacing w:val="-3"/>
          <w:sz w:val="24"/>
          <w:szCs w:val="24"/>
        </w:rPr>
        <w:t>技术文件</w:t>
      </w:r>
    </w:p>
    <w:p w14:paraId="1282F670">
      <w:pPr>
        <w:spacing w:before="181" w:line="219" w:lineRule="auto"/>
        <w:ind w:left="486"/>
        <w:rPr>
          <w:rFonts w:ascii="宋体" w:hAnsi="宋体" w:eastAsia="宋体" w:cs="宋体"/>
          <w:sz w:val="24"/>
          <w:szCs w:val="24"/>
        </w:rPr>
      </w:pPr>
      <w:r>
        <w:rPr>
          <w:rFonts w:ascii="宋体" w:hAnsi="宋体" w:eastAsia="宋体" w:cs="宋体"/>
          <w:spacing w:val="-2"/>
          <w:sz w:val="24"/>
          <w:szCs w:val="24"/>
        </w:rPr>
        <w:t>7.1.乙方应在供货同时向甲方提供所有有关本合同执行的技术文件。技术文件的具体</w:t>
      </w:r>
    </w:p>
    <w:p w14:paraId="5FCA7316">
      <w:pPr>
        <w:spacing w:line="219" w:lineRule="auto"/>
        <w:rPr>
          <w:rFonts w:ascii="宋体" w:hAnsi="宋体" w:eastAsia="宋体" w:cs="宋体"/>
          <w:sz w:val="24"/>
          <w:szCs w:val="24"/>
        </w:rPr>
        <w:sectPr>
          <w:footerReference r:id="rId8" w:type="default"/>
          <w:pgSz w:w="11906" w:h="16839"/>
          <w:pgMar w:top="1123" w:right="1120" w:bottom="1262" w:left="1312" w:header="0" w:footer="1102" w:gutter="0"/>
          <w:pgNumType w:fmt="decimal"/>
          <w:cols w:space="720" w:num="1"/>
        </w:sectPr>
      </w:pPr>
    </w:p>
    <w:p w14:paraId="32D1D48E">
      <w:pPr>
        <w:spacing w:before="49" w:line="345" w:lineRule="auto"/>
        <w:ind w:right="204" w:firstLine="30"/>
        <w:rPr>
          <w:rFonts w:ascii="宋体" w:hAnsi="宋体" w:eastAsia="宋体" w:cs="宋体"/>
          <w:sz w:val="24"/>
          <w:szCs w:val="24"/>
        </w:rPr>
      </w:pPr>
      <w:r>
        <w:rPr>
          <w:rFonts w:ascii="宋体" w:hAnsi="宋体" w:eastAsia="宋体" w:cs="宋体"/>
          <w:spacing w:val="-6"/>
          <w:sz w:val="24"/>
          <w:szCs w:val="24"/>
        </w:rPr>
        <w:t>内容详见技术规范。如果必需但合同又未作规定的要乙方才能提供的技术文件， 乙方也应</w:t>
      </w:r>
      <w:r>
        <w:rPr>
          <w:rFonts w:ascii="宋体" w:hAnsi="宋体" w:eastAsia="宋体" w:cs="宋体"/>
          <w:spacing w:val="-1"/>
          <w:sz w:val="24"/>
          <w:szCs w:val="24"/>
        </w:rPr>
        <w:t>及时向甲方提供。技术文件可以是手册、图</w:t>
      </w:r>
      <w:r>
        <w:rPr>
          <w:rFonts w:ascii="宋体" w:hAnsi="宋体" w:eastAsia="宋体" w:cs="宋体"/>
          <w:spacing w:val="-2"/>
          <w:sz w:val="24"/>
          <w:szCs w:val="24"/>
        </w:rPr>
        <w:t>纸或其他形式的文件资料。</w:t>
      </w:r>
    </w:p>
    <w:p w14:paraId="38E0721E">
      <w:pPr>
        <w:spacing w:before="34" w:line="351" w:lineRule="auto"/>
        <w:ind w:left="1" w:right="204" w:firstLine="484"/>
        <w:jc w:val="both"/>
        <w:rPr>
          <w:rFonts w:ascii="宋体" w:hAnsi="宋体" w:eastAsia="宋体" w:cs="宋体"/>
          <w:sz w:val="24"/>
          <w:szCs w:val="24"/>
        </w:rPr>
      </w:pPr>
      <w:r>
        <w:rPr>
          <w:rFonts w:ascii="宋体" w:hAnsi="宋体" w:eastAsia="宋体" w:cs="宋体"/>
          <w:spacing w:val="-2"/>
          <w:sz w:val="24"/>
          <w:szCs w:val="24"/>
        </w:rPr>
        <w:t>7.2.上述技术文件应包含保证甲方能够正确进行使用、检查以及验收等所需的所有内</w:t>
      </w:r>
      <w:r>
        <w:rPr>
          <w:rFonts w:ascii="宋体" w:hAnsi="宋体" w:eastAsia="宋体" w:cs="宋体"/>
          <w:sz w:val="24"/>
          <w:szCs w:val="24"/>
        </w:rPr>
        <w:t xml:space="preserve"> </w:t>
      </w:r>
      <w:r>
        <w:rPr>
          <w:rFonts w:ascii="宋体" w:hAnsi="宋体" w:eastAsia="宋体" w:cs="宋体"/>
          <w:spacing w:val="-2"/>
          <w:sz w:val="24"/>
          <w:szCs w:val="24"/>
        </w:rPr>
        <w:t>容。乙方的该项义务并不意味着对乙方在本合同项下关于使用、检查以及验收等义务的转</w:t>
      </w:r>
      <w:r>
        <w:rPr>
          <w:rFonts w:ascii="宋体" w:hAnsi="宋体" w:eastAsia="宋体" w:cs="宋体"/>
          <w:spacing w:val="4"/>
          <w:sz w:val="24"/>
          <w:szCs w:val="24"/>
        </w:rPr>
        <w:t xml:space="preserve"> </w:t>
      </w:r>
      <w:r>
        <w:rPr>
          <w:rFonts w:ascii="宋体" w:hAnsi="宋体" w:eastAsia="宋体" w:cs="宋体"/>
          <w:spacing w:val="-12"/>
          <w:sz w:val="24"/>
          <w:szCs w:val="24"/>
        </w:rPr>
        <w:t>移。</w:t>
      </w:r>
    </w:p>
    <w:p w14:paraId="1CA42E8C">
      <w:pPr>
        <w:spacing w:before="32" w:line="346" w:lineRule="auto"/>
        <w:ind w:right="204" w:firstLine="486"/>
        <w:rPr>
          <w:rFonts w:ascii="宋体" w:hAnsi="宋体" w:eastAsia="宋体" w:cs="宋体"/>
          <w:sz w:val="24"/>
          <w:szCs w:val="24"/>
        </w:rPr>
      </w:pPr>
      <w:r>
        <w:rPr>
          <w:rFonts w:ascii="宋体" w:hAnsi="宋体" w:eastAsia="宋体" w:cs="宋体"/>
          <w:spacing w:val="-2"/>
          <w:sz w:val="24"/>
          <w:szCs w:val="24"/>
        </w:rPr>
        <w:t>7.3.甲方完全按照技术文件的指导进行的任何使用、检查、验收所引起的货物和其部</w:t>
      </w:r>
      <w:r>
        <w:rPr>
          <w:rFonts w:ascii="宋体" w:hAnsi="宋体" w:eastAsia="宋体" w:cs="宋体"/>
          <w:sz w:val="24"/>
          <w:szCs w:val="24"/>
        </w:rPr>
        <w:t xml:space="preserve"> </w:t>
      </w:r>
      <w:r>
        <w:rPr>
          <w:rFonts w:ascii="宋体" w:hAnsi="宋体" w:eastAsia="宋体" w:cs="宋体"/>
          <w:spacing w:val="-4"/>
          <w:sz w:val="24"/>
          <w:szCs w:val="24"/>
        </w:rPr>
        <w:t>件的损坏由乙方承担责任。</w:t>
      </w:r>
    </w:p>
    <w:p w14:paraId="31EE7B18">
      <w:pPr>
        <w:spacing w:before="35" w:line="345" w:lineRule="auto"/>
        <w:ind w:left="486" w:right="2577"/>
        <w:rPr>
          <w:rFonts w:ascii="宋体" w:hAnsi="宋体" w:eastAsia="宋体" w:cs="宋体"/>
          <w:sz w:val="24"/>
          <w:szCs w:val="24"/>
        </w:rPr>
      </w:pPr>
      <w:r>
        <w:rPr>
          <w:rFonts w:ascii="宋体" w:hAnsi="宋体" w:eastAsia="宋体" w:cs="宋体"/>
          <w:spacing w:val="-2"/>
          <w:sz w:val="24"/>
          <w:szCs w:val="24"/>
        </w:rPr>
        <w:t>7.4.所有乙方提供的技术文件的全部费用已包含在合同价中。</w:t>
      </w:r>
      <w:r>
        <w:rPr>
          <w:rFonts w:ascii="宋体" w:hAnsi="宋体" w:eastAsia="宋体" w:cs="宋体"/>
          <w:spacing w:val="7"/>
          <w:sz w:val="24"/>
          <w:szCs w:val="24"/>
        </w:rPr>
        <w:t xml:space="preserve"> </w:t>
      </w:r>
      <w:r>
        <w:rPr>
          <w:rFonts w:ascii="宋体" w:hAnsi="宋体" w:eastAsia="宋体" w:cs="宋体"/>
          <w:spacing w:val="-2"/>
          <w:sz w:val="24"/>
          <w:szCs w:val="24"/>
        </w:rPr>
        <w:t>7.5.乙方必须向甲方提供本项目所需的全部维保内容。</w:t>
      </w:r>
    </w:p>
    <w:p w14:paraId="15E9B3C2">
      <w:pPr>
        <w:spacing w:before="34" w:line="220" w:lineRule="auto"/>
        <w:ind w:left="3686"/>
        <w:outlineLvl w:val="0"/>
        <w:rPr>
          <w:rFonts w:ascii="宋体" w:hAnsi="宋体" w:eastAsia="宋体" w:cs="宋体"/>
          <w:sz w:val="24"/>
          <w:szCs w:val="24"/>
        </w:rPr>
      </w:pPr>
      <w:r>
        <w:rPr>
          <w:rFonts w:ascii="宋体" w:hAnsi="宋体" w:eastAsia="宋体" w:cs="宋体"/>
          <w:b/>
          <w:bCs/>
          <w:spacing w:val="-6"/>
          <w:sz w:val="24"/>
          <w:szCs w:val="24"/>
        </w:rPr>
        <w:t>第八条</w:t>
      </w:r>
      <w:r>
        <w:rPr>
          <w:rFonts w:ascii="宋体" w:hAnsi="宋体" w:eastAsia="宋体" w:cs="宋体"/>
          <w:spacing w:val="9"/>
          <w:sz w:val="24"/>
          <w:szCs w:val="24"/>
        </w:rPr>
        <w:t xml:space="preserve">  </w:t>
      </w:r>
      <w:r>
        <w:rPr>
          <w:rFonts w:ascii="宋体" w:hAnsi="宋体" w:eastAsia="宋体" w:cs="宋体"/>
          <w:b/>
          <w:bCs/>
          <w:spacing w:val="-6"/>
          <w:sz w:val="24"/>
          <w:szCs w:val="24"/>
        </w:rPr>
        <w:t>知识产权</w:t>
      </w:r>
    </w:p>
    <w:p w14:paraId="7E6EEFED">
      <w:pPr>
        <w:spacing w:before="183" w:line="350" w:lineRule="auto"/>
        <w:ind w:right="204" w:firstLine="481"/>
        <w:jc w:val="both"/>
        <w:rPr>
          <w:rFonts w:ascii="宋体" w:hAnsi="宋体" w:eastAsia="宋体" w:cs="宋体"/>
          <w:sz w:val="24"/>
          <w:szCs w:val="24"/>
        </w:rPr>
      </w:pPr>
      <w:r>
        <w:rPr>
          <w:rFonts w:ascii="宋体" w:hAnsi="宋体" w:eastAsia="宋体" w:cs="宋体"/>
          <w:spacing w:val="-2"/>
          <w:sz w:val="24"/>
          <w:szCs w:val="24"/>
        </w:rPr>
        <w:t>8.1.乙方应保证，甲方在中华人民共和国使用该服务的任何一部分时，免受第三方提</w:t>
      </w:r>
      <w:r>
        <w:rPr>
          <w:rFonts w:ascii="宋体" w:hAnsi="宋体" w:eastAsia="宋体" w:cs="宋体"/>
          <w:spacing w:val="4"/>
          <w:sz w:val="24"/>
          <w:szCs w:val="24"/>
        </w:rPr>
        <w:t xml:space="preserve"> </w:t>
      </w:r>
      <w:r>
        <w:rPr>
          <w:rFonts w:ascii="宋体" w:hAnsi="宋体" w:eastAsia="宋体" w:cs="宋体"/>
          <w:spacing w:val="-6"/>
          <w:sz w:val="24"/>
          <w:szCs w:val="24"/>
        </w:rPr>
        <w:t>出的侵犯其专利权、商标权或其他知识产权的起诉。如发生此类纠纷，</w:t>
      </w:r>
      <w:r>
        <w:rPr>
          <w:rFonts w:ascii="宋体" w:hAnsi="宋体" w:eastAsia="宋体" w:cs="宋体"/>
          <w:spacing w:val="42"/>
          <w:sz w:val="24"/>
          <w:szCs w:val="24"/>
        </w:rPr>
        <w:t xml:space="preserve"> </w:t>
      </w:r>
      <w:r>
        <w:rPr>
          <w:rFonts w:ascii="宋体" w:hAnsi="宋体" w:eastAsia="宋体" w:cs="宋体"/>
          <w:spacing w:val="-6"/>
          <w:sz w:val="24"/>
          <w:szCs w:val="24"/>
        </w:rPr>
        <w:t>由乙方承担一切责</w:t>
      </w:r>
      <w:r>
        <w:rPr>
          <w:rFonts w:ascii="宋体" w:hAnsi="宋体" w:eastAsia="宋体" w:cs="宋体"/>
          <w:spacing w:val="-11"/>
          <w:sz w:val="24"/>
          <w:szCs w:val="24"/>
        </w:rPr>
        <w:t>任。</w:t>
      </w:r>
    </w:p>
    <w:p w14:paraId="67B405C7">
      <w:pPr>
        <w:spacing w:before="34" w:line="219" w:lineRule="auto"/>
        <w:ind w:left="361"/>
        <w:rPr>
          <w:rFonts w:ascii="宋体" w:hAnsi="宋体" w:eastAsia="宋体" w:cs="宋体"/>
          <w:sz w:val="24"/>
          <w:szCs w:val="24"/>
        </w:rPr>
      </w:pPr>
      <w:r>
        <w:rPr>
          <w:rFonts w:ascii="宋体" w:hAnsi="宋体" w:eastAsia="宋体" w:cs="宋体"/>
          <w:spacing w:val="-2"/>
          <w:sz w:val="24"/>
          <w:szCs w:val="24"/>
        </w:rPr>
        <w:t>8.2.乙方为执行本合同而提供的技术资料的使用权归甲方所有。</w:t>
      </w:r>
    </w:p>
    <w:p w14:paraId="2BA55786">
      <w:pPr>
        <w:spacing w:before="182" w:line="220" w:lineRule="auto"/>
        <w:ind w:left="3566"/>
        <w:outlineLvl w:val="0"/>
        <w:rPr>
          <w:rFonts w:ascii="宋体" w:hAnsi="宋体" w:eastAsia="宋体" w:cs="宋体"/>
          <w:sz w:val="24"/>
          <w:szCs w:val="24"/>
        </w:rPr>
      </w:pPr>
      <w:r>
        <w:rPr>
          <w:rFonts w:ascii="宋体" w:hAnsi="宋体" w:eastAsia="宋体" w:cs="宋体"/>
          <w:b/>
          <w:bCs/>
          <w:spacing w:val="-3"/>
          <w:sz w:val="24"/>
          <w:szCs w:val="24"/>
        </w:rPr>
        <w:t>第九条</w:t>
      </w:r>
      <w:r>
        <w:rPr>
          <w:rFonts w:ascii="宋体" w:hAnsi="宋体" w:eastAsia="宋体" w:cs="宋体"/>
          <w:spacing w:val="-3"/>
          <w:sz w:val="24"/>
          <w:szCs w:val="24"/>
        </w:rPr>
        <w:t xml:space="preserve">  </w:t>
      </w:r>
      <w:r>
        <w:rPr>
          <w:rFonts w:ascii="宋体" w:hAnsi="宋体" w:eastAsia="宋体" w:cs="宋体"/>
          <w:b/>
          <w:bCs/>
          <w:spacing w:val="-3"/>
          <w:sz w:val="24"/>
          <w:szCs w:val="24"/>
        </w:rPr>
        <w:t>第三方责任</w:t>
      </w:r>
    </w:p>
    <w:p w14:paraId="5E1C32B1">
      <w:pPr>
        <w:spacing w:before="180" w:line="354" w:lineRule="auto"/>
        <w:ind w:firstLine="481"/>
        <w:jc w:val="both"/>
        <w:rPr>
          <w:rFonts w:ascii="宋体" w:hAnsi="宋体" w:eastAsia="宋体" w:cs="宋体"/>
          <w:sz w:val="24"/>
          <w:szCs w:val="24"/>
        </w:rPr>
      </w:pPr>
      <w:r>
        <w:rPr>
          <w:rFonts w:ascii="宋体" w:hAnsi="宋体" w:eastAsia="宋体" w:cs="宋体"/>
          <w:spacing w:val="-6"/>
          <w:sz w:val="24"/>
          <w:szCs w:val="24"/>
        </w:rPr>
        <w:t>9.1</w:t>
      </w:r>
      <w:r>
        <w:rPr>
          <w:rFonts w:ascii="宋体" w:hAnsi="宋体" w:eastAsia="宋体" w:cs="宋体"/>
          <w:spacing w:val="40"/>
          <w:sz w:val="24"/>
          <w:szCs w:val="24"/>
        </w:rPr>
        <w:t xml:space="preserve"> </w:t>
      </w:r>
      <w:r>
        <w:rPr>
          <w:rFonts w:ascii="宋体" w:hAnsi="宋体" w:eastAsia="宋体" w:cs="宋体"/>
          <w:spacing w:val="-6"/>
          <w:sz w:val="24"/>
          <w:szCs w:val="24"/>
        </w:rPr>
        <w:t>乙方与其代理之相互关系、相关责任义务等均由乙方与代理商自行协商约定， 但</w:t>
      </w:r>
      <w:r>
        <w:rPr>
          <w:rFonts w:ascii="宋体" w:hAnsi="宋体" w:eastAsia="宋体" w:cs="宋体"/>
          <w:sz w:val="24"/>
          <w:szCs w:val="24"/>
        </w:rPr>
        <w:t xml:space="preserve"> </w:t>
      </w:r>
      <w:r>
        <w:rPr>
          <w:rFonts w:ascii="宋体" w:hAnsi="宋体" w:eastAsia="宋体" w:cs="宋体"/>
          <w:spacing w:val="-2"/>
          <w:sz w:val="24"/>
          <w:szCs w:val="24"/>
        </w:rPr>
        <w:t>在与本合同相关的任何情形下，乙方与其任何一家代理商二者之间的约定仅属于其内部分</w:t>
      </w:r>
      <w:r>
        <w:rPr>
          <w:rFonts w:ascii="宋体" w:hAnsi="宋体" w:eastAsia="宋体" w:cs="宋体"/>
          <w:spacing w:val="3"/>
          <w:sz w:val="24"/>
          <w:szCs w:val="24"/>
        </w:rPr>
        <w:t xml:space="preserve"> 担权利义务及其内部约定分担对外责任的办法，乙方与该代理商二者对甲方、最终用户、</w:t>
      </w:r>
      <w:r>
        <w:rPr>
          <w:rFonts w:ascii="宋体" w:hAnsi="宋体" w:eastAsia="宋体" w:cs="宋体"/>
          <w:spacing w:val="-2"/>
          <w:sz w:val="24"/>
          <w:szCs w:val="24"/>
        </w:rPr>
        <w:t>相关第三方则应承担连带责任，而乙方依据合同原所承担的对甲方、最终用户及第三方的</w:t>
      </w:r>
      <w:r>
        <w:rPr>
          <w:rFonts w:ascii="宋体" w:hAnsi="宋体" w:eastAsia="宋体" w:cs="宋体"/>
          <w:spacing w:val="3"/>
          <w:sz w:val="24"/>
          <w:szCs w:val="24"/>
        </w:rPr>
        <w:t xml:space="preserve"> </w:t>
      </w:r>
      <w:r>
        <w:rPr>
          <w:rFonts w:ascii="宋体" w:hAnsi="宋体" w:eastAsia="宋体" w:cs="宋体"/>
          <w:spacing w:val="-4"/>
          <w:sz w:val="24"/>
          <w:szCs w:val="24"/>
        </w:rPr>
        <w:t>责任均并不因此被减免。</w:t>
      </w:r>
    </w:p>
    <w:p w14:paraId="4AFE8C9E">
      <w:pPr>
        <w:spacing w:before="34" w:line="220" w:lineRule="auto"/>
        <w:ind w:left="3806"/>
        <w:outlineLvl w:val="0"/>
        <w:rPr>
          <w:rFonts w:ascii="宋体" w:hAnsi="宋体" w:eastAsia="宋体" w:cs="宋体"/>
          <w:sz w:val="24"/>
          <w:szCs w:val="24"/>
        </w:rPr>
      </w:pPr>
      <w:r>
        <w:rPr>
          <w:rFonts w:ascii="宋体" w:hAnsi="宋体" w:eastAsia="宋体" w:cs="宋体"/>
          <w:b/>
          <w:bCs/>
          <w:spacing w:val="-4"/>
          <w:sz w:val="24"/>
          <w:szCs w:val="24"/>
        </w:rPr>
        <w:t>第十条专用工具</w:t>
      </w:r>
    </w:p>
    <w:p w14:paraId="2FD5CCA8">
      <w:pPr>
        <w:spacing w:before="180" w:line="289" w:lineRule="auto"/>
        <w:ind w:right="263" w:firstLine="497"/>
        <w:rPr>
          <w:rFonts w:ascii="宋体" w:hAnsi="宋体" w:eastAsia="宋体" w:cs="宋体"/>
          <w:sz w:val="24"/>
          <w:szCs w:val="24"/>
        </w:rPr>
      </w:pPr>
      <w:r>
        <w:rPr>
          <w:rFonts w:ascii="宋体" w:hAnsi="宋体" w:eastAsia="宋体" w:cs="宋体"/>
          <w:spacing w:val="-2"/>
          <w:sz w:val="24"/>
          <w:szCs w:val="24"/>
        </w:rPr>
        <w:t>10.1</w:t>
      </w:r>
      <w:r>
        <w:rPr>
          <w:rFonts w:ascii="宋体" w:hAnsi="宋体" w:eastAsia="宋体" w:cs="宋体"/>
          <w:spacing w:val="47"/>
          <w:sz w:val="24"/>
          <w:szCs w:val="24"/>
        </w:rPr>
        <w:t xml:space="preserve"> </w:t>
      </w:r>
      <w:r>
        <w:rPr>
          <w:rFonts w:ascii="宋体" w:hAnsi="宋体" w:eastAsia="宋体" w:cs="宋体"/>
          <w:spacing w:val="-2"/>
          <w:sz w:val="24"/>
          <w:szCs w:val="24"/>
        </w:rPr>
        <w:t>乙方应提供必要的、全新的和完整的维保所需的专用工具套，这部分费用已包</w:t>
      </w:r>
      <w:r>
        <w:rPr>
          <w:rFonts w:ascii="宋体" w:hAnsi="宋体" w:eastAsia="宋体" w:cs="宋体"/>
          <w:sz w:val="24"/>
          <w:szCs w:val="24"/>
        </w:rPr>
        <w:t xml:space="preserve"> </w:t>
      </w:r>
      <w:r>
        <w:rPr>
          <w:rFonts w:ascii="宋体" w:hAnsi="宋体" w:eastAsia="宋体" w:cs="宋体"/>
          <w:spacing w:val="-6"/>
          <w:sz w:val="24"/>
          <w:szCs w:val="24"/>
        </w:rPr>
        <w:t>含在合同价内。</w:t>
      </w:r>
    </w:p>
    <w:p w14:paraId="1EAC42B7">
      <w:pPr>
        <w:spacing w:before="184" w:line="290" w:lineRule="auto"/>
        <w:ind w:left="1" w:right="263" w:firstLine="496"/>
        <w:rPr>
          <w:rFonts w:ascii="宋体" w:hAnsi="宋体" w:eastAsia="宋体" w:cs="宋体"/>
          <w:sz w:val="24"/>
          <w:szCs w:val="24"/>
        </w:rPr>
      </w:pPr>
      <w:r>
        <w:rPr>
          <w:rFonts w:ascii="宋体" w:hAnsi="宋体" w:eastAsia="宋体" w:cs="宋体"/>
          <w:spacing w:val="-1"/>
          <w:sz w:val="24"/>
          <w:szCs w:val="24"/>
        </w:rPr>
        <w:t>10.2 验收合格移交时，这些专用工具应单独装箱直接交付甲方或由甲方指定的接受</w:t>
      </w:r>
      <w:r>
        <w:rPr>
          <w:rFonts w:ascii="宋体" w:hAnsi="宋体" w:eastAsia="宋体" w:cs="宋体"/>
          <w:spacing w:val="10"/>
          <w:sz w:val="24"/>
          <w:szCs w:val="24"/>
        </w:rPr>
        <w:t xml:space="preserve"> </w:t>
      </w:r>
      <w:r>
        <w:rPr>
          <w:rFonts w:ascii="宋体" w:hAnsi="宋体" w:eastAsia="宋体" w:cs="宋体"/>
          <w:spacing w:val="-12"/>
          <w:sz w:val="24"/>
          <w:szCs w:val="24"/>
        </w:rPr>
        <w:t>方。</w:t>
      </w:r>
    </w:p>
    <w:p w14:paraId="3E6B945D">
      <w:pPr>
        <w:spacing w:before="179" w:line="220" w:lineRule="auto"/>
        <w:ind w:left="3566"/>
        <w:outlineLvl w:val="0"/>
        <w:rPr>
          <w:rFonts w:ascii="宋体" w:hAnsi="宋体" w:eastAsia="宋体" w:cs="宋体"/>
          <w:sz w:val="24"/>
          <w:szCs w:val="24"/>
        </w:rPr>
      </w:pPr>
      <w:r>
        <w:rPr>
          <w:rFonts w:ascii="宋体" w:hAnsi="宋体" w:eastAsia="宋体" w:cs="宋体"/>
          <w:b/>
          <w:bCs/>
          <w:spacing w:val="-3"/>
          <w:sz w:val="24"/>
          <w:szCs w:val="24"/>
        </w:rPr>
        <w:t>第十一条</w:t>
      </w:r>
      <w:r>
        <w:rPr>
          <w:rFonts w:ascii="宋体" w:hAnsi="宋体" w:eastAsia="宋体" w:cs="宋体"/>
          <w:spacing w:val="-3"/>
          <w:sz w:val="24"/>
          <w:szCs w:val="24"/>
        </w:rPr>
        <w:t xml:space="preserve">  </w:t>
      </w:r>
      <w:r>
        <w:rPr>
          <w:rFonts w:ascii="宋体" w:hAnsi="宋体" w:eastAsia="宋体" w:cs="宋体"/>
          <w:b/>
          <w:bCs/>
          <w:spacing w:val="-3"/>
          <w:sz w:val="24"/>
          <w:szCs w:val="24"/>
        </w:rPr>
        <w:t>伴随服务</w:t>
      </w:r>
    </w:p>
    <w:p w14:paraId="6A76835A">
      <w:pPr>
        <w:spacing w:before="181" w:line="346" w:lineRule="auto"/>
        <w:ind w:left="498" w:right="3678"/>
        <w:rPr>
          <w:rFonts w:ascii="宋体" w:hAnsi="宋体" w:eastAsia="宋体" w:cs="宋体"/>
          <w:sz w:val="24"/>
          <w:szCs w:val="24"/>
        </w:rPr>
      </w:pPr>
      <w:r>
        <w:rPr>
          <w:rFonts w:ascii="宋体" w:hAnsi="宋体" w:eastAsia="宋体" w:cs="宋体"/>
          <w:spacing w:val="-4"/>
          <w:sz w:val="24"/>
          <w:szCs w:val="24"/>
        </w:rPr>
        <w:t>11.1.乙方被要求按照合同的规定，提供下列服务：</w:t>
      </w:r>
      <w:r>
        <w:rPr>
          <w:rFonts w:ascii="宋体" w:hAnsi="宋体" w:eastAsia="宋体" w:cs="宋体"/>
          <w:spacing w:val="16"/>
          <w:sz w:val="24"/>
          <w:szCs w:val="24"/>
        </w:rPr>
        <w:t xml:space="preserve"> </w:t>
      </w:r>
      <w:r>
        <w:rPr>
          <w:rFonts w:ascii="宋体" w:hAnsi="宋体" w:eastAsia="宋体" w:cs="宋体"/>
          <w:spacing w:val="-4"/>
          <w:sz w:val="24"/>
          <w:szCs w:val="24"/>
        </w:rPr>
        <w:t>11.1.1.按要求在项目现场实施系统维保服务；</w:t>
      </w:r>
    </w:p>
    <w:p w14:paraId="4B1100A5">
      <w:pPr>
        <w:spacing w:before="34" w:line="219" w:lineRule="auto"/>
        <w:ind w:left="498"/>
        <w:rPr>
          <w:rFonts w:ascii="宋体" w:hAnsi="宋体" w:eastAsia="宋体" w:cs="宋体"/>
          <w:sz w:val="24"/>
          <w:szCs w:val="24"/>
        </w:rPr>
      </w:pPr>
      <w:r>
        <w:rPr>
          <w:rFonts w:ascii="宋体" w:hAnsi="宋体" w:eastAsia="宋体" w:cs="宋体"/>
          <w:spacing w:val="-4"/>
          <w:sz w:val="24"/>
          <w:szCs w:val="24"/>
        </w:rPr>
        <w:t>11.1.2.提供服务所需备件和专用工具；</w:t>
      </w:r>
    </w:p>
    <w:p w14:paraId="23407869">
      <w:pPr>
        <w:spacing w:before="182" w:line="220" w:lineRule="auto"/>
        <w:ind w:left="498"/>
        <w:rPr>
          <w:rFonts w:ascii="宋体" w:hAnsi="宋体" w:eastAsia="宋体" w:cs="宋体"/>
          <w:sz w:val="24"/>
          <w:szCs w:val="24"/>
        </w:rPr>
      </w:pPr>
      <w:r>
        <w:rPr>
          <w:rFonts w:ascii="宋体" w:hAnsi="宋体" w:eastAsia="宋体" w:cs="宋体"/>
          <w:spacing w:val="-3"/>
          <w:sz w:val="24"/>
          <w:szCs w:val="24"/>
        </w:rPr>
        <w:t>11.1.3.每年安排一次全疆各地调研，调研地点由甲方指定；</w:t>
      </w:r>
    </w:p>
    <w:p w14:paraId="581EB7C0">
      <w:pPr>
        <w:spacing w:before="181" w:line="219" w:lineRule="auto"/>
        <w:ind w:left="498"/>
        <w:rPr>
          <w:rFonts w:ascii="宋体" w:hAnsi="宋体" w:eastAsia="宋体" w:cs="宋体"/>
          <w:sz w:val="24"/>
          <w:szCs w:val="24"/>
        </w:rPr>
      </w:pPr>
      <w:r>
        <w:rPr>
          <w:rFonts w:ascii="宋体" w:hAnsi="宋体" w:eastAsia="宋体" w:cs="宋体"/>
          <w:spacing w:val="-1"/>
          <w:sz w:val="24"/>
          <w:szCs w:val="24"/>
        </w:rPr>
        <w:t>11.1.4.在双方商定的一定期限内对所供服务提供维修和技术支持，但前提条件是该</w:t>
      </w:r>
    </w:p>
    <w:p w14:paraId="7A958CB1">
      <w:pPr>
        <w:spacing w:line="219" w:lineRule="auto"/>
        <w:rPr>
          <w:rFonts w:ascii="宋体" w:hAnsi="宋体" w:eastAsia="宋体" w:cs="宋体"/>
          <w:sz w:val="24"/>
          <w:szCs w:val="24"/>
        </w:rPr>
        <w:sectPr>
          <w:footerReference r:id="rId9" w:type="default"/>
          <w:pgSz w:w="11906" w:h="16839"/>
          <w:pgMar w:top="1123" w:right="1098" w:bottom="1262" w:left="1312" w:header="0" w:footer="1102" w:gutter="0"/>
          <w:pgNumType w:fmt="decimal"/>
          <w:cols w:space="720" w:num="1"/>
        </w:sectPr>
      </w:pPr>
    </w:p>
    <w:p w14:paraId="08E5AF6B">
      <w:pPr>
        <w:spacing w:before="49" w:line="345" w:lineRule="auto"/>
        <w:ind w:left="498" w:right="3778" w:hanging="497"/>
        <w:rPr>
          <w:rFonts w:ascii="宋体" w:hAnsi="宋体" w:eastAsia="宋体" w:cs="宋体"/>
          <w:sz w:val="24"/>
          <w:szCs w:val="24"/>
        </w:rPr>
      </w:pPr>
      <w:r>
        <w:rPr>
          <w:rFonts w:ascii="宋体" w:hAnsi="宋体" w:eastAsia="宋体" w:cs="宋体"/>
          <w:sz w:val="24"/>
          <w:szCs w:val="24"/>
        </w:rPr>
        <w:t>服务并不能免除乙方在合同保证期内所承担的义</w:t>
      </w:r>
      <w:r>
        <w:rPr>
          <w:rFonts w:ascii="宋体" w:hAnsi="宋体" w:eastAsia="宋体" w:cs="宋体"/>
          <w:spacing w:val="-1"/>
          <w:sz w:val="24"/>
          <w:szCs w:val="24"/>
        </w:rPr>
        <w:t>务；</w:t>
      </w:r>
      <w:r>
        <w:rPr>
          <w:rFonts w:ascii="宋体" w:hAnsi="宋体" w:eastAsia="宋体" w:cs="宋体"/>
          <w:sz w:val="24"/>
          <w:szCs w:val="24"/>
        </w:rPr>
        <w:t xml:space="preserve"> </w:t>
      </w:r>
      <w:r>
        <w:rPr>
          <w:rFonts w:ascii="宋体" w:hAnsi="宋体" w:eastAsia="宋体" w:cs="宋体"/>
          <w:spacing w:val="-3"/>
          <w:sz w:val="24"/>
          <w:szCs w:val="24"/>
        </w:rPr>
        <w:t>11.2.乙方应向甲方提交所提供服务的技术文件。</w:t>
      </w:r>
    </w:p>
    <w:p w14:paraId="36A72147">
      <w:pPr>
        <w:spacing w:before="35" w:line="345" w:lineRule="auto"/>
        <w:ind w:left="2" w:right="143" w:firstLine="496"/>
        <w:rPr>
          <w:rFonts w:ascii="宋体" w:hAnsi="宋体" w:eastAsia="宋体" w:cs="宋体"/>
          <w:sz w:val="24"/>
          <w:szCs w:val="24"/>
        </w:rPr>
      </w:pPr>
      <w:r>
        <w:rPr>
          <w:rFonts w:ascii="宋体" w:hAnsi="宋体" w:eastAsia="宋体" w:cs="宋体"/>
          <w:spacing w:val="-1"/>
          <w:sz w:val="24"/>
          <w:szCs w:val="24"/>
        </w:rPr>
        <w:t>11.3.乙方应提供合同规定的所有服务。为履行要求的伴随服务的报价应包括在合同</w:t>
      </w:r>
      <w:r>
        <w:rPr>
          <w:rFonts w:ascii="宋体" w:hAnsi="宋体" w:eastAsia="宋体" w:cs="宋体"/>
          <w:spacing w:val="10"/>
          <w:sz w:val="24"/>
          <w:szCs w:val="24"/>
        </w:rPr>
        <w:t xml:space="preserve"> </w:t>
      </w:r>
      <w:r>
        <w:rPr>
          <w:rFonts w:ascii="宋体" w:hAnsi="宋体" w:eastAsia="宋体" w:cs="宋体"/>
          <w:spacing w:val="-11"/>
          <w:sz w:val="24"/>
          <w:szCs w:val="24"/>
        </w:rPr>
        <w:t>价中。</w:t>
      </w:r>
    </w:p>
    <w:p w14:paraId="7F382307">
      <w:pPr>
        <w:spacing w:before="37" w:line="350" w:lineRule="auto"/>
        <w:ind w:left="21" w:right="85" w:firstLine="478"/>
        <w:jc w:val="both"/>
        <w:rPr>
          <w:rFonts w:ascii="宋体" w:hAnsi="宋体" w:eastAsia="宋体" w:cs="宋体"/>
          <w:sz w:val="24"/>
          <w:szCs w:val="24"/>
        </w:rPr>
      </w:pPr>
      <w:r>
        <w:rPr>
          <w:rFonts w:ascii="宋体" w:hAnsi="宋体" w:eastAsia="宋体" w:cs="宋体"/>
          <w:spacing w:val="-1"/>
          <w:sz w:val="24"/>
          <w:szCs w:val="24"/>
        </w:rPr>
        <w:t>11.4.乙方必须向甲方提供本项目所需的所有维护服务的全部内容。若对本项目提供</w:t>
      </w:r>
      <w:r>
        <w:rPr>
          <w:rFonts w:ascii="宋体" w:hAnsi="宋体" w:eastAsia="宋体" w:cs="宋体"/>
          <w:spacing w:val="10"/>
          <w:sz w:val="24"/>
          <w:szCs w:val="24"/>
        </w:rPr>
        <w:t xml:space="preserve"> </w:t>
      </w:r>
      <w:r>
        <w:rPr>
          <w:rFonts w:ascii="宋体" w:hAnsi="宋体" w:eastAsia="宋体" w:cs="宋体"/>
          <w:spacing w:val="-2"/>
          <w:sz w:val="24"/>
          <w:szCs w:val="24"/>
        </w:rPr>
        <w:t>的服务等方面的配置或要求中出现不合理或不完整的问题</w:t>
      </w:r>
      <w:r>
        <w:rPr>
          <w:rFonts w:ascii="宋体" w:hAnsi="宋体" w:eastAsia="宋体" w:cs="宋体"/>
          <w:spacing w:val="-3"/>
          <w:sz w:val="24"/>
          <w:szCs w:val="24"/>
        </w:rPr>
        <w:t>时，乙方有责任和义务在响应档</w:t>
      </w:r>
      <w:r>
        <w:rPr>
          <w:rFonts w:ascii="宋体" w:hAnsi="宋体" w:eastAsia="宋体" w:cs="宋体"/>
          <w:sz w:val="24"/>
          <w:szCs w:val="24"/>
        </w:rPr>
        <w:t xml:space="preserve"> </w:t>
      </w:r>
      <w:r>
        <w:rPr>
          <w:rFonts w:ascii="宋体" w:hAnsi="宋体" w:eastAsia="宋体" w:cs="宋体"/>
          <w:spacing w:val="-3"/>
          <w:sz w:val="24"/>
          <w:szCs w:val="24"/>
        </w:rPr>
        <w:t>中提出补充修改方案并征得使用方同意后付诸实施。</w:t>
      </w:r>
    </w:p>
    <w:p w14:paraId="4C1B2985">
      <w:pPr>
        <w:spacing w:before="34" w:line="220" w:lineRule="auto"/>
        <w:ind w:left="3567"/>
        <w:outlineLvl w:val="0"/>
        <w:rPr>
          <w:rFonts w:ascii="宋体" w:hAnsi="宋体" w:eastAsia="宋体" w:cs="宋体"/>
          <w:sz w:val="24"/>
          <w:szCs w:val="24"/>
        </w:rPr>
      </w:pPr>
      <w:r>
        <w:rPr>
          <w:rFonts w:ascii="宋体" w:hAnsi="宋体" w:eastAsia="宋体" w:cs="宋体"/>
          <w:b/>
          <w:bCs/>
          <w:spacing w:val="-3"/>
          <w:sz w:val="24"/>
          <w:szCs w:val="24"/>
        </w:rPr>
        <w:t>第十二条</w:t>
      </w:r>
      <w:r>
        <w:rPr>
          <w:rFonts w:ascii="宋体" w:hAnsi="宋体" w:eastAsia="宋体" w:cs="宋体"/>
          <w:spacing w:val="-3"/>
          <w:sz w:val="24"/>
          <w:szCs w:val="24"/>
        </w:rPr>
        <w:t xml:space="preserve">  </w:t>
      </w:r>
      <w:r>
        <w:rPr>
          <w:rFonts w:ascii="宋体" w:hAnsi="宋体" w:eastAsia="宋体" w:cs="宋体"/>
          <w:b/>
          <w:bCs/>
          <w:spacing w:val="-3"/>
          <w:sz w:val="24"/>
          <w:szCs w:val="24"/>
        </w:rPr>
        <w:t>合同管理</w:t>
      </w:r>
    </w:p>
    <w:p w14:paraId="6E973416">
      <w:pPr>
        <w:spacing w:before="181" w:line="346" w:lineRule="auto"/>
        <w:ind w:left="5" w:right="143" w:firstLine="493"/>
        <w:rPr>
          <w:rFonts w:ascii="宋体" w:hAnsi="宋体" w:eastAsia="宋体" w:cs="宋体"/>
          <w:sz w:val="24"/>
          <w:szCs w:val="24"/>
        </w:rPr>
      </w:pPr>
      <w:r>
        <w:rPr>
          <w:rFonts w:ascii="宋体" w:hAnsi="宋体" w:eastAsia="宋体" w:cs="宋体"/>
          <w:spacing w:val="-1"/>
          <w:sz w:val="24"/>
          <w:szCs w:val="24"/>
        </w:rPr>
        <w:t>12.1.为便于管理，甲方和乙方在合同执行期间的联络，应通过指定的项目负责人进</w:t>
      </w:r>
      <w:r>
        <w:rPr>
          <w:rFonts w:ascii="宋体" w:hAnsi="宋体" w:eastAsia="宋体" w:cs="宋体"/>
          <w:spacing w:val="10"/>
          <w:sz w:val="24"/>
          <w:szCs w:val="24"/>
        </w:rPr>
        <w:t xml:space="preserve"> </w:t>
      </w:r>
      <w:r>
        <w:rPr>
          <w:rFonts w:ascii="宋体" w:hAnsi="宋体" w:eastAsia="宋体" w:cs="宋体"/>
          <w:spacing w:val="-12"/>
          <w:sz w:val="24"/>
          <w:szCs w:val="24"/>
        </w:rPr>
        <w:t>行。</w:t>
      </w:r>
    </w:p>
    <w:p w14:paraId="2CE45901">
      <w:pPr>
        <w:spacing w:before="33" w:line="220" w:lineRule="auto"/>
        <w:ind w:left="512"/>
        <w:rPr>
          <w:rFonts w:ascii="宋体" w:hAnsi="宋体" w:eastAsia="宋体" w:cs="宋体"/>
          <w:sz w:val="24"/>
          <w:szCs w:val="24"/>
        </w:rPr>
      </w:pPr>
      <w:r>
        <w:rPr>
          <w:rFonts w:ascii="宋体" w:hAnsi="宋体" w:eastAsia="宋体" w:cs="宋体"/>
          <w:spacing w:val="-10"/>
          <w:sz w:val="24"/>
          <w:szCs w:val="24"/>
        </w:rPr>
        <w:t>甲方项目负责人：</w:t>
      </w:r>
      <w:r>
        <w:rPr>
          <w:rFonts w:ascii="宋体" w:hAnsi="宋体" w:eastAsia="宋体" w:cs="宋体"/>
          <w:spacing w:val="1"/>
          <w:sz w:val="24"/>
          <w:szCs w:val="24"/>
        </w:rPr>
        <w:t xml:space="preserve">                               </w:t>
      </w:r>
      <w:r>
        <w:rPr>
          <w:rFonts w:ascii="宋体" w:hAnsi="宋体" w:eastAsia="宋体" w:cs="宋体"/>
          <w:spacing w:val="-10"/>
          <w:sz w:val="24"/>
          <w:szCs w:val="24"/>
        </w:rPr>
        <w:t>电话：</w:t>
      </w:r>
    </w:p>
    <w:p w14:paraId="09B0FDFF">
      <w:pPr>
        <w:spacing w:before="181" w:line="220" w:lineRule="auto"/>
        <w:ind w:left="505"/>
        <w:rPr>
          <w:rFonts w:ascii="宋体" w:hAnsi="宋体" w:eastAsia="宋体" w:cs="宋体"/>
          <w:sz w:val="24"/>
          <w:szCs w:val="24"/>
        </w:rPr>
      </w:pPr>
      <w:r>
        <w:rPr>
          <w:rFonts w:ascii="宋体" w:hAnsi="宋体" w:eastAsia="宋体" w:cs="宋体"/>
          <w:spacing w:val="-4"/>
          <w:sz w:val="24"/>
          <w:szCs w:val="24"/>
        </w:rPr>
        <w:t xml:space="preserve">乙方项目负责人：                            </w:t>
      </w:r>
      <w:r>
        <w:rPr>
          <w:rFonts w:ascii="宋体" w:hAnsi="宋体" w:eastAsia="宋体" w:cs="宋体"/>
          <w:spacing w:val="-5"/>
          <w:sz w:val="24"/>
          <w:szCs w:val="24"/>
        </w:rPr>
        <w:t xml:space="preserve">    电话：</w:t>
      </w:r>
    </w:p>
    <w:p w14:paraId="7B91D24F">
      <w:pPr>
        <w:spacing w:before="181" w:line="220" w:lineRule="auto"/>
        <w:ind w:left="499"/>
        <w:rPr>
          <w:rFonts w:ascii="宋体" w:hAnsi="宋体" w:eastAsia="宋体" w:cs="宋体"/>
          <w:sz w:val="24"/>
          <w:szCs w:val="24"/>
        </w:rPr>
      </w:pPr>
      <w:r>
        <w:rPr>
          <w:rFonts w:ascii="宋体" w:hAnsi="宋体" w:eastAsia="宋体" w:cs="宋体"/>
          <w:spacing w:val="-2"/>
          <w:sz w:val="24"/>
          <w:szCs w:val="24"/>
        </w:rPr>
        <w:t>12.2.整个检验验收期间，乙方应接受甲方的统一管理和必要的监督检查。</w:t>
      </w:r>
    </w:p>
    <w:p w14:paraId="248E0FD5">
      <w:pPr>
        <w:spacing w:before="181" w:line="345" w:lineRule="auto"/>
        <w:ind w:right="143" w:firstLine="499"/>
        <w:rPr>
          <w:rFonts w:ascii="宋体" w:hAnsi="宋体" w:eastAsia="宋体" w:cs="宋体"/>
          <w:sz w:val="24"/>
          <w:szCs w:val="24"/>
        </w:rPr>
      </w:pPr>
      <w:r>
        <w:rPr>
          <w:rFonts w:ascii="宋体" w:hAnsi="宋体" w:eastAsia="宋体" w:cs="宋体"/>
          <w:spacing w:val="-2"/>
          <w:sz w:val="24"/>
          <w:szCs w:val="24"/>
        </w:rPr>
        <w:t>12.3</w:t>
      </w:r>
      <w:r>
        <w:rPr>
          <w:rFonts w:ascii="宋体" w:hAnsi="宋体" w:eastAsia="宋体" w:cs="宋体"/>
          <w:spacing w:val="47"/>
          <w:sz w:val="24"/>
          <w:szCs w:val="24"/>
        </w:rPr>
        <w:t xml:space="preserve"> </w:t>
      </w:r>
      <w:r>
        <w:rPr>
          <w:rFonts w:ascii="宋体" w:hAnsi="宋体" w:eastAsia="宋体" w:cs="宋体"/>
          <w:spacing w:val="-2"/>
          <w:sz w:val="24"/>
          <w:szCs w:val="24"/>
        </w:rPr>
        <w:t>乙方不得无故更换项目负责人，若乙方需要更换项目负责人，需书面向甲方申</w:t>
      </w:r>
      <w:r>
        <w:rPr>
          <w:rFonts w:ascii="宋体" w:hAnsi="宋体" w:eastAsia="宋体" w:cs="宋体"/>
          <w:sz w:val="24"/>
          <w:szCs w:val="24"/>
        </w:rPr>
        <w:t xml:space="preserve"> </w:t>
      </w:r>
      <w:r>
        <w:rPr>
          <w:rFonts w:ascii="宋体" w:hAnsi="宋体" w:eastAsia="宋体" w:cs="宋体"/>
          <w:spacing w:val="-2"/>
          <w:sz w:val="24"/>
          <w:szCs w:val="24"/>
        </w:rPr>
        <w:t>请并告知原因，经甲方书面同意后方可更换项目负责人。</w:t>
      </w:r>
    </w:p>
    <w:p w14:paraId="09623E3D">
      <w:pPr>
        <w:spacing w:before="36" w:line="220" w:lineRule="auto"/>
        <w:ind w:left="3567"/>
        <w:outlineLvl w:val="0"/>
        <w:rPr>
          <w:rFonts w:ascii="宋体" w:hAnsi="宋体" w:eastAsia="宋体" w:cs="宋体"/>
          <w:sz w:val="24"/>
          <w:szCs w:val="24"/>
        </w:rPr>
      </w:pPr>
      <w:r>
        <w:rPr>
          <w:rFonts w:ascii="宋体" w:hAnsi="宋体" w:eastAsia="宋体" w:cs="宋体"/>
          <w:b/>
          <w:bCs/>
          <w:spacing w:val="-3"/>
          <w:sz w:val="24"/>
          <w:szCs w:val="24"/>
        </w:rPr>
        <w:t>第十三条</w:t>
      </w:r>
      <w:r>
        <w:rPr>
          <w:rFonts w:ascii="宋体" w:hAnsi="宋体" w:eastAsia="宋体" w:cs="宋体"/>
          <w:spacing w:val="-3"/>
          <w:sz w:val="24"/>
          <w:szCs w:val="24"/>
        </w:rPr>
        <w:t xml:space="preserve">  </w:t>
      </w:r>
      <w:r>
        <w:rPr>
          <w:rFonts w:ascii="宋体" w:hAnsi="宋体" w:eastAsia="宋体" w:cs="宋体"/>
          <w:b/>
          <w:bCs/>
          <w:spacing w:val="-3"/>
          <w:sz w:val="24"/>
          <w:szCs w:val="24"/>
        </w:rPr>
        <w:t>异议索赔</w:t>
      </w:r>
    </w:p>
    <w:p w14:paraId="466DF340">
      <w:pPr>
        <w:spacing w:before="184" w:line="352" w:lineRule="auto"/>
        <w:ind w:left="3" w:right="85" w:firstLine="495"/>
        <w:jc w:val="both"/>
        <w:rPr>
          <w:rFonts w:ascii="宋体" w:hAnsi="宋体" w:eastAsia="宋体" w:cs="宋体"/>
          <w:sz w:val="24"/>
          <w:szCs w:val="24"/>
        </w:rPr>
      </w:pPr>
      <w:r>
        <w:rPr>
          <w:rFonts w:ascii="宋体" w:hAnsi="宋体" w:eastAsia="宋体" w:cs="宋体"/>
          <w:spacing w:val="1"/>
          <w:sz w:val="24"/>
          <w:szCs w:val="24"/>
        </w:rPr>
        <w:t>13.1.乙方维护不能达到原系统性能，乙方应向甲方支付合同</w:t>
      </w:r>
      <w:r>
        <w:rPr>
          <w:rFonts w:ascii="宋体" w:hAnsi="宋体" w:eastAsia="宋体" w:cs="宋体"/>
          <w:sz w:val="24"/>
          <w:szCs w:val="24"/>
        </w:rPr>
        <w:t xml:space="preserve">内相关系统维护的违约 </w:t>
      </w:r>
      <w:r>
        <w:rPr>
          <w:rFonts w:ascii="宋体" w:hAnsi="宋体" w:eastAsia="宋体" w:cs="宋体"/>
          <w:spacing w:val="-4"/>
          <w:sz w:val="24"/>
          <w:szCs w:val="24"/>
        </w:rPr>
        <w:t>金，甲方有权要求乙方在</w:t>
      </w:r>
      <w:r>
        <w:rPr>
          <w:rFonts w:ascii="宋体" w:hAnsi="宋体" w:eastAsia="宋体" w:cs="宋体"/>
          <w:spacing w:val="-4"/>
          <w:sz w:val="24"/>
          <w:szCs w:val="24"/>
          <w:u w:val="single" w:color="auto"/>
        </w:rPr>
        <w:t xml:space="preserve"> </w:t>
      </w:r>
      <w:r>
        <w:rPr>
          <w:rFonts w:ascii="宋体" w:hAnsi="宋体" w:eastAsia="宋体" w:cs="宋体"/>
          <w:spacing w:val="-4"/>
          <w:sz w:val="24"/>
          <w:szCs w:val="24"/>
          <w:highlight w:val="yellow"/>
          <w:u w:val="single" w:color="auto"/>
        </w:rPr>
        <w:t>5</w:t>
      </w:r>
      <w:r>
        <w:rPr>
          <w:rFonts w:ascii="宋体" w:hAnsi="宋体" w:eastAsia="宋体" w:cs="宋体"/>
          <w:spacing w:val="51"/>
          <w:sz w:val="24"/>
          <w:szCs w:val="24"/>
          <w:u w:val="single" w:color="auto"/>
        </w:rPr>
        <w:t xml:space="preserve"> </w:t>
      </w:r>
      <w:r>
        <w:rPr>
          <w:rFonts w:ascii="宋体" w:hAnsi="宋体" w:eastAsia="宋体" w:cs="宋体"/>
          <w:spacing w:val="-4"/>
          <w:sz w:val="24"/>
          <w:szCs w:val="24"/>
        </w:rPr>
        <w:t>日内维修，并承担修理的</w:t>
      </w:r>
      <w:r>
        <w:rPr>
          <w:rFonts w:ascii="宋体" w:hAnsi="宋体" w:eastAsia="宋体" w:cs="宋体"/>
          <w:spacing w:val="-5"/>
          <w:sz w:val="24"/>
          <w:szCs w:val="24"/>
        </w:rPr>
        <w:t>一切费用。如乙方在</w:t>
      </w:r>
      <w:r>
        <w:rPr>
          <w:rFonts w:ascii="宋体" w:hAnsi="宋体" w:eastAsia="宋体" w:cs="宋体"/>
          <w:spacing w:val="-5"/>
          <w:sz w:val="24"/>
          <w:szCs w:val="24"/>
          <w:u w:val="single" w:color="auto"/>
        </w:rPr>
        <w:t xml:space="preserve"> </w:t>
      </w:r>
      <w:r>
        <w:rPr>
          <w:rFonts w:ascii="宋体" w:hAnsi="宋体" w:eastAsia="宋体" w:cs="宋体"/>
          <w:spacing w:val="-5"/>
          <w:sz w:val="24"/>
          <w:szCs w:val="24"/>
          <w:highlight w:val="yellow"/>
          <w:u w:val="single" w:color="auto"/>
        </w:rPr>
        <w:t>5</w:t>
      </w:r>
      <w:r>
        <w:rPr>
          <w:rFonts w:ascii="宋体" w:hAnsi="宋体" w:eastAsia="宋体" w:cs="宋体"/>
          <w:spacing w:val="50"/>
          <w:sz w:val="24"/>
          <w:szCs w:val="24"/>
          <w:u w:val="single" w:color="auto"/>
        </w:rPr>
        <w:t xml:space="preserve"> </w:t>
      </w:r>
      <w:r>
        <w:rPr>
          <w:rFonts w:ascii="宋体" w:hAnsi="宋体" w:eastAsia="宋体" w:cs="宋体"/>
          <w:spacing w:val="-5"/>
          <w:sz w:val="24"/>
          <w:szCs w:val="24"/>
        </w:rPr>
        <w:t>日内不能修</w:t>
      </w:r>
      <w:r>
        <w:rPr>
          <w:rFonts w:ascii="宋体" w:hAnsi="宋体" w:eastAsia="宋体" w:cs="宋体"/>
          <w:spacing w:val="-2"/>
          <w:sz w:val="24"/>
          <w:szCs w:val="24"/>
        </w:rPr>
        <w:t>理的，按不能维护处理，甲方有权终止合同，违约金不足以弥补甲方损失的，乙方应当继</w:t>
      </w:r>
      <w:r>
        <w:rPr>
          <w:rFonts w:ascii="宋体" w:hAnsi="宋体" w:eastAsia="宋体" w:cs="宋体"/>
          <w:spacing w:val="-9"/>
          <w:sz w:val="24"/>
          <w:szCs w:val="24"/>
        </w:rPr>
        <w:t>续赔偿。</w:t>
      </w:r>
    </w:p>
    <w:p w14:paraId="5123BD09">
      <w:pPr>
        <w:spacing w:before="184" w:line="324" w:lineRule="auto"/>
        <w:ind w:left="2" w:right="18" w:firstLine="496"/>
        <w:rPr>
          <w:rFonts w:ascii="宋体" w:hAnsi="宋体" w:eastAsia="宋体" w:cs="宋体"/>
          <w:sz w:val="24"/>
          <w:szCs w:val="24"/>
        </w:rPr>
      </w:pPr>
      <w:r>
        <w:rPr>
          <w:rFonts w:ascii="宋体" w:hAnsi="宋体" w:eastAsia="宋体" w:cs="宋体"/>
          <w:spacing w:val="1"/>
          <w:sz w:val="24"/>
          <w:szCs w:val="24"/>
        </w:rPr>
        <w:t>13.</w:t>
      </w:r>
      <w:r>
        <w:rPr>
          <w:rFonts w:hint="eastAsia" w:ascii="宋体" w:hAnsi="宋体" w:eastAsia="宋体" w:cs="宋体"/>
          <w:spacing w:val="1"/>
          <w:sz w:val="24"/>
          <w:szCs w:val="24"/>
          <w:lang w:val="en-US" w:eastAsia="zh-CN"/>
        </w:rPr>
        <w:t>2</w:t>
      </w:r>
      <w:r>
        <w:rPr>
          <w:rFonts w:ascii="宋体" w:hAnsi="宋体" w:eastAsia="宋体" w:cs="宋体"/>
          <w:spacing w:val="1"/>
          <w:sz w:val="24"/>
          <w:szCs w:val="24"/>
        </w:rPr>
        <w:t xml:space="preserve"> 除不可抗力原因外，如因乙方的原因造成项目系统不能</w:t>
      </w:r>
      <w:r>
        <w:rPr>
          <w:rFonts w:ascii="宋体" w:hAnsi="宋体" w:eastAsia="宋体" w:cs="宋体"/>
          <w:sz w:val="24"/>
          <w:szCs w:val="24"/>
        </w:rPr>
        <w:t xml:space="preserve">按照合同约定时间内恢 </w:t>
      </w:r>
      <w:r>
        <w:rPr>
          <w:rFonts w:ascii="宋体" w:hAnsi="宋体" w:eastAsia="宋体" w:cs="宋体"/>
          <w:spacing w:val="-7"/>
          <w:sz w:val="24"/>
          <w:szCs w:val="24"/>
        </w:rPr>
        <w:t>复正常，乙方的赔偿费按合同总额的</w:t>
      </w:r>
      <w:r>
        <w:rPr>
          <w:rFonts w:ascii="宋体" w:hAnsi="宋体" w:eastAsia="宋体" w:cs="宋体"/>
          <w:spacing w:val="40"/>
          <w:sz w:val="24"/>
          <w:szCs w:val="24"/>
          <w:highlight w:val="yellow"/>
          <w:u w:val="single" w:color="auto"/>
        </w:rPr>
        <w:t xml:space="preserve"> </w:t>
      </w:r>
      <w:r>
        <w:rPr>
          <w:rFonts w:ascii="宋体" w:hAnsi="宋体" w:eastAsia="宋体" w:cs="宋体"/>
          <w:spacing w:val="-7"/>
          <w:sz w:val="24"/>
          <w:szCs w:val="24"/>
          <w:highlight w:val="yellow"/>
          <w:u w:val="single" w:color="auto"/>
        </w:rPr>
        <w:t xml:space="preserve">1% </w:t>
      </w:r>
      <w:r>
        <w:rPr>
          <w:rFonts w:ascii="宋体" w:hAnsi="宋体" w:eastAsia="宋体" w:cs="宋体"/>
          <w:spacing w:val="-7"/>
          <w:sz w:val="24"/>
          <w:szCs w:val="24"/>
        </w:rPr>
        <w:t>计收，不足一天按一天计算，直至提供服务为止，</w:t>
      </w:r>
      <w:r>
        <w:rPr>
          <w:rFonts w:ascii="宋体" w:hAnsi="宋体" w:eastAsia="宋体" w:cs="宋体"/>
          <w:spacing w:val="-4"/>
          <w:sz w:val="24"/>
          <w:szCs w:val="24"/>
        </w:rPr>
        <w:t xml:space="preserve">误期赔偿费最高限额为合同总额的 </w:t>
      </w:r>
      <w:r>
        <w:rPr>
          <w:rFonts w:ascii="宋体" w:hAnsi="宋体" w:eastAsia="宋体" w:cs="宋体"/>
          <w:spacing w:val="-4"/>
          <w:sz w:val="24"/>
          <w:szCs w:val="24"/>
          <w:highlight w:val="yellow"/>
        </w:rPr>
        <w:t xml:space="preserve">20% </w:t>
      </w:r>
      <w:r>
        <w:rPr>
          <w:rFonts w:ascii="宋体" w:hAnsi="宋体" w:eastAsia="宋体" w:cs="宋体"/>
          <w:spacing w:val="-4"/>
          <w:sz w:val="24"/>
          <w:szCs w:val="24"/>
        </w:rPr>
        <w:t>。因乙方原因造成故障修复时间超过</w:t>
      </w:r>
      <w:r>
        <w:rPr>
          <w:rFonts w:ascii="宋体" w:hAnsi="宋体" w:eastAsia="宋体" w:cs="宋体"/>
          <w:spacing w:val="-4"/>
          <w:sz w:val="24"/>
          <w:szCs w:val="24"/>
          <w:u w:val="single" w:color="auto"/>
        </w:rPr>
        <w:t xml:space="preserve"> </w:t>
      </w:r>
      <w:r>
        <w:rPr>
          <w:rFonts w:ascii="宋体" w:hAnsi="宋体" w:eastAsia="宋体" w:cs="宋体"/>
          <w:spacing w:val="-4"/>
          <w:sz w:val="24"/>
          <w:szCs w:val="24"/>
          <w:highlight w:val="yellow"/>
          <w:u w:val="single" w:color="auto"/>
        </w:rPr>
        <w:t>10</w:t>
      </w:r>
      <w:r>
        <w:rPr>
          <w:rFonts w:ascii="宋体" w:hAnsi="宋体" w:eastAsia="宋体" w:cs="宋体"/>
          <w:spacing w:val="65"/>
          <w:sz w:val="24"/>
          <w:szCs w:val="24"/>
          <w:highlight w:val="yellow"/>
          <w:u w:val="single" w:color="auto"/>
        </w:rPr>
        <w:t xml:space="preserve"> </w:t>
      </w:r>
      <w:r>
        <w:rPr>
          <w:rFonts w:ascii="宋体" w:hAnsi="宋体" w:eastAsia="宋体" w:cs="宋体"/>
          <w:spacing w:val="-4"/>
          <w:sz w:val="24"/>
          <w:szCs w:val="24"/>
        </w:rPr>
        <w:t>日</w:t>
      </w:r>
      <w:r>
        <w:rPr>
          <w:rFonts w:ascii="宋体" w:hAnsi="宋体" w:eastAsia="宋体" w:cs="宋体"/>
          <w:spacing w:val="29"/>
          <w:sz w:val="24"/>
          <w:szCs w:val="24"/>
        </w:rPr>
        <w:t xml:space="preserve"> </w:t>
      </w:r>
      <w:r>
        <w:rPr>
          <w:rFonts w:ascii="宋体" w:hAnsi="宋体" w:eastAsia="宋体" w:cs="宋体"/>
          <w:spacing w:val="-4"/>
          <w:sz w:val="24"/>
          <w:szCs w:val="24"/>
        </w:rPr>
        <w:t>，甲</w:t>
      </w:r>
      <w:r>
        <w:rPr>
          <w:rFonts w:ascii="宋体" w:hAnsi="宋体" w:eastAsia="宋体" w:cs="宋体"/>
          <w:spacing w:val="-5"/>
          <w:sz w:val="24"/>
          <w:szCs w:val="24"/>
        </w:rPr>
        <w:t>方有权终止合同。</w:t>
      </w:r>
    </w:p>
    <w:p w14:paraId="1225F05C">
      <w:pPr>
        <w:spacing w:before="182" w:line="289" w:lineRule="auto"/>
        <w:ind w:left="2" w:right="85" w:firstLine="496"/>
        <w:rPr>
          <w:rFonts w:ascii="宋体" w:hAnsi="宋体" w:eastAsia="宋体" w:cs="宋体"/>
          <w:sz w:val="24"/>
          <w:szCs w:val="24"/>
        </w:rPr>
      </w:pPr>
      <w:r>
        <w:rPr>
          <w:rFonts w:ascii="宋体" w:hAnsi="宋体" w:eastAsia="宋体" w:cs="宋体"/>
          <w:spacing w:val="1"/>
          <w:sz w:val="24"/>
          <w:szCs w:val="24"/>
        </w:rPr>
        <w:t>13.</w:t>
      </w:r>
      <w:r>
        <w:rPr>
          <w:rFonts w:hint="eastAsia" w:ascii="宋体" w:hAnsi="宋体" w:eastAsia="宋体" w:cs="宋体"/>
          <w:spacing w:val="1"/>
          <w:sz w:val="24"/>
          <w:szCs w:val="24"/>
          <w:lang w:val="en-US" w:eastAsia="zh-CN"/>
        </w:rPr>
        <w:t>3</w:t>
      </w:r>
      <w:r>
        <w:rPr>
          <w:rFonts w:ascii="宋体" w:hAnsi="宋体" w:eastAsia="宋体" w:cs="宋体"/>
          <w:spacing w:val="1"/>
          <w:sz w:val="24"/>
          <w:szCs w:val="24"/>
        </w:rPr>
        <w:t xml:space="preserve"> 如因甲方自身原因造成乙方延误，经双方确认后服务期</w:t>
      </w:r>
      <w:r>
        <w:rPr>
          <w:rFonts w:ascii="宋体" w:hAnsi="宋体" w:eastAsia="宋体" w:cs="宋体"/>
          <w:sz w:val="24"/>
          <w:szCs w:val="24"/>
        </w:rPr>
        <w:t xml:space="preserve">相应顺延，双方互不承 </w:t>
      </w:r>
      <w:r>
        <w:rPr>
          <w:rFonts w:ascii="宋体" w:hAnsi="宋体" w:eastAsia="宋体" w:cs="宋体"/>
          <w:spacing w:val="-2"/>
          <w:sz w:val="24"/>
          <w:szCs w:val="24"/>
        </w:rPr>
        <w:t>担违约责任</w:t>
      </w:r>
    </w:p>
    <w:p w14:paraId="665BEF63">
      <w:pPr>
        <w:spacing w:before="182" w:line="219" w:lineRule="auto"/>
        <w:ind w:left="499"/>
        <w:rPr>
          <w:rFonts w:ascii="宋体" w:hAnsi="宋体" w:eastAsia="宋体" w:cs="宋体"/>
          <w:sz w:val="24"/>
          <w:szCs w:val="24"/>
        </w:rPr>
      </w:pPr>
      <w:r>
        <w:rPr>
          <w:rFonts w:ascii="宋体" w:hAnsi="宋体" w:eastAsia="宋体" w:cs="宋体"/>
          <w:spacing w:val="-2"/>
          <w:sz w:val="24"/>
          <w:szCs w:val="24"/>
        </w:rPr>
        <w:t>13.</w:t>
      </w:r>
      <w:r>
        <w:rPr>
          <w:rFonts w:hint="eastAsia" w:ascii="宋体" w:hAnsi="宋体" w:eastAsia="宋体" w:cs="宋体"/>
          <w:spacing w:val="-2"/>
          <w:sz w:val="24"/>
          <w:szCs w:val="24"/>
          <w:lang w:val="en-US" w:eastAsia="zh-CN"/>
        </w:rPr>
        <w:t>4</w:t>
      </w:r>
      <w:r>
        <w:rPr>
          <w:rFonts w:ascii="宋体" w:hAnsi="宋体" w:eastAsia="宋体" w:cs="宋体"/>
          <w:spacing w:val="-2"/>
          <w:sz w:val="24"/>
          <w:szCs w:val="24"/>
        </w:rPr>
        <w:t xml:space="preserve"> 本合同中对于甲方付款和乙方交付使用有先决条件的约定，按约定执行。</w:t>
      </w:r>
    </w:p>
    <w:p w14:paraId="297F5A29">
      <w:pPr>
        <w:spacing w:before="183" w:line="289" w:lineRule="auto"/>
        <w:ind w:left="10" w:right="85" w:firstLine="489"/>
        <w:rPr>
          <w:rFonts w:ascii="宋体" w:hAnsi="宋体" w:eastAsia="宋体" w:cs="宋体"/>
          <w:sz w:val="24"/>
          <w:szCs w:val="24"/>
        </w:rPr>
      </w:pPr>
      <w:r>
        <w:rPr>
          <w:rFonts w:ascii="宋体" w:hAnsi="宋体" w:eastAsia="宋体" w:cs="宋体"/>
          <w:spacing w:val="1"/>
          <w:sz w:val="24"/>
          <w:szCs w:val="24"/>
        </w:rPr>
        <w:t>13.</w:t>
      </w:r>
      <w:r>
        <w:rPr>
          <w:rFonts w:hint="eastAsia" w:ascii="宋体" w:hAnsi="宋体" w:eastAsia="宋体" w:cs="宋体"/>
          <w:spacing w:val="1"/>
          <w:sz w:val="24"/>
          <w:szCs w:val="24"/>
          <w:lang w:val="en-US" w:eastAsia="zh-CN"/>
        </w:rPr>
        <w:t xml:space="preserve">5 </w:t>
      </w:r>
      <w:r>
        <w:rPr>
          <w:rFonts w:ascii="宋体" w:hAnsi="宋体" w:eastAsia="宋体" w:cs="宋体"/>
          <w:spacing w:val="1"/>
          <w:sz w:val="24"/>
          <w:szCs w:val="24"/>
        </w:rPr>
        <w:t>甲方使用乙方提供的维保服务对第三人构成侵权的，应</w:t>
      </w:r>
      <w:r>
        <w:rPr>
          <w:rFonts w:ascii="宋体" w:hAnsi="宋体" w:eastAsia="宋体" w:cs="宋体"/>
          <w:sz w:val="24"/>
          <w:szCs w:val="24"/>
        </w:rPr>
        <w:t xml:space="preserve">当由乙方承担全部法律 </w:t>
      </w:r>
      <w:r>
        <w:rPr>
          <w:rFonts w:ascii="宋体" w:hAnsi="宋体" w:eastAsia="宋体" w:cs="宋体"/>
          <w:spacing w:val="-3"/>
          <w:sz w:val="24"/>
          <w:szCs w:val="24"/>
        </w:rPr>
        <w:t>责任，给甲方造成损害的，乙方应当承担赔偿责任。</w:t>
      </w:r>
    </w:p>
    <w:p w14:paraId="563287AE">
      <w:pPr>
        <w:spacing w:line="289" w:lineRule="auto"/>
        <w:rPr>
          <w:rFonts w:ascii="宋体" w:hAnsi="宋体" w:eastAsia="宋体" w:cs="宋体"/>
          <w:sz w:val="24"/>
          <w:szCs w:val="24"/>
        </w:rPr>
        <w:sectPr>
          <w:footerReference r:id="rId10" w:type="default"/>
          <w:pgSz w:w="11906" w:h="16839"/>
          <w:pgMar w:top="1123" w:right="1218" w:bottom="1262" w:left="1311" w:header="0" w:footer="1102" w:gutter="0"/>
          <w:pgNumType w:fmt="decimal"/>
          <w:cols w:space="720" w:num="1"/>
        </w:sectPr>
      </w:pPr>
    </w:p>
    <w:p w14:paraId="7CD71D2F">
      <w:pPr>
        <w:spacing w:before="48" w:line="345" w:lineRule="auto"/>
        <w:ind w:right="85" w:firstLine="498"/>
        <w:rPr>
          <w:rFonts w:ascii="宋体" w:hAnsi="宋体" w:eastAsia="宋体" w:cs="宋体"/>
          <w:sz w:val="24"/>
          <w:szCs w:val="24"/>
        </w:rPr>
      </w:pPr>
      <w:r>
        <w:rPr>
          <w:rFonts w:ascii="宋体" w:hAnsi="宋体" w:eastAsia="宋体" w:cs="宋体"/>
          <w:spacing w:val="2"/>
          <w:sz w:val="24"/>
          <w:szCs w:val="24"/>
        </w:rPr>
        <w:t>13.</w:t>
      </w:r>
      <w:r>
        <w:rPr>
          <w:rFonts w:hint="eastAsia" w:ascii="宋体" w:hAnsi="宋体" w:eastAsia="宋体" w:cs="宋体"/>
          <w:spacing w:val="2"/>
          <w:sz w:val="24"/>
          <w:szCs w:val="24"/>
          <w:lang w:val="en-US" w:eastAsia="zh-CN"/>
        </w:rPr>
        <w:t>6</w:t>
      </w:r>
      <w:r>
        <w:rPr>
          <w:rFonts w:ascii="宋体" w:hAnsi="宋体" w:eastAsia="宋体" w:cs="宋体"/>
          <w:spacing w:val="-40"/>
          <w:sz w:val="24"/>
          <w:szCs w:val="24"/>
        </w:rPr>
        <w:t xml:space="preserve"> </w:t>
      </w:r>
      <w:r>
        <w:rPr>
          <w:rFonts w:ascii="宋体" w:hAnsi="宋体" w:eastAsia="宋体" w:cs="宋体"/>
          <w:spacing w:val="2"/>
          <w:sz w:val="24"/>
          <w:szCs w:val="24"/>
        </w:rPr>
        <w:t>维护期内，如乙方未按照合同约定时间进行相应服务，甲方将</w:t>
      </w:r>
      <w:r>
        <w:rPr>
          <w:rFonts w:ascii="宋体" w:hAnsi="宋体" w:eastAsia="宋体" w:cs="宋体"/>
          <w:spacing w:val="1"/>
          <w:sz w:val="24"/>
          <w:szCs w:val="24"/>
        </w:rPr>
        <w:t>按照合同价格及</w:t>
      </w:r>
      <w:r>
        <w:rPr>
          <w:rFonts w:ascii="宋体" w:hAnsi="宋体" w:eastAsia="宋体" w:cs="宋体"/>
          <w:sz w:val="24"/>
          <w:szCs w:val="24"/>
        </w:rPr>
        <w:t xml:space="preserve"> </w:t>
      </w:r>
      <w:r>
        <w:rPr>
          <w:rFonts w:ascii="宋体" w:hAnsi="宋体" w:eastAsia="宋体" w:cs="宋体"/>
          <w:spacing w:val="-2"/>
          <w:sz w:val="24"/>
          <w:szCs w:val="24"/>
        </w:rPr>
        <w:t>造成损失金额或合同约定的服务价格扣除相应数额的违约金。</w:t>
      </w:r>
    </w:p>
    <w:p w14:paraId="49FCDD06">
      <w:pPr>
        <w:spacing w:before="35" w:line="220" w:lineRule="auto"/>
        <w:ind w:left="3567"/>
        <w:outlineLvl w:val="0"/>
        <w:rPr>
          <w:rFonts w:ascii="宋体" w:hAnsi="宋体" w:eastAsia="宋体" w:cs="宋体"/>
          <w:sz w:val="24"/>
          <w:szCs w:val="24"/>
        </w:rPr>
      </w:pPr>
      <w:r>
        <w:rPr>
          <w:rFonts w:ascii="宋体" w:hAnsi="宋体" w:eastAsia="宋体" w:cs="宋体"/>
          <w:b/>
          <w:bCs/>
          <w:spacing w:val="-3"/>
          <w:sz w:val="24"/>
          <w:szCs w:val="24"/>
        </w:rPr>
        <w:t>第十四条</w:t>
      </w:r>
      <w:r>
        <w:rPr>
          <w:rFonts w:ascii="宋体" w:hAnsi="宋体" w:eastAsia="宋体" w:cs="宋体"/>
          <w:spacing w:val="-3"/>
          <w:sz w:val="24"/>
          <w:szCs w:val="24"/>
        </w:rPr>
        <w:t xml:space="preserve">  </w:t>
      </w:r>
      <w:r>
        <w:rPr>
          <w:rFonts w:ascii="宋体" w:hAnsi="宋体" w:eastAsia="宋体" w:cs="宋体"/>
          <w:b/>
          <w:bCs/>
          <w:spacing w:val="-3"/>
          <w:sz w:val="24"/>
          <w:szCs w:val="24"/>
        </w:rPr>
        <w:t>不可抗力</w:t>
      </w:r>
    </w:p>
    <w:p w14:paraId="17CC2DED">
      <w:pPr>
        <w:spacing w:before="182" w:line="352" w:lineRule="auto"/>
        <w:ind w:left="2" w:right="85" w:firstLine="496"/>
        <w:rPr>
          <w:rFonts w:ascii="宋体" w:hAnsi="宋体" w:eastAsia="宋体" w:cs="宋体"/>
          <w:sz w:val="24"/>
          <w:szCs w:val="24"/>
        </w:rPr>
      </w:pPr>
      <w:r>
        <w:rPr>
          <w:rFonts w:ascii="宋体" w:hAnsi="宋体" w:eastAsia="宋体" w:cs="宋体"/>
          <w:spacing w:val="-1"/>
          <w:sz w:val="24"/>
          <w:szCs w:val="24"/>
        </w:rPr>
        <w:t>14.1.如果任何一方当事人受诸如战争、严重的火灾、台风、地震、洪水以及其他不</w:t>
      </w:r>
      <w:r>
        <w:rPr>
          <w:rFonts w:ascii="宋体" w:hAnsi="宋体" w:eastAsia="宋体" w:cs="宋体"/>
          <w:spacing w:val="-5"/>
          <w:sz w:val="24"/>
          <w:szCs w:val="24"/>
        </w:rPr>
        <w:t>能预见、不能避免且不能克服的事件的影响而无法履行合同项下的任何义务， 受影响的一</w:t>
      </w:r>
      <w:r>
        <w:rPr>
          <w:rFonts w:ascii="宋体" w:hAnsi="宋体" w:eastAsia="宋体" w:cs="宋体"/>
          <w:sz w:val="24"/>
          <w:szCs w:val="24"/>
        </w:rPr>
        <w:t>方当事人应将此类事件的发生以传真方式通知另一方当事人</w:t>
      </w:r>
      <w:r>
        <w:rPr>
          <w:rFonts w:ascii="宋体" w:hAnsi="宋体" w:eastAsia="宋体" w:cs="宋体"/>
          <w:spacing w:val="-1"/>
          <w:sz w:val="24"/>
          <w:szCs w:val="24"/>
        </w:rPr>
        <w:t>并应在不可抗力事件发生后</w:t>
      </w:r>
      <w:r>
        <w:rPr>
          <w:rFonts w:ascii="宋体" w:hAnsi="宋体" w:eastAsia="宋体" w:cs="宋体"/>
          <w:sz w:val="24"/>
          <w:szCs w:val="24"/>
        </w:rPr>
        <w:t xml:space="preserve">  </w:t>
      </w:r>
      <w:r>
        <w:rPr>
          <w:rFonts w:ascii="宋体" w:hAnsi="宋体" w:eastAsia="宋体" w:cs="宋体"/>
          <w:spacing w:val="-2"/>
          <w:sz w:val="24"/>
          <w:szCs w:val="24"/>
        </w:rPr>
        <w:t>10</w:t>
      </w:r>
      <w:r>
        <w:rPr>
          <w:rFonts w:ascii="宋体" w:hAnsi="宋体" w:eastAsia="宋体" w:cs="宋体"/>
          <w:spacing w:val="-30"/>
          <w:sz w:val="24"/>
          <w:szCs w:val="24"/>
        </w:rPr>
        <w:t xml:space="preserve"> </w:t>
      </w:r>
      <w:r>
        <w:rPr>
          <w:rFonts w:ascii="宋体" w:hAnsi="宋体" w:eastAsia="宋体" w:cs="宋体"/>
          <w:spacing w:val="-2"/>
          <w:sz w:val="24"/>
          <w:szCs w:val="24"/>
        </w:rPr>
        <w:t>天内以航空挂号信将有关当局或机构出具的证明文件提交给另一方当事人。</w:t>
      </w:r>
    </w:p>
    <w:p w14:paraId="63F1F354">
      <w:pPr>
        <w:spacing w:before="34" w:line="354" w:lineRule="auto"/>
        <w:ind w:left="2" w:firstLine="496"/>
        <w:rPr>
          <w:rFonts w:ascii="宋体" w:hAnsi="宋体" w:eastAsia="宋体" w:cs="宋体"/>
          <w:sz w:val="24"/>
          <w:szCs w:val="24"/>
        </w:rPr>
      </w:pPr>
      <w:r>
        <w:rPr>
          <w:rFonts w:ascii="宋体" w:hAnsi="宋体" w:eastAsia="宋体" w:cs="宋体"/>
          <w:spacing w:val="-1"/>
          <w:sz w:val="24"/>
          <w:szCs w:val="24"/>
        </w:rPr>
        <w:t>14.2.由于不可抗力的原因造成乙方不能按合</w:t>
      </w:r>
      <w:r>
        <w:rPr>
          <w:rFonts w:ascii="宋体" w:hAnsi="宋体" w:eastAsia="宋体" w:cs="宋体"/>
          <w:spacing w:val="-2"/>
          <w:sz w:val="24"/>
          <w:szCs w:val="24"/>
        </w:rPr>
        <w:t>同规定服务时，乙方应立即以本条第</w:t>
      </w:r>
      <w:r>
        <w:rPr>
          <w:rFonts w:ascii="宋体" w:hAnsi="宋体" w:eastAsia="宋体" w:cs="宋体"/>
          <w:spacing w:val="-33"/>
          <w:sz w:val="24"/>
          <w:szCs w:val="24"/>
        </w:rPr>
        <w:t xml:space="preserve"> </w:t>
      </w:r>
      <w:r>
        <w:rPr>
          <w:rFonts w:ascii="宋体" w:hAnsi="宋体" w:eastAsia="宋体" w:cs="宋体"/>
          <w:spacing w:val="-2"/>
          <w:sz w:val="24"/>
          <w:szCs w:val="24"/>
        </w:rPr>
        <w:t>1</w:t>
      </w:r>
      <w:r>
        <w:rPr>
          <w:rFonts w:ascii="宋体" w:hAnsi="宋体" w:eastAsia="宋体" w:cs="宋体"/>
          <w:sz w:val="24"/>
          <w:szCs w:val="24"/>
        </w:rPr>
        <w:t xml:space="preserve">  </w:t>
      </w:r>
      <w:r>
        <w:rPr>
          <w:rFonts w:ascii="宋体" w:hAnsi="宋体" w:eastAsia="宋体" w:cs="宋体"/>
          <w:spacing w:val="-5"/>
          <w:sz w:val="24"/>
          <w:szCs w:val="24"/>
        </w:rPr>
        <w:t>款方式通告甲方，证明事故的存在。在不可抗力事件发生后， 双方应努力寻求采取合理的方案履行不受不可抗力影响的其他事项。如人力不可抗拒因素继续存在， 致使在合同规定</w:t>
      </w:r>
      <w:r>
        <w:rPr>
          <w:rFonts w:ascii="宋体" w:hAnsi="宋体" w:eastAsia="宋体" w:cs="宋体"/>
          <w:spacing w:val="-6"/>
          <w:sz w:val="24"/>
          <w:szCs w:val="24"/>
        </w:rPr>
        <w:t>的供货期后三十天内仍不能服务，甲方则有权解除合同，这时，服务双方均不互提出索赔。</w:t>
      </w:r>
      <w:r>
        <w:rPr>
          <w:rFonts w:ascii="宋体" w:hAnsi="宋体" w:eastAsia="宋体" w:cs="宋体"/>
          <w:spacing w:val="-2"/>
          <w:sz w:val="24"/>
          <w:szCs w:val="24"/>
        </w:rPr>
        <w:t>甲方不承担终止合同的责任，也不可没收履约保证金。</w:t>
      </w:r>
    </w:p>
    <w:p w14:paraId="299E4274">
      <w:pPr>
        <w:spacing w:before="34" w:line="220" w:lineRule="auto"/>
        <w:ind w:left="3567"/>
        <w:outlineLvl w:val="0"/>
        <w:rPr>
          <w:rFonts w:ascii="宋体" w:hAnsi="宋体" w:eastAsia="宋体" w:cs="宋体"/>
          <w:sz w:val="24"/>
          <w:szCs w:val="24"/>
        </w:rPr>
      </w:pPr>
      <w:r>
        <w:rPr>
          <w:rFonts w:ascii="宋体" w:hAnsi="宋体" w:eastAsia="宋体" w:cs="宋体"/>
          <w:b/>
          <w:bCs/>
          <w:spacing w:val="-3"/>
          <w:sz w:val="24"/>
          <w:szCs w:val="24"/>
        </w:rPr>
        <w:t>第十五条</w:t>
      </w:r>
      <w:r>
        <w:rPr>
          <w:rFonts w:ascii="宋体" w:hAnsi="宋体" w:eastAsia="宋体" w:cs="宋体"/>
          <w:spacing w:val="-3"/>
          <w:sz w:val="24"/>
          <w:szCs w:val="24"/>
        </w:rPr>
        <w:t xml:space="preserve">  </w:t>
      </w:r>
      <w:r>
        <w:rPr>
          <w:rFonts w:ascii="宋体" w:hAnsi="宋体" w:eastAsia="宋体" w:cs="宋体"/>
          <w:b/>
          <w:bCs/>
          <w:spacing w:val="-3"/>
          <w:sz w:val="24"/>
          <w:szCs w:val="24"/>
        </w:rPr>
        <w:t>违约条款</w:t>
      </w:r>
    </w:p>
    <w:p w14:paraId="1E165669">
      <w:pPr>
        <w:spacing w:before="179" w:line="353" w:lineRule="auto"/>
        <w:ind w:left="1" w:right="143" w:firstLine="497"/>
        <w:rPr>
          <w:rFonts w:ascii="宋体" w:hAnsi="宋体" w:eastAsia="宋体" w:cs="宋体"/>
          <w:sz w:val="24"/>
          <w:szCs w:val="24"/>
        </w:rPr>
      </w:pPr>
      <w:r>
        <w:rPr>
          <w:rFonts w:ascii="宋体" w:hAnsi="宋体" w:eastAsia="宋体" w:cs="宋体"/>
          <w:spacing w:val="-1"/>
          <w:sz w:val="24"/>
          <w:szCs w:val="24"/>
        </w:rPr>
        <w:t>15.1.乙方未按合同及相关附件约定的日期、方案、人员、内容等条款履行合同的，</w:t>
      </w:r>
      <w:r>
        <w:rPr>
          <w:rFonts w:ascii="宋体" w:hAnsi="宋体" w:eastAsia="宋体" w:cs="宋体"/>
          <w:spacing w:val="10"/>
          <w:sz w:val="24"/>
          <w:szCs w:val="24"/>
        </w:rPr>
        <w:t xml:space="preserve"> </w:t>
      </w:r>
      <w:r>
        <w:rPr>
          <w:rFonts w:ascii="宋体" w:hAnsi="宋体" w:eastAsia="宋体" w:cs="宋体"/>
          <w:spacing w:val="-4"/>
          <w:sz w:val="24"/>
          <w:szCs w:val="24"/>
        </w:rPr>
        <w:t>每违约</w:t>
      </w:r>
      <w:r>
        <w:rPr>
          <w:rFonts w:ascii="宋体" w:hAnsi="宋体" w:eastAsia="宋体" w:cs="宋体"/>
          <w:spacing w:val="-33"/>
          <w:sz w:val="24"/>
          <w:szCs w:val="24"/>
        </w:rPr>
        <w:t xml:space="preserve"> </w:t>
      </w:r>
      <w:r>
        <w:rPr>
          <w:rFonts w:ascii="宋体" w:hAnsi="宋体" w:eastAsia="宋体" w:cs="宋体"/>
          <w:spacing w:val="-4"/>
          <w:sz w:val="24"/>
          <w:szCs w:val="24"/>
        </w:rPr>
        <w:t>1</w:t>
      </w:r>
      <w:r>
        <w:rPr>
          <w:rFonts w:ascii="宋体" w:hAnsi="宋体" w:eastAsia="宋体" w:cs="宋体"/>
          <w:spacing w:val="-44"/>
          <w:sz w:val="24"/>
          <w:szCs w:val="24"/>
        </w:rPr>
        <w:t xml:space="preserve"> </w:t>
      </w:r>
      <w:r>
        <w:rPr>
          <w:rFonts w:ascii="宋体" w:hAnsi="宋体" w:eastAsia="宋体" w:cs="宋体"/>
          <w:spacing w:val="-4"/>
          <w:sz w:val="24"/>
          <w:szCs w:val="24"/>
        </w:rPr>
        <w:t>次或</w:t>
      </w:r>
      <w:r>
        <w:rPr>
          <w:rFonts w:ascii="宋体" w:hAnsi="宋体" w:eastAsia="宋体" w:cs="宋体"/>
          <w:spacing w:val="-33"/>
          <w:sz w:val="24"/>
          <w:szCs w:val="24"/>
        </w:rPr>
        <w:t xml:space="preserve"> </w:t>
      </w:r>
      <w:r>
        <w:rPr>
          <w:rFonts w:ascii="宋体" w:hAnsi="宋体" w:eastAsia="宋体" w:cs="宋体"/>
          <w:spacing w:val="-4"/>
          <w:sz w:val="24"/>
          <w:szCs w:val="24"/>
        </w:rPr>
        <w:t>1 日，应向甲方支付合同总价款</w:t>
      </w:r>
      <w:r>
        <w:rPr>
          <w:rFonts w:ascii="宋体" w:hAnsi="宋体" w:eastAsia="宋体" w:cs="宋体"/>
          <w:spacing w:val="-33"/>
          <w:sz w:val="24"/>
          <w:szCs w:val="24"/>
        </w:rPr>
        <w:t xml:space="preserve"> </w:t>
      </w:r>
      <w:r>
        <w:rPr>
          <w:rFonts w:ascii="宋体" w:hAnsi="宋体" w:eastAsia="宋体" w:cs="宋体"/>
          <w:spacing w:val="-4"/>
          <w:sz w:val="24"/>
          <w:szCs w:val="24"/>
        </w:rPr>
        <w:t>1%的违约金；如本合同</w:t>
      </w:r>
      <w:r>
        <w:rPr>
          <w:rFonts w:ascii="宋体" w:hAnsi="宋体" w:eastAsia="宋体" w:cs="宋体"/>
          <w:spacing w:val="-5"/>
          <w:sz w:val="24"/>
          <w:szCs w:val="24"/>
        </w:rPr>
        <w:t>期限内违约行为累</w:t>
      </w:r>
      <w:r>
        <w:rPr>
          <w:rFonts w:ascii="宋体" w:hAnsi="宋体" w:eastAsia="宋体" w:cs="宋体"/>
          <w:spacing w:val="-3"/>
          <w:sz w:val="24"/>
          <w:szCs w:val="24"/>
        </w:rPr>
        <w:t>计超过</w:t>
      </w:r>
      <w:r>
        <w:rPr>
          <w:rFonts w:ascii="宋体" w:hAnsi="宋体" w:eastAsia="宋体" w:cs="宋体"/>
          <w:spacing w:val="-46"/>
          <w:sz w:val="24"/>
          <w:szCs w:val="24"/>
        </w:rPr>
        <w:t xml:space="preserve"> </w:t>
      </w:r>
      <w:r>
        <w:rPr>
          <w:rFonts w:ascii="宋体" w:hAnsi="宋体" w:eastAsia="宋体" w:cs="宋体"/>
          <w:spacing w:val="-3"/>
          <w:sz w:val="24"/>
          <w:szCs w:val="24"/>
        </w:rPr>
        <w:t>3</w:t>
      </w:r>
      <w:r>
        <w:rPr>
          <w:rFonts w:ascii="宋体" w:hAnsi="宋体" w:eastAsia="宋体" w:cs="宋体"/>
          <w:spacing w:val="-44"/>
          <w:sz w:val="24"/>
          <w:szCs w:val="24"/>
        </w:rPr>
        <w:t xml:space="preserve"> </w:t>
      </w:r>
      <w:r>
        <w:rPr>
          <w:rFonts w:ascii="宋体" w:hAnsi="宋体" w:eastAsia="宋体" w:cs="宋体"/>
          <w:spacing w:val="-3"/>
          <w:sz w:val="24"/>
          <w:szCs w:val="24"/>
        </w:rPr>
        <w:t>次或累计违约超过</w:t>
      </w:r>
      <w:r>
        <w:rPr>
          <w:rFonts w:ascii="宋体" w:hAnsi="宋体" w:eastAsia="宋体" w:cs="宋体"/>
          <w:spacing w:val="-33"/>
          <w:sz w:val="24"/>
          <w:szCs w:val="24"/>
        </w:rPr>
        <w:t xml:space="preserve"> </w:t>
      </w:r>
      <w:r>
        <w:rPr>
          <w:rFonts w:ascii="宋体" w:hAnsi="宋体" w:eastAsia="宋体" w:cs="宋体"/>
          <w:spacing w:val="-3"/>
          <w:sz w:val="24"/>
          <w:szCs w:val="24"/>
        </w:rPr>
        <w:t>10 日的，甲方可单方解除合同并要求乙方</w:t>
      </w:r>
      <w:r>
        <w:rPr>
          <w:rFonts w:ascii="宋体" w:hAnsi="宋体" w:eastAsia="宋体" w:cs="宋体"/>
          <w:spacing w:val="-4"/>
          <w:sz w:val="24"/>
          <w:szCs w:val="24"/>
        </w:rPr>
        <w:t>退还全部已付合同</w:t>
      </w:r>
      <w:r>
        <w:rPr>
          <w:rFonts w:ascii="宋体" w:hAnsi="宋体" w:eastAsia="宋体" w:cs="宋体"/>
          <w:spacing w:val="-10"/>
          <w:sz w:val="24"/>
          <w:szCs w:val="24"/>
        </w:rPr>
        <w:t>费用。</w:t>
      </w:r>
    </w:p>
    <w:p w14:paraId="32676B6A">
      <w:pPr>
        <w:spacing w:before="35" w:line="324" w:lineRule="auto"/>
        <w:ind w:left="7" w:right="85" w:firstLine="492"/>
        <w:rPr>
          <w:rFonts w:ascii="宋体" w:hAnsi="宋体" w:eastAsia="宋体" w:cs="宋体"/>
          <w:sz w:val="24"/>
          <w:szCs w:val="24"/>
        </w:rPr>
      </w:pPr>
      <w:r>
        <w:rPr>
          <w:rFonts w:ascii="宋体" w:hAnsi="宋体" w:eastAsia="宋体" w:cs="宋体"/>
          <w:spacing w:val="-2"/>
          <w:sz w:val="24"/>
          <w:szCs w:val="24"/>
        </w:rPr>
        <w:t>15.2</w:t>
      </w:r>
      <w:r>
        <w:rPr>
          <w:rFonts w:ascii="宋体" w:hAnsi="宋体" w:eastAsia="宋体" w:cs="宋体"/>
          <w:spacing w:val="-13"/>
          <w:sz w:val="24"/>
          <w:szCs w:val="24"/>
        </w:rPr>
        <w:t xml:space="preserve"> </w:t>
      </w:r>
      <w:r>
        <w:rPr>
          <w:rFonts w:ascii="宋体" w:hAnsi="宋体" w:eastAsia="宋体" w:cs="宋体"/>
          <w:spacing w:val="-2"/>
          <w:sz w:val="24"/>
          <w:szCs w:val="24"/>
        </w:rPr>
        <w:t>乙方保证，于本合同签订时及履行过程中持续具备开展本合同项下工作所必须</w:t>
      </w:r>
      <w:r>
        <w:rPr>
          <w:rFonts w:ascii="宋体" w:hAnsi="宋体" w:eastAsia="宋体" w:cs="宋体"/>
          <w:sz w:val="24"/>
          <w:szCs w:val="24"/>
        </w:rPr>
        <w:t xml:space="preserve">  </w:t>
      </w:r>
      <w:r>
        <w:rPr>
          <w:rFonts w:ascii="宋体" w:hAnsi="宋体" w:eastAsia="宋体" w:cs="宋体"/>
          <w:spacing w:val="-7"/>
          <w:sz w:val="24"/>
          <w:szCs w:val="24"/>
        </w:rPr>
        <w:t>的一切合法有效的主体资格、业务资质。否则，</w:t>
      </w:r>
      <w:r>
        <w:rPr>
          <w:rFonts w:ascii="宋体" w:hAnsi="宋体" w:eastAsia="宋体" w:cs="宋体"/>
          <w:spacing w:val="78"/>
          <w:sz w:val="24"/>
          <w:szCs w:val="24"/>
        </w:rPr>
        <w:t xml:space="preserve"> </w:t>
      </w:r>
      <w:r>
        <w:rPr>
          <w:rFonts w:ascii="宋体" w:hAnsi="宋体" w:eastAsia="宋体" w:cs="宋体"/>
          <w:spacing w:val="-7"/>
          <w:sz w:val="24"/>
          <w:szCs w:val="24"/>
        </w:rPr>
        <w:t>甲方有权解除本合同，并追究乙</w:t>
      </w:r>
      <w:r>
        <w:rPr>
          <w:rFonts w:ascii="宋体" w:hAnsi="宋体" w:eastAsia="宋体" w:cs="宋体"/>
          <w:spacing w:val="-8"/>
          <w:sz w:val="24"/>
          <w:szCs w:val="24"/>
        </w:rPr>
        <w:t>方相应违</w:t>
      </w:r>
      <w:r>
        <w:rPr>
          <w:rFonts w:ascii="宋体" w:hAnsi="宋体" w:eastAsia="宋体" w:cs="宋体"/>
          <w:spacing w:val="-1"/>
          <w:sz w:val="24"/>
          <w:szCs w:val="24"/>
        </w:rPr>
        <w:t>约责任乙方退回甲方已付全部款项，并按照合同总额</w:t>
      </w:r>
      <w:r>
        <w:rPr>
          <w:rFonts w:ascii="宋体" w:hAnsi="宋体" w:eastAsia="宋体" w:cs="宋体"/>
          <w:spacing w:val="-39"/>
          <w:sz w:val="24"/>
          <w:szCs w:val="24"/>
        </w:rPr>
        <w:t xml:space="preserve"> </w:t>
      </w:r>
      <w:r>
        <w:rPr>
          <w:rFonts w:ascii="宋体" w:hAnsi="宋体" w:eastAsia="宋体" w:cs="宋体"/>
          <w:spacing w:val="-1"/>
          <w:sz w:val="24"/>
          <w:szCs w:val="24"/>
        </w:rPr>
        <w:t>20%承担违约金，不足以弥补甲方损</w:t>
      </w:r>
      <w:r>
        <w:rPr>
          <w:rFonts w:ascii="宋体" w:hAnsi="宋体" w:eastAsia="宋体" w:cs="宋体"/>
          <w:spacing w:val="-3"/>
          <w:sz w:val="24"/>
          <w:szCs w:val="24"/>
        </w:rPr>
        <w:t>失的，乙方还应赔偿甲方的全部损失。</w:t>
      </w:r>
    </w:p>
    <w:p w14:paraId="60143F0D">
      <w:pPr>
        <w:spacing w:before="183" w:line="324" w:lineRule="auto"/>
        <w:ind w:left="1" w:right="85" w:firstLine="497"/>
        <w:rPr>
          <w:rFonts w:ascii="宋体" w:hAnsi="宋体" w:eastAsia="宋体" w:cs="宋体"/>
          <w:sz w:val="24"/>
          <w:szCs w:val="24"/>
        </w:rPr>
      </w:pPr>
      <w:r>
        <w:rPr>
          <w:rFonts w:ascii="宋体" w:hAnsi="宋体" w:eastAsia="宋体" w:cs="宋体"/>
          <w:spacing w:val="-2"/>
          <w:sz w:val="24"/>
          <w:szCs w:val="24"/>
        </w:rPr>
        <w:t>15.3</w:t>
      </w:r>
      <w:r>
        <w:rPr>
          <w:rFonts w:ascii="宋体" w:hAnsi="宋体" w:eastAsia="宋体" w:cs="宋体"/>
          <w:spacing w:val="47"/>
          <w:sz w:val="24"/>
          <w:szCs w:val="24"/>
        </w:rPr>
        <w:t xml:space="preserve"> </w:t>
      </w:r>
      <w:r>
        <w:rPr>
          <w:rFonts w:ascii="宋体" w:hAnsi="宋体" w:eastAsia="宋体" w:cs="宋体"/>
          <w:spacing w:val="-2"/>
          <w:sz w:val="24"/>
          <w:szCs w:val="24"/>
        </w:rPr>
        <w:t>乙方保证，严格按照国家法律法规规定、各专业规范要求以及本合同约定开展</w:t>
      </w:r>
      <w:r>
        <w:rPr>
          <w:rFonts w:ascii="宋体" w:hAnsi="宋体" w:eastAsia="宋体" w:cs="宋体"/>
          <w:sz w:val="24"/>
          <w:szCs w:val="24"/>
        </w:rPr>
        <w:t xml:space="preserve"> </w:t>
      </w:r>
      <w:r>
        <w:rPr>
          <w:rFonts w:ascii="宋体" w:hAnsi="宋体" w:eastAsia="宋体" w:cs="宋体"/>
          <w:spacing w:val="-7"/>
          <w:sz w:val="24"/>
          <w:szCs w:val="24"/>
        </w:rPr>
        <w:t>工作。如发现乙方未能按时、按质、按量提供服务的，</w:t>
      </w:r>
      <w:r>
        <w:rPr>
          <w:rFonts w:ascii="宋体" w:hAnsi="宋体" w:eastAsia="宋体" w:cs="宋体"/>
          <w:spacing w:val="81"/>
          <w:sz w:val="24"/>
          <w:szCs w:val="24"/>
        </w:rPr>
        <w:t xml:space="preserve"> </w:t>
      </w:r>
      <w:r>
        <w:rPr>
          <w:rFonts w:ascii="宋体" w:hAnsi="宋体" w:eastAsia="宋体" w:cs="宋体"/>
          <w:spacing w:val="-7"/>
          <w:sz w:val="24"/>
          <w:szCs w:val="24"/>
        </w:rPr>
        <w:t>甲方有权提出限期整改的要求，整</w:t>
      </w:r>
      <w:r>
        <w:rPr>
          <w:rFonts w:ascii="宋体" w:hAnsi="宋体" w:eastAsia="宋体" w:cs="宋体"/>
          <w:spacing w:val="-2"/>
          <w:sz w:val="24"/>
          <w:szCs w:val="24"/>
        </w:rPr>
        <w:t>改期届满而整改仍未能通过的，甲方有权解除本合同，并要求乙方承担相应违约责任，并</w:t>
      </w:r>
      <w:r>
        <w:rPr>
          <w:rFonts w:ascii="宋体" w:hAnsi="宋体" w:eastAsia="宋体" w:cs="宋体"/>
          <w:spacing w:val="-3"/>
          <w:sz w:val="24"/>
          <w:szCs w:val="24"/>
        </w:rPr>
        <w:t>应按照合同总额的</w:t>
      </w:r>
      <w:r>
        <w:rPr>
          <w:rFonts w:ascii="宋体" w:hAnsi="宋体" w:eastAsia="宋体" w:cs="宋体"/>
          <w:spacing w:val="-41"/>
          <w:sz w:val="24"/>
          <w:szCs w:val="24"/>
        </w:rPr>
        <w:t xml:space="preserve"> </w:t>
      </w:r>
      <w:r>
        <w:rPr>
          <w:rFonts w:ascii="宋体" w:hAnsi="宋体" w:eastAsia="宋体" w:cs="宋体"/>
          <w:spacing w:val="-3"/>
          <w:sz w:val="24"/>
          <w:szCs w:val="24"/>
        </w:rPr>
        <w:t>20%向甲方支付违约金。</w:t>
      </w:r>
    </w:p>
    <w:p w14:paraId="37238506">
      <w:pPr>
        <w:spacing w:before="183" w:line="331" w:lineRule="auto"/>
        <w:ind w:right="85" w:firstLine="499"/>
        <w:rPr>
          <w:rFonts w:ascii="宋体" w:hAnsi="宋体" w:eastAsia="宋体" w:cs="宋体"/>
          <w:sz w:val="24"/>
          <w:szCs w:val="24"/>
        </w:rPr>
      </w:pPr>
      <w:r>
        <w:rPr>
          <w:rFonts w:ascii="宋体" w:hAnsi="宋体" w:eastAsia="宋体" w:cs="宋体"/>
          <w:spacing w:val="-2"/>
          <w:sz w:val="24"/>
          <w:szCs w:val="24"/>
        </w:rPr>
        <w:t>15.4</w:t>
      </w:r>
      <w:r>
        <w:rPr>
          <w:rFonts w:ascii="宋体" w:hAnsi="宋体" w:eastAsia="宋体" w:cs="宋体"/>
          <w:spacing w:val="47"/>
          <w:sz w:val="24"/>
          <w:szCs w:val="24"/>
        </w:rPr>
        <w:t xml:space="preserve"> </w:t>
      </w:r>
      <w:r>
        <w:rPr>
          <w:rFonts w:ascii="宋体" w:hAnsi="宋体" w:eastAsia="宋体" w:cs="宋体"/>
          <w:spacing w:val="-2"/>
          <w:sz w:val="24"/>
          <w:szCs w:val="24"/>
        </w:rPr>
        <w:t>乙方保证，为开展本合同项下工作所配备的服务代表等全部人员均为正式在册</w:t>
      </w:r>
      <w:r>
        <w:rPr>
          <w:rFonts w:ascii="宋体" w:hAnsi="宋体" w:eastAsia="宋体" w:cs="宋体"/>
          <w:sz w:val="24"/>
          <w:szCs w:val="24"/>
        </w:rPr>
        <w:t xml:space="preserve"> </w:t>
      </w:r>
      <w:r>
        <w:rPr>
          <w:rFonts w:ascii="宋体" w:hAnsi="宋体" w:eastAsia="宋体" w:cs="宋体"/>
          <w:spacing w:val="-11"/>
          <w:sz w:val="24"/>
          <w:szCs w:val="24"/>
        </w:rPr>
        <w:t>人员、均具备开展工作的合法资质，</w:t>
      </w:r>
      <w:r>
        <w:rPr>
          <w:rFonts w:ascii="宋体" w:hAnsi="宋体" w:eastAsia="宋体" w:cs="宋体"/>
          <w:spacing w:val="57"/>
          <w:sz w:val="24"/>
          <w:szCs w:val="24"/>
        </w:rPr>
        <w:t xml:space="preserve"> </w:t>
      </w:r>
      <w:r>
        <w:rPr>
          <w:rFonts w:ascii="宋体" w:hAnsi="宋体" w:eastAsia="宋体" w:cs="宋体"/>
          <w:spacing w:val="-11"/>
          <w:sz w:val="24"/>
          <w:szCs w:val="24"/>
        </w:rPr>
        <w:t>而不得使用挂靠队伍。如需变更驻场运维工程师，需</w:t>
      </w:r>
      <w:r>
        <w:rPr>
          <w:rFonts w:ascii="宋体" w:hAnsi="宋体" w:eastAsia="宋体" w:cs="宋体"/>
          <w:spacing w:val="-1"/>
          <w:sz w:val="24"/>
          <w:szCs w:val="24"/>
        </w:rPr>
        <w:t>提前</w:t>
      </w:r>
      <w:r>
        <w:rPr>
          <w:rFonts w:ascii="宋体" w:hAnsi="宋体" w:eastAsia="宋体" w:cs="宋体"/>
          <w:spacing w:val="-33"/>
          <w:sz w:val="24"/>
          <w:szCs w:val="24"/>
        </w:rPr>
        <w:t xml:space="preserve"> </w:t>
      </w:r>
      <w:r>
        <w:rPr>
          <w:rFonts w:ascii="宋体" w:hAnsi="宋体" w:eastAsia="宋体" w:cs="宋体"/>
          <w:spacing w:val="-1"/>
          <w:sz w:val="24"/>
          <w:szCs w:val="24"/>
        </w:rPr>
        <w:t>10</w:t>
      </w:r>
      <w:r>
        <w:rPr>
          <w:rFonts w:ascii="宋体" w:hAnsi="宋体" w:eastAsia="宋体" w:cs="宋体"/>
          <w:spacing w:val="-51"/>
          <w:sz w:val="24"/>
          <w:szCs w:val="24"/>
        </w:rPr>
        <w:t xml:space="preserve"> </w:t>
      </w:r>
      <w:r>
        <w:rPr>
          <w:rFonts w:ascii="宋体" w:hAnsi="宋体" w:eastAsia="宋体" w:cs="宋体"/>
          <w:spacing w:val="-1"/>
          <w:sz w:val="24"/>
          <w:szCs w:val="24"/>
        </w:rPr>
        <w:t>个工作日书面通知甲方，经甲方对拟变更人员资格审查，书面同意</w:t>
      </w:r>
      <w:r>
        <w:rPr>
          <w:rFonts w:ascii="宋体" w:hAnsi="宋体" w:eastAsia="宋体" w:cs="宋体"/>
          <w:spacing w:val="-2"/>
          <w:sz w:val="24"/>
          <w:szCs w:val="24"/>
        </w:rPr>
        <w:t>变更后，方可进行人员变更，不得未经甲方同意私自变更驻场运维工程师。乙方应对人员在工作中的安全负责，如发生人员安全事故，乙方负责处理并承担全部责任。</w:t>
      </w:r>
    </w:p>
    <w:p w14:paraId="147B5487">
      <w:pPr>
        <w:spacing w:before="181" w:line="219" w:lineRule="auto"/>
        <w:ind w:left="499"/>
        <w:rPr>
          <w:rFonts w:ascii="宋体" w:hAnsi="宋体" w:eastAsia="宋体" w:cs="宋体"/>
          <w:sz w:val="24"/>
          <w:szCs w:val="24"/>
        </w:rPr>
      </w:pPr>
      <w:r>
        <w:rPr>
          <w:rFonts w:ascii="宋体" w:hAnsi="宋体" w:eastAsia="宋体" w:cs="宋体"/>
          <w:spacing w:val="-2"/>
          <w:sz w:val="24"/>
          <w:szCs w:val="24"/>
        </w:rPr>
        <w:t>15.5</w:t>
      </w:r>
      <w:r>
        <w:rPr>
          <w:rFonts w:ascii="宋体" w:hAnsi="宋体" w:eastAsia="宋体" w:cs="宋体"/>
          <w:spacing w:val="-12"/>
          <w:sz w:val="24"/>
          <w:szCs w:val="24"/>
        </w:rPr>
        <w:t xml:space="preserve"> </w:t>
      </w:r>
      <w:r>
        <w:rPr>
          <w:rFonts w:ascii="宋体" w:hAnsi="宋体" w:eastAsia="宋体" w:cs="宋体"/>
          <w:spacing w:val="-2"/>
          <w:sz w:val="24"/>
          <w:szCs w:val="24"/>
        </w:rPr>
        <w:t>乙方保证，独立完成本合同项下工作，不得分包、转包任何工作。否则，甲方</w:t>
      </w:r>
    </w:p>
    <w:p w14:paraId="403D60D9">
      <w:pPr>
        <w:spacing w:line="219" w:lineRule="auto"/>
        <w:rPr>
          <w:rFonts w:ascii="宋体" w:hAnsi="宋体" w:eastAsia="宋体" w:cs="宋体"/>
          <w:sz w:val="24"/>
          <w:szCs w:val="24"/>
        </w:rPr>
        <w:sectPr>
          <w:footerReference r:id="rId11" w:type="default"/>
          <w:pgSz w:w="11906" w:h="16839"/>
          <w:pgMar w:top="1123" w:right="1218" w:bottom="1262" w:left="1311" w:header="0" w:footer="1102" w:gutter="0"/>
          <w:pgNumType w:fmt="decimal"/>
          <w:cols w:space="720" w:num="1"/>
        </w:sectPr>
      </w:pPr>
    </w:p>
    <w:p w14:paraId="54F2CDA1">
      <w:pPr>
        <w:spacing w:before="48" w:line="348" w:lineRule="auto"/>
        <w:ind w:left="5" w:right="186" w:hanging="4"/>
        <w:rPr>
          <w:rFonts w:ascii="宋体" w:hAnsi="宋体" w:eastAsia="宋体" w:cs="宋体"/>
          <w:sz w:val="24"/>
          <w:szCs w:val="24"/>
        </w:rPr>
      </w:pPr>
      <w:r>
        <w:rPr>
          <w:rFonts w:ascii="宋体" w:hAnsi="宋体" w:eastAsia="宋体" w:cs="宋体"/>
          <w:spacing w:val="-1"/>
          <w:sz w:val="24"/>
          <w:szCs w:val="24"/>
        </w:rPr>
        <w:t>有权解除本合同，并要求乙方承担相应违约责任，并应按照合同总额的</w:t>
      </w:r>
      <w:r>
        <w:rPr>
          <w:rFonts w:ascii="宋体" w:hAnsi="宋体" w:eastAsia="宋体" w:cs="宋体"/>
          <w:spacing w:val="-34"/>
          <w:sz w:val="24"/>
          <w:szCs w:val="24"/>
        </w:rPr>
        <w:t xml:space="preserve"> </w:t>
      </w:r>
      <w:r>
        <w:rPr>
          <w:rFonts w:ascii="宋体" w:hAnsi="宋体" w:eastAsia="宋体" w:cs="宋体"/>
          <w:spacing w:val="-1"/>
          <w:sz w:val="24"/>
          <w:szCs w:val="24"/>
        </w:rPr>
        <w:t>20%向甲方支付违</w:t>
      </w:r>
      <w:r>
        <w:rPr>
          <w:rFonts w:ascii="宋体" w:hAnsi="宋体" w:eastAsia="宋体" w:cs="宋体"/>
          <w:sz w:val="24"/>
          <w:szCs w:val="24"/>
        </w:rPr>
        <w:t xml:space="preserve"> </w:t>
      </w:r>
      <w:r>
        <w:rPr>
          <w:rFonts w:ascii="宋体" w:hAnsi="宋体" w:eastAsia="宋体" w:cs="宋体"/>
          <w:spacing w:val="-12"/>
          <w:sz w:val="24"/>
          <w:szCs w:val="24"/>
        </w:rPr>
        <w:t>约金。</w:t>
      </w:r>
    </w:p>
    <w:p w14:paraId="6943066A">
      <w:pPr>
        <w:spacing w:before="29" w:line="324" w:lineRule="auto"/>
        <w:ind w:right="57" w:firstLine="497"/>
        <w:rPr>
          <w:rFonts w:ascii="宋体" w:hAnsi="宋体" w:eastAsia="宋体" w:cs="宋体"/>
          <w:sz w:val="24"/>
          <w:szCs w:val="24"/>
        </w:rPr>
      </w:pPr>
      <w:r>
        <w:rPr>
          <w:rFonts w:ascii="宋体" w:hAnsi="宋体" w:eastAsia="宋体" w:cs="宋体"/>
          <w:spacing w:val="-7"/>
          <w:sz w:val="24"/>
          <w:szCs w:val="24"/>
        </w:rPr>
        <w:t>15.6</w:t>
      </w:r>
      <w:r>
        <w:rPr>
          <w:rFonts w:ascii="宋体" w:hAnsi="宋体" w:eastAsia="宋体" w:cs="宋体"/>
          <w:spacing w:val="-18"/>
          <w:sz w:val="24"/>
          <w:szCs w:val="24"/>
        </w:rPr>
        <w:t xml:space="preserve"> </w:t>
      </w:r>
      <w:r>
        <w:rPr>
          <w:rFonts w:ascii="宋体" w:hAnsi="宋体" w:eastAsia="宋体" w:cs="宋体"/>
          <w:spacing w:val="-7"/>
          <w:sz w:val="24"/>
          <w:szCs w:val="24"/>
        </w:rPr>
        <w:t>乙方未能按约定时间交付维保资料的，每迟延交付一日，应当按照合同总额的</w:t>
      </w:r>
      <w:r>
        <w:rPr>
          <w:rFonts w:ascii="宋体" w:hAnsi="宋体" w:eastAsia="宋体" w:cs="宋体"/>
          <w:spacing w:val="-33"/>
          <w:sz w:val="24"/>
          <w:szCs w:val="24"/>
        </w:rPr>
        <w:t xml:space="preserve"> </w:t>
      </w:r>
      <w:r>
        <w:rPr>
          <w:rFonts w:ascii="宋体" w:hAnsi="宋体" w:eastAsia="宋体" w:cs="宋体"/>
          <w:spacing w:val="-7"/>
          <w:sz w:val="24"/>
          <w:szCs w:val="24"/>
        </w:rPr>
        <w:t>1%</w:t>
      </w:r>
      <w:r>
        <w:rPr>
          <w:rFonts w:ascii="宋体" w:hAnsi="宋体" w:eastAsia="宋体" w:cs="宋体"/>
          <w:sz w:val="24"/>
          <w:szCs w:val="24"/>
        </w:rPr>
        <w:t xml:space="preserve"> </w:t>
      </w:r>
      <w:r>
        <w:rPr>
          <w:rFonts w:ascii="宋体" w:hAnsi="宋体" w:eastAsia="宋体" w:cs="宋体"/>
          <w:spacing w:val="-2"/>
          <w:sz w:val="24"/>
          <w:szCs w:val="24"/>
        </w:rPr>
        <w:t>向甲方支付违约金。如乙方逾期</w:t>
      </w:r>
      <w:r>
        <w:rPr>
          <w:rFonts w:ascii="宋体" w:hAnsi="宋体" w:eastAsia="宋体" w:cs="宋体"/>
          <w:spacing w:val="-33"/>
          <w:sz w:val="24"/>
          <w:szCs w:val="24"/>
        </w:rPr>
        <w:t xml:space="preserve"> </w:t>
      </w:r>
      <w:r>
        <w:rPr>
          <w:rFonts w:ascii="宋体" w:hAnsi="宋体" w:eastAsia="宋体" w:cs="宋体"/>
          <w:spacing w:val="-2"/>
          <w:sz w:val="24"/>
          <w:szCs w:val="24"/>
        </w:rPr>
        <w:t>10 日仍未交付</w:t>
      </w:r>
      <w:r>
        <w:rPr>
          <w:rFonts w:ascii="宋体" w:hAnsi="宋体" w:eastAsia="宋体" w:cs="宋体"/>
          <w:spacing w:val="-3"/>
          <w:sz w:val="24"/>
          <w:szCs w:val="24"/>
        </w:rPr>
        <w:t>文件的，则甲方有权解除本合同，乙方仍</w:t>
      </w:r>
      <w:r>
        <w:rPr>
          <w:rFonts w:ascii="宋体" w:hAnsi="宋体" w:eastAsia="宋体" w:cs="宋体"/>
          <w:spacing w:val="-5"/>
          <w:sz w:val="24"/>
          <w:szCs w:val="24"/>
        </w:rPr>
        <w:t>应支付上述违约金，并退还甲方已支付款项以及按照同期中国人民银行贷款利率计付利息，</w:t>
      </w:r>
      <w:r>
        <w:rPr>
          <w:rFonts w:ascii="宋体" w:hAnsi="宋体" w:eastAsia="宋体" w:cs="宋体"/>
          <w:spacing w:val="-4"/>
          <w:sz w:val="24"/>
          <w:szCs w:val="24"/>
        </w:rPr>
        <w:t>同时赔偿甲方的相应损失。</w:t>
      </w:r>
    </w:p>
    <w:p w14:paraId="2D69AFA1">
      <w:pPr>
        <w:spacing w:before="182" w:line="331" w:lineRule="auto"/>
        <w:ind w:firstLine="498"/>
        <w:rPr>
          <w:rFonts w:ascii="宋体" w:hAnsi="宋体" w:eastAsia="宋体" w:cs="宋体"/>
          <w:sz w:val="24"/>
          <w:szCs w:val="24"/>
        </w:rPr>
      </w:pPr>
      <w:r>
        <w:rPr>
          <w:rFonts w:ascii="宋体" w:hAnsi="宋体" w:eastAsia="宋体" w:cs="宋体"/>
          <w:spacing w:val="1"/>
          <w:sz w:val="24"/>
          <w:szCs w:val="24"/>
        </w:rPr>
        <w:t>15.7</w:t>
      </w:r>
      <w:r>
        <w:rPr>
          <w:rFonts w:ascii="宋体" w:hAnsi="宋体" w:eastAsia="宋体" w:cs="宋体"/>
          <w:spacing w:val="-9"/>
          <w:sz w:val="24"/>
          <w:szCs w:val="24"/>
        </w:rPr>
        <w:t xml:space="preserve"> </w:t>
      </w:r>
      <w:r>
        <w:rPr>
          <w:rFonts w:ascii="宋体" w:hAnsi="宋体" w:eastAsia="宋体" w:cs="宋体"/>
          <w:spacing w:val="1"/>
          <w:sz w:val="24"/>
          <w:szCs w:val="24"/>
        </w:rPr>
        <w:t>乙方交付的维保资料不符合要求的，乙方应当在甲方要求的时限内调整、修改</w:t>
      </w:r>
      <w:r>
        <w:rPr>
          <w:rFonts w:ascii="宋体" w:hAnsi="宋体" w:eastAsia="宋体" w:cs="宋体"/>
          <w:sz w:val="24"/>
          <w:szCs w:val="24"/>
        </w:rPr>
        <w:t xml:space="preserve">  </w:t>
      </w:r>
      <w:r>
        <w:rPr>
          <w:rFonts w:ascii="宋体" w:hAnsi="宋体" w:eastAsia="宋体" w:cs="宋体"/>
          <w:spacing w:val="2"/>
          <w:sz w:val="24"/>
          <w:szCs w:val="24"/>
        </w:rPr>
        <w:t>或重作，如未按要求期限内调整、修改的按照合同总额的</w:t>
      </w:r>
      <w:r>
        <w:rPr>
          <w:rFonts w:ascii="宋体" w:hAnsi="宋体" w:eastAsia="宋体" w:cs="宋体"/>
          <w:spacing w:val="-30"/>
          <w:sz w:val="24"/>
          <w:szCs w:val="24"/>
        </w:rPr>
        <w:t xml:space="preserve"> </w:t>
      </w:r>
      <w:r>
        <w:rPr>
          <w:rFonts w:ascii="宋体" w:hAnsi="宋体" w:eastAsia="宋体" w:cs="宋体"/>
          <w:spacing w:val="2"/>
          <w:sz w:val="24"/>
          <w:szCs w:val="24"/>
        </w:rPr>
        <w:t>5%向甲方支付违约金，同时赔</w:t>
      </w:r>
      <w:r>
        <w:rPr>
          <w:rFonts w:ascii="宋体" w:hAnsi="宋体" w:eastAsia="宋体" w:cs="宋体"/>
          <w:spacing w:val="-5"/>
          <w:sz w:val="24"/>
          <w:szCs w:val="24"/>
        </w:rPr>
        <w:t>偿甲方的相应损失。如文件经乙方叁次调整、修改或重作后仍不符合要求的， 则甲方有权</w:t>
      </w:r>
      <w:r>
        <w:rPr>
          <w:rFonts w:ascii="宋体" w:hAnsi="宋体" w:eastAsia="宋体" w:cs="宋体"/>
          <w:spacing w:val="3"/>
          <w:sz w:val="24"/>
          <w:szCs w:val="24"/>
        </w:rPr>
        <w:t>解除本合同，乙方应退还甲方已支付款项以及按照同期中国人民银行贷款利率计付</w:t>
      </w:r>
      <w:r>
        <w:rPr>
          <w:rFonts w:ascii="宋体" w:hAnsi="宋体" w:eastAsia="宋体" w:cs="宋体"/>
          <w:spacing w:val="2"/>
          <w:sz w:val="24"/>
          <w:szCs w:val="24"/>
        </w:rPr>
        <w:t>利息，</w:t>
      </w:r>
      <w:r>
        <w:rPr>
          <w:rFonts w:ascii="宋体" w:hAnsi="宋体" w:eastAsia="宋体" w:cs="宋体"/>
          <w:spacing w:val="-2"/>
          <w:sz w:val="24"/>
          <w:szCs w:val="24"/>
        </w:rPr>
        <w:t>并按照总额的</w:t>
      </w:r>
      <w:r>
        <w:rPr>
          <w:rFonts w:ascii="宋体" w:hAnsi="宋体" w:eastAsia="宋体" w:cs="宋体"/>
          <w:spacing w:val="-33"/>
          <w:sz w:val="24"/>
          <w:szCs w:val="24"/>
        </w:rPr>
        <w:t xml:space="preserve"> </w:t>
      </w:r>
      <w:r>
        <w:rPr>
          <w:rFonts w:ascii="宋体" w:hAnsi="宋体" w:eastAsia="宋体" w:cs="宋体"/>
          <w:spacing w:val="-2"/>
          <w:sz w:val="24"/>
          <w:szCs w:val="24"/>
        </w:rPr>
        <w:t>10%向甲方支付违约金，同时赔</w:t>
      </w:r>
      <w:r>
        <w:rPr>
          <w:rFonts w:ascii="宋体" w:hAnsi="宋体" w:eastAsia="宋体" w:cs="宋体"/>
          <w:spacing w:val="-3"/>
          <w:sz w:val="24"/>
          <w:szCs w:val="24"/>
        </w:rPr>
        <w:t>偿甲方的相应损失。</w:t>
      </w:r>
    </w:p>
    <w:p w14:paraId="2DC3F138">
      <w:pPr>
        <w:spacing w:before="302" w:line="324" w:lineRule="auto"/>
        <w:ind w:right="186" w:firstLine="497"/>
        <w:rPr>
          <w:rFonts w:ascii="宋体" w:hAnsi="宋体" w:eastAsia="宋体" w:cs="宋体"/>
          <w:sz w:val="24"/>
          <w:szCs w:val="24"/>
        </w:rPr>
      </w:pPr>
      <w:r>
        <w:rPr>
          <w:rFonts w:ascii="宋体" w:hAnsi="宋体" w:eastAsia="宋体" w:cs="宋体"/>
          <w:spacing w:val="2"/>
          <w:sz w:val="24"/>
          <w:szCs w:val="24"/>
        </w:rPr>
        <w:t>15.8</w:t>
      </w:r>
      <w:r>
        <w:rPr>
          <w:rFonts w:ascii="宋体" w:hAnsi="宋体" w:eastAsia="宋体" w:cs="宋体"/>
          <w:spacing w:val="-43"/>
          <w:sz w:val="24"/>
          <w:szCs w:val="24"/>
        </w:rPr>
        <w:t xml:space="preserve"> </w:t>
      </w:r>
      <w:r>
        <w:rPr>
          <w:rFonts w:ascii="宋体" w:hAnsi="宋体" w:eastAsia="宋体" w:cs="宋体"/>
          <w:spacing w:val="2"/>
          <w:sz w:val="24"/>
          <w:szCs w:val="24"/>
        </w:rPr>
        <w:t>如因乙方差误造成工作出现问题，乙方应立即负责采取补救措施予以</w:t>
      </w:r>
      <w:r>
        <w:rPr>
          <w:rFonts w:ascii="宋体" w:hAnsi="宋体" w:eastAsia="宋体" w:cs="宋体"/>
          <w:spacing w:val="1"/>
          <w:sz w:val="24"/>
          <w:szCs w:val="24"/>
        </w:rPr>
        <w:t>解决，并</w:t>
      </w:r>
      <w:r>
        <w:rPr>
          <w:rFonts w:ascii="宋体" w:hAnsi="宋体" w:eastAsia="宋体" w:cs="宋体"/>
          <w:sz w:val="24"/>
          <w:szCs w:val="24"/>
        </w:rPr>
        <w:t xml:space="preserve"> </w:t>
      </w:r>
      <w:r>
        <w:rPr>
          <w:rFonts w:ascii="宋体" w:hAnsi="宋体" w:eastAsia="宋体" w:cs="宋体"/>
          <w:spacing w:val="-2"/>
          <w:sz w:val="24"/>
          <w:szCs w:val="24"/>
        </w:rPr>
        <w:t>赔偿由此给甲方造成的一切损失，同时甲方有权拒绝支付这部分费用，已经支付的乙方应</w:t>
      </w:r>
      <w:r>
        <w:rPr>
          <w:rFonts w:ascii="宋体" w:hAnsi="宋体" w:eastAsia="宋体" w:cs="宋体"/>
          <w:spacing w:val="5"/>
          <w:sz w:val="24"/>
          <w:szCs w:val="24"/>
        </w:rPr>
        <w:t xml:space="preserve"> </w:t>
      </w:r>
      <w:r>
        <w:rPr>
          <w:rFonts w:ascii="宋体" w:hAnsi="宋体" w:eastAsia="宋体" w:cs="宋体"/>
          <w:spacing w:val="-1"/>
          <w:sz w:val="24"/>
          <w:szCs w:val="24"/>
        </w:rPr>
        <w:t>当立即返还，返还时按照同期中国人民银行贷款利率计付利息，并按照总额的</w:t>
      </w:r>
      <w:r>
        <w:rPr>
          <w:rFonts w:ascii="宋体" w:hAnsi="宋体" w:eastAsia="宋体" w:cs="宋体"/>
          <w:spacing w:val="-33"/>
          <w:sz w:val="24"/>
          <w:szCs w:val="24"/>
        </w:rPr>
        <w:t xml:space="preserve"> </w:t>
      </w:r>
      <w:r>
        <w:rPr>
          <w:rFonts w:ascii="宋体" w:hAnsi="宋体" w:eastAsia="宋体" w:cs="宋体"/>
          <w:spacing w:val="-1"/>
          <w:sz w:val="24"/>
          <w:szCs w:val="24"/>
        </w:rPr>
        <w:t>10%向甲方</w:t>
      </w:r>
      <w:r>
        <w:rPr>
          <w:rFonts w:ascii="宋体" w:hAnsi="宋体" w:eastAsia="宋体" w:cs="宋体"/>
          <w:sz w:val="24"/>
          <w:szCs w:val="24"/>
        </w:rPr>
        <w:t xml:space="preserve"> </w:t>
      </w:r>
      <w:r>
        <w:rPr>
          <w:rFonts w:ascii="宋体" w:hAnsi="宋体" w:eastAsia="宋体" w:cs="宋体"/>
          <w:spacing w:val="-7"/>
          <w:sz w:val="24"/>
          <w:szCs w:val="24"/>
        </w:rPr>
        <w:t>支付违约金。</w:t>
      </w:r>
    </w:p>
    <w:p w14:paraId="29DB97A0">
      <w:pPr>
        <w:spacing w:before="300" w:line="313" w:lineRule="auto"/>
        <w:ind w:left="4" w:right="186" w:firstLine="493"/>
        <w:rPr>
          <w:rFonts w:hint="eastAsia" w:ascii="宋体" w:hAnsi="宋体" w:eastAsia="宋体" w:cs="宋体"/>
          <w:spacing w:val="1"/>
          <w:sz w:val="24"/>
          <w:szCs w:val="24"/>
          <w:lang w:eastAsia="zh-CN"/>
        </w:rPr>
      </w:pPr>
      <w:r>
        <w:rPr>
          <w:rFonts w:ascii="宋体" w:hAnsi="宋体" w:eastAsia="宋体" w:cs="宋体"/>
          <w:spacing w:val="1"/>
          <w:sz w:val="24"/>
          <w:szCs w:val="24"/>
        </w:rPr>
        <w:t>15.9</w:t>
      </w:r>
      <w:r>
        <w:rPr>
          <w:rFonts w:ascii="宋体" w:hAnsi="宋体" w:eastAsia="宋体" w:cs="宋体"/>
          <w:spacing w:val="-9"/>
          <w:sz w:val="24"/>
          <w:szCs w:val="24"/>
        </w:rPr>
        <w:t xml:space="preserve"> </w:t>
      </w:r>
      <w:r>
        <w:rPr>
          <w:rFonts w:hint="eastAsia" w:ascii="宋体" w:hAnsi="宋体" w:eastAsia="宋体" w:cs="宋体"/>
          <w:spacing w:val="1"/>
          <w:sz w:val="24"/>
          <w:szCs w:val="24"/>
        </w:rPr>
        <w:t>乙方违反本合同约定，给甲方造成损失的，应当赔偿甲方的全部损失。本条所称损失包括但不限于：直接损失，间接损失，甲方因此受到的处罚以及因此受到的损失，甲方向第三方承担的违约责任、赔偿责任，实现债权的全部费用（包括但不限于：诉讼费、仲裁费、财产保全费、律师费、鉴定费、公证费、公告费、执行费、拍卖费、保全担保费、住宿费、差旅费等费用）</w:t>
      </w:r>
      <w:r>
        <w:rPr>
          <w:rFonts w:hint="eastAsia" w:ascii="宋体" w:hAnsi="宋体" w:eastAsia="宋体" w:cs="宋体"/>
          <w:spacing w:val="1"/>
          <w:sz w:val="24"/>
          <w:szCs w:val="24"/>
          <w:lang w:eastAsia="zh-CN"/>
        </w:rPr>
        <w:t>。</w:t>
      </w:r>
    </w:p>
    <w:p w14:paraId="58737EFE">
      <w:pPr>
        <w:pStyle w:val="2"/>
        <w:rPr>
          <w:rFonts w:hint="default"/>
          <w:lang w:val="en-US" w:eastAsia="zh-CN"/>
        </w:rPr>
      </w:pPr>
      <w:r>
        <w:rPr>
          <w:rFonts w:hint="eastAsia" w:ascii="宋体" w:hAnsi="宋体" w:cs="宋体"/>
          <w:spacing w:val="1"/>
          <w:sz w:val="24"/>
          <w:szCs w:val="24"/>
          <w:lang w:val="en-US" w:eastAsia="zh-CN"/>
        </w:rPr>
        <w:t>15.10乙方同一行为同时触犯本合同约定的多款违约责任时，应同时适用，若不能同时适用的甲方有权选择具体适用哪一款违约责任。</w:t>
      </w:r>
    </w:p>
    <w:p w14:paraId="1CB92F67">
      <w:pPr>
        <w:spacing w:before="301" w:line="220" w:lineRule="auto"/>
        <w:ind w:left="3566"/>
        <w:outlineLvl w:val="0"/>
        <w:rPr>
          <w:rFonts w:ascii="宋体" w:hAnsi="宋体" w:eastAsia="宋体" w:cs="宋体"/>
          <w:sz w:val="24"/>
          <w:szCs w:val="24"/>
        </w:rPr>
      </w:pPr>
      <w:r>
        <w:rPr>
          <w:rFonts w:ascii="宋体" w:hAnsi="宋体" w:eastAsia="宋体" w:cs="宋体"/>
          <w:b/>
          <w:bCs/>
          <w:spacing w:val="-3"/>
          <w:sz w:val="24"/>
          <w:szCs w:val="24"/>
        </w:rPr>
        <w:t>第十六条</w:t>
      </w:r>
      <w:r>
        <w:rPr>
          <w:rFonts w:ascii="宋体" w:hAnsi="宋体" w:eastAsia="宋体" w:cs="宋体"/>
          <w:spacing w:val="-3"/>
          <w:sz w:val="24"/>
          <w:szCs w:val="24"/>
        </w:rPr>
        <w:t xml:space="preserve">  </w:t>
      </w:r>
      <w:r>
        <w:rPr>
          <w:rFonts w:ascii="宋体" w:hAnsi="宋体" w:eastAsia="宋体" w:cs="宋体"/>
          <w:b/>
          <w:bCs/>
          <w:spacing w:val="-3"/>
          <w:sz w:val="24"/>
          <w:szCs w:val="24"/>
        </w:rPr>
        <w:t>合同变更</w:t>
      </w:r>
    </w:p>
    <w:p w14:paraId="42E7EB18">
      <w:pPr>
        <w:spacing w:before="182" w:line="345" w:lineRule="auto"/>
        <w:ind w:right="244" w:firstLine="497"/>
        <w:rPr>
          <w:rFonts w:ascii="宋体" w:hAnsi="宋体" w:eastAsia="宋体" w:cs="宋体"/>
          <w:sz w:val="24"/>
          <w:szCs w:val="24"/>
        </w:rPr>
      </w:pPr>
      <w:r>
        <w:rPr>
          <w:rFonts w:ascii="宋体" w:hAnsi="宋体" w:eastAsia="宋体" w:cs="宋体"/>
          <w:spacing w:val="-1"/>
          <w:sz w:val="24"/>
          <w:szCs w:val="24"/>
        </w:rPr>
        <w:t>16.1.乙方根据现场实际情况，确实需变更原合同约定的服务，乙方应预先提出变更</w:t>
      </w:r>
      <w:r>
        <w:rPr>
          <w:rFonts w:ascii="宋体" w:hAnsi="宋体" w:eastAsia="宋体" w:cs="宋体"/>
          <w:spacing w:val="10"/>
          <w:sz w:val="24"/>
          <w:szCs w:val="24"/>
        </w:rPr>
        <w:t xml:space="preserve"> </w:t>
      </w:r>
      <w:r>
        <w:rPr>
          <w:rFonts w:ascii="宋体" w:hAnsi="宋体" w:eastAsia="宋体" w:cs="宋体"/>
          <w:sz w:val="24"/>
          <w:szCs w:val="24"/>
        </w:rPr>
        <w:t>清单对照表及其变更的理由和证据，经甲方确认后实施（双</w:t>
      </w:r>
      <w:r>
        <w:rPr>
          <w:rFonts w:ascii="宋体" w:hAnsi="宋体" w:eastAsia="宋体" w:cs="宋体"/>
          <w:spacing w:val="-1"/>
          <w:sz w:val="24"/>
          <w:szCs w:val="24"/>
        </w:rPr>
        <w:t>方签署的文件作为合同附</w:t>
      </w:r>
    </w:p>
    <w:p w14:paraId="0CBDFA0A">
      <w:pPr>
        <w:spacing w:before="35" w:line="220" w:lineRule="auto"/>
        <w:rPr>
          <w:rFonts w:ascii="宋体" w:hAnsi="宋体" w:eastAsia="宋体" w:cs="宋体"/>
          <w:sz w:val="24"/>
          <w:szCs w:val="24"/>
        </w:rPr>
      </w:pPr>
      <w:r>
        <w:rPr>
          <w:rFonts w:ascii="宋体" w:hAnsi="宋体" w:eastAsia="宋体" w:cs="宋体"/>
          <w:spacing w:val="-10"/>
          <w:sz w:val="24"/>
          <w:szCs w:val="24"/>
        </w:rPr>
        <w:t>件）。</w:t>
      </w:r>
    </w:p>
    <w:p w14:paraId="2A63BBB8">
      <w:pPr>
        <w:spacing w:before="181" w:line="346" w:lineRule="auto"/>
        <w:ind w:left="1" w:right="244" w:firstLine="496"/>
        <w:rPr>
          <w:rFonts w:ascii="宋体" w:hAnsi="宋体" w:eastAsia="宋体" w:cs="宋体"/>
          <w:sz w:val="24"/>
          <w:szCs w:val="24"/>
        </w:rPr>
      </w:pPr>
      <w:r>
        <w:rPr>
          <w:rFonts w:ascii="宋体" w:hAnsi="宋体" w:eastAsia="宋体" w:cs="宋体"/>
          <w:spacing w:val="-1"/>
          <w:sz w:val="24"/>
          <w:szCs w:val="24"/>
        </w:rPr>
        <w:t>16.2.无论乙方提供的服务是按原合同的要求或根据现场实际情况变更后的服务，乙</w:t>
      </w:r>
      <w:r>
        <w:rPr>
          <w:rFonts w:ascii="宋体" w:hAnsi="宋体" w:eastAsia="宋体" w:cs="宋体"/>
          <w:spacing w:val="10"/>
          <w:sz w:val="24"/>
          <w:szCs w:val="24"/>
        </w:rPr>
        <w:t xml:space="preserve"> </w:t>
      </w:r>
      <w:r>
        <w:rPr>
          <w:rFonts w:ascii="宋体" w:hAnsi="宋体" w:eastAsia="宋体" w:cs="宋体"/>
          <w:spacing w:val="-3"/>
          <w:sz w:val="24"/>
          <w:szCs w:val="24"/>
        </w:rPr>
        <w:t>方都不能免除对服务应承担的责任。</w:t>
      </w:r>
    </w:p>
    <w:p w14:paraId="7BF31780">
      <w:pPr>
        <w:spacing w:before="34" w:line="346" w:lineRule="auto"/>
        <w:ind w:left="3" w:right="244" w:firstLine="494"/>
        <w:rPr>
          <w:rFonts w:ascii="宋体" w:hAnsi="宋体" w:eastAsia="宋体" w:cs="宋体"/>
          <w:sz w:val="24"/>
          <w:szCs w:val="24"/>
        </w:rPr>
      </w:pPr>
      <w:r>
        <w:rPr>
          <w:rFonts w:ascii="宋体" w:hAnsi="宋体" w:eastAsia="宋体" w:cs="宋体"/>
          <w:spacing w:val="-1"/>
          <w:sz w:val="24"/>
          <w:szCs w:val="24"/>
        </w:rPr>
        <w:t>16.3.因甲方的原因变更合同服务的，甲方应书面通知乙方，双方协商后签署有关变</w:t>
      </w:r>
      <w:r>
        <w:rPr>
          <w:rFonts w:ascii="宋体" w:hAnsi="宋体" w:eastAsia="宋体" w:cs="宋体"/>
          <w:spacing w:val="10"/>
          <w:sz w:val="24"/>
          <w:szCs w:val="24"/>
        </w:rPr>
        <w:t xml:space="preserve"> </w:t>
      </w:r>
      <w:r>
        <w:rPr>
          <w:rFonts w:ascii="宋体" w:hAnsi="宋体" w:eastAsia="宋体" w:cs="宋体"/>
          <w:spacing w:val="-3"/>
          <w:sz w:val="24"/>
          <w:szCs w:val="24"/>
        </w:rPr>
        <w:t>更文件。如造成乙方损失的，由甲方承担。</w:t>
      </w:r>
    </w:p>
    <w:p w14:paraId="2292D613">
      <w:pPr>
        <w:spacing w:before="35" w:line="346" w:lineRule="auto"/>
        <w:ind w:right="304" w:firstLine="498"/>
        <w:rPr>
          <w:rFonts w:ascii="宋体" w:hAnsi="宋体" w:eastAsia="宋体" w:cs="宋体"/>
          <w:sz w:val="24"/>
          <w:szCs w:val="24"/>
        </w:rPr>
      </w:pPr>
      <w:r>
        <w:rPr>
          <w:rFonts w:ascii="宋体" w:hAnsi="宋体" w:eastAsia="宋体" w:cs="宋体"/>
          <w:spacing w:val="-2"/>
          <w:sz w:val="24"/>
          <w:szCs w:val="24"/>
        </w:rPr>
        <w:t>16.4</w:t>
      </w:r>
      <w:r>
        <w:rPr>
          <w:rFonts w:ascii="宋体" w:hAnsi="宋体" w:eastAsia="宋体" w:cs="宋体"/>
          <w:spacing w:val="-13"/>
          <w:sz w:val="24"/>
          <w:szCs w:val="24"/>
        </w:rPr>
        <w:t xml:space="preserve"> </w:t>
      </w:r>
      <w:r>
        <w:rPr>
          <w:rFonts w:ascii="宋体" w:hAnsi="宋体" w:eastAsia="宋体" w:cs="宋体"/>
          <w:spacing w:val="-2"/>
          <w:sz w:val="24"/>
          <w:szCs w:val="24"/>
        </w:rPr>
        <w:t>乙方未在响应文件中说明，且未经甲方书面同意，乙方不得将合同的主体、关</w:t>
      </w:r>
      <w:r>
        <w:rPr>
          <w:rFonts w:ascii="宋体" w:hAnsi="宋体" w:eastAsia="宋体" w:cs="宋体"/>
          <w:spacing w:val="-4"/>
          <w:sz w:val="24"/>
          <w:szCs w:val="24"/>
        </w:rPr>
        <w:t>键性工作分包给他人。</w:t>
      </w:r>
    </w:p>
    <w:p w14:paraId="512E2E98">
      <w:pPr>
        <w:spacing w:before="34" w:line="220" w:lineRule="auto"/>
        <w:ind w:left="3325"/>
        <w:outlineLvl w:val="0"/>
        <w:rPr>
          <w:rFonts w:ascii="宋体" w:hAnsi="宋体" w:eastAsia="宋体" w:cs="宋体"/>
          <w:sz w:val="24"/>
          <w:szCs w:val="24"/>
        </w:rPr>
      </w:pPr>
      <w:r>
        <w:rPr>
          <w:rFonts w:ascii="宋体" w:hAnsi="宋体" w:eastAsia="宋体" w:cs="宋体"/>
          <w:b/>
          <w:bCs/>
          <w:spacing w:val="-3"/>
          <w:sz w:val="24"/>
          <w:szCs w:val="24"/>
        </w:rPr>
        <w:t>第十七条</w:t>
      </w:r>
      <w:r>
        <w:rPr>
          <w:rFonts w:ascii="宋体" w:hAnsi="宋体" w:eastAsia="宋体" w:cs="宋体"/>
          <w:spacing w:val="-3"/>
          <w:sz w:val="24"/>
          <w:szCs w:val="24"/>
        </w:rPr>
        <w:t xml:space="preserve">  </w:t>
      </w:r>
      <w:r>
        <w:rPr>
          <w:rFonts w:ascii="宋体" w:hAnsi="宋体" w:eastAsia="宋体" w:cs="宋体"/>
          <w:b/>
          <w:bCs/>
          <w:spacing w:val="-3"/>
          <w:sz w:val="24"/>
          <w:szCs w:val="24"/>
        </w:rPr>
        <w:t>违约终止合同</w:t>
      </w:r>
    </w:p>
    <w:p w14:paraId="35402331">
      <w:pPr>
        <w:spacing w:before="180" w:line="220" w:lineRule="auto"/>
        <w:ind w:left="498"/>
        <w:rPr>
          <w:rFonts w:ascii="宋体" w:hAnsi="宋体" w:eastAsia="宋体" w:cs="宋体"/>
          <w:sz w:val="24"/>
          <w:szCs w:val="24"/>
        </w:rPr>
      </w:pPr>
      <w:r>
        <w:rPr>
          <w:rFonts w:ascii="宋体" w:hAnsi="宋体" w:eastAsia="宋体" w:cs="宋体"/>
          <w:spacing w:val="-2"/>
          <w:sz w:val="24"/>
          <w:szCs w:val="24"/>
        </w:rPr>
        <w:t>17.1.合同因有效期限届满（即乙方履约</w:t>
      </w:r>
      <w:r>
        <w:rPr>
          <w:rFonts w:ascii="宋体" w:hAnsi="宋体" w:eastAsia="宋体" w:cs="宋体"/>
          <w:spacing w:val="-3"/>
          <w:sz w:val="24"/>
          <w:szCs w:val="24"/>
        </w:rPr>
        <w:t>期届满且无其他争议）而终止；</w:t>
      </w:r>
    </w:p>
    <w:p w14:paraId="3E3B01AD">
      <w:pPr>
        <w:spacing w:line="220" w:lineRule="auto"/>
        <w:rPr>
          <w:rFonts w:ascii="宋体" w:hAnsi="宋体" w:eastAsia="宋体" w:cs="宋体"/>
          <w:sz w:val="24"/>
          <w:szCs w:val="24"/>
        </w:rPr>
        <w:sectPr>
          <w:footerReference r:id="rId12" w:type="default"/>
          <w:pgSz w:w="11906" w:h="16839"/>
          <w:pgMar w:top="1123" w:right="1117" w:bottom="1262" w:left="1312" w:header="0" w:footer="1102" w:gutter="0"/>
          <w:pgNumType w:fmt="decimal"/>
          <w:cols w:space="720" w:num="1"/>
        </w:sectPr>
      </w:pPr>
    </w:p>
    <w:p w14:paraId="5E43B521">
      <w:pPr>
        <w:spacing w:before="49" w:line="345" w:lineRule="auto"/>
        <w:ind w:left="6" w:firstLine="492"/>
        <w:rPr>
          <w:rFonts w:ascii="宋体" w:hAnsi="宋体" w:eastAsia="宋体" w:cs="宋体"/>
          <w:sz w:val="24"/>
          <w:szCs w:val="24"/>
        </w:rPr>
      </w:pPr>
      <w:r>
        <w:rPr>
          <w:rFonts w:ascii="宋体" w:hAnsi="宋体" w:eastAsia="宋体" w:cs="宋体"/>
          <w:spacing w:val="-1"/>
          <w:sz w:val="24"/>
          <w:szCs w:val="24"/>
        </w:rPr>
        <w:t>17.2.乙方未能依照本合同约定条件履行合同构成违约的，甲方有权单方终止本合同，</w:t>
      </w:r>
      <w:r>
        <w:rPr>
          <w:rFonts w:ascii="宋体" w:hAnsi="宋体" w:eastAsia="宋体" w:cs="宋体"/>
          <w:spacing w:val="15"/>
          <w:sz w:val="24"/>
          <w:szCs w:val="24"/>
        </w:rPr>
        <w:t xml:space="preserve"> </w:t>
      </w:r>
      <w:r>
        <w:rPr>
          <w:rFonts w:ascii="宋体" w:hAnsi="宋体" w:eastAsia="宋体" w:cs="宋体"/>
          <w:spacing w:val="-5"/>
          <w:sz w:val="24"/>
          <w:szCs w:val="24"/>
        </w:rPr>
        <w:t>并追究乙方的违约责任。</w:t>
      </w:r>
    </w:p>
    <w:p w14:paraId="581FF32B">
      <w:pPr>
        <w:spacing w:before="35" w:line="346" w:lineRule="auto"/>
        <w:ind w:left="4" w:right="186" w:firstLine="493"/>
        <w:rPr>
          <w:rFonts w:ascii="宋体" w:hAnsi="宋体" w:eastAsia="宋体" w:cs="宋体"/>
          <w:sz w:val="24"/>
          <w:szCs w:val="24"/>
        </w:rPr>
      </w:pPr>
      <w:r>
        <w:rPr>
          <w:rFonts w:ascii="宋体" w:hAnsi="宋体" w:eastAsia="宋体" w:cs="宋体"/>
          <w:spacing w:val="-2"/>
          <w:sz w:val="24"/>
          <w:szCs w:val="24"/>
        </w:rPr>
        <w:t>17.3．如果乙方丧失履约能力或被宣告破产，甲方可在</w:t>
      </w:r>
      <w:r>
        <w:rPr>
          <w:rFonts w:ascii="宋体" w:hAnsi="宋体" w:eastAsia="宋体" w:cs="宋体"/>
          <w:spacing w:val="-3"/>
          <w:sz w:val="24"/>
          <w:szCs w:val="24"/>
        </w:rPr>
        <w:t>任何时候以书面形式通知乙方</w:t>
      </w:r>
      <w:r>
        <w:rPr>
          <w:rFonts w:ascii="宋体" w:hAnsi="宋体" w:eastAsia="宋体" w:cs="宋体"/>
          <w:sz w:val="24"/>
          <w:szCs w:val="24"/>
        </w:rPr>
        <w:t xml:space="preserve"> </w:t>
      </w:r>
      <w:r>
        <w:rPr>
          <w:rFonts w:ascii="宋体" w:hAnsi="宋体" w:eastAsia="宋体" w:cs="宋体"/>
          <w:spacing w:val="-4"/>
          <w:sz w:val="24"/>
          <w:szCs w:val="24"/>
        </w:rPr>
        <w:t>终止合同而不给乙方补偿。</w:t>
      </w:r>
    </w:p>
    <w:p w14:paraId="3228EE64">
      <w:pPr>
        <w:spacing w:before="34" w:line="345" w:lineRule="auto"/>
        <w:ind w:left="1" w:right="212" w:firstLine="496"/>
        <w:rPr>
          <w:rFonts w:ascii="宋体" w:hAnsi="宋体" w:eastAsia="宋体" w:cs="宋体"/>
          <w:sz w:val="24"/>
          <w:szCs w:val="24"/>
        </w:rPr>
      </w:pPr>
      <w:r>
        <w:rPr>
          <w:rFonts w:ascii="宋体" w:hAnsi="宋体" w:eastAsia="宋体" w:cs="宋体"/>
          <w:spacing w:val="-3"/>
          <w:sz w:val="24"/>
          <w:szCs w:val="24"/>
        </w:rPr>
        <w:t>17.4．如果乙方在履行合同过程中有不正当竞争行为，甲方有权解除合同，并按《中</w:t>
      </w:r>
      <w:r>
        <w:rPr>
          <w:rFonts w:ascii="宋体" w:hAnsi="宋体" w:eastAsia="宋体" w:cs="宋体"/>
          <w:spacing w:val="-2"/>
          <w:sz w:val="24"/>
          <w:szCs w:val="24"/>
        </w:rPr>
        <w:t>华人民共和国反不正当竞争法》规定由有关部门追究其法律责任。</w:t>
      </w:r>
    </w:p>
    <w:p w14:paraId="4164DA8A">
      <w:pPr>
        <w:spacing w:before="35" w:line="346" w:lineRule="auto"/>
        <w:ind w:left="7" w:right="186" w:firstLine="491"/>
        <w:rPr>
          <w:rFonts w:ascii="宋体" w:hAnsi="宋体" w:eastAsia="宋体" w:cs="宋体"/>
          <w:sz w:val="24"/>
          <w:szCs w:val="24"/>
        </w:rPr>
      </w:pPr>
      <w:r>
        <w:rPr>
          <w:rFonts w:ascii="宋体" w:hAnsi="宋体" w:eastAsia="宋体" w:cs="宋体"/>
          <w:spacing w:val="-2"/>
          <w:sz w:val="24"/>
          <w:szCs w:val="24"/>
        </w:rPr>
        <w:t>17.5．除本合同另有规定外，乙方未经甲方同意单方面</w:t>
      </w:r>
      <w:r>
        <w:rPr>
          <w:rFonts w:ascii="宋体" w:hAnsi="宋体" w:eastAsia="宋体" w:cs="宋体"/>
          <w:spacing w:val="-3"/>
          <w:sz w:val="24"/>
          <w:szCs w:val="24"/>
        </w:rPr>
        <w:t>终止本合同，则应按照本合同</w:t>
      </w:r>
      <w:r>
        <w:rPr>
          <w:rFonts w:ascii="宋体" w:hAnsi="宋体" w:eastAsia="宋体" w:cs="宋体"/>
          <w:spacing w:val="-4"/>
          <w:sz w:val="24"/>
          <w:szCs w:val="24"/>
        </w:rPr>
        <w:t>总金额的</w:t>
      </w:r>
      <w:r>
        <w:rPr>
          <w:rFonts w:ascii="宋体" w:hAnsi="宋体" w:eastAsia="宋体" w:cs="宋体"/>
          <w:spacing w:val="-43"/>
          <w:sz w:val="24"/>
          <w:szCs w:val="24"/>
        </w:rPr>
        <w:t xml:space="preserve"> </w:t>
      </w:r>
      <w:r>
        <w:rPr>
          <w:rFonts w:ascii="宋体" w:hAnsi="宋体" w:eastAsia="宋体" w:cs="宋体"/>
          <w:spacing w:val="-4"/>
          <w:sz w:val="24"/>
          <w:szCs w:val="24"/>
        </w:rPr>
        <w:t>30%向甲方支付违约金。</w:t>
      </w:r>
    </w:p>
    <w:p w14:paraId="30415776">
      <w:pPr>
        <w:spacing w:before="34" w:line="220" w:lineRule="auto"/>
        <w:ind w:left="2843"/>
        <w:outlineLvl w:val="0"/>
        <w:rPr>
          <w:rFonts w:ascii="宋体" w:hAnsi="宋体" w:eastAsia="宋体" w:cs="宋体"/>
          <w:sz w:val="24"/>
          <w:szCs w:val="24"/>
        </w:rPr>
      </w:pPr>
      <w:r>
        <w:rPr>
          <w:rFonts w:ascii="宋体" w:hAnsi="宋体" w:eastAsia="宋体" w:cs="宋体"/>
          <w:b/>
          <w:bCs/>
          <w:spacing w:val="-3"/>
          <w:sz w:val="24"/>
          <w:szCs w:val="24"/>
        </w:rPr>
        <w:t>第十八条</w:t>
      </w:r>
      <w:r>
        <w:rPr>
          <w:rFonts w:ascii="宋体" w:hAnsi="宋体" w:eastAsia="宋体" w:cs="宋体"/>
          <w:spacing w:val="-3"/>
          <w:sz w:val="24"/>
          <w:szCs w:val="24"/>
        </w:rPr>
        <w:t xml:space="preserve">  </w:t>
      </w:r>
      <w:r>
        <w:rPr>
          <w:rFonts w:ascii="宋体" w:hAnsi="宋体" w:eastAsia="宋体" w:cs="宋体"/>
          <w:b/>
          <w:bCs/>
          <w:spacing w:val="-3"/>
          <w:sz w:val="24"/>
          <w:szCs w:val="24"/>
        </w:rPr>
        <w:t>争端的解决和法律适用</w:t>
      </w:r>
    </w:p>
    <w:p w14:paraId="1D541C8D">
      <w:pPr>
        <w:spacing w:before="181" w:line="346" w:lineRule="auto"/>
        <w:ind w:firstLine="498"/>
        <w:rPr>
          <w:rFonts w:ascii="宋体" w:hAnsi="宋体" w:eastAsia="宋体" w:cs="宋体"/>
          <w:sz w:val="24"/>
          <w:szCs w:val="24"/>
        </w:rPr>
      </w:pPr>
      <w:r>
        <w:rPr>
          <w:rFonts w:ascii="宋体" w:hAnsi="宋体" w:eastAsia="宋体" w:cs="宋体"/>
          <w:spacing w:val="-1"/>
          <w:sz w:val="24"/>
          <w:szCs w:val="24"/>
        </w:rPr>
        <w:t>18.1.合同实施或与合同有关的一切争端应通过双方友好协商解决。如果协商不成的，</w:t>
      </w:r>
      <w:r>
        <w:rPr>
          <w:rFonts w:ascii="宋体" w:hAnsi="宋体" w:eastAsia="宋体" w:cs="宋体"/>
          <w:spacing w:val="15"/>
          <w:sz w:val="24"/>
          <w:szCs w:val="24"/>
        </w:rPr>
        <w:t xml:space="preserve"> </w:t>
      </w:r>
      <w:r>
        <w:rPr>
          <w:rFonts w:ascii="宋体" w:hAnsi="宋体" w:eastAsia="宋体" w:cs="宋体"/>
          <w:spacing w:val="-2"/>
          <w:sz w:val="24"/>
          <w:szCs w:val="24"/>
        </w:rPr>
        <w:t>任何一方都可向乌鲁木齐市天山区人民法院提起诉讼。</w:t>
      </w:r>
    </w:p>
    <w:p w14:paraId="436B679C">
      <w:pPr>
        <w:spacing w:before="34" w:line="219" w:lineRule="auto"/>
        <w:ind w:left="498"/>
        <w:rPr>
          <w:rFonts w:ascii="宋体" w:hAnsi="宋体" w:eastAsia="宋体" w:cs="宋体"/>
          <w:sz w:val="24"/>
          <w:szCs w:val="24"/>
        </w:rPr>
      </w:pPr>
      <w:r>
        <w:rPr>
          <w:rFonts w:ascii="宋体" w:hAnsi="宋体" w:eastAsia="宋体" w:cs="宋体"/>
          <w:spacing w:val="-2"/>
          <w:sz w:val="24"/>
          <w:szCs w:val="24"/>
        </w:rPr>
        <w:t>18.2.本合同应按照中华人民共和国现</w:t>
      </w:r>
      <w:r>
        <w:rPr>
          <w:rFonts w:ascii="宋体" w:hAnsi="宋体" w:eastAsia="宋体" w:cs="宋体"/>
          <w:spacing w:val="-3"/>
          <w:sz w:val="24"/>
          <w:szCs w:val="24"/>
        </w:rPr>
        <w:t>行法律进行解释。</w:t>
      </w:r>
    </w:p>
    <w:p w14:paraId="7CC3720C">
      <w:pPr>
        <w:spacing w:before="182" w:line="220" w:lineRule="auto"/>
        <w:ind w:left="3807"/>
        <w:outlineLvl w:val="0"/>
        <w:rPr>
          <w:rFonts w:ascii="宋体" w:hAnsi="宋体" w:eastAsia="宋体" w:cs="宋体"/>
          <w:sz w:val="24"/>
          <w:szCs w:val="24"/>
        </w:rPr>
      </w:pPr>
      <w:r>
        <w:rPr>
          <w:rFonts w:ascii="宋体" w:hAnsi="宋体" w:eastAsia="宋体" w:cs="宋体"/>
          <w:b/>
          <w:bCs/>
          <w:spacing w:val="-3"/>
          <w:sz w:val="24"/>
          <w:szCs w:val="24"/>
        </w:rPr>
        <w:t>第十九条</w:t>
      </w:r>
      <w:r>
        <w:rPr>
          <w:rFonts w:ascii="宋体" w:hAnsi="宋体" w:eastAsia="宋体" w:cs="宋体"/>
          <w:spacing w:val="-3"/>
          <w:sz w:val="24"/>
          <w:szCs w:val="24"/>
        </w:rPr>
        <w:t xml:space="preserve">  </w:t>
      </w:r>
      <w:r>
        <w:rPr>
          <w:rFonts w:ascii="宋体" w:hAnsi="宋体" w:eastAsia="宋体" w:cs="宋体"/>
          <w:b/>
          <w:bCs/>
          <w:spacing w:val="-3"/>
          <w:sz w:val="24"/>
          <w:szCs w:val="24"/>
        </w:rPr>
        <w:t>通知</w:t>
      </w:r>
    </w:p>
    <w:p w14:paraId="285918CE">
      <w:pPr>
        <w:spacing w:before="180" w:line="355" w:lineRule="auto"/>
        <w:ind w:right="186" w:firstLine="498"/>
        <w:jc w:val="both"/>
        <w:rPr>
          <w:rFonts w:ascii="宋体" w:hAnsi="宋体" w:eastAsia="宋体" w:cs="宋体"/>
          <w:sz w:val="24"/>
          <w:szCs w:val="24"/>
        </w:rPr>
      </w:pPr>
      <w:r>
        <w:rPr>
          <w:rFonts w:ascii="宋体" w:hAnsi="宋体" w:eastAsia="宋体" w:cs="宋体"/>
          <w:spacing w:val="-1"/>
          <w:sz w:val="24"/>
          <w:szCs w:val="24"/>
        </w:rPr>
        <w:t>19.1.双方在合同成交明的通讯地址，是各自现实、有效的通讯地址。本合同履行过</w:t>
      </w:r>
      <w:r>
        <w:rPr>
          <w:rFonts w:ascii="宋体" w:hAnsi="宋体" w:eastAsia="宋体" w:cs="宋体"/>
          <w:spacing w:val="-6"/>
          <w:sz w:val="24"/>
          <w:szCs w:val="24"/>
        </w:rPr>
        <w:t>程中的书面通知或往来函件，可以采用挂号信、特快专递、电</w:t>
      </w:r>
      <w:r>
        <w:rPr>
          <w:rFonts w:ascii="宋体" w:hAnsi="宋体" w:eastAsia="宋体" w:cs="宋体"/>
          <w:spacing w:val="-7"/>
          <w:sz w:val="24"/>
          <w:szCs w:val="24"/>
        </w:rPr>
        <w:t>子邮件的方式，寄往各方在</w:t>
      </w:r>
      <w:r>
        <w:rPr>
          <w:rFonts w:ascii="宋体" w:hAnsi="宋体" w:eastAsia="宋体" w:cs="宋体"/>
          <w:spacing w:val="-6"/>
          <w:sz w:val="24"/>
          <w:szCs w:val="24"/>
        </w:rPr>
        <w:t>本协议成交明的通讯地址。一方向他方在本协议成交明的地址发送的通知、函件，以查无</w:t>
      </w:r>
      <w:r>
        <w:rPr>
          <w:rFonts w:ascii="宋体" w:hAnsi="宋体" w:eastAsia="宋体" w:cs="宋体"/>
          <w:spacing w:val="-2"/>
          <w:sz w:val="24"/>
          <w:szCs w:val="24"/>
        </w:rPr>
        <w:t>此人或收件人拒绝接收为由被退回的，视为已送达。一方变更通讯地址，应在变更事由发</w:t>
      </w:r>
      <w:r>
        <w:rPr>
          <w:rFonts w:ascii="宋体" w:hAnsi="宋体" w:eastAsia="宋体" w:cs="宋体"/>
          <w:spacing w:val="-4"/>
          <w:sz w:val="24"/>
          <w:szCs w:val="24"/>
        </w:rPr>
        <w:t>生后</w:t>
      </w:r>
      <w:r>
        <w:rPr>
          <w:rFonts w:ascii="宋体" w:hAnsi="宋体" w:eastAsia="宋体" w:cs="宋体"/>
          <w:spacing w:val="-32"/>
          <w:sz w:val="24"/>
          <w:szCs w:val="24"/>
        </w:rPr>
        <w:t xml:space="preserve"> </w:t>
      </w:r>
      <w:r>
        <w:rPr>
          <w:rFonts w:ascii="宋体" w:hAnsi="宋体" w:eastAsia="宋体" w:cs="宋体"/>
          <w:spacing w:val="-4"/>
          <w:sz w:val="24"/>
          <w:szCs w:val="24"/>
        </w:rPr>
        <w:t>3日内以书面方式通知对方。因变更地址的一方未按协议约定及时通知他方地址变更</w:t>
      </w:r>
      <w:r>
        <w:rPr>
          <w:rFonts w:ascii="宋体" w:hAnsi="宋体" w:eastAsia="宋体" w:cs="宋体"/>
          <w:spacing w:val="-3"/>
          <w:sz w:val="24"/>
          <w:szCs w:val="24"/>
        </w:rPr>
        <w:t>事项而导致通知无法送达的，视为已送达。</w:t>
      </w:r>
    </w:p>
    <w:p w14:paraId="3437D0D3">
      <w:pPr>
        <w:spacing w:before="34" w:line="220" w:lineRule="auto"/>
        <w:ind w:left="591"/>
        <w:rPr>
          <w:rFonts w:ascii="宋体" w:hAnsi="宋体" w:eastAsia="宋体" w:cs="宋体"/>
          <w:sz w:val="24"/>
          <w:szCs w:val="24"/>
        </w:rPr>
      </w:pPr>
      <w:r>
        <w:rPr>
          <w:rFonts w:ascii="宋体" w:hAnsi="宋体" w:eastAsia="宋体" w:cs="宋体"/>
          <w:spacing w:val="-4"/>
          <w:sz w:val="24"/>
          <w:szCs w:val="24"/>
        </w:rPr>
        <w:t>甲方指定的联系人为</w:t>
      </w:r>
      <w:r>
        <w:rPr>
          <w:rFonts w:ascii="宋体" w:hAnsi="宋体" w:eastAsia="宋体" w:cs="宋体"/>
          <w:spacing w:val="6"/>
          <w:sz w:val="24"/>
          <w:szCs w:val="24"/>
        </w:rPr>
        <w:t>：</w:t>
      </w:r>
      <w:r>
        <w:rPr>
          <w:rFonts w:ascii="宋体" w:hAnsi="宋体" w:eastAsia="宋体" w:cs="宋体"/>
          <w:spacing w:val="15"/>
          <w:sz w:val="24"/>
          <w:szCs w:val="24"/>
        </w:rPr>
        <w:t xml:space="preserve">        </w:t>
      </w:r>
      <w:r>
        <w:rPr>
          <w:rFonts w:ascii="宋体" w:hAnsi="宋体" w:eastAsia="宋体" w:cs="宋体"/>
          <w:spacing w:val="6"/>
          <w:sz w:val="24"/>
          <w:szCs w:val="24"/>
        </w:rPr>
        <w:t>，</w:t>
      </w:r>
      <w:r>
        <w:rPr>
          <w:rFonts w:ascii="宋体" w:hAnsi="宋体" w:eastAsia="宋体" w:cs="宋体"/>
          <w:spacing w:val="-4"/>
          <w:sz w:val="24"/>
          <w:szCs w:val="24"/>
        </w:rPr>
        <w:t>联系电话：   电子邮箱号码：</w:t>
      </w:r>
    </w:p>
    <w:p w14:paraId="1F3C79C7">
      <w:pPr>
        <w:spacing w:before="181" w:line="220" w:lineRule="auto"/>
        <w:ind w:left="584"/>
        <w:rPr>
          <w:rFonts w:ascii="宋体" w:hAnsi="宋体" w:eastAsia="宋体" w:cs="宋体"/>
          <w:sz w:val="24"/>
          <w:szCs w:val="24"/>
        </w:rPr>
      </w:pPr>
      <w:r>
        <w:rPr>
          <w:rFonts w:ascii="宋体" w:hAnsi="宋体" w:eastAsia="宋体" w:cs="宋体"/>
          <w:spacing w:val="-3"/>
          <w:sz w:val="24"/>
          <w:szCs w:val="24"/>
        </w:rPr>
        <w:t>乙方指定的联系人为</w:t>
      </w:r>
      <w:r>
        <w:rPr>
          <w:rFonts w:ascii="宋体" w:hAnsi="宋体" w:eastAsia="宋体" w:cs="宋体"/>
          <w:spacing w:val="-2"/>
          <w:sz w:val="24"/>
          <w:szCs w:val="24"/>
        </w:rPr>
        <w:t>：</w:t>
      </w:r>
      <w:r>
        <w:rPr>
          <w:rFonts w:ascii="宋体" w:hAnsi="宋体" w:eastAsia="宋体" w:cs="宋体"/>
          <w:spacing w:val="15"/>
          <w:sz w:val="24"/>
          <w:szCs w:val="24"/>
        </w:rPr>
        <w:t xml:space="preserve">        </w:t>
      </w:r>
      <w:r>
        <w:rPr>
          <w:rFonts w:ascii="宋体" w:hAnsi="宋体" w:eastAsia="宋体" w:cs="宋体"/>
          <w:spacing w:val="-2"/>
          <w:sz w:val="24"/>
          <w:szCs w:val="24"/>
        </w:rPr>
        <w:t>，</w:t>
      </w:r>
      <w:r>
        <w:rPr>
          <w:rFonts w:ascii="宋体" w:hAnsi="宋体" w:eastAsia="宋体" w:cs="宋体"/>
          <w:spacing w:val="-3"/>
          <w:sz w:val="24"/>
          <w:szCs w:val="24"/>
        </w:rPr>
        <w:t>联系电话：   电子邮箱号码：</w:t>
      </w:r>
    </w:p>
    <w:p w14:paraId="5E068473">
      <w:pPr>
        <w:spacing w:before="180" w:line="219" w:lineRule="auto"/>
        <w:ind w:left="482"/>
        <w:rPr>
          <w:rFonts w:ascii="宋体" w:hAnsi="宋体" w:eastAsia="宋体" w:cs="宋体"/>
          <w:sz w:val="24"/>
          <w:szCs w:val="24"/>
        </w:rPr>
      </w:pPr>
      <w:r>
        <w:rPr>
          <w:rFonts w:ascii="宋体" w:hAnsi="宋体" w:eastAsia="宋体" w:cs="宋体"/>
          <w:spacing w:val="-3"/>
          <w:sz w:val="24"/>
          <w:szCs w:val="24"/>
        </w:rPr>
        <w:t>上述双方指定的联系人如需更换，应在更换后</w:t>
      </w:r>
      <w:r>
        <w:rPr>
          <w:rFonts w:ascii="宋体" w:hAnsi="宋体" w:eastAsia="宋体" w:cs="宋体"/>
          <w:spacing w:val="-45"/>
          <w:sz w:val="24"/>
          <w:szCs w:val="24"/>
        </w:rPr>
        <w:t xml:space="preserve"> </w:t>
      </w:r>
      <w:r>
        <w:rPr>
          <w:rFonts w:ascii="宋体" w:hAnsi="宋体" w:eastAsia="宋体" w:cs="宋体"/>
          <w:spacing w:val="-3"/>
          <w:sz w:val="24"/>
          <w:szCs w:val="24"/>
        </w:rPr>
        <w:t>3</w:t>
      </w:r>
      <w:r>
        <w:rPr>
          <w:rFonts w:ascii="宋体" w:hAnsi="宋体" w:eastAsia="宋体" w:cs="宋体"/>
          <w:spacing w:val="-4"/>
          <w:sz w:val="24"/>
          <w:szCs w:val="24"/>
        </w:rPr>
        <w:t xml:space="preserve"> 日内以书面方式通知对方。</w:t>
      </w:r>
    </w:p>
    <w:p w14:paraId="261C205F">
      <w:pPr>
        <w:spacing w:before="182" w:line="219" w:lineRule="auto"/>
        <w:ind w:left="498"/>
        <w:rPr>
          <w:rFonts w:ascii="宋体" w:hAnsi="宋体" w:eastAsia="宋体" w:cs="宋体"/>
          <w:sz w:val="24"/>
          <w:szCs w:val="24"/>
        </w:rPr>
      </w:pPr>
      <w:r>
        <w:rPr>
          <w:rFonts w:ascii="宋体" w:hAnsi="宋体" w:eastAsia="宋体" w:cs="宋体"/>
          <w:spacing w:val="-2"/>
          <w:sz w:val="24"/>
          <w:szCs w:val="24"/>
        </w:rPr>
        <w:t>19.2</w:t>
      </w:r>
      <w:r>
        <w:rPr>
          <w:rFonts w:ascii="宋体" w:hAnsi="宋体" w:eastAsia="宋体" w:cs="宋体"/>
          <w:spacing w:val="-46"/>
          <w:sz w:val="24"/>
          <w:szCs w:val="24"/>
        </w:rPr>
        <w:t xml:space="preserve"> </w:t>
      </w:r>
      <w:r>
        <w:rPr>
          <w:rFonts w:ascii="宋体" w:hAnsi="宋体" w:eastAsia="宋体" w:cs="宋体"/>
          <w:spacing w:val="-2"/>
          <w:sz w:val="24"/>
          <w:szCs w:val="24"/>
        </w:rPr>
        <w:t>通知以送到之日或通知书中规定的生效之日起生效，两者中以较迟之日为准。</w:t>
      </w:r>
      <w:r>
        <w:rPr>
          <w:rFonts w:hint="eastAsia" w:ascii="宋体" w:hAnsi="宋体" w:eastAsia="宋体" w:cs="宋体"/>
          <w:spacing w:val="-2"/>
          <w:sz w:val="24"/>
          <w:szCs w:val="24"/>
        </w:rPr>
        <w:t>双方同意，如果双方之间的纠纷以诉讼方式解决的，人民法院可以按照本协议条款约定的双方地址、联系人、电子邮箱号码完成民事审判中的所有送达程序，双方均无异议。</w:t>
      </w:r>
    </w:p>
    <w:p w14:paraId="41C865D7">
      <w:pPr>
        <w:spacing w:before="182" w:line="220" w:lineRule="auto"/>
        <w:ind w:left="3566"/>
        <w:outlineLvl w:val="0"/>
        <w:rPr>
          <w:rFonts w:ascii="宋体" w:hAnsi="宋体" w:eastAsia="宋体" w:cs="宋体"/>
          <w:sz w:val="24"/>
          <w:szCs w:val="24"/>
        </w:rPr>
      </w:pPr>
      <w:r>
        <w:rPr>
          <w:rFonts w:ascii="宋体" w:hAnsi="宋体" w:eastAsia="宋体" w:cs="宋体"/>
          <w:b/>
          <w:bCs/>
          <w:spacing w:val="-3"/>
          <w:sz w:val="24"/>
          <w:szCs w:val="24"/>
        </w:rPr>
        <w:t>第二十条</w:t>
      </w:r>
      <w:r>
        <w:rPr>
          <w:rFonts w:ascii="宋体" w:hAnsi="宋体" w:eastAsia="宋体" w:cs="宋体"/>
          <w:spacing w:val="-3"/>
          <w:sz w:val="24"/>
          <w:szCs w:val="24"/>
        </w:rPr>
        <w:t xml:space="preserve">  </w:t>
      </w:r>
      <w:r>
        <w:rPr>
          <w:rFonts w:ascii="宋体" w:hAnsi="宋体" w:eastAsia="宋体" w:cs="宋体"/>
          <w:b/>
          <w:bCs/>
          <w:spacing w:val="-3"/>
          <w:sz w:val="24"/>
          <w:szCs w:val="24"/>
        </w:rPr>
        <w:t>税和关税</w:t>
      </w:r>
    </w:p>
    <w:p w14:paraId="3A249656">
      <w:pPr>
        <w:spacing w:before="181" w:line="219" w:lineRule="auto"/>
        <w:ind w:right="35"/>
        <w:jc w:val="right"/>
        <w:rPr>
          <w:rFonts w:ascii="宋体" w:hAnsi="宋体" w:eastAsia="宋体" w:cs="宋体"/>
          <w:sz w:val="24"/>
          <w:szCs w:val="24"/>
        </w:rPr>
      </w:pPr>
      <w:r>
        <w:rPr>
          <w:rFonts w:ascii="宋体" w:hAnsi="宋体" w:eastAsia="宋体" w:cs="宋体"/>
          <w:spacing w:val="-1"/>
          <w:sz w:val="24"/>
          <w:szCs w:val="24"/>
        </w:rPr>
        <w:t>20.1.中国政府根据现行税法对甲方征收的与本合同有关的一切税费均应由</w:t>
      </w:r>
      <w:r>
        <w:rPr>
          <w:rFonts w:ascii="宋体" w:hAnsi="宋体" w:eastAsia="宋体" w:cs="宋体"/>
          <w:spacing w:val="-2"/>
          <w:sz w:val="24"/>
          <w:szCs w:val="24"/>
        </w:rPr>
        <w:t>甲方负担。</w:t>
      </w:r>
    </w:p>
    <w:p w14:paraId="7789ED85">
      <w:pPr>
        <w:spacing w:before="183" w:line="350" w:lineRule="auto"/>
        <w:ind w:left="7" w:right="195" w:firstLine="476"/>
        <w:rPr>
          <w:rFonts w:ascii="宋体" w:hAnsi="宋体" w:eastAsia="宋体" w:cs="宋体"/>
          <w:sz w:val="24"/>
          <w:szCs w:val="24"/>
        </w:rPr>
      </w:pPr>
      <w:r>
        <w:rPr>
          <w:rFonts w:ascii="宋体" w:hAnsi="宋体" w:eastAsia="宋体" w:cs="宋体"/>
          <w:sz w:val="24"/>
          <w:szCs w:val="24"/>
        </w:rPr>
        <w:t>20.2.中国政府根据现行的税法规定对乙方或其雇员</w:t>
      </w:r>
      <w:r>
        <w:rPr>
          <w:rFonts w:ascii="宋体" w:hAnsi="宋体" w:eastAsia="宋体" w:cs="宋体"/>
          <w:spacing w:val="-1"/>
          <w:sz w:val="24"/>
          <w:szCs w:val="24"/>
        </w:rPr>
        <w:t>征收的与本合同有关的一切税费</w:t>
      </w:r>
      <w:r>
        <w:rPr>
          <w:rFonts w:ascii="宋体" w:hAnsi="宋体" w:eastAsia="宋体" w:cs="宋体"/>
          <w:sz w:val="24"/>
          <w:szCs w:val="24"/>
        </w:rPr>
        <w:t xml:space="preserve"> </w:t>
      </w:r>
      <w:r>
        <w:rPr>
          <w:rFonts w:ascii="宋体" w:hAnsi="宋体" w:eastAsia="宋体" w:cs="宋体"/>
          <w:spacing w:val="-5"/>
          <w:sz w:val="24"/>
          <w:szCs w:val="24"/>
        </w:rPr>
        <w:t>（包括但不限于乙方为制造本合同项下的设备和部件的进口关税、增值</w:t>
      </w:r>
      <w:r>
        <w:rPr>
          <w:rFonts w:ascii="宋体" w:hAnsi="宋体" w:eastAsia="宋体" w:cs="宋体"/>
          <w:spacing w:val="-6"/>
          <w:sz w:val="24"/>
          <w:szCs w:val="24"/>
        </w:rPr>
        <w:t>税等） 均应由乙方</w:t>
      </w:r>
      <w:r>
        <w:rPr>
          <w:rFonts w:ascii="宋体" w:hAnsi="宋体" w:eastAsia="宋体" w:cs="宋体"/>
          <w:sz w:val="24"/>
          <w:szCs w:val="24"/>
        </w:rPr>
        <w:t xml:space="preserve"> </w:t>
      </w:r>
      <w:r>
        <w:rPr>
          <w:rFonts w:ascii="宋体" w:hAnsi="宋体" w:eastAsia="宋体" w:cs="宋体"/>
          <w:spacing w:val="-12"/>
          <w:sz w:val="24"/>
          <w:szCs w:val="24"/>
        </w:rPr>
        <w:t>负担。</w:t>
      </w:r>
    </w:p>
    <w:p w14:paraId="27C0590F">
      <w:pPr>
        <w:spacing w:before="35" w:line="219" w:lineRule="auto"/>
        <w:ind w:left="483"/>
        <w:rPr>
          <w:rFonts w:ascii="宋体" w:hAnsi="宋体" w:eastAsia="宋体" w:cs="宋体"/>
          <w:sz w:val="24"/>
          <w:szCs w:val="24"/>
        </w:rPr>
      </w:pPr>
      <w:r>
        <w:rPr>
          <w:rFonts w:ascii="宋体" w:hAnsi="宋体" w:eastAsia="宋体" w:cs="宋体"/>
          <w:spacing w:val="-1"/>
          <w:sz w:val="24"/>
          <w:szCs w:val="24"/>
        </w:rPr>
        <w:t>20.3.在中国境外发生的与本合同执行有关的一</w:t>
      </w:r>
      <w:r>
        <w:rPr>
          <w:rFonts w:ascii="宋体" w:hAnsi="宋体" w:eastAsia="宋体" w:cs="宋体"/>
          <w:spacing w:val="-2"/>
          <w:sz w:val="24"/>
          <w:szCs w:val="24"/>
        </w:rPr>
        <w:t>切税费均应由乙方负担。</w:t>
      </w:r>
    </w:p>
    <w:p w14:paraId="623437BC">
      <w:pPr>
        <w:spacing w:before="182" w:line="220" w:lineRule="auto"/>
        <w:ind w:left="3445"/>
        <w:outlineLvl w:val="0"/>
        <w:rPr>
          <w:rFonts w:ascii="宋体" w:hAnsi="宋体" w:eastAsia="宋体" w:cs="宋体"/>
          <w:sz w:val="24"/>
          <w:szCs w:val="24"/>
        </w:rPr>
      </w:pPr>
      <w:r>
        <w:rPr>
          <w:rFonts w:ascii="宋体" w:hAnsi="宋体" w:eastAsia="宋体" w:cs="宋体"/>
          <w:b/>
          <w:bCs/>
          <w:spacing w:val="-3"/>
          <w:sz w:val="24"/>
          <w:szCs w:val="24"/>
        </w:rPr>
        <w:t>第二十一条</w:t>
      </w:r>
      <w:r>
        <w:rPr>
          <w:rFonts w:ascii="宋体" w:hAnsi="宋体" w:eastAsia="宋体" w:cs="宋体"/>
          <w:spacing w:val="-3"/>
          <w:sz w:val="24"/>
          <w:szCs w:val="24"/>
        </w:rPr>
        <w:t xml:space="preserve">  </w:t>
      </w:r>
      <w:r>
        <w:rPr>
          <w:rFonts w:ascii="宋体" w:hAnsi="宋体" w:eastAsia="宋体" w:cs="宋体"/>
          <w:b/>
          <w:bCs/>
          <w:spacing w:val="-3"/>
          <w:sz w:val="24"/>
          <w:szCs w:val="24"/>
        </w:rPr>
        <w:t>合同生效</w:t>
      </w:r>
    </w:p>
    <w:p w14:paraId="2787FBBB">
      <w:pPr>
        <w:spacing w:before="181" w:line="219" w:lineRule="auto"/>
        <w:ind w:left="483"/>
        <w:rPr>
          <w:rFonts w:ascii="宋体" w:hAnsi="宋体" w:eastAsia="宋体" w:cs="宋体"/>
          <w:sz w:val="24"/>
          <w:szCs w:val="24"/>
        </w:rPr>
      </w:pPr>
      <w:r>
        <w:rPr>
          <w:rFonts w:ascii="宋体" w:hAnsi="宋体" w:eastAsia="宋体" w:cs="宋体"/>
          <w:spacing w:val="-2"/>
          <w:sz w:val="24"/>
          <w:szCs w:val="24"/>
        </w:rPr>
        <w:t>21.1.合同经双方授权代表签字盖章且乙方交付履约保</w:t>
      </w:r>
      <w:r>
        <w:rPr>
          <w:rFonts w:ascii="宋体" w:hAnsi="宋体" w:eastAsia="宋体" w:cs="宋体"/>
          <w:spacing w:val="-3"/>
          <w:sz w:val="24"/>
          <w:szCs w:val="24"/>
        </w:rPr>
        <w:t>证金之日；</w:t>
      </w:r>
    </w:p>
    <w:p w14:paraId="78A860A9">
      <w:pPr>
        <w:spacing w:line="219" w:lineRule="auto"/>
        <w:rPr>
          <w:rFonts w:ascii="宋体" w:hAnsi="宋体" w:eastAsia="宋体" w:cs="宋体"/>
          <w:sz w:val="24"/>
          <w:szCs w:val="24"/>
        </w:rPr>
        <w:sectPr>
          <w:footerReference r:id="rId13" w:type="default"/>
          <w:pgSz w:w="11906" w:h="16839"/>
          <w:pgMar w:top="1123" w:right="1117" w:bottom="1262" w:left="1312" w:header="0" w:footer="1102" w:gutter="0"/>
          <w:pgNumType w:fmt="decimal"/>
          <w:cols w:space="720" w:num="1"/>
        </w:sectPr>
      </w:pPr>
    </w:p>
    <w:p w14:paraId="51E5B2CA">
      <w:pPr>
        <w:spacing w:before="47" w:line="219" w:lineRule="auto"/>
        <w:ind w:left="557"/>
        <w:rPr>
          <w:rFonts w:ascii="宋体" w:hAnsi="宋体" w:eastAsia="宋体" w:cs="宋体"/>
          <w:sz w:val="24"/>
          <w:szCs w:val="24"/>
        </w:rPr>
      </w:pPr>
      <w:r>
        <w:rPr>
          <w:rFonts w:ascii="宋体" w:hAnsi="宋体" w:eastAsia="宋体" w:cs="宋体"/>
          <w:spacing w:val="-3"/>
          <w:sz w:val="24"/>
          <w:szCs w:val="24"/>
        </w:rPr>
        <w:t>21.2.满足上述第</w:t>
      </w:r>
      <w:r>
        <w:rPr>
          <w:rFonts w:ascii="宋体" w:hAnsi="宋体" w:eastAsia="宋体" w:cs="宋体"/>
          <w:spacing w:val="-30"/>
          <w:sz w:val="24"/>
          <w:szCs w:val="24"/>
        </w:rPr>
        <w:t xml:space="preserve"> </w:t>
      </w:r>
      <w:r>
        <w:rPr>
          <w:rFonts w:ascii="宋体" w:hAnsi="宋体" w:eastAsia="宋体" w:cs="宋体"/>
          <w:spacing w:val="-3"/>
          <w:sz w:val="24"/>
          <w:szCs w:val="24"/>
        </w:rPr>
        <w:t>1</w:t>
      </w:r>
      <w:r>
        <w:rPr>
          <w:rFonts w:ascii="宋体" w:hAnsi="宋体" w:eastAsia="宋体" w:cs="宋体"/>
          <w:spacing w:val="-49"/>
          <w:sz w:val="24"/>
          <w:szCs w:val="24"/>
        </w:rPr>
        <w:t xml:space="preserve"> </w:t>
      </w:r>
      <w:r>
        <w:rPr>
          <w:rFonts w:ascii="宋体" w:hAnsi="宋体" w:eastAsia="宋体" w:cs="宋体"/>
          <w:spacing w:val="-3"/>
          <w:sz w:val="24"/>
          <w:szCs w:val="24"/>
        </w:rPr>
        <w:t>条，以实现的日期为准本合同即时生效。</w:t>
      </w:r>
    </w:p>
    <w:p w14:paraId="0B85125C">
      <w:pPr>
        <w:spacing w:before="181" w:line="220" w:lineRule="auto"/>
        <w:ind w:left="3760"/>
        <w:outlineLvl w:val="0"/>
        <w:rPr>
          <w:rFonts w:ascii="宋体" w:hAnsi="宋体" w:eastAsia="宋体" w:cs="宋体"/>
          <w:sz w:val="24"/>
          <w:szCs w:val="24"/>
        </w:rPr>
      </w:pPr>
      <w:r>
        <w:rPr>
          <w:rFonts w:ascii="宋体" w:hAnsi="宋体" w:eastAsia="宋体" w:cs="宋体"/>
          <w:b/>
          <w:bCs/>
          <w:spacing w:val="-3"/>
          <w:sz w:val="24"/>
          <w:szCs w:val="24"/>
        </w:rPr>
        <w:t>第二十二条</w:t>
      </w:r>
      <w:r>
        <w:rPr>
          <w:rFonts w:ascii="宋体" w:hAnsi="宋体" w:eastAsia="宋体" w:cs="宋体"/>
          <w:spacing w:val="-3"/>
          <w:sz w:val="24"/>
          <w:szCs w:val="24"/>
        </w:rPr>
        <w:t xml:space="preserve">  </w:t>
      </w:r>
      <w:r>
        <w:rPr>
          <w:rFonts w:ascii="宋体" w:hAnsi="宋体" w:eastAsia="宋体" w:cs="宋体"/>
          <w:b/>
          <w:bCs/>
          <w:spacing w:val="-3"/>
          <w:sz w:val="24"/>
          <w:szCs w:val="24"/>
        </w:rPr>
        <w:t>其它</w:t>
      </w:r>
    </w:p>
    <w:p w14:paraId="566E2E62">
      <w:pPr>
        <w:spacing w:before="181" w:line="219" w:lineRule="auto"/>
        <w:ind w:left="557"/>
        <w:rPr>
          <w:rFonts w:ascii="宋体" w:hAnsi="宋体" w:eastAsia="宋体" w:cs="宋体"/>
          <w:sz w:val="24"/>
          <w:szCs w:val="24"/>
        </w:rPr>
      </w:pPr>
      <w:r>
        <w:rPr>
          <w:rFonts w:ascii="宋体" w:hAnsi="宋体" w:eastAsia="宋体" w:cs="宋体"/>
          <w:spacing w:val="-1"/>
          <w:sz w:val="24"/>
          <w:szCs w:val="24"/>
        </w:rPr>
        <w:t>22.1.合同之所有附件均为合同的有效组成部分，与本合</w:t>
      </w:r>
      <w:r>
        <w:rPr>
          <w:rFonts w:ascii="宋体" w:hAnsi="宋体" w:eastAsia="宋体" w:cs="宋体"/>
          <w:spacing w:val="-2"/>
          <w:sz w:val="24"/>
          <w:szCs w:val="24"/>
        </w:rPr>
        <w:t>同具有同样法律效力。</w:t>
      </w:r>
    </w:p>
    <w:p w14:paraId="3377750F">
      <w:pPr>
        <w:spacing w:before="181" w:line="353" w:lineRule="auto"/>
        <w:ind w:left="77" w:right="186" w:firstLine="480"/>
        <w:rPr>
          <w:rFonts w:ascii="宋体" w:hAnsi="宋体" w:eastAsia="宋体" w:cs="宋体"/>
          <w:sz w:val="24"/>
          <w:szCs w:val="24"/>
        </w:rPr>
      </w:pPr>
      <w:r>
        <w:rPr>
          <w:rFonts w:ascii="宋体" w:hAnsi="宋体" w:eastAsia="宋体" w:cs="宋体"/>
          <w:sz w:val="24"/>
          <w:szCs w:val="24"/>
        </w:rPr>
        <w:t>22.2.在执行本合同的过程中，所有经甲乙双方签署</w:t>
      </w:r>
      <w:r>
        <w:rPr>
          <w:rFonts w:ascii="宋体" w:hAnsi="宋体" w:eastAsia="宋体" w:cs="宋体"/>
          <w:spacing w:val="-1"/>
          <w:sz w:val="24"/>
          <w:szCs w:val="24"/>
        </w:rPr>
        <w:t>确认的文件（包括会议纪要、补</w:t>
      </w:r>
      <w:r>
        <w:rPr>
          <w:rFonts w:ascii="宋体" w:hAnsi="宋体" w:eastAsia="宋体" w:cs="宋体"/>
          <w:spacing w:val="-5"/>
          <w:sz w:val="24"/>
          <w:szCs w:val="24"/>
        </w:rPr>
        <w:t>充协议、往来信函） 即成为本合同的有效组成部分，其生效日期为双方签字盖章或确认之日期。除非有特别说明， 本合同所有有效组成部分中相矛盾的条款以生效日期较后的条款</w:t>
      </w:r>
      <w:r>
        <w:rPr>
          <w:rFonts w:ascii="宋体" w:hAnsi="宋体" w:eastAsia="宋体" w:cs="宋体"/>
          <w:spacing w:val="-11"/>
          <w:sz w:val="24"/>
          <w:szCs w:val="24"/>
        </w:rPr>
        <w:t>为准。</w:t>
      </w:r>
    </w:p>
    <w:p w14:paraId="4058FBC6">
      <w:pPr>
        <w:spacing w:before="32" w:line="219" w:lineRule="auto"/>
        <w:ind w:left="557"/>
        <w:rPr>
          <w:rFonts w:ascii="宋体" w:hAnsi="宋体" w:eastAsia="宋体" w:cs="宋体"/>
          <w:sz w:val="24"/>
          <w:szCs w:val="24"/>
        </w:rPr>
      </w:pPr>
      <w:r>
        <w:rPr>
          <w:rFonts w:ascii="宋体" w:hAnsi="宋体" w:eastAsia="宋体" w:cs="宋体"/>
          <w:spacing w:val="-3"/>
          <w:sz w:val="24"/>
          <w:szCs w:val="24"/>
        </w:rPr>
        <w:t>22.3.除甲方事先书面同意外，乙方不得部分或全部转让其应履行的合同项下的义务。</w:t>
      </w:r>
    </w:p>
    <w:p w14:paraId="05F59329">
      <w:pPr>
        <w:spacing w:before="182" w:line="346" w:lineRule="auto"/>
        <w:ind w:left="75" w:right="244" w:firstLine="481"/>
        <w:rPr>
          <w:rFonts w:ascii="宋体" w:hAnsi="宋体" w:eastAsia="宋体" w:cs="宋体"/>
          <w:sz w:val="24"/>
          <w:szCs w:val="24"/>
        </w:rPr>
      </w:pPr>
      <w:r>
        <w:rPr>
          <w:rFonts w:ascii="宋体" w:hAnsi="宋体" w:eastAsia="宋体" w:cs="宋体"/>
          <w:sz w:val="24"/>
          <w:szCs w:val="24"/>
        </w:rPr>
        <w:t xml:space="preserve">22.4.本合同一式  肆  份，甲方执  叁  份，乙方执 </w:t>
      </w:r>
      <w:r>
        <w:rPr>
          <w:rFonts w:ascii="宋体" w:hAnsi="宋体" w:eastAsia="宋体" w:cs="宋体"/>
          <w:spacing w:val="-1"/>
          <w:sz w:val="24"/>
          <w:szCs w:val="24"/>
        </w:rPr>
        <w:t xml:space="preserve"> 壹  份。每份正本具有同等</w:t>
      </w:r>
      <w:r>
        <w:rPr>
          <w:rFonts w:ascii="宋体" w:hAnsi="宋体" w:eastAsia="宋体" w:cs="宋体"/>
          <w:spacing w:val="-8"/>
          <w:sz w:val="24"/>
          <w:szCs w:val="24"/>
        </w:rPr>
        <w:t>法律效力。</w:t>
      </w:r>
    </w:p>
    <w:p w14:paraId="1E056A69">
      <w:pPr>
        <w:spacing w:before="36" w:line="350" w:lineRule="auto"/>
        <w:ind w:left="78" w:firstLine="479"/>
        <w:rPr>
          <w:rFonts w:ascii="宋体" w:hAnsi="宋体" w:eastAsia="宋体" w:cs="宋体"/>
          <w:sz w:val="24"/>
          <w:szCs w:val="24"/>
        </w:rPr>
      </w:pPr>
      <w:r>
        <w:rPr>
          <w:rFonts w:ascii="宋体" w:hAnsi="宋体" w:eastAsia="宋体" w:cs="宋体"/>
          <w:spacing w:val="-1"/>
          <w:sz w:val="24"/>
          <w:szCs w:val="24"/>
        </w:rPr>
        <w:t>22.5</w:t>
      </w:r>
      <w:r>
        <w:rPr>
          <w:rFonts w:ascii="宋体" w:hAnsi="宋体" w:eastAsia="宋体" w:cs="宋体"/>
          <w:spacing w:val="-36"/>
          <w:sz w:val="24"/>
          <w:szCs w:val="24"/>
        </w:rPr>
        <w:t xml:space="preserve"> </w:t>
      </w:r>
      <w:r>
        <w:rPr>
          <w:rFonts w:ascii="宋体" w:hAnsi="宋体" w:eastAsia="宋体" w:cs="宋体"/>
          <w:spacing w:val="-1"/>
          <w:sz w:val="24"/>
          <w:szCs w:val="24"/>
        </w:rPr>
        <w:t>合同载明的双方住所为履行本合同双方通知送达的有效地址，如有变更，应当</w:t>
      </w:r>
      <w:r>
        <w:rPr>
          <w:rFonts w:ascii="宋体" w:hAnsi="宋体" w:eastAsia="宋体" w:cs="宋体"/>
          <w:spacing w:val="3"/>
          <w:sz w:val="24"/>
          <w:szCs w:val="24"/>
        </w:rPr>
        <w:t>于变更前三日书面通知对方。如接收方拒收或未履行变更通知义务，按照</w:t>
      </w:r>
      <w:r>
        <w:rPr>
          <w:rFonts w:ascii="宋体" w:hAnsi="宋体" w:eastAsia="宋体" w:cs="宋体"/>
          <w:spacing w:val="2"/>
          <w:sz w:val="24"/>
          <w:szCs w:val="24"/>
        </w:rPr>
        <w:t>原地址送达的，</w:t>
      </w:r>
      <w:r>
        <w:rPr>
          <w:rFonts w:ascii="宋体" w:hAnsi="宋体" w:eastAsia="宋体" w:cs="宋体"/>
          <w:spacing w:val="-5"/>
          <w:sz w:val="24"/>
          <w:szCs w:val="24"/>
        </w:rPr>
        <w:t>一经邮寄视为完成送达。</w:t>
      </w:r>
    </w:p>
    <w:p w14:paraId="4B7E5A4A">
      <w:pPr>
        <w:spacing w:before="34" w:line="219" w:lineRule="auto"/>
        <w:ind w:left="3458"/>
        <w:outlineLvl w:val="0"/>
        <w:rPr>
          <w:rFonts w:ascii="宋体" w:hAnsi="宋体" w:eastAsia="宋体" w:cs="宋体"/>
          <w:sz w:val="24"/>
          <w:szCs w:val="24"/>
        </w:rPr>
      </w:pPr>
      <w:r>
        <w:rPr>
          <w:rFonts w:ascii="宋体" w:hAnsi="宋体" w:eastAsia="宋体" w:cs="宋体"/>
          <w:b/>
          <w:bCs/>
          <w:spacing w:val="-3"/>
          <w:sz w:val="24"/>
          <w:szCs w:val="24"/>
        </w:rPr>
        <w:t>第二十三条</w:t>
      </w:r>
      <w:r>
        <w:rPr>
          <w:rFonts w:ascii="宋体" w:hAnsi="宋体" w:eastAsia="宋体" w:cs="宋体"/>
          <w:spacing w:val="-3"/>
          <w:sz w:val="24"/>
          <w:szCs w:val="24"/>
        </w:rPr>
        <w:t xml:space="preserve"> </w:t>
      </w:r>
      <w:r>
        <w:rPr>
          <w:rFonts w:ascii="宋体" w:hAnsi="宋体" w:eastAsia="宋体" w:cs="宋体"/>
          <w:b/>
          <w:bCs/>
          <w:spacing w:val="-3"/>
          <w:sz w:val="24"/>
          <w:szCs w:val="24"/>
        </w:rPr>
        <w:t>本合同附件</w:t>
      </w:r>
    </w:p>
    <w:p w14:paraId="2E0B1BBB">
      <w:pPr>
        <w:spacing w:before="183" w:line="218" w:lineRule="auto"/>
        <w:ind w:left="573"/>
        <w:rPr>
          <w:rFonts w:ascii="宋体" w:hAnsi="宋体" w:eastAsia="宋体" w:cs="宋体"/>
          <w:sz w:val="24"/>
          <w:szCs w:val="24"/>
        </w:rPr>
      </w:pPr>
      <w:r>
        <w:rPr>
          <w:rFonts w:ascii="宋体" w:hAnsi="宋体" w:eastAsia="宋体" w:cs="宋体"/>
          <w:spacing w:val="-2"/>
          <w:sz w:val="24"/>
          <w:szCs w:val="24"/>
        </w:rPr>
        <w:t>附件一：报价清单（包括：最终报价明细表、报价一览表）</w:t>
      </w:r>
    </w:p>
    <w:p w14:paraId="5F3A5238">
      <w:pPr>
        <w:spacing w:before="183" w:line="219" w:lineRule="auto"/>
        <w:ind w:left="573"/>
        <w:rPr>
          <w:rFonts w:ascii="宋体" w:hAnsi="宋体" w:eastAsia="宋体" w:cs="宋体"/>
          <w:sz w:val="24"/>
          <w:szCs w:val="24"/>
        </w:rPr>
      </w:pPr>
      <w:r>
        <w:rPr>
          <w:rFonts w:ascii="宋体" w:hAnsi="宋体" w:eastAsia="宋体" w:cs="宋体"/>
          <w:spacing w:val="-3"/>
          <w:sz w:val="24"/>
          <w:szCs w:val="24"/>
        </w:rPr>
        <w:t>附件二：服务承诺书</w:t>
      </w:r>
    </w:p>
    <w:p w14:paraId="388EF3AF">
      <w:pPr>
        <w:spacing w:line="134" w:lineRule="exact"/>
      </w:pPr>
    </w:p>
    <w:p w14:paraId="1F72DFE7">
      <w:pPr>
        <w:spacing w:line="134" w:lineRule="exact"/>
        <w:sectPr>
          <w:footerReference r:id="rId14" w:type="default"/>
          <w:pgSz w:w="11906" w:h="16839"/>
          <w:pgMar w:top="1123" w:right="1117" w:bottom="1260" w:left="1238" w:header="0" w:footer="1102" w:gutter="0"/>
          <w:pgNumType w:fmt="decimal"/>
          <w:cols w:equalWidth="0" w:num="1">
            <w:col w:w="9550"/>
          </w:cols>
        </w:sectPr>
      </w:pPr>
    </w:p>
    <w:p w14:paraId="53D3B81D">
      <w:pPr>
        <w:spacing w:before="48" w:line="346" w:lineRule="auto"/>
        <w:ind w:left="1" w:right="123" w:firstLine="30"/>
        <w:rPr>
          <w:rFonts w:ascii="宋体" w:hAnsi="宋体" w:eastAsia="宋体" w:cs="宋体"/>
          <w:sz w:val="24"/>
          <w:szCs w:val="24"/>
        </w:rPr>
      </w:pPr>
      <w:r>
        <w:rPr>
          <w:rFonts w:ascii="宋体" w:hAnsi="宋体" w:eastAsia="宋体" w:cs="宋体"/>
          <w:spacing w:val="-5"/>
          <w:sz w:val="24"/>
          <w:szCs w:val="24"/>
        </w:rPr>
        <w:t>甲方（盖章</w:t>
      </w:r>
      <w:r>
        <w:rPr>
          <w:rFonts w:ascii="宋体" w:hAnsi="宋体" w:eastAsia="宋体" w:cs="宋体"/>
          <w:spacing w:val="-32"/>
          <w:sz w:val="24"/>
          <w:szCs w:val="24"/>
        </w:rPr>
        <w:t>）：</w:t>
      </w:r>
      <w:r>
        <w:rPr>
          <w:rFonts w:ascii="宋体" w:hAnsi="宋体" w:eastAsia="宋体" w:cs="宋体"/>
          <w:spacing w:val="-5"/>
          <w:sz w:val="24"/>
          <w:szCs w:val="24"/>
        </w:rPr>
        <w:t>中华人民共和国新疆出入境边防</w:t>
      </w:r>
      <w:r>
        <w:rPr>
          <w:rFonts w:ascii="宋体" w:hAnsi="宋体" w:eastAsia="宋体" w:cs="宋体"/>
          <w:spacing w:val="-2"/>
          <w:sz w:val="24"/>
          <w:szCs w:val="24"/>
        </w:rPr>
        <w:t>检查总站</w:t>
      </w:r>
    </w:p>
    <w:p w14:paraId="474617B4">
      <w:pPr>
        <w:pStyle w:val="20"/>
        <w:spacing w:line="463" w:lineRule="auto"/>
      </w:pPr>
    </w:p>
    <w:p w14:paraId="38F01E78">
      <w:pPr>
        <w:spacing w:before="78" w:line="220" w:lineRule="auto"/>
        <w:ind w:left="32"/>
        <w:rPr>
          <w:rFonts w:ascii="宋体" w:hAnsi="宋体" w:eastAsia="宋体" w:cs="宋体"/>
          <w:sz w:val="24"/>
          <w:szCs w:val="24"/>
        </w:rPr>
      </w:pPr>
      <w:r>
        <w:rPr>
          <w:rFonts w:ascii="宋体" w:hAnsi="宋体" w:eastAsia="宋体" w:cs="宋体"/>
          <w:spacing w:val="-11"/>
          <w:sz w:val="24"/>
          <w:szCs w:val="24"/>
        </w:rPr>
        <w:t>甲方代表（签字</w:t>
      </w:r>
      <w:r>
        <w:rPr>
          <w:rFonts w:ascii="宋体" w:hAnsi="宋体" w:eastAsia="宋体" w:cs="宋体"/>
          <w:spacing w:val="-5"/>
          <w:sz w:val="24"/>
          <w:szCs w:val="24"/>
        </w:rPr>
        <w:t>）：</w:t>
      </w:r>
    </w:p>
    <w:p w14:paraId="61A53372">
      <w:pPr>
        <w:spacing w:before="210" w:line="346" w:lineRule="auto"/>
        <w:ind w:left="16" w:right="123" w:hanging="15"/>
        <w:rPr>
          <w:rFonts w:ascii="宋体" w:hAnsi="宋体" w:eastAsia="宋体" w:cs="宋体"/>
          <w:sz w:val="24"/>
          <w:szCs w:val="24"/>
        </w:rPr>
      </w:pPr>
      <w:r>
        <w:rPr>
          <w:rFonts w:ascii="宋体" w:hAnsi="宋体" w:eastAsia="宋体" w:cs="宋体"/>
          <w:spacing w:val="-3"/>
          <w:sz w:val="24"/>
          <w:szCs w:val="24"/>
        </w:rPr>
        <w:t>地址：乌鲁木齐团结路</w:t>
      </w:r>
      <w:r>
        <w:rPr>
          <w:rFonts w:ascii="宋体" w:hAnsi="宋体" w:eastAsia="宋体" w:cs="宋体"/>
          <w:spacing w:val="-22"/>
          <w:sz w:val="24"/>
          <w:szCs w:val="24"/>
        </w:rPr>
        <w:t xml:space="preserve"> </w:t>
      </w:r>
      <w:r>
        <w:rPr>
          <w:rFonts w:ascii="Calibri" w:hAnsi="Calibri" w:eastAsia="Calibri" w:cs="Calibri"/>
          <w:spacing w:val="-3"/>
          <w:sz w:val="24"/>
          <w:szCs w:val="24"/>
        </w:rPr>
        <w:t>1551</w:t>
      </w:r>
      <w:r>
        <w:rPr>
          <w:rFonts w:ascii="Calibri" w:hAnsi="Calibri" w:eastAsia="Calibri" w:cs="Calibri"/>
          <w:spacing w:val="20"/>
          <w:w w:val="101"/>
          <w:sz w:val="24"/>
          <w:szCs w:val="24"/>
        </w:rPr>
        <w:t xml:space="preserve"> </w:t>
      </w:r>
      <w:r>
        <w:rPr>
          <w:rFonts w:ascii="宋体" w:hAnsi="宋体" w:eastAsia="宋体" w:cs="宋体"/>
          <w:spacing w:val="-3"/>
          <w:sz w:val="24"/>
          <w:szCs w:val="24"/>
        </w:rPr>
        <w:t>号（新疆出入境边</w:t>
      </w:r>
      <w:r>
        <w:rPr>
          <w:rFonts w:ascii="宋体" w:hAnsi="宋体" w:eastAsia="宋体" w:cs="宋体"/>
          <w:sz w:val="24"/>
          <w:szCs w:val="24"/>
        </w:rPr>
        <w:t xml:space="preserve"> </w:t>
      </w:r>
      <w:r>
        <w:rPr>
          <w:rFonts w:ascii="宋体" w:hAnsi="宋体" w:eastAsia="宋体" w:cs="宋体"/>
          <w:spacing w:val="-6"/>
          <w:sz w:val="24"/>
          <w:szCs w:val="24"/>
        </w:rPr>
        <w:t>防检查总站）</w:t>
      </w:r>
    </w:p>
    <w:p w14:paraId="660117CD">
      <w:pPr>
        <w:spacing w:before="36" w:line="345" w:lineRule="auto"/>
        <w:ind w:right="2915" w:firstLine="30"/>
        <w:rPr>
          <w:rFonts w:ascii="Calibri" w:hAnsi="Calibri" w:eastAsia="Calibri" w:cs="Calibri"/>
          <w:sz w:val="24"/>
          <w:szCs w:val="24"/>
        </w:rPr>
      </w:pPr>
      <w:r>
        <w:rPr>
          <w:rFonts w:ascii="宋体" w:hAnsi="宋体" w:eastAsia="宋体" w:cs="宋体"/>
          <w:spacing w:val="-3"/>
          <w:sz w:val="24"/>
          <w:szCs w:val="24"/>
        </w:rPr>
        <w:t>电话：</w:t>
      </w:r>
      <w:r>
        <w:rPr>
          <w:rFonts w:ascii="Calibri" w:hAnsi="Calibri" w:eastAsia="Calibri" w:cs="Calibri"/>
          <w:spacing w:val="-3"/>
          <w:sz w:val="24"/>
          <w:szCs w:val="24"/>
        </w:rPr>
        <w:t>0991-8512158</w:t>
      </w:r>
      <w:r>
        <w:rPr>
          <w:rFonts w:ascii="Calibri" w:hAnsi="Calibri" w:eastAsia="Calibri" w:cs="Calibri"/>
          <w:spacing w:val="6"/>
          <w:sz w:val="24"/>
          <w:szCs w:val="24"/>
        </w:rPr>
        <w:t xml:space="preserve"> </w:t>
      </w:r>
      <w:r>
        <w:rPr>
          <w:rFonts w:ascii="宋体" w:hAnsi="宋体" w:eastAsia="宋体" w:cs="宋体"/>
          <w:spacing w:val="-1"/>
          <w:sz w:val="24"/>
          <w:szCs w:val="24"/>
        </w:rPr>
        <w:t>传真：</w:t>
      </w:r>
      <w:r>
        <w:rPr>
          <w:rFonts w:ascii="Calibri" w:hAnsi="Calibri" w:eastAsia="Calibri" w:cs="Calibri"/>
          <w:spacing w:val="-1"/>
          <w:sz w:val="24"/>
          <w:szCs w:val="24"/>
        </w:rPr>
        <w:t>0991-8512158</w:t>
      </w:r>
    </w:p>
    <w:p w14:paraId="7DCEB8FD">
      <w:pPr>
        <w:spacing w:before="34" w:line="347" w:lineRule="auto"/>
        <w:ind w:left="4" w:right="123" w:hanging="2"/>
        <w:rPr>
          <w:rFonts w:ascii="Calibri" w:hAnsi="Calibri" w:eastAsia="Calibri" w:cs="Calibri"/>
          <w:sz w:val="24"/>
          <w:szCs w:val="24"/>
        </w:rPr>
      </w:pPr>
      <w:r>
        <w:rPr>
          <w:rFonts w:ascii="宋体" w:hAnsi="宋体" w:eastAsia="宋体" w:cs="宋体"/>
          <w:spacing w:val="-6"/>
          <w:sz w:val="24"/>
          <w:szCs w:val="24"/>
        </w:rPr>
        <w:t>开户银行：中国工商银行乌鲁木齐钱塘江路</w:t>
      </w:r>
      <w:r>
        <w:rPr>
          <w:rFonts w:ascii="宋体" w:hAnsi="宋体" w:eastAsia="宋体" w:cs="宋体"/>
          <w:spacing w:val="-7"/>
          <w:sz w:val="24"/>
          <w:szCs w:val="24"/>
        </w:rPr>
        <w:t>支行</w:t>
      </w:r>
      <w:r>
        <w:rPr>
          <w:rFonts w:ascii="宋体" w:hAnsi="宋体" w:eastAsia="宋体" w:cs="宋体"/>
          <w:sz w:val="24"/>
          <w:szCs w:val="24"/>
        </w:rPr>
        <w:t xml:space="preserve"> </w:t>
      </w:r>
      <w:r>
        <w:rPr>
          <w:rFonts w:ascii="宋体" w:hAnsi="宋体" w:eastAsia="宋体" w:cs="宋体"/>
          <w:spacing w:val="-1"/>
          <w:sz w:val="24"/>
          <w:szCs w:val="24"/>
        </w:rPr>
        <w:t>账    号：</w:t>
      </w:r>
      <w:r>
        <w:rPr>
          <w:rFonts w:ascii="Calibri" w:hAnsi="Calibri" w:eastAsia="Calibri" w:cs="Calibri"/>
          <w:spacing w:val="-1"/>
          <w:sz w:val="24"/>
          <w:szCs w:val="24"/>
        </w:rPr>
        <w:t>3002013409200101388</w:t>
      </w:r>
    </w:p>
    <w:p w14:paraId="7E97FA2B">
      <w:pPr>
        <w:spacing w:before="32" w:line="346" w:lineRule="auto"/>
        <w:ind w:left="21" w:right="123" w:hanging="19"/>
        <w:rPr>
          <w:rFonts w:ascii="宋体" w:hAnsi="宋体" w:eastAsia="宋体" w:cs="宋体"/>
          <w:sz w:val="24"/>
          <w:szCs w:val="24"/>
        </w:rPr>
      </w:pPr>
      <w:r>
        <w:rPr>
          <w:rFonts w:ascii="宋体" w:hAnsi="宋体" w:eastAsia="宋体" w:cs="宋体"/>
          <w:spacing w:val="-3"/>
          <w:sz w:val="24"/>
          <w:szCs w:val="24"/>
        </w:rPr>
        <w:t>合同订立地点：乌鲁木齐团结路</w:t>
      </w:r>
      <w:r>
        <w:rPr>
          <w:rFonts w:ascii="宋体" w:hAnsi="宋体" w:eastAsia="宋体" w:cs="宋体"/>
          <w:spacing w:val="-23"/>
          <w:sz w:val="24"/>
          <w:szCs w:val="24"/>
        </w:rPr>
        <w:t xml:space="preserve"> </w:t>
      </w:r>
      <w:r>
        <w:rPr>
          <w:rFonts w:ascii="Calibri" w:hAnsi="Calibri" w:eastAsia="Calibri" w:cs="Calibri"/>
          <w:spacing w:val="-3"/>
          <w:sz w:val="24"/>
          <w:szCs w:val="24"/>
        </w:rPr>
        <w:t>1551</w:t>
      </w:r>
      <w:r>
        <w:rPr>
          <w:rFonts w:ascii="Calibri" w:hAnsi="Calibri" w:eastAsia="Calibri" w:cs="Calibri"/>
          <w:spacing w:val="20"/>
          <w:w w:val="101"/>
          <w:sz w:val="24"/>
          <w:szCs w:val="24"/>
        </w:rPr>
        <w:t xml:space="preserve"> </w:t>
      </w:r>
      <w:r>
        <w:rPr>
          <w:rFonts w:ascii="宋体" w:hAnsi="宋体" w:eastAsia="宋体" w:cs="宋体"/>
          <w:spacing w:val="-3"/>
          <w:sz w:val="24"/>
          <w:szCs w:val="24"/>
        </w:rPr>
        <w:t>号（新疆</w:t>
      </w:r>
      <w:r>
        <w:rPr>
          <w:rFonts w:ascii="宋体" w:hAnsi="宋体" w:eastAsia="宋体" w:cs="宋体"/>
          <w:sz w:val="24"/>
          <w:szCs w:val="24"/>
        </w:rPr>
        <w:t xml:space="preserve"> </w:t>
      </w:r>
      <w:r>
        <w:rPr>
          <w:rFonts w:ascii="宋体" w:hAnsi="宋体" w:eastAsia="宋体" w:cs="宋体"/>
          <w:spacing w:val="-5"/>
          <w:sz w:val="24"/>
          <w:szCs w:val="24"/>
        </w:rPr>
        <w:t>出入境边防检查总站）</w:t>
      </w:r>
    </w:p>
    <w:p w14:paraId="3BD1542B">
      <w:pPr>
        <w:spacing w:before="34" w:line="185" w:lineRule="auto"/>
        <w:ind w:left="2"/>
        <w:rPr>
          <w:rFonts w:ascii="宋体" w:hAnsi="宋体" w:eastAsia="宋体" w:cs="宋体"/>
          <w:sz w:val="24"/>
          <w:szCs w:val="24"/>
        </w:rPr>
      </w:pPr>
      <w:r>
        <w:rPr>
          <w:rFonts w:ascii="宋体" w:hAnsi="宋体" w:eastAsia="宋体" w:cs="宋体"/>
          <w:spacing w:val="-3"/>
          <w:sz w:val="24"/>
          <w:szCs w:val="24"/>
        </w:rPr>
        <w:t>合同签订日期：  年</w:t>
      </w:r>
      <w:r>
        <w:rPr>
          <w:rFonts w:ascii="宋体" w:hAnsi="宋体" w:eastAsia="宋体" w:cs="宋体"/>
          <w:spacing w:val="12"/>
          <w:sz w:val="24"/>
          <w:szCs w:val="24"/>
        </w:rPr>
        <w:t xml:space="preserve">  </w:t>
      </w:r>
      <w:r>
        <w:rPr>
          <w:rFonts w:ascii="宋体" w:hAnsi="宋体" w:eastAsia="宋体" w:cs="宋体"/>
          <w:spacing w:val="-3"/>
          <w:sz w:val="24"/>
          <w:szCs w:val="24"/>
        </w:rPr>
        <w:t>月</w:t>
      </w:r>
      <w:r>
        <w:rPr>
          <w:rFonts w:ascii="宋体" w:hAnsi="宋体" w:eastAsia="宋体" w:cs="宋体"/>
          <w:spacing w:val="17"/>
          <w:sz w:val="24"/>
          <w:szCs w:val="24"/>
        </w:rPr>
        <w:t xml:space="preserve">   </w:t>
      </w:r>
      <w:r>
        <w:rPr>
          <w:rFonts w:ascii="宋体" w:hAnsi="宋体" w:eastAsia="宋体" w:cs="宋体"/>
          <w:spacing w:val="-3"/>
          <w:sz w:val="24"/>
          <w:szCs w:val="24"/>
        </w:rPr>
        <w:t>日</w:t>
      </w:r>
    </w:p>
    <w:p w14:paraId="3E3E98A8">
      <w:pPr>
        <w:pStyle w:val="20"/>
        <w:spacing w:line="14" w:lineRule="auto"/>
        <w:rPr>
          <w:sz w:val="2"/>
        </w:rPr>
      </w:pPr>
      <w:r>
        <w:rPr>
          <w:sz w:val="2"/>
          <w:szCs w:val="2"/>
        </w:rPr>
        <w:br w:type="column"/>
      </w:r>
    </w:p>
    <w:p w14:paraId="7C6B9166">
      <w:pPr>
        <w:spacing w:before="47" w:line="219" w:lineRule="auto"/>
        <w:ind w:left="25"/>
        <w:rPr>
          <w:rFonts w:ascii="宋体" w:hAnsi="宋体" w:eastAsia="宋体" w:cs="宋体"/>
          <w:sz w:val="24"/>
          <w:szCs w:val="24"/>
        </w:rPr>
      </w:pPr>
      <w:r>
        <w:rPr>
          <w:rFonts w:ascii="宋体" w:hAnsi="宋体" w:eastAsia="宋体" w:cs="宋体"/>
          <w:spacing w:val="-13"/>
          <w:sz w:val="24"/>
          <w:szCs w:val="24"/>
        </w:rPr>
        <w:t>乙方（盖章</w:t>
      </w:r>
      <w:r>
        <w:rPr>
          <w:rFonts w:ascii="宋体" w:hAnsi="宋体" w:eastAsia="宋体" w:cs="宋体"/>
          <w:spacing w:val="-6"/>
          <w:sz w:val="24"/>
          <w:szCs w:val="24"/>
        </w:rPr>
        <w:t>）：</w:t>
      </w:r>
    </w:p>
    <w:p w14:paraId="71CB0FE7">
      <w:pPr>
        <w:pStyle w:val="20"/>
        <w:spacing w:line="287" w:lineRule="auto"/>
      </w:pPr>
    </w:p>
    <w:p w14:paraId="14984BDE">
      <w:pPr>
        <w:pStyle w:val="20"/>
        <w:spacing w:line="287" w:lineRule="auto"/>
      </w:pPr>
    </w:p>
    <w:p w14:paraId="007ED722">
      <w:pPr>
        <w:spacing w:before="78" w:line="220" w:lineRule="auto"/>
        <w:ind w:left="2"/>
        <w:rPr>
          <w:rFonts w:ascii="宋体" w:hAnsi="宋体" w:eastAsia="宋体" w:cs="宋体"/>
          <w:sz w:val="24"/>
          <w:szCs w:val="24"/>
        </w:rPr>
      </w:pPr>
      <w:r>
        <w:rPr>
          <w:rFonts w:ascii="宋体" w:hAnsi="宋体" w:eastAsia="宋体" w:cs="宋体"/>
          <w:spacing w:val="-10"/>
          <w:sz w:val="24"/>
          <w:szCs w:val="24"/>
        </w:rPr>
        <w:t>法定代表人：</w:t>
      </w:r>
    </w:p>
    <w:p w14:paraId="141B1EFF">
      <w:pPr>
        <w:spacing w:before="218" w:line="383" w:lineRule="auto"/>
        <w:ind w:left="1" w:right="2312" w:firstLine="23"/>
        <w:rPr>
          <w:rFonts w:ascii="宋体" w:hAnsi="宋体" w:eastAsia="宋体" w:cs="宋体"/>
          <w:sz w:val="24"/>
          <w:szCs w:val="24"/>
        </w:rPr>
      </w:pPr>
      <w:r>
        <w:rPr>
          <w:rFonts w:ascii="宋体" w:hAnsi="宋体" w:eastAsia="宋体" w:cs="宋体"/>
          <w:spacing w:val="-10"/>
          <w:sz w:val="24"/>
          <w:szCs w:val="24"/>
        </w:rPr>
        <w:t>乙方代表（签字）：</w:t>
      </w:r>
      <w:r>
        <w:rPr>
          <w:rFonts w:ascii="宋体" w:hAnsi="宋体" w:eastAsia="宋体" w:cs="宋体"/>
          <w:sz w:val="24"/>
          <w:szCs w:val="24"/>
        </w:rPr>
        <w:t xml:space="preserve"> </w:t>
      </w:r>
    </w:p>
    <w:p w14:paraId="769CD70F">
      <w:pPr>
        <w:spacing w:before="218" w:line="383" w:lineRule="auto"/>
        <w:ind w:right="2312"/>
        <w:rPr>
          <w:rFonts w:ascii="宋体" w:hAnsi="宋体" w:eastAsia="宋体" w:cs="宋体"/>
          <w:sz w:val="24"/>
          <w:szCs w:val="24"/>
        </w:rPr>
      </w:pPr>
      <w:r>
        <w:rPr>
          <w:rFonts w:ascii="宋体" w:hAnsi="宋体" w:eastAsia="宋体" w:cs="宋体"/>
          <w:spacing w:val="-15"/>
          <w:sz w:val="24"/>
          <w:szCs w:val="24"/>
        </w:rPr>
        <w:t>地址：</w:t>
      </w:r>
    </w:p>
    <w:p w14:paraId="34D0FAA3">
      <w:pPr>
        <w:pStyle w:val="20"/>
        <w:spacing w:line="353" w:lineRule="auto"/>
      </w:pPr>
    </w:p>
    <w:p w14:paraId="636AB5C6">
      <w:pPr>
        <w:spacing w:before="79" w:line="345" w:lineRule="auto"/>
        <w:ind w:right="3752" w:firstLine="30"/>
        <w:rPr>
          <w:rFonts w:ascii="宋体" w:hAnsi="宋体" w:eastAsia="宋体" w:cs="宋体"/>
          <w:sz w:val="24"/>
          <w:szCs w:val="24"/>
        </w:rPr>
      </w:pPr>
      <w:r>
        <w:rPr>
          <w:rFonts w:ascii="宋体" w:hAnsi="宋体" w:eastAsia="宋体" w:cs="宋体"/>
          <w:spacing w:val="-31"/>
          <w:sz w:val="24"/>
          <w:szCs w:val="24"/>
        </w:rPr>
        <w:t>电话：</w:t>
      </w:r>
      <w:r>
        <w:rPr>
          <w:rFonts w:ascii="宋体" w:hAnsi="宋体" w:eastAsia="宋体" w:cs="宋体"/>
          <w:sz w:val="24"/>
          <w:szCs w:val="24"/>
        </w:rPr>
        <w:t xml:space="preserve"> </w:t>
      </w:r>
      <w:r>
        <w:rPr>
          <w:rFonts w:ascii="宋体" w:hAnsi="宋体" w:eastAsia="宋体" w:cs="宋体"/>
          <w:spacing w:val="-21"/>
          <w:sz w:val="24"/>
          <w:szCs w:val="24"/>
        </w:rPr>
        <w:t>传真：</w:t>
      </w:r>
    </w:p>
    <w:p w14:paraId="5A0D22EB">
      <w:pPr>
        <w:spacing w:before="34" w:line="347" w:lineRule="auto"/>
        <w:ind w:left="4" w:right="3272" w:hanging="2"/>
        <w:rPr>
          <w:rFonts w:ascii="宋体" w:hAnsi="宋体" w:eastAsia="宋体" w:cs="宋体"/>
          <w:sz w:val="24"/>
          <w:szCs w:val="24"/>
        </w:rPr>
      </w:pPr>
      <w:r>
        <w:rPr>
          <w:rFonts w:ascii="宋体" w:hAnsi="宋体" w:eastAsia="宋体" w:cs="宋体"/>
          <w:spacing w:val="-14"/>
          <w:sz w:val="24"/>
          <w:szCs w:val="24"/>
        </w:rPr>
        <w:t>开户银行：</w:t>
      </w:r>
      <w:r>
        <w:rPr>
          <w:rFonts w:ascii="宋体" w:hAnsi="宋体" w:eastAsia="宋体" w:cs="宋体"/>
          <w:spacing w:val="3"/>
          <w:sz w:val="24"/>
          <w:szCs w:val="24"/>
        </w:rPr>
        <w:t xml:space="preserve"> </w:t>
      </w:r>
      <w:r>
        <w:rPr>
          <w:rFonts w:ascii="宋体" w:hAnsi="宋体" w:eastAsia="宋体" w:cs="宋体"/>
          <w:spacing w:val="-28"/>
          <w:sz w:val="24"/>
          <w:szCs w:val="24"/>
        </w:rPr>
        <w:t>账</w:t>
      </w:r>
      <w:r>
        <w:rPr>
          <w:rFonts w:ascii="宋体" w:hAnsi="宋体" w:eastAsia="宋体" w:cs="宋体"/>
          <w:spacing w:val="3"/>
          <w:sz w:val="24"/>
          <w:szCs w:val="24"/>
        </w:rPr>
        <w:t xml:space="preserve">    </w:t>
      </w:r>
      <w:r>
        <w:rPr>
          <w:rFonts w:ascii="宋体" w:hAnsi="宋体" w:eastAsia="宋体" w:cs="宋体"/>
          <w:spacing w:val="-28"/>
          <w:sz w:val="24"/>
          <w:szCs w:val="24"/>
        </w:rPr>
        <w:t>号：</w:t>
      </w:r>
    </w:p>
    <w:p w14:paraId="2EE6D2FD">
      <w:pPr>
        <w:spacing w:before="33" w:line="346" w:lineRule="auto"/>
        <w:ind w:left="7" w:right="113" w:hanging="5"/>
        <w:rPr>
          <w:rFonts w:ascii="宋体" w:hAnsi="宋体" w:eastAsia="宋体" w:cs="宋体"/>
          <w:sz w:val="24"/>
          <w:szCs w:val="24"/>
        </w:rPr>
      </w:pPr>
      <w:r>
        <w:rPr>
          <w:rFonts w:ascii="宋体" w:hAnsi="宋体" w:eastAsia="宋体" w:cs="宋体"/>
          <w:spacing w:val="1"/>
          <w:sz w:val="24"/>
          <w:szCs w:val="24"/>
        </w:rPr>
        <w:t>合同订立地点：乌鲁木齐团结路</w:t>
      </w:r>
      <w:r>
        <w:rPr>
          <w:rFonts w:ascii="宋体" w:hAnsi="宋体" w:eastAsia="宋体" w:cs="宋体"/>
          <w:spacing w:val="-16"/>
          <w:sz w:val="24"/>
          <w:szCs w:val="24"/>
        </w:rPr>
        <w:t xml:space="preserve"> </w:t>
      </w:r>
      <w:r>
        <w:rPr>
          <w:rFonts w:ascii="Calibri" w:hAnsi="Calibri" w:eastAsia="Calibri" w:cs="Calibri"/>
          <w:spacing w:val="1"/>
          <w:sz w:val="24"/>
          <w:szCs w:val="24"/>
        </w:rPr>
        <w:t>1551</w:t>
      </w:r>
      <w:r>
        <w:rPr>
          <w:rFonts w:ascii="Calibri" w:hAnsi="Calibri" w:eastAsia="Calibri" w:cs="Calibri"/>
          <w:spacing w:val="27"/>
          <w:w w:val="101"/>
          <w:sz w:val="24"/>
          <w:szCs w:val="24"/>
        </w:rPr>
        <w:t xml:space="preserve"> </w:t>
      </w:r>
      <w:r>
        <w:rPr>
          <w:rFonts w:ascii="宋体" w:hAnsi="宋体" w:eastAsia="宋体" w:cs="宋体"/>
          <w:spacing w:val="1"/>
          <w:sz w:val="24"/>
          <w:szCs w:val="24"/>
        </w:rPr>
        <w:t>号</w:t>
      </w:r>
      <w:r>
        <w:rPr>
          <w:rFonts w:ascii="宋体" w:hAnsi="宋体" w:eastAsia="宋体" w:cs="宋体"/>
          <w:sz w:val="24"/>
          <w:szCs w:val="24"/>
        </w:rPr>
        <w:t xml:space="preserve"> </w:t>
      </w:r>
      <w:r>
        <w:rPr>
          <w:rFonts w:ascii="宋体" w:hAnsi="宋体" w:eastAsia="宋体" w:cs="宋体"/>
          <w:spacing w:val="-3"/>
          <w:sz w:val="24"/>
          <w:szCs w:val="24"/>
        </w:rPr>
        <w:t>（新疆出入境边防检查总站）</w:t>
      </w:r>
    </w:p>
    <w:p w14:paraId="62E87E04">
      <w:pPr>
        <w:spacing w:before="34" w:line="185" w:lineRule="auto"/>
        <w:ind w:left="2"/>
        <w:rPr>
          <w:rFonts w:ascii="宋体" w:hAnsi="宋体" w:eastAsia="宋体" w:cs="宋体"/>
          <w:sz w:val="24"/>
          <w:szCs w:val="24"/>
        </w:rPr>
      </w:pPr>
      <w:r>
        <w:rPr>
          <w:rFonts w:ascii="宋体" w:hAnsi="宋体" w:eastAsia="宋体" w:cs="宋体"/>
          <w:spacing w:val="-2"/>
          <w:sz w:val="24"/>
          <w:szCs w:val="24"/>
        </w:rPr>
        <w:t>合同签订日期：    年</w:t>
      </w:r>
      <w:r>
        <w:rPr>
          <w:rFonts w:ascii="宋体" w:hAnsi="宋体" w:eastAsia="宋体" w:cs="宋体"/>
          <w:spacing w:val="8"/>
          <w:sz w:val="24"/>
          <w:szCs w:val="24"/>
        </w:rPr>
        <w:t xml:space="preserve">  </w:t>
      </w:r>
      <w:r>
        <w:rPr>
          <w:rFonts w:ascii="宋体" w:hAnsi="宋体" w:eastAsia="宋体" w:cs="宋体"/>
          <w:spacing w:val="-2"/>
          <w:sz w:val="24"/>
          <w:szCs w:val="24"/>
        </w:rPr>
        <w:t>月</w:t>
      </w:r>
      <w:r>
        <w:rPr>
          <w:rFonts w:ascii="宋体" w:hAnsi="宋体" w:eastAsia="宋体" w:cs="宋体"/>
          <w:spacing w:val="17"/>
          <w:sz w:val="24"/>
          <w:szCs w:val="24"/>
        </w:rPr>
        <w:t xml:space="preserve">   </w:t>
      </w:r>
      <w:r>
        <w:rPr>
          <w:rFonts w:ascii="宋体" w:hAnsi="宋体" w:eastAsia="宋体" w:cs="宋体"/>
          <w:spacing w:val="-2"/>
          <w:sz w:val="24"/>
          <w:szCs w:val="24"/>
        </w:rPr>
        <w:t>日</w:t>
      </w:r>
    </w:p>
    <w:p w14:paraId="6A74D775">
      <w:pPr>
        <w:spacing w:line="185" w:lineRule="auto"/>
        <w:rPr>
          <w:rFonts w:ascii="宋体" w:hAnsi="宋体" w:eastAsia="宋体" w:cs="宋体"/>
          <w:sz w:val="24"/>
          <w:szCs w:val="24"/>
        </w:rPr>
        <w:sectPr>
          <w:type w:val="continuous"/>
          <w:pgSz w:w="11906" w:h="16839"/>
          <w:pgMar w:top="1123" w:right="1117" w:bottom="1260" w:left="1238" w:header="0" w:footer="1102" w:gutter="0"/>
          <w:pgNumType w:fmt="decimal"/>
          <w:cols w:equalWidth="0" w:num="2">
            <w:col w:w="5040" w:space="100"/>
            <w:col w:w="4410"/>
          </w:cols>
        </w:sectPr>
      </w:pPr>
    </w:p>
    <w:p w14:paraId="6F36140B">
      <w:pPr>
        <w:pStyle w:val="20"/>
        <w:spacing w:line="425" w:lineRule="auto"/>
      </w:pPr>
    </w:p>
    <w:p w14:paraId="7DF7573D">
      <w:pPr>
        <w:spacing w:line="360" w:lineRule="auto"/>
        <w:ind w:firstLine="723"/>
        <w:jc w:val="center"/>
        <w:outlineLvl w:val="0"/>
        <w:rPr>
          <w:rFonts w:ascii="宋体" w:hAnsi="宋体" w:eastAsia="宋体" w:cs="仿宋"/>
          <w:b/>
          <w:bCs/>
          <w:sz w:val="36"/>
          <w:szCs w:val="20"/>
        </w:rPr>
      </w:pPr>
      <w:r>
        <w:rPr>
          <w:rFonts w:hint="eastAsia" w:ascii="宋体" w:hAnsi="宋体" w:eastAsia="宋体" w:cs="仿宋"/>
          <w:b/>
          <w:bCs/>
          <w:sz w:val="36"/>
          <w:szCs w:val="20"/>
        </w:rPr>
        <w:t>第</w:t>
      </w:r>
      <w:r>
        <w:rPr>
          <w:rFonts w:hint="eastAsia" w:ascii="宋体" w:hAnsi="宋体" w:eastAsia="宋体" w:cs="仿宋"/>
          <w:b/>
          <w:bCs/>
          <w:sz w:val="36"/>
          <w:szCs w:val="20"/>
          <w:lang w:val="en-US" w:eastAsia="zh-CN"/>
        </w:rPr>
        <w:t>五</w:t>
      </w:r>
      <w:r>
        <w:rPr>
          <w:rFonts w:hint="eastAsia" w:ascii="宋体" w:hAnsi="宋体" w:eastAsia="宋体" w:cs="仿宋"/>
          <w:b/>
          <w:bCs/>
          <w:sz w:val="36"/>
          <w:szCs w:val="20"/>
        </w:rPr>
        <w:t>章、响应文件格式</w:t>
      </w:r>
      <w:bookmarkEnd w:id="68"/>
      <w:bookmarkEnd w:id="69"/>
      <w:bookmarkEnd w:id="70"/>
      <w:bookmarkEnd w:id="71"/>
    </w:p>
    <w:p w14:paraId="6B5028F9">
      <w:pPr>
        <w:autoSpaceDE w:val="0"/>
        <w:autoSpaceDN w:val="0"/>
        <w:adjustRightInd w:val="0"/>
        <w:spacing w:line="360" w:lineRule="auto"/>
        <w:ind w:firstLine="1400" w:firstLineChars="200"/>
        <w:rPr>
          <w:rFonts w:ascii="宋体" w:hAnsi="宋体" w:eastAsia="宋体" w:cs="仿宋"/>
          <w:kern w:val="0"/>
          <w:sz w:val="70"/>
          <w:szCs w:val="20"/>
        </w:rPr>
      </w:pPr>
    </w:p>
    <w:p w14:paraId="77631A30">
      <w:pPr>
        <w:spacing w:line="360" w:lineRule="auto"/>
        <w:ind w:firstLine="1040"/>
        <w:rPr>
          <w:rFonts w:ascii="宋体" w:hAnsi="宋体" w:eastAsia="宋体" w:cs="仿宋"/>
          <w:sz w:val="72"/>
          <w:szCs w:val="20"/>
        </w:rPr>
      </w:pPr>
      <w:r>
        <w:rPr>
          <w:rFonts w:hint="eastAsia" w:ascii="宋体" w:hAnsi="宋体" w:eastAsia="宋体" w:cs="仿宋"/>
          <w:sz w:val="52"/>
          <w:szCs w:val="52"/>
          <w:u w:val="single"/>
        </w:rPr>
        <w:t xml:space="preserve"> </w:t>
      </w:r>
      <w:r>
        <w:rPr>
          <w:rFonts w:hint="eastAsia" w:ascii="宋体" w:hAnsi="宋体" w:eastAsia="宋体" w:cs="仿宋"/>
          <w:sz w:val="72"/>
          <w:szCs w:val="20"/>
          <w:u w:val="single"/>
        </w:rPr>
        <w:t xml:space="preserve">              </w:t>
      </w:r>
      <w:r>
        <w:rPr>
          <w:rFonts w:hint="eastAsia" w:ascii="宋体" w:hAnsi="宋体" w:eastAsia="宋体" w:cs="仿宋"/>
          <w:sz w:val="72"/>
          <w:szCs w:val="20"/>
        </w:rPr>
        <w:t>项目</w:t>
      </w:r>
    </w:p>
    <w:p w14:paraId="571C6605">
      <w:pPr>
        <w:spacing w:line="360" w:lineRule="auto"/>
        <w:ind w:firstLine="1440"/>
        <w:jc w:val="center"/>
        <w:rPr>
          <w:rFonts w:ascii="宋体" w:hAnsi="宋体" w:eastAsia="宋体" w:cs="仿宋"/>
          <w:sz w:val="72"/>
          <w:szCs w:val="20"/>
        </w:rPr>
      </w:pPr>
    </w:p>
    <w:p w14:paraId="07C0CA35">
      <w:pPr>
        <w:spacing w:line="360" w:lineRule="auto"/>
        <w:ind w:firstLine="1440"/>
        <w:rPr>
          <w:rFonts w:ascii="宋体" w:hAnsi="宋体" w:eastAsia="宋体" w:cs="仿宋"/>
          <w:szCs w:val="20"/>
        </w:rPr>
      </w:pPr>
      <w:r>
        <w:rPr>
          <w:rFonts w:hint="eastAsia" w:ascii="宋体" w:hAnsi="宋体" w:eastAsia="宋体" w:cs="仿宋"/>
          <w:sz w:val="72"/>
          <w:szCs w:val="20"/>
        </w:rPr>
        <w:t>响应文件</w:t>
      </w:r>
    </w:p>
    <w:p w14:paraId="23B26A25">
      <w:pPr>
        <w:spacing w:line="360" w:lineRule="auto"/>
        <w:ind w:firstLine="420"/>
        <w:rPr>
          <w:rFonts w:ascii="宋体" w:hAnsi="宋体" w:eastAsia="宋体" w:cs="仿宋"/>
          <w:szCs w:val="20"/>
        </w:rPr>
      </w:pPr>
    </w:p>
    <w:p w14:paraId="1291F72B">
      <w:pPr>
        <w:spacing w:line="360" w:lineRule="auto"/>
        <w:ind w:firstLine="420"/>
        <w:rPr>
          <w:rFonts w:ascii="宋体" w:hAnsi="宋体" w:eastAsia="宋体" w:cs="仿宋"/>
          <w:szCs w:val="20"/>
        </w:rPr>
      </w:pPr>
    </w:p>
    <w:p w14:paraId="2DC90E43">
      <w:pPr>
        <w:spacing w:line="360" w:lineRule="auto"/>
        <w:ind w:firstLine="880"/>
        <w:rPr>
          <w:rFonts w:ascii="宋体" w:hAnsi="宋体" w:eastAsia="宋体" w:cs="仿宋"/>
          <w:sz w:val="44"/>
          <w:szCs w:val="20"/>
        </w:rPr>
      </w:pPr>
    </w:p>
    <w:p w14:paraId="5B81D372">
      <w:pPr>
        <w:snapToGrid w:val="0"/>
        <w:spacing w:line="360" w:lineRule="auto"/>
        <w:ind w:firstLine="880"/>
        <w:rPr>
          <w:rFonts w:ascii="宋体" w:hAnsi="宋体" w:eastAsia="宋体" w:cs="仿宋"/>
          <w:sz w:val="44"/>
          <w:szCs w:val="20"/>
        </w:rPr>
      </w:pPr>
      <w:r>
        <w:rPr>
          <w:rFonts w:hint="eastAsia" w:ascii="宋体" w:hAnsi="宋体" w:eastAsia="宋体" w:cs="仿宋"/>
          <w:sz w:val="44"/>
          <w:szCs w:val="20"/>
        </w:rPr>
        <w:t>项目名称：</w:t>
      </w:r>
    </w:p>
    <w:p w14:paraId="0C285F82">
      <w:pPr>
        <w:snapToGrid w:val="0"/>
        <w:spacing w:line="360" w:lineRule="auto"/>
        <w:ind w:firstLine="880"/>
        <w:rPr>
          <w:rFonts w:ascii="宋体" w:hAnsi="宋体" w:eastAsia="宋体" w:cs="仿宋"/>
          <w:sz w:val="44"/>
          <w:szCs w:val="20"/>
        </w:rPr>
      </w:pPr>
      <w:r>
        <w:rPr>
          <w:rFonts w:hint="eastAsia" w:ascii="宋体" w:hAnsi="宋体" w:eastAsia="宋体" w:cs="仿宋"/>
          <w:sz w:val="44"/>
          <w:szCs w:val="20"/>
        </w:rPr>
        <w:t>项目编号：</w:t>
      </w:r>
    </w:p>
    <w:p w14:paraId="72D9E400">
      <w:pPr>
        <w:snapToGrid w:val="0"/>
        <w:spacing w:line="360" w:lineRule="auto"/>
        <w:ind w:firstLine="880"/>
        <w:rPr>
          <w:rFonts w:ascii="宋体" w:hAnsi="宋体" w:eastAsia="宋体" w:cs="仿宋"/>
          <w:sz w:val="44"/>
          <w:szCs w:val="20"/>
        </w:rPr>
      </w:pPr>
      <w:r>
        <w:rPr>
          <w:rFonts w:hint="eastAsia" w:ascii="宋体" w:hAnsi="宋体" w:eastAsia="宋体" w:cs="仿宋"/>
          <w:sz w:val="44"/>
          <w:szCs w:val="20"/>
        </w:rPr>
        <w:t>供应商名称：（加盖公章）</w:t>
      </w:r>
    </w:p>
    <w:p w14:paraId="66DE4FD0">
      <w:pPr>
        <w:snapToGrid w:val="0"/>
        <w:spacing w:line="360" w:lineRule="auto"/>
        <w:ind w:firstLine="880"/>
        <w:rPr>
          <w:rFonts w:ascii="宋体" w:hAnsi="宋体" w:eastAsia="宋体" w:cs="仿宋"/>
          <w:sz w:val="44"/>
          <w:szCs w:val="20"/>
        </w:rPr>
      </w:pPr>
      <w:r>
        <w:rPr>
          <w:rFonts w:hint="eastAsia" w:ascii="宋体" w:hAnsi="宋体" w:eastAsia="宋体" w:cs="仿宋"/>
          <w:sz w:val="44"/>
          <w:szCs w:val="20"/>
        </w:rPr>
        <w:t>授权委托人：（签字）</w:t>
      </w:r>
    </w:p>
    <w:p w14:paraId="2A788C55">
      <w:pPr>
        <w:snapToGrid w:val="0"/>
        <w:spacing w:line="360" w:lineRule="auto"/>
        <w:ind w:firstLine="880"/>
        <w:rPr>
          <w:rFonts w:ascii="宋体" w:hAnsi="宋体" w:eastAsia="宋体" w:cs="仿宋"/>
          <w:szCs w:val="20"/>
        </w:rPr>
      </w:pPr>
      <w:r>
        <w:rPr>
          <w:rFonts w:hint="eastAsia" w:ascii="宋体" w:hAnsi="宋体" w:eastAsia="宋体" w:cs="仿宋"/>
          <w:sz w:val="44"/>
          <w:szCs w:val="20"/>
        </w:rPr>
        <w:t>联系方式：</w:t>
      </w:r>
    </w:p>
    <w:p w14:paraId="4E64D716">
      <w:pPr>
        <w:spacing w:line="360" w:lineRule="auto"/>
        <w:ind w:firstLine="640"/>
        <w:rPr>
          <w:rFonts w:ascii="宋体" w:hAnsi="宋体" w:eastAsia="宋体" w:cs="仿宋"/>
          <w:sz w:val="32"/>
          <w:szCs w:val="20"/>
        </w:rPr>
      </w:pPr>
    </w:p>
    <w:p w14:paraId="37C5F7FD">
      <w:pPr>
        <w:spacing w:line="360" w:lineRule="auto"/>
        <w:ind w:firstLine="640"/>
        <w:rPr>
          <w:rFonts w:ascii="宋体" w:hAnsi="宋体" w:eastAsia="宋体" w:cs="仿宋"/>
          <w:sz w:val="32"/>
          <w:szCs w:val="20"/>
        </w:rPr>
      </w:pPr>
    </w:p>
    <w:p w14:paraId="42CC1814">
      <w:pPr>
        <w:spacing w:line="360" w:lineRule="auto"/>
        <w:ind w:firstLine="720"/>
        <w:jc w:val="center"/>
        <w:rPr>
          <w:rFonts w:ascii="宋体" w:hAnsi="宋体" w:eastAsia="宋体" w:cs="仿宋"/>
          <w:sz w:val="36"/>
          <w:szCs w:val="20"/>
        </w:rPr>
      </w:pPr>
      <w:r>
        <w:rPr>
          <w:rFonts w:hint="eastAsia" w:ascii="宋体" w:hAnsi="宋体" w:eastAsia="宋体" w:cs="仿宋"/>
          <w:sz w:val="36"/>
          <w:szCs w:val="20"/>
        </w:rPr>
        <w:t>年      月      日</w:t>
      </w:r>
    </w:p>
    <w:p w14:paraId="4D839BCD">
      <w:pPr>
        <w:spacing w:before="1560" w:after="120" w:line="520" w:lineRule="exact"/>
        <w:ind w:firstLine="723"/>
        <w:jc w:val="center"/>
        <w:outlineLvl w:val="1"/>
        <w:rPr>
          <w:rFonts w:ascii="宋体" w:hAnsi="宋体" w:eastAsia="宋体" w:cs="仿宋"/>
          <w:b/>
          <w:kern w:val="0"/>
          <w:sz w:val="28"/>
          <w:szCs w:val="24"/>
        </w:rPr>
      </w:pPr>
      <w:r>
        <w:rPr>
          <w:rFonts w:hint="eastAsia" w:ascii="宋体" w:hAnsi="宋体" w:eastAsia="宋体" w:cs="仿宋"/>
          <w:b/>
          <w:kern w:val="0"/>
          <w:sz w:val="36"/>
          <w:szCs w:val="24"/>
        </w:rPr>
        <w:br w:type="page"/>
      </w:r>
      <w:bookmarkStart w:id="72" w:name="_Toc11111"/>
      <w:bookmarkStart w:id="73" w:name="_Toc405"/>
      <w:bookmarkStart w:id="74" w:name="_Toc195529424"/>
      <w:bookmarkStart w:id="75" w:name="_Toc56170393"/>
      <w:r>
        <w:rPr>
          <w:rFonts w:hint="eastAsia" w:ascii="宋体" w:hAnsi="宋体" w:eastAsia="宋体" w:cs="仿宋"/>
          <w:b/>
          <w:kern w:val="0"/>
          <w:sz w:val="28"/>
          <w:szCs w:val="24"/>
        </w:rPr>
        <w:t>附件一、投标书</w:t>
      </w:r>
      <w:bookmarkEnd w:id="72"/>
      <w:bookmarkEnd w:id="73"/>
      <w:bookmarkEnd w:id="74"/>
      <w:bookmarkEnd w:id="75"/>
    </w:p>
    <w:p w14:paraId="4D3B905D">
      <w:pPr>
        <w:spacing w:line="360" w:lineRule="auto"/>
        <w:ind w:firstLine="560"/>
        <w:rPr>
          <w:rFonts w:ascii="宋体" w:hAnsi="宋体" w:eastAsia="宋体" w:cs="仿宋"/>
          <w:sz w:val="28"/>
          <w:szCs w:val="16"/>
        </w:rPr>
      </w:pPr>
      <w:r>
        <w:rPr>
          <w:rFonts w:hint="eastAsia" w:ascii="宋体" w:hAnsi="宋体" w:eastAsia="宋体" w:cs="仿宋"/>
          <w:sz w:val="28"/>
          <w:szCs w:val="16"/>
          <w:lang w:eastAsia="zh-CN"/>
        </w:rPr>
        <w:t>中华人民共和国新疆出入境边防检查总站</w:t>
      </w:r>
      <w:r>
        <w:rPr>
          <w:rFonts w:hint="eastAsia" w:ascii="宋体" w:hAnsi="宋体" w:eastAsia="宋体" w:cs="仿宋"/>
          <w:sz w:val="28"/>
          <w:szCs w:val="16"/>
        </w:rPr>
        <w:t>：</w:t>
      </w:r>
    </w:p>
    <w:p w14:paraId="0F8EC2E4">
      <w:pPr>
        <w:spacing w:line="360" w:lineRule="auto"/>
        <w:ind w:firstLine="560"/>
        <w:rPr>
          <w:rFonts w:ascii="宋体" w:hAnsi="宋体" w:eastAsia="宋体" w:cs="仿宋"/>
          <w:sz w:val="28"/>
          <w:szCs w:val="20"/>
        </w:rPr>
      </w:pPr>
      <w:r>
        <w:rPr>
          <w:rFonts w:hint="eastAsia" w:ascii="宋体" w:hAnsi="宋体" w:eastAsia="宋体" w:cs="仿宋"/>
          <w:sz w:val="28"/>
          <w:szCs w:val="20"/>
        </w:rPr>
        <w:t>我方己仔细研究了</w:t>
      </w:r>
      <w:r>
        <w:rPr>
          <w:rFonts w:hint="eastAsia" w:ascii="宋体" w:hAnsi="宋体" w:eastAsia="宋体" w:cs="仿宋"/>
          <w:sz w:val="28"/>
          <w:szCs w:val="20"/>
          <w:u w:val="single"/>
        </w:rPr>
        <w:t xml:space="preserve">                 (项目名称)</w:t>
      </w:r>
      <w:r>
        <w:rPr>
          <w:rFonts w:hint="eastAsia" w:ascii="宋体" w:hAnsi="宋体" w:eastAsia="宋体" w:cs="仿宋"/>
          <w:sz w:val="28"/>
          <w:szCs w:val="20"/>
        </w:rPr>
        <w:t>的竞争性谈判文件（项目编号：</w:t>
      </w:r>
      <w:r>
        <w:rPr>
          <w:rFonts w:hint="eastAsia" w:ascii="宋体" w:hAnsi="宋体" w:eastAsia="宋体" w:cs="仿宋"/>
          <w:sz w:val="28"/>
          <w:szCs w:val="20"/>
          <w:u w:val="single"/>
        </w:rPr>
        <w:t xml:space="preserve">           </w:t>
      </w:r>
      <w:r>
        <w:rPr>
          <w:rFonts w:hint="eastAsia" w:ascii="宋体" w:hAnsi="宋体" w:eastAsia="宋体" w:cs="仿宋"/>
          <w:sz w:val="28"/>
          <w:szCs w:val="20"/>
        </w:rPr>
        <w:t>）的全部内容，知悉参加投标的风险，我方承诺接受竞争性谈判文件的全部条款且无任何异议。</w:t>
      </w:r>
    </w:p>
    <w:p w14:paraId="195A453D">
      <w:pPr>
        <w:spacing w:line="360" w:lineRule="auto"/>
        <w:ind w:firstLine="560"/>
        <w:rPr>
          <w:rFonts w:ascii="宋体" w:hAnsi="宋体" w:eastAsia="宋体" w:cs="仿宋"/>
          <w:sz w:val="28"/>
          <w:szCs w:val="20"/>
        </w:rPr>
      </w:pPr>
      <w:r>
        <w:rPr>
          <w:rFonts w:hint="eastAsia" w:ascii="宋体" w:hAnsi="宋体" w:eastAsia="宋体" w:cs="仿宋"/>
          <w:sz w:val="28"/>
          <w:szCs w:val="20"/>
        </w:rPr>
        <w:t>⒈按照谈判文件中的一切要求，提供谈判本项目所需的服务，</w:t>
      </w:r>
    </w:p>
    <w:p w14:paraId="698E00C9">
      <w:pPr>
        <w:spacing w:line="360" w:lineRule="auto"/>
        <w:ind w:firstLine="560"/>
        <w:rPr>
          <w:rFonts w:ascii="宋体" w:hAnsi="宋体" w:eastAsia="宋体" w:cs="仿宋"/>
          <w:sz w:val="28"/>
          <w:szCs w:val="20"/>
          <w:u w:val="single"/>
        </w:rPr>
      </w:pPr>
      <w:r>
        <w:rPr>
          <w:rFonts w:hint="eastAsia" w:ascii="宋体" w:hAnsi="宋体" w:eastAsia="宋体" w:cs="仿宋"/>
          <w:sz w:val="28"/>
          <w:szCs w:val="20"/>
        </w:rPr>
        <w:t>谈判总价</w:t>
      </w:r>
      <w:r>
        <w:rPr>
          <w:rFonts w:hint="eastAsia" w:ascii="宋体" w:hAnsi="宋体" w:eastAsia="宋体" w:cs="仿宋"/>
          <w:sz w:val="28"/>
          <w:szCs w:val="20"/>
          <w:u w:val="single"/>
        </w:rPr>
        <w:t xml:space="preserve"> </w:t>
      </w:r>
      <w:r>
        <w:rPr>
          <w:rFonts w:ascii="宋体" w:hAnsi="宋体" w:eastAsia="宋体" w:cs="仿宋"/>
          <w:sz w:val="28"/>
          <w:szCs w:val="20"/>
          <w:u w:val="single"/>
        </w:rPr>
        <w:t xml:space="preserve">          </w:t>
      </w:r>
      <w:r>
        <w:rPr>
          <w:rFonts w:hint="eastAsia" w:ascii="宋体" w:hAnsi="宋体" w:eastAsia="宋体" w:cs="仿宋"/>
          <w:sz w:val="28"/>
          <w:szCs w:val="20"/>
          <w:u w:val="single"/>
        </w:rPr>
        <w:t xml:space="preserve"> </w:t>
      </w:r>
      <w:r>
        <w:rPr>
          <w:rFonts w:hint="eastAsia" w:ascii="宋体" w:hAnsi="宋体" w:eastAsia="宋体" w:cs="仿宋"/>
          <w:sz w:val="28"/>
          <w:szCs w:val="20"/>
        </w:rPr>
        <w:t>（元），工期：</w:t>
      </w:r>
      <w:r>
        <w:rPr>
          <w:rFonts w:hint="eastAsia" w:ascii="宋体" w:hAnsi="宋体" w:eastAsia="宋体" w:cs="仿宋"/>
          <w:sz w:val="28"/>
          <w:szCs w:val="20"/>
          <w:u w:val="single"/>
        </w:rPr>
        <w:t xml:space="preserve"> </w:t>
      </w:r>
      <w:r>
        <w:rPr>
          <w:rFonts w:ascii="宋体" w:hAnsi="宋体" w:eastAsia="宋体" w:cs="仿宋"/>
          <w:sz w:val="28"/>
          <w:szCs w:val="20"/>
          <w:u w:val="single"/>
        </w:rPr>
        <w:t xml:space="preserve">         </w:t>
      </w:r>
      <w:r>
        <w:rPr>
          <w:rFonts w:hint="eastAsia" w:ascii="宋体" w:hAnsi="宋体" w:eastAsia="宋体" w:cs="仿宋"/>
          <w:sz w:val="28"/>
          <w:szCs w:val="20"/>
        </w:rPr>
        <w:t>，项目负责人：</w:t>
      </w:r>
      <w:r>
        <w:rPr>
          <w:rFonts w:hint="eastAsia" w:ascii="宋体" w:hAnsi="宋体" w:eastAsia="宋体" w:cs="仿宋"/>
          <w:sz w:val="28"/>
          <w:szCs w:val="20"/>
          <w:u w:val="single"/>
        </w:rPr>
        <w:t xml:space="preserve"> </w:t>
      </w:r>
      <w:r>
        <w:rPr>
          <w:rFonts w:ascii="宋体" w:hAnsi="宋体" w:eastAsia="宋体" w:cs="仿宋"/>
          <w:sz w:val="28"/>
          <w:szCs w:val="20"/>
          <w:u w:val="single"/>
        </w:rPr>
        <w:t xml:space="preserve">       </w:t>
      </w:r>
    </w:p>
    <w:p w14:paraId="28A09A15">
      <w:pPr>
        <w:spacing w:line="360" w:lineRule="auto"/>
        <w:ind w:firstLine="560" w:firstLineChars="200"/>
        <w:rPr>
          <w:rFonts w:ascii="宋体" w:hAnsi="宋体" w:eastAsia="宋体" w:cs="仿宋"/>
          <w:sz w:val="28"/>
          <w:szCs w:val="20"/>
        </w:rPr>
      </w:pPr>
      <w:r>
        <w:rPr>
          <w:rFonts w:hint="eastAsia" w:ascii="宋体" w:hAnsi="宋体" w:eastAsia="宋体" w:cs="仿宋"/>
          <w:sz w:val="28"/>
          <w:szCs w:val="20"/>
        </w:rPr>
        <w:t>⒉若我方中标，承诺将履行谈判文件中规定的每一项要求，按期、按质、按量完成服务。</w:t>
      </w:r>
    </w:p>
    <w:p w14:paraId="64DFB0C0">
      <w:pPr>
        <w:spacing w:line="360" w:lineRule="auto"/>
        <w:ind w:firstLine="560" w:firstLineChars="200"/>
        <w:rPr>
          <w:rFonts w:ascii="宋体" w:hAnsi="宋体" w:eastAsia="宋体" w:cs="仿宋"/>
          <w:sz w:val="28"/>
          <w:szCs w:val="20"/>
        </w:rPr>
      </w:pPr>
      <w:r>
        <w:rPr>
          <w:rFonts w:hint="eastAsia" w:ascii="宋体" w:hAnsi="宋体" w:eastAsia="宋体" w:cs="仿宋"/>
          <w:sz w:val="28"/>
          <w:szCs w:val="20"/>
        </w:rPr>
        <w:t>⒊我方同意在竞争性谈判文件中规定的提交应答文件截止时间起</w:t>
      </w:r>
      <w:r>
        <w:rPr>
          <w:rFonts w:ascii="宋体" w:hAnsi="宋体" w:eastAsia="宋体" w:cs="仿宋"/>
          <w:sz w:val="28"/>
          <w:szCs w:val="20"/>
          <w:u w:val="single"/>
        </w:rPr>
        <w:t xml:space="preserve">   </w:t>
      </w:r>
      <w:r>
        <w:rPr>
          <w:rFonts w:hint="eastAsia" w:ascii="宋体" w:hAnsi="宋体" w:eastAsia="宋体" w:cs="仿宋"/>
          <w:sz w:val="28"/>
          <w:szCs w:val="20"/>
        </w:rPr>
        <w:t>日内(应答文件有效期)遵守本应答文件中的承诺且在此期限期满之前均具有法律约束力。</w:t>
      </w:r>
    </w:p>
    <w:p w14:paraId="531C7A36">
      <w:pPr>
        <w:spacing w:line="360" w:lineRule="auto"/>
        <w:ind w:firstLine="560" w:firstLineChars="200"/>
        <w:rPr>
          <w:rFonts w:ascii="宋体" w:hAnsi="宋体" w:eastAsia="宋体" w:cs="仿宋"/>
          <w:sz w:val="28"/>
          <w:szCs w:val="20"/>
        </w:rPr>
      </w:pPr>
      <w:r>
        <w:rPr>
          <w:rFonts w:hint="eastAsia" w:ascii="宋体" w:hAnsi="宋体" w:eastAsia="宋体" w:cs="仿宋"/>
          <w:sz w:val="28"/>
          <w:szCs w:val="20"/>
        </w:rPr>
        <w:t>⒋我方提交应答文件一份，并保证应答文件提供的数据和材料是真实、准确的。否则，愿承担《政府采购法》第七十七条规定的法律责任。。</w:t>
      </w:r>
    </w:p>
    <w:p w14:paraId="6E1C05E9">
      <w:pPr>
        <w:spacing w:line="360" w:lineRule="auto"/>
        <w:ind w:firstLine="560" w:firstLineChars="200"/>
        <w:rPr>
          <w:rFonts w:ascii="宋体" w:hAnsi="宋体" w:eastAsia="宋体" w:cs="仿宋"/>
          <w:sz w:val="28"/>
          <w:szCs w:val="20"/>
        </w:rPr>
      </w:pPr>
      <w:r>
        <w:rPr>
          <w:rFonts w:hint="eastAsia" w:ascii="宋体" w:hAnsi="宋体" w:eastAsia="宋体" w:cs="仿宋"/>
          <w:sz w:val="28"/>
          <w:szCs w:val="20"/>
        </w:rPr>
        <w:t>⒌我方完全理解贵方不一定接受最低价的投标或收到的任何投标的约束。</w:t>
      </w:r>
    </w:p>
    <w:p w14:paraId="1AE1F212">
      <w:pPr>
        <w:spacing w:line="360" w:lineRule="auto"/>
        <w:ind w:firstLine="560" w:firstLineChars="200"/>
        <w:rPr>
          <w:rFonts w:ascii="宋体" w:hAnsi="宋体" w:eastAsia="宋体" w:cs="仿宋"/>
          <w:sz w:val="28"/>
          <w:szCs w:val="20"/>
        </w:rPr>
      </w:pPr>
      <w:r>
        <w:rPr>
          <w:rFonts w:hint="eastAsia" w:ascii="宋体" w:hAnsi="宋体" w:eastAsia="宋体" w:cs="仿宋"/>
          <w:sz w:val="28"/>
          <w:szCs w:val="20"/>
        </w:rPr>
        <w:t>⒍我方承诺遵守《政府采购法》的有关规定，保证在获得中标资格后，按照竞争性谈判文件确定的事项签订政府采购合同，履行双方所签订的合同，并承担合同规定的责任和义务。</w:t>
      </w:r>
    </w:p>
    <w:p w14:paraId="0E390207">
      <w:pPr>
        <w:spacing w:line="360" w:lineRule="auto"/>
        <w:ind w:firstLine="560" w:firstLineChars="200"/>
        <w:rPr>
          <w:rFonts w:ascii="宋体" w:hAnsi="宋体" w:eastAsia="宋体" w:cs="仿宋"/>
          <w:sz w:val="28"/>
          <w:szCs w:val="20"/>
        </w:rPr>
      </w:pPr>
      <w:r>
        <w:rPr>
          <w:rFonts w:hint="eastAsia" w:ascii="宋体" w:hAnsi="宋体" w:eastAsia="宋体" w:cs="仿宋"/>
          <w:sz w:val="28"/>
          <w:szCs w:val="20"/>
        </w:rPr>
        <w:t>⒎我方愿意遵守国家有关规定及谈判文件中规定的收费标准，承付成交服务费。</w:t>
      </w:r>
    </w:p>
    <w:p w14:paraId="7A8A21A7">
      <w:pPr>
        <w:spacing w:line="360" w:lineRule="auto"/>
        <w:ind w:firstLine="560" w:firstLineChars="200"/>
        <w:rPr>
          <w:rFonts w:ascii="宋体" w:hAnsi="宋体" w:eastAsia="宋体" w:cs="仿宋"/>
          <w:sz w:val="28"/>
          <w:szCs w:val="20"/>
        </w:rPr>
      </w:pPr>
      <w:r>
        <w:rPr>
          <w:rFonts w:hint="eastAsia" w:ascii="宋体" w:hAnsi="宋体" w:eastAsia="宋体" w:cs="仿宋"/>
          <w:sz w:val="28"/>
          <w:szCs w:val="20"/>
        </w:rPr>
        <w:t>⒏该项谈判在谈判后的全过程中保持有效，不作任何更改和变动。</w:t>
      </w:r>
    </w:p>
    <w:p w14:paraId="546576F4">
      <w:pPr>
        <w:spacing w:line="360" w:lineRule="auto"/>
        <w:ind w:firstLine="560" w:firstLineChars="200"/>
        <w:rPr>
          <w:rFonts w:ascii="宋体" w:hAnsi="宋体" w:eastAsia="宋体" w:cs="仿宋"/>
          <w:sz w:val="28"/>
          <w:szCs w:val="20"/>
          <w:u w:val="single"/>
        </w:rPr>
      </w:pPr>
      <w:r>
        <w:rPr>
          <w:rFonts w:hint="eastAsia" w:ascii="宋体" w:hAnsi="宋体" w:eastAsia="宋体" w:cs="仿宋"/>
          <w:sz w:val="28"/>
          <w:szCs w:val="20"/>
        </w:rPr>
        <w:t>9.所有有关本标书的函电，请按下列地址联系：</w:t>
      </w:r>
      <w:r>
        <w:rPr>
          <w:rFonts w:hint="eastAsia" w:ascii="宋体" w:hAnsi="宋体" w:eastAsia="宋体" w:cs="仿宋"/>
          <w:sz w:val="28"/>
          <w:szCs w:val="20"/>
          <w:u w:val="single"/>
        </w:rPr>
        <w:t xml:space="preserve"> </w:t>
      </w:r>
      <w:r>
        <w:rPr>
          <w:rFonts w:ascii="宋体" w:hAnsi="宋体" w:eastAsia="宋体" w:cs="仿宋"/>
          <w:sz w:val="28"/>
          <w:szCs w:val="20"/>
          <w:u w:val="single"/>
        </w:rPr>
        <w:t xml:space="preserve">                </w:t>
      </w:r>
    </w:p>
    <w:p w14:paraId="36C38135">
      <w:pPr>
        <w:spacing w:line="360" w:lineRule="auto"/>
        <w:ind w:firstLine="560"/>
        <w:rPr>
          <w:rFonts w:ascii="宋体" w:hAnsi="宋体" w:eastAsia="宋体" w:cs="仿宋"/>
          <w:sz w:val="28"/>
          <w:szCs w:val="20"/>
        </w:rPr>
      </w:pPr>
    </w:p>
    <w:p w14:paraId="20F2396A">
      <w:pPr>
        <w:spacing w:line="360" w:lineRule="auto"/>
        <w:ind w:firstLine="560"/>
        <w:rPr>
          <w:rFonts w:ascii="宋体" w:hAnsi="宋体" w:eastAsia="宋体" w:cs="仿宋"/>
          <w:sz w:val="28"/>
          <w:szCs w:val="20"/>
        </w:rPr>
      </w:pPr>
      <w:r>
        <w:rPr>
          <w:rFonts w:hint="eastAsia" w:ascii="宋体" w:hAnsi="宋体" w:eastAsia="宋体" w:cs="仿宋"/>
          <w:sz w:val="28"/>
          <w:szCs w:val="20"/>
        </w:rPr>
        <w:t>谈判单位：（公章）</w:t>
      </w:r>
    </w:p>
    <w:p w14:paraId="64FE49DB">
      <w:pPr>
        <w:spacing w:line="360" w:lineRule="auto"/>
        <w:ind w:firstLine="560"/>
        <w:rPr>
          <w:rFonts w:ascii="宋体" w:hAnsi="宋体" w:eastAsia="宋体" w:cs="仿宋"/>
          <w:sz w:val="28"/>
          <w:szCs w:val="20"/>
        </w:rPr>
      </w:pPr>
      <w:r>
        <w:rPr>
          <w:rFonts w:hint="eastAsia" w:ascii="宋体" w:hAnsi="宋体" w:eastAsia="宋体" w:cs="仿宋"/>
          <w:sz w:val="28"/>
          <w:szCs w:val="20"/>
        </w:rPr>
        <w:t>授权代表（签字或盖章）：</w:t>
      </w:r>
    </w:p>
    <w:p w14:paraId="423D0301">
      <w:pPr>
        <w:spacing w:line="360" w:lineRule="auto"/>
        <w:ind w:firstLine="560"/>
        <w:jc w:val="right"/>
        <w:rPr>
          <w:rFonts w:ascii="宋体" w:hAnsi="宋体" w:eastAsia="宋体" w:cs="仿宋"/>
          <w:sz w:val="28"/>
          <w:szCs w:val="20"/>
        </w:rPr>
      </w:pPr>
      <w:r>
        <w:rPr>
          <w:rFonts w:hint="eastAsia" w:ascii="宋体" w:hAnsi="宋体" w:eastAsia="宋体" w:cs="仿宋"/>
          <w:sz w:val="28"/>
          <w:szCs w:val="20"/>
        </w:rPr>
        <w:t>年   月   日</w:t>
      </w:r>
    </w:p>
    <w:p w14:paraId="3B4EDBEC">
      <w:pPr>
        <w:spacing w:before="1560" w:after="120" w:line="520" w:lineRule="exact"/>
        <w:ind w:firstLine="562"/>
        <w:jc w:val="center"/>
        <w:outlineLvl w:val="1"/>
        <w:rPr>
          <w:rFonts w:ascii="宋体" w:hAnsi="宋体" w:eastAsia="宋体" w:cs="仿宋"/>
          <w:b/>
          <w:kern w:val="0"/>
          <w:sz w:val="28"/>
          <w:szCs w:val="24"/>
        </w:rPr>
      </w:pPr>
      <w:r>
        <w:rPr>
          <w:rFonts w:hint="eastAsia" w:ascii="宋体" w:hAnsi="宋体" w:eastAsia="宋体" w:cs="仿宋"/>
          <w:b/>
          <w:kern w:val="0"/>
          <w:sz w:val="28"/>
          <w:szCs w:val="24"/>
        </w:rPr>
        <w:br w:type="page"/>
      </w:r>
      <w:bookmarkStart w:id="76" w:name="_Toc195529425"/>
      <w:bookmarkStart w:id="77" w:name="_Toc21577"/>
      <w:bookmarkStart w:id="78" w:name="_Toc2973"/>
      <w:bookmarkStart w:id="79" w:name="_Toc56170394"/>
      <w:r>
        <w:rPr>
          <w:rFonts w:hint="eastAsia" w:ascii="宋体" w:hAnsi="宋体" w:eastAsia="宋体" w:cs="仿宋"/>
          <w:b/>
          <w:kern w:val="0"/>
          <w:sz w:val="28"/>
          <w:szCs w:val="24"/>
        </w:rPr>
        <w:t>附件二、法定代表人资格证明书</w:t>
      </w:r>
      <w:bookmarkEnd w:id="76"/>
      <w:bookmarkEnd w:id="77"/>
      <w:bookmarkEnd w:id="78"/>
      <w:bookmarkEnd w:id="79"/>
    </w:p>
    <w:p w14:paraId="15E805FE">
      <w:pPr>
        <w:spacing w:line="360" w:lineRule="auto"/>
        <w:ind w:firstLine="420"/>
        <w:rPr>
          <w:rFonts w:ascii="宋体" w:hAnsi="宋体" w:eastAsia="宋体" w:cs="仿宋"/>
          <w:szCs w:val="21"/>
        </w:rPr>
      </w:pPr>
    </w:p>
    <w:p w14:paraId="792C4F49">
      <w:pPr>
        <w:spacing w:line="360" w:lineRule="auto"/>
        <w:ind w:firstLine="560" w:firstLineChars="200"/>
        <w:rPr>
          <w:rFonts w:ascii="宋体" w:hAnsi="宋体" w:eastAsia="宋体" w:cs="仿宋"/>
          <w:sz w:val="28"/>
          <w:szCs w:val="20"/>
          <w:u w:val="single"/>
        </w:rPr>
      </w:pPr>
      <w:r>
        <w:rPr>
          <w:rFonts w:hint="eastAsia" w:ascii="宋体" w:hAnsi="宋体" w:eastAsia="宋体" w:cs="仿宋"/>
          <w:sz w:val="28"/>
          <w:szCs w:val="20"/>
        </w:rPr>
        <w:t>单位名称：</w:t>
      </w:r>
      <w:r>
        <w:rPr>
          <w:rFonts w:hint="eastAsia" w:ascii="宋体" w:hAnsi="宋体" w:eastAsia="宋体" w:cs="仿宋"/>
          <w:sz w:val="28"/>
          <w:szCs w:val="20"/>
          <w:u w:val="single"/>
        </w:rPr>
        <w:t xml:space="preserve">                                                 </w:t>
      </w:r>
      <w:r>
        <w:rPr>
          <w:rFonts w:hint="eastAsia" w:ascii="宋体" w:hAnsi="宋体" w:eastAsia="宋体" w:cs="仿宋"/>
          <w:sz w:val="28"/>
          <w:szCs w:val="20"/>
        </w:rPr>
        <w:t>；</w:t>
      </w:r>
    </w:p>
    <w:p w14:paraId="6C1DDE08">
      <w:pPr>
        <w:spacing w:line="360" w:lineRule="auto"/>
        <w:ind w:firstLine="560" w:firstLineChars="200"/>
        <w:rPr>
          <w:rFonts w:ascii="宋体" w:hAnsi="宋体" w:eastAsia="宋体" w:cs="仿宋"/>
          <w:sz w:val="28"/>
          <w:szCs w:val="20"/>
        </w:rPr>
      </w:pPr>
      <w:r>
        <w:rPr>
          <w:rFonts w:hint="eastAsia" w:ascii="宋体" w:hAnsi="宋体" w:eastAsia="宋体" w:cs="仿宋"/>
          <w:sz w:val="28"/>
          <w:szCs w:val="20"/>
        </w:rPr>
        <w:t>地    址：</w:t>
      </w:r>
      <w:r>
        <w:rPr>
          <w:rFonts w:hint="eastAsia" w:ascii="宋体" w:hAnsi="宋体" w:eastAsia="宋体" w:cs="仿宋"/>
          <w:sz w:val="28"/>
          <w:szCs w:val="20"/>
          <w:u w:val="single"/>
        </w:rPr>
        <w:t xml:space="preserve">                                                 </w:t>
      </w:r>
      <w:r>
        <w:rPr>
          <w:rFonts w:hint="eastAsia" w:ascii="宋体" w:hAnsi="宋体" w:eastAsia="宋体" w:cs="仿宋"/>
          <w:sz w:val="28"/>
          <w:szCs w:val="20"/>
        </w:rPr>
        <w:t>；</w:t>
      </w:r>
    </w:p>
    <w:p w14:paraId="7ACD221A">
      <w:pPr>
        <w:spacing w:line="360" w:lineRule="auto"/>
        <w:ind w:firstLine="560" w:firstLineChars="200"/>
        <w:rPr>
          <w:rFonts w:ascii="宋体" w:hAnsi="宋体" w:eastAsia="宋体" w:cs="仿宋"/>
          <w:sz w:val="28"/>
          <w:szCs w:val="20"/>
        </w:rPr>
      </w:pPr>
      <w:r>
        <w:rPr>
          <w:rFonts w:hint="eastAsia" w:ascii="宋体" w:hAnsi="宋体" w:eastAsia="宋体" w:cs="仿宋"/>
          <w:sz w:val="28"/>
          <w:szCs w:val="20"/>
        </w:rPr>
        <w:t>姓    名：</w:t>
      </w:r>
      <w:r>
        <w:rPr>
          <w:rFonts w:hint="eastAsia" w:ascii="宋体" w:hAnsi="宋体" w:eastAsia="宋体" w:cs="仿宋"/>
          <w:sz w:val="28"/>
          <w:szCs w:val="20"/>
          <w:u w:val="single"/>
        </w:rPr>
        <w:t xml:space="preserve">           </w:t>
      </w:r>
      <w:r>
        <w:rPr>
          <w:rFonts w:hint="eastAsia" w:ascii="宋体" w:hAnsi="宋体" w:eastAsia="宋体" w:cs="仿宋"/>
          <w:sz w:val="28"/>
          <w:szCs w:val="20"/>
        </w:rPr>
        <w:t>性别：</w:t>
      </w:r>
      <w:r>
        <w:rPr>
          <w:rFonts w:hint="eastAsia" w:ascii="宋体" w:hAnsi="宋体" w:eastAsia="宋体" w:cs="仿宋"/>
          <w:sz w:val="28"/>
          <w:szCs w:val="20"/>
          <w:u w:val="single"/>
        </w:rPr>
        <w:t xml:space="preserve">      </w:t>
      </w:r>
      <w:r>
        <w:rPr>
          <w:rFonts w:hint="eastAsia" w:ascii="宋体" w:hAnsi="宋体" w:eastAsia="宋体" w:cs="仿宋"/>
          <w:sz w:val="28"/>
          <w:szCs w:val="20"/>
        </w:rPr>
        <w:t>年龄：</w:t>
      </w:r>
      <w:r>
        <w:rPr>
          <w:rFonts w:hint="eastAsia" w:ascii="宋体" w:hAnsi="宋体" w:eastAsia="宋体" w:cs="仿宋"/>
          <w:sz w:val="28"/>
          <w:szCs w:val="20"/>
          <w:u w:val="single"/>
        </w:rPr>
        <w:t xml:space="preserve">      </w:t>
      </w:r>
      <w:r>
        <w:rPr>
          <w:rFonts w:hint="eastAsia" w:ascii="宋体" w:hAnsi="宋体" w:eastAsia="宋体" w:cs="仿宋"/>
          <w:sz w:val="28"/>
          <w:szCs w:val="20"/>
        </w:rPr>
        <w:t>职务：</w:t>
      </w:r>
      <w:r>
        <w:rPr>
          <w:rFonts w:hint="eastAsia" w:ascii="宋体" w:hAnsi="宋体" w:eastAsia="宋体" w:cs="仿宋"/>
          <w:sz w:val="28"/>
          <w:szCs w:val="20"/>
          <w:u w:val="single"/>
        </w:rPr>
        <w:t xml:space="preserve">        </w:t>
      </w:r>
      <w:r>
        <w:rPr>
          <w:rFonts w:hint="eastAsia" w:ascii="宋体" w:hAnsi="宋体" w:eastAsia="宋体" w:cs="仿宋"/>
          <w:sz w:val="28"/>
          <w:szCs w:val="20"/>
        </w:rPr>
        <w:t>；</w:t>
      </w:r>
    </w:p>
    <w:p w14:paraId="08D6EF53">
      <w:pPr>
        <w:spacing w:line="360" w:lineRule="auto"/>
        <w:ind w:firstLine="560" w:firstLineChars="200"/>
        <w:rPr>
          <w:rFonts w:ascii="宋体" w:hAnsi="宋体" w:eastAsia="宋体" w:cs="仿宋"/>
          <w:sz w:val="28"/>
          <w:szCs w:val="20"/>
        </w:rPr>
      </w:pPr>
      <w:r>
        <w:rPr>
          <w:rFonts w:hint="eastAsia" w:ascii="宋体" w:hAnsi="宋体" w:eastAsia="宋体" w:cs="仿宋"/>
          <w:sz w:val="28"/>
          <w:szCs w:val="20"/>
        </w:rPr>
        <w:t>该同志系</w:t>
      </w:r>
      <w:r>
        <w:rPr>
          <w:rFonts w:hint="eastAsia" w:ascii="宋体" w:hAnsi="宋体" w:eastAsia="宋体" w:cs="仿宋"/>
          <w:sz w:val="28"/>
          <w:szCs w:val="20"/>
          <w:u w:val="single"/>
        </w:rPr>
        <w:t xml:space="preserve">                                  公司</w:t>
      </w:r>
      <w:r>
        <w:rPr>
          <w:rFonts w:hint="eastAsia" w:ascii="宋体" w:hAnsi="宋体" w:eastAsia="宋体" w:cs="仿宋"/>
          <w:sz w:val="28"/>
          <w:szCs w:val="20"/>
        </w:rPr>
        <w:t>的法定代表人。为参加本项目，签署上述的谈判文件、进行合同谈判、签署合同和处理与之有关的一切事务。</w:t>
      </w:r>
    </w:p>
    <w:tbl>
      <w:tblPr>
        <w:tblStyle w:val="47"/>
        <w:tblW w:w="99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70"/>
        <w:gridCol w:w="4970"/>
      </w:tblGrid>
      <w:tr w14:paraId="1C57C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5" w:hRule="atLeast"/>
        </w:trPr>
        <w:tc>
          <w:tcPr>
            <w:tcW w:w="4970" w:type="dxa"/>
            <w:vAlign w:val="center"/>
          </w:tcPr>
          <w:p w14:paraId="091132DC">
            <w:pPr>
              <w:spacing w:line="360" w:lineRule="auto"/>
              <w:ind w:firstLine="560"/>
              <w:jc w:val="center"/>
              <w:rPr>
                <w:rFonts w:ascii="宋体" w:hAnsi="宋体" w:eastAsia="宋体" w:cs="仿宋"/>
                <w:sz w:val="28"/>
                <w:szCs w:val="20"/>
              </w:rPr>
            </w:pPr>
            <w:r>
              <w:rPr>
                <w:rFonts w:hint="eastAsia" w:ascii="宋体" w:hAnsi="宋体" w:eastAsia="宋体" w:cs="仿宋"/>
                <w:sz w:val="28"/>
                <w:szCs w:val="20"/>
              </w:rPr>
              <w:t>（法人身份证正面）</w:t>
            </w:r>
          </w:p>
        </w:tc>
        <w:tc>
          <w:tcPr>
            <w:tcW w:w="4970" w:type="dxa"/>
            <w:vAlign w:val="center"/>
          </w:tcPr>
          <w:p w14:paraId="2360C9C3">
            <w:pPr>
              <w:spacing w:line="360" w:lineRule="auto"/>
              <w:ind w:firstLine="560"/>
              <w:jc w:val="center"/>
              <w:rPr>
                <w:rFonts w:ascii="宋体" w:hAnsi="宋体" w:eastAsia="宋体" w:cs="仿宋"/>
                <w:sz w:val="28"/>
                <w:szCs w:val="20"/>
              </w:rPr>
            </w:pPr>
            <w:r>
              <w:rPr>
                <w:rFonts w:hint="eastAsia" w:ascii="宋体" w:hAnsi="宋体" w:eastAsia="宋体" w:cs="仿宋"/>
                <w:sz w:val="28"/>
                <w:szCs w:val="20"/>
              </w:rPr>
              <w:t>（法人身份证背面）</w:t>
            </w:r>
          </w:p>
        </w:tc>
      </w:tr>
    </w:tbl>
    <w:p w14:paraId="19DC9ECF">
      <w:pPr>
        <w:spacing w:line="360" w:lineRule="auto"/>
        <w:ind w:firstLine="560" w:firstLineChars="200"/>
        <w:rPr>
          <w:rFonts w:ascii="宋体" w:hAnsi="宋体" w:eastAsia="宋体" w:cs="仿宋"/>
          <w:sz w:val="28"/>
          <w:szCs w:val="20"/>
        </w:rPr>
      </w:pPr>
    </w:p>
    <w:p w14:paraId="7FB81B1B">
      <w:pPr>
        <w:spacing w:line="360" w:lineRule="auto"/>
        <w:ind w:firstLine="560" w:firstLineChars="200"/>
        <w:rPr>
          <w:rFonts w:ascii="宋体" w:hAnsi="宋体" w:eastAsia="宋体" w:cs="仿宋"/>
          <w:sz w:val="28"/>
          <w:szCs w:val="20"/>
        </w:rPr>
      </w:pPr>
      <w:r>
        <w:rPr>
          <w:rFonts w:hint="eastAsia" w:ascii="宋体" w:hAnsi="宋体" w:eastAsia="宋体" w:cs="仿宋"/>
          <w:sz w:val="28"/>
          <w:szCs w:val="20"/>
        </w:rPr>
        <w:t>特此证明</w:t>
      </w:r>
    </w:p>
    <w:p w14:paraId="64321743">
      <w:pPr>
        <w:spacing w:line="360" w:lineRule="auto"/>
        <w:ind w:firstLine="560" w:firstLineChars="200"/>
        <w:rPr>
          <w:rFonts w:ascii="宋体" w:hAnsi="宋体" w:eastAsia="宋体" w:cs="仿宋"/>
          <w:sz w:val="28"/>
          <w:szCs w:val="20"/>
        </w:rPr>
      </w:pPr>
    </w:p>
    <w:p w14:paraId="337A51F2">
      <w:pPr>
        <w:spacing w:line="360" w:lineRule="auto"/>
        <w:ind w:firstLine="560" w:firstLineChars="200"/>
        <w:rPr>
          <w:rFonts w:ascii="宋体" w:hAnsi="宋体" w:eastAsia="宋体" w:cs="仿宋"/>
          <w:sz w:val="28"/>
          <w:szCs w:val="20"/>
        </w:rPr>
      </w:pPr>
    </w:p>
    <w:p w14:paraId="7AD79C86">
      <w:pPr>
        <w:spacing w:line="360" w:lineRule="auto"/>
        <w:ind w:firstLine="4200" w:firstLineChars="1500"/>
        <w:rPr>
          <w:rFonts w:ascii="宋体" w:hAnsi="宋体" w:eastAsia="宋体" w:cs="仿宋"/>
          <w:sz w:val="28"/>
          <w:szCs w:val="20"/>
        </w:rPr>
      </w:pPr>
      <w:r>
        <w:rPr>
          <w:rFonts w:hint="eastAsia" w:ascii="宋体" w:hAnsi="宋体" w:eastAsia="宋体" w:cs="仿宋"/>
          <w:sz w:val="28"/>
          <w:szCs w:val="20"/>
        </w:rPr>
        <w:t>供应商：</w:t>
      </w:r>
      <w:r>
        <w:rPr>
          <w:rFonts w:hint="eastAsia" w:ascii="宋体" w:hAnsi="宋体" w:eastAsia="宋体" w:cs="仿宋"/>
          <w:sz w:val="28"/>
          <w:szCs w:val="20"/>
          <w:u w:val="single"/>
        </w:rPr>
        <w:t xml:space="preserve">                     </w:t>
      </w:r>
      <w:r>
        <w:rPr>
          <w:rFonts w:hint="eastAsia" w:ascii="宋体" w:hAnsi="宋体" w:eastAsia="宋体" w:cs="仿宋"/>
          <w:sz w:val="28"/>
          <w:szCs w:val="20"/>
        </w:rPr>
        <w:t>（公章）</w:t>
      </w:r>
    </w:p>
    <w:p w14:paraId="448714EB">
      <w:pPr>
        <w:spacing w:line="360" w:lineRule="auto"/>
        <w:ind w:firstLine="4200" w:firstLineChars="1500"/>
        <w:rPr>
          <w:rFonts w:ascii="宋体" w:hAnsi="宋体" w:eastAsia="宋体" w:cs="仿宋"/>
          <w:sz w:val="28"/>
          <w:szCs w:val="20"/>
        </w:rPr>
      </w:pPr>
      <w:r>
        <w:rPr>
          <w:rFonts w:hint="eastAsia" w:ascii="宋体" w:hAnsi="宋体" w:eastAsia="宋体" w:cs="仿宋"/>
          <w:sz w:val="28"/>
          <w:szCs w:val="20"/>
        </w:rPr>
        <w:t>法定代表人：</w:t>
      </w:r>
      <w:r>
        <w:rPr>
          <w:rFonts w:hint="eastAsia" w:ascii="宋体" w:hAnsi="宋体" w:eastAsia="宋体" w:cs="仿宋"/>
          <w:sz w:val="28"/>
          <w:szCs w:val="20"/>
          <w:u w:val="single"/>
        </w:rPr>
        <w:t xml:space="preserve">              </w:t>
      </w:r>
      <w:r>
        <w:rPr>
          <w:rFonts w:hint="eastAsia" w:ascii="宋体" w:hAnsi="宋体" w:eastAsia="宋体" w:cs="仿宋"/>
          <w:sz w:val="28"/>
          <w:szCs w:val="20"/>
        </w:rPr>
        <w:t>（签字或盖章）</w:t>
      </w:r>
    </w:p>
    <w:p w14:paraId="5E288833">
      <w:pPr>
        <w:spacing w:line="360" w:lineRule="auto"/>
        <w:ind w:firstLine="4200" w:firstLineChars="1500"/>
        <w:rPr>
          <w:rFonts w:ascii="宋体" w:hAnsi="宋体" w:eastAsia="宋体" w:cs="仿宋"/>
          <w:sz w:val="28"/>
          <w:szCs w:val="20"/>
        </w:rPr>
      </w:pPr>
      <w:r>
        <w:rPr>
          <w:rFonts w:hint="eastAsia" w:ascii="宋体" w:hAnsi="宋体" w:eastAsia="宋体" w:cs="仿宋"/>
          <w:sz w:val="28"/>
          <w:szCs w:val="20"/>
        </w:rPr>
        <w:t>日  期：</w:t>
      </w:r>
      <w:r>
        <w:rPr>
          <w:rFonts w:hint="eastAsia" w:ascii="宋体" w:hAnsi="宋体" w:eastAsia="宋体" w:cs="仿宋"/>
          <w:sz w:val="28"/>
          <w:szCs w:val="20"/>
          <w:u w:val="single"/>
        </w:rPr>
        <w:t xml:space="preserve">       </w:t>
      </w:r>
      <w:r>
        <w:rPr>
          <w:rFonts w:hint="eastAsia" w:ascii="宋体" w:hAnsi="宋体" w:eastAsia="宋体" w:cs="仿宋"/>
          <w:sz w:val="28"/>
          <w:szCs w:val="20"/>
        </w:rPr>
        <w:t>年</w:t>
      </w:r>
      <w:r>
        <w:rPr>
          <w:rFonts w:hint="eastAsia" w:ascii="宋体" w:hAnsi="宋体" w:eastAsia="宋体" w:cs="仿宋"/>
          <w:sz w:val="28"/>
          <w:szCs w:val="20"/>
          <w:u w:val="single"/>
        </w:rPr>
        <w:t xml:space="preserve">      </w:t>
      </w:r>
      <w:r>
        <w:rPr>
          <w:rFonts w:hint="eastAsia" w:ascii="宋体" w:hAnsi="宋体" w:eastAsia="宋体" w:cs="仿宋"/>
          <w:sz w:val="28"/>
          <w:szCs w:val="20"/>
        </w:rPr>
        <w:t>月</w:t>
      </w:r>
      <w:r>
        <w:rPr>
          <w:rFonts w:hint="eastAsia" w:ascii="宋体" w:hAnsi="宋体" w:eastAsia="宋体" w:cs="仿宋"/>
          <w:sz w:val="28"/>
          <w:szCs w:val="20"/>
          <w:u w:val="single"/>
        </w:rPr>
        <w:t xml:space="preserve">    </w:t>
      </w:r>
      <w:r>
        <w:rPr>
          <w:rFonts w:hint="eastAsia" w:ascii="宋体" w:hAnsi="宋体" w:eastAsia="宋体" w:cs="仿宋"/>
          <w:sz w:val="28"/>
          <w:szCs w:val="20"/>
        </w:rPr>
        <w:t>日</w:t>
      </w:r>
    </w:p>
    <w:p w14:paraId="2003C91D">
      <w:pPr>
        <w:spacing w:before="1560" w:after="120" w:line="360" w:lineRule="auto"/>
        <w:ind w:firstLine="560" w:firstLineChars="200"/>
        <w:jc w:val="center"/>
        <w:outlineLvl w:val="1"/>
        <w:rPr>
          <w:rFonts w:ascii="宋体" w:hAnsi="宋体" w:eastAsia="宋体" w:cs="仿宋"/>
          <w:b/>
          <w:kern w:val="0"/>
          <w:sz w:val="28"/>
          <w:szCs w:val="24"/>
        </w:rPr>
      </w:pPr>
      <w:r>
        <w:rPr>
          <w:rFonts w:hint="eastAsia" w:ascii="宋体" w:hAnsi="宋体" w:eastAsia="宋体" w:cs="仿宋"/>
          <w:b/>
          <w:kern w:val="0"/>
          <w:sz w:val="28"/>
          <w:szCs w:val="24"/>
        </w:rPr>
        <w:br w:type="page"/>
      </w:r>
      <w:bookmarkStart w:id="80" w:name="_Toc195529426"/>
      <w:bookmarkStart w:id="81" w:name="_Toc56170395"/>
      <w:bookmarkStart w:id="82" w:name="_Toc31780"/>
      <w:bookmarkStart w:id="83" w:name="_Toc15722"/>
      <w:r>
        <w:rPr>
          <w:rFonts w:hint="eastAsia" w:ascii="宋体" w:hAnsi="宋体" w:eastAsia="宋体" w:cs="仿宋"/>
          <w:b/>
          <w:kern w:val="0"/>
          <w:sz w:val="28"/>
          <w:szCs w:val="24"/>
        </w:rPr>
        <w:t>附件三、法定代表人授权委托书</w:t>
      </w:r>
      <w:bookmarkEnd w:id="80"/>
      <w:bookmarkEnd w:id="81"/>
      <w:bookmarkEnd w:id="82"/>
      <w:bookmarkEnd w:id="83"/>
    </w:p>
    <w:p w14:paraId="235055D4">
      <w:pPr>
        <w:spacing w:line="360" w:lineRule="auto"/>
        <w:ind w:firstLine="420"/>
        <w:rPr>
          <w:rFonts w:ascii="宋体" w:hAnsi="宋体" w:eastAsia="宋体" w:cs="仿宋"/>
          <w:szCs w:val="21"/>
        </w:rPr>
      </w:pPr>
    </w:p>
    <w:p w14:paraId="22D4039C">
      <w:pPr>
        <w:spacing w:line="360" w:lineRule="auto"/>
        <w:ind w:firstLine="560" w:firstLineChars="200"/>
        <w:rPr>
          <w:rFonts w:ascii="宋体" w:hAnsi="宋体" w:eastAsia="宋体" w:cs="仿宋"/>
          <w:sz w:val="28"/>
          <w:szCs w:val="20"/>
        </w:rPr>
      </w:pPr>
      <w:r>
        <w:rPr>
          <w:rFonts w:hint="eastAsia" w:ascii="宋体" w:hAnsi="宋体" w:eastAsia="宋体" w:cs="仿宋"/>
          <w:sz w:val="28"/>
          <w:szCs w:val="20"/>
        </w:rPr>
        <w:t>本授权委托书声明：我</w:t>
      </w:r>
      <w:r>
        <w:rPr>
          <w:rFonts w:hint="eastAsia" w:ascii="宋体" w:hAnsi="宋体" w:eastAsia="宋体" w:cs="仿宋"/>
          <w:sz w:val="28"/>
          <w:szCs w:val="20"/>
          <w:u w:val="single"/>
        </w:rPr>
        <w:t xml:space="preserve">           </w:t>
      </w:r>
      <w:r>
        <w:rPr>
          <w:rFonts w:hint="eastAsia" w:ascii="宋体" w:hAnsi="宋体" w:eastAsia="宋体" w:cs="仿宋"/>
          <w:sz w:val="28"/>
          <w:szCs w:val="20"/>
        </w:rPr>
        <w:t>（姓名）系</w:t>
      </w:r>
      <w:r>
        <w:rPr>
          <w:rFonts w:hint="eastAsia" w:ascii="宋体" w:hAnsi="宋体" w:eastAsia="宋体" w:cs="仿宋"/>
          <w:sz w:val="28"/>
          <w:szCs w:val="20"/>
          <w:u w:val="single"/>
        </w:rPr>
        <w:t xml:space="preserve">                  </w:t>
      </w:r>
      <w:r>
        <w:rPr>
          <w:rFonts w:hint="eastAsia" w:ascii="宋体" w:hAnsi="宋体" w:eastAsia="宋体" w:cs="仿宋"/>
          <w:sz w:val="28"/>
          <w:szCs w:val="20"/>
        </w:rPr>
        <w:t>（供应商名称）的法定代表人，现授权委托</w:t>
      </w:r>
      <w:r>
        <w:rPr>
          <w:rFonts w:hint="eastAsia" w:ascii="宋体" w:hAnsi="宋体" w:eastAsia="宋体" w:cs="仿宋"/>
          <w:sz w:val="28"/>
          <w:szCs w:val="20"/>
          <w:u w:val="single"/>
        </w:rPr>
        <w:t xml:space="preserve">                        </w:t>
      </w:r>
      <w:r>
        <w:rPr>
          <w:rFonts w:hint="eastAsia" w:ascii="宋体" w:hAnsi="宋体" w:eastAsia="宋体" w:cs="仿宋"/>
          <w:sz w:val="28"/>
          <w:szCs w:val="20"/>
        </w:rPr>
        <w:t>（单位名称）的</w:t>
      </w:r>
      <w:r>
        <w:rPr>
          <w:rFonts w:hint="eastAsia" w:ascii="宋体" w:hAnsi="宋体" w:eastAsia="宋体" w:cs="仿宋"/>
          <w:sz w:val="28"/>
          <w:szCs w:val="20"/>
          <w:u w:val="single"/>
        </w:rPr>
        <w:t xml:space="preserve">              </w:t>
      </w:r>
      <w:r>
        <w:rPr>
          <w:rFonts w:hint="eastAsia" w:ascii="宋体" w:hAnsi="宋体" w:eastAsia="宋体" w:cs="仿宋"/>
          <w:sz w:val="28"/>
          <w:szCs w:val="20"/>
        </w:rPr>
        <w:t>（姓名）为我公司签署本项目响应文件的授权委托代理人，全权代表我单位处理本次谈判的有关事宜。代理人所签署的一切有关文件，我单位均予承认。</w:t>
      </w:r>
    </w:p>
    <w:p w14:paraId="6137BD90">
      <w:pPr>
        <w:spacing w:line="360" w:lineRule="auto"/>
        <w:ind w:firstLine="560" w:firstLineChars="200"/>
        <w:rPr>
          <w:rFonts w:ascii="宋体" w:hAnsi="宋体" w:eastAsia="宋体" w:cs="仿宋"/>
          <w:sz w:val="28"/>
          <w:szCs w:val="20"/>
        </w:rPr>
      </w:pPr>
      <w:r>
        <w:rPr>
          <w:rFonts w:hint="eastAsia" w:ascii="宋体" w:hAnsi="宋体" w:eastAsia="宋体" w:cs="仿宋"/>
          <w:sz w:val="28"/>
          <w:szCs w:val="20"/>
        </w:rPr>
        <w:t>代理人无转委托权，特此声明！</w:t>
      </w:r>
    </w:p>
    <w:tbl>
      <w:tblPr>
        <w:tblStyle w:val="47"/>
        <w:tblW w:w="99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70"/>
        <w:gridCol w:w="4970"/>
      </w:tblGrid>
      <w:tr w14:paraId="4C631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5" w:hRule="atLeast"/>
        </w:trPr>
        <w:tc>
          <w:tcPr>
            <w:tcW w:w="4970" w:type="dxa"/>
            <w:vAlign w:val="center"/>
          </w:tcPr>
          <w:p w14:paraId="3A0BA6DD">
            <w:pPr>
              <w:spacing w:line="360" w:lineRule="auto"/>
              <w:ind w:firstLine="560" w:firstLineChars="200"/>
              <w:rPr>
                <w:rFonts w:ascii="宋体" w:hAnsi="宋体" w:eastAsia="宋体" w:cs="仿宋"/>
                <w:sz w:val="28"/>
                <w:szCs w:val="20"/>
              </w:rPr>
            </w:pPr>
            <w:r>
              <w:rPr>
                <w:rFonts w:hint="eastAsia" w:ascii="宋体" w:hAnsi="宋体" w:eastAsia="宋体" w:cs="仿宋"/>
                <w:sz w:val="28"/>
                <w:szCs w:val="20"/>
              </w:rPr>
              <w:t>（法人身份证正面）</w:t>
            </w:r>
          </w:p>
        </w:tc>
        <w:tc>
          <w:tcPr>
            <w:tcW w:w="4970" w:type="dxa"/>
            <w:vAlign w:val="center"/>
          </w:tcPr>
          <w:p w14:paraId="55D2BA74">
            <w:pPr>
              <w:spacing w:line="360" w:lineRule="auto"/>
              <w:ind w:firstLine="560" w:firstLineChars="200"/>
              <w:rPr>
                <w:rFonts w:ascii="宋体" w:hAnsi="宋体" w:eastAsia="宋体" w:cs="仿宋"/>
                <w:sz w:val="28"/>
                <w:szCs w:val="20"/>
              </w:rPr>
            </w:pPr>
            <w:r>
              <w:rPr>
                <w:rFonts w:hint="eastAsia" w:ascii="宋体" w:hAnsi="宋体" w:eastAsia="宋体" w:cs="仿宋"/>
                <w:sz w:val="28"/>
                <w:szCs w:val="20"/>
              </w:rPr>
              <w:t>（法人身份证背面）</w:t>
            </w:r>
          </w:p>
        </w:tc>
      </w:tr>
      <w:tr w14:paraId="33FF0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5" w:hRule="atLeast"/>
        </w:trPr>
        <w:tc>
          <w:tcPr>
            <w:tcW w:w="4970" w:type="dxa"/>
            <w:vAlign w:val="center"/>
          </w:tcPr>
          <w:p w14:paraId="1E5D8BC7">
            <w:pPr>
              <w:spacing w:line="360" w:lineRule="auto"/>
              <w:ind w:firstLine="560" w:firstLineChars="200"/>
              <w:rPr>
                <w:rFonts w:ascii="宋体" w:hAnsi="宋体" w:eastAsia="宋体" w:cs="仿宋"/>
                <w:sz w:val="28"/>
                <w:szCs w:val="20"/>
              </w:rPr>
            </w:pPr>
            <w:r>
              <w:rPr>
                <w:rFonts w:hint="eastAsia" w:ascii="宋体" w:hAnsi="宋体" w:eastAsia="宋体" w:cs="仿宋"/>
                <w:sz w:val="28"/>
                <w:szCs w:val="20"/>
              </w:rPr>
              <w:t>（代理人身份证正面）</w:t>
            </w:r>
          </w:p>
        </w:tc>
        <w:tc>
          <w:tcPr>
            <w:tcW w:w="4970" w:type="dxa"/>
            <w:vAlign w:val="center"/>
          </w:tcPr>
          <w:p w14:paraId="5F1EB320">
            <w:pPr>
              <w:spacing w:line="360" w:lineRule="auto"/>
              <w:ind w:firstLine="560" w:firstLineChars="200"/>
              <w:rPr>
                <w:rFonts w:ascii="宋体" w:hAnsi="宋体" w:eastAsia="宋体" w:cs="仿宋"/>
                <w:sz w:val="28"/>
                <w:szCs w:val="20"/>
              </w:rPr>
            </w:pPr>
            <w:r>
              <w:rPr>
                <w:rFonts w:hint="eastAsia" w:ascii="宋体" w:hAnsi="宋体" w:eastAsia="宋体" w:cs="仿宋"/>
                <w:sz w:val="28"/>
                <w:szCs w:val="20"/>
              </w:rPr>
              <w:t>（代理人身份证背面）</w:t>
            </w:r>
          </w:p>
        </w:tc>
      </w:tr>
    </w:tbl>
    <w:p w14:paraId="5F667662">
      <w:pPr>
        <w:spacing w:line="360" w:lineRule="auto"/>
        <w:ind w:firstLine="560" w:firstLineChars="200"/>
        <w:rPr>
          <w:rFonts w:ascii="宋体" w:hAnsi="宋体" w:eastAsia="宋体" w:cs="仿宋"/>
          <w:sz w:val="28"/>
          <w:szCs w:val="20"/>
        </w:rPr>
      </w:pPr>
      <w:r>
        <w:rPr>
          <w:rFonts w:hint="eastAsia" w:ascii="宋体" w:hAnsi="宋体" w:eastAsia="宋体" w:cs="仿宋"/>
          <w:sz w:val="28"/>
          <w:szCs w:val="20"/>
        </w:rPr>
        <w:t>代理人：姓名：</w:t>
      </w:r>
      <w:r>
        <w:rPr>
          <w:rFonts w:hint="eastAsia" w:ascii="宋体" w:hAnsi="宋体" w:eastAsia="宋体" w:cs="仿宋"/>
          <w:sz w:val="28"/>
          <w:szCs w:val="20"/>
          <w:u w:val="single"/>
        </w:rPr>
        <w:t xml:space="preserve">           </w:t>
      </w:r>
      <w:r>
        <w:rPr>
          <w:rFonts w:hint="eastAsia" w:ascii="宋体" w:hAnsi="宋体" w:eastAsia="宋体" w:cs="仿宋"/>
          <w:sz w:val="28"/>
          <w:szCs w:val="20"/>
        </w:rPr>
        <w:t>性别：</w:t>
      </w:r>
      <w:r>
        <w:rPr>
          <w:rFonts w:hint="eastAsia" w:ascii="宋体" w:hAnsi="宋体" w:eastAsia="宋体" w:cs="仿宋"/>
          <w:sz w:val="28"/>
          <w:szCs w:val="20"/>
          <w:u w:val="single"/>
        </w:rPr>
        <w:t xml:space="preserve">       </w:t>
      </w:r>
      <w:r>
        <w:rPr>
          <w:rFonts w:hint="eastAsia" w:ascii="宋体" w:hAnsi="宋体" w:eastAsia="宋体" w:cs="仿宋"/>
          <w:sz w:val="28"/>
          <w:szCs w:val="20"/>
        </w:rPr>
        <w:t>年龄：</w:t>
      </w:r>
      <w:r>
        <w:rPr>
          <w:rFonts w:hint="eastAsia" w:ascii="宋体" w:hAnsi="宋体" w:eastAsia="宋体" w:cs="仿宋"/>
          <w:sz w:val="28"/>
          <w:szCs w:val="20"/>
          <w:u w:val="single"/>
        </w:rPr>
        <w:t xml:space="preserve">          </w:t>
      </w:r>
      <w:r>
        <w:rPr>
          <w:rFonts w:hint="eastAsia" w:ascii="宋体" w:hAnsi="宋体" w:eastAsia="宋体" w:cs="仿宋"/>
          <w:sz w:val="28"/>
          <w:szCs w:val="20"/>
        </w:rPr>
        <w:t>；</w:t>
      </w:r>
    </w:p>
    <w:p w14:paraId="34225926">
      <w:pPr>
        <w:spacing w:line="360" w:lineRule="auto"/>
        <w:ind w:firstLine="560" w:firstLineChars="200"/>
        <w:rPr>
          <w:rFonts w:ascii="宋体" w:hAnsi="宋体" w:eastAsia="宋体" w:cs="仿宋"/>
          <w:sz w:val="28"/>
          <w:szCs w:val="20"/>
        </w:rPr>
      </w:pPr>
      <w:r>
        <w:rPr>
          <w:rFonts w:hint="eastAsia" w:ascii="宋体" w:hAnsi="宋体" w:eastAsia="宋体" w:cs="仿宋"/>
          <w:sz w:val="28"/>
          <w:szCs w:val="20"/>
        </w:rPr>
        <w:t>身份证号码：</w:t>
      </w:r>
      <w:r>
        <w:rPr>
          <w:rFonts w:hint="eastAsia" w:ascii="宋体" w:hAnsi="宋体" w:eastAsia="宋体" w:cs="仿宋"/>
          <w:sz w:val="28"/>
          <w:szCs w:val="20"/>
          <w:u w:val="single"/>
        </w:rPr>
        <w:t xml:space="preserve">                        </w:t>
      </w:r>
      <w:r>
        <w:rPr>
          <w:rFonts w:hint="eastAsia" w:ascii="宋体" w:hAnsi="宋体" w:eastAsia="宋体" w:cs="仿宋"/>
          <w:sz w:val="28"/>
          <w:szCs w:val="20"/>
        </w:rPr>
        <w:t>职务：</w:t>
      </w:r>
      <w:r>
        <w:rPr>
          <w:rFonts w:hint="eastAsia" w:ascii="宋体" w:hAnsi="宋体" w:eastAsia="宋体" w:cs="仿宋"/>
          <w:sz w:val="28"/>
          <w:szCs w:val="20"/>
          <w:u w:val="single"/>
        </w:rPr>
        <w:t xml:space="preserve">            </w:t>
      </w:r>
      <w:r>
        <w:rPr>
          <w:rFonts w:hint="eastAsia" w:ascii="宋体" w:hAnsi="宋体" w:eastAsia="宋体" w:cs="仿宋"/>
          <w:sz w:val="28"/>
          <w:szCs w:val="20"/>
        </w:rPr>
        <w:t>；</w:t>
      </w:r>
    </w:p>
    <w:p w14:paraId="3138DCF9">
      <w:pPr>
        <w:spacing w:line="360" w:lineRule="auto"/>
        <w:ind w:firstLine="560" w:firstLineChars="200"/>
        <w:rPr>
          <w:rFonts w:ascii="宋体" w:hAnsi="宋体" w:eastAsia="宋体" w:cs="仿宋"/>
          <w:sz w:val="28"/>
          <w:szCs w:val="20"/>
        </w:rPr>
      </w:pPr>
      <w:r>
        <w:rPr>
          <w:rFonts w:hint="eastAsia" w:ascii="宋体" w:hAnsi="宋体" w:eastAsia="宋体" w:cs="仿宋"/>
          <w:sz w:val="28"/>
          <w:szCs w:val="20"/>
        </w:rPr>
        <w:t>供应商：</w:t>
      </w:r>
      <w:r>
        <w:rPr>
          <w:rFonts w:hint="eastAsia" w:ascii="宋体" w:hAnsi="宋体" w:eastAsia="宋体" w:cs="仿宋"/>
          <w:sz w:val="28"/>
          <w:szCs w:val="20"/>
          <w:u w:val="single"/>
        </w:rPr>
        <w:t xml:space="preserve">                          </w:t>
      </w:r>
      <w:r>
        <w:rPr>
          <w:rFonts w:hint="eastAsia" w:ascii="宋体" w:hAnsi="宋体" w:eastAsia="宋体" w:cs="仿宋"/>
          <w:sz w:val="28"/>
          <w:szCs w:val="20"/>
        </w:rPr>
        <w:t>（盖章）</w:t>
      </w:r>
    </w:p>
    <w:p w14:paraId="27EE825F">
      <w:pPr>
        <w:spacing w:line="360" w:lineRule="auto"/>
        <w:ind w:firstLine="560" w:firstLineChars="200"/>
        <w:rPr>
          <w:rFonts w:ascii="宋体" w:hAnsi="宋体" w:eastAsia="宋体" w:cs="仿宋"/>
          <w:sz w:val="28"/>
          <w:szCs w:val="20"/>
        </w:rPr>
      </w:pPr>
      <w:r>
        <w:rPr>
          <w:rFonts w:hint="eastAsia" w:ascii="宋体" w:hAnsi="宋体" w:eastAsia="宋体" w:cs="仿宋"/>
          <w:sz w:val="28"/>
          <w:szCs w:val="20"/>
        </w:rPr>
        <w:t>法定代表人：</w:t>
      </w:r>
      <w:r>
        <w:rPr>
          <w:rFonts w:hint="eastAsia" w:ascii="宋体" w:hAnsi="宋体" w:eastAsia="宋体" w:cs="仿宋"/>
          <w:sz w:val="28"/>
          <w:szCs w:val="20"/>
          <w:u w:val="single"/>
        </w:rPr>
        <w:t xml:space="preserve">                      </w:t>
      </w:r>
      <w:r>
        <w:rPr>
          <w:rFonts w:hint="eastAsia" w:ascii="宋体" w:hAnsi="宋体" w:eastAsia="宋体" w:cs="仿宋"/>
          <w:sz w:val="28"/>
          <w:szCs w:val="20"/>
        </w:rPr>
        <w:t>（签字或盖章）</w:t>
      </w:r>
    </w:p>
    <w:p w14:paraId="0258638C">
      <w:pPr>
        <w:spacing w:line="360" w:lineRule="auto"/>
        <w:ind w:firstLine="560" w:firstLineChars="200"/>
        <w:rPr>
          <w:rFonts w:ascii="宋体" w:hAnsi="宋体" w:eastAsia="宋体" w:cs="仿宋"/>
          <w:sz w:val="28"/>
          <w:szCs w:val="20"/>
        </w:rPr>
      </w:pPr>
      <w:r>
        <w:rPr>
          <w:rFonts w:hint="eastAsia" w:ascii="宋体" w:hAnsi="宋体" w:eastAsia="宋体" w:cs="仿宋"/>
          <w:sz w:val="28"/>
          <w:szCs w:val="20"/>
        </w:rPr>
        <w:t>授权委托日期：</w:t>
      </w:r>
      <w:r>
        <w:rPr>
          <w:rFonts w:hint="eastAsia" w:ascii="宋体" w:hAnsi="宋体" w:eastAsia="宋体" w:cs="仿宋"/>
          <w:sz w:val="28"/>
          <w:szCs w:val="20"/>
          <w:u w:val="single"/>
        </w:rPr>
        <w:t xml:space="preserve">         </w:t>
      </w:r>
      <w:r>
        <w:rPr>
          <w:rFonts w:hint="eastAsia" w:ascii="宋体" w:hAnsi="宋体" w:eastAsia="宋体" w:cs="仿宋"/>
          <w:sz w:val="28"/>
          <w:szCs w:val="20"/>
        </w:rPr>
        <w:t>年</w:t>
      </w:r>
      <w:r>
        <w:rPr>
          <w:rFonts w:hint="eastAsia" w:ascii="宋体" w:hAnsi="宋体" w:eastAsia="宋体" w:cs="仿宋"/>
          <w:sz w:val="28"/>
          <w:szCs w:val="20"/>
          <w:u w:val="single"/>
        </w:rPr>
        <w:t xml:space="preserve">      </w:t>
      </w:r>
      <w:r>
        <w:rPr>
          <w:rFonts w:hint="eastAsia" w:ascii="宋体" w:hAnsi="宋体" w:eastAsia="宋体" w:cs="仿宋"/>
          <w:sz w:val="28"/>
          <w:szCs w:val="20"/>
        </w:rPr>
        <w:t>月</w:t>
      </w:r>
      <w:r>
        <w:rPr>
          <w:rFonts w:hint="eastAsia" w:ascii="宋体" w:hAnsi="宋体" w:eastAsia="宋体" w:cs="仿宋"/>
          <w:sz w:val="28"/>
          <w:szCs w:val="20"/>
          <w:u w:val="single"/>
        </w:rPr>
        <w:t xml:space="preserve">      </w:t>
      </w:r>
      <w:r>
        <w:rPr>
          <w:rFonts w:hint="eastAsia" w:ascii="宋体" w:hAnsi="宋体" w:eastAsia="宋体" w:cs="仿宋"/>
          <w:sz w:val="28"/>
          <w:szCs w:val="20"/>
        </w:rPr>
        <w:t>日</w:t>
      </w:r>
    </w:p>
    <w:p w14:paraId="71680B5F">
      <w:pPr>
        <w:spacing w:before="1560" w:after="120" w:line="520" w:lineRule="exact"/>
        <w:ind w:firstLine="560" w:firstLineChars="200"/>
        <w:jc w:val="center"/>
        <w:outlineLvl w:val="1"/>
        <w:rPr>
          <w:rFonts w:ascii="宋体" w:hAnsi="宋体" w:eastAsia="宋体" w:cs="仿宋"/>
          <w:b/>
          <w:kern w:val="0"/>
          <w:sz w:val="28"/>
          <w:szCs w:val="24"/>
        </w:rPr>
      </w:pPr>
      <w:r>
        <w:rPr>
          <w:rFonts w:hint="eastAsia" w:ascii="宋体" w:hAnsi="宋体" w:eastAsia="宋体" w:cs="仿宋"/>
          <w:b/>
          <w:kern w:val="0"/>
          <w:sz w:val="28"/>
          <w:szCs w:val="24"/>
        </w:rPr>
        <w:br w:type="page"/>
      </w:r>
      <w:bookmarkStart w:id="84" w:name="_Toc56170396"/>
      <w:bookmarkStart w:id="85" w:name="_Toc195529427"/>
      <w:bookmarkStart w:id="86" w:name="_Toc6471"/>
      <w:bookmarkStart w:id="87" w:name="_Toc20861"/>
      <w:r>
        <w:rPr>
          <w:rFonts w:hint="eastAsia" w:ascii="宋体" w:hAnsi="宋体" w:eastAsia="宋体" w:cs="仿宋"/>
          <w:b/>
          <w:kern w:val="0"/>
          <w:sz w:val="28"/>
          <w:szCs w:val="24"/>
        </w:rPr>
        <w:t>附件四、关于谈判文件的声明函</w:t>
      </w:r>
      <w:bookmarkEnd w:id="84"/>
      <w:bookmarkEnd w:id="85"/>
      <w:bookmarkEnd w:id="86"/>
      <w:bookmarkEnd w:id="87"/>
    </w:p>
    <w:p w14:paraId="18260113">
      <w:pPr>
        <w:adjustRightInd w:val="0"/>
        <w:snapToGrid w:val="0"/>
        <w:spacing w:line="360" w:lineRule="auto"/>
        <w:ind w:firstLine="560" w:firstLineChars="200"/>
        <w:rPr>
          <w:rFonts w:ascii="宋体" w:hAnsi="宋体" w:eastAsia="宋体" w:cs="仿宋"/>
          <w:sz w:val="28"/>
          <w:szCs w:val="28"/>
        </w:rPr>
      </w:pPr>
    </w:p>
    <w:p w14:paraId="55C5BC93">
      <w:pPr>
        <w:spacing w:line="360" w:lineRule="auto"/>
        <w:ind w:firstLine="560" w:firstLineChars="200"/>
        <w:rPr>
          <w:rFonts w:ascii="宋体" w:hAnsi="宋体" w:eastAsia="宋体" w:cs="仿宋"/>
          <w:sz w:val="28"/>
          <w:szCs w:val="20"/>
        </w:rPr>
      </w:pPr>
      <w:r>
        <w:rPr>
          <w:rFonts w:hint="eastAsia" w:ascii="宋体" w:hAnsi="宋体" w:eastAsia="宋体" w:cs="仿宋"/>
          <w:sz w:val="28"/>
          <w:szCs w:val="20"/>
        </w:rPr>
        <w:t>致</w:t>
      </w:r>
      <w:r>
        <w:rPr>
          <w:rFonts w:hint="eastAsia" w:ascii="宋体" w:hAnsi="宋体" w:eastAsia="宋体" w:cs="仿宋"/>
          <w:sz w:val="28"/>
          <w:szCs w:val="16"/>
          <w:lang w:eastAsia="zh-CN"/>
        </w:rPr>
        <w:t>中华人民共和国新疆出入境边防检查总站</w:t>
      </w:r>
      <w:r>
        <w:rPr>
          <w:rFonts w:hint="eastAsia" w:ascii="宋体" w:hAnsi="宋体" w:eastAsia="宋体" w:cs="仿宋"/>
          <w:sz w:val="28"/>
          <w:szCs w:val="20"/>
        </w:rPr>
        <w:t>：</w:t>
      </w:r>
    </w:p>
    <w:p w14:paraId="3795C3F3">
      <w:pPr>
        <w:adjustRightInd w:val="0"/>
        <w:snapToGrid w:val="0"/>
        <w:spacing w:line="360" w:lineRule="auto"/>
        <w:ind w:firstLine="565" w:firstLineChars="202"/>
        <w:rPr>
          <w:rFonts w:ascii="宋体" w:hAnsi="宋体" w:eastAsia="宋体" w:cs="Times New Roman"/>
          <w:sz w:val="28"/>
          <w:szCs w:val="21"/>
        </w:rPr>
      </w:pPr>
      <w:r>
        <w:rPr>
          <w:rFonts w:hint="eastAsia" w:ascii="宋体" w:hAnsi="宋体" w:eastAsia="宋体" w:cs="Times New Roman"/>
          <w:sz w:val="28"/>
          <w:szCs w:val="21"/>
        </w:rPr>
        <w:t>关于贵公司</w:t>
      </w:r>
      <w:r>
        <w:rPr>
          <w:rFonts w:hint="eastAsia" w:ascii="宋体" w:hAnsi="宋体" w:eastAsia="宋体" w:cs="Times New Roman"/>
          <w:sz w:val="28"/>
          <w:szCs w:val="21"/>
          <w:u w:val="single"/>
        </w:rPr>
        <w:t>　 　</w:t>
      </w:r>
      <w:r>
        <w:rPr>
          <w:rFonts w:hint="eastAsia" w:ascii="宋体" w:hAnsi="宋体" w:eastAsia="宋体" w:cs="Times New Roman"/>
          <w:sz w:val="28"/>
          <w:szCs w:val="21"/>
        </w:rPr>
        <w:t>年</w:t>
      </w:r>
      <w:r>
        <w:rPr>
          <w:rFonts w:hint="eastAsia" w:ascii="宋体" w:hAnsi="宋体" w:eastAsia="宋体" w:cs="Times New Roman"/>
          <w:sz w:val="28"/>
          <w:szCs w:val="21"/>
          <w:u w:val="single"/>
        </w:rPr>
        <w:t>　　</w:t>
      </w:r>
      <w:r>
        <w:rPr>
          <w:rFonts w:hint="eastAsia" w:ascii="宋体" w:hAnsi="宋体" w:eastAsia="宋体" w:cs="Times New Roman"/>
          <w:sz w:val="28"/>
          <w:szCs w:val="21"/>
        </w:rPr>
        <w:t>月</w:t>
      </w:r>
      <w:r>
        <w:rPr>
          <w:rFonts w:hint="eastAsia" w:ascii="宋体" w:hAnsi="宋体" w:eastAsia="宋体" w:cs="Times New Roman"/>
          <w:sz w:val="28"/>
          <w:szCs w:val="21"/>
          <w:u w:val="single"/>
        </w:rPr>
        <w:t>　　</w:t>
      </w:r>
      <w:r>
        <w:rPr>
          <w:rFonts w:hint="eastAsia" w:ascii="宋体" w:hAnsi="宋体" w:eastAsia="宋体" w:cs="Times New Roman"/>
          <w:sz w:val="28"/>
          <w:szCs w:val="21"/>
        </w:rPr>
        <w:t>日发布</w:t>
      </w:r>
      <w:r>
        <w:rPr>
          <w:rFonts w:ascii="宋体" w:hAnsi="宋体" w:eastAsia="宋体" w:cs="Times New Roman"/>
          <w:sz w:val="28"/>
          <w:szCs w:val="21"/>
          <w:u w:val="single"/>
        </w:rPr>
        <w:t xml:space="preserve">  </w:t>
      </w:r>
      <w:r>
        <w:rPr>
          <w:rFonts w:hint="eastAsia" w:ascii="宋体" w:hAnsi="宋体" w:eastAsia="宋体" w:cs="Times New Roman"/>
          <w:sz w:val="28"/>
          <w:szCs w:val="21"/>
          <w:u w:val="single"/>
        </w:rPr>
        <w:t xml:space="preserve">                 </w:t>
      </w:r>
      <w:r>
        <w:rPr>
          <w:rFonts w:ascii="宋体" w:hAnsi="宋体" w:eastAsia="宋体" w:cs="Times New Roman"/>
          <w:sz w:val="28"/>
          <w:szCs w:val="21"/>
          <w:u w:val="single"/>
        </w:rPr>
        <w:t xml:space="preserve">  </w:t>
      </w:r>
      <w:r>
        <w:rPr>
          <w:rFonts w:hint="eastAsia" w:ascii="宋体" w:hAnsi="宋体" w:eastAsia="宋体" w:cs="Times New Roman"/>
          <w:sz w:val="28"/>
          <w:szCs w:val="21"/>
        </w:rPr>
        <w:t>项目（项目编号：</w:t>
      </w:r>
      <w:r>
        <w:rPr>
          <w:rFonts w:hint="eastAsia" w:ascii="宋体" w:hAnsi="宋体" w:eastAsia="宋体" w:cs="Times New Roman"/>
          <w:sz w:val="28"/>
          <w:szCs w:val="21"/>
          <w:u w:val="single"/>
        </w:rPr>
        <w:t xml:space="preserve">      </w:t>
      </w:r>
      <w:r>
        <w:rPr>
          <w:rFonts w:hint="eastAsia" w:ascii="宋体" w:hAnsi="宋体" w:eastAsia="宋体" w:cs="Times New Roman"/>
          <w:sz w:val="28"/>
          <w:szCs w:val="21"/>
        </w:rPr>
        <w:t>）的采购公告，本公司（企业）愿意参加投标，并声明如下：</w:t>
      </w:r>
    </w:p>
    <w:p w14:paraId="6D243AE8">
      <w:pPr>
        <w:adjustRightInd w:val="0"/>
        <w:snapToGrid w:val="0"/>
        <w:spacing w:line="360" w:lineRule="auto"/>
        <w:ind w:firstLine="565" w:firstLineChars="202"/>
        <w:rPr>
          <w:rFonts w:ascii="宋体" w:hAnsi="宋体" w:eastAsia="宋体" w:cs="Times New Roman"/>
          <w:sz w:val="28"/>
          <w:szCs w:val="21"/>
        </w:rPr>
      </w:pPr>
      <w:r>
        <w:rPr>
          <w:rFonts w:hint="eastAsia" w:ascii="宋体" w:hAnsi="宋体" w:eastAsia="宋体" w:cs="Times New Roman"/>
          <w:sz w:val="28"/>
          <w:szCs w:val="21"/>
        </w:rPr>
        <w:t>(1)本公司（企业）具备</w:t>
      </w:r>
      <w:r>
        <w:rPr>
          <w:rFonts w:hint="eastAsia" w:ascii="宋体" w:hAnsi="宋体" w:eastAsia="宋体" w:cs="Times New Roman"/>
          <w:bCs/>
          <w:sz w:val="28"/>
          <w:szCs w:val="21"/>
        </w:rPr>
        <w:t>《中华人民共和国政府采购法》第二十二条资格条件，</w:t>
      </w:r>
      <w:r>
        <w:rPr>
          <w:rFonts w:hint="eastAsia" w:ascii="宋体" w:hAnsi="宋体" w:eastAsia="宋体" w:cs="Times New Roman"/>
          <w:sz w:val="28"/>
          <w:szCs w:val="21"/>
        </w:rPr>
        <w:t>并已清楚谈判文件的要求及有关文件规定。</w:t>
      </w:r>
    </w:p>
    <w:p w14:paraId="03E57C8B">
      <w:pPr>
        <w:adjustRightInd w:val="0"/>
        <w:snapToGrid w:val="0"/>
        <w:spacing w:line="360" w:lineRule="auto"/>
        <w:ind w:firstLine="565" w:firstLineChars="202"/>
        <w:rPr>
          <w:rFonts w:ascii="宋体" w:hAnsi="宋体" w:eastAsia="宋体" w:cs="Times New Roman"/>
          <w:sz w:val="28"/>
          <w:szCs w:val="21"/>
        </w:rPr>
      </w:pPr>
      <w:r>
        <w:rPr>
          <w:rFonts w:hint="eastAsia" w:ascii="宋体" w:hAnsi="宋体" w:eastAsia="宋体" w:cs="Times New Roman"/>
          <w:sz w:val="28"/>
          <w:szCs w:val="21"/>
        </w:rPr>
        <w:t>(2)本公司（企业）</w:t>
      </w:r>
      <w:r>
        <w:rPr>
          <w:rFonts w:ascii="宋体" w:hAnsi="宋体" w:eastAsia="宋体" w:cs="Times New Roman"/>
          <w:sz w:val="28"/>
          <w:szCs w:val="21"/>
        </w:rPr>
        <w:t>具有履行合同所必需的设备和专业技术能力</w:t>
      </w:r>
      <w:r>
        <w:rPr>
          <w:rFonts w:hint="eastAsia" w:ascii="宋体" w:hAnsi="宋体" w:eastAsia="宋体" w:cs="Times New Roman"/>
          <w:sz w:val="28"/>
          <w:szCs w:val="21"/>
        </w:rPr>
        <w:t>，且本公司（企业）参加政府采购活动前</w:t>
      </w:r>
      <w:r>
        <w:rPr>
          <w:rFonts w:ascii="宋体" w:hAnsi="宋体" w:eastAsia="宋体" w:cs="Times New Roman"/>
          <w:sz w:val="28"/>
          <w:szCs w:val="21"/>
        </w:rPr>
        <w:t>3</w:t>
      </w:r>
      <w:r>
        <w:rPr>
          <w:rFonts w:hint="eastAsia" w:ascii="宋体" w:hAnsi="宋体" w:eastAsia="宋体" w:cs="Times New Roman"/>
          <w:sz w:val="28"/>
          <w:szCs w:val="21"/>
        </w:rPr>
        <w:t>年内在经营活动中没有重大违法记录。否则，由此所造成的损失、不良后果及法律责任，一律由我公司（企业）承担。</w:t>
      </w:r>
    </w:p>
    <w:p w14:paraId="1C29146E">
      <w:pPr>
        <w:adjustRightInd w:val="0"/>
        <w:snapToGrid w:val="0"/>
        <w:spacing w:line="360" w:lineRule="auto"/>
        <w:ind w:firstLine="565" w:firstLineChars="202"/>
        <w:rPr>
          <w:rFonts w:ascii="宋体" w:hAnsi="宋体" w:eastAsia="宋体" w:cs="Times New Roman"/>
          <w:sz w:val="28"/>
          <w:szCs w:val="21"/>
        </w:rPr>
      </w:pPr>
      <w:r>
        <w:rPr>
          <w:rFonts w:hint="eastAsia" w:ascii="宋体" w:hAnsi="宋体" w:eastAsia="宋体" w:cs="Times New Roman"/>
          <w:sz w:val="28"/>
          <w:szCs w:val="21"/>
        </w:rPr>
        <w:t>(3)</w:t>
      </w:r>
      <w:r>
        <w:rPr>
          <w:rFonts w:ascii="宋体" w:hAnsi="宋体" w:eastAsia="宋体" w:cs="Times New Roman"/>
          <w:sz w:val="28"/>
          <w:szCs w:val="21"/>
        </w:rPr>
        <w:t>关于</w:t>
      </w:r>
      <w:r>
        <w:rPr>
          <w:rFonts w:hint="eastAsia" w:ascii="宋体" w:hAnsi="宋体" w:eastAsia="宋体" w:cs="Times New Roman"/>
          <w:sz w:val="28"/>
          <w:szCs w:val="21"/>
        </w:rPr>
        <w:t>本</w:t>
      </w:r>
      <w:r>
        <w:rPr>
          <w:rFonts w:ascii="宋体" w:hAnsi="宋体" w:eastAsia="宋体" w:cs="Times New Roman"/>
          <w:sz w:val="28"/>
          <w:szCs w:val="21"/>
        </w:rPr>
        <w:t>企业信用</w:t>
      </w:r>
      <w:r>
        <w:rPr>
          <w:rFonts w:hint="eastAsia" w:ascii="宋体" w:hAnsi="宋体" w:eastAsia="宋体" w:cs="Times New Roman"/>
          <w:sz w:val="28"/>
          <w:szCs w:val="21"/>
        </w:rPr>
        <w:t>情况</w:t>
      </w:r>
      <w:r>
        <w:rPr>
          <w:rFonts w:ascii="宋体" w:hAnsi="宋体" w:eastAsia="宋体" w:cs="Times New Roman"/>
          <w:sz w:val="28"/>
          <w:szCs w:val="21"/>
        </w:rPr>
        <w:t>，经对“信用中国”网站（www.creditchina.gov.cn）、“中国政府采购网”（ www.ccgp.gov.cn）</w:t>
      </w:r>
      <w:r>
        <w:rPr>
          <w:rFonts w:hint="eastAsia" w:ascii="宋体" w:hAnsi="宋体" w:eastAsia="宋体" w:cs="Times New Roman"/>
          <w:sz w:val="28"/>
          <w:szCs w:val="21"/>
        </w:rPr>
        <w:t>信用记录信息的</w:t>
      </w:r>
      <w:r>
        <w:rPr>
          <w:rFonts w:ascii="宋体" w:hAnsi="宋体" w:eastAsia="宋体" w:cs="Times New Roman"/>
          <w:sz w:val="28"/>
          <w:szCs w:val="21"/>
        </w:rPr>
        <w:t>查询，</w:t>
      </w:r>
      <w:r>
        <w:rPr>
          <w:rFonts w:hint="eastAsia" w:ascii="宋体" w:hAnsi="宋体" w:eastAsia="宋体" w:cs="Times New Roman"/>
          <w:sz w:val="28"/>
          <w:szCs w:val="21"/>
        </w:rPr>
        <w:t>截至规定的投标截止时间</w:t>
      </w:r>
      <w:r>
        <w:rPr>
          <w:rFonts w:ascii="宋体" w:hAnsi="宋体" w:eastAsia="宋体" w:cs="Times New Roman"/>
          <w:sz w:val="28"/>
          <w:szCs w:val="21"/>
        </w:rPr>
        <w:t>，我司</w:t>
      </w:r>
      <w:r>
        <w:rPr>
          <w:rFonts w:hint="eastAsia" w:ascii="宋体" w:hAnsi="宋体" w:eastAsia="宋体" w:cs="Times New Roman"/>
          <w:sz w:val="28"/>
          <w:szCs w:val="21"/>
        </w:rPr>
        <w:t>没有被列入失信被执行人、重大税收违法案件当事人名单、政府采购严重违法失信行为记录名单及其他不符合规定条件的供应商</w:t>
      </w:r>
      <w:r>
        <w:rPr>
          <w:rFonts w:ascii="宋体" w:hAnsi="宋体" w:eastAsia="宋体" w:cs="Times New Roman"/>
          <w:sz w:val="28"/>
          <w:szCs w:val="21"/>
        </w:rPr>
        <w:t>名单中</w:t>
      </w:r>
      <w:r>
        <w:rPr>
          <w:rFonts w:hint="eastAsia" w:ascii="宋体" w:hAnsi="宋体" w:eastAsia="宋体" w:cs="Times New Roman"/>
          <w:sz w:val="28"/>
          <w:szCs w:val="21"/>
        </w:rPr>
        <w:t>。</w:t>
      </w:r>
    </w:p>
    <w:p w14:paraId="68F928F3">
      <w:pPr>
        <w:adjustRightInd w:val="0"/>
        <w:snapToGrid w:val="0"/>
        <w:spacing w:line="360" w:lineRule="auto"/>
        <w:ind w:firstLine="565" w:firstLineChars="202"/>
        <w:rPr>
          <w:rFonts w:ascii="宋体" w:hAnsi="宋体" w:eastAsia="宋体" w:cs="Times New Roman"/>
          <w:sz w:val="28"/>
          <w:szCs w:val="21"/>
        </w:rPr>
      </w:pPr>
      <w:r>
        <w:rPr>
          <w:rFonts w:hint="eastAsia" w:ascii="宋体" w:hAnsi="宋体" w:eastAsia="宋体" w:cs="Times New Roman"/>
          <w:sz w:val="28"/>
          <w:szCs w:val="21"/>
        </w:rPr>
        <w:t xml:space="preserve"> (4)本公司（企业）不存在以下情况：单位负责人为同一人或者存在直接控股、管理关系的不同供应商，参加同一包号投标或者未划分包号的同一招标项目投标。</w:t>
      </w:r>
    </w:p>
    <w:p w14:paraId="2AD7C0BC">
      <w:pPr>
        <w:adjustRightInd w:val="0"/>
        <w:snapToGrid w:val="0"/>
        <w:spacing w:line="360" w:lineRule="auto"/>
        <w:ind w:firstLine="565" w:firstLineChars="202"/>
        <w:rPr>
          <w:rFonts w:ascii="宋体" w:hAnsi="宋体" w:eastAsia="宋体" w:cs="Times New Roman"/>
          <w:sz w:val="28"/>
          <w:szCs w:val="21"/>
        </w:rPr>
      </w:pPr>
      <w:r>
        <w:rPr>
          <w:rFonts w:hint="eastAsia" w:ascii="宋体" w:hAnsi="宋体" w:eastAsia="宋体" w:cs="Times New Roman"/>
          <w:sz w:val="28"/>
          <w:szCs w:val="21"/>
        </w:rPr>
        <w:t>(5)本公司（企业）不存在以下情况：为采购项目提供整体设计、规范编制或者项目管理、监理、检测等服务的供应商，再参加本采购项目的其他采购活动。</w:t>
      </w:r>
    </w:p>
    <w:p w14:paraId="7D76DD82">
      <w:pPr>
        <w:adjustRightInd w:val="0"/>
        <w:snapToGrid w:val="0"/>
        <w:spacing w:line="360" w:lineRule="auto"/>
        <w:ind w:firstLine="565" w:firstLineChars="202"/>
        <w:rPr>
          <w:rFonts w:ascii="宋体" w:hAnsi="宋体" w:eastAsia="宋体" w:cs="Times New Roman"/>
          <w:sz w:val="28"/>
          <w:szCs w:val="21"/>
        </w:rPr>
      </w:pPr>
      <w:r>
        <w:rPr>
          <w:rFonts w:hint="eastAsia" w:ascii="宋体" w:hAnsi="宋体" w:eastAsia="宋体" w:cs="Times New Roman"/>
          <w:sz w:val="28"/>
          <w:szCs w:val="21"/>
        </w:rPr>
        <w:t>本次招标采购活动中，本单位保证全部响应文件和问题的回答是真实和有效的，并对所提供资料的真实性和正确性承担法律责任。</w:t>
      </w:r>
    </w:p>
    <w:p w14:paraId="48F04E30">
      <w:pPr>
        <w:adjustRightInd w:val="0"/>
        <w:snapToGrid w:val="0"/>
        <w:spacing w:line="360" w:lineRule="auto"/>
        <w:ind w:firstLine="565" w:firstLineChars="202"/>
        <w:rPr>
          <w:rFonts w:ascii="宋体" w:hAnsi="宋体" w:eastAsia="宋体" w:cs="Times New Roman"/>
          <w:sz w:val="28"/>
          <w:szCs w:val="21"/>
        </w:rPr>
      </w:pPr>
      <w:r>
        <w:rPr>
          <w:rFonts w:hint="eastAsia" w:ascii="宋体" w:hAnsi="宋体" w:eastAsia="宋体" w:cs="Times New Roman"/>
          <w:sz w:val="28"/>
          <w:szCs w:val="21"/>
        </w:rPr>
        <w:t>如有违法、违规、弄虚作假行为，所造成的损失、不良后果及法律责任，一律由我公司（企业）承担。</w:t>
      </w:r>
    </w:p>
    <w:p w14:paraId="19520936">
      <w:pPr>
        <w:spacing w:line="360" w:lineRule="auto"/>
        <w:ind w:firstLine="560"/>
        <w:rPr>
          <w:rFonts w:ascii="宋体" w:hAnsi="宋体" w:eastAsia="宋体" w:cs="Times New Roman"/>
          <w:sz w:val="28"/>
          <w:szCs w:val="21"/>
        </w:rPr>
      </w:pPr>
      <w:r>
        <w:rPr>
          <w:rFonts w:hint="eastAsia" w:ascii="宋体" w:hAnsi="宋体" w:eastAsia="宋体" w:cs="Times New Roman"/>
          <w:sz w:val="28"/>
          <w:szCs w:val="21"/>
        </w:rPr>
        <w:t>特此声明！</w:t>
      </w:r>
    </w:p>
    <w:p w14:paraId="30686740">
      <w:pPr>
        <w:spacing w:line="360" w:lineRule="auto"/>
        <w:ind w:firstLine="562"/>
        <w:rPr>
          <w:rFonts w:ascii="宋体" w:hAnsi="宋体" w:eastAsia="宋体" w:cs="Times New Roman"/>
          <w:b/>
          <w:sz w:val="28"/>
          <w:szCs w:val="21"/>
        </w:rPr>
      </w:pPr>
    </w:p>
    <w:p w14:paraId="400C1410">
      <w:pPr>
        <w:spacing w:line="360" w:lineRule="auto"/>
        <w:ind w:firstLine="480"/>
        <w:rPr>
          <w:rFonts w:ascii="宋体" w:hAnsi="宋体" w:eastAsia="宋体" w:cs="Times New Roman"/>
          <w:sz w:val="24"/>
          <w:szCs w:val="21"/>
        </w:rPr>
      </w:pPr>
      <w:r>
        <w:rPr>
          <w:rFonts w:hint="eastAsia" w:ascii="宋体" w:hAnsi="宋体" w:eastAsia="宋体" w:cs="Times New Roman"/>
          <w:sz w:val="24"/>
          <w:szCs w:val="21"/>
        </w:rPr>
        <w:t>后附附件如下：</w:t>
      </w:r>
    </w:p>
    <w:p w14:paraId="4DC4F51C">
      <w:pPr>
        <w:spacing w:line="360" w:lineRule="auto"/>
        <w:ind w:firstLine="480"/>
        <w:rPr>
          <w:rFonts w:ascii="宋体" w:hAnsi="宋体" w:eastAsia="宋体" w:cs="Times New Roman"/>
          <w:sz w:val="24"/>
          <w:szCs w:val="21"/>
          <w:lang w:val="zh-CN"/>
        </w:rPr>
      </w:pPr>
      <w:r>
        <w:rPr>
          <w:rFonts w:hint="eastAsia" w:ascii="宋体" w:hAnsi="宋体" w:eastAsia="宋体" w:cs="Times New Roman"/>
          <w:sz w:val="24"/>
          <w:szCs w:val="21"/>
        </w:rPr>
        <w:t>1.</w:t>
      </w:r>
      <w:r>
        <w:rPr>
          <w:rFonts w:hint="eastAsia" w:ascii="宋体" w:hAnsi="宋体" w:eastAsia="宋体" w:cs="Times New Roman"/>
          <w:sz w:val="24"/>
          <w:szCs w:val="21"/>
          <w:lang w:val="zh-CN"/>
        </w:rPr>
        <w:t xml:space="preserve"> </w:t>
      </w:r>
      <w:r>
        <w:rPr>
          <w:rFonts w:hint="eastAsia" w:ascii="宋体" w:hAnsi="宋体" w:eastAsia="宋体" w:cs="Times New Roman"/>
          <w:sz w:val="24"/>
          <w:szCs w:val="21"/>
        </w:rPr>
        <w:t>202</w:t>
      </w:r>
      <w:r>
        <w:rPr>
          <w:rFonts w:ascii="宋体" w:hAnsi="宋体" w:eastAsia="宋体" w:cs="Times New Roman"/>
          <w:sz w:val="24"/>
          <w:szCs w:val="21"/>
        </w:rPr>
        <w:t>2</w:t>
      </w:r>
      <w:r>
        <w:rPr>
          <w:rFonts w:hint="eastAsia" w:ascii="宋体" w:hAnsi="宋体" w:eastAsia="宋体" w:cs="Times New Roman"/>
          <w:sz w:val="24"/>
          <w:szCs w:val="21"/>
        </w:rPr>
        <w:t>年度或2</w:t>
      </w:r>
      <w:r>
        <w:rPr>
          <w:rFonts w:ascii="宋体" w:hAnsi="宋体" w:eastAsia="宋体" w:cs="Times New Roman"/>
          <w:sz w:val="24"/>
          <w:szCs w:val="21"/>
        </w:rPr>
        <w:t>023年度或</w:t>
      </w:r>
      <w:r>
        <w:rPr>
          <w:rFonts w:hint="eastAsia" w:ascii="宋体" w:hAnsi="宋体" w:eastAsia="宋体" w:cs="Times New Roman"/>
          <w:sz w:val="24"/>
          <w:szCs w:val="21"/>
        </w:rPr>
        <w:t>2</w:t>
      </w:r>
      <w:r>
        <w:rPr>
          <w:rFonts w:ascii="宋体" w:hAnsi="宋体" w:eastAsia="宋体" w:cs="Times New Roman"/>
          <w:sz w:val="24"/>
          <w:szCs w:val="21"/>
        </w:rPr>
        <w:t>024年度</w:t>
      </w:r>
      <w:r>
        <w:rPr>
          <w:rFonts w:hint="eastAsia" w:ascii="宋体" w:hAnsi="宋体" w:eastAsia="宋体" w:cs="Times New Roman"/>
          <w:sz w:val="24"/>
          <w:szCs w:val="21"/>
          <w:lang w:val="zh-CN"/>
        </w:rPr>
        <w:t>的财务报告(</w:t>
      </w:r>
      <w:r>
        <w:rPr>
          <w:rFonts w:hint="eastAsia" w:ascii="宋体" w:hAnsi="宋体" w:cs="Calibri Light"/>
          <w:kern w:val="0"/>
          <w:sz w:val="24"/>
          <w:szCs w:val="20"/>
        </w:rPr>
        <w:t>供应商成立不足一年（含一年）需提供近三个月内任意一个月的财务报告复印件/扫描件并加盖公章（需包含资产负债表、现金流量表、利润表）或近三个月内任意一个月的银行资信证明材料复印件/扫描件并加盖公章）</w:t>
      </w:r>
      <w:r>
        <w:rPr>
          <w:rFonts w:hint="eastAsia" w:ascii="宋体" w:hAnsi="宋体" w:eastAsia="宋体" w:cs="Times New Roman"/>
          <w:sz w:val="24"/>
          <w:szCs w:val="21"/>
          <w:lang w:val="zh-CN"/>
        </w:rPr>
        <w:t>。（复印件/扫描件加盖公章）</w:t>
      </w:r>
    </w:p>
    <w:p w14:paraId="24172A70">
      <w:pPr>
        <w:spacing w:line="360" w:lineRule="auto"/>
        <w:ind w:firstLine="480"/>
        <w:rPr>
          <w:rFonts w:ascii="宋体" w:hAnsi="宋体" w:eastAsia="宋体" w:cs="Times New Roman"/>
          <w:sz w:val="24"/>
          <w:szCs w:val="21"/>
          <w:lang w:val="zh-CN"/>
        </w:rPr>
      </w:pPr>
      <w:r>
        <w:rPr>
          <w:rFonts w:hint="eastAsia" w:ascii="宋体" w:hAnsi="宋体" w:eastAsia="宋体" w:cs="Times New Roman"/>
          <w:sz w:val="24"/>
          <w:szCs w:val="21"/>
          <w:lang w:val="zh-CN"/>
        </w:rPr>
        <w:t xml:space="preserve">2. </w:t>
      </w:r>
      <w:r>
        <w:rPr>
          <w:rFonts w:hint="eastAsia" w:ascii="宋体" w:hAnsi="宋体" w:eastAsia="宋体" w:cs="Times New Roman"/>
          <w:sz w:val="24"/>
          <w:szCs w:val="21"/>
        </w:rPr>
        <w:t>投标截止前一年</w:t>
      </w:r>
      <w:r>
        <w:rPr>
          <w:rFonts w:hint="eastAsia" w:ascii="宋体" w:hAnsi="宋体" w:eastAsia="宋体" w:cs="Times New Roman"/>
          <w:sz w:val="24"/>
          <w:szCs w:val="21"/>
          <w:lang w:val="zh-CN"/>
        </w:rPr>
        <w:t>内任意一个月的缴纳税收证明材料（如增值税、营业税等缴纳凭证）。</w:t>
      </w:r>
    </w:p>
    <w:p w14:paraId="7E5388EE">
      <w:pPr>
        <w:spacing w:line="360" w:lineRule="auto"/>
        <w:ind w:firstLine="480"/>
        <w:rPr>
          <w:rFonts w:ascii="宋体" w:hAnsi="宋体" w:eastAsia="宋体" w:cs="Times New Roman"/>
          <w:sz w:val="24"/>
          <w:szCs w:val="21"/>
          <w:lang w:val="zh-CN"/>
        </w:rPr>
      </w:pPr>
      <w:r>
        <w:rPr>
          <w:rFonts w:hint="eastAsia" w:ascii="宋体" w:hAnsi="宋体" w:eastAsia="宋体" w:cs="Times New Roman"/>
          <w:sz w:val="24"/>
          <w:szCs w:val="21"/>
          <w:lang w:val="zh-CN"/>
        </w:rPr>
        <w:t>3.</w:t>
      </w:r>
      <w:r>
        <w:rPr>
          <w:rFonts w:hint="eastAsia" w:ascii="宋体" w:hAnsi="宋体" w:eastAsia="宋体" w:cs="Times New Roman"/>
          <w:sz w:val="24"/>
          <w:szCs w:val="21"/>
        </w:rPr>
        <w:t xml:space="preserve"> 投标截止前一年</w:t>
      </w:r>
      <w:r>
        <w:rPr>
          <w:rFonts w:hint="eastAsia" w:ascii="宋体" w:hAnsi="宋体" w:eastAsia="宋体" w:cs="Times New Roman"/>
          <w:sz w:val="24"/>
          <w:szCs w:val="21"/>
          <w:lang w:val="zh-CN"/>
        </w:rPr>
        <w:t>内任意一个月的缴纳社会保险凭据。</w:t>
      </w:r>
    </w:p>
    <w:p w14:paraId="709EBF5C">
      <w:pPr>
        <w:adjustRightInd w:val="0"/>
        <w:snapToGrid w:val="0"/>
        <w:spacing w:line="360" w:lineRule="auto"/>
        <w:ind w:firstLine="480"/>
        <w:rPr>
          <w:rFonts w:ascii="宋体" w:hAnsi="宋体" w:eastAsia="宋体" w:cs="Times New Roman"/>
          <w:sz w:val="24"/>
          <w:szCs w:val="21"/>
          <w:lang w:val="zh-CN"/>
        </w:rPr>
      </w:pPr>
      <w:r>
        <w:rPr>
          <w:rFonts w:hint="eastAsia" w:ascii="宋体" w:hAnsi="宋体" w:eastAsia="宋体" w:cs="Times New Roman"/>
          <w:sz w:val="24"/>
          <w:szCs w:val="21"/>
          <w:lang w:val="zh-CN"/>
        </w:rPr>
        <w:t>4. 企业股东构成情况表</w:t>
      </w:r>
    </w:p>
    <w:p w14:paraId="789ABF92">
      <w:pPr>
        <w:pStyle w:val="15"/>
      </w:pPr>
    </w:p>
    <w:p w14:paraId="2DB38AB1">
      <w:pPr>
        <w:adjustRightInd w:val="0"/>
        <w:snapToGrid w:val="0"/>
        <w:spacing w:line="360" w:lineRule="auto"/>
        <w:ind w:firstLine="560"/>
        <w:rPr>
          <w:rFonts w:ascii="宋体" w:hAnsi="宋体" w:eastAsia="宋体" w:cs="Times New Roman"/>
          <w:sz w:val="28"/>
          <w:szCs w:val="21"/>
        </w:rPr>
      </w:pPr>
      <w:r>
        <w:rPr>
          <w:rFonts w:hint="eastAsia" w:ascii="宋体" w:hAnsi="宋体" w:eastAsia="宋体" w:cs="Times New Roman"/>
          <w:sz w:val="28"/>
          <w:szCs w:val="21"/>
        </w:rPr>
        <w:t>供应商法定代表人（或法定代表人授权代表）签字（或签章）：</w:t>
      </w:r>
      <w:r>
        <w:rPr>
          <w:rFonts w:hint="eastAsia" w:ascii="宋体" w:hAnsi="宋体" w:eastAsia="宋体" w:cs="Times New Roman"/>
          <w:sz w:val="28"/>
          <w:szCs w:val="21"/>
          <w:u w:val="single"/>
        </w:rPr>
        <w:t xml:space="preserve">         </w:t>
      </w:r>
    </w:p>
    <w:p w14:paraId="76E6772F">
      <w:pPr>
        <w:adjustRightInd w:val="0"/>
        <w:snapToGrid w:val="0"/>
        <w:spacing w:line="360" w:lineRule="auto"/>
        <w:ind w:firstLine="560"/>
        <w:rPr>
          <w:rFonts w:ascii="宋体" w:hAnsi="宋体" w:eastAsia="宋体" w:cs="Times New Roman"/>
          <w:sz w:val="28"/>
          <w:szCs w:val="21"/>
          <w:u w:val="single"/>
        </w:rPr>
      </w:pPr>
      <w:r>
        <w:rPr>
          <w:rFonts w:hint="eastAsia" w:ascii="宋体" w:hAnsi="宋体" w:eastAsia="宋体" w:cs="Times New Roman"/>
          <w:sz w:val="28"/>
          <w:szCs w:val="21"/>
        </w:rPr>
        <w:t>供应商名称（加盖公章）：</w:t>
      </w:r>
      <w:r>
        <w:rPr>
          <w:rFonts w:hint="eastAsia" w:ascii="宋体" w:hAnsi="宋体" w:eastAsia="宋体" w:cs="Times New Roman"/>
          <w:sz w:val="28"/>
          <w:szCs w:val="21"/>
          <w:u w:val="single"/>
        </w:rPr>
        <w:t xml:space="preserve">                        </w:t>
      </w:r>
    </w:p>
    <w:p w14:paraId="35938916">
      <w:pPr>
        <w:spacing w:line="360" w:lineRule="auto"/>
        <w:ind w:firstLine="560" w:firstLineChars="200"/>
        <w:rPr>
          <w:rFonts w:ascii="宋体" w:hAnsi="宋体" w:eastAsia="宋体" w:cs="Times New Roman"/>
          <w:sz w:val="28"/>
          <w:szCs w:val="21"/>
        </w:rPr>
      </w:pPr>
      <w:r>
        <w:rPr>
          <w:rFonts w:hint="eastAsia" w:ascii="宋体" w:hAnsi="宋体" w:eastAsia="宋体" w:cs="Times New Roman"/>
          <w:sz w:val="28"/>
          <w:szCs w:val="21"/>
        </w:rPr>
        <w:t>日期：</w:t>
      </w:r>
      <w:r>
        <w:rPr>
          <w:rFonts w:hint="eastAsia" w:ascii="宋体" w:hAnsi="宋体" w:eastAsia="宋体" w:cs="Times New Roman"/>
          <w:sz w:val="28"/>
          <w:szCs w:val="21"/>
          <w:u w:val="single"/>
        </w:rPr>
        <w:t xml:space="preserve">          </w:t>
      </w:r>
      <w:r>
        <w:rPr>
          <w:rFonts w:hint="eastAsia" w:ascii="宋体" w:hAnsi="宋体" w:eastAsia="宋体" w:cs="Times New Roman"/>
          <w:sz w:val="28"/>
          <w:szCs w:val="21"/>
        </w:rPr>
        <w:t>年</w:t>
      </w:r>
      <w:r>
        <w:rPr>
          <w:rFonts w:hint="eastAsia" w:ascii="宋体" w:hAnsi="宋体" w:eastAsia="宋体" w:cs="Times New Roman"/>
          <w:sz w:val="28"/>
          <w:szCs w:val="21"/>
          <w:u w:val="single"/>
        </w:rPr>
        <w:t xml:space="preserve">     </w:t>
      </w:r>
      <w:r>
        <w:rPr>
          <w:rFonts w:hint="eastAsia" w:ascii="宋体" w:hAnsi="宋体" w:eastAsia="宋体" w:cs="Times New Roman"/>
          <w:sz w:val="28"/>
          <w:szCs w:val="21"/>
        </w:rPr>
        <w:t xml:space="preserve"> 月</w:t>
      </w:r>
      <w:r>
        <w:rPr>
          <w:rFonts w:hint="eastAsia" w:ascii="宋体" w:hAnsi="宋体" w:eastAsia="宋体" w:cs="Times New Roman"/>
          <w:sz w:val="28"/>
          <w:szCs w:val="21"/>
          <w:u w:val="single"/>
        </w:rPr>
        <w:t xml:space="preserve">    </w:t>
      </w:r>
      <w:r>
        <w:rPr>
          <w:rFonts w:hint="eastAsia" w:ascii="宋体" w:hAnsi="宋体" w:eastAsia="宋体" w:cs="Times New Roman"/>
          <w:sz w:val="28"/>
          <w:szCs w:val="21"/>
        </w:rPr>
        <w:t xml:space="preserve"> 日</w:t>
      </w:r>
    </w:p>
    <w:p w14:paraId="6CE63E3C">
      <w:pPr>
        <w:widowControl/>
        <w:ind w:firstLine="560"/>
        <w:jc w:val="left"/>
        <w:rPr>
          <w:rFonts w:ascii="宋体" w:hAnsi="宋体" w:eastAsia="宋体" w:cs="Times New Roman"/>
          <w:sz w:val="28"/>
          <w:szCs w:val="21"/>
        </w:rPr>
      </w:pPr>
      <w:r>
        <w:rPr>
          <w:rFonts w:ascii="宋体" w:hAnsi="宋体" w:eastAsia="宋体" w:cs="Times New Roman"/>
          <w:sz w:val="28"/>
          <w:szCs w:val="21"/>
        </w:rPr>
        <w:br w:type="page"/>
      </w:r>
    </w:p>
    <w:p w14:paraId="4B465432">
      <w:pPr>
        <w:spacing w:line="400" w:lineRule="exact"/>
        <w:ind w:firstLine="422"/>
        <w:jc w:val="center"/>
        <w:rPr>
          <w:rFonts w:ascii="宋体" w:hAnsi="宋体" w:eastAsia="宋体" w:cs="Times New Roman"/>
          <w:b/>
          <w:szCs w:val="21"/>
        </w:rPr>
      </w:pPr>
      <w:r>
        <w:rPr>
          <w:rFonts w:hint="eastAsia" w:ascii="宋体" w:hAnsi="宋体" w:eastAsia="宋体" w:cs="Times New Roman"/>
          <w:b/>
          <w:szCs w:val="21"/>
        </w:rPr>
        <w:t>企业股东构成情况表</w:t>
      </w:r>
    </w:p>
    <w:p w14:paraId="5C18B6A5">
      <w:pPr>
        <w:spacing w:line="400" w:lineRule="exact"/>
        <w:ind w:firstLine="422"/>
        <w:jc w:val="left"/>
        <w:rPr>
          <w:rFonts w:ascii="宋体" w:hAnsi="宋体" w:eastAsia="宋体" w:cs="Times New Roman"/>
          <w:b/>
          <w:szCs w:val="21"/>
        </w:rPr>
      </w:pPr>
    </w:p>
    <w:tbl>
      <w:tblPr>
        <w:tblStyle w:val="47"/>
        <w:tblW w:w="9039" w:type="dxa"/>
        <w:tblInd w:w="11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1276"/>
        <w:gridCol w:w="284"/>
        <w:gridCol w:w="1417"/>
        <w:gridCol w:w="1496"/>
        <w:gridCol w:w="630"/>
        <w:gridCol w:w="448"/>
        <w:gridCol w:w="545"/>
        <w:gridCol w:w="1134"/>
        <w:gridCol w:w="1134"/>
      </w:tblGrid>
      <w:tr w14:paraId="4C341D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951" w:type="dxa"/>
            <w:gridSpan w:val="2"/>
            <w:tcBorders>
              <w:top w:val="single" w:color="auto" w:sz="4" w:space="0"/>
              <w:left w:val="single" w:color="auto" w:sz="4" w:space="0"/>
              <w:bottom w:val="single" w:color="auto" w:sz="4" w:space="0"/>
              <w:right w:val="single" w:color="auto" w:sz="4" w:space="0"/>
            </w:tcBorders>
            <w:vAlign w:val="center"/>
          </w:tcPr>
          <w:p w14:paraId="6655F200">
            <w:pPr>
              <w:topLinePunct/>
              <w:adjustRightInd w:val="0"/>
              <w:spacing w:line="400" w:lineRule="exact"/>
              <w:ind w:firstLine="420"/>
              <w:jc w:val="center"/>
              <w:textAlignment w:val="baseline"/>
              <w:rPr>
                <w:rFonts w:ascii="宋体" w:hAnsi="宋体" w:eastAsia="宋体" w:cs="Times New Roman"/>
                <w:szCs w:val="21"/>
              </w:rPr>
            </w:pPr>
            <w:r>
              <w:rPr>
                <w:rFonts w:ascii="宋体" w:hAnsi="宋体" w:eastAsia="宋体" w:cs="Times New Roman"/>
                <w:szCs w:val="21"/>
              </w:rPr>
              <w:t>企业名称</w:t>
            </w:r>
          </w:p>
        </w:tc>
        <w:tc>
          <w:tcPr>
            <w:tcW w:w="7088" w:type="dxa"/>
            <w:gridSpan w:val="8"/>
            <w:tcBorders>
              <w:top w:val="single" w:color="auto" w:sz="4" w:space="0"/>
              <w:left w:val="single" w:color="auto" w:sz="4" w:space="0"/>
              <w:bottom w:val="single" w:color="auto" w:sz="4" w:space="0"/>
              <w:right w:val="single" w:color="auto" w:sz="4" w:space="0"/>
            </w:tcBorders>
            <w:vAlign w:val="center"/>
          </w:tcPr>
          <w:p w14:paraId="562FEFC2">
            <w:pPr>
              <w:topLinePunct/>
              <w:adjustRightInd w:val="0"/>
              <w:spacing w:line="400" w:lineRule="exact"/>
              <w:ind w:firstLine="420"/>
              <w:jc w:val="center"/>
              <w:textAlignment w:val="baseline"/>
              <w:rPr>
                <w:rFonts w:ascii="宋体" w:hAnsi="宋体" w:eastAsia="宋体" w:cs="Times New Roman"/>
                <w:szCs w:val="21"/>
              </w:rPr>
            </w:pPr>
          </w:p>
        </w:tc>
      </w:tr>
      <w:tr w14:paraId="1D4CF6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951" w:type="dxa"/>
            <w:gridSpan w:val="2"/>
            <w:tcBorders>
              <w:top w:val="single" w:color="auto" w:sz="4" w:space="0"/>
              <w:left w:val="single" w:color="auto" w:sz="4" w:space="0"/>
              <w:bottom w:val="single" w:color="auto" w:sz="4" w:space="0"/>
              <w:right w:val="single" w:color="auto" w:sz="4" w:space="0"/>
            </w:tcBorders>
            <w:vAlign w:val="center"/>
          </w:tcPr>
          <w:p w14:paraId="0B53A97F">
            <w:pPr>
              <w:topLinePunct/>
              <w:adjustRightInd w:val="0"/>
              <w:spacing w:line="400" w:lineRule="exact"/>
              <w:ind w:firstLine="420"/>
              <w:jc w:val="center"/>
              <w:textAlignment w:val="baseline"/>
              <w:rPr>
                <w:rFonts w:ascii="宋体" w:hAnsi="宋体" w:eastAsia="宋体" w:cs="Times New Roman"/>
                <w:szCs w:val="21"/>
              </w:rPr>
            </w:pPr>
            <w:r>
              <w:rPr>
                <w:rFonts w:ascii="宋体" w:hAnsi="宋体" w:eastAsia="宋体" w:cs="Times New Roman"/>
                <w:szCs w:val="21"/>
              </w:rPr>
              <w:t>注册地址</w:t>
            </w:r>
          </w:p>
        </w:tc>
        <w:tc>
          <w:tcPr>
            <w:tcW w:w="3197" w:type="dxa"/>
            <w:gridSpan w:val="3"/>
            <w:tcBorders>
              <w:top w:val="single" w:color="auto" w:sz="4" w:space="0"/>
              <w:left w:val="single" w:color="auto" w:sz="4" w:space="0"/>
              <w:bottom w:val="single" w:color="auto" w:sz="4" w:space="0"/>
              <w:right w:val="single" w:color="auto" w:sz="4" w:space="0"/>
            </w:tcBorders>
            <w:vAlign w:val="center"/>
          </w:tcPr>
          <w:p w14:paraId="054530D5">
            <w:pPr>
              <w:topLinePunct/>
              <w:adjustRightInd w:val="0"/>
              <w:spacing w:line="400" w:lineRule="exact"/>
              <w:ind w:firstLine="420"/>
              <w:jc w:val="center"/>
              <w:textAlignment w:val="baseline"/>
              <w:rPr>
                <w:rFonts w:ascii="宋体" w:hAnsi="宋体" w:eastAsia="宋体" w:cs="Times New Roman"/>
                <w:szCs w:val="21"/>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14:paraId="2AC8025B">
            <w:pPr>
              <w:topLinePunct/>
              <w:adjustRightInd w:val="0"/>
              <w:spacing w:line="400" w:lineRule="exact"/>
              <w:ind w:firstLine="420"/>
              <w:jc w:val="center"/>
              <w:textAlignment w:val="baseline"/>
              <w:rPr>
                <w:rFonts w:ascii="宋体" w:hAnsi="宋体" w:eastAsia="宋体" w:cs="Times New Roman"/>
                <w:szCs w:val="21"/>
              </w:rPr>
            </w:pPr>
            <w:r>
              <w:rPr>
                <w:rFonts w:hint="eastAsia" w:ascii="宋体" w:hAnsi="宋体" w:eastAsia="宋体" w:cs="Times New Roman"/>
                <w:szCs w:val="21"/>
              </w:rPr>
              <w:t>企业类型</w:t>
            </w:r>
          </w:p>
        </w:tc>
        <w:tc>
          <w:tcPr>
            <w:tcW w:w="2813" w:type="dxa"/>
            <w:gridSpan w:val="3"/>
            <w:tcBorders>
              <w:top w:val="single" w:color="auto" w:sz="4" w:space="0"/>
              <w:left w:val="single" w:color="auto" w:sz="4" w:space="0"/>
              <w:bottom w:val="single" w:color="auto" w:sz="4" w:space="0"/>
              <w:right w:val="single" w:color="auto" w:sz="4" w:space="0"/>
            </w:tcBorders>
            <w:vAlign w:val="center"/>
          </w:tcPr>
          <w:p w14:paraId="3D7E2F1E">
            <w:pPr>
              <w:topLinePunct/>
              <w:adjustRightInd w:val="0"/>
              <w:spacing w:line="400" w:lineRule="exact"/>
              <w:ind w:firstLine="420"/>
              <w:jc w:val="center"/>
              <w:textAlignment w:val="baseline"/>
              <w:rPr>
                <w:rFonts w:ascii="宋体" w:hAnsi="宋体" w:eastAsia="宋体" w:cs="Times New Roman"/>
                <w:szCs w:val="21"/>
              </w:rPr>
            </w:pPr>
          </w:p>
        </w:tc>
      </w:tr>
      <w:tr w14:paraId="1D9AAC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951" w:type="dxa"/>
            <w:gridSpan w:val="2"/>
            <w:tcBorders>
              <w:top w:val="single" w:color="auto" w:sz="4" w:space="0"/>
              <w:left w:val="single" w:color="auto" w:sz="4" w:space="0"/>
              <w:bottom w:val="single" w:color="auto" w:sz="4" w:space="0"/>
              <w:right w:val="single" w:color="auto" w:sz="4" w:space="0"/>
            </w:tcBorders>
            <w:vAlign w:val="center"/>
          </w:tcPr>
          <w:p w14:paraId="7F162F07">
            <w:pPr>
              <w:topLinePunct/>
              <w:adjustRightInd w:val="0"/>
              <w:spacing w:line="400" w:lineRule="exact"/>
              <w:ind w:firstLine="420"/>
              <w:jc w:val="center"/>
              <w:textAlignment w:val="baseline"/>
              <w:rPr>
                <w:rFonts w:ascii="宋体" w:hAnsi="宋体" w:eastAsia="宋体" w:cs="Times New Roman"/>
                <w:szCs w:val="21"/>
              </w:rPr>
            </w:pPr>
            <w:r>
              <w:rPr>
                <w:rFonts w:ascii="宋体" w:hAnsi="宋体" w:eastAsia="宋体" w:cs="Times New Roman"/>
                <w:szCs w:val="21"/>
              </w:rPr>
              <w:t>法定代表人姓名</w:t>
            </w:r>
          </w:p>
        </w:tc>
        <w:tc>
          <w:tcPr>
            <w:tcW w:w="3197" w:type="dxa"/>
            <w:gridSpan w:val="3"/>
            <w:tcBorders>
              <w:top w:val="single" w:color="auto" w:sz="4" w:space="0"/>
              <w:left w:val="single" w:color="auto" w:sz="4" w:space="0"/>
              <w:bottom w:val="single" w:color="auto" w:sz="4" w:space="0"/>
              <w:right w:val="single" w:color="auto" w:sz="4" w:space="0"/>
            </w:tcBorders>
            <w:vAlign w:val="center"/>
          </w:tcPr>
          <w:p w14:paraId="17B58B85">
            <w:pPr>
              <w:topLinePunct/>
              <w:adjustRightInd w:val="0"/>
              <w:spacing w:line="400" w:lineRule="exact"/>
              <w:ind w:firstLine="420"/>
              <w:jc w:val="center"/>
              <w:textAlignment w:val="baseline"/>
              <w:rPr>
                <w:rFonts w:ascii="宋体" w:hAnsi="宋体" w:eastAsia="宋体" w:cs="Times New Roman"/>
                <w:szCs w:val="21"/>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14:paraId="393386D5">
            <w:pPr>
              <w:topLinePunct/>
              <w:adjustRightInd w:val="0"/>
              <w:spacing w:line="400" w:lineRule="exact"/>
              <w:ind w:firstLine="420"/>
              <w:jc w:val="center"/>
              <w:textAlignment w:val="baseline"/>
              <w:rPr>
                <w:rFonts w:ascii="宋体" w:hAnsi="宋体" w:eastAsia="宋体" w:cs="Times New Roman"/>
                <w:szCs w:val="21"/>
              </w:rPr>
            </w:pPr>
            <w:r>
              <w:rPr>
                <w:rFonts w:ascii="宋体" w:hAnsi="宋体" w:eastAsia="宋体" w:cs="Times New Roman"/>
                <w:szCs w:val="21"/>
              </w:rPr>
              <w:t>电话</w:t>
            </w:r>
          </w:p>
        </w:tc>
        <w:tc>
          <w:tcPr>
            <w:tcW w:w="2813" w:type="dxa"/>
            <w:gridSpan w:val="3"/>
            <w:tcBorders>
              <w:top w:val="single" w:color="auto" w:sz="4" w:space="0"/>
              <w:left w:val="single" w:color="auto" w:sz="4" w:space="0"/>
              <w:bottom w:val="single" w:color="auto" w:sz="4" w:space="0"/>
              <w:right w:val="single" w:color="auto" w:sz="4" w:space="0"/>
            </w:tcBorders>
            <w:vAlign w:val="center"/>
          </w:tcPr>
          <w:p w14:paraId="11B2BAA4">
            <w:pPr>
              <w:topLinePunct/>
              <w:adjustRightInd w:val="0"/>
              <w:spacing w:line="400" w:lineRule="exact"/>
              <w:ind w:firstLine="420"/>
              <w:jc w:val="center"/>
              <w:textAlignment w:val="baseline"/>
              <w:rPr>
                <w:rFonts w:ascii="宋体" w:hAnsi="宋体" w:eastAsia="宋体" w:cs="Times New Roman"/>
                <w:szCs w:val="21"/>
              </w:rPr>
            </w:pPr>
          </w:p>
        </w:tc>
      </w:tr>
      <w:tr w14:paraId="1E78EA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9039" w:type="dxa"/>
            <w:gridSpan w:val="10"/>
            <w:tcBorders>
              <w:top w:val="single" w:color="auto" w:sz="4" w:space="0"/>
              <w:left w:val="single" w:color="auto" w:sz="4" w:space="0"/>
              <w:bottom w:val="single" w:color="auto" w:sz="4" w:space="0"/>
              <w:right w:val="single" w:color="auto" w:sz="4" w:space="0"/>
            </w:tcBorders>
            <w:vAlign w:val="center"/>
          </w:tcPr>
          <w:p w14:paraId="0BA726A7">
            <w:pPr>
              <w:topLinePunct/>
              <w:adjustRightInd w:val="0"/>
              <w:spacing w:line="400" w:lineRule="exact"/>
              <w:ind w:firstLine="422"/>
              <w:jc w:val="center"/>
              <w:textAlignment w:val="baseline"/>
              <w:rPr>
                <w:rFonts w:ascii="宋体" w:hAnsi="宋体" w:eastAsia="宋体" w:cs="Times New Roman"/>
                <w:b/>
                <w:szCs w:val="21"/>
              </w:rPr>
            </w:pPr>
            <w:r>
              <w:rPr>
                <w:rFonts w:hint="eastAsia" w:ascii="宋体" w:hAnsi="宋体" w:eastAsia="宋体" w:cs="Times New Roman"/>
                <w:b/>
                <w:szCs w:val="21"/>
              </w:rPr>
              <w:t>股东及出资信息</w:t>
            </w:r>
          </w:p>
        </w:tc>
      </w:tr>
      <w:tr w14:paraId="4F815D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675" w:type="dxa"/>
            <w:tcBorders>
              <w:top w:val="single" w:color="auto" w:sz="4" w:space="0"/>
              <w:left w:val="single" w:color="auto" w:sz="4" w:space="0"/>
              <w:bottom w:val="single" w:color="auto" w:sz="4" w:space="0"/>
              <w:right w:val="single" w:color="auto" w:sz="4" w:space="0"/>
            </w:tcBorders>
            <w:vAlign w:val="center"/>
          </w:tcPr>
          <w:p w14:paraId="63090010">
            <w:pPr>
              <w:topLinePunct/>
              <w:adjustRightInd w:val="0"/>
              <w:spacing w:line="400" w:lineRule="exact"/>
              <w:ind w:firstLine="422"/>
              <w:jc w:val="center"/>
              <w:textAlignment w:val="baseline"/>
              <w:rPr>
                <w:rFonts w:ascii="宋体" w:hAnsi="宋体" w:eastAsia="宋体" w:cs="Times New Roman"/>
                <w:b/>
                <w:szCs w:val="21"/>
              </w:rPr>
            </w:pPr>
            <w:r>
              <w:rPr>
                <w:rFonts w:hint="eastAsia" w:ascii="宋体" w:hAnsi="宋体" w:eastAsia="宋体" w:cs="Times New Roman"/>
                <w:b/>
                <w:szCs w:val="21"/>
              </w:rPr>
              <w:t>序号</w:t>
            </w: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0614A4EC">
            <w:pPr>
              <w:topLinePunct/>
              <w:adjustRightInd w:val="0"/>
              <w:spacing w:line="400" w:lineRule="exact"/>
              <w:ind w:firstLine="422"/>
              <w:jc w:val="center"/>
              <w:textAlignment w:val="baseline"/>
              <w:rPr>
                <w:rFonts w:ascii="宋体" w:hAnsi="宋体" w:eastAsia="宋体" w:cs="Times New Roman"/>
                <w:b/>
                <w:szCs w:val="21"/>
              </w:rPr>
            </w:pPr>
            <w:r>
              <w:rPr>
                <w:rFonts w:hint="eastAsia" w:ascii="宋体" w:hAnsi="宋体" w:eastAsia="宋体" w:cs="Times New Roman"/>
                <w:b/>
                <w:szCs w:val="21"/>
              </w:rPr>
              <w:t>股东名称(姓名/股东全称)</w:t>
            </w:r>
          </w:p>
        </w:tc>
        <w:tc>
          <w:tcPr>
            <w:tcW w:w="1417" w:type="dxa"/>
            <w:tcBorders>
              <w:top w:val="single" w:color="auto" w:sz="4" w:space="0"/>
              <w:left w:val="single" w:color="auto" w:sz="4" w:space="0"/>
              <w:bottom w:val="single" w:color="auto" w:sz="4" w:space="0"/>
              <w:right w:val="single" w:color="auto" w:sz="4" w:space="0"/>
            </w:tcBorders>
            <w:vAlign w:val="center"/>
          </w:tcPr>
          <w:p w14:paraId="2B7BFEAE">
            <w:pPr>
              <w:topLinePunct/>
              <w:adjustRightInd w:val="0"/>
              <w:spacing w:line="400" w:lineRule="exact"/>
              <w:ind w:firstLine="422"/>
              <w:jc w:val="center"/>
              <w:textAlignment w:val="baseline"/>
              <w:rPr>
                <w:rFonts w:ascii="宋体" w:hAnsi="宋体" w:eastAsia="宋体" w:cs="Times New Roman"/>
                <w:b/>
                <w:szCs w:val="21"/>
              </w:rPr>
            </w:pPr>
            <w:r>
              <w:rPr>
                <w:rFonts w:hint="eastAsia" w:ascii="宋体" w:hAnsi="宋体" w:eastAsia="宋体" w:cs="Times New Roman"/>
                <w:b/>
                <w:szCs w:val="21"/>
              </w:rPr>
              <w:t>股东类型</w:t>
            </w:r>
          </w:p>
          <w:p w14:paraId="26CBFC0B">
            <w:pPr>
              <w:topLinePunct/>
              <w:adjustRightInd w:val="0"/>
              <w:spacing w:line="400" w:lineRule="exact"/>
              <w:ind w:firstLine="422"/>
              <w:jc w:val="center"/>
              <w:textAlignment w:val="baseline"/>
              <w:rPr>
                <w:rFonts w:ascii="宋体" w:hAnsi="宋体" w:eastAsia="宋体" w:cs="Times New Roman"/>
                <w:b/>
                <w:szCs w:val="21"/>
              </w:rPr>
            </w:pPr>
            <w:r>
              <w:rPr>
                <w:rFonts w:hint="eastAsia" w:ascii="宋体" w:hAnsi="宋体" w:eastAsia="宋体" w:cs="Times New Roman"/>
                <w:b/>
                <w:szCs w:val="21"/>
              </w:rPr>
              <w:t>(自然人股东/法人股东)</w:t>
            </w: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020F02D8">
            <w:pPr>
              <w:topLinePunct/>
              <w:adjustRightInd w:val="0"/>
              <w:spacing w:line="400" w:lineRule="exact"/>
              <w:ind w:firstLine="422"/>
              <w:jc w:val="center"/>
              <w:textAlignment w:val="baseline"/>
              <w:rPr>
                <w:rFonts w:ascii="宋体" w:hAnsi="宋体" w:eastAsia="宋体" w:cs="Times New Roman"/>
                <w:b/>
                <w:szCs w:val="21"/>
              </w:rPr>
            </w:pPr>
            <w:r>
              <w:rPr>
                <w:rFonts w:hint="eastAsia" w:ascii="宋体" w:hAnsi="宋体" w:eastAsia="宋体" w:cs="Times New Roman"/>
                <w:b/>
                <w:szCs w:val="21"/>
              </w:rPr>
              <w:t>身份证号</w:t>
            </w:r>
          </w:p>
          <w:p w14:paraId="680C3E55">
            <w:pPr>
              <w:topLinePunct/>
              <w:adjustRightInd w:val="0"/>
              <w:spacing w:line="400" w:lineRule="exact"/>
              <w:ind w:firstLine="422"/>
              <w:jc w:val="center"/>
              <w:textAlignment w:val="baseline"/>
              <w:rPr>
                <w:rFonts w:ascii="宋体" w:hAnsi="宋体" w:eastAsia="宋体" w:cs="Times New Roman"/>
                <w:b/>
                <w:szCs w:val="21"/>
              </w:rPr>
            </w:pPr>
            <w:r>
              <w:rPr>
                <w:rFonts w:hint="eastAsia" w:ascii="宋体" w:hAnsi="宋体" w:eastAsia="宋体" w:cs="Times New Roman"/>
                <w:b/>
                <w:szCs w:val="21"/>
              </w:rPr>
              <w:t>/</w:t>
            </w:r>
            <w:r>
              <w:rPr>
                <w:rFonts w:ascii="宋体" w:hAnsi="宋体" w:eastAsia="宋体" w:cs="Times New Roman"/>
                <w:b/>
                <w:szCs w:val="21"/>
              </w:rPr>
              <w:t>统一社会信用代码</w:t>
            </w: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4475E385">
            <w:pPr>
              <w:topLinePunct/>
              <w:adjustRightInd w:val="0"/>
              <w:spacing w:line="400" w:lineRule="exact"/>
              <w:ind w:firstLine="422"/>
              <w:jc w:val="center"/>
              <w:textAlignment w:val="baseline"/>
              <w:rPr>
                <w:rFonts w:ascii="宋体" w:hAnsi="宋体" w:eastAsia="宋体" w:cs="Times New Roman"/>
                <w:b/>
                <w:szCs w:val="21"/>
              </w:rPr>
            </w:pPr>
            <w:r>
              <w:rPr>
                <w:rFonts w:hint="eastAsia" w:ascii="宋体" w:hAnsi="宋体" w:eastAsia="宋体" w:cs="Times New Roman"/>
                <w:b/>
                <w:szCs w:val="21"/>
              </w:rPr>
              <w:t>出资额(万元)</w:t>
            </w:r>
          </w:p>
        </w:tc>
        <w:tc>
          <w:tcPr>
            <w:tcW w:w="1134" w:type="dxa"/>
            <w:tcBorders>
              <w:top w:val="single" w:color="auto" w:sz="4" w:space="0"/>
              <w:left w:val="single" w:color="auto" w:sz="4" w:space="0"/>
              <w:bottom w:val="single" w:color="auto" w:sz="4" w:space="0"/>
              <w:right w:val="single" w:color="auto" w:sz="4" w:space="0"/>
            </w:tcBorders>
            <w:vAlign w:val="center"/>
          </w:tcPr>
          <w:p w14:paraId="0F60FAF8">
            <w:pPr>
              <w:topLinePunct/>
              <w:adjustRightInd w:val="0"/>
              <w:spacing w:line="400" w:lineRule="exact"/>
              <w:ind w:firstLine="422"/>
              <w:jc w:val="center"/>
              <w:textAlignment w:val="baseline"/>
              <w:rPr>
                <w:rFonts w:ascii="宋体" w:hAnsi="宋体" w:eastAsia="宋体" w:cs="Times New Roman"/>
                <w:b/>
                <w:szCs w:val="21"/>
              </w:rPr>
            </w:pPr>
            <w:r>
              <w:rPr>
                <w:rFonts w:hint="eastAsia" w:ascii="宋体" w:hAnsi="宋体" w:eastAsia="宋体" w:cs="Times New Roman"/>
                <w:b/>
                <w:szCs w:val="21"/>
              </w:rPr>
              <w:t>出资方式</w:t>
            </w:r>
          </w:p>
        </w:tc>
        <w:tc>
          <w:tcPr>
            <w:tcW w:w="1134" w:type="dxa"/>
            <w:tcBorders>
              <w:top w:val="single" w:color="auto" w:sz="4" w:space="0"/>
              <w:left w:val="single" w:color="auto" w:sz="4" w:space="0"/>
              <w:bottom w:val="single" w:color="auto" w:sz="4" w:space="0"/>
              <w:right w:val="single" w:color="auto" w:sz="4" w:space="0"/>
            </w:tcBorders>
            <w:vAlign w:val="center"/>
          </w:tcPr>
          <w:p w14:paraId="71841095">
            <w:pPr>
              <w:topLinePunct/>
              <w:adjustRightInd w:val="0"/>
              <w:spacing w:line="400" w:lineRule="exact"/>
              <w:ind w:firstLine="422"/>
              <w:jc w:val="center"/>
              <w:textAlignment w:val="baseline"/>
              <w:rPr>
                <w:rFonts w:ascii="宋体" w:hAnsi="宋体" w:eastAsia="宋体" w:cs="Times New Roman"/>
                <w:b/>
                <w:szCs w:val="21"/>
              </w:rPr>
            </w:pPr>
            <w:r>
              <w:rPr>
                <w:rFonts w:hint="eastAsia" w:ascii="宋体" w:hAnsi="宋体" w:eastAsia="宋体" w:cs="Times New Roman"/>
                <w:b/>
                <w:szCs w:val="21"/>
              </w:rPr>
              <w:t>占全部股份比例</w:t>
            </w:r>
          </w:p>
        </w:tc>
      </w:tr>
      <w:tr w14:paraId="3333B9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675" w:type="dxa"/>
            <w:tcBorders>
              <w:top w:val="single" w:color="auto" w:sz="4" w:space="0"/>
              <w:left w:val="single" w:color="auto" w:sz="4" w:space="0"/>
              <w:bottom w:val="single" w:color="auto" w:sz="4" w:space="0"/>
              <w:right w:val="single" w:color="auto" w:sz="4" w:space="0"/>
            </w:tcBorders>
            <w:vAlign w:val="center"/>
          </w:tcPr>
          <w:p w14:paraId="5E70FBC9">
            <w:pPr>
              <w:topLinePunct/>
              <w:adjustRightInd w:val="0"/>
              <w:spacing w:line="400" w:lineRule="exact"/>
              <w:ind w:firstLine="420"/>
              <w:jc w:val="center"/>
              <w:textAlignment w:val="baseline"/>
              <w:rPr>
                <w:rFonts w:ascii="宋体" w:hAnsi="宋体" w:eastAsia="宋体" w:cs="Times New Roman"/>
                <w:szCs w:val="21"/>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09CA354C">
            <w:pPr>
              <w:topLinePunct/>
              <w:adjustRightInd w:val="0"/>
              <w:spacing w:line="400" w:lineRule="exact"/>
              <w:ind w:firstLine="420"/>
              <w:jc w:val="center"/>
              <w:textAlignment w:val="baseline"/>
              <w:rPr>
                <w:rFonts w:ascii="宋体" w:hAnsi="宋体" w:eastAsia="宋体" w:cs="Times New Roman"/>
                <w:szCs w:val="21"/>
              </w:rPr>
            </w:pPr>
          </w:p>
        </w:tc>
        <w:tc>
          <w:tcPr>
            <w:tcW w:w="1417" w:type="dxa"/>
            <w:tcBorders>
              <w:top w:val="single" w:color="auto" w:sz="4" w:space="0"/>
              <w:left w:val="single" w:color="auto" w:sz="4" w:space="0"/>
              <w:bottom w:val="single" w:color="auto" w:sz="4" w:space="0"/>
              <w:right w:val="single" w:color="auto" w:sz="4" w:space="0"/>
            </w:tcBorders>
            <w:vAlign w:val="center"/>
          </w:tcPr>
          <w:p w14:paraId="7752063E">
            <w:pPr>
              <w:topLinePunct/>
              <w:adjustRightInd w:val="0"/>
              <w:spacing w:line="400" w:lineRule="exact"/>
              <w:ind w:firstLine="420"/>
              <w:jc w:val="center"/>
              <w:textAlignment w:val="baseline"/>
              <w:rPr>
                <w:rFonts w:ascii="宋体" w:hAnsi="宋体" w:eastAsia="宋体" w:cs="Times New Roman"/>
                <w:szCs w:val="21"/>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23602DC2">
            <w:pPr>
              <w:topLinePunct/>
              <w:adjustRightInd w:val="0"/>
              <w:spacing w:line="400" w:lineRule="exact"/>
              <w:ind w:firstLine="420"/>
              <w:jc w:val="center"/>
              <w:textAlignment w:val="baseline"/>
              <w:rPr>
                <w:rFonts w:ascii="宋体" w:hAnsi="宋体" w:eastAsia="宋体" w:cs="Times New Roman"/>
                <w:szCs w:val="21"/>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74809170">
            <w:pPr>
              <w:topLinePunct/>
              <w:adjustRightInd w:val="0"/>
              <w:spacing w:line="400" w:lineRule="exact"/>
              <w:ind w:firstLine="420"/>
              <w:jc w:val="center"/>
              <w:textAlignment w:val="baseline"/>
              <w:rPr>
                <w:rFonts w:ascii="宋体" w:hAnsi="宋体" w:eastAsia="宋体" w:cs="Times New Roman"/>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41C2F5C1">
            <w:pPr>
              <w:topLinePunct/>
              <w:adjustRightInd w:val="0"/>
              <w:spacing w:line="400" w:lineRule="exact"/>
              <w:ind w:firstLine="420"/>
              <w:jc w:val="center"/>
              <w:textAlignment w:val="baseline"/>
              <w:rPr>
                <w:rFonts w:ascii="宋体" w:hAnsi="宋体" w:eastAsia="宋体" w:cs="Times New Roman"/>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0134201A">
            <w:pPr>
              <w:topLinePunct/>
              <w:adjustRightInd w:val="0"/>
              <w:spacing w:line="400" w:lineRule="exact"/>
              <w:ind w:firstLine="420"/>
              <w:jc w:val="center"/>
              <w:textAlignment w:val="baseline"/>
              <w:rPr>
                <w:rFonts w:ascii="宋体" w:hAnsi="宋体" w:eastAsia="宋体" w:cs="Times New Roman"/>
                <w:szCs w:val="21"/>
              </w:rPr>
            </w:pPr>
          </w:p>
        </w:tc>
      </w:tr>
      <w:tr w14:paraId="28351D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675" w:type="dxa"/>
            <w:tcBorders>
              <w:top w:val="single" w:color="auto" w:sz="4" w:space="0"/>
              <w:left w:val="single" w:color="auto" w:sz="4" w:space="0"/>
              <w:bottom w:val="single" w:color="auto" w:sz="4" w:space="0"/>
              <w:right w:val="single" w:color="auto" w:sz="4" w:space="0"/>
            </w:tcBorders>
            <w:vAlign w:val="center"/>
          </w:tcPr>
          <w:p w14:paraId="302DD7B5">
            <w:pPr>
              <w:topLinePunct/>
              <w:adjustRightInd w:val="0"/>
              <w:spacing w:line="400" w:lineRule="exact"/>
              <w:ind w:firstLine="420"/>
              <w:jc w:val="center"/>
              <w:textAlignment w:val="baseline"/>
              <w:rPr>
                <w:rFonts w:ascii="宋体" w:hAnsi="宋体" w:eastAsia="宋体" w:cs="Times New Roman"/>
                <w:szCs w:val="21"/>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4491A96D">
            <w:pPr>
              <w:topLinePunct/>
              <w:adjustRightInd w:val="0"/>
              <w:spacing w:line="400" w:lineRule="exact"/>
              <w:ind w:firstLine="420"/>
              <w:jc w:val="center"/>
              <w:textAlignment w:val="baseline"/>
              <w:rPr>
                <w:rFonts w:ascii="宋体" w:hAnsi="宋体" w:eastAsia="宋体" w:cs="Times New Roman"/>
                <w:szCs w:val="21"/>
              </w:rPr>
            </w:pPr>
          </w:p>
        </w:tc>
        <w:tc>
          <w:tcPr>
            <w:tcW w:w="1417" w:type="dxa"/>
            <w:tcBorders>
              <w:top w:val="single" w:color="auto" w:sz="4" w:space="0"/>
              <w:left w:val="single" w:color="auto" w:sz="4" w:space="0"/>
              <w:bottom w:val="single" w:color="auto" w:sz="4" w:space="0"/>
              <w:right w:val="single" w:color="auto" w:sz="4" w:space="0"/>
            </w:tcBorders>
            <w:vAlign w:val="center"/>
          </w:tcPr>
          <w:p w14:paraId="26BE365C">
            <w:pPr>
              <w:topLinePunct/>
              <w:adjustRightInd w:val="0"/>
              <w:spacing w:line="400" w:lineRule="exact"/>
              <w:ind w:firstLine="420"/>
              <w:jc w:val="center"/>
              <w:textAlignment w:val="baseline"/>
              <w:rPr>
                <w:rFonts w:ascii="宋体" w:hAnsi="宋体" w:eastAsia="宋体" w:cs="Times New Roman"/>
                <w:szCs w:val="21"/>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09FE573B">
            <w:pPr>
              <w:topLinePunct/>
              <w:adjustRightInd w:val="0"/>
              <w:spacing w:line="400" w:lineRule="exact"/>
              <w:ind w:firstLine="420"/>
              <w:jc w:val="center"/>
              <w:textAlignment w:val="baseline"/>
              <w:rPr>
                <w:rFonts w:ascii="宋体" w:hAnsi="宋体" w:eastAsia="宋体" w:cs="Times New Roman"/>
                <w:szCs w:val="21"/>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7B7EA9E4">
            <w:pPr>
              <w:topLinePunct/>
              <w:adjustRightInd w:val="0"/>
              <w:spacing w:line="400" w:lineRule="exact"/>
              <w:ind w:firstLine="420"/>
              <w:jc w:val="center"/>
              <w:textAlignment w:val="baseline"/>
              <w:rPr>
                <w:rFonts w:ascii="宋体" w:hAnsi="宋体" w:eastAsia="宋体" w:cs="Times New Roman"/>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6C85F6B6">
            <w:pPr>
              <w:topLinePunct/>
              <w:adjustRightInd w:val="0"/>
              <w:spacing w:line="400" w:lineRule="exact"/>
              <w:ind w:firstLine="420"/>
              <w:jc w:val="center"/>
              <w:textAlignment w:val="baseline"/>
              <w:rPr>
                <w:rFonts w:ascii="宋体" w:hAnsi="宋体" w:eastAsia="宋体" w:cs="Times New Roman"/>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6A494772">
            <w:pPr>
              <w:topLinePunct/>
              <w:adjustRightInd w:val="0"/>
              <w:spacing w:line="400" w:lineRule="exact"/>
              <w:ind w:firstLine="420"/>
              <w:jc w:val="center"/>
              <w:textAlignment w:val="baseline"/>
              <w:rPr>
                <w:rFonts w:ascii="宋体" w:hAnsi="宋体" w:eastAsia="宋体" w:cs="Times New Roman"/>
                <w:szCs w:val="21"/>
              </w:rPr>
            </w:pPr>
          </w:p>
        </w:tc>
      </w:tr>
      <w:tr w14:paraId="209F1A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675" w:type="dxa"/>
            <w:tcBorders>
              <w:top w:val="single" w:color="auto" w:sz="4" w:space="0"/>
              <w:left w:val="single" w:color="auto" w:sz="4" w:space="0"/>
              <w:bottom w:val="single" w:color="auto" w:sz="4" w:space="0"/>
              <w:right w:val="single" w:color="auto" w:sz="4" w:space="0"/>
            </w:tcBorders>
            <w:vAlign w:val="center"/>
          </w:tcPr>
          <w:p w14:paraId="4A700502">
            <w:pPr>
              <w:topLinePunct/>
              <w:adjustRightInd w:val="0"/>
              <w:spacing w:line="400" w:lineRule="exact"/>
              <w:ind w:firstLine="420"/>
              <w:jc w:val="center"/>
              <w:textAlignment w:val="baseline"/>
              <w:rPr>
                <w:rFonts w:ascii="宋体" w:hAnsi="宋体" w:eastAsia="宋体" w:cs="Times New Roman"/>
                <w:szCs w:val="21"/>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25B62998">
            <w:pPr>
              <w:topLinePunct/>
              <w:adjustRightInd w:val="0"/>
              <w:spacing w:line="400" w:lineRule="exact"/>
              <w:ind w:firstLine="420"/>
              <w:jc w:val="center"/>
              <w:textAlignment w:val="baseline"/>
              <w:rPr>
                <w:rFonts w:ascii="宋体" w:hAnsi="宋体" w:eastAsia="宋体" w:cs="Times New Roman"/>
                <w:szCs w:val="21"/>
              </w:rPr>
            </w:pPr>
          </w:p>
        </w:tc>
        <w:tc>
          <w:tcPr>
            <w:tcW w:w="1417" w:type="dxa"/>
            <w:tcBorders>
              <w:top w:val="single" w:color="auto" w:sz="4" w:space="0"/>
              <w:left w:val="single" w:color="auto" w:sz="4" w:space="0"/>
              <w:bottom w:val="single" w:color="auto" w:sz="4" w:space="0"/>
              <w:right w:val="single" w:color="auto" w:sz="4" w:space="0"/>
            </w:tcBorders>
            <w:vAlign w:val="center"/>
          </w:tcPr>
          <w:p w14:paraId="29DAEA03">
            <w:pPr>
              <w:topLinePunct/>
              <w:adjustRightInd w:val="0"/>
              <w:spacing w:line="400" w:lineRule="exact"/>
              <w:ind w:firstLine="420"/>
              <w:jc w:val="center"/>
              <w:textAlignment w:val="baseline"/>
              <w:rPr>
                <w:rFonts w:ascii="宋体" w:hAnsi="宋体" w:eastAsia="宋体" w:cs="Times New Roman"/>
                <w:szCs w:val="21"/>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0B9624E9">
            <w:pPr>
              <w:topLinePunct/>
              <w:adjustRightInd w:val="0"/>
              <w:spacing w:line="400" w:lineRule="exact"/>
              <w:ind w:firstLine="420"/>
              <w:jc w:val="center"/>
              <w:textAlignment w:val="baseline"/>
              <w:rPr>
                <w:rFonts w:ascii="宋体" w:hAnsi="宋体" w:eastAsia="宋体" w:cs="Times New Roman"/>
                <w:szCs w:val="21"/>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4FC2D1E0">
            <w:pPr>
              <w:topLinePunct/>
              <w:adjustRightInd w:val="0"/>
              <w:spacing w:line="400" w:lineRule="exact"/>
              <w:ind w:firstLine="420"/>
              <w:jc w:val="center"/>
              <w:textAlignment w:val="baseline"/>
              <w:rPr>
                <w:rFonts w:ascii="宋体" w:hAnsi="宋体" w:eastAsia="宋体" w:cs="Times New Roman"/>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0614433C">
            <w:pPr>
              <w:topLinePunct/>
              <w:adjustRightInd w:val="0"/>
              <w:spacing w:line="400" w:lineRule="exact"/>
              <w:ind w:firstLine="420"/>
              <w:jc w:val="center"/>
              <w:textAlignment w:val="baseline"/>
              <w:rPr>
                <w:rFonts w:ascii="宋体" w:hAnsi="宋体" w:eastAsia="宋体" w:cs="Times New Roman"/>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3337D49C">
            <w:pPr>
              <w:topLinePunct/>
              <w:adjustRightInd w:val="0"/>
              <w:spacing w:line="400" w:lineRule="exact"/>
              <w:ind w:firstLine="420"/>
              <w:jc w:val="center"/>
              <w:textAlignment w:val="baseline"/>
              <w:rPr>
                <w:rFonts w:ascii="宋体" w:hAnsi="宋体" w:eastAsia="宋体" w:cs="Times New Roman"/>
                <w:szCs w:val="21"/>
              </w:rPr>
            </w:pPr>
          </w:p>
        </w:tc>
      </w:tr>
      <w:tr w14:paraId="67E7ED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675" w:type="dxa"/>
            <w:tcBorders>
              <w:top w:val="single" w:color="auto" w:sz="4" w:space="0"/>
              <w:left w:val="single" w:color="auto" w:sz="4" w:space="0"/>
              <w:bottom w:val="single" w:color="auto" w:sz="4" w:space="0"/>
              <w:right w:val="single" w:color="auto" w:sz="4" w:space="0"/>
            </w:tcBorders>
            <w:vAlign w:val="center"/>
          </w:tcPr>
          <w:p w14:paraId="4A678513">
            <w:pPr>
              <w:topLinePunct/>
              <w:adjustRightInd w:val="0"/>
              <w:spacing w:line="400" w:lineRule="exact"/>
              <w:ind w:firstLine="420"/>
              <w:jc w:val="center"/>
              <w:textAlignment w:val="baseline"/>
              <w:rPr>
                <w:rFonts w:ascii="宋体" w:hAnsi="宋体" w:eastAsia="宋体" w:cs="Times New Roman"/>
                <w:szCs w:val="21"/>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11710189">
            <w:pPr>
              <w:topLinePunct/>
              <w:adjustRightInd w:val="0"/>
              <w:spacing w:line="400" w:lineRule="exact"/>
              <w:ind w:firstLine="420"/>
              <w:jc w:val="center"/>
              <w:textAlignment w:val="baseline"/>
              <w:rPr>
                <w:rFonts w:ascii="宋体" w:hAnsi="宋体" w:eastAsia="宋体" w:cs="Times New Roman"/>
                <w:szCs w:val="21"/>
              </w:rPr>
            </w:pPr>
          </w:p>
        </w:tc>
        <w:tc>
          <w:tcPr>
            <w:tcW w:w="1417" w:type="dxa"/>
            <w:tcBorders>
              <w:top w:val="single" w:color="auto" w:sz="4" w:space="0"/>
              <w:left w:val="single" w:color="auto" w:sz="4" w:space="0"/>
              <w:bottom w:val="single" w:color="auto" w:sz="4" w:space="0"/>
              <w:right w:val="single" w:color="auto" w:sz="4" w:space="0"/>
            </w:tcBorders>
            <w:vAlign w:val="center"/>
          </w:tcPr>
          <w:p w14:paraId="1729AAC9">
            <w:pPr>
              <w:topLinePunct/>
              <w:adjustRightInd w:val="0"/>
              <w:spacing w:line="400" w:lineRule="exact"/>
              <w:ind w:firstLine="420"/>
              <w:jc w:val="center"/>
              <w:textAlignment w:val="baseline"/>
              <w:rPr>
                <w:rFonts w:ascii="宋体" w:hAnsi="宋体" w:eastAsia="宋体" w:cs="Times New Roman"/>
                <w:szCs w:val="21"/>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5AE526EF">
            <w:pPr>
              <w:topLinePunct/>
              <w:adjustRightInd w:val="0"/>
              <w:spacing w:line="400" w:lineRule="exact"/>
              <w:ind w:firstLine="420"/>
              <w:jc w:val="center"/>
              <w:textAlignment w:val="baseline"/>
              <w:rPr>
                <w:rFonts w:ascii="宋体" w:hAnsi="宋体" w:eastAsia="宋体" w:cs="Times New Roman"/>
                <w:szCs w:val="21"/>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10C9CB87">
            <w:pPr>
              <w:topLinePunct/>
              <w:adjustRightInd w:val="0"/>
              <w:spacing w:line="400" w:lineRule="exact"/>
              <w:ind w:firstLine="420"/>
              <w:jc w:val="center"/>
              <w:textAlignment w:val="baseline"/>
              <w:rPr>
                <w:rFonts w:ascii="宋体" w:hAnsi="宋体" w:eastAsia="宋体" w:cs="Times New Roman"/>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4BA7D9E2">
            <w:pPr>
              <w:topLinePunct/>
              <w:adjustRightInd w:val="0"/>
              <w:spacing w:line="400" w:lineRule="exact"/>
              <w:ind w:firstLine="420"/>
              <w:jc w:val="center"/>
              <w:textAlignment w:val="baseline"/>
              <w:rPr>
                <w:rFonts w:ascii="宋体" w:hAnsi="宋体" w:eastAsia="宋体" w:cs="Times New Roman"/>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1C894A18">
            <w:pPr>
              <w:topLinePunct/>
              <w:adjustRightInd w:val="0"/>
              <w:spacing w:line="400" w:lineRule="exact"/>
              <w:ind w:firstLine="420"/>
              <w:jc w:val="center"/>
              <w:textAlignment w:val="baseline"/>
              <w:rPr>
                <w:rFonts w:ascii="宋体" w:hAnsi="宋体" w:eastAsia="宋体" w:cs="Times New Roman"/>
                <w:szCs w:val="21"/>
              </w:rPr>
            </w:pPr>
          </w:p>
        </w:tc>
      </w:tr>
      <w:tr w14:paraId="04EF81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675" w:type="dxa"/>
            <w:tcBorders>
              <w:top w:val="single" w:color="auto" w:sz="4" w:space="0"/>
              <w:left w:val="single" w:color="auto" w:sz="4" w:space="0"/>
              <w:bottom w:val="single" w:color="auto" w:sz="4" w:space="0"/>
              <w:right w:val="single" w:color="auto" w:sz="4" w:space="0"/>
            </w:tcBorders>
            <w:vAlign w:val="center"/>
          </w:tcPr>
          <w:p w14:paraId="2529339C">
            <w:pPr>
              <w:topLinePunct/>
              <w:adjustRightInd w:val="0"/>
              <w:spacing w:line="400" w:lineRule="exact"/>
              <w:ind w:firstLine="420"/>
              <w:jc w:val="center"/>
              <w:textAlignment w:val="baseline"/>
              <w:rPr>
                <w:rFonts w:ascii="宋体" w:hAnsi="宋体" w:eastAsia="宋体" w:cs="Times New Roman"/>
                <w:szCs w:val="21"/>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206DDB62">
            <w:pPr>
              <w:topLinePunct/>
              <w:adjustRightInd w:val="0"/>
              <w:spacing w:line="400" w:lineRule="exact"/>
              <w:ind w:firstLine="420"/>
              <w:jc w:val="center"/>
              <w:textAlignment w:val="baseline"/>
              <w:rPr>
                <w:rFonts w:ascii="宋体" w:hAnsi="宋体" w:eastAsia="宋体" w:cs="Times New Roman"/>
                <w:szCs w:val="21"/>
              </w:rPr>
            </w:pPr>
          </w:p>
        </w:tc>
        <w:tc>
          <w:tcPr>
            <w:tcW w:w="1417" w:type="dxa"/>
            <w:tcBorders>
              <w:top w:val="single" w:color="auto" w:sz="4" w:space="0"/>
              <w:left w:val="single" w:color="auto" w:sz="4" w:space="0"/>
              <w:bottom w:val="single" w:color="auto" w:sz="4" w:space="0"/>
              <w:right w:val="single" w:color="auto" w:sz="4" w:space="0"/>
            </w:tcBorders>
            <w:vAlign w:val="center"/>
          </w:tcPr>
          <w:p w14:paraId="48B9A03B">
            <w:pPr>
              <w:topLinePunct/>
              <w:adjustRightInd w:val="0"/>
              <w:spacing w:line="400" w:lineRule="exact"/>
              <w:ind w:firstLine="420"/>
              <w:jc w:val="center"/>
              <w:textAlignment w:val="baseline"/>
              <w:rPr>
                <w:rFonts w:ascii="宋体" w:hAnsi="宋体" w:eastAsia="宋体" w:cs="Times New Roman"/>
                <w:szCs w:val="21"/>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7CD214A2">
            <w:pPr>
              <w:topLinePunct/>
              <w:adjustRightInd w:val="0"/>
              <w:spacing w:line="400" w:lineRule="exact"/>
              <w:ind w:firstLine="420"/>
              <w:jc w:val="center"/>
              <w:textAlignment w:val="baseline"/>
              <w:rPr>
                <w:rFonts w:ascii="宋体" w:hAnsi="宋体" w:eastAsia="宋体" w:cs="Times New Roman"/>
                <w:szCs w:val="21"/>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09C1FFC4">
            <w:pPr>
              <w:topLinePunct/>
              <w:adjustRightInd w:val="0"/>
              <w:spacing w:line="400" w:lineRule="exact"/>
              <w:ind w:firstLine="420"/>
              <w:jc w:val="center"/>
              <w:textAlignment w:val="baseline"/>
              <w:rPr>
                <w:rFonts w:ascii="宋体" w:hAnsi="宋体" w:eastAsia="宋体" w:cs="Times New Roman"/>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00AB9C80">
            <w:pPr>
              <w:topLinePunct/>
              <w:adjustRightInd w:val="0"/>
              <w:spacing w:line="400" w:lineRule="exact"/>
              <w:ind w:firstLine="420"/>
              <w:jc w:val="center"/>
              <w:textAlignment w:val="baseline"/>
              <w:rPr>
                <w:rFonts w:ascii="宋体" w:hAnsi="宋体" w:eastAsia="宋体" w:cs="Times New Roman"/>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43B953A0">
            <w:pPr>
              <w:topLinePunct/>
              <w:adjustRightInd w:val="0"/>
              <w:spacing w:line="400" w:lineRule="exact"/>
              <w:ind w:firstLine="420"/>
              <w:jc w:val="center"/>
              <w:textAlignment w:val="baseline"/>
              <w:rPr>
                <w:rFonts w:ascii="宋体" w:hAnsi="宋体" w:eastAsia="宋体" w:cs="Times New Roman"/>
                <w:szCs w:val="21"/>
              </w:rPr>
            </w:pPr>
          </w:p>
        </w:tc>
      </w:tr>
      <w:tr w14:paraId="7236A3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675" w:type="dxa"/>
            <w:tcBorders>
              <w:top w:val="single" w:color="auto" w:sz="4" w:space="0"/>
              <w:left w:val="single" w:color="auto" w:sz="4" w:space="0"/>
              <w:bottom w:val="single" w:color="auto" w:sz="4" w:space="0"/>
              <w:right w:val="single" w:color="auto" w:sz="4" w:space="0"/>
            </w:tcBorders>
            <w:vAlign w:val="center"/>
          </w:tcPr>
          <w:p w14:paraId="2E85E9FB">
            <w:pPr>
              <w:topLinePunct/>
              <w:adjustRightInd w:val="0"/>
              <w:spacing w:line="400" w:lineRule="exact"/>
              <w:ind w:firstLine="420"/>
              <w:jc w:val="center"/>
              <w:textAlignment w:val="baseline"/>
              <w:rPr>
                <w:rFonts w:ascii="宋体" w:hAnsi="宋体" w:eastAsia="宋体" w:cs="Times New Roman"/>
                <w:szCs w:val="21"/>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3F15B0C7">
            <w:pPr>
              <w:topLinePunct/>
              <w:adjustRightInd w:val="0"/>
              <w:spacing w:line="400" w:lineRule="exact"/>
              <w:ind w:firstLine="420"/>
              <w:jc w:val="center"/>
              <w:textAlignment w:val="baseline"/>
              <w:rPr>
                <w:rFonts w:ascii="宋体" w:hAnsi="宋体" w:eastAsia="宋体" w:cs="Times New Roman"/>
                <w:szCs w:val="21"/>
              </w:rPr>
            </w:pPr>
          </w:p>
        </w:tc>
        <w:tc>
          <w:tcPr>
            <w:tcW w:w="1417" w:type="dxa"/>
            <w:tcBorders>
              <w:top w:val="single" w:color="auto" w:sz="4" w:space="0"/>
              <w:left w:val="single" w:color="auto" w:sz="4" w:space="0"/>
              <w:bottom w:val="single" w:color="auto" w:sz="4" w:space="0"/>
              <w:right w:val="single" w:color="auto" w:sz="4" w:space="0"/>
            </w:tcBorders>
            <w:vAlign w:val="center"/>
          </w:tcPr>
          <w:p w14:paraId="5D1DDF70">
            <w:pPr>
              <w:topLinePunct/>
              <w:adjustRightInd w:val="0"/>
              <w:spacing w:line="400" w:lineRule="exact"/>
              <w:ind w:firstLine="420"/>
              <w:jc w:val="center"/>
              <w:textAlignment w:val="baseline"/>
              <w:rPr>
                <w:rFonts w:ascii="宋体" w:hAnsi="宋体" w:eastAsia="宋体" w:cs="Times New Roman"/>
                <w:szCs w:val="21"/>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71F071C9">
            <w:pPr>
              <w:topLinePunct/>
              <w:adjustRightInd w:val="0"/>
              <w:spacing w:line="400" w:lineRule="exact"/>
              <w:ind w:firstLine="420"/>
              <w:jc w:val="center"/>
              <w:textAlignment w:val="baseline"/>
              <w:rPr>
                <w:rFonts w:ascii="宋体" w:hAnsi="宋体" w:eastAsia="宋体" w:cs="Times New Roman"/>
                <w:szCs w:val="21"/>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6431B8A2">
            <w:pPr>
              <w:topLinePunct/>
              <w:adjustRightInd w:val="0"/>
              <w:spacing w:line="400" w:lineRule="exact"/>
              <w:ind w:firstLine="420"/>
              <w:jc w:val="center"/>
              <w:textAlignment w:val="baseline"/>
              <w:rPr>
                <w:rFonts w:ascii="宋体" w:hAnsi="宋体" w:eastAsia="宋体" w:cs="Times New Roman"/>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0C98BE99">
            <w:pPr>
              <w:topLinePunct/>
              <w:adjustRightInd w:val="0"/>
              <w:spacing w:line="400" w:lineRule="exact"/>
              <w:ind w:firstLine="420"/>
              <w:jc w:val="center"/>
              <w:textAlignment w:val="baseline"/>
              <w:rPr>
                <w:rFonts w:ascii="宋体" w:hAnsi="宋体" w:eastAsia="宋体" w:cs="Times New Roman"/>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18DCD8B3">
            <w:pPr>
              <w:topLinePunct/>
              <w:adjustRightInd w:val="0"/>
              <w:spacing w:line="400" w:lineRule="exact"/>
              <w:ind w:firstLine="420"/>
              <w:jc w:val="center"/>
              <w:textAlignment w:val="baseline"/>
              <w:rPr>
                <w:rFonts w:ascii="宋体" w:hAnsi="宋体" w:eastAsia="宋体" w:cs="Times New Roman"/>
                <w:szCs w:val="21"/>
              </w:rPr>
            </w:pPr>
          </w:p>
        </w:tc>
      </w:tr>
    </w:tbl>
    <w:p w14:paraId="1D3978E6">
      <w:pPr>
        <w:spacing w:line="400" w:lineRule="exact"/>
        <w:ind w:firstLine="420"/>
        <w:jc w:val="left"/>
        <w:rPr>
          <w:rFonts w:ascii="宋体" w:hAnsi="宋体" w:eastAsia="宋体" w:cs="Times New Roman"/>
          <w:szCs w:val="21"/>
        </w:rPr>
      </w:pPr>
    </w:p>
    <w:p w14:paraId="24FF0D77">
      <w:pPr>
        <w:spacing w:line="400" w:lineRule="exact"/>
        <w:ind w:firstLine="420"/>
        <w:jc w:val="left"/>
        <w:rPr>
          <w:rFonts w:ascii="宋体" w:hAnsi="宋体" w:eastAsia="宋体" w:cs="Times New Roman"/>
          <w:szCs w:val="21"/>
        </w:rPr>
      </w:pPr>
      <w:r>
        <w:rPr>
          <w:rFonts w:ascii="宋体" w:hAnsi="宋体" w:eastAsia="宋体" w:cs="Times New Roman"/>
          <w:szCs w:val="21"/>
        </w:rPr>
        <w:t>备注</w:t>
      </w:r>
      <w:r>
        <w:rPr>
          <w:rFonts w:hint="eastAsia" w:ascii="宋体" w:hAnsi="宋体" w:eastAsia="宋体" w:cs="Times New Roman"/>
          <w:szCs w:val="21"/>
        </w:rPr>
        <w:t>：</w:t>
      </w:r>
    </w:p>
    <w:p w14:paraId="5E6E61FF">
      <w:pPr>
        <w:spacing w:line="400" w:lineRule="exact"/>
        <w:ind w:firstLine="420" w:firstLineChars="200"/>
        <w:jc w:val="left"/>
        <w:rPr>
          <w:rFonts w:ascii="宋体" w:hAnsi="宋体" w:eastAsia="宋体" w:cs="Times New Roman"/>
          <w:szCs w:val="21"/>
        </w:rPr>
      </w:pPr>
      <w:r>
        <w:rPr>
          <w:rFonts w:hint="eastAsia" w:ascii="宋体" w:hAnsi="宋体" w:eastAsia="宋体" w:cs="Times New Roman"/>
          <w:szCs w:val="21"/>
        </w:rPr>
        <w:t>1.股东或出资人为自然人的，填写自然人姓名及身份证号；股东或出资人为法人的，填写法人企业全称及</w:t>
      </w:r>
      <w:r>
        <w:rPr>
          <w:rFonts w:ascii="宋体" w:hAnsi="宋体" w:eastAsia="宋体" w:cs="Times New Roman"/>
          <w:szCs w:val="21"/>
        </w:rPr>
        <w:t>统一社会信用代码</w:t>
      </w:r>
      <w:r>
        <w:rPr>
          <w:rFonts w:hint="eastAsia" w:ascii="宋体" w:hAnsi="宋体" w:eastAsia="宋体" w:cs="Times New Roman"/>
          <w:szCs w:val="21"/>
        </w:rPr>
        <w:t>。出资方式填写：货币、实物、工艺产权和非专利技术、土地使用权等。</w:t>
      </w:r>
    </w:p>
    <w:p w14:paraId="1BA00824">
      <w:pPr>
        <w:spacing w:line="360" w:lineRule="auto"/>
        <w:ind w:firstLine="420" w:firstLineChars="200"/>
        <w:rPr>
          <w:rFonts w:ascii="宋体" w:hAnsi="宋体" w:eastAsia="宋体" w:cs="Times New Roman"/>
          <w:szCs w:val="21"/>
          <w:u w:val="single"/>
        </w:rPr>
      </w:pPr>
      <w:r>
        <w:rPr>
          <w:rFonts w:hint="eastAsia" w:ascii="宋体" w:hAnsi="宋体" w:eastAsia="宋体" w:cs="Times New Roman"/>
          <w:szCs w:val="21"/>
        </w:rPr>
        <w:t>2.</w:t>
      </w:r>
      <w:r>
        <w:rPr>
          <w:rFonts w:hint="eastAsia" w:ascii="宋体" w:hAnsi="宋体" w:eastAsia="宋体" w:cs="宋体"/>
          <w:szCs w:val="21"/>
        </w:rPr>
        <w:t>供应商必须如实填写股东构成情况</w:t>
      </w:r>
      <w:r>
        <w:rPr>
          <w:rFonts w:hint="eastAsia" w:ascii="宋体" w:hAnsi="宋体" w:eastAsia="宋体" w:cs="Times New Roman"/>
          <w:szCs w:val="21"/>
        </w:rPr>
        <w:t>，</w:t>
      </w:r>
      <w:r>
        <w:rPr>
          <w:rFonts w:hint="eastAsia" w:ascii="宋体" w:hAnsi="宋体" w:eastAsia="宋体" w:cs="Times New Roman"/>
          <w:szCs w:val="21"/>
          <w:u w:val="single"/>
        </w:rPr>
        <w:t>具体信息情况应与“国家企业信用信息公示系统” (网站：</w:t>
      </w:r>
      <w:r>
        <w:rPr>
          <w:rFonts w:ascii="宋体" w:hAnsi="宋体" w:eastAsia="宋体" w:cs="Times New Roman"/>
          <w:szCs w:val="21"/>
          <w:u w:val="single"/>
        </w:rPr>
        <w:t>http://www.gsxt.gov.cn</w:t>
      </w:r>
      <w:r>
        <w:rPr>
          <w:rFonts w:hint="eastAsia" w:ascii="宋体" w:hAnsi="宋体" w:eastAsia="宋体" w:cs="Times New Roman"/>
          <w:szCs w:val="21"/>
          <w:u w:val="single"/>
        </w:rPr>
        <w:t>)查询的信息一致。</w:t>
      </w:r>
    </w:p>
    <w:p w14:paraId="0F429098">
      <w:pPr>
        <w:widowControl/>
        <w:ind w:firstLine="420"/>
        <w:jc w:val="left"/>
        <w:rPr>
          <w:rFonts w:ascii="宋体" w:hAnsi="宋体" w:eastAsia="宋体" w:cs="Times New Roman"/>
          <w:szCs w:val="21"/>
          <w:u w:val="single"/>
        </w:rPr>
      </w:pPr>
      <w:r>
        <w:rPr>
          <w:rFonts w:ascii="宋体" w:hAnsi="宋体" w:eastAsia="宋体" w:cs="Times New Roman"/>
          <w:szCs w:val="21"/>
          <w:u w:val="single"/>
        </w:rPr>
        <w:br w:type="page"/>
      </w:r>
    </w:p>
    <w:p w14:paraId="0ADD9D50">
      <w:pPr>
        <w:spacing w:line="360" w:lineRule="auto"/>
        <w:ind w:firstLine="562"/>
        <w:rPr>
          <w:rFonts w:ascii="宋体" w:hAnsi="宋体" w:eastAsia="宋体" w:cs="Times New Roman"/>
          <w:b/>
          <w:sz w:val="28"/>
          <w:szCs w:val="21"/>
        </w:rPr>
      </w:pPr>
      <w:r>
        <w:rPr>
          <w:rFonts w:hint="eastAsia" w:ascii="宋体" w:hAnsi="宋体" w:eastAsia="宋体" w:cs="Times New Roman"/>
          <w:b/>
          <w:sz w:val="28"/>
          <w:szCs w:val="21"/>
        </w:rPr>
        <w:t>2.2其他资格证明文件</w:t>
      </w:r>
    </w:p>
    <w:p w14:paraId="0D005B2C">
      <w:pPr>
        <w:adjustRightInd w:val="0"/>
        <w:snapToGrid w:val="0"/>
        <w:spacing w:line="360" w:lineRule="auto"/>
        <w:ind w:firstLine="560"/>
        <w:rPr>
          <w:rFonts w:ascii="宋体" w:hAnsi="宋体" w:eastAsia="宋体" w:cs="Times New Roman"/>
          <w:sz w:val="28"/>
          <w:szCs w:val="21"/>
        </w:rPr>
      </w:pPr>
      <w:r>
        <w:rPr>
          <w:rFonts w:hint="eastAsia" w:ascii="宋体" w:hAnsi="宋体" w:eastAsia="宋体" w:cs="Times New Roman"/>
          <w:sz w:val="28"/>
          <w:szCs w:val="21"/>
        </w:rPr>
        <w:t>2.2.1法人的营业执照副本复印件/扫描件（如非“三证合一”证照，同时提供税务登记证副本复印件/扫描件），或其他组织的证明文件；</w:t>
      </w:r>
    </w:p>
    <w:p w14:paraId="265A1C7B">
      <w:pPr>
        <w:adjustRightInd w:val="0"/>
        <w:snapToGrid w:val="0"/>
        <w:spacing w:line="400" w:lineRule="exact"/>
        <w:ind w:firstLine="420"/>
        <w:rPr>
          <w:rFonts w:ascii="宋体" w:hAnsi="宋体" w:eastAsia="宋体" w:cs="Times New Roman"/>
          <w:szCs w:val="21"/>
        </w:rPr>
      </w:pPr>
    </w:p>
    <w:p w14:paraId="3077BDA0">
      <w:pPr>
        <w:adjustRightInd w:val="0"/>
        <w:snapToGrid w:val="0"/>
        <w:spacing w:line="400" w:lineRule="exact"/>
        <w:ind w:firstLine="420"/>
        <w:rPr>
          <w:rFonts w:ascii="宋体" w:hAnsi="宋体" w:eastAsia="宋体" w:cs="Times New Roman"/>
          <w:szCs w:val="21"/>
        </w:rPr>
      </w:pPr>
    </w:p>
    <w:p w14:paraId="3A8DC750">
      <w:pPr>
        <w:widowControl/>
        <w:ind w:firstLine="422"/>
        <w:jc w:val="left"/>
        <w:rPr>
          <w:rFonts w:ascii="宋体" w:hAnsi="宋体" w:eastAsia="宋体" w:cs="Times New Roman"/>
          <w:b/>
          <w:szCs w:val="21"/>
        </w:rPr>
      </w:pPr>
      <w:r>
        <w:rPr>
          <w:rFonts w:ascii="宋体" w:hAnsi="宋体" w:eastAsia="宋体" w:cs="Times New Roman"/>
          <w:b/>
          <w:szCs w:val="21"/>
        </w:rPr>
        <w:br w:type="page"/>
      </w:r>
    </w:p>
    <w:p w14:paraId="523D50E8">
      <w:pPr>
        <w:spacing w:line="360" w:lineRule="auto"/>
        <w:ind w:firstLine="562"/>
        <w:rPr>
          <w:rFonts w:ascii="宋体" w:hAnsi="宋体" w:eastAsia="宋体" w:cs="Times New Roman"/>
          <w:b/>
          <w:sz w:val="28"/>
          <w:szCs w:val="21"/>
        </w:rPr>
      </w:pPr>
      <w:r>
        <w:rPr>
          <w:rFonts w:hint="eastAsia" w:ascii="宋体" w:hAnsi="宋体" w:eastAsia="宋体" w:cs="Times New Roman"/>
          <w:b/>
          <w:sz w:val="28"/>
          <w:szCs w:val="21"/>
        </w:rPr>
        <w:t>2</w:t>
      </w:r>
      <w:r>
        <w:rPr>
          <w:rFonts w:ascii="宋体" w:hAnsi="宋体" w:eastAsia="宋体" w:cs="Times New Roman"/>
          <w:b/>
          <w:sz w:val="28"/>
          <w:szCs w:val="21"/>
        </w:rPr>
        <w:t>.2.2</w:t>
      </w:r>
      <w:r>
        <w:rPr>
          <w:rFonts w:hint="eastAsia" w:ascii="宋体" w:hAnsi="宋体" w:eastAsia="宋体" w:cs="Times New Roman"/>
          <w:b/>
          <w:sz w:val="28"/>
          <w:szCs w:val="21"/>
        </w:rPr>
        <w:t>具有履行合同所必须的设备和专业技术能力；</w:t>
      </w:r>
      <w:r>
        <w:rPr>
          <w:rFonts w:ascii="宋体" w:hAnsi="宋体" w:eastAsia="宋体" w:cs="Times New Roman"/>
          <w:b/>
          <w:sz w:val="28"/>
          <w:szCs w:val="21"/>
        </w:rPr>
        <w:t xml:space="preserve"> </w:t>
      </w:r>
    </w:p>
    <w:p w14:paraId="6C72E4EA">
      <w:pPr>
        <w:spacing w:line="480" w:lineRule="auto"/>
        <w:ind w:firstLine="560"/>
        <w:rPr>
          <w:rFonts w:ascii="宋体" w:hAnsi="宋体" w:eastAsia="宋体" w:cs="宋体"/>
          <w:kern w:val="0"/>
          <w:sz w:val="28"/>
          <w:szCs w:val="24"/>
        </w:rPr>
      </w:pPr>
      <w:r>
        <w:rPr>
          <w:rFonts w:hint="eastAsia" w:ascii="宋体" w:hAnsi="宋体" w:eastAsia="宋体" w:cs="Times New Roman"/>
          <w:kern w:val="0"/>
          <w:sz w:val="28"/>
          <w:szCs w:val="20"/>
        </w:rPr>
        <w:t>（采购人）</w:t>
      </w:r>
      <w:r>
        <w:rPr>
          <w:rFonts w:hint="eastAsia" w:ascii="宋体" w:hAnsi="宋体" w:eastAsia="宋体" w:cs="宋体"/>
          <w:kern w:val="0"/>
          <w:sz w:val="28"/>
          <w:szCs w:val="24"/>
        </w:rPr>
        <w:t>：</w:t>
      </w:r>
    </w:p>
    <w:p w14:paraId="44447444">
      <w:pPr>
        <w:spacing w:line="480" w:lineRule="auto"/>
        <w:ind w:firstLine="560" w:firstLineChars="200"/>
        <w:rPr>
          <w:rFonts w:ascii="宋体" w:hAnsi="宋体" w:eastAsia="宋体" w:cs="宋体"/>
          <w:kern w:val="0"/>
          <w:sz w:val="28"/>
          <w:szCs w:val="24"/>
        </w:rPr>
      </w:pPr>
      <w:r>
        <w:rPr>
          <w:rFonts w:hint="eastAsia" w:ascii="宋体" w:hAnsi="宋体" w:eastAsia="宋体" w:cs="宋体"/>
          <w:kern w:val="0"/>
          <w:sz w:val="28"/>
          <w:szCs w:val="24"/>
        </w:rPr>
        <w:t>本单位</w:t>
      </w:r>
      <w:r>
        <w:rPr>
          <w:rFonts w:hint="eastAsia" w:ascii="宋体" w:hAnsi="宋体" w:eastAsia="宋体" w:cs="宋体"/>
          <w:kern w:val="0"/>
          <w:sz w:val="28"/>
          <w:szCs w:val="24"/>
          <w:u w:val="single"/>
        </w:rPr>
        <w:t xml:space="preserve">              </w:t>
      </w:r>
      <w:r>
        <w:rPr>
          <w:rFonts w:hint="eastAsia" w:ascii="宋体" w:hAnsi="宋体" w:eastAsia="宋体" w:cs="宋体"/>
          <w:kern w:val="0"/>
          <w:sz w:val="28"/>
          <w:szCs w:val="24"/>
        </w:rPr>
        <w:t>（公司名称）参加</w:t>
      </w:r>
      <w:r>
        <w:rPr>
          <w:rFonts w:hint="eastAsia" w:ascii="宋体" w:hAnsi="宋体" w:eastAsia="宋体" w:cs="宋体"/>
          <w:kern w:val="0"/>
          <w:sz w:val="28"/>
          <w:szCs w:val="24"/>
          <w:u w:val="single"/>
        </w:rPr>
        <w:t xml:space="preserve">               </w:t>
      </w:r>
      <w:r>
        <w:rPr>
          <w:rFonts w:hint="eastAsia" w:ascii="宋体" w:hAnsi="宋体" w:eastAsia="宋体" w:cs="宋体"/>
          <w:kern w:val="0"/>
          <w:sz w:val="28"/>
          <w:szCs w:val="24"/>
        </w:rPr>
        <w:t>（项目名称）的</w:t>
      </w:r>
      <w:r>
        <w:rPr>
          <w:rFonts w:hint="eastAsia" w:ascii="宋体" w:hAnsi="宋体" w:eastAsia="宋体" w:cs="宋体"/>
          <w:kern w:val="0"/>
          <w:sz w:val="28"/>
          <w:szCs w:val="28"/>
        </w:rPr>
        <w:t>采购</w:t>
      </w:r>
      <w:r>
        <w:rPr>
          <w:rFonts w:hint="eastAsia" w:ascii="宋体" w:hAnsi="宋体" w:eastAsia="宋体" w:cs="宋体"/>
          <w:kern w:val="0"/>
          <w:sz w:val="28"/>
          <w:szCs w:val="24"/>
        </w:rPr>
        <w:t>活动，现承诺我公司具有履行合同所必需的设备和专业技术能力。</w:t>
      </w:r>
    </w:p>
    <w:p w14:paraId="7866A25F">
      <w:pPr>
        <w:spacing w:line="480" w:lineRule="auto"/>
        <w:ind w:firstLine="560" w:firstLineChars="200"/>
        <w:rPr>
          <w:rFonts w:ascii="宋体" w:hAnsi="宋体" w:eastAsia="宋体" w:cs="宋体"/>
          <w:kern w:val="0"/>
          <w:sz w:val="28"/>
          <w:szCs w:val="24"/>
        </w:rPr>
      </w:pPr>
      <w:r>
        <w:rPr>
          <w:rFonts w:hint="eastAsia" w:ascii="宋体" w:hAnsi="宋体" w:eastAsia="宋体" w:cs="宋体"/>
          <w:kern w:val="0"/>
          <w:sz w:val="28"/>
          <w:szCs w:val="24"/>
        </w:rPr>
        <w:t>本公司对上述承诺内容事项真实性负责。如经查实上述承诺的内容事项存在虚假，我公司愿意接受以提供虚假材料谋取中标追究法律责任。</w:t>
      </w:r>
    </w:p>
    <w:p w14:paraId="439E7DB3">
      <w:pPr>
        <w:spacing w:line="276" w:lineRule="auto"/>
        <w:ind w:firstLine="560" w:firstLineChars="200"/>
        <w:rPr>
          <w:rFonts w:ascii="宋体" w:hAnsi="宋体" w:eastAsia="宋体" w:cs="宋体"/>
          <w:kern w:val="0"/>
          <w:sz w:val="28"/>
          <w:szCs w:val="20"/>
        </w:rPr>
      </w:pPr>
    </w:p>
    <w:p w14:paraId="4B11FECF">
      <w:pPr>
        <w:spacing w:line="276" w:lineRule="auto"/>
        <w:ind w:firstLine="560" w:firstLineChars="200"/>
        <w:rPr>
          <w:rFonts w:ascii="宋体" w:hAnsi="宋体" w:eastAsia="宋体" w:cs="宋体"/>
          <w:kern w:val="0"/>
          <w:sz w:val="28"/>
          <w:szCs w:val="20"/>
        </w:rPr>
      </w:pPr>
    </w:p>
    <w:p w14:paraId="11BD75E8">
      <w:pPr>
        <w:spacing w:line="276" w:lineRule="auto"/>
        <w:ind w:firstLine="560" w:firstLineChars="200"/>
        <w:jc w:val="left"/>
        <w:rPr>
          <w:rFonts w:ascii="宋体" w:hAnsi="宋体" w:eastAsia="宋体" w:cs="Times New Roman"/>
          <w:kern w:val="0"/>
          <w:sz w:val="28"/>
          <w:szCs w:val="20"/>
        </w:rPr>
      </w:pPr>
      <w:r>
        <w:rPr>
          <w:rFonts w:hint="eastAsia" w:ascii="宋体" w:hAnsi="宋体" w:eastAsia="宋体" w:cs="Times New Roman"/>
          <w:kern w:val="0"/>
          <w:sz w:val="28"/>
          <w:szCs w:val="20"/>
        </w:rPr>
        <w:t>供应商名称：XXXX（单位公章）</w:t>
      </w:r>
    </w:p>
    <w:p w14:paraId="6138BD8D">
      <w:pPr>
        <w:spacing w:line="276" w:lineRule="auto"/>
        <w:ind w:firstLine="560" w:firstLineChars="200"/>
        <w:jc w:val="left"/>
        <w:rPr>
          <w:rFonts w:ascii="宋体" w:hAnsi="宋体" w:eastAsia="宋体" w:cs="Times New Roman"/>
          <w:kern w:val="0"/>
          <w:sz w:val="28"/>
          <w:szCs w:val="20"/>
        </w:rPr>
      </w:pPr>
      <w:r>
        <w:rPr>
          <w:rFonts w:hint="eastAsia" w:ascii="宋体" w:hAnsi="宋体" w:eastAsia="宋体" w:cs="Times New Roman"/>
          <w:kern w:val="0"/>
          <w:sz w:val="28"/>
          <w:szCs w:val="20"/>
        </w:rPr>
        <w:t>法定代表人/单位负责人或授权代表（签字或盖章）：XXXX</w:t>
      </w:r>
    </w:p>
    <w:p w14:paraId="5BBF6DA4">
      <w:pPr>
        <w:spacing w:line="276" w:lineRule="auto"/>
        <w:ind w:firstLine="560" w:firstLineChars="200"/>
        <w:jc w:val="left"/>
        <w:rPr>
          <w:rFonts w:ascii="宋体" w:hAnsi="宋体" w:eastAsia="宋体" w:cs="Times New Roman"/>
          <w:kern w:val="0"/>
          <w:sz w:val="24"/>
          <w:szCs w:val="20"/>
        </w:rPr>
      </w:pPr>
      <w:r>
        <w:rPr>
          <w:rFonts w:hint="eastAsia" w:ascii="宋体" w:hAnsi="宋体" w:eastAsia="宋体" w:cs="Times New Roman"/>
          <w:kern w:val="0"/>
          <w:sz w:val="28"/>
          <w:szCs w:val="20"/>
        </w:rPr>
        <w:t>日期：XXXX</w:t>
      </w:r>
    </w:p>
    <w:p w14:paraId="5016EC3F">
      <w:pPr>
        <w:spacing w:line="360" w:lineRule="auto"/>
        <w:ind w:firstLine="422"/>
        <w:rPr>
          <w:rFonts w:ascii="宋体" w:hAnsi="宋体" w:eastAsia="宋体" w:cs="Times New Roman"/>
          <w:b/>
          <w:szCs w:val="21"/>
        </w:rPr>
      </w:pPr>
    </w:p>
    <w:p w14:paraId="37C5AB3A">
      <w:pPr>
        <w:widowControl/>
        <w:ind w:firstLine="422"/>
        <w:jc w:val="left"/>
        <w:rPr>
          <w:rFonts w:ascii="宋体" w:hAnsi="宋体" w:eastAsia="宋体" w:cs="Times New Roman"/>
          <w:b/>
          <w:szCs w:val="21"/>
        </w:rPr>
      </w:pPr>
      <w:r>
        <w:rPr>
          <w:rFonts w:ascii="宋体" w:hAnsi="宋体" w:eastAsia="宋体" w:cs="Times New Roman"/>
          <w:b/>
          <w:szCs w:val="21"/>
        </w:rPr>
        <w:br w:type="page"/>
      </w:r>
    </w:p>
    <w:p w14:paraId="5DC776D6">
      <w:pPr>
        <w:spacing w:line="360" w:lineRule="auto"/>
        <w:ind w:firstLine="562"/>
        <w:rPr>
          <w:rFonts w:ascii="宋体" w:hAnsi="宋体" w:eastAsia="宋体" w:cs="Times New Roman"/>
          <w:b/>
          <w:sz w:val="28"/>
          <w:szCs w:val="21"/>
        </w:rPr>
      </w:pPr>
      <w:r>
        <w:rPr>
          <w:rFonts w:hint="eastAsia" w:ascii="宋体" w:hAnsi="宋体" w:eastAsia="宋体" w:cs="Times New Roman"/>
          <w:b/>
          <w:sz w:val="28"/>
          <w:szCs w:val="21"/>
        </w:rPr>
        <w:t>2</w:t>
      </w:r>
      <w:r>
        <w:rPr>
          <w:rFonts w:ascii="宋体" w:hAnsi="宋体" w:eastAsia="宋体" w:cs="Times New Roman"/>
          <w:b/>
          <w:sz w:val="28"/>
          <w:szCs w:val="21"/>
        </w:rPr>
        <w:t>.2.3</w:t>
      </w:r>
      <w:r>
        <w:rPr>
          <w:rFonts w:hint="eastAsia" w:ascii="宋体" w:hAnsi="宋体" w:eastAsia="宋体" w:cs="Times New Roman"/>
          <w:b/>
          <w:sz w:val="28"/>
          <w:szCs w:val="21"/>
        </w:rPr>
        <w:t>参加采购活动前3年内，在经营活动中没有重大违法记录；</w:t>
      </w:r>
      <w:r>
        <w:rPr>
          <w:rFonts w:ascii="宋体" w:hAnsi="宋体" w:eastAsia="宋体" w:cs="Times New Roman"/>
          <w:b/>
          <w:sz w:val="28"/>
          <w:szCs w:val="21"/>
        </w:rPr>
        <w:t xml:space="preserve"> </w:t>
      </w:r>
    </w:p>
    <w:p w14:paraId="1B7B41BC">
      <w:pPr>
        <w:spacing w:line="480" w:lineRule="auto"/>
        <w:ind w:firstLine="560"/>
        <w:rPr>
          <w:rFonts w:ascii="宋体" w:hAnsi="宋体" w:eastAsia="宋体" w:cs="宋体"/>
          <w:kern w:val="0"/>
          <w:sz w:val="28"/>
          <w:szCs w:val="24"/>
        </w:rPr>
      </w:pPr>
      <w:r>
        <w:rPr>
          <w:rFonts w:hint="eastAsia" w:ascii="宋体" w:hAnsi="宋体" w:eastAsia="宋体" w:cs="Times New Roman"/>
          <w:kern w:val="0"/>
          <w:sz w:val="28"/>
          <w:szCs w:val="20"/>
        </w:rPr>
        <w:t>（采购人）</w:t>
      </w:r>
      <w:r>
        <w:rPr>
          <w:rFonts w:hint="eastAsia" w:ascii="宋体" w:hAnsi="宋体" w:eastAsia="宋体" w:cs="宋体"/>
          <w:kern w:val="0"/>
          <w:sz w:val="28"/>
          <w:szCs w:val="24"/>
        </w:rPr>
        <w:t>：</w:t>
      </w:r>
    </w:p>
    <w:p w14:paraId="6F34D6D4">
      <w:pPr>
        <w:spacing w:line="480" w:lineRule="auto"/>
        <w:ind w:firstLine="560" w:firstLineChars="200"/>
        <w:rPr>
          <w:rFonts w:ascii="宋体" w:hAnsi="宋体" w:eastAsia="宋体" w:cs="宋体"/>
          <w:kern w:val="0"/>
          <w:sz w:val="28"/>
          <w:szCs w:val="24"/>
        </w:rPr>
      </w:pPr>
      <w:r>
        <w:rPr>
          <w:rFonts w:hint="eastAsia" w:ascii="宋体" w:hAnsi="宋体" w:eastAsia="宋体" w:cs="宋体"/>
          <w:kern w:val="0"/>
          <w:sz w:val="28"/>
          <w:szCs w:val="24"/>
        </w:rPr>
        <w:t>本单位</w:t>
      </w:r>
      <w:r>
        <w:rPr>
          <w:rFonts w:hint="eastAsia" w:ascii="宋体" w:hAnsi="宋体" w:eastAsia="宋体" w:cs="宋体"/>
          <w:kern w:val="0"/>
          <w:sz w:val="28"/>
          <w:szCs w:val="24"/>
          <w:u w:val="single"/>
        </w:rPr>
        <w:t xml:space="preserve">              </w:t>
      </w:r>
      <w:r>
        <w:rPr>
          <w:rFonts w:hint="eastAsia" w:ascii="宋体" w:hAnsi="宋体" w:eastAsia="宋体" w:cs="宋体"/>
          <w:kern w:val="0"/>
          <w:sz w:val="28"/>
          <w:szCs w:val="24"/>
        </w:rPr>
        <w:t>（公司名称）参加</w:t>
      </w:r>
      <w:r>
        <w:rPr>
          <w:rFonts w:hint="eastAsia" w:ascii="宋体" w:hAnsi="宋体" w:eastAsia="宋体" w:cs="宋体"/>
          <w:kern w:val="0"/>
          <w:sz w:val="28"/>
          <w:szCs w:val="24"/>
          <w:u w:val="single"/>
        </w:rPr>
        <w:t xml:space="preserve">               </w:t>
      </w:r>
      <w:r>
        <w:rPr>
          <w:rFonts w:hint="eastAsia" w:ascii="宋体" w:hAnsi="宋体" w:eastAsia="宋体" w:cs="宋体"/>
          <w:kern w:val="0"/>
          <w:sz w:val="28"/>
          <w:szCs w:val="24"/>
        </w:rPr>
        <w:t>（项目名称）的</w:t>
      </w:r>
      <w:r>
        <w:rPr>
          <w:rFonts w:hint="eastAsia" w:ascii="宋体" w:hAnsi="宋体" w:eastAsia="宋体" w:cs="宋体"/>
          <w:kern w:val="0"/>
          <w:sz w:val="28"/>
          <w:szCs w:val="28"/>
        </w:rPr>
        <w:t>采购</w:t>
      </w:r>
      <w:r>
        <w:rPr>
          <w:rFonts w:hint="eastAsia" w:ascii="宋体" w:hAnsi="宋体" w:eastAsia="宋体" w:cs="宋体"/>
          <w:kern w:val="0"/>
          <w:sz w:val="28"/>
          <w:szCs w:val="24"/>
        </w:rPr>
        <w:t>活动，现承诺我公司</w:t>
      </w:r>
      <w:r>
        <w:rPr>
          <w:rFonts w:hint="eastAsia" w:ascii="宋体" w:hAnsi="宋体" w:eastAsia="宋体" w:cs="宋体"/>
          <w:kern w:val="0"/>
          <w:sz w:val="28"/>
          <w:szCs w:val="20"/>
        </w:rPr>
        <w:t>参加本次采购活动前三年内，在经营活动中没有重大违法记录</w:t>
      </w:r>
      <w:r>
        <w:rPr>
          <w:rFonts w:hint="eastAsia" w:ascii="宋体" w:hAnsi="宋体" w:eastAsia="宋体" w:cs="宋体"/>
          <w:kern w:val="0"/>
          <w:sz w:val="28"/>
          <w:szCs w:val="24"/>
        </w:rPr>
        <w:t>。</w:t>
      </w:r>
    </w:p>
    <w:p w14:paraId="7F3CA29E">
      <w:pPr>
        <w:spacing w:line="480" w:lineRule="auto"/>
        <w:ind w:firstLine="560" w:firstLineChars="200"/>
        <w:rPr>
          <w:rFonts w:ascii="宋体" w:hAnsi="宋体" w:eastAsia="宋体" w:cs="宋体"/>
          <w:kern w:val="0"/>
          <w:sz w:val="28"/>
          <w:szCs w:val="24"/>
        </w:rPr>
      </w:pPr>
      <w:r>
        <w:rPr>
          <w:rFonts w:hint="eastAsia" w:ascii="宋体" w:hAnsi="宋体" w:eastAsia="宋体" w:cs="宋体"/>
          <w:kern w:val="0"/>
          <w:sz w:val="28"/>
          <w:szCs w:val="24"/>
        </w:rPr>
        <w:t>本公司对上述承诺内容事项真实性负责。如经查实上述承诺的内容事项存在虚假，我公司愿意接受以提供虚假材料谋取中标追究法律责任。</w:t>
      </w:r>
    </w:p>
    <w:p w14:paraId="157D8F02">
      <w:pPr>
        <w:spacing w:line="276" w:lineRule="auto"/>
        <w:ind w:firstLine="560" w:firstLineChars="200"/>
        <w:rPr>
          <w:rFonts w:ascii="宋体" w:hAnsi="宋体" w:eastAsia="宋体" w:cs="宋体"/>
          <w:kern w:val="0"/>
          <w:sz w:val="28"/>
          <w:szCs w:val="20"/>
        </w:rPr>
      </w:pPr>
    </w:p>
    <w:p w14:paraId="6B30234F">
      <w:pPr>
        <w:spacing w:line="276" w:lineRule="auto"/>
        <w:ind w:firstLine="560" w:firstLineChars="200"/>
        <w:rPr>
          <w:rFonts w:ascii="宋体" w:hAnsi="宋体" w:eastAsia="宋体" w:cs="宋体"/>
          <w:kern w:val="0"/>
          <w:sz w:val="28"/>
          <w:szCs w:val="20"/>
        </w:rPr>
      </w:pPr>
    </w:p>
    <w:p w14:paraId="0318A67A">
      <w:pPr>
        <w:spacing w:line="276" w:lineRule="auto"/>
        <w:ind w:firstLine="560" w:firstLineChars="200"/>
        <w:jc w:val="left"/>
        <w:rPr>
          <w:rFonts w:ascii="宋体" w:hAnsi="宋体" w:eastAsia="宋体" w:cs="Times New Roman"/>
          <w:kern w:val="0"/>
          <w:sz w:val="28"/>
          <w:szCs w:val="20"/>
        </w:rPr>
      </w:pPr>
      <w:r>
        <w:rPr>
          <w:rFonts w:hint="eastAsia" w:ascii="宋体" w:hAnsi="宋体" w:eastAsia="宋体" w:cs="Times New Roman"/>
          <w:kern w:val="0"/>
          <w:sz w:val="28"/>
          <w:szCs w:val="20"/>
        </w:rPr>
        <w:t>供应商名称：XXXX（单位公章）</w:t>
      </w:r>
    </w:p>
    <w:p w14:paraId="4AC7CB52">
      <w:pPr>
        <w:spacing w:line="276" w:lineRule="auto"/>
        <w:ind w:firstLine="560" w:firstLineChars="200"/>
        <w:jc w:val="left"/>
        <w:rPr>
          <w:rFonts w:ascii="宋体" w:hAnsi="宋体" w:eastAsia="宋体" w:cs="Times New Roman"/>
          <w:kern w:val="0"/>
          <w:sz w:val="28"/>
          <w:szCs w:val="20"/>
        </w:rPr>
      </w:pPr>
      <w:r>
        <w:rPr>
          <w:rFonts w:hint="eastAsia" w:ascii="宋体" w:hAnsi="宋体" w:eastAsia="宋体" w:cs="Times New Roman"/>
          <w:kern w:val="0"/>
          <w:sz w:val="28"/>
          <w:szCs w:val="20"/>
        </w:rPr>
        <w:t>法定代表人/单位负责人或授权代表（签字或盖章）：XXXX</w:t>
      </w:r>
    </w:p>
    <w:p w14:paraId="6F631F6D">
      <w:pPr>
        <w:spacing w:line="360" w:lineRule="auto"/>
        <w:ind w:firstLine="560" w:firstLineChars="200"/>
        <w:rPr>
          <w:rFonts w:ascii="宋体" w:hAnsi="宋体" w:eastAsia="宋体" w:cs="Times New Roman"/>
          <w:b/>
          <w:sz w:val="22"/>
          <w:szCs w:val="21"/>
        </w:rPr>
      </w:pPr>
      <w:r>
        <w:rPr>
          <w:rFonts w:hint="eastAsia" w:ascii="宋体" w:hAnsi="宋体" w:eastAsia="宋体" w:cs="Times New Roman"/>
          <w:kern w:val="0"/>
          <w:sz w:val="28"/>
          <w:szCs w:val="20"/>
        </w:rPr>
        <w:t>日期：XXXX</w:t>
      </w:r>
    </w:p>
    <w:p w14:paraId="6673766F">
      <w:pPr>
        <w:widowControl/>
        <w:ind w:firstLine="422"/>
        <w:jc w:val="left"/>
        <w:rPr>
          <w:rFonts w:ascii="宋体" w:hAnsi="宋体" w:eastAsia="宋体" w:cs="Times New Roman"/>
          <w:b/>
          <w:szCs w:val="21"/>
        </w:rPr>
      </w:pPr>
      <w:r>
        <w:rPr>
          <w:rFonts w:ascii="宋体" w:hAnsi="宋体" w:eastAsia="宋体" w:cs="Times New Roman"/>
          <w:b/>
          <w:szCs w:val="21"/>
        </w:rPr>
        <w:br w:type="page"/>
      </w:r>
    </w:p>
    <w:p w14:paraId="3562093F">
      <w:pPr>
        <w:spacing w:line="360" w:lineRule="auto"/>
        <w:ind w:firstLine="562"/>
        <w:rPr>
          <w:rFonts w:ascii="宋体" w:hAnsi="宋体" w:eastAsia="宋体" w:cs="Times New Roman"/>
          <w:b/>
          <w:sz w:val="28"/>
          <w:szCs w:val="21"/>
        </w:rPr>
      </w:pPr>
      <w:r>
        <w:rPr>
          <w:rFonts w:ascii="宋体" w:hAnsi="宋体" w:eastAsia="宋体" w:cs="Times New Roman"/>
          <w:b/>
          <w:sz w:val="28"/>
          <w:szCs w:val="21"/>
        </w:rPr>
        <w:t>2.2.4</w:t>
      </w:r>
      <w:r>
        <w:rPr>
          <w:rFonts w:hint="eastAsia" w:ascii="宋体" w:hAnsi="宋体" w:eastAsia="宋体" w:cs="Times New Roman"/>
          <w:b/>
          <w:sz w:val="28"/>
          <w:szCs w:val="21"/>
        </w:rPr>
        <w:t>单位负责人为同一人或者存在直接控股、管理关系的不同供应商，不得参加同一合同项下的政府采购活动。与采购人存在利害关系可能影响招标公正性的法人、其他组织或者个人，不得参加投标。</w:t>
      </w:r>
    </w:p>
    <w:p w14:paraId="4F4E7956">
      <w:pPr>
        <w:spacing w:line="480" w:lineRule="auto"/>
        <w:ind w:firstLine="560"/>
        <w:rPr>
          <w:rFonts w:ascii="宋体" w:hAnsi="宋体" w:eastAsia="宋体" w:cs="宋体"/>
          <w:kern w:val="0"/>
          <w:sz w:val="28"/>
          <w:szCs w:val="24"/>
        </w:rPr>
      </w:pPr>
      <w:r>
        <w:rPr>
          <w:rFonts w:hint="eastAsia" w:ascii="宋体" w:hAnsi="宋体" w:eastAsia="宋体" w:cs="Times New Roman"/>
          <w:kern w:val="0"/>
          <w:sz w:val="28"/>
          <w:szCs w:val="20"/>
        </w:rPr>
        <w:t>（采购人）</w:t>
      </w:r>
      <w:r>
        <w:rPr>
          <w:rFonts w:hint="eastAsia" w:ascii="宋体" w:hAnsi="宋体" w:eastAsia="宋体" w:cs="宋体"/>
          <w:kern w:val="0"/>
          <w:sz w:val="28"/>
          <w:szCs w:val="24"/>
        </w:rPr>
        <w:t>：</w:t>
      </w:r>
    </w:p>
    <w:p w14:paraId="0E868D65">
      <w:pPr>
        <w:spacing w:line="480" w:lineRule="auto"/>
        <w:ind w:firstLine="560" w:firstLineChars="200"/>
        <w:rPr>
          <w:rFonts w:ascii="宋体" w:hAnsi="宋体" w:eastAsia="宋体" w:cs="宋体"/>
          <w:kern w:val="0"/>
          <w:sz w:val="28"/>
          <w:szCs w:val="20"/>
        </w:rPr>
      </w:pPr>
      <w:r>
        <w:rPr>
          <w:rFonts w:hint="eastAsia" w:ascii="宋体" w:hAnsi="宋体" w:eastAsia="宋体" w:cs="宋体"/>
          <w:kern w:val="0"/>
          <w:sz w:val="28"/>
          <w:szCs w:val="24"/>
        </w:rPr>
        <w:t>本单位</w:t>
      </w:r>
      <w:r>
        <w:rPr>
          <w:rFonts w:hint="eastAsia" w:ascii="宋体" w:hAnsi="宋体" w:eastAsia="宋体" w:cs="宋体"/>
          <w:kern w:val="0"/>
          <w:sz w:val="28"/>
          <w:szCs w:val="24"/>
          <w:u w:val="single"/>
        </w:rPr>
        <w:t xml:space="preserve">              </w:t>
      </w:r>
      <w:r>
        <w:rPr>
          <w:rFonts w:hint="eastAsia" w:ascii="宋体" w:hAnsi="宋体" w:eastAsia="宋体" w:cs="宋体"/>
          <w:kern w:val="0"/>
          <w:sz w:val="28"/>
          <w:szCs w:val="24"/>
        </w:rPr>
        <w:t>（公司名称）参加</w:t>
      </w:r>
      <w:r>
        <w:rPr>
          <w:rFonts w:hint="eastAsia" w:ascii="宋体" w:hAnsi="宋体" w:eastAsia="宋体" w:cs="宋体"/>
          <w:kern w:val="0"/>
          <w:sz w:val="28"/>
          <w:szCs w:val="24"/>
          <w:u w:val="single"/>
        </w:rPr>
        <w:t xml:space="preserve">               </w:t>
      </w:r>
      <w:r>
        <w:rPr>
          <w:rFonts w:hint="eastAsia" w:ascii="宋体" w:hAnsi="宋体" w:eastAsia="宋体" w:cs="宋体"/>
          <w:kern w:val="0"/>
          <w:sz w:val="28"/>
          <w:szCs w:val="24"/>
        </w:rPr>
        <w:t>（项目名称）的</w:t>
      </w:r>
      <w:r>
        <w:rPr>
          <w:rFonts w:hint="eastAsia" w:ascii="宋体" w:hAnsi="宋体" w:eastAsia="宋体" w:cs="宋体"/>
          <w:kern w:val="0"/>
          <w:sz w:val="28"/>
          <w:szCs w:val="28"/>
        </w:rPr>
        <w:t>采购</w:t>
      </w:r>
      <w:r>
        <w:rPr>
          <w:rFonts w:hint="eastAsia" w:ascii="宋体" w:hAnsi="宋体" w:eastAsia="宋体" w:cs="宋体"/>
          <w:kern w:val="0"/>
          <w:sz w:val="28"/>
          <w:szCs w:val="24"/>
        </w:rPr>
        <w:t>活动，现承诺我公司</w:t>
      </w:r>
      <w:r>
        <w:rPr>
          <w:rFonts w:hint="eastAsia" w:ascii="宋体" w:hAnsi="宋体" w:eastAsia="宋体" w:cs="宋体"/>
          <w:kern w:val="0"/>
          <w:sz w:val="28"/>
          <w:szCs w:val="20"/>
        </w:rPr>
        <w:t>参加本次采购活动不存在：</w:t>
      </w:r>
    </w:p>
    <w:p w14:paraId="38F0DD4C">
      <w:pPr>
        <w:spacing w:line="480" w:lineRule="auto"/>
        <w:ind w:firstLine="560" w:firstLineChars="200"/>
        <w:rPr>
          <w:rFonts w:ascii="宋体" w:hAnsi="宋体" w:eastAsia="宋体" w:cs="宋体"/>
          <w:kern w:val="0"/>
          <w:sz w:val="28"/>
          <w:szCs w:val="20"/>
        </w:rPr>
      </w:pPr>
      <w:r>
        <w:rPr>
          <w:rFonts w:ascii="宋体" w:hAnsi="宋体" w:eastAsia="宋体" w:cs="宋体"/>
          <w:kern w:val="0"/>
          <w:sz w:val="28"/>
          <w:szCs w:val="20"/>
        </w:rPr>
        <w:t>（</w:t>
      </w:r>
      <w:r>
        <w:rPr>
          <w:rFonts w:hint="eastAsia" w:ascii="宋体" w:hAnsi="宋体" w:eastAsia="宋体" w:cs="宋体"/>
          <w:kern w:val="0"/>
          <w:sz w:val="28"/>
          <w:szCs w:val="20"/>
        </w:rPr>
        <w:t>1</w:t>
      </w:r>
      <w:r>
        <w:rPr>
          <w:rFonts w:ascii="宋体" w:hAnsi="宋体" w:eastAsia="宋体" w:cs="宋体"/>
          <w:kern w:val="0"/>
          <w:sz w:val="28"/>
          <w:szCs w:val="20"/>
        </w:rPr>
        <w:t>）</w:t>
      </w:r>
      <w:r>
        <w:rPr>
          <w:rFonts w:hint="eastAsia" w:ascii="宋体" w:hAnsi="宋体" w:eastAsia="宋体" w:cs="宋体"/>
          <w:kern w:val="0"/>
          <w:sz w:val="28"/>
          <w:szCs w:val="20"/>
        </w:rPr>
        <w:t>与采购人存在利害关系可能影响招标公正性的法定代表人、其他组织或者个人参加投标的情形；</w:t>
      </w:r>
    </w:p>
    <w:p w14:paraId="213BB6DE">
      <w:pPr>
        <w:spacing w:line="360" w:lineRule="auto"/>
        <w:ind w:firstLine="560" w:firstLineChars="200"/>
        <w:rPr>
          <w:rFonts w:ascii="宋体" w:hAnsi="宋体" w:eastAsia="宋体" w:cs="宋体"/>
          <w:kern w:val="0"/>
          <w:sz w:val="28"/>
          <w:szCs w:val="20"/>
        </w:rPr>
      </w:pPr>
      <w:r>
        <w:rPr>
          <w:rFonts w:ascii="宋体" w:hAnsi="宋体" w:eastAsia="宋体" w:cs="宋体"/>
          <w:kern w:val="0"/>
          <w:sz w:val="28"/>
          <w:szCs w:val="20"/>
        </w:rPr>
        <w:t>（</w:t>
      </w:r>
      <w:r>
        <w:rPr>
          <w:rFonts w:hint="eastAsia" w:ascii="宋体" w:hAnsi="宋体" w:eastAsia="宋体" w:cs="宋体"/>
          <w:kern w:val="0"/>
          <w:sz w:val="28"/>
          <w:szCs w:val="20"/>
        </w:rPr>
        <w:t>2</w:t>
      </w:r>
      <w:r>
        <w:rPr>
          <w:rFonts w:ascii="宋体" w:hAnsi="宋体" w:eastAsia="宋体" w:cs="宋体"/>
          <w:kern w:val="0"/>
          <w:sz w:val="28"/>
          <w:szCs w:val="20"/>
        </w:rPr>
        <w:t>）</w:t>
      </w:r>
      <w:r>
        <w:rPr>
          <w:rFonts w:hint="eastAsia" w:ascii="宋体" w:hAnsi="宋体" w:eastAsia="宋体" w:cs="宋体"/>
          <w:kern w:val="0"/>
          <w:sz w:val="28"/>
          <w:szCs w:val="20"/>
        </w:rPr>
        <w:t>单位负责人为同一人或者存在控股、管理关系的不同单位，参加同一合同项下的同一招标项目投标的情形；</w:t>
      </w:r>
    </w:p>
    <w:p w14:paraId="059F70C5">
      <w:pPr>
        <w:spacing w:line="480" w:lineRule="auto"/>
        <w:ind w:firstLine="560" w:firstLineChars="200"/>
        <w:rPr>
          <w:rFonts w:ascii="宋体" w:hAnsi="宋体" w:eastAsia="宋体" w:cs="宋体"/>
          <w:kern w:val="0"/>
          <w:sz w:val="28"/>
          <w:szCs w:val="24"/>
        </w:rPr>
      </w:pPr>
      <w:r>
        <w:rPr>
          <w:rFonts w:hint="eastAsia" w:ascii="宋体" w:hAnsi="宋体" w:eastAsia="宋体" w:cs="宋体"/>
          <w:kern w:val="0"/>
          <w:sz w:val="28"/>
          <w:szCs w:val="24"/>
        </w:rPr>
        <w:t>本公司对上述承诺内容事项真实性负责。如经查实上述承诺的内容事项存在虚假，我公司愿意接受以提供虚假材料谋取中标追究法律责任。</w:t>
      </w:r>
    </w:p>
    <w:p w14:paraId="3884FC00">
      <w:pPr>
        <w:spacing w:line="276" w:lineRule="auto"/>
        <w:ind w:firstLine="560" w:firstLineChars="200"/>
        <w:rPr>
          <w:rFonts w:ascii="宋体" w:hAnsi="宋体" w:eastAsia="宋体" w:cs="宋体"/>
          <w:kern w:val="0"/>
          <w:sz w:val="28"/>
          <w:szCs w:val="20"/>
        </w:rPr>
      </w:pPr>
    </w:p>
    <w:p w14:paraId="24FA62F4">
      <w:pPr>
        <w:spacing w:line="276" w:lineRule="auto"/>
        <w:ind w:firstLine="560" w:firstLineChars="200"/>
        <w:rPr>
          <w:rFonts w:ascii="宋体" w:hAnsi="宋体" w:eastAsia="宋体" w:cs="宋体"/>
          <w:kern w:val="0"/>
          <w:sz w:val="28"/>
          <w:szCs w:val="20"/>
        </w:rPr>
      </w:pPr>
    </w:p>
    <w:p w14:paraId="1AB05C92">
      <w:pPr>
        <w:spacing w:line="276" w:lineRule="auto"/>
        <w:ind w:firstLine="560" w:firstLineChars="200"/>
        <w:jc w:val="left"/>
        <w:rPr>
          <w:rFonts w:ascii="宋体" w:hAnsi="宋体" w:eastAsia="宋体" w:cs="Times New Roman"/>
          <w:kern w:val="0"/>
          <w:sz w:val="28"/>
          <w:szCs w:val="20"/>
        </w:rPr>
      </w:pPr>
      <w:r>
        <w:rPr>
          <w:rFonts w:hint="eastAsia" w:ascii="宋体" w:hAnsi="宋体" w:eastAsia="宋体" w:cs="Times New Roman"/>
          <w:kern w:val="0"/>
          <w:sz w:val="28"/>
          <w:szCs w:val="20"/>
        </w:rPr>
        <w:t>供应商名称：XXXX（单位公章）</w:t>
      </w:r>
    </w:p>
    <w:p w14:paraId="47EB1855">
      <w:pPr>
        <w:spacing w:line="276" w:lineRule="auto"/>
        <w:ind w:firstLine="560" w:firstLineChars="200"/>
        <w:jc w:val="left"/>
        <w:rPr>
          <w:rFonts w:ascii="宋体" w:hAnsi="宋体" w:eastAsia="宋体" w:cs="Times New Roman"/>
          <w:kern w:val="0"/>
          <w:sz w:val="28"/>
          <w:szCs w:val="20"/>
        </w:rPr>
      </w:pPr>
      <w:r>
        <w:rPr>
          <w:rFonts w:hint="eastAsia" w:ascii="宋体" w:hAnsi="宋体" w:eastAsia="宋体" w:cs="Times New Roman"/>
          <w:kern w:val="0"/>
          <w:sz w:val="28"/>
          <w:szCs w:val="20"/>
        </w:rPr>
        <w:t>法定代表人/单位负责人或授权代表（签字或盖章）：XXXX</w:t>
      </w:r>
    </w:p>
    <w:p w14:paraId="32AC978C">
      <w:pPr>
        <w:spacing w:line="276" w:lineRule="auto"/>
        <w:ind w:firstLine="560" w:firstLineChars="200"/>
        <w:jc w:val="left"/>
        <w:rPr>
          <w:rFonts w:ascii="宋体" w:hAnsi="Times New Roman" w:eastAsia="宋体" w:cs="Times New Roman"/>
          <w:kern w:val="0"/>
          <w:sz w:val="36"/>
          <w:szCs w:val="20"/>
        </w:rPr>
      </w:pPr>
      <w:r>
        <w:rPr>
          <w:rFonts w:hint="eastAsia" w:ascii="宋体" w:hAnsi="宋体" w:eastAsia="宋体" w:cs="Times New Roman"/>
          <w:kern w:val="0"/>
          <w:sz w:val="28"/>
          <w:szCs w:val="20"/>
        </w:rPr>
        <w:t>日期：XXXX</w:t>
      </w:r>
    </w:p>
    <w:p w14:paraId="2502479D">
      <w:pPr>
        <w:spacing w:line="360" w:lineRule="auto"/>
        <w:ind w:firstLine="562"/>
        <w:rPr>
          <w:rFonts w:ascii="宋体" w:hAnsi="宋体" w:eastAsia="宋体" w:cs="Times New Roman"/>
          <w:b/>
          <w:sz w:val="28"/>
          <w:szCs w:val="21"/>
        </w:rPr>
      </w:pPr>
    </w:p>
    <w:p w14:paraId="33ABC799">
      <w:pPr>
        <w:widowControl/>
        <w:ind w:firstLine="422"/>
        <w:jc w:val="left"/>
        <w:rPr>
          <w:rFonts w:ascii="宋体" w:hAnsi="宋体" w:eastAsia="宋体" w:cs="Times New Roman"/>
          <w:b/>
          <w:szCs w:val="21"/>
        </w:rPr>
      </w:pPr>
      <w:r>
        <w:rPr>
          <w:rFonts w:ascii="宋体" w:hAnsi="宋体" w:eastAsia="宋体" w:cs="Times New Roman"/>
          <w:b/>
          <w:szCs w:val="21"/>
        </w:rPr>
        <w:br w:type="page"/>
      </w:r>
    </w:p>
    <w:p w14:paraId="6C7FA844">
      <w:pPr>
        <w:spacing w:line="360" w:lineRule="auto"/>
        <w:ind w:firstLine="562"/>
        <w:rPr>
          <w:rFonts w:ascii="宋体" w:hAnsi="宋体" w:eastAsia="宋体" w:cs="Times New Roman"/>
          <w:b/>
          <w:sz w:val="28"/>
          <w:szCs w:val="21"/>
        </w:rPr>
      </w:pPr>
      <w:r>
        <w:rPr>
          <w:rFonts w:ascii="宋体" w:hAnsi="宋体" w:eastAsia="宋体" w:cs="Times New Roman"/>
          <w:b/>
          <w:sz w:val="28"/>
          <w:szCs w:val="21"/>
        </w:rPr>
        <w:t>2.2.5</w:t>
      </w:r>
      <w:r>
        <w:rPr>
          <w:rFonts w:hint="eastAsia" w:ascii="宋体" w:hAnsi="宋体" w:eastAsia="宋体" w:cs="Times New Roman"/>
          <w:b/>
          <w:sz w:val="28"/>
          <w:szCs w:val="21"/>
        </w:rPr>
        <w:t>本项目不接受联合体投标。（投标时，供应商出具说明函，格式自拟，加盖供应商公章）</w:t>
      </w:r>
    </w:p>
    <w:p w14:paraId="74E948EE">
      <w:pPr>
        <w:spacing w:line="480" w:lineRule="auto"/>
        <w:ind w:firstLine="560"/>
        <w:rPr>
          <w:rFonts w:ascii="宋体" w:hAnsi="宋体" w:eastAsia="宋体" w:cs="宋体"/>
          <w:kern w:val="0"/>
          <w:sz w:val="24"/>
          <w:szCs w:val="24"/>
        </w:rPr>
      </w:pPr>
      <w:r>
        <w:rPr>
          <w:rFonts w:hint="eastAsia" w:ascii="宋体" w:hAnsi="宋体" w:eastAsia="宋体" w:cs="Times New Roman"/>
          <w:kern w:val="0"/>
          <w:sz w:val="28"/>
          <w:szCs w:val="20"/>
        </w:rPr>
        <w:t>（采购人）：</w:t>
      </w:r>
    </w:p>
    <w:p w14:paraId="3E0760DA">
      <w:pPr>
        <w:spacing w:line="480" w:lineRule="auto"/>
        <w:ind w:firstLine="560" w:firstLineChars="200"/>
        <w:rPr>
          <w:rFonts w:ascii="宋体" w:hAnsi="宋体" w:eastAsia="宋体" w:cs="宋体"/>
          <w:kern w:val="0"/>
          <w:sz w:val="28"/>
          <w:szCs w:val="24"/>
        </w:rPr>
      </w:pPr>
      <w:r>
        <w:rPr>
          <w:rFonts w:hint="eastAsia" w:ascii="宋体" w:hAnsi="宋体" w:eastAsia="宋体" w:cs="宋体"/>
          <w:kern w:val="0"/>
          <w:sz w:val="28"/>
          <w:szCs w:val="24"/>
        </w:rPr>
        <w:t>本单位</w:t>
      </w:r>
      <w:r>
        <w:rPr>
          <w:rFonts w:hint="eastAsia" w:ascii="宋体" w:hAnsi="宋体" w:eastAsia="宋体" w:cs="宋体"/>
          <w:kern w:val="0"/>
          <w:sz w:val="28"/>
          <w:szCs w:val="24"/>
          <w:u w:val="single"/>
        </w:rPr>
        <w:t xml:space="preserve">              </w:t>
      </w:r>
      <w:r>
        <w:rPr>
          <w:rFonts w:hint="eastAsia" w:ascii="宋体" w:hAnsi="宋体" w:eastAsia="宋体" w:cs="宋体"/>
          <w:kern w:val="0"/>
          <w:sz w:val="28"/>
          <w:szCs w:val="24"/>
        </w:rPr>
        <w:t>（公司名称）参加</w:t>
      </w:r>
      <w:r>
        <w:rPr>
          <w:rFonts w:hint="eastAsia" w:ascii="宋体" w:hAnsi="宋体" w:eastAsia="宋体" w:cs="宋体"/>
          <w:kern w:val="0"/>
          <w:sz w:val="28"/>
          <w:szCs w:val="24"/>
          <w:u w:val="single"/>
        </w:rPr>
        <w:t xml:space="preserve">               </w:t>
      </w:r>
      <w:r>
        <w:rPr>
          <w:rFonts w:hint="eastAsia" w:ascii="宋体" w:hAnsi="宋体" w:eastAsia="宋体" w:cs="宋体"/>
          <w:kern w:val="0"/>
          <w:sz w:val="28"/>
          <w:szCs w:val="24"/>
        </w:rPr>
        <w:t>（项目名称）的</w:t>
      </w:r>
      <w:r>
        <w:rPr>
          <w:rFonts w:hint="eastAsia" w:ascii="宋体" w:hAnsi="宋体" w:eastAsia="宋体" w:cs="宋体"/>
          <w:kern w:val="0"/>
          <w:sz w:val="28"/>
          <w:szCs w:val="28"/>
        </w:rPr>
        <w:t>采购</w:t>
      </w:r>
      <w:r>
        <w:rPr>
          <w:rFonts w:hint="eastAsia" w:ascii="宋体" w:hAnsi="宋体" w:eastAsia="宋体" w:cs="宋体"/>
          <w:kern w:val="0"/>
          <w:sz w:val="28"/>
          <w:szCs w:val="24"/>
        </w:rPr>
        <w:t>活动，现承诺我公司</w:t>
      </w:r>
      <w:r>
        <w:rPr>
          <w:rFonts w:hint="eastAsia" w:ascii="宋体" w:hAnsi="宋体" w:eastAsia="宋体" w:cs="宋体"/>
          <w:kern w:val="0"/>
          <w:sz w:val="28"/>
          <w:szCs w:val="20"/>
        </w:rPr>
        <w:t>参加本次采购活动</w:t>
      </w:r>
      <w:r>
        <w:rPr>
          <w:rFonts w:ascii="宋体" w:hAnsi="宋体" w:eastAsia="宋体" w:cs="宋体"/>
          <w:kern w:val="0"/>
          <w:sz w:val="28"/>
          <w:szCs w:val="20"/>
        </w:rPr>
        <w:t>未以</w:t>
      </w:r>
      <w:r>
        <w:rPr>
          <w:rFonts w:hint="eastAsia" w:ascii="宋体" w:hAnsi="宋体" w:eastAsia="宋体" w:cs="宋体"/>
          <w:kern w:val="0"/>
          <w:sz w:val="28"/>
          <w:szCs w:val="20"/>
        </w:rPr>
        <w:t>联合体形式响应</w:t>
      </w:r>
      <w:r>
        <w:rPr>
          <w:rFonts w:hint="eastAsia" w:ascii="宋体" w:hAnsi="宋体" w:eastAsia="宋体" w:cs="宋体"/>
          <w:kern w:val="0"/>
          <w:sz w:val="28"/>
          <w:szCs w:val="24"/>
        </w:rPr>
        <w:t>。</w:t>
      </w:r>
    </w:p>
    <w:p w14:paraId="6BEBED31">
      <w:pPr>
        <w:spacing w:line="480" w:lineRule="auto"/>
        <w:ind w:firstLine="560" w:firstLineChars="200"/>
        <w:rPr>
          <w:rFonts w:ascii="宋体" w:hAnsi="宋体" w:eastAsia="宋体" w:cs="宋体"/>
          <w:kern w:val="0"/>
          <w:sz w:val="28"/>
          <w:szCs w:val="24"/>
        </w:rPr>
      </w:pPr>
      <w:r>
        <w:rPr>
          <w:rFonts w:hint="eastAsia" w:ascii="宋体" w:hAnsi="宋体" w:eastAsia="宋体" w:cs="宋体"/>
          <w:kern w:val="0"/>
          <w:sz w:val="28"/>
          <w:szCs w:val="24"/>
        </w:rPr>
        <w:t>本公司对上述承诺内容事项真实性负责。如经查实上述承诺的内容事项存在虚假，我公司愿意接受以提供虚假材料谋取中标追究法律责任。</w:t>
      </w:r>
    </w:p>
    <w:p w14:paraId="6F0DA305">
      <w:pPr>
        <w:spacing w:line="276" w:lineRule="auto"/>
        <w:ind w:firstLine="560" w:firstLineChars="200"/>
        <w:rPr>
          <w:rFonts w:ascii="宋体" w:hAnsi="宋体" w:eastAsia="宋体" w:cs="宋体"/>
          <w:kern w:val="0"/>
          <w:sz w:val="28"/>
          <w:szCs w:val="20"/>
        </w:rPr>
      </w:pPr>
    </w:p>
    <w:p w14:paraId="4BA49F8D">
      <w:pPr>
        <w:spacing w:line="276" w:lineRule="auto"/>
        <w:ind w:firstLine="560" w:firstLineChars="200"/>
        <w:rPr>
          <w:rFonts w:ascii="宋体" w:hAnsi="宋体" w:eastAsia="宋体" w:cs="宋体"/>
          <w:kern w:val="0"/>
          <w:sz w:val="28"/>
          <w:szCs w:val="20"/>
        </w:rPr>
      </w:pPr>
    </w:p>
    <w:p w14:paraId="72F92638">
      <w:pPr>
        <w:spacing w:line="276" w:lineRule="auto"/>
        <w:ind w:firstLine="560" w:firstLineChars="200"/>
        <w:jc w:val="left"/>
        <w:rPr>
          <w:rFonts w:ascii="宋体" w:hAnsi="宋体" w:eastAsia="宋体" w:cs="Times New Roman"/>
          <w:kern w:val="0"/>
          <w:sz w:val="28"/>
          <w:szCs w:val="20"/>
        </w:rPr>
      </w:pPr>
      <w:r>
        <w:rPr>
          <w:rFonts w:hint="eastAsia" w:ascii="宋体" w:hAnsi="宋体" w:eastAsia="宋体" w:cs="Times New Roman"/>
          <w:kern w:val="0"/>
          <w:sz w:val="28"/>
          <w:szCs w:val="20"/>
        </w:rPr>
        <w:t>供应商名称：XXXX（单位公章）</w:t>
      </w:r>
    </w:p>
    <w:p w14:paraId="271C4161">
      <w:pPr>
        <w:spacing w:line="276" w:lineRule="auto"/>
        <w:ind w:firstLine="560" w:firstLineChars="200"/>
        <w:jc w:val="left"/>
        <w:rPr>
          <w:rFonts w:ascii="宋体" w:hAnsi="宋体" w:eastAsia="宋体" w:cs="Times New Roman"/>
          <w:kern w:val="0"/>
          <w:sz w:val="28"/>
          <w:szCs w:val="20"/>
        </w:rPr>
      </w:pPr>
      <w:r>
        <w:rPr>
          <w:rFonts w:hint="eastAsia" w:ascii="宋体" w:hAnsi="宋体" w:eastAsia="宋体" w:cs="Times New Roman"/>
          <w:kern w:val="0"/>
          <w:sz w:val="28"/>
          <w:szCs w:val="20"/>
        </w:rPr>
        <w:t>法定代表人/单位负责人或授权代表（签字或盖章）：XXXX</w:t>
      </w:r>
    </w:p>
    <w:p w14:paraId="0A7AA78E">
      <w:pPr>
        <w:spacing w:line="276" w:lineRule="auto"/>
        <w:ind w:firstLine="560" w:firstLineChars="200"/>
        <w:jc w:val="left"/>
        <w:rPr>
          <w:rFonts w:ascii="宋体" w:hAnsi="宋体" w:eastAsia="宋体" w:cs="Times New Roman"/>
          <w:kern w:val="0"/>
          <w:sz w:val="28"/>
          <w:szCs w:val="20"/>
        </w:rPr>
      </w:pPr>
      <w:r>
        <w:rPr>
          <w:rFonts w:hint="eastAsia" w:ascii="宋体" w:hAnsi="宋体" w:eastAsia="宋体" w:cs="Times New Roman"/>
          <w:kern w:val="0"/>
          <w:sz w:val="28"/>
          <w:szCs w:val="20"/>
        </w:rPr>
        <w:t>日期：XXXX</w:t>
      </w:r>
    </w:p>
    <w:p w14:paraId="1E93186F">
      <w:pPr>
        <w:widowControl/>
        <w:ind w:firstLine="422"/>
        <w:jc w:val="left"/>
        <w:rPr>
          <w:rFonts w:ascii="宋体" w:hAnsi="宋体" w:eastAsia="宋体" w:cs="Times New Roman"/>
          <w:b/>
          <w:szCs w:val="21"/>
        </w:rPr>
      </w:pPr>
      <w:r>
        <w:rPr>
          <w:rFonts w:ascii="宋体" w:hAnsi="宋体" w:eastAsia="宋体" w:cs="Times New Roman"/>
          <w:b/>
          <w:szCs w:val="21"/>
        </w:rPr>
        <w:br w:type="page"/>
      </w:r>
    </w:p>
    <w:p w14:paraId="1A22D7A8">
      <w:pPr>
        <w:spacing w:line="360" w:lineRule="auto"/>
        <w:ind w:firstLine="562"/>
        <w:rPr>
          <w:rFonts w:ascii="宋体" w:hAnsi="宋体" w:eastAsia="宋体" w:cs="Times New Roman"/>
          <w:b/>
          <w:sz w:val="28"/>
          <w:szCs w:val="21"/>
        </w:rPr>
      </w:pPr>
      <w:r>
        <w:rPr>
          <w:rFonts w:hint="eastAsia" w:ascii="宋体" w:hAnsi="宋体" w:eastAsia="宋体" w:cs="Times New Roman"/>
          <w:b/>
          <w:sz w:val="28"/>
          <w:szCs w:val="21"/>
        </w:rPr>
        <w:t>2</w:t>
      </w:r>
      <w:r>
        <w:rPr>
          <w:rFonts w:ascii="宋体" w:hAnsi="宋体" w:eastAsia="宋体" w:cs="Times New Roman"/>
          <w:b/>
          <w:sz w:val="28"/>
          <w:szCs w:val="21"/>
        </w:rPr>
        <w:t>.2.6 供应商认为有助于资格审查的其他材料</w:t>
      </w:r>
    </w:p>
    <w:p w14:paraId="164C358F">
      <w:pPr>
        <w:spacing w:line="360" w:lineRule="auto"/>
        <w:ind w:firstLine="562"/>
        <w:rPr>
          <w:rFonts w:ascii="宋体" w:hAnsi="宋体" w:eastAsia="宋体" w:cs="仿宋"/>
          <w:b/>
          <w:kern w:val="0"/>
          <w:sz w:val="28"/>
          <w:szCs w:val="24"/>
        </w:rPr>
      </w:pPr>
      <w:r>
        <w:rPr>
          <w:rFonts w:ascii="宋体" w:hAnsi="宋体" w:eastAsia="宋体" w:cs="Times New Roman"/>
          <w:b/>
          <w:sz w:val="28"/>
          <w:szCs w:val="21"/>
        </w:rPr>
        <w:t>格式自拟，加盖公章。如无，本页填写“无”。</w:t>
      </w:r>
      <w:bookmarkStart w:id="88" w:name="_Toc435087575"/>
      <w:bookmarkStart w:id="89" w:name="_Toc32189"/>
      <w:bookmarkStart w:id="90" w:name="_Toc14855"/>
      <w:bookmarkStart w:id="91" w:name="_Toc56170398"/>
    </w:p>
    <w:bookmarkEnd w:id="88"/>
    <w:bookmarkEnd w:id="89"/>
    <w:bookmarkEnd w:id="90"/>
    <w:bookmarkEnd w:id="91"/>
    <w:p w14:paraId="6F682A5F">
      <w:pPr>
        <w:rPr>
          <w:rFonts w:hint="eastAsia" w:ascii="宋体" w:hAnsi="宋体" w:eastAsia="宋体" w:cs="仿宋"/>
          <w:b/>
          <w:kern w:val="0"/>
          <w:sz w:val="28"/>
          <w:szCs w:val="24"/>
        </w:rPr>
      </w:pPr>
      <w:bookmarkStart w:id="92" w:name="_Toc56170399"/>
      <w:bookmarkStart w:id="93" w:name="_Toc23262"/>
      <w:bookmarkStart w:id="94" w:name="_Toc30902"/>
      <w:bookmarkStart w:id="95" w:name="_Toc195529428"/>
      <w:bookmarkStart w:id="96" w:name="_Toc56170401"/>
      <w:bookmarkStart w:id="97" w:name="_Toc32537"/>
      <w:r>
        <w:rPr>
          <w:rFonts w:hint="eastAsia" w:ascii="宋体" w:hAnsi="宋体" w:eastAsia="宋体" w:cs="仿宋"/>
          <w:b/>
          <w:kern w:val="0"/>
          <w:sz w:val="28"/>
          <w:szCs w:val="24"/>
        </w:rPr>
        <w:br w:type="page"/>
      </w:r>
    </w:p>
    <w:p w14:paraId="673D16B8">
      <w:pPr>
        <w:spacing w:line="360" w:lineRule="auto"/>
        <w:ind w:firstLine="140" w:firstLineChars="50"/>
        <w:jc w:val="center"/>
        <w:outlineLvl w:val="1"/>
        <w:rPr>
          <w:rFonts w:ascii="宋体" w:hAnsi="宋体" w:eastAsia="宋体" w:cs="仿宋"/>
          <w:b/>
          <w:kern w:val="0"/>
          <w:sz w:val="28"/>
          <w:szCs w:val="24"/>
          <w:highlight w:val="yellow"/>
        </w:rPr>
      </w:pPr>
      <w:r>
        <w:rPr>
          <w:rFonts w:hint="eastAsia" w:ascii="宋体" w:hAnsi="宋体" w:eastAsia="宋体" w:cs="仿宋"/>
          <w:b/>
          <w:kern w:val="0"/>
          <w:sz w:val="28"/>
          <w:szCs w:val="24"/>
        </w:rPr>
        <w:t>附件五、首次报价一览表</w:t>
      </w:r>
      <w:bookmarkEnd w:id="92"/>
      <w:bookmarkEnd w:id="93"/>
      <w:bookmarkEnd w:id="94"/>
      <w:bookmarkEnd w:id="95"/>
    </w:p>
    <w:p w14:paraId="752E16D8">
      <w:pPr>
        <w:spacing w:line="360" w:lineRule="auto"/>
        <w:ind w:firstLine="140" w:firstLineChars="50"/>
        <w:rPr>
          <w:rFonts w:ascii="宋体" w:hAnsi="宋体" w:eastAsia="宋体" w:cs="仿宋"/>
          <w:color w:val="000000"/>
          <w:sz w:val="28"/>
          <w:szCs w:val="28"/>
        </w:rPr>
      </w:pPr>
      <w:r>
        <w:rPr>
          <w:rFonts w:hint="eastAsia" w:ascii="宋体" w:hAnsi="宋体" w:eastAsia="宋体" w:cs="仿宋"/>
          <w:color w:val="000000"/>
          <w:sz w:val="28"/>
          <w:szCs w:val="28"/>
        </w:rPr>
        <w:t xml:space="preserve">项目名称：                                                 </w:t>
      </w:r>
    </w:p>
    <w:p w14:paraId="2136972F">
      <w:pPr>
        <w:spacing w:line="360" w:lineRule="auto"/>
        <w:ind w:firstLine="140" w:firstLineChars="50"/>
        <w:rPr>
          <w:rFonts w:ascii="宋体" w:hAnsi="宋体" w:eastAsia="宋体" w:cs="仿宋"/>
          <w:color w:val="000000"/>
          <w:sz w:val="28"/>
          <w:szCs w:val="28"/>
        </w:rPr>
      </w:pPr>
      <w:r>
        <w:rPr>
          <w:rFonts w:hint="eastAsia" w:ascii="宋体" w:hAnsi="宋体" w:eastAsia="宋体" w:cs="仿宋"/>
          <w:color w:val="000000"/>
          <w:sz w:val="28"/>
          <w:szCs w:val="28"/>
        </w:rPr>
        <w:t xml:space="preserve">项目编号：                     </w:t>
      </w:r>
    </w:p>
    <w:p w14:paraId="1B43E279">
      <w:pPr>
        <w:spacing w:line="360" w:lineRule="auto"/>
        <w:ind w:firstLine="140" w:firstLineChars="50"/>
        <w:rPr>
          <w:rFonts w:ascii="宋体" w:hAnsi="宋体" w:eastAsia="宋体" w:cs="仿宋"/>
          <w:color w:val="000000"/>
          <w:kern w:val="0"/>
          <w:sz w:val="28"/>
          <w:szCs w:val="28"/>
        </w:rPr>
      </w:pPr>
      <w:r>
        <w:rPr>
          <w:rFonts w:hint="eastAsia" w:ascii="宋体" w:hAnsi="宋体" w:eastAsia="宋体" w:cs="仿宋"/>
          <w:color w:val="000000"/>
          <w:sz w:val="28"/>
          <w:szCs w:val="28"/>
        </w:rPr>
        <w:t>单位：元</w:t>
      </w:r>
    </w:p>
    <w:tbl>
      <w:tblPr>
        <w:tblStyle w:val="47"/>
        <w:tblW w:w="96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73"/>
        <w:gridCol w:w="1865"/>
        <w:gridCol w:w="6171"/>
        <w:gridCol w:w="972"/>
      </w:tblGrid>
      <w:tr w14:paraId="483C7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044" w:hRule="exact"/>
          <w:jc w:val="center"/>
        </w:trPr>
        <w:tc>
          <w:tcPr>
            <w:tcW w:w="673" w:type="dxa"/>
            <w:vAlign w:val="center"/>
          </w:tcPr>
          <w:p w14:paraId="22ED4F6A">
            <w:pPr>
              <w:jc w:val="center"/>
              <w:rPr>
                <w:rFonts w:ascii="宋体" w:hAnsi="宋体" w:eastAsia="宋体" w:cs="仿宋"/>
                <w:sz w:val="28"/>
                <w:szCs w:val="28"/>
              </w:rPr>
            </w:pPr>
            <w:r>
              <w:rPr>
                <w:rFonts w:hint="eastAsia" w:ascii="宋体" w:hAnsi="宋体" w:eastAsia="宋体" w:cs="仿宋"/>
                <w:sz w:val="28"/>
                <w:szCs w:val="28"/>
              </w:rPr>
              <w:t>序号</w:t>
            </w:r>
          </w:p>
        </w:tc>
        <w:tc>
          <w:tcPr>
            <w:tcW w:w="1865" w:type="dxa"/>
            <w:vAlign w:val="center"/>
          </w:tcPr>
          <w:p w14:paraId="4CB0E04B">
            <w:pPr>
              <w:jc w:val="center"/>
              <w:rPr>
                <w:rFonts w:ascii="宋体" w:hAnsi="宋体" w:eastAsia="宋体" w:cs="仿宋"/>
                <w:sz w:val="28"/>
                <w:szCs w:val="28"/>
              </w:rPr>
            </w:pPr>
            <w:r>
              <w:rPr>
                <w:rFonts w:hint="eastAsia" w:ascii="宋体" w:hAnsi="宋体" w:eastAsia="宋体" w:cs="仿宋"/>
                <w:sz w:val="28"/>
                <w:szCs w:val="28"/>
              </w:rPr>
              <w:t>服务内容</w:t>
            </w:r>
          </w:p>
        </w:tc>
        <w:tc>
          <w:tcPr>
            <w:tcW w:w="6171" w:type="dxa"/>
            <w:vAlign w:val="center"/>
          </w:tcPr>
          <w:p w14:paraId="4D6C5E8C">
            <w:pPr>
              <w:ind w:firstLine="560"/>
              <w:jc w:val="center"/>
              <w:rPr>
                <w:rFonts w:ascii="宋体" w:hAnsi="宋体" w:eastAsia="宋体" w:cs="仿宋"/>
                <w:sz w:val="28"/>
                <w:szCs w:val="28"/>
              </w:rPr>
            </w:pPr>
          </w:p>
        </w:tc>
        <w:tc>
          <w:tcPr>
            <w:tcW w:w="972" w:type="dxa"/>
            <w:vAlign w:val="center"/>
          </w:tcPr>
          <w:p w14:paraId="5B2C0CB7">
            <w:pPr>
              <w:jc w:val="center"/>
              <w:rPr>
                <w:rFonts w:ascii="宋体" w:hAnsi="宋体" w:eastAsia="宋体" w:cs="仿宋"/>
                <w:sz w:val="28"/>
                <w:szCs w:val="28"/>
              </w:rPr>
            </w:pPr>
            <w:r>
              <w:rPr>
                <w:rFonts w:hint="eastAsia" w:ascii="宋体" w:hAnsi="宋体" w:eastAsia="宋体" w:cs="仿宋"/>
                <w:sz w:val="28"/>
                <w:szCs w:val="28"/>
              </w:rPr>
              <w:t>备注</w:t>
            </w:r>
          </w:p>
        </w:tc>
      </w:tr>
      <w:tr w14:paraId="51852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66" w:hRule="atLeast"/>
          <w:jc w:val="center"/>
        </w:trPr>
        <w:tc>
          <w:tcPr>
            <w:tcW w:w="673" w:type="dxa"/>
            <w:vAlign w:val="center"/>
          </w:tcPr>
          <w:p w14:paraId="756862C4">
            <w:pPr>
              <w:snapToGrid w:val="0"/>
              <w:jc w:val="center"/>
              <w:rPr>
                <w:rFonts w:ascii="宋体" w:hAnsi="宋体" w:eastAsia="宋体" w:cs="仿宋"/>
                <w:sz w:val="28"/>
                <w:szCs w:val="28"/>
              </w:rPr>
            </w:pPr>
            <w:r>
              <w:rPr>
                <w:rFonts w:hint="eastAsia" w:ascii="宋体" w:hAnsi="宋体" w:eastAsia="宋体" w:cs="仿宋"/>
                <w:sz w:val="28"/>
                <w:szCs w:val="28"/>
              </w:rPr>
              <w:t>1</w:t>
            </w:r>
          </w:p>
        </w:tc>
        <w:tc>
          <w:tcPr>
            <w:tcW w:w="1865" w:type="dxa"/>
            <w:vAlign w:val="center"/>
          </w:tcPr>
          <w:p w14:paraId="52B5DF33">
            <w:pPr>
              <w:snapToGrid w:val="0"/>
              <w:jc w:val="center"/>
              <w:rPr>
                <w:rFonts w:ascii="宋体" w:hAnsi="宋体" w:eastAsia="宋体" w:cs="仿宋"/>
                <w:sz w:val="28"/>
                <w:szCs w:val="28"/>
              </w:rPr>
            </w:pPr>
            <w:r>
              <w:rPr>
                <w:rFonts w:hint="eastAsia" w:ascii="宋体" w:hAnsi="宋体" w:eastAsia="宋体" w:cs="仿宋"/>
                <w:sz w:val="28"/>
                <w:szCs w:val="28"/>
              </w:rPr>
              <w:t>应答报价（元）</w:t>
            </w:r>
          </w:p>
        </w:tc>
        <w:tc>
          <w:tcPr>
            <w:tcW w:w="6171" w:type="dxa"/>
            <w:vAlign w:val="center"/>
          </w:tcPr>
          <w:p w14:paraId="2FF3C21F">
            <w:pPr>
              <w:snapToGrid w:val="0"/>
              <w:ind w:firstLine="560"/>
              <w:jc w:val="center"/>
              <w:rPr>
                <w:rFonts w:ascii="宋体" w:hAnsi="宋体" w:eastAsia="宋体" w:cs="仿宋"/>
                <w:sz w:val="28"/>
                <w:szCs w:val="28"/>
              </w:rPr>
            </w:pPr>
          </w:p>
        </w:tc>
        <w:tc>
          <w:tcPr>
            <w:tcW w:w="972" w:type="dxa"/>
            <w:vAlign w:val="center"/>
          </w:tcPr>
          <w:p w14:paraId="52006799">
            <w:pPr>
              <w:snapToGrid w:val="0"/>
              <w:ind w:firstLine="560"/>
              <w:jc w:val="center"/>
              <w:rPr>
                <w:rFonts w:ascii="宋体" w:hAnsi="宋体" w:eastAsia="宋体" w:cs="仿宋"/>
                <w:sz w:val="28"/>
                <w:szCs w:val="28"/>
              </w:rPr>
            </w:pPr>
          </w:p>
        </w:tc>
      </w:tr>
      <w:tr w14:paraId="16008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66" w:hRule="atLeast"/>
          <w:jc w:val="center"/>
        </w:trPr>
        <w:tc>
          <w:tcPr>
            <w:tcW w:w="673" w:type="dxa"/>
            <w:vAlign w:val="center"/>
          </w:tcPr>
          <w:p w14:paraId="5040FF23">
            <w:pPr>
              <w:snapToGrid w:val="0"/>
              <w:jc w:val="center"/>
              <w:rPr>
                <w:rFonts w:ascii="宋体" w:hAnsi="宋体" w:eastAsia="宋体" w:cs="仿宋"/>
                <w:sz w:val="28"/>
                <w:szCs w:val="28"/>
              </w:rPr>
            </w:pPr>
            <w:r>
              <w:rPr>
                <w:rFonts w:hint="eastAsia" w:ascii="宋体" w:hAnsi="宋体" w:eastAsia="宋体" w:cs="仿宋"/>
                <w:sz w:val="28"/>
                <w:szCs w:val="28"/>
              </w:rPr>
              <w:t>2</w:t>
            </w:r>
          </w:p>
        </w:tc>
        <w:tc>
          <w:tcPr>
            <w:tcW w:w="1865" w:type="dxa"/>
            <w:vAlign w:val="center"/>
          </w:tcPr>
          <w:p w14:paraId="4EC49443">
            <w:pPr>
              <w:snapToGrid w:val="0"/>
              <w:jc w:val="center"/>
              <w:rPr>
                <w:rFonts w:ascii="宋体" w:hAnsi="宋体" w:eastAsia="宋体" w:cs="仿宋"/>
                <w:sz w:val="28"/>
                <w:szCs w:val="28"/>
              </w:rPr>
            </w:pPr>
            <w:r>
              <w:rPr>
                <w:rFonts w:hint="eastAsia" w:ascii="宋体" w:hAnsi="宋体" w:eastAsia="宋体" w:cs="仿宋"/>
                <w:sz w:val="28"/>
                <w:szCs w:val="28"/>
              </w:rPr>
              <w:t>合同履约期限</w:t>
            </w:r>
          </w:p>
        </w:tc>
        <w:tc>
          <w:tcPr>
            <w:tcW w:w="6171" w:type="dxa"/>
            <w:vAlign w:val="center"/>
          </w:tcPr>
          <w:p w14:paraId="4FC47F5C">
            <w:pPr>
              <w:snapToGrid w:val="0"/>
              <w:ind w:firstLine="560"/>
              <w:jc w:val="center"/>
              <w:rPr>
                <w:rFonts w:ascii="宋体" w:hAnsi="宋体" w:eastAsia="宋体" w:cs="仿宋"/>
                <w:sz w:val="28"/>
                <w:szCs w:val="28"/>
              </w:rPr>
            </w:pPr>
          </w:p>
        </w:tc>
        <w:tc>
          <w:tcPr>
            <w:tcW w:w="972" w:type="dxa"/>
            <w:vAlign w:val="center"/>
          </w:tcPr>
          <w:p w14:paraId="691BB31B">
            <w:pPr>
              <w:snapToGrid w:val="0"/>
              <w:ind w:firstLine="560"/>
              <w:jc w:val="center"/>
              <w:rPr>
                <w:rFonts w:ascii="宋体" w:hAnsi="宋体" w:eastAsia="宋体" w:cs="仿宋"/>
                <w:sz w:val="28"/>
                <w:szCs w:val="28"/>
              </w:rPr>
            </w:pPr>
          </w:p>
        </w:tc>
      </w:tr>
    </w:tbl>
    <w:p w14:paraId="0C9CABE2">
      <w:pPr>
        <w:spacing w:line="360" w:lineRule="auto"/>
        <w:ind w:firstLine="560"/>
        <w:rPr>
          <w:rFonts w:ascii="宋体" w:hAnsi="宋体" w:eastAsia="宋体" w:cs="仿宋"/>
          <w:color w:val="000000"/>
          <w:sz w:val="28"/>
          <w:szCs w:val="20"/>
        </w:rPr>
      </w:pPr>
      <w:r>
        <w:rPr>
          <w:rFonts w:hint="eastAsia" w:ascii="宋体" w:hAnsi="宋体" w:eastAsia="宋体" w:cs="仿宋"/>
          <w:bCs/>
          <w:color w:val="000000"/>
          <w:sz w:val="28"/>
          <w:szCs w:val="20"/>
        </w:rPr>
        <w:t>注：1</w:t>
      </w:r>
      <w:r>
        <w:rPr>
          <w:rFonts w:hint="eastAsia" w:ascii="宋体" w:hAnsi="宋体" w:eastAsia="宋体" w:cs="仿宋"/>
          <w:color w:val="000000"/>
          <w:sz w:val="28"/>
          <w:szCs w:val="20"/>
        </w:rPr>
        <w:t>、在开标一览表中，按招标须知的规定不允许出现两种报价，否则其投标将被拒绝。</w:t>
      </w:r>
    </w:p>
    <w:p w14:paraId="75135410">
      <w:pPr>
        <w:pStyle w:val="15"/>
      </w:pPr>
    </w:p>
    <w:p w14:paraId="563BA406">
      <w:pPr>
        <w:spacing w:line="360" w:lineRule="auto"/>
        <w:ind w:firstLine="560" w:firstLineChars="200"/>
        <w:rPr>
          <w:rFonts w:ascii="宋体" w:hAnsi="宋体" w:eastAsia="宋体" w:cs="仿宋"/>
          <w:color w:val="000000"/>
          <w:sz w:val="28"/>
          <w:szCs w:val="20"/>
        </w:rPr>
      </w:pPr>
      <w:r>
        <w:rPr>
          <w:rFonts w:hint="eastAsia" w:ascii="宋体" w:hAnsi="宋体" w:eastAsia="宋体" w:cs="仿宋"/>
          <w:color w:val="000000"/>
          <w:sz w:val="28"/>
          <w:szCs w:val="20"/>
        </w:rPr>
        <w:t xml:space="preserve">法定代表人或法定代表授权委托人：（签字或盖章）                 </w:t>
      </w:r>
    </w:p>
    <w:p w14:paraId="63CFBEA3">
      <w:pPr>
        <w:spacing w:line="360" w:lineRule="auto"/>
        <w:ind w:firstLine="560" w:firstLineChars="200"/>
        <w:rPr>
          <w:rFonts w:ascii="宋体" w:hAnsi="宋体" w:eastAsia="宋体" w:cs="仿宋"/>
          <w:color w:val="000000"/>
          <w:sz w:val="28"/>
          <w:szCs w:val="20"/>
        </w:rPr>
      </w:pPr>
      <w:r>
        <w:rPr>
          <w:rFonts w:hint="eastAsia" w:ascii="宋体" w:hAnsi="宋体" w:eastAsia="宋体" w:cs="仿宋"/>
          <w:color w:val="000000"/>
          <w:sz w:val="28"/>
          <w:szCs w:val="20"/>
        </w:rPr>
        <w:t>响应单位名称：（公章）</w:t>
      </w:r>
    </w:p>
    <w:p w14:paraId="39C22FF9">
      <w:pPr>
        <w:ind w:left="1109" w:firstLine="560"/>
        <w:jc w:val="right"/>
        <w:rPr>
          <w:rFonts w:ascii="宋体" w:hAnsi="宋体" w:eastAsia="宋体" w:cs="Times New Roman"/>
          <w:sz w:val="24"/>
          <w:szCs w:val="24"/>
        </w:rPr>
      </w:pPr>
      <w:r>
        <w:rPr>
          <w:rFonts w:hint="eastAsia" w:ascii="宋体" w:hAnsi="宋体" w:eastAsia="宋体" w:cs="仿宋"/>
          <w:color w:val="000000"/>
          <w:sz w:val="28"/>
          <w:szCs w:val="24"/>
          <w:u w:val="single"/>
        </w:rPr>
        <w:t xml:space="preserve">      </w:t>
      </w:r>
      <w:r>
        <w:rPr>
          <w:rFonts w:hint="eastAsia" w:ascii="宋体" w:hAnsi="宋体" w:eastAsia="宋体" w:cs="仿宋"/>
          <w:color w:val="000000"/>
          <w:sz w:val="28"/>
          <w:szCs w:val="24"/>
        </w:rPr>
        <w:t>年</w:t>
      </w:r>
      <w:r>
        <w:rPr>
          <w:rFonts w:hint="eastAsia" w:ascii="宋体" w:hAnsi="宋体" w:eastAsia="宋体" w:cs="仿宋"/>
          <w:color w:val="000000"/>
          <w:sz w:val="28"/>
          <w:szCs w:val="24"/>
          <w:u w:val="single"/>
        </w:rPr>
        <w:t xml:space="preserve">   </w:t>
      </w:r>
      <w:r>
        <w:rPr>
          <w:rFonts w:hint="eastAsia" w:ascii="宋体" w:hAnsi="宋体" w:eastAsia="宋体" w:cs="仿宋"/>
          <w:color w:val="000000"/>
          <w:sz w:val="28"/>
          <w:szCs w:val="24"/>
        </w:rPr>
        <w:t>月</w:t>
      </w:r>
      <w:r>
        <w:rPr>
          <w:rFonts w:hint="eastAsia" w:ascii="宋体" w:hAnsi="宋体" w:eastAsia="宋体" w:cs="仿宋"/>
          <w:color w:val="000000"/>
          <w:sz w:val="28"/>
          <w:szCs w:val="24"/>
          <w:u w:val="single"/>
        </w:rPr>
        <w:t xml:space="preserve">   </w:t>
      </w:r>
      <w:r>
        <w:rPr>
          <w:rFonts w:hint="eastAsia" w:ascii="宋体" w:hAnsi="宋体" w:eastAsia="宋体" w:cs="仿宋"/>
          <w:color w:val="000000"/>
          <w:sz w:val="28"/>
          <w:szCs w:val="24"/>
        </w:rPr>
        <w:t>日</w:t>
      </w:r>
    </w:p>
    <w:p w14:paraId="4DA49F39">
      <w:pPr>
        <w:widowControl/>
        <w:ind w:firstLine="562"/>
        <w:jc w:val="center"/>
        <w:rPr>
          <w:rFonts w:hint="eastAsia" w:ascii="宋体" w:hAnsi="宋体" w:eastAsia="宋体" w:cs="仿宋"/>
          <w:b/>
          <w:bCs/>
          <w:sz w:val="28"/>
          <w:szCs w:val="24"/>
          <w:lang w:val="en-US" w:eastAsia="zh-CN"/>
        </w:rPr>
      </w:pPr>
      <w:bookmarkStart w:id="98" w:name="_Toc15166"/>
      <w:r>
        <w:rPr>
          <w:rFonts w:ascii="宋体" w:hAnsi="宋体" w:eastAsia="宋体" w:cs="仿宋"/>
          <w:b/>
          <w:bCs/>
          <w:sz w:val="28"/>
          <w:szCs w:val="24"/>
        </w:rPr>
        <w:br w:type="page"/>
      </w:r>
      <w:r>
        <w:rPr>
          <w:rFonts w:hint="eastAsia" w:ascii="宋体" w:hAnsi="宋体" w:eastAsia="宋体" w:cs="仿宋"/>
          <w:b/>
          <w:bCs/>
          <w:sz w:val="28"/>
          <w:szCs w:val="24"/>
          <w:lang w:val="en-US" w:eastAsia="zh-CN"/>
        </w:rPr>
        <w:t>分项报价明细表</w:t>
      </w:r>
    </w:p>
    <w:tbl>
      <w:tblPr>
        <w:tblStyle w:val="47"/>
        <w:tblW w:w="881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51"/>
        <w:gridCol w:w="950"/>
        <w:gridCol w:w="2052"/>
        <w:gridCol w:w="1999"/>
        <w:gridCol w:w="1233"/>
        <w:gridCol w:w="1160"/>
        <w:gridCol w:w="965"/>
      </w:tblGrid>
      <w:tr w14:paraId="6E6E5E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8810" w:type="dxa"/>
            <w:gridSpan w:val="7"/>
            <w:tcBorders>
              <w:top w:val="nil"/>
              <w:left w:val="nil"/>
              <w:bottom w:val="nil"/>
              <w:right w:val="nil"/>
            </w:tcBorders>
            <w:shd w:val="clear" w:color="auto" w:fill="auto"/>
            <w:vAlign w:val="center"/>
          </w:tcPr>
          <w:p w14:paraId="62EC85F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新疆出入境边防检查总站数据管理平台、执法记录仪调度平台维保项目（维保）</w:t>
            </w:r>
          </w:p>
        </w:tc>
      </w:tr>
      <w:tr w14:paraId="210447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451" w:type="dxa"/>
            <w:tcBorders>
              <w:top w:val="single" w:color="000000" w:sz="4" w:space="0"/>
              <w:left w:val="single" w:color="000000" w:sz="4" w:space="0"/>
              <w:bottom w:val="single" w:color="000000" w:sz="4" w:space="0"/>
              <w:right w:val="single" w:color="000000" w:sz="4" w:space="0"/>
            </w:tcBorders>
            <w:shd w:val="clear" w:color="auto" w:fill="BFBFBF"/>
            <w:vAlign w:val="center"/>
          </w:tcPr>
          <w:p w14:paraId="6AED285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950" w:type="dxa"/>
            <w:tcBorders>
              <w:top w:val="single" w:color="000000" w:sz="4" w:space="0"/>
              <w:left w:val="single" w:color="000000" w:sz="4" w:space="0"/>
              <w:bottom w:val="single" w:color="000000" w:sz="4" w:space="0"/>
              <w:right w:val="single" w:color="000000" w:sz="4" w:space="0"/>
            </w:tcBorders>
            <w:shd w:val="clear" w:color="auto" w:fill="BFBFBF"/>
            <w:vAlign w:val="center"/>
          </w:tcPr>
          <w:p w14:paraId="226363E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维保类别</w:t>
            </w:r>
          </w:p>
        </w:tc>
        <w:tc>
          <w:tcPr>
            <w:tcW w:w="2052" w:type="dxa"/>
            <w:tcBorders>
              <w:top w:val="single" w:color="000000" w:sz="4" w:space="0"/>
              <w:left w:val="single" w:color="000000" w:sz="4" w:space="0"/>
              <w:bottom w:val="single" w:color="000000" w:sz="4" w:space="0"/>
              <w:right w:val="single" w:color="000000" w:sz="4" w:space="0"/>
            </w:tcBorders>
            <w:shd w:val="clear" w:color="auto" w:fill="BFBFBF"/>
            <w:vAlign w:val="center"/>
          </w:tcPr>
          <w:p w14:paraId="57F70A0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维保项目</w:t>
            </w:r>
          </w:p>
        </w:tc>
        <w:tc>
          <w:tcPr>
            <w:tcW w:w="1999" w:type="dxa"/>
            <w:tcBorders>
              <w:top w:val="single" w:color="000000" w:sz="4" w:space="0"/>
              <w:left w:val="single" w:color="000000" w:sz="4" w:space="0"/>
              <w:bottom w:val="single" w:color="000000" w:sz="4" w:space="0"/>
              <w:right w:val="single" w:color="000000" w:sz="4" w:space="0"/>
            </w:tcBorders>
            <w:shd w:val="clear" w:color="auto" w:fill="BFBFBF"/>
            <w:vAlign w:val="center"/>
          </w:tcPr>
          <w:p w14:paraId="02E2A5C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内容</w:t>
            </w:r>
          </w:p>
        </w:tc>
        <w:tc>
          <w:tcPr>
            <w:tcW w:w="1233" w:type="dxa"/>
            <w:tcBorders>
              <w:top w:val="single" w:color="000000" w:sz="4" w:space="0"/>
              <w:left w:val="single" w:color="000000" w:sz="4" w:space="0"/>
              <w:bottom w:val="single" w:color="000000" w:sz="4" w:space="0"/>
              <w:right w:val="single" w:color="000000" w:sz="4" w:space="0"/>
            </w:tcBorders>
            <w:shd w:val="clear" w:color="auto" w:fill="BFBFBF"/>
            <w:vAlign w:val="center"/>
          </w:tcPr>
          <w:p w14:paraId="76DED9C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周期</w:t>
            </w:r>
          </w:p>
        </w:tc>
        <w:tc>
          <w:tcPr>
            <w:tcW w:w="1160" w:type="dxa"/>
            <w:tcBorders>
              <w:top w:val="single" w:color="000000" w:sz="4" w:space="0"/>
              <w:left w:val="single" w:color="000000" w:sz="4" w:space="0"/>
              <w:bottom w:val="single" w:color="000000" w:sz="4" w:space="0"/>
              <w:right w:val="single" w:color="000000" w:sz="4" w:space="0"/>
            </w:tcBorders>
            <w:shd w:val="clear" w:color="auto" w:fill="BFBFBF"/>
            <w:vAlign w:val="center"/>
          </w:tcPr>
          <w:p w14:paraId="0190311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金额（元）</w:t>
            </w:r>
          </w:p>
        </w:tc>
        <w:tc>
          <w:tcPr>
            <w:tcW w:w="965" w:type="dxa"/>
            <w:tcBorders>
              <w:top w:val="single" w:color="000000" w:sz="4" w:space="0"/>
              <w:left w:val="single" w:color="000000" w:sz="4" w:space="0"/>
              <w:bottom w:val="single" w:color="000000" w:sz="4" w:space="0"/>
              <w:right w:val="single" w:color="000000" w:sz="4" w:space="0"/>
            </w:tcBorders>
            <w:shd w:val="clear" w:color="auto" w:fill="BFBFBF"/>
            <w:vAlign w:val="center"/>
          </w:tcPr>
          <w:p w14:paraId="582ECEB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备注</w:t>
            </w:r>
          </w:p>
        </w:tc>
      </w:tr>
      <w:tr w14:paraId="116E6F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4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52BE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A91D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硬件系统运行</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E2F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主机系统</w:t>
            </w:r>
          </w:p>
        </w:tc>
        <w:tc>
          <w:tcPr>
            <w:tcW w:w="1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EF67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共有服务器420台，其中采集站服务器412台，平台服务器8台</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544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周</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91456">
            <w:pPr>
              <w:jc w:val="center"/>
              <w:rPr>
                <w:rFonts w:hint="eastAsia" w:ascii="宋体" w:hAnsi="宋体" w:eastAsia="宋体" w:cs="宋体"/>
                <w:i w:val="0"/>
                <w:iCs w:val="0"/>
                <w:color w:val="000000"/>
                <w:sz w:val="18"/>
                <w:szCs w:val="18"/>
                <w:u w:val="none"/>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C734F">
            <w:pPr>
              <w:rPr>
                <w:rFonts w:hint="eastAsia" w:ascii="宋体" w:hAnsi="宋体" w:eastAsia="宋体" w:cs="宋体"/>
                <w:i w:val="0"/>
                <w:iCs w:val="0"/>
                <w:color w:val="000000"/>
                <w:sz w:val="18"/>
                <w:szCs w:val="18"/>
                <w:u w:val="none"/>
              </w:rPr>
            </w:pPr>
          </w:p>
        </w:tc>
      </w:tr>
      <w:tr w14:paraId="0A13F2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4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EF5D5D">
            <w:pPr>
              <w:jc w:val="center"/>
              <w:rPr>
                <w:rFonts w:hint="eastAsia" w:ascii="宋体" w:hAnsi="宋体" w:eastAsia="宋体" w:cs="宋体"/>
                <w:i w:val="0"/>
                <w:iCs w:val="0"/>
                <w:color w:val="000000"/>
                <w:sz w:val="18"/>
                <w:szCs w:val="18"/>
                <w:u w:val="none"/>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CFD6D1">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D93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存储系统</w:t>
            </w:r>
          </w:p>
        </w:tc>
        <w:tc>
          <w:tcPr>
            <w:tcW w:w="1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7988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共有服务器420台，其中采集站服务器412台，平台服务器8台</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19E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周</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1A9F5">
            <w:pPr>
              <w:jc w:val="center"/>
              <w:rPr>
                <w:rFonts w:hint="eastAsia" w:ascii="宋体" w:hAnsi="宋体" w:eastAsia="宋体" w:cs="宋体"/>
                <w:i w:val="0"/>
                <w:iCs w:val="0"/>
                <w:color w:val="000000"/>
                <w:sz w:val="18"/>
                <w:szCs w:val="18"/>
                <w:u w:val="none"/>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C3C43">
            <w:pPr>
              <w:rPr>
                <w:rFonts w:hint="eastAsia" w:ascii="宋体" w:hAnsi="宋体" w:eastAsia="宋体" w:cs="宋体"/>
                <w:i w:val="0"/>
                <w:iCs w:val="0"/>
                <w:color w:val="000000"/>
                <w:sz w:val="18"/>
                <w:szCs w:val="18"/>
                <w:u w:val="none"/>
              </w:rPr>
            </w:pPr>
          </w:p>
        </w:tc>
      </w:tr>
      <w:tr w14:paraId="2FD999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4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3D9FE7">
            <w:pPr>
              <w:jc w:val="center"/>
              <w:rPr>
                <w:rFonts w:hint="eastAsia" w:ascii="宋体" w:hAnsi="宋体" w:eastAsia="宋体" w:cs="宋体"/>
                <w:i w:val="0"/>
                <w:iCs w:val="0"/>
                <w:color w:val="000000"/>
                <w:sz w:val="18"/>
                <w:szCs w:val="18"/>
                <w:u w:val="none"/>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A45EB5">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205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网络系统</w:t>
            </w:r>
          </w:p>
        </w:tc>
        <w:tc>
          <w:tcPr>
            <w:tcW w:w="1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84BF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共有服务器420台，其中采集站服务器412台，平台服务器8台</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A29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周</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2FED6">
            <w:pPr>
              <w:jc w:val="center"/>
              <w:rPr>
                <w:rFonts w:hint="eastAsia" w:ascii="宋体" w:hAnsi="宋体" w:eastAsia="宋体" w:cs="宋体"/>
                <w:i w:val="0"/>
                <w:iCs w:val="0"/>
                <w:color w:val="000000"/>
                <w:sz w:val="18"/>
                <w:szCs w:val="18"/>
                <w:u w:val="none"/>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14261">
            <w:pPr>
              <w:rPr>
                <w:rFonts w:hint="eastAsia" w:ascii="宋体" w:hAnsi="宋体" w:eastAsia="宋体" w:cs="宋体"/>
                <w:i w:val="0"/>
                <w:iCs w:val="0"/>
                <w:color w:val="000000"/>
                <w:sz w:val="18"/>
                <w:szCs w:val="18"/>
                <w:u w:val="none"/>
              </w:rPr>
            </w:pPr>
          </w:p>
        </w:tc>
      </w:tr>
      <w:tr w14:paraId="4C8333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4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F17111">
            <w:pPr>
              <w:jc w:val="center"/>
              <w:rPr>
                <w:rFonts w:hint="eastAsia" w:ascii="宋体" w:hAnsi="宋体" w:eastAsia="宋体" w:cs="宋体"/>
                <w:i w:val="0"/>
                <w:iCs w:val="0"/>
                <w:color w:val="000000"/>
                <w:sz w:val="18"/>
                <w:szCs w:val="18"/>
                <w:u w:val="none"/>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2512DF">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169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安全系统（系统防火墙）</w:t>
            </w:r>
          </w:p>
        </w:tc>
        <w:tc>
          <w:tcPr>
            <w:tcW w:w="1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A694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共有服务器420台，其中采集站服务器412台，平台服务器8台</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BF0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周</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BC6DF">
            <w:pPr>
              <w:jc w:val="center"/>
              <w:rPr>
                <w:rFonts w:hint="eastAsia" w:ascii="宋体" w:hAnsi="宋体" w:eastAsia="宋体" w:cs="宋体"/>
                <w:i w:val="0"/>
                <w:iCs w:val="0"/>
                <w:color w:val="000000"/>
                <w:sz w:val="18"/>
                <w:szCs w:val="18"/>
                <w:u w:val="none"/>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D7263">
            <w:pPr>
              <w:rPr>
                <w:rFonts w:hint="eastAsia" w:ascii="宋体" w:hAnsi="宋体" w:eastAsia="宋体" w:cs="宋体"/>
                <w:i w:val="0"/>
                <w:iCs w:val="0"/>
                <w:color w:val="000000"/>
                <w:sz w:val="18"/>
                <w:szCs w:val="18"/>
                <w:u w:val="none"/>
              </w:rPr>
            </w:pPr>
          </w:p>
        </w:tc>
      </w:tr>
      <w:tr w14:paraId="0AB7A0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4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71784B">
            <w:pPr>
              <w:jc w:val="center"/>
              <w:rPr>
                <w:rFonts w:hint="eastAsia" w:ascii="宋体" w:hAnsi="宋体" w:eastAsia="宋体" w:cs="宋体"/>
                <w:i w:val="0"/>
                <w:iCs w:val="0"/>
                <w:color w:val="000000"/>
                <w:sz w:val="18"/>
                <w:szCs w:val="18"/>
                <w:u w:val="none"/>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6E9596">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C5C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安防系统（指纹、人脸识别、密码等验证）</w:t>
            </w:r>
          </w:p>
        </w:tc>
        <w:tc>
          <w:tcPr>
            <w:tcW w:w="1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7AD2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共有服务器420台，其中采集站服务器412台，平台服务器8台</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ADB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周</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E2E3D">
            <w:pPr>
              <w:jc w:val="center"/>
              <w:rPr>
                <w:rFonts w:hint="eastAsia" w:ascii="宋体" w:hAnsi="宋体" w:eastAsia="宋体" w:cs="宋体"/>
                <w:i w:val="0"/>
                <w:iCs w:val="0"/>
                <w:color w:val="000000"/>
                <w:sz w:val="18"/>
                <w:szCs w:val="18"/>
                <w:u w:val="none"/>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D61F8">
            <w:pPr>
              <w:rPr>
                <w:rFonts w:hint="eastAsia" w:ascii="宋体" w:hAnsi="宋体" w:eastAsia="宋体" w:cs="宋体"/>
                <w:i w:val="0"/>
                <w:iCs w:val="0"/>
                <w:color w:val="000000"/>
                <w:sz w:val="18"/>
                <w:szCs w:val="18"/>
                <w:u w:val="none"/>
              </w:rPr>
            </w:pPr>
          </w:p>
        </w:tc>
      </w:tr>
      <w:tr w14:paraId="1F3C17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4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7DA9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9D52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硬件系统维护</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4FA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主机系统</w:t>
            </w:r>
          </w:p>
        </w:tc>
        <w:tc>
          <w:tcPr>
            <w:tcW w:w="1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3143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平台服务器8台</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D48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月</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2053C">
            <w:pPr>
              <w:jc w:val="center"/>
              <w:rPr>
                <w:rFonts w:hint="eastAsia" w:ascii="宋体" w:hAnsi="宋体" w:eastAsia="宋体" w:cs="宋体"/>
                <w:i w:val="0"/>
                <w:iCs w:val="0"/>
                <w:color w:val="000000"/>
                <w:sz w:val="18"/>
                <w:szCs w:val="18"/>
                <w:u w:val="none"/>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9C44E">
            <w:pPr>
              <w:rPr>
                <w:rFonts w:hint="eastAsia" w:ascii="宋体" w:hAnsi="宋体" w:eastAsia="宋体" w:cs="宋体"/>
                <w:i w:val="0"/>
                <w:iCs w:val="0"/>
                <w:color w:val="000000"/>
                <w:sz w:val="18"/>
                <w:szCs w:val="18"/>
                <w:u w:val="none"/>
              </w:rPr>
            </w:pPr>
          </w:p>
        </w:tc>
      </w:tr>
      <w:tr w14:paraId="1F47F4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4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454E62">
            <w:pPr>
              <w:jc w:val="center"/>
              <w:rPr>
                <w:rFonts w:hint="eastAsia" w:ascii="宋体" w:hAnsi="宋体" w:eastAsia="宋体" w:cs="宋体"/>
                <w:i w:val="0"/>
                <w:iCs w:val="0"/>
                <w:color w:val="000000"/>
                <w:sz w:val="18"/>
                <w:szCs w:val="18"/>
                <w:u w:val="none"/>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059025">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977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存储系统磁盘阵列</w:t>
            </w:r>
          </w:p>
        </w:tc>
        <w:tc>
          <w:tcPr>
            <w:tcW w:w="1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4CC5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1台</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780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月</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5B047">
            <w:pPr>
              <w:jc w:val="center"/>
              <w:rPr>
                <w:rFonts w:hint="eastAsia" w:ascii="宋体" w:hAnsi="宋体" w:eastAsia="宋体" w:cs="宋体"/>
                <w:i w:val="0"/>
                <w:iCs w:val="0"/>
                <w:color w:val="000000"/>
                <w:sz w:val="18"/>
                <w:szCs w:val="18"/>
                <w:u w:val="none"/>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E0E16">
            <w:pPr>
              <w:rPr>
                <w:rFonts w:hint="eastAsia" w:ascii="宋体" w:hAnsi="宋体" w:eastAsia="宋体" w:cs="宋体"/>
                <w:i w:val="0"/>
                <w:iCs w:val="0"/>
                <w:color w:val="000000"/>
                <w:sz w:val="18"/>
                <w:szCs w:val="18"/>
                <w:u w:val="none"/>
              </w:rPr>
            </w:pPr>
          </w:p>
        </w:tc>
      </w:tr>
      <w:tr w14:paraId="39AABC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4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87BF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9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3CDC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软件系统运行维护</w:t>
            </w: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B292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系统软件服务器操作系统</w:t>
            </w:r>
          </w:p>
        </w:tc>
        <w:tc>
          <w:tcPr>
            <w:tcW w:w="1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0F39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平台服务器8套</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85E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月</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F53CF">
            <w:pPr>
              <w:jc w:val="center"/>
              <w:rPr>
                <w:rFonts w:hint="eastAsia" w:ascii="宋体" w:hAnsi="宋体" w:eastAsia="宋体" w:cs="宋体"/>
                <w:i w:val="0"/>
                <w:iCs w:val="0"/>
                <w:color w:val="000000"/>
                <w:sz w:val="18"/>
                <w:szCs w:val="18"/>
                <w:u w:val="none"/>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9F826">
            <w:pPr>
              <w:rPr>
                <w:rFonts w:hint="eastAsia" w:ascii="宋体" w:hAnsi="宋体" w:eastAsia="宋体" w:cs="宋体"/>
                <w:i w:val="0"/>
                <w:iCs w:val="0"/>
                <w:color w:val="000000"/>
                <w:sz w:val="18"/>
                <w:szCs w:val="18"/>
                <w:u w:val="none"/>
              </w:rPr>
            </w:pPr>
          </w:p>
        </w:tc>
      </w:tr>
      <w:tr w14:paraId="2FE393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4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FB7CF7">
            <w:pPr>
              <w:jc w:val="center"/>
              <w:rPr>
                <w:rFonts w:hint="eastAsia" w:ascii="宋体" w:hAnsi="宋体" w:eastAsia="宋体" w:cs="宋体"/>
                <w:i w:val="0"/>
                <w:iCs w:val="0"/>
                <w:color w:val="000000"/>
                <w:sz w:val="18"/>
                <w:szCs w:val="18"/>
                <w:u w:val="none"/>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325312">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421777">
            <w:pPr>
              <w:jc w:val="center"/>
              <w:rPr>
                <w:rFonts w:hint="eastAsia" w:ascii="宋体" w:hAnsi="宋体" w:eastAsia="宋体" w:cs="宋体"/>
                <w:i w:val="0"/>
                <w:iCs w:val="0"/>
                <w:color w:val="000000"/>
                <w:sz w:val="18"/>
                <w:szCs w:val="18"/>
                <w:u w:val="none"/>
              </w:rPr>
            </w:pPr>
          </w:p>
        </w:tc>
        <w:tc>
          <w:tcPr>
            <w:tcW w:w="1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2A82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412套采集站软件</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DD9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季度</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14139">
            <w:pPr>
              <w:jc w:val="center"/>
              <w:rPr>
                <w:rFonts w:hint="eastAsia" w:ascii="宋体" w:hAnsi="宋体" w:eastAsia="宋体" w:cs="宋体"/>
                <w:i w:val="0"/>
                <w:iCs w:val="0"/>
                <w:color w:val="000000"/>
                <w:sz w:val="18"/>
                <w:szCs w:val="18"/>
                <w:u w:val="none"/>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560FD">
            <w:pPr>
              <w:rPr>
                <w:rFonts w:hint="eastAsia" w:ascii="宋体" w:hAnsi="宋体" w:eastAsia="宋体" w:cs="宋体"/>
                <w:i w:val="0"/>
                <w:iCs w:val="0"/>
                <w:color w:val="000000"/>
                <w:sz w:val="18"/>
                <w:szCs w:val="18"/>
                <w:u w:val="none"/>
              </w:rPr>
            </w:pPr>
          </w:p>
        </w:tc>
      </w:tr>
      <w:tr w14:paraId="3865DD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4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423C21">
            <w:pPr>
              <w:jc w:val="center"/>
              <w:rPr>
                <w:rFonts w:hint="eastAsia" w:ascii="宋体" w:hAnsi="宋体" w:eastAsia="宋体" w:cs="宋体"/>
                <w:i w:val="0"/>
                <w:iCs w:val="0"/>
                <w:color w:val="000000"/>
                <w:sz w:val="18"/>
                <w:szCs w:val="18"/>
                <w:u w:val="none"/>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A57804">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B85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数据库管理系统</w:t>
            </w:r>
          </w:p>
        </w:tc>
        <w:tc>
          <w:tcPr>
            <w:tcW w:w="1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FC9C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2套，数据管理平台1套，调度平台1套</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807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月</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07027">
            <w:pPr>
              <w:jc w:val="center"/>
              <w:rPr>
                <w:rFonts w:hint="eastAsia" w:ascii="宋体" w:hAnsi="宋体" w:eastAsia="宋体" w:cs="宋体"/>
                <w:i w:val="0"/>
                <w:iCs w:val="0"/>
                <w:color w:val="000000"/>
                <w:sz w:val="18"/>
                <w:szCs w:val="18"/>
                <w:u w:val="none"/>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501D6">
            <w:pPr>
              <w:rPr>
                <w:rFonts w:hint="eastAsia" w:ascii="宋体" w:hAnsi="宋体" w:eastAsia="宋体" w:cs="宋体"/>
                <w:i w:val="0"/>
                <w:iCs w:val="0"/>
                <w:color w:val="000000"/>
                <w:sz w:val="18"/>
                <w:szCs w:val="18"/>
                <w:u w:val="none"/>
              </w:rPr>
            </w:pPr>
          </w:p>
        </w:tc>
      </w:tr>
      <w:tr w14:paraId="3A3D4F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4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EC04DA">
            <w:pPr>
              <w:jc w:val="center"/>
              <w:rPr>
                <w:rFonts w:hint="eastAsia" w:ascii="宋体" w:hAnsi="宋体" w:eastAsia="宋体" w:cs="宋体"/>
                <w:i w:val="0"/>
                <w:iCs w:val="0"/>
                <w:color w:val="000000"/>
                <w:sz w:val="18"/>
                <w:szCs w:val="18"/>
                <w:u w:val="none"/>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4A2D50">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FC9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支撑软件</w:t>
            </w:r>
          </w:p>
        </w:tc>
        <w:tc>
          <w:tcPr>
            <w:tcW w:w="1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9576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数据管理平台支持数据上传1套，支持执法记录仪调度1套</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D95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月</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14C20">
            <w:pPr>
              <w:jc w:val="center"/>
              <w:rPr>
                <w:rFonts w:hint="eastAsia" w:ascii="宋体" w:hAnsi="宋体" w:eastAsia="宋体" w:cs="宋体"/>
                <w:i w:val="0"/>
                <w:iCs w:val="0"/>
                <w:color w:val="000000"/>
                <w:sz w:val="18"/>
                <w:szCs w:val="18"/>
                <w:u w:val="none"/>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7CF7F">
            <w:pPr>
              <w:rPr>
                <w:rFonts w:hint="eastAsia" w:ascii="宋体" w:hAnsi="宋体" w:eastAsia="宋体" w:cs="宋体"/>
                <w:i w:val="0"/>
                <w:iCs w:val="0"/>
                <w:color w:val="000000"/>
                <w:sz w:val="18"/>
                <w:szCs w:val="18"/>
                <w:u w:val="none"/>
              </w:rPr>
            </w:pPr>
          </w:p>
        </w:tc>
      </w:tr>
      <w:tr w14:paraId="5C0F0B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4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B57FC6">
            <w:pPr>
              <w:jc w:val="center"/>
              <w:rPr>
                <w:rFonts w:hint="eastAsia" w:ascii="宋体" w:hAnsi="宋体" w:eastAsia="宋体" w:cs="宋体"/>
                <w:i w:val="0"/>
                <w:iCs w:val="0"/>
                <w:color w:val="000000"/>
                <w:sz w:val="18"/>
                <w:szCs w:val="18"/>
                <w:u w:val="none"/>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1FBF02">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DDD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中间件</w:t>
            </w:r>
          </w:p>
        </w:tc>
        <w:tc>
          <w:tcPr>
            <w:tcW w:w="1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5682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数据管理平台支持数据上传1套，支持执法记录仪调度1套</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5CC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月</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A65F5">
            <w:pPr>
              <w:jc w:val="center"/>
              <w:rPr>
                <w:rFonts w:hint="eastAsia" w:ascii="宋体" w:hAnsi="宋体" w:eastAsia="宋体" w:cs="宋体"/>
                <w:i w:val="0"/>
                <w:iCs w:val="0"/>
                <w:color w:val="000000"/>
                <w:sz w:val="18"/>
                <w:szCs w:val="18"/>
                <w:u w:val="none"/>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001C4">
            <w:pPr>
              <w:rPr>
                <w:rFonts w:hint="eastAsia" w:ascii="宋体" w:hAnsi="宋体" w:eastAsia="宋体" w:cs="宋体"/>
                <w:i w:val="0"/>
                <w:iCs w:val="0"/>
                <w:color w:val="000000"/>
                <w:sz w:val="18"/>
                <w:szCs w:val="18"/>
                <w:u w:val="none"/>
              </w:rPr>
            </w:pPr>
          </w:p>
        </w:tc>
      </w:tr>
      <w:tr w14:paraId="5A4B80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jc w:val="center"/>
        </w:trPr>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2B6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25A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年度巡检</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C5E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年度巡检差旅交通费</w:t>
            </w:r>
          </w:p>
        </w:tc>
        <w:tc>
          <w:tcPr>
            <w:tcW w:w="1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94D4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年度巡检需前往总站10个支队，16个边检站，35个大队，216个基层单位开展巡检，预计需50天</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ABE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11BED">
            <w:pPr>
              <w:jc w:val="center"/>
              <w:rPr>
                <w:rFonts w:hint="eastAsia" w:ascii="宋体" w:hAnsi="宋体" w:eastAsia="宋体" w:cs="宋体"/>
                <w:i w:val="0"/>
                <w:iCs w:val="0"/>
                <w:color w:val="000000"/>
                <w:sz w:val="18"/>
                <w:szCs w:val="18"/>
                <w:u w:val="none"/>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D1502">
            <w:pPr>
              <w:rPr>
                <w:rFonts w:hint="eastAsia" w:ascii="宋体" w:hAnsi="宋体" w:eastAsia="宋体" w:cs="宋体"/>
                <w:i w:val="0"/>
                <w:iCs w:val="0"/>
                <w:color w:val="000000"/>
                <w:sz w:val="18"/>
                <w:szCs w:val="18"/>
                <w:u w:val="none"/>
              </w:rPr>
            </w:pPr>
          </w:p>
        </w:tc>
      </w:tr>
      <w:tr w14:paraId="6CC63E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9AF30">
            <w:pPr>
              <w:jc w:val="center"/>
              <w:rPr>
                <w:rFonts w:hint="eastAsia" w:ascii="宋体" w:hAnsi="宋体" w:eastAsia="宋体" w:cs="宋体"/>
                <w:b/>
                <w:bCs/>
                <w:i w:val="0"/>
                <w:iCs w:val="0"/>
                <w:color w:val="000000"/>
                <w:sz w:val="18"/>
                <w:szCs w:val="18"/>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B5E7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小计</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7B3DD">
            <w:pPr>
              <w:jc w:val="center"/>
              <w:rPr>
                <w:rFonts w:hint="eastAsia" w:ascii="宋体" w:hAnsi="宋体" w:eastAsia="宋体" w:cs="宋体"/>
                <w:b/>
                <w:bCs/>
                <w:i w:val="0"/>
                <w:iCs w:val="0"/>
                <w:color w:val="000000"/>
                <w:sz w:val="18"/>
                <w:szCs w:val="18"/>
                <w:u w:val="none"/>
              </w:rPr>
            </w:pPr>
          </w:p>
        </w:tc>
        <w:tc>
          <w:tcPr>
            <w:tcW w:w="1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790EE">
            <w:pPr>
              <w:jc w:val="center"/>
              <w:rPr>
                <w:rFonts w:hint="eastAsia" w:ascii="宋体" w:hAnsi="宋体" w:eastAsia="宋体" w:cs="宋体"/>
                <w:b/>
                <w:bCs/>
                <w:i w:val="0"/>
                <w:iCs w:val="0"/>
                <w:color w:val="000000"/>
                <w:sz w:val="18"/>
                <w:szCs w:val="1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43A5B">
            <w:pPr>
              <w:jc w:val="center"/>
              <w:rPr>
                <w:rFonts w:hint="eastAsia" w:ascii="宋体" w:hAnsi="宋体" w:eastAsia="宋体" w:cs="宋体"/>
                <w:b/>
                <w:bCs/>
                <w:i w:val="0"/>
                <w:iCs w:val="0"/>
                <w:color w:val="000000"/>
                <w:sz w:val="18"/>
                <w:szCs w:val="18"/>
                <w:u w:val="none"/>
              </w:rPr>
            </w:pP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9104D">
            <w:pPr>
              <w:jc w:val="center"/>
              <w:rPr>
                <w:rFonts w:hint="eastAsia" w:ascii="宋体" w:hAnsi="宋体" w:eastAsia="宋体" w:cs="宋体"/>
                <w:b/>
                <w:bCs/>
                <w:i w:val="0"/>
                <w:iCs w:val="0"/>
                <w:color w:val="000000"/>
                <w:sz w:val="18"/>
                <w:szCs w:val="18"/>
                <w:u w:val="none"/>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EA861">
            <w:pPr>
              <w:jc w:val="center"/>
              <w:rPr>
                <w:rFonts w:hint="eastAsia" w:ascii="宋体" w:hAnsi="宋体" w:eastAsia="宋体" w:cs="宋体"/>
                <w:b/>
                <w:bCs/>
                <w:i w:val="0"/>
                <w:iCs w:val="0"/>
                <w:color w:val="000000"/>
                <w:sz w:val="18"/>
                <w:szCs w:val="18"/>
                <w:u w:val="none"/>
              </w:rPr>
            </w:pPr>
          </w:p>
        </w:tc>
      </w:tr>
    </w:tbl>
    <w:p w14:paraId="2D9A5D8E">
      <w:pPr>
        <w:rPr>
          <w:rFonts w:ascii="宋体" w:hAnsi="宋体" w:eastAsia="宋体" w:cs="仿宋"/>
          <w:b/>
          <w:bCs/>
          <w:sz w:val="28"/>
          <w:szCs w:val="24"/>
        </w:rPr>
      </w:pPr>
      <w:r>
        <w:rPr>
          <w:rFonts w:ascii="宋体" w:hAnsi="宋体" w:eastAsia="宋体" w:cs="仿宋"/>
          <w:b/>
          <w:bCs/>
          <w:sz w:val="28"/>
          <w:szCs w:val="24"/>
        </w:rPr>
        <w:br w:type="page"/>
      </w:r>
    </w:p>
    <w:tbl>
      <w:tblPr>
        <w:tblStyle w:val="47"/>
        <w:tblW w:w="938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52"/>
        <w:gridCol w:w="760"/>
        <w:gridCol w:w="965"/>
        <w:gridCol w:w="3030"/>
        <w:gridCol w:w="1110"/>
        <w:gridCol w:w="1050"/>
        <w:gridCol w:w="1050"/>
        <w:gridCol w:w="965"/>
      </w:tblGrid>
      <w:tr w14:paraId="6A87AC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jc w:val="center"/>
        </w:trPr>
        <w:tc>
          <w:tcPr>
            <w:tcW w:w="9382" w:type="dxa"/>
            <w:gridSpan w:val="8"/>
            <w:tcBorders>
              <w:top w:val="nil"/>
              <w:left w:val="nil"/>
              <w:bottom w:val="nil"/>
              <w:right w:val="nil"/>
            </w:tcBorders>
            <w:shd w:val="clear" w:color="auto" w:fill="auto"/>
            <w:noWrap/>
            <w:vAlign w:val="center"/>
          </w:tcPr>
          <w:p w14:paraId="656F366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新疆出入境边防检查总站数据管理平台、执法记录仪调度平台维保项目（平台二合一改造）</w:t>
            </w:r>
          </w:p>
        </w:tc>
      </w:tr>
      <w:tr w14:paraId="392727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452" w:type="dxa"/>
            <w:vMerge w:val="restart"/>
            <w:tcBorders>
              <w:top w:val="single" w:color="000000" w:sz="4" w:space="0"/>
              <w:left w:val="single" w:color="000000" w:sz="4" w:space="0"/>
              <w:bottom w:val="single" w:color="000000" w:sz="4" w:space="0"/>
              <w:right w:val="single" w:color="000000" w:sz="4" w:space="0"/>
            </w:tcBorders>
            <w:shd w:val="clear" w:color="auto" w:fill="BFBFBF"/>
            <w:vAlign w:val="center"/>
          </w:tcPr>
          <w:p w14:paraId="6F36839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760" w:type="dxa"/>
            <w:vMerge w:val="restart"/>
            <w:tcBorders>
              <w:top w:val="single" w:color="000000" w:sz="4" w:space="0"/>
              <w:left w:val="single" w:color="000000" w:sz="4" w:space="0"/>
              <w:bottom w:val="single" w:color="000000" w:sz="4" w:space="0"/>
              <w:right w:val="single" w:color="000000" w:sz="4" w:space="0"/>
            </w:tcBorders>
            <w:shd w:val="clear" w:color="auto" w:fill="BFBFBF"/>
            <w:vAlign w:val="center"/>
          </w:tcPr>
          <w:p w14:paraId="77B13E1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模块一</w:t>
            </w:r>
          </w:p>
        </w:tc>
        <w:tc>
          <w:tcPr>
            <w:tcW w:w="965" w:type="dxa"/>
            <w:vMerge w:val="restart"/>
            <w:tcBorders>
              <w:top w:val="single" w:color="000000" w:sz="4" w:space="0"/>
              <w:left w:val="single" w:color="000000" w:sz="4" w:space="0"/>
              <w:bottom w:val="single" w:color="000000" w:sz="4" w:space="0"/>
              <w:right w:val="single" w:color="000000" w:sz="4" w:space="0"/>
            </w:tcBorders>
            <w:shd w:val="clear" w:color="auto" w:fill="BFBFBF"/>
            <w:vAlign w:val="center"/>
          </w:tcPr>
          <w:p w14:paraId="2E95827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模块二</w:t>
            </w:r>
          </w:p>
        </w:tc>
        <w:tc>
          <w:tcPr>
            <w:tcW w:w="3030" w:type="dxa"/>
            <w:vMerge w:val="restart"/>
            <w:tcBorders>
              <w:top w:val="single" w:color="000000" w:sz="4" w:space="0"/>
              <w:left w:val="single" w:color="000000" w:sz="4" w:space="0"/>
              <w:bottom w:val="single" w:color="000000" w:sz="4" w:space="0"/>
              <w:right w:val="single" w:color="000000" w:sz="4" w:space="0"/>
            </w:tcBorders>
            <w:shd w:val="clear" w:color="auto" w:fill="BFBFBF"/>
            <w:vAlign w:val="center"/>
          </w:tcPr>
          <w:p w14:paraId="0021AD8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功能描述</w:t>
            </w:r>
          </w:p>
        </w:tc>
        <w:tc>
          <w:tcPr>
            <w:tcW w:w="1110" w:type="dxa"/>
            <w:vMerge w:val="restart"/>
            <w:tcBorders>
              <w:top w:val="single" w:color="000000" w:sz="4" w:space="0"/>
              <w:left w:val="single" w:color="000000" w:sz="4" w:space="0"/>
              <w:bottom w:val="single" w:color="000000" w:sz="4" w:space="0"/>
              <w:right w:val="single" w:color="000000" w:sz="4" w:space="0"/>
            </w:tcBorders>
            <w:shd w:val="clear" w:color="auto" w:fill="BFBFBF"/>
            <w:vAlign w:val="center"/>
          </w:tcPr>
          <w:p w14:paraId="7AB05A2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人工综合工作量</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（人月）</w:t>
            </w: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BFBFBF"/>
            <w:vAlign w:val="center"/>
          </w:tcPr>
          <w:p w14:paraId="7FB5386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人工综合单价</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（元/人月）</w:t>
            </w: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BFBFBF"/>
            <w:vAlign w:val="center"/>
          </w:tcPr>
          <w:p w14:paraId="163B42D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小计</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(元）</w:t>
            </w:r>
          </w:p>
        </w:tc>
        <w:tc>
          <w:tcPr>
            <w:tcW w:w="965" w:type="dxa"/>
            <w:vMerge w:val="restart"/>
            <w:tcBorders>
              <w:top w:val="single" w:color="000000" w:sz="4" w:space="0"/>
              <w:left w:val="single" w:color="000000" w:sz="4" w:space="0"/>
              <w:bottom w:val="single" w:color="000000" w:sz="4" w:space="0"/>
              <w:right w:val="single" w:color="000000" w:sz="4" w:space="0"/>
            </w:tcBorders>
            <w:shd w:val="clear" w:color="auto" w:fill="BFBFBF"/>
            <w:noWrap/>
            <w:vAlign w:val="center"/>
          </w:tcPr>
          <w:p w14:paraId="1433F2F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备注</w:t>
            </w:r>
          </w:p>
        </w:tc>
      </w:tr>
      <w:tr w14:paraId="7358FA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6" w:hRule="atLeast"/>
          <w:jc w:val="center"/>
        </w:trPr>
        <w:tc>
          <w:tcPr>
            <w:tcW w:w="452" w:type="dxa"/>
            <w:vMerge w:val="continue"/>
            <w:tcBorders>
              <w:top w:val="single" w:color="000000" w:sz="4" w:space="0"/>
              <w:left w:val="single" w:color="000000" w:sz="4" w:space="0"/>
              <w:bottom w:val="single" w:color="000000" w:sz="4" w:space="0"/>
              <w:right w:val="single" w:color="000000" w:sz="4" w:space="0"/>
            </w:tcBorders>
            <w:shd w:val="clear" w:color="auto" w:fill="BFBFBF"/>
            <w:vAlign w:val="center"/>
          </w:tcPr>
          <w:p w14:paraId="73973616">
            <w:pPr>
              <w:jc w:val="center"/>
              <w:rPr>
                <w:rFonts w:hint="eastAsia" w:ascii="宋体" w:hAnsi="宋体" w:eastAsia="宋体" w:cs="宋体"/>
                <w:b/>
                <w:bCs/>
                <w:i w:val="0"/>
                <w:iCs w:val="0"/>
                <w:color w:val="000000"/>
                <w:sz w:val="18"/>
                <w:szCs w:val="18"/>
                <w:u w:val="none"/>
              </w:rPr>
            </w:pPr>
          </w:p>
        </w:tc>
        <w:tc>
          <w:tcPr>
            <w:tcW w:w="760" w:type="dxa"/>
            <w:vMerge w:val="continue"/>
            <w:tcBorders>
              <w:top w:val="single" w:color="000000" w:sz="4" w:space="0"/>
              <w:left w:val="single" w:color="000000" w:sz="4" w:space="0"/>
              <w:bottom w:val="single" w:color="000000" w:sz="4" w:space="0"/>
              <w:right w:val="single" w:color="000000" w:sz="4" w:space="0"/>
            </w:tcBorders>
            <w:shd w:val="clear" w:color="auto" w:fill="BFBFBF"/>
            <w:vAlign w:val="center"/>
          </w:tcPr>
          <w:p w14:paraId="675640DF">
            <w:pPr>
              <w:jc w:val="center"/>
              <w:rPr>
                <w:rFonts w:hint="eastAsia" w:ascii="宋体" w:hAnsi="宋体" w:eastAsia="宋体" w:cs="宋体"/>
                <w:b/>
                <w:bCs/>
                <w:i w:val="0"/>
                <w:iCs w:val="0"/>
                <w:color w:val="000000"/>
                <w:sz w:val="18"/>
                <w:szCs w:val="18"/>
                <w:u w:val="none"/>
              </w:rPr>
            </w:pPr>
          </w:p>
        </w:tc>
        <w:tc>
          <w:tcPr>
            <w:tcW w:w="965" w:type="dxa"/>
            <w:vMerge w:val="continue"/>
            <w:tcBorders>
              <w:top w:val="single" w:color="000000" w:sz="4" w:space="0"/>
              <w:left w:val="single" w:color="000000" w:sz="4" w:space="0"/>
              <w:bottom w:val="single" w:color="000000" w:sz="4" w:space="0"/>
              <w:right w:val="single" w:color="000000" w:sz="4" w:space="0"/>
            </w:tcBorders>
            <w:shd w:val="clear" w:color="auto" w:fill="BFBFBF"/>
            <w:vAlign w:val="center"/>
          </w:tcPr>
          <w:p w14:paraId="5F2F75FC">
            <w:pPr>
              <w:jc w:val="center"/>
              <w:rPr>
                <w:rFonts w:hint="eastAsia" w:ascii="宋体" w:hAnsi="宋体" w:eastAsia="宋体" w:cs="宋体"/>
                <w:b/>
                <w:bCs/>
                <w:i w:val="0"/>
                <w:iCs w:val="0"/>
                <w:color w:val="000000"/>
                <w:sz w:val="18"/>
                <w:szCs w:val="18"/>
                <w:u w:val="none"/>
              </w:rPr>
            </w:pPr>
          </w:p>
        </w:tc>
        <w:tc>
          <w:tcPr>
            <w:tcW w:w="3030" w:type="dxa"/>
            <w:vMerge w:val="continue"/>
            <w:tcBorders>
              <w:top w:val="single" w:color="000000" w:sz="4" w:space="0"/>
              <w:left w:val="single" w:color="000000" w:sz="4" w:space="0"/>
              <w:bottom w:val="single" w:color="000000" w:sz="4" w:space="0"/>
              <w:right w:val="single" w:color="000000" w:sz="4" w:space="0"/>
            </w:tcBorders>
            <w:shd w:val="clear" w:color="auto" w:fill="BFBFBF"/>
            <w:vAlign w:val="center"/>
          </w:tcPr>
          <w:p w14:paraId="68073CDE">
            <w:pPr>
              <w:jc w:val="center"/>
              <w:rPr>
                <w:rFonts w:hint="eastAsia" w:ascii="宋体" w:hAnsi="宋体" w:eastAsia="宋体" w:cs="宋体"/>
                <w:b/>
                <w:bCs/>
                <w:i w:val="0"/>
                <w:iCs w:val="0"/>
                <w:color w:val="000000"/>
                <w:sz w:val="18"/>
                <w:szCs w:val="18"/>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BFBFBF"/>
            <w:vAlign w:val="center"/>
          </w:tcPr>
          <w:p w14:paraId="670A7C2E">
            <w:pPr>
              <w:jc w:val="center"/>
              <w:rPr>
                <w:rFonts w:hint="eastAsia" w:ascii="宋体" w:hAnsi="宋体" w:eastAsia="宋体" w:cs="宋体"/>
                <w:b/>
                <w:bCs/>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BFBFBF"/>
            <w:vAlign w:val="center"/>
          </w:tcPr>
          <w:p w14:paraId="26F63F34">
            <w:pPr>
              <w:jc w:val="center"/>
              <w:rPr>
                <w:rFonts w:hint="eastAsia" w:ascii="宋体" w:hAnsi="宋体" w:eastAsia="宋体" w:cs="宋体"/>
                <w:b/>
                <w:bCs/>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BFBFBF"/>
            <w:vAlign w:val="center"/>
          </w:tcPr>
          <w:p w14:paraId="49838C1D">
            <w:pPr>
              <w:jc w:val="center"/>
              <w:rPr>
                <w:rFonts w:hint="eastAsia" w:ascii="宋体" w:hAnsi="宋体" w:eastAsia="宋体" w:cs="宋体"/>
                <w:b/>
                <w:bCs/>
                <w:i w:val="0"/>
                <w:iCs w:val="0"/>
                <w:color w:val="000000"/>
                <w:sz w:val="18"/>
                <w:szCs w:val="18"/>
                <w:u w:val="none"/>
              </w:rPr>
            </w:pPr>
          </w:p>
        </w:tc>
        <w:tc>
          <w:tcPr>
            <w:tcW w:w="965" w:type="dxa"/>
            <w:vMerge w:val="continue"/>
            <w:tcBorders>
              <w:top w:val="single" w:color="000000" w:sz="4" w:space="0"/>
              <w:left w:val="single" w:color="000000" w:sz="4" w:space="0"/>
              <w:bottom w:val="single" w:color="000000" w:sz="4" w:space="0"/>
              <w:right w:val="single" w:color="000000" w:sz="4" w:space="0"/>
            </w:tcBorders>
            <w:shd w:val="clear" w:color="auto" w:fill="BFBFBF"/>
            <w:noWrap/>
            <w:vAlign w:val="center"/>
          </w:tcPr>
          <w:p w14:paraId="0AD4A6AA">
            <w:pPr>
              <w:jc w:val="center"/>
              <w:rPr>
                <w:rFonts w:hint="eastAsia" w:ascii="宋体" w:hAnsi="宋体" w:eastAsia="宋体" w:cs="宋体"/>
                <w:b/>
                <w:bCs/>
                <w:i w:val="0"/>
                <w:iCs w:val="0"/>
                <w:color w:val="000000"/>
                <w:sz w:val="18"/>
                <w:szCs w:val="18"/>
                <w:u w:val="none"/>
              </w:rPr>
            </w:pPr>
          </w:p>
        </w:tc>
      </w:tr>
      <w:tr w14:paraId="0BF04E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jc w:val="center"/>
        </w:trPr>
        <w:tc>
          <w:tcPr>
            <w:tcW w:w="452" w:type="dxa"/>
            <w:vMerge w:val="restart"/>
            <w:tcBorders>
              <w:top w:val="nil"/>
              <w:left w:val="single" w:color="000000" w:sz="4" w:space="0"/>
              <w:bottom w:val="single" w:color="000000" w:sz="4" w:space="0"/>
              <w:right w:val="single" w:color="000000" w:sz="4" w:space="0"/>
            </w:tcBorders>
            <w:shd w:val="clear" w:color="auto" w:fill="auto"/>
            <w:vAlign w:val="center"/>
          </w:tcPr>
          <w:p w14:paraId="29F127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60" w:type="dxa"/>
            <w:vMerge w:val="restart"/>
            <w:tcBorders>
              <w:top w:val="nil"/>
              <w:left w:val="single" w:color="000000" w:sz="4" w:space="0"/>
              <w:bottom w:val="single" w:color="000000" w:sz="4" w:space="0"/>
              <w:right w:val="single" w:color="000000" w:sz="4" w:space="0"/>
            </w:tcBorders>
            <w:shd w:val="clear" w:color="auto" w:fill="auto"/>
            <w:vAlign w:val="center"/>
          </w:tcPr>
          <w:p w14:paraId="732C4F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平台二合一改造</w:t>
            </w:r>
          </w:p>
        </w:tc>
        <w:tc>
          <w:tcPr>
            <w:tcW w:w="965" w:type="dxa"/>
            <w:vMerge w:val="restart"/>
            <w:tcBorders>
              <w:top w:val="nil"/>
              <w:left w:val="single" w:color="000000" w:sz="4" w:space="0"/>
              <w:bottom w:val="single" w:color="000000" w:sz="4" w:space="0"/>
              <w:right w:val="single" w:color="000000" w:sz="4" w:space="0"/>
            </w:tcBorders>
            <w:shd w:val="clear" w:color="auto" w:fill="auto"/>
            <w:vAlign w:val="center"/>
          </w:tcPr>
          <w:p w14:paraId="7DA30D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界面设计</w:t>
            </w:r>
          </w:p>
        </w:tc>
        <w:tc>
          <w:tcPr>
            <w:tcW w:w="3030" w:type="dxa"/>
            <w:tcBorders>
              <w:top w:val="nil"/>
              <w:left w:val="single" w:color="000000" w:sz="4" w:space="0"/>
              <w:bottom w:val="single" w:color="000000" w:sz="4" w:space="0"/>
              <w:right w:val="single" w:color="000000" w:sz="4" w:space="0"/>
            </w:tcBorders>
            <w:shd w:val="clear" w:color="auto" w:fill="auto"/>
            <w:vAlign w:val="center"/>
          </w:tcPr>
          <w:p w14:paraId="24E86A40">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88"/>
                <w:rFonts w:eastAsia="宋体"/>
                <w:lang w:val="en-US" w:eastAsia="zh-CN" w:bidi="ar"/>
              </w:rPr>
              <w:t>UI</w:t>
            </w:r>
            <w:r>
              <w:rPr>
                <w:rFonts w:hint="eastAsia" w:ascii="宋体" w:hAnsi="宋体" w:eastAsia="宋体" w:cs="宋体"/>
                <w:i w:val="0"/>
                <w:iCs w:val="0"/>
                <w:color w:val="000000"/>
                <w:kern w:val="0"/>
                <w:sz w:val="18"/>
                <w:szCs w:val="18"/>
                <w:u w:val="none"/>
                <w:lang w:val="en-US" w:eastAsia="zh-CN" w:bidi="ar"/>
              </w:rPr>
              <w:t>界面</w:t>
            </w:r>
            <w:r>
              <w:rPr>
                <w:rStyle w:val="188"/>
                <w:rFonts w:eastAsia="宋体"/>
                <w:lang w:val="en-US" w:eastAsia="zh-CN" w:bidi="ar"/>
              </w:rPr>
              <w:t>:</w:t>
            </w:r>
            <w:r>
              <w:rPr>
                <w:rFonts w:hint="eastAsia" w:ascii="宋体" w:hAnsi="宋体" w:eastAsia="宋体" w:cs="宋体"/>
                <w:i w:val="0"/>
                <w:iCs w:val="0"/>
                <w:color w:val="000000"/>
                <w:kern w:val="0"/>
                <w:sz w:val="18"/>
                <w:szCs w:val="18"/>
                <w:u w:val="none"/>
                <w:lang w:val="en-US" w:eastAsia="zh-CN" w:bidi="ar"/>
              </w:rPr>
              <w:t>全新设计理念在原有数据平台页面内增加调度平台功能页面群组设置，视频呼叫，语言呼叫，人员组列表，绑定匹配地图功能，实时定位，历史轨迹。</w:t>
            </w:r>
          </w:p>
        </w:tc>
        <w:tc>
          <w:tcPr>
            <w:tcW w:w="1110" w:type="dxa"/>
            <w:tcBorders>
              <w:top w:val="nil"/>
              <w:left w:val="single" w:color="000000" w:sz="4" w:space="0"/>
              <w:bottom w:val="single" w:color="000000" w:sz="4" w:space="0"/>
              <w:right w:val="single" w:color="000000" w:sz="4" w:space="0"/>
            </w:tcBorders>
            <w:shd w:val="clear" w:color="auto" w:fill="auto"/>
            <w:noWrap/>
            <w:vAlign w:val="center"/>
          </w:tcPr>
          <w:p w14:paraId="0F5C1E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0.100 </w:t>
            </w:r>
          </w:p>
        </w:tc>
        <w:tc>
          <w:tcPr>
            <w:tcW w:w="1050" w:type="dxa"/>
            <w:tcBorders>
              <w:top w:val="nil"/>
              <w:left w:val="single" w:color="000000" w:sz="4" w:space="0"/>
              <w:bottom w:val="single" w:color="000000" w:sz="4" w:space="0"/>
              <w:right w:val="single" w:color="000000" w:sz="4" w:space="0"/>
            </w:tcBorders>
            <w:shd w:val="clear" w:color="auto" w:fill="auto"/>
            <w:noWrap/>
            <w:vAlign w:val="center"/>
          </w:tcPr>
          <w:p w14:paraId="30663948">
            <w:pPr>
              <w:jc w:val="center"/>
              <w:rPr>
                <w:rFonts w:hint="eastAsia" w:ascii="宋体" w:hAnsi="宋体" w:eastAsia="宋体" w:cs="宋体"/>
                <w:i w:val="0"/>
                <w:iCs w:val="0"/>
                <w:color w:val="000000"/>
                <w:sz w:val="18"/>
                <w:szCs w:val="18"/>
                <w:u w:val="none"/>
              </w:rPr>
            </w:pPr>
          </w:p>
        </w:tc>
        <w:tc>
          <w:tcPr>
            <w:tcW w:w="1050" w:type="dxa"/>
            <w:tcBorders>
              <w:top w:val="nil"/>
              <w:left w:val="single" w:color="000000" w:sz="4" w:space="0"/>
              <w:bottom w:val="single" w:color="000000" w:sz="4" w:space="0"/>
              <w:right w:val="single" w:color="000000" w:sz="4" w:space="0"/>
            </w:tcBorders>
            <w:shd w:val="clear" w:color="auto" w:fill="auto"/>
            <w:noWrap/>
            <w:vAlign w:val="center"/>
          </w:tcPr>
          <w:p w14:paraId="20C2C982">
            <w:pPr>
              <w:jc w:val="center"/>
              <w:rPr>
                <w:rFonts w:hint="eastAsia" w:ascii="宋体" w:hAnsi="宋体" w:eastAsia="宋体" w:cs="宋体"/>
                <w:i w:val="0"/>
                <w:iCs w:val="0"/>
                <w:color w:val="000000"/>
                <w:sz w:val="18"/>
                <w:szCs w:val="18"/>
                <w:u w:val="none"/>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DF12C">
            <w:pPr>
              <w:rPr>
                <w:rFonts w:hint="eastAsia" w:ascii="宋体" w:hAnsi="宋体" w:eastAsia="宋体" w:cs="宋体"/>
                <w:i w:val="0"/>
                <w:iCs w:val="0"/>
                <w:color w:val="000000"/>
                <w:sz w:val="18"/>
                <w:szCs w:val="18"/>
                <w:u w:val="none"/>
              </w:rPr>
            </w:pPr>
          </w:p>
        </w:tc>
      </w:tr>
      <w:tr w14:paraId="41EE9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452" w:type="dxa"/>
            <w:vMerge w:val="continue"/>
            <w:tcBorders>
              <w:top w:val="nil"/>
              <w:left w:val="single" w:color="000000" w:sz="4" w:space="0"/>
              <w:bottom w:val="single" w:color="000000" w:sz="4" w:space="0"/>
              <w:right w:val="single" w:color="000000" w:sz="4" w:space="0"/>
            </w:tcBorders>
            <w:shd w:val="clear" w:color="auto" w:fill="auto"/>
            <w:vAlign w:val="center"/>
          </w:tcPr>
          <w:p w14:paraId="027CB6D9">
            <w:pPr>
              <w:jc w:val="center"/>
              <w:rPr>
                <w:rFonts w:hint="eastAsia" w:ascii="宋体" w:hAnsi="宋体" w:eastAsia="宋体" w:cs="宋体"/>
                <w:i w:val="0"/>
                <w:iCs w:val="0"/>
                <w:color w:val="000000"/>
                <w:sz w:val="18"/>
                <w:szCs w:val="18"/>
                <w:u w:val="none"/>
              </w:rPr>
            </w:pPr>
          </w:p>
        </w:tc>
        <w:tc>
          <w:tcPr>
            <w:tcW w:w="760" w:type="dxa"/>
            <w:vMerge w:val="continue"/>
            <w:tcBorders>
              <w:top w:val="nil"/>
              <w:left w:val="single" w:color="000000" w:sz="4" w:space="0"/>
              <w:bottom w:val="single" w:color="000000" w:sz="4" w:space="0"/>
              <w:right w:val="single" w:color="000000" w:sz="4" w:space="0"/>
            </w:tcBorders>
            <w:shd w:val="clear" w:color="auto" w:fill="auto"/>
            <w:vAlign w:val="center"/>
          </w:tcPr>
          <w:p w14:paraId="7FB58CD4">
            <w:pPr>
              <w:jc w:val="center"/>
              <w:rPr>
                <w:rFonts w:hint="eastAsia" w:ascii="宋体" w:hAnsi="宋体" w:eastAsia="宋体" w:cs="宋体"/>
                <w:i w:val="0"/>
                <w:iCs w:val="0"/>
                <w:color w:val="000000"/>
                <w:sz w:val="18"/>
                <w:szCs w:val="18"/>
                <w:u w:val="none"/>
              </w:rPr>
            </w:pPr>
          </w:p>
        </w:tc>
        <w:tc>
          <w:tcPr>
            <w:tcW w:w="965" w:type="dxa"/>
            <w:vMerge w:val="continue"/>
            <w:tcBorders>
              <w:top w:val="nil"/>
              <w:left w:val="single" w:color="000000" w:sz="4" w:space="0"/>
              <w:bottom w:val="single" w:color="000000" w:sz="4" w:space="0"/>
              <w:right w:val="single" w:color="000000" w:sz="4" w:space="0"/>
            </w:tcBorders>
            <w:shd w:val="clear" w:color="auto" w:fill="auto"/>
            <w:vAlign w:val="center"/>
          </w:tcPr>
          <w:p w14:paraId="237B5E54">
            <w:pPr>
              <w:jc w:val="center"/>
              <w:rPr>
                <w:rFonts w:hint="eastAsia" w:ascii="宋体" w:hAnsi="宋体" w:eastAsia="宋体" w:cs="宋体"/>
                <w:i w:val="0"/>
                <w:iCs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8CAD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多种输入方式，基本组件、文件交互、格式浏览、操作交互、快捷键操作栏、批量选择</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878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0.148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83933">
            <w:pPr>
              <w:jc w:val="center"/>
              <w:rPr>
                <w:rFonts w:hint="eastAsia" w:ascii="宋体" w:hAnsi="宋体" w:eastAsia="宋体" w:cs="宋体"/>
                <w:i w:val="0"/>
                <w:iCs w:val="0"/>
                <w:color w:val="000000"/>
                <w:sz w:val="18"/>
                <w:szCs w:val="18"/>
                <w:u w:val="none"/>
              </w:rPr>
            </w:pPr>
          </w:p>
        </w:tc>
        <w:tc>
          <w:tcPr>
            <w:tcW w:w="1050" w:type="dxa"/>
            <w:tcBorders>
              <w:top w:val="nil"/>
              <w:left w:val="single" w:color="000000" w:sz="4" w:space="0"/>
              <w:bottom w:val="single" w:color="000000" w:sz="4" w:space="0"/>
              <w:right w:val="single" w:color="000000" w:sz="4" w:space="0"/>
            </w:tcBorders>
            <w:shd w:val="clear" w:color="auto" w:fill="auto"/>
            <w:noWrap/>
            <w:vAlign w:val="center"/>
          </w:tcPr>
          <w:p w14:paraId="01BE6427">
            <w:pPr>
              <w:jc w:val="center"/>
              <w:rPr>
                <w:rFonts w:hint="eastAsia" w:ascii="宋体" w:hAnsi="宋体" w:eastAsia="宋体" w:cs="宋体"/>
                <w:i w:val="0"/>
                <w:iCs w:val="0"/>
                <w:color w:val="000000"/>
                <w:sz w:val="18"/>
                <w:szCs w:val="18"/>
                <w:u w:val="none"/>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E0C6D">
            <w:pPr>
              <w:rPr>
                <w:rFonts w:hint="eastAsia" w:ascii="宋体" w:hAnsi="宋体" w:eastAsia="宋体" w:cs="宋体"/>
                <w:i w:val="0"/>
                <w:iCs w:val="0"/>
                <w:color w:val="000000"/>
                <w:sz w:val="18"/>
                <w:szCs w:val="18"/>
                <w:u w:val="none"/>
              </w:rPr>
            </w:pPr>
          </w:p>
        </w:tc>
      </w:tr>
      <w:tr w14:paraId="3C9845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452" w:type="dxa"/>
            <w:vMerge w:val="continue"/>
            <w:tcBorders>
              <w:top w:val="nil"/>
              <w:left w:val="single" w:color="000000" w:sz="4" w:space="0"/>
              <w:bottom w:val="single" w:color="000000" w:sz="4" w:space="0"/>
              <w:right w:val="single" w:color="000000" w:sz="4" w:space="0"/>
            </w:tcBorders>
            <w:shd w:val="clear" w:color="auto" w:fill="auto"/>
            <w:vAlign w:val="center"/>
          </w:tcPr>
          <w:p w14:paraId="325ABBBC">
            <w:pPr>
              <w:jc w:val="center"/>
              <w:rPr>
                <w:rFonts w:hint="eastAsia" w:ascii="宋体" w:hAnsi="宋体" w:eastAsia="宋体" w:cs="宋体"/>
                <w:i w:val="0"/>
                <w:iCs w:val="0"/>
                <w:color w:val="000000"/>
                <w:sz w:val="18"/>
                <w:szCs w:val="18"/>
                <w:u w:val="none"/>
              </w:rPr>
            </w:pPr>
          </w:p>
        </w:tc>
        <w:tc>
          <w:tcPr>
            <w:tcW w:w="760" w:type="dxa"/>
            <w:vMerge w:val="continue"/>
            <w:tcBorders>
              <w:top w:val="nil"/>
              <w:left w:val="single" w:color="000000" w:sz="4" w:space="0"/>
              <w:bottom w:val="single" w:color="000000" w:sz="4" w:space="0"/>
              <w:right w:val="single" w:color="000000" w:sz="4" w:space="0"/>
            </w:tcBorders>
            <w:shd w:val="clear" w:color="auto" w:fill="auto"/>
            <w:vAlign w:val="center"/>
          </w:tcPr>
          <w:p w14:paraId="5A646DD8">
            <w:pPr>
              <w:jc w:val="center"/>
              <w:rPr>
                <w:rFonts w:hint="eastAsia" w:ascii="宋体" w:hAnsi="宋体" w:eastAsia="宋体" w:cs="宋体"/>
                <w:i w:val="0"/>
                <w:iCs w:val="0"/>
                <w:color w:val="000000"/>
                <w:sz w:val="18"/>
                <w:szCs w:val="18"/>
                <w:u w:val="none"/>
              </w:rPr>
            </w:pPr>
          </w:p>
        </w:tc>
        <w:tc>
          <w:tcPr>
            <w:tcW w:w="965" w:type="dxa"/>
            <w:vMerge w:val="continue"/>
            <w:tcBorders>
              <w:top w:val="nil"/>
              <w:left w:val="single" w:color="000000" w:sz="4" w:space="0"/>
              <w:bottom w:val="single" w:color="000000" w:sz="4" w:space="0"/>
              <w:right w:val="single" w:color="000000" w:sz="4" w:space="0"/>
            </w:tcBorders>
            <w:shd w:val="clear" w:color="auto" w:fill="auto"/>
            <w:vAlign w:val="center"/>
          </w:tcPr>
          <w:p w14:paraId="313BB553">
            <w:pPr>
              <w:jc w:val="center"/>
              <w:rPr>
                <w:rFonts w:hint="eastAsia" w:ascii="宋体" w:hAnsi="宋体" w:eastAsia="宋体" w:cs="宋体"/>
                <w:i w:val="0"/>
                <w:iCs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3EB4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多种输出方式，数据展示、响应格式动态图表、卡片式布局、进度通知、异常警告、导出分类</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114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0.150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A9851">
            <w:pPr>
              <w:jc w:val="center"/>
              <w:rPr>
                <w:rFonts w:hint="eastAsia" w:ascii="宋体" w:hAnsi="宋体" w:eastAsia="宋体" w:cs="宋体"/>
                <w:i w:val="0"/>
                <w:iCs w:val="0"/>
                <w:color w:val="000000"/>
                <w:sz w:val="18"/>
                <w:szCs w:val="18"/>
                <w:u w:val="none"/>
              </w:rPr>
            </w:pPr>
          </w:p>
        </w:tc>
        <w:tc>
          <w:tcPr>
            <w:tcW w:w="1050" w:type="dxa"/>
            <w:tcBorders>
              <w:top w:val="nil"/>
              <w:left w:val="single" w:color="000000" w:sz="4" w:space="0"/>
              <w:bottom w:val="single" w:color="000000" w:sz="4" w:space="0"/>
              <w:right w:val="single" w:color="000000" w:sz="4" w:space="0"/>
            </w:tcBorders>
            <w:shd w:val="clear" w:color="auto" w:fill="auto"/>
            <w:noWrap/>
            <w:vAlign w:val="center"/>
          </w:tcPr>
          <w:p w14:paraId="3F231ECE">
            <w:pPr>
              <w:jc w:val="center"/>
              <w:rPr>
                <w:rFonts w:hint="eastAsia" w:ascii="宋体" w:hAnsi="宋体" w:eastAsia="宋体" w:cs="宋体"/>
                <w:i w:val="0"/>
                <w:iCs w:val="0"/>
                <w:color w:val="000000"/>
                <w:sz w:val="18"/>
                <w:szCs w:val="18"/>
                <w:u w:val="none"/>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63E1A">
            <w:pPr>
              <w:rPr>
                <w:rFonts w:hint="eastAsia" w:ascii="宋体" w:hAnsi="宋体" w:eastAsia="宋体" w:cs="宋体"/>
                <w:i w:val="0"/>
                <w:iCs w:val="0"/>
                <w:color w:val="000000"/>
                <w:sz w:val="18"/>
                <w:szCs w:val="18"/>
                <w:u w:val="none"/>
              </w:rPr>
            </w:pPr>
          </w:p>
        </w:tc>
      </w:tr>
      <w:tr w14:paraId="2000AC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jc w:val="center"/>
        </w:trPr>
        <w:tc>
          <w:tcPr>
            <w:tcW w:w="452" w:type="dxa"/>
            <w:vMerge w:val="continue"/>
            <w:tcBorders>
              <w:top w:val="nil"/>
              <w:left w:val="single" w:color="000000" w:sz="4" w:space="0"/>
              <w:bottom w:val="single" w:color="000000" w:sz="4" w:space="0"/>
              <w:right w:val="single" w:color="000000" w:sz="4" w:space="0"/>
            </w:tcBorders>
            <w:shd w:val="clear" w:color="auto" w:fill="auto"/>
            <w:vAlign w:val="center"/>
          </w:tcPr>
          <w:p w14:paraId="30BCC292">
            <w:pPr>
              <w:jc w:val="center"/>
              <w:rPr>
                <w:rFonts w:hint="eastAsia" w:ascii="宋体" w:hAnsi="宋体" w:eastAsia="宋体" w:cs="宋体"/>
                <w:i w:val="0"/>
                <w:iCs w:val="0"/>
                <w:color w:val="000000"/>
                <w:sz w:val="18"/>
                <w:szCs w:val="18"/>
                <w:u w:val="none"/>
              </w:rPr>
            </w:pPr>
          </w:p>
        </w:tc>
        <w:tc>
          <w:tcPr>
            <w:tcW w:w="760" w:type="dxa"/>
            <w:vMerge w:val="continue"/>
            <w:tcBorders>
              <w:top w:val="nil"/>
              <w:left w:val="single" w:color="000000" w:sz="4" w:space="0"/>
              <w:bottom w:val="single" w:color="000000" w:sz="4" w:space="0"/>
              <w:right w:val="single" w:color="000000" w:sz="4" w:space="0"/>
            </w:tcBorders>
            <w:shd w:val="clear" w:color="auto" w:fill="auto"/>
            <w:vAlign w:val="center"/>
          </w:tcPr>
          <w:p w14:paraId="683B62B0">
            <w:pPr>
              <w:jc w:val="center"/>
              <w:rPr>
                <w:rFonts w:hint="eastAsia" w:ascii="宋体" w:hAnsi="宋体" w:eastAsia="宋体" w:cs="宋体"/>
                <w:i w:val="0"/>
                <w:iCs w:val="0"/>
                <w:color w:val="000000"/>
                <w:sz w:val="18"/>
                <w:szCs w:val="18"/>
                <w:u w:val="none"/>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F1D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技术环境</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D2AE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技术栈融合了多种现代化开发语言和工具，本项目的研发部署环境基于centos操作系统采用PHP、Java/C++等多种编程语言协同开发，数据层通过mysqld关系型数据库与redis内存数据库结合实现高效存储整体架构兼顾稳定性与性能拓展需求</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5F1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0.310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32C5A">
            <w:pPr>
              <w:jc w:val="center"/>
              <w:rPr>
                <w:rFonts w:hint="eastAsia" w:ascii="宋体" w:hAnsi="宋体" w:eastAsia="宋体" w:cs="宋体"/>
                <w:i w:val="0"/>
                <w:iCs w:val="0"/>
                <w:color w:val="000000"/>
                <w:sz w:val="18"/>
                <w:szCs w:val="18"/>
                <w:u w:val="none"/>
              </w:rPr>
            </w:pPr>
          </w:p>
        </w:tc>
        <w:tc>
          <w:tcPr>
            <w:tcW w:w="1050" w:type="dxa"/>
            <w:tcBorders>
              <w:top w:val="nil"/>
              <w:left w:val="single" w:color="000000" w:sz="4" w:space="0"/>
              <w:bottom w:val="single" w:color="000000" w:sz="4" w:space="0"/>
              <w:right w:val="single" w:color="000000" w:sz="4" w:space="0"/>
            </w:tcBorders>
            <w:shd w:val="clear" w:color="auto" w:fill="auto"/>
            <w:noWrap/>
            <w:vAlign w:val="center"/>
          </w:tcPr>
          <w:p w14:paraId="7CA1DAAA">
            <w:pPr>
              <w:jc w:val="center"/>
              <w:rPr>
                <w:rFonts w:hint="eastAsia" w:ascii="宋体" w:hAnsi="宋体" w:eastAsia="宋体" w:cs="宋体"/>
                <w:i w:val="0"/>
                <w:iCs w:val="0"/>
                <w:color w:val="000000"/>
                <w:sz w:val="18"/>
                <w:szCs w:val="18"/>
                <w:u w:val="none"/>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6B354">
            <w:pPr>
              <w:rPr>
                <w:rFonts w:hint="eastAsia" w:ascii="宋体" w:hAnsi="宋体" w:eastAsia="宋体" w:cs="宋体"/>
                <w:i w:val="0"/>
                <w:iCs w:val="0"/>
                <w:color w:val="000000"/>
                <w:sz w:val="18"/>
                <w:szCs w:val="18"/>
                <w:u w:val="none"/>
              </w:rPr>
            </w:pPr>
          </w:p>
        </w:tc>
      </w:tr>
      <w:tr w14:paraId="4E7B3E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452" w:type="dxa"/>
            <w:vMerge w:val="continue"/>
            <w:tcBorders>
              <w:top w:val="nil"/>
              <w:left w:val="single" w:color="000000" w:sz="4" w:space="0"/>
              <w:bottom w:val="single" w:color="000000" w:sz="4" w:space="0"/>
              <w:right w:val="single" w:color="000000" w:sz="4" w:space="0"/>
            </w:tcBorders>
            <w:shd w:val="clear" w:color="auto" w:fill="auto"/>
            <w:vAlign w:val="center"/>
          </w:tcPr>
          <w:p w14:paraId="4C558B68">
            <w:pPr>
              <w:jc w:val="center"/>
              <w:rPr>
                <w:rFonts w:hint="eastAsia" w:ascii="宋体" w:hAnsi="宋体" w:eastAsia="宋体" w:cs="宋体"/>
                <w:i w:val="0"/>
                <w:iCs w:val="0"/>
                <w:color w:val="000000"/>
                <w:sz w:val="18"/>
                <w:szCs w:val="18"/>
                <w:u w:val="none"/>
              </w:rPr>
            </w:pPr>
          </w:p>
        </w:tc>
        <w:tc>
          <w:tcPr>
            <w:tcW w:w="760" w:type="dxa"/>
            <w:vMerge w:val="continue"/>
            <w:tcBorders>
              <w:top w:val="nil"/>
              <w:left w:val="single" w:color="000000" w:sz="4" w:space="0"/>
              <w:bottom w:val="single" w:color="000000" w:sz="4" w:space="0"/>
              <w:right w:val="single" w:color="000000" w:sz="4" w:space="0"/>
            </w:tcBorders>
            <w:shd w:val="clear" w:color="auto" w:fill="auto"/>
            <w:vAlign w:val="center"/>
          </w:tcPr>
          <w:p w14:paraId="41B2AA49">
            <w:pPr>
              <w:jc w:val="center"/>
              <w:rPr>
                <w:rFonts w:hint="eastAsia" w:ascii="宋体" w:hAnsi="宋体" w:eastAsia="宋体" w:cs="宋体"/>
                <w:i w:val="0"/>
                <w:iCs w:val="0"/>
                <w:color w:val="000000"/>
                <w:sz w:val="18"/>
                <w:szCs w:val="18"/>
                <w:u w:val="none"/>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4CA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批量处理</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FCB4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项目的批量处理系统采用分布式架构，融合多种语言优势架构高效任务处理流水线，结合数据库设计实现数据全生命周期管理。</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DF0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0.200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27324">
            <w:pPr>
              <w:jc w:val="center"/>
              <w:rPr>
                <w:rFonts w:hint="eastAsia" w:ascii="宋体" w:hAnsi="宋体" w:eastAsia="宋体" w:cs="宋体"/>
                <w:i w:val="0"/>
                <w:iCs w:val="0"/>
                <w:color w:val="000000"/>
                <w:sz w:val="18"/>
                <w:szCs w:val="18"/>
                <w:u w:val="none"/>
              </w:rPr>
            </w:pPr>
          </w:p>
        </w:tc>
        <w:tc>
          <w:tcPr>
            <w:tcW w:w="1050" w:type="dxa"/>
            <w:tcBorders>
              <w:top w:val="nil"/>
              <w:left w:val="single" w:color="000000" w:sz="4" w:space="0"/>
              <w:bottom w:val="single" w:color="000000" w:sz="4" w:space="0"/>
              <w:right w:val="single" w:color="000000" w:sz="4" w:space="0"/>
            </w:tcBorders>
            <w:shd w:val="clear" w:color="auto" w:fill="auto"/>
            <w:noWrap/>
            <w:vAlign w:val="center"/>
          </w:tcPr>
          <w:p w14:paraId="3B12E8E9">
            <w:pPr>
              <w:jc w:val="center"/>
              <w:rPr>
                <w:rFonts w:hint="eastAsia" w:ascii="宋体" w:hAnsi="宋体" w:eastAsia="宋体" w:cs="宋体"/>
                <w:i w:val="0"/>
                <w:iCs w:val="0"/>
                <w:color w:val="000000"/>
                <w:sz w:val="18"/>
                <w:szCs w:val="18"/>
                <w:u w:val="none"/>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578A1">
            <w:pPr>
              <w:rPr>
                <w:rFonts w:hint="eastAsia" w:ascii="宋体" w:hAnsi="宋体" w:eastAsia="宋体" w:cs="宋体"/>
                <w:i w:val="0"/>
                <w:iCs w:val="0"/>
                <w:color w:val="000000"/>
                <w:sz w:val="18"/>
                <w:szCs w:val="18"/>
                <w:u w:val="none"/>
              </w:rPr>
            </w:pPr>
          </w:p>
        </w:tc>
      </w:tr>
      <w:tr w14:paraId="599A2E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452" w:type="dxa"/>
            <w:vMerge w:val="continue"/>
            <w:tcBorders>
              <w:top w:val="nil"/>
              <w:left w:val="single" w:color="000000" w:sz="4" w:space="0"/>
              <w:bottom w:val="single" w:color="000000" w:sz="4" w:space="0"/>
              <w:right w:val="single" w:color="000000" w:sz="4" w:space="0"/>
            </w:tcBorders>
            <w:shd w:val="clear" w:color="auto" w:fill="auto"/>
            <w:vAlign w:val="center"/>
          </w:tcPr>
          <w:p w14:paraId="1764BE26">
            <w:pPr>
              <w:jc w:val="center"/>
              <w:rPr>
                <w:rFonts w:hint="eastAsia" w:ascii="宋体" w:hAnsi="宋体" w:eastAsia="宋体" w:cs="宋体"/>
                <w:i w:val="0"/>
                <w:iCs w:val="0"/>
                <w:color w:val="000000"/>
                <w:sz w:val="18"/>
                <w:szCs w:val="18"/>
                <w:u w:val="none"/>
              </w:rPr>
            </w:pPr>
          </w:p>
        </w:tc>
        <w:tc>
          <w:tcPr>
            <w:tcW w:w="760" w:type="dxa"/>
            <w:vMerge w:val="continue"/>
            <w:tcBorders>
              <w:top w:val="nil"/>
              <w:left w:val="single" w:color="000000" w:sz="4" w:space="0"/>
              <w:bottom w:val="single" w:color="000000" w:sz="4" w:space="0"/>
              <w:right w:val="single" w:color="000000" w:sz="4" w:space="0"/>
            </w:tcBorders>
            <w:shd w:val="clear" w:color="auto" w:fill="auto"/>
            <w:vAlign w:val="center"/>
          </w:tcPr>
          <w:p w14:paraId="1FD62E7E">
            <w:pPr>
              <w:jc w:val="center"/>
              <w:rPr>
                <w:rFonts w:hint="eastAsia" w:ascii="宋体" w:hAnsi="宋体" w:eastAsia="宋体" w:cs="宋体"/>
                <w:i w:val="0"/>
                <w:iCs w:val="0"/>
                <w:color w:val="000000"/>
                <w:sz w:val="18"/>
                <w:szCs w:val="18"/>
                <w:u w:val="none"/>
              </w:rPr>
            </w:pPr>
          </w:p>
        </w:tc>
        <w:tc>
          <w:tcPr>
            <w:tcW w:w="9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1D67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系统架构</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B805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组件集成项目采用分层架构设计与异构技术栈，结合多种编程语言与数据库技术构建高效稳定的应用系统，整体架构分四层，各层技术协同工作。</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6D8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C9C97">
            <w:pPr>
              <w:jc w:val="center"/>
              <w:rPr>
                <w:rFonts w:hint="eastAsia" w:ascii="宋体" w:hAnsi="宋体" w:eastAsia="宋体" w:cs="宋体"/>
                <w:i w:val="0"/>
                <w:iCs w:val="0"/>
                <w:color w:val="000000"/>
                <w:sz w:val="18"/>
                <w:szCs w:val="18"/>
                <w:u w:val="none"/>
              </w:rPr>
            </w:pPr>
          </w:p>
        </w:tc>
        <w:tc>
          <w:tcPr>
            <w:tcW w:w="1050" w:type="dxa"/>
            <w:tcBorders>
              <w:top w:val="nil"/>
              <w:left w:val="single" w:color="000000" w:sz="4" w:space="0"/>
              <w:bottom w:val="single" w:color="000000" w:sz="4" w:space="0"/>
              <w:right w:val="single" w:color="000000" w:sz="4" w:space="0"/>
            </w:tcBorders>
            <w:shd w:val="clear" w:color="auto" w:fill="auto"/>
            <w:noWrap/>
            <w:vAlign w:val="center"/>
          </w:tcPr>
          <w:p w14:paraId="07082EBB">
            <w:pPr>
              <w:jc w:val="center"/>
              <w:rPr>
                <w:rFonts w:hint="eastAsia" w:ascii="宋体" w:hAnsi="宋体" w:eastAsia="宋体" w:cs="宋体"/>
                <w:i w:val="0"/>
                <w:iCs w:val="0"/>
                <w:color w:val="000000"/>
                <w:sz w:val="18"/>
                <w:szCs w:val="18"/>
                <w:u w:val="none"/>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8AC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不属于系统功能</w:t>
            </w:r>
          </w:p>
        </w:tc>
      </w:tr>
      <w:tr w14:paraId="331FED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452" w:type="dxa"/>
            <w:vMerge w:val="continue"/>
            <w:tcBorders>
              <w:top w:val="nil"/>
              <w:left w:val="single" w:color="000000" w:sz="4" w:space="0"/>
              <w:bottom w:val="single" w:color="000000" w:sz="4" w:space="0"/>
              <w:right w:val="single" w:color="000000" w:sz="4" w:space="0"/>
            </w:tcBorders>
            <w:shd w:val="clear" w:color="auto" w:fill="auto"/>
            <w:vAlign w:val="center"/>
          </w:tcPr>
          <w:p w14:paraId="5C2BD9A8">
            <w:pPr>
              <w:jc w:val="center"/>
              <w:rPr>
                <w:rFonts w:hint="eastAsia" w:ascii="宋体" w:hAnsi="宋体" w:eastAsia="宋体" w:cs="宋体"/>
                <w:i w:val="0"/>
                <w:iCs w:val="0"/>
                <w:color w:val="000000"/>
                <w:sz w:val="18"/>
                <w:szCs w:val="18"/>
                <w:u w:val="none"/>
              </w:rPr>
            </w:pPr>
          </w:p>
        </w:tc>
        <w:tc>
          <w:tcPr>
            <w:tcW w:w="760" w:type="dxa"/>
            <w:vMerge w:val="continue"/>
            <w:tcBorders>
              <w:top w:val="nil"/>
              <w:left w:val="single" w:color="000000" w:sz="4" w:space="0"/>
              <w:bottom w:val="single" w:color="000000" w:sz="4" w:space="0"/>
              <w:right w:val="single" w:color="000000" w:sz="4" w:space="0"/>
            </w:tcBorders>
            <w:shd w:val="clear" w:color="auto" w:fill="auto"/>
            <w:vAlign w:val="center"/>
          </w:tcPr>
          <w:p w14:paraId="4CF5CAF0">
            <w:pPr>
              <w:jc w:val="center"/>
              <w:rPr>
                <w:rFonts w:hint="eastAsia" w:ascii="宋体" w:hAnsi="宋体" w:eastAsia="宋体" w:cs="宋体"/>
                <w:i w:val="0"/>
                <w:iCs w:val="0"/>
                <w:color w:val="000000"/>
                <w:sz w:val="18"/>
                <w:szCs w:val="18"/>
                <w:u w:val="none"/>
              </w:rPr>
            </w:pPr>
          </w:p>
        </w:tc>
        <w:tc>
          <w:tcPr>
            <w:tcW w:w="9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442B33">
            <w:pPr>
              <w:jc w:val="center"/>
              <w:rPr>
                <w:rFonts w:hint="eastAsia" w:ascii="宋体" w:hAnsi="宋体" w:eastAsia="宋体" w:cs="宋体"/>
                <w:i w:val="0"/>
                <w:iCs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8F39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多输入输出，前端、后端、实现文件处理服务。数据库、性能优化、体系兼容功能完全性，浏览器用户提构丰富的交互体验。</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06C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0.158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32488">
            <w:pPr>
              <w:jc w:val="center"/>
              <w:rPr>
                <w:rFonts w:hint="eastAsia" w:ascii="宋体" w:hAnsi="宋体" w:eastAsia="宋体" w:cs="宋体"/>
                <w:i w:val="0"/>
                <w:iCs w:val="0"/>
                <w:color w:val="000000"/>
                <w:sz w:val="18"/>
                <w:szCs w:val="18"/>
                <w:u w:val="none"/>
              </w:rPr>
            </w:pPr>
          </w:p>
        </w:tc>
        <w:tc>
          <w:tcPr>
            <w:tcW w:w="1050" w:type="dxa"/>
            <w:tcBorders>
              <w:top w:val="nil"/>
              <w:left w:val="single" w:color="000000" w:sz="4" w:space="0"/>
              <w:bottom w:val="single" w:color="000000" w:sz="4" w:space="0"/>
              <w:right w:val="single" w:color="000000" w:sz="4" w:space="0"/>
            </w:tcBorders>
            <w:shd w:val="clear" w:color="auto" w:fill="auto"/>
            <w:noWrap/>
            <w:vAlign w:val="center"/>
          </w:tcPr>
          <w:p w14:paraId="256746F5">
            <w:pPr>
              <w:jc w:val="center"/>
              <w:rPr>
                <w:rFonts w:hint="eastAsia" w:ascii="宋体" w:hAnsi="宋体" w:eastAsia="宋体" w:cs="宋体"/>
                <w:i w:val="0"/>
                <w:iCs w:val="0"/>
                <w:color w:val="000000"/>
                <w:sz w:val="18"/>
                <w:szCs w:val="18"/>
                <w:u w:val="none"/>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0FC63">
            <w:pPr>
              <w:rPr>
                <w:rFonts w:hint="eastAsia" w:ascii="宋体" w:hAnsi="宋体" w:eastAsia="宋体" w:cs="宋体"/>
                <w:i w:val="0"/>
                <w:iCs w:val="0"/>
                <w:color w:val="000000"/>
                <w:sz w:val="18"/>
                <w:szCs w:val="18"/>
                <w:u w:val="none"/>
              </w:rPr>
            </w:pPr>
          </w:p>
        </w:tc>
      </w:tr>
      <w:tr w14:paraId="0A40FF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C0A3F">
            <w:pPr>
              <w:jc w:val="center"/>
              <w:rPr>
                <w:rFonts w:hint="eastAsia" w:ascii="宋体" w:hAnsi="宋体" w:eastAsia="宋体" w:cs="宋体"/>
                <w:i w:val="0"/>
                <w:iCs w:val="0"/>
                <w:color w:val="000000"/>
                <w:sz w:val="18"/>
                <w:szCs w:val="18"/>
                <w:u w:val="none"/>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E157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小计</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564CE">
            <w:pPr>
              <w:jc w:val="center"/>
              <w:rPr>
                <w:rFonts w:hint="eastAsia" w:ascii="宋体" w:hAnsi="宋体" w:eastAsia="宋体" w:cs="宋体"/>
                <w:b/>
                <w:bCs/>
                <w:i w:val="0"/>
                <w:iCs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E8C10">
            <w:pPr>
              <w:jc w:val="center"/>
              <w:rPr>
                <w:rFonts w:hint="eastAsia" w:ascii="宋体" w:hAnsi="宋体" w:eastAsia="宋体" w:cs="宋体"/>
                <w:b/>
                <w:bCs/>
                <w:i w:val="0"/>
                <w:iCs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F2AA1">
            <w:pPr>
              <w:jc w:val="center"/>
              <w:rPr>
                <w:rFonts w:hint="eastAsia" w:ascii="宋体" w:hAnsi="宋体" w:eastAsia="宋体" w:cs="宋体"/>
                <w:b/>
                <w:bCs/>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8536D">
            <w:pPr>
              <w:jc w:val="center"/>
              <w:rPr>
                <w:rFonts w:hint="eastAsia" w:ascii="宋体" w:hAnsi="宋体" w:eastAsia="宋体" w:cs="宋体"/>
                <w:b/>
                <w:bCs/>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C5FD4">
            <w:pPr>
              <w:jc w:val="center"/>
              <w:rPr>
                <w:rFonts w:hint="eastAsia" w:ascii="宋体" w:hAnsi="宋体" w:eastAsia="宋体" w:cs="宋体"/>
                <w:b/>
                <w:bCs/>
                <w:i w:val="0"/>
                <w:iCs w:val="0"/>
                <w:color w:val="000000"/>
                <w:sz w:val="18"/>
                <w:szCs w:val="18"/>
                <w:u w:val="none"/>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F4904">
            <w:pPr>
              <w:jc w:val="center"/>
              <w:rPr>
                <w:rFonts w:hint="eastAsia" w:ascii="宋体" w:hAnsi="宋体" w:eastAsia="宋体" w:cs="宋体"/>
                <w:i w:val="0"/>
                <w:iCs w:val="0"/>
                <w:color w:val="000000"/>
                <w:sz w:val="18"/>
                <w:szCs w:val="18"/>
                <w:u w:val="none"/>
              </w:rPr>
            </w:pPr>
          </w:p>
        </w:tc>
      </w:tr>
    </w:tbl>
    <w:p w14:paraId="45C239E4">
      <w:pPr>
        <w:spacing w:line="360" w:lineRule="auto"/>
        <w:ind w:firstLine="560" w:firstLineChars="200"/>
        <w:jc w:val="right"/>
        <w:rPr>
          <w:rFonts w:ascii="宋体" w:hAnsi="宋体" w:eastAsia="宋体" w:cs="仿宋"/>
          <w:color w:val="000000"/>
          <w:sz w:val="28"/>
          <w:szCs w:val="20"/>
        </w:rPr>
      </w:pPr>
      <w:r>
        <w:rPr>
          <w:rFonts w:hint="eastAsia" w:ascii="宋体" w:hAnsi="宋体" w:eastAsia="宋体" w:cs="仿宋"/>
          <w:color w:val="000000"/>
          <w:sz w:val="28"/>
          <w:szCs w:val="20"/>
        </w:rPr>
        <w:t xml:space="preserve">法定代表人或法定代表授权委托人：（签字或盖章）                  </w:t>
      </w:r>
    </w:p>
    <w:p w14:paraId="66867374">
      <w:pPr>
        <w:spacing w:line="360" w:lineRule="auto"/>
        <w:ind w:firstLine="560" w:firstLineChars="200"/>
        <w:jc w:val="right"/>
        <w:rPr>
          <w:rFonts w:ascii="宋体" w:hAnsi="宋体" w:eastAsia="宋体" w:cs="仿宋"/>
          <w:color w:val="000000"/>
          <w:sz w:val="28"/>
          <w:szCs w:val="20"/>
        </w:rPr>
      </w:pPr>
      <w:r>
        <w:rPr>
          <w:rFonts w:hint="eastAsia" w:ascii="宋体" w:hAnsi="宋体" w:eastAsia="宋体" w:cs="仿宋"/>
          <w:color w:val="000000"/>
          <w:sz w:val="28"/>
          <w:szCs w:val="20"/>
        </w:rPr>
        <w:t>响应单位名称：（公章）</w:t>
      </w:r>
    </w:p>
    <w:p w14:paraId="2E6101E3">
      <w:pPr>
        <w:widowControl/>
        <w:ind w:firstLine="562"/>
        <w:jc w:val="right"/>
        <w:rPr>
          <w:rFonts w:ascii="宋体" w:hAnsi="宋体" w:eastAsia="宋体" w:cs="仿宋"/>
          <w:b/>
          <w:bCs/>
          <w:sz w:val="28"/>
          <w:szCs w:val="24"/>
        </w:rPr>
      </w:pPr>
      <w:r>
        <w:rPr>
          <w:rFonts w:hint="eastAsia" w:ascii="宋体" w:hAnsi="宋体" w:eastAsia="宋体" w:cs="仿宋"/>
          <w:color w:val="000000"/>
          <w:sz w:val="28"/>
          <w:szCs w:val="24"/>
          <w:u w:val="single"/>
        </w:rPr>
        <w:t xml:space="preserve">      </w:t>
      </w:r>
      <w:r>
        <w:rPr>
          <w:rFonts w:hint="eastAsia" w:ascii="宋体" w:hAnsi="宋体" w:eastAsia="宋体" w:cs="仿宋"/>
          <w:color w:val="000000"/>
          <w:sz w:val="28"/>
          <w:szCs w:val="24"/>
        </w:rPr>
        <w:t>年</w:t>
      </w:r>
      <w:r>
        <w:rPr>
          <w:rFonts w:hint="eastAsia" w:ascii="宋体" w:hAnsi="宋体" w:eastAsia="宋体" w:cs="仿宋"/>
          <w:color w:val="000000"/>
          <w:sz w:val="28"/>
          <w:szCs w:val="24"/>
          <w:u w:val="single"/>
        </w:rPr>
        <w:t xml:space="preserve">   </w:t>
      </w:r>
      <w:r>
        <w:rPr>
          <w:rFonts w:hint="eastAsia" w:ascii="宋体" w:hAnsi="宋体" w:eastAsia="宋体" w:cs="仿宋"/>
          <w:color w:val="000000"/>
          <w:sz w:val="28"/>
          <w:szCs w:val="24"/>
        </w:rPr>
        <w:t>月</w:t>
      </w:r>
      <w:r>
        <w:rPr>
          <w:rFonts w:hint="eastAsia" w:ascii="宋体" w:hAnsi="宋体" w:eastAsia="宋体" w:cs="仿宋"/>
          <w:color w:val="000000"/>
          <w:sz w:val="28"/>
          <w:szCs w:val="24"/>
          <w:u w:val="single"/>
        </w:rPr>
        <w:t xml:space="preserve">   </w:t>
      </w:r>
      <w:r>
        <w:rPr>
          <w:rFonts w:hint="eastAsia" w:ascii="宋体" w:hAnsi="宋体" w:eastAsia="宋体" w:cs="仿宋"/>
          <w:color w:val="000000"/>
          <w:sz w:val="28"/>
          <w:szCs w:val="24"/>
        </w:rPr>
        <w:t>日</w:t>
      </w:r>
    </w:p>
    <w:bookmarkEnd w:id="98"/>
    <w:p w14:paraId="4DB5160A">
      <w:pPr>
        <w:rPr>
          <w:rFonts w:hint="eastAsia" w:ascii="宋体" w:hAnsi="宋体" w:eastAsia="宋体" w:cs="仿宋"/>
          <w:b/>
          <w:bCs/>
          <w:sz w:val="28"/>
          <w:szCs w:val="24"/>
        </w:rPr>
      </w:pPr>
      <w:bookmarkStart w:id="99" w:name="_Toc195529429"/>
      <w:bookmarkStart w:id="100" w:name="_Toc21247"/>
      <w:r>
        <w:rPr>
          <w:rFonts w:hint="eastAsia" w:ascii="宋体" w:hAnsi="宋体" w:eastAsia="宋体" w:cs="仿宋"/>
          <w:b/>
          <w:bCs/>
          <w:sz w:val="28"/>
          <w:szCs w:val="24"/>
        </w:rPr>
        <w:br w:type="page"/>
      </w:r>
    </w:p>
    <w:p w14:paraId="5E82555B">
      <w:pPr>
        <w:spacing w:line="360" w:lineRule="auto"/>
        <w:ind w:firstLine="562"/>
        <w:jc w:val="center"/>
        <w:outlineLvl w:val="1"/>
        <w:rPr>
          <w:rFonts w:ascii="宋体" w:hAnsi="宋体" w:eastAsia="宋体" w:cs="仿宋"/>
          <w:szCs w:val="20"/>
        </w:rPr>
      </w:pPr>
      <w:r>
        <w:rPr>
          <w:rFonts w:hint="eastAsia" w:ascii="宋体" w:hAnsi="宋体" w:eastAsia="宋体" w:cs="仿宋"/>
          <w:b/>
          <w:bCs/>
          <w:sz w:val="28"/>
          <w:szCs w:val="24"/>
        </w:rPr>
        <w:t>附件六、商务条款偏离表</w:t>
      </w:r>
    </w:p>
    <w:tbl>
      <w:tblPr>
        <w:tblStyle w:val="47"/>
        <w:tblW w:w="9130" w:type="dxa"/>
        <w:jc w:val="center"/>
        <w:tblLayout w:type="fixed"/>
        <w:tblCellMar>
          <w:top w:w="0" w:type="dxa"/>
          <w:left w:w="108" w:type="dxa"/>
          <w:bottom w:w="0" w:type="dxa"/>
          <w:right w:w="108" w:type="dxa"/>
        </w:tblCellMar>
      </w:tblPr>
      <w:tblGrid>
        <w:gridCol w:w="1537"/>
        <w:gridCol w:w="2142"/>
        <w:gridCol w:w="2160"/>
        <w:gridCol w:w="3291"/>
      </w:tblGrid>
      <w:tr w14:paraId="6E938BC4">
        <w:tblPrEx>
          <w:tblCellMar>
            <w:top w:w="0" w:type="dxa"/>
            <w:left w:w="108" w:type="dxa"/>
            <w:bottom w:w="0" w:type="dxa"/>
            <w:right w:w="108" w:type="dxa"/>
          </w:tblCellMar>
        </w:tblPrEx>
        <w:trPr>
          <w:trHeight w:val="535" w:hRule="atLeast"/>
          <w:jc w:val="center"/>
        </w:trPr>
        <w:tc>
          <w:tcPr>
            <w:tcW w:w="1537" w:type="dxa"/>
            <w:tcBorders>
              <w:top w:val="single" w:color="auto" w:sz="6" w:space="0"/>
              <w:left w:val="single" w:color="auto" w:sz="6" w:space="0"/>
              <w:bottom w:val="single" w:color="auto" w:sz="6" w:space="0"/>
              <w:right w:val="single" w:color="auto" w:sz="6" w:space="0"/>
            </w:tcBorders>
            <w:vAlign w:val="center"/>
          </w:tcPr>
          <w:p w14:paraId="2831D0C7">
            <w:pPr>
              <w:spacing w:line="360" w:lineRule="auto"/>
              <w:jc w:val="center"/>
              <w:rPr>
                <w:rFonts w:ascii="宋体" w:hAnsi="宋体" w:eastAsia="宋体" w:cs="仿宋"/>
                <w:sz w:val="24"/>
                <w:szCs w:val="24"/>
              </w:rPr>
            </w:pPr>
            <w:r>
              <w:rPr>
                <w:rFonts w:hint="eastAsia" w:ascii="宋体" w:hAnsi="宋体" w:eastAsia="宋体" w:cs="仿宋"/>
                <w:sz w:val="24"/>
                <w:szCs w:val="24"/>
              </w:rPr>
              <w:t>序号</w:t>
            </w:r>
          </w:p>
        </w:tc>
        <w:tc>
          <w:tcPr>
            <w:tcW w:w="2142" w:type="dxa"/>
            <w:tcBorders>
              <w:top w:val="single" w:color="auto" w:sz="6" w:space="0"/>
              <w:left w:val="single" w:color="auto" w:sz="6" w:space="0"/>
              <w:bottom w:val="single" w:color="auto" w:sz="6" w:space="0"/>
              <w:right w:val="single" w:color="auto" w:sz="6" w:space="0"/>
            </w:tcBorders>
            <w:vAlign w:val="center"/>
          </w:tcPr>
          <w:p w14:paraId="1921EC3F">
            <w:pPr>
              <w:spacing w:line="360" w:lineRule="auto"/>
              <w:jc w:val="center"/>
              <w:rPr>
                <w:rFonts w:ascii="宋体" w:hAnsi="宋体" w:eastAsia="宋体" w:cs="仿宋"/>
                <w:sz w:val="24"/>
                <w:szCs w:val="24"/>
              </w:rPr>
            </w:pPr>
            <w:r>
              <w:rPr>
                <w:rFonts w:hint="eastAsia" w:ascii="宋体" w:hAnsi="宋体" w:eastAsia="宋体" w:cs="仿宋"/>
                <w:sz w:val="24"/>
                <w:szCs w:val="24"/>
              </w:rPr>
              <w:t>商务条款要求</w:t>
            </w:r>
          </w:p>
        </w:tc>
        <w:tc>
          <w:tcPr>
            <w:tcW w:w="2160" w:type="dxa"/>
            <w:tcBorders>
              <w:top w:val="single" w:color="auto" w:sz="6" w:space="0"/>
              <w:left w:val="single" w:color="auto" w:sz="6" w:space="0"/>
              <w:bottom w:val="single" w:color="auto" w:sz="6" w:space="0"/>
              <w:right w:val="single" w:color="auto" w:sz="6" w:space="0"/>
            </w:tcBorders>
            <w:vAlign w:val="center"/>
          </w:tcPr>
          <w:p w14:paraId="7B9536F4">
            <w:pPr>
              <w:spacing w:line="360" w:lineRule="auto"/>
              <w:jc w:val="center"/>
              <w:rPr>
                <w:rFonts w:ascii="宋体" w:hAnsi="宋体" w:eastAsia="宋体" w:cs="仿宋"/>
                <w:sz w:val="24"/>
                <w:szCs w:val="24"/>
              </w:rPr>
            </w:pPr>
            <w:r>
              <w:rPr>
                <w:rFonts w:hint="eastAsia" w:ascii="宋体" w:hAnsi="宋体" w:eastAsia="宋体" w:cs="仿宋"/>
                <w:sz w:val="24"/>
                <w:szCs w:val="24"/>
              </w:rPr>
              <w:t>响应内容</w:t>
            </w:r>
          </w:p>
        </w:tc>
        <w:tc>
          <w:tcPr>
            <w:tcW w:w="3291" w:type="dxa"/>
            <w:tcBorders>
              <w:top w:val="single" w:color="auto" w:sz="6" w:space="0"/>
              <w:left w:val="single" w:color="auto" w:sz="4" w:space="0"/>
              <w:bottom w:val="single" w:color="auto" w:sz="6" w:space="0"/>
              <w:right w:val="single" w:color="auto" w:sz="6" w:space="0"/>
            </w:tcBorders>
            <w:vAlign w:val="center"/>
          </w:tcPr>
          <w:p w14:paraId="60B13D20">
            <w:pPr>
              <w:spacing w:line="360" w:lineRule="auto"/>
              <w:jc w:val="center"/>
              <w:rPr>
                <w:rFonts w:ascii="宋体" w:hAnsi="宋体" w:eastAsia="宋体" w:cs="仿宋"/>
                <w:sz w:val="24"/>
                <w:szCs w:val="24"/>
              </w:rPr>
            </w:pPr>
            <w:r>
              <w:rPr>
                <w:rFonts w:hint="eastAsia" w:ascii="宋体" w:hAnsi="宋体" w:eastAsia="宋体" w:cs="仿宋"/>
                <w:sz w:val="24"/>
                <w:szCs w:val="24"/>
              </w:rPr>
              <w:t>偏离</w:t>
            </w:r>
          </w:p>
        </w:tc>
      </w:tr>
      <w:tr w14:paraId="08D38CCF">
        <w:tblPrEx>
          <w:tblCellMar>
            <w:top w:w="0" w:type="dxa"/>
            <w:left w:w="108" w:type="dxa"/>
            <w:bottom w:w="0" w:type="dxa"/>
            <w:right w:w="108" w:type="dxa"/>
          </w:tblCellMar>
        </w:tblPrEx>
        <w:trPr>
          <w:trHeight w:val="535" w:hRule="atLeast"/>
          <w:jc w:val="center"/>
        </w:trPr>
        <w:tc>
          <w:tcPr>
            <w:tcW w:w="1537" w:type="dxa"/>
            <w:tcBorders>
              <w:top w:val="single" w:color="auto" w:sz="6" w:space="0"/>
              <w:left w:val="single" w:color="auto" w:sz="6" w:space="0"/>
              <w:bottom w:val="single" w:color="auto" w:sz="6" w:space="0"/>
              <w:right w:val="single" w:color="auto" w:sz="6" w:space="0"/>
            </w:tcBorders>
            <w:vAlign w:val="center"/>
          </w:tcPr>
          <w:p w14:paraId="4B9ECC4A">
            <w:pPr>
              <w:spacing w:line="360" w:lineRule="auto"/>
              <w:ind w:firstLine="480"/>
              <w:jc w:val="center"/>
              <w:rPr>
                <w:rFonts w:ascii="宋体" w:hAnsi="宋体" w:eastAsia="宋体" w:cs="仿宋"/>
                <w:sz w:val="24"/>
                <w:szCs w:val="24"/>
              </w:rPr>
            </w:pPr>
          </w:p>
        </w:tc>
        <w:tc>
          <w:tcPr>
            <w:tcW w:w="2142" w:type="dxa"/>
            <w:tcBorders>
              <w:top w:val="single" w:color="auto" w:sz="6" w:space="0"/>
              <w:left w:val="single" w:color="auto" w:sz="6" w:space="0"/>
              <w:bottom w:val="single" w:color="auto" w:sz="6" w:space="0"/>
              <w:right w:val="single" w:color="auto" w:sz="6" w:space="0"/>
            </w:tcBorders>
            <w:vAlign w:val="center"/>
          </w:tcPr>
          <w:p w14:paraId="411273FC">
            <w:pPr>
              <w:spacing w:line="360" w:lineRule="auto"/>
              <w:ind w:firstLine="480"/>
              <w:jc w:val="center"/>
              <w:rPr>
                <w:rFonts w:ascii="宋体" w:hAnsi="宋体" w:eastAsia="宋体" w:cs="仿宋"/>
                <w:sz w:val="24"/>
                <w:szCs w:val="24"/>
              </w:rPr>
            </w:pPr>
          </w:p>
        </w:tc>
        <w:tc>
          <w:tcPr>
            <w:tcW w:w="2160" w:type="dxa"/>
            <w:tcBorders>
              <w:top w:val="single" w:color="auto" w:sz="6" w:space="0"/>
              <w:left w:val="single" w:color="auto" w:sz="6" w:space="0"/>
              <w:bottom w:val="single" w:color="auto" w:sz="6" w:space="0"/>
              <w:right w:val="single" w:color="auto" w:sz="6" w:space="0"/>
            </w:tcBorders>
            <w:vAlign w:val="center"/>
          </w:tcPr>
          <w:p w14:paraId="7830F8CA">
            <w:pPr>
              <w:spacing w:line="360" w:lineRule="auto"/>
              <w:ind w:firstLine="480"/>
              <w:jc w:val="center"/>
              <w:rPr>
                <w:rFonts w:ascii="宋体" w:hAnsi="宋体" w:eastAsia="宋体" w:cs="仿宋"/>
                <w:sz w:val="24"/>
                <w:szCs w:val="24"/>
              </w:rPr>
            </w:pPr>
          </w:p>
        </w:tc>
        <w:tc>
          <w:tcPr>
            <w:tcW w:w="3291" w:type="dxa"/>
            <w:tcBorders>
              <w:top w:val="single" w:color="auto" w:sz="6" w:space="0"/>
              <w:left w:val="single" w:color="auto" w:sz="4" w:space="0"/>
              <w:bottom w:val="single" w:color="auto" w:sz="6" w:space="0"/>
              <w:right w:val="single" w:color="auto" w:sz="6" w:space="0"/>
            </w:tcBorders>
            <w:vAlign w:val="center"/>
          </w:tcPr>
          <w:p w14:paraId="71D90D91">
            <w:pPr>
              <w:spacing w:line="360" w:lineRule="auto"/>
              <w:ind w:firstLine="480"/>
              <w:jc w:val="center"/>
              <w:rPr>
                <w:rFonts w:ascii="宋体" w:hAnsi="宋体" w:eastAsia="宋体" w:cs="仿宋"/>
                <w:sz w:val="24"/>
                <w:szCs w:val="24"/>
              </w:rPr>
            </w:pPr>
          </w:p>
        </w:tc>
      </w:tr>
      <w:tr w14:paraId="1BDEAA92">
        <w:tblPrEx>
          <w:tblCellMar>
            <w:top w:w="0" w:type="dxa"/>
            <w:left w:w="108" w:type="dxa"/>
            <w:bottom w:w="0" w:type="dxa"/>
            <w:right w:w="108" w:type="dxa"/>
          </w:tblCellMar>
        </w:tblPrEx>
        <w:trPr>
          <w:trHeight w:val="535" w:hRule="atLeast"/>
          <w:jc w:val="center"/>
        </w:trPr>
        <w:tc>
          <w:tcPr>
            <w:tcW w:w="1537" w:type="dxa"/>
            <w:tcBorders>
              <w:top w:val="single" w:color="auto" w:sz="6" w:space="0"/>
              <w:left w:val="single" w:color="auto" w:sz="6" w:space="0"/>
              <w:bottom w:val="single" w:color="auto" w:sz="6" w:space="0"/>
              <w:right w:val="single" w:color="auto" w:sz="6" w:space="0"/>
            </w:tcBorders>
            <w:vAlign w:val="center"/>
          </w:tcPr>
          <w:p w14:paraId="6929EC5D">
            <w:pPr>
              <w:spacing w:line="360" w:lineRule="auto"/>
              <w:ind w:firstLine="480"/>
              <w:jc w:val="center"/>
              <w:rPr>
                <w:rFonts w:ascii="宋体" w:hAnsi="宋体" w:eastAsia="宋体" w:cs="仿宋"/>
                <w:sz w:val="24"/>
                <w:szCs w:val="24"/>
              </w:rPr>
            </w:pPr>
          </w:p>
        </w:tc>
        <w:tc>
          <w:tcPr>
            <w:tcW w:w="2142" w:type="dxa"/>
            <w:tcBorders>
              <w:top w:val="single" w:color="auto" w:sz="6" w:space="0"/>
              <w:left w:val="single" w:color="auto" w:sz="6" w:space="0"/>
              <w:bottom w:val="single" w:color="auto" w:sz="6" w:space="0"/>
              <w:right w:val="single" w:color="auto" w:sz="6" w:space="0"/>
            </w:tcBorders>
            <w:vAlign w:val="center"/>
          </w:tcPr>
          <w:p w14:paraId="2543CF01">
            <w:pPr>
              <w:spacing w:line="360" w:lineRule="auto"/>
              <w:ind w:firstLine="480"/>
              <w:jc w:val="center"/>
              <w:rPr>
                <w:rFonts w:ascii="宋体" w:hAnsi="宋体" w:eastAsia="宋体" w:cs="仿宋"/>
                <w:sz w:val="24"/>
                <w:szCs w:val="24"/>
              </w:rPr>
            </w:pPr>
          </w:p>
        </w:tc>
        <w:tc>
          <w:tcPr>
            <w:tcW w:w="2160" w:type="dxa"/>
            <w:tcBorders>
              <w:top w:val="single" w:color="auto" w:sz="6" w:space="0"/>
              <w:left w:val="single" w:color="auto" w:sz="6" w:space="0"/>
              <w:bottom w:val="single" w:color="auto" w:sz="6" w:space="0"/>
              <w:right w:val="single" w:color="auto" w:sz="6" w:space="0"/>
            </w:tcBorders>
            <w:vAlign w:val="center"/>
          </w:tcPr>
          <w:p w14:paraId="146FFBB4">
            <w:pPr>
              <w:spacing w:line="360" w:lineRule="auto"/>
              <w:ind w:firstLine="480"/>
              <w:jc w:val="center"/>
              <w:rPr>
                <w:rFonts w:ascii="宋体" w:hAnsi="宋体" w:eastAsia="宋体" w:cs="仿宋"/>
                <w:sz w:val="24"/>
                <w:szCs w:val="24"/>
              </w:rPr>
            </w:pPr>
          </w:p>
        </w:tc>
        <w:tc>
          <w:tcPr>
            <w:tcW w:w="3291" w:type="dxa"/>
            <w:tcBorders>
              <w:top w:val="single" w:color="auto" w:sz="6" w:space="0"/>
              <w:left w:val="single" w:color="auto" w:sz="4" w:space="0"/>
              <w:bottom w:val="single" w:color="auto" w:sz="6" w:space="0"/>
              <w:right w:val="single" w:color="auto" w:sz="6" w:space="0"/>
            </w:tcBorders>
            <w:vAlign w:val="center"/>
          </w:tcPr>
          <w:p w14:paraId="3B7DA11E">
            <w:pPr>
              <w:spacing w:line="360" w:lineRule="auto"/>
              <w:ind w:firstLine="480"/>
              <w:jc w:val="center"/>
              <w:rPr>
                <w:rFonts w:ascii="宋体" w:hAnsi="宋体" w:eastAsia="宋体" w:cs="仿宋"/>
                <w:sz w:val="24"/>
                <w:szCs w:val="24"/>
              </w:rPr>
            </w:pPr>
          </w:p>
        </w:tc>
      </w:tr>
      <w:tr w14:paraId="37C687B6">
        <w:tblPrEx>
          <w:tblCellMar>
            <w:top w:w="0" w:type="dxa"/>
            <w:left w:w="108" w:type="dxa"/>
            <w:bottom w:w="0" w:type="dxa"/>
            <w:right w:w="108" w:type="dxa"/>
          </w:tblCellMar>
        </w:tblPrEx>
        <w:trPr>
          <w:trHeight w:val="535" w:hRule="atLeast"/>
          <w:jc w:val="center"/>
        </w:trPr>
        <w:tc>
          <w:tcPr>
            <w:tcW w:w="1537" w:type="dxa"/>
            <w:tcBorders>
              <w:top w:val="single" w:color="auto" w:sz="6" w:space="0"/>
              <w:left w:val="single" w:color="auto" w:sz="6" w:space="0"/>
              <w:bottom w:val="single" w:color="auto" w:sz="6" w:space="0"/>
              <w:right w:val="single" w:color="auto" w:sz="6" w:space="0"/>
            </w:tcBorders>
            <w:vAlign w:val="center"/>
          </w:tcPr>
          <w:p w14:paraId="23303A71">
            <w:pPr>
              <w:spacing w:line="360" w:lineRule="auto"/>
              <w:ind w:firstLine="480"/>
              <w:jc w:val="center"/>
              <w:rPr>
                <w:rFonts w:ascii="宋体" w:hAnsi="宋体" w:eastAsia="宋体" w:cs="仿宋"/>
                <w:sz w:val="24"/>
                <w:szCs w:val="24"/>
              </w:rPr>
            </w:pPr>
          </w:p>
        </w:tc>
        <w:tc>
          <w:tcPr>
            <w:tcW w:w="2142" w:type="dxa"/>
            <w:tcBorders>
              <w:top w:val="single" w:color="auto" w:sz="6" w:space="0"/>
              <w:left w:val="single" w:color="auto" w:sz="6" w:space="0"/>
              <w:bottom w:val="single" w:color="auto" w:sz="6" w:space="0"/>
              <w:right w:val="single" w:color="auto" w:sz="6" w:space="0"/>
            </w:tcBorders>
            <w:vAlign w:val="center"/>
          </w:tcPr>
          <w:p w14:paraId="56F09AFE">
            <w:pPr>
              <w:spacing w:line="360" w:lineRule="auto"/>
              <w:ind w:firstLine="480"/>
              <w:jc w:val="center"/>
              <w:rPr>
                <w:rFonts w:ascii="宋体" w:hAnsi="宋体" w:eastAsia="宋体" w:cs="仿宋"/>
                <w:sz w:val="24"/>
                <w:szCs w:val="24"/>
              </w:rPr>
            </w:pPr>
          </w:p>
        </w:tc>
        <w:tc>
          <w:tcPr>
            <w:tcW w:w="2160" w:type="dxa"/>
            <w:tcBorders>
              <w:top w:val="single" w:color="auto" w:sz="6" w:space="0"/>
              <w:left w:val="single" w:color="auto" w:sz="6" w:space="0"/>
              <w:bottom w:val="single" w:color="auto" w:sz="6" w:space="0"/>
              <w:right w:val="single" w:color="auto" w:sz="6" w:space="0"/>
            </w:tcBorders>
            <w:vAlign w:val="center"/>
          </w:tcPr>
          <w:p w14:paraId="7A85BC37">
            <w:pPr>
              <w:spacing w:line="360" w:lineRule="auto"/>
              <w:ind w:firstLine="480"/>
              <w:jc w:val="center"/>
              <w:rPr>
                <w:rFonts w:ascii="宋体" w:hAnsi="宋体" w:eastAsia="宋体" w:cs="仿宋"/>
                <w:sz w:val="24"/>
                <w:szCs w:val="24"/>
              </w:rPr>
            </w:pPr>
          </w:p>
        </w:tc>
        <w:tc>
          <w:tcPr>
            <w:tcW w:w="3291" w:type="dxa"/>
            <w:tcBorders>
              <w:top w:val="single" w:color="auto" w:sz="6" w:space="0"/>
              <w:left w:val="single" w:color="auto" w:sz="4" w:space="0"/>
              <w:bottom w:val="single" w:color="auto" w:sz="6" w:space="0"/>
              <w:right w:val="single" w:color="auto" w:sz="6" w:space="0"/>
            </w:tcBorders>
            <w:vAlign w:val="center"/>
          </w:tcPr>
          <w:p w14:paraId="4C8F0456">
            <w:pPr>
              <w:spacing w:line="360" w:lineRule="auto"/>
              <w:ind w:firstLine="480"/>
              <w:jc w:val="center"/>
              <w:rPr>
                <w:rFonts w:ascii="宋体" w:hAnsi="宋体" w:eastAsia="宋体" w:cs="仿宋"/>
                <w:sz w:val="24"/>
                <w:szCs w:val="24"/>
              </w:rPr>
            </w:pPr>
          </w:p>
        </w:tc>
      </w:tr>
      <w:tr w14:paraId="32D35310">
        <w:tblPrEx>
          <w:tblCellMar>
            <w:top w:w="0" w:type="dxa"/>
            <w:left w:w="108" w:type="dxa"/>
            <w:bottom w:w="0" w:type="dxa"/>
            <w:right w:w="108" w:type="dxa"/>
          </w:tblCellMar>
        </w:tblPrEx>
        <w:trPr>
          <w:trHeight w:val="535" w:hRule="atLeast"/>
          <w:jc w:val="center"/>
        </w:trPr>
        <w:tc>
          <w:tcPr>
            <w:tcW w:w="1537" w:type="dxa"/>
            <w:tcBorders>
              <w:top w:val="single" w:color="auto" w:sz="6" w:space="0"/>
              <w:left w:val="single" w:color="auto" w:sz="6" w:space="0"/>
              <w:bottom w:val="single" w:color="auto" w:sz="6" w:space="0"/>
              <w:right w:val="single" w:color="auto" w:sz="6" w:space="0"/>
            </w:tcBorders>
            <w:vAlign w:val="center"/>
          </w:tcPr>
          <w:p w14:paraId="38AB154C">
            <w:pPr>
              <w:spacing w:line="360" w:lineRule="auto"/>
              <w:ind w:firstLine="480"/>
              <w:jc w:val="center"/>
              <w:rPr>
                <w:rFonts w:ascii="宋体" w:hAnsi="宋体" w:eastAsia="宋体" w:cs="仿宋"/>
                <w:sz w:val="24"/>
                <w:szCs w:val="24"/>
              </w:rPr>
            </w:pPr>
          </w:p>
        </w:tc>
        <w:tc>
          <w:tcPr>
            <w:tcW w:w="2142" w:type="dxa"/>
            <w:tcBorders>
              <w:top w:val="single" w:color="auto" w:sz="6" w:space="0"/>
              <w:left w:val="single" w:color="auto" w:sz="6" w:space="0"/>
              <w:bottom w:val="single" w:color="auto" w:sz="6" w:space="0"/>
              <w:right w:val="single" w:color="auto" w:sz="6" w:space="0"/>
            </w:tcBorders>
            <w:vAlign w:val="center"/>
          </w:tcPr>
          <w:p w14:paraId="528B9845">
            <w:pPr>
              <w:spacing w:line="360" w:lineRule="auto"/>
              <w:ind w:firstLine="480"/>
              <w:jc w:val="center"/>
              <w:rPr>
                <w:rFonts w:ascii="宋体" w:hAnsi="宋体" w:eastAsia="宋体" w:cs="仿宋"/>
                <w:sz w:val="24"/>
                <w:szCs w:val="24"/>
              </w:rPr>
            </w:pPr>
          </w:p>
        </w:tc>
        <w:tc>
          <w:tcPr>
            <w:tcW w:w="2160" w:type="dxa"/>
            <w:tcBorders>
              <w:top w:val="single" w:color="auto" w:sz="6" w:space="0"/>
              <w:left w:val="single" w:color="auto" w:sz="6" w:space="0"/>
              <w:bottom w:val="single" w:color="auto" w:sz="6" w:space="0"/>
              <w:right w:val="single" w:color="auto" w:sz="6" w:space="0"/>
            </w:tcBorders>
            <w:vAlign w:val="center"/>
          </w:tcPr>
          <w:p w14:paraId="62E36840">
            <w:pPr>
              <w:spacing w:line="360" w:lineRule="auto"/>
              <w:ind w:firstLine="480"/>
              <w:jc w:val="center"/>
              <w:rPr>
                <w:rFonts w:ascii="宋体" w:hAnsi="宋体" w:eastAsia="宋体" w:cs="仿宋"/>
                <w:sz w:val="24"/>
                <w:szCs w:val="24"/>
              </w:rPr>
            </w:pPr>
          </w:p>
        </w:tc>
        <w:tc>
          <w:tcPr>
            <w:tcW w:w="3291" w:type="dxa"/>
            <w:tcBorders>
              <w:top w:val="single" w:color="auto" w:sz="6" w:space="0"/>
              <w:left w:val="single" w:color="auto" w:sz="4" w:space="0"/>
              <w:bottom w:val="single" w:color="auto" w:sz="6" w:space="0"/>
              <w:right w:val="single" w:color="auto" w:sz="6" w:space="0"/>
            </w:tcBorders>
            <w:vAlign w:val="center"/>
          </w:tcPr>
          <w:p w14:paraId="1E3F3762">
            <w:pPr>
              <w:spacing w:line="360" w:lineRule="auto"/>
              <w:ind w:firstLine="480"/>
              <w:jc w:val="center"/>
              <w:rPr>
                <w:rFonts w:ascii="宋体" w:hAnsi="宋体" w:eastAsia="宋体" w:cs="仿宋"/>
                <w:sz w:val="24"/>
                <w:szCs w:val="24"/>
              </w:rPr>
            </w:pPr>
          </w:p>
        </w:tc>
      </w:tr>
      <w:tr w14:paraId="0CDB80AE">
        <w:tblPrEx>
          <w:tblCellMar>
            <w:top w:w="0" w:type="dxa"/>
            <w:left w:w="108" w:type="dxa"/>
            <w:bottom w:w="0" w:type="dxa"/>
            <w:right w:w="108" w:type="dxa"/>
          </w:tblCellMar>
        </w:tblPrEx>
        <w:trPr>
          <w:trHeight w:val="535" w:hRule="atLeast"/>
          <w:jc w:val="center"/>
        </w:trPr>
        <w:tc>
          <w:tcPr>
            <w:tcW w:w="1537" w:type="dxa"/>
            <w:tcBorders>
              <w:top w:val="single" w:color="auto" w:sz="6" w:space="0"/>
              <w:left w:val="single" w:color="auto" w:sz="6" w:space="0"/>
              <w:bottom w:val="single" w:color="auto" w:sz="6" w:space="0"/>
              <w:right w:val="single" w:color="auto" w:sz="6" w:space="0"/>
            </w:tcBorders>
            <w:vAlign w:val="center"/>
          </w:tcPr>
          <w:p w14:paraId="7FEB14CE">
            <w:pPr>
              <w:spacing w:line="360" w:lineRule="auto"/>
              <w:ind w:firstLine="480"/>
              <w:rPr>
                <w:rFonts w:ascii="宋体" w:hAnsi="宋体" w:eastAsia="宋体" w:cs="仿宋"/>
                <w:sz w:val="24"/>
                <w:szCs w:val="24"/>
              </w:rPr>
            </w:pPr>
            <w:r>
              <w:rPr>
                <w:rFonts w:ascii="宋体" w:hAnsi="宋体" w:eastAsia="宋体" w:cs="仿宋"/>
                <w:sz w:val="24"/>
                <w:szCs w:val="24"/>
              </w:rPr>
              <w:t>···</w:t>
            </w:r>
          </w:p>
        </w:tc>
        <w:tc>
          <w:tcPr>
            <w:tcW w:w="2142" w:type="dxa"/>
            <w:tcBorders>
              <w:top w:val="single" w:color="auto" w:sz="6" w:space="0"/>
              <w:left w:val="single" w:color="auto" w:sz="6" w:space="0"/>
              <w:bottom w:val="single" w:color="auto" w:sz="6" w:space="0"/>
              <w:right w:val="single" w:color="auto" w:sz="6" w:space="0"/>
            </w:tcBorders>
            <w:vAlign w:val="center"/>
          </w:tcPr>
          <w:p w14:paraId="40CD4DC5">
            <w:pPr>
              <w:spacing w:line="360" w:lineRule="auto"/>
              <w:ind w:firstLine="480"/>
              <w:jc w:val="center"/>
              <w:rPr>
                <w:rFonts w:ascii="宋体" w:hAnsi="宋体" w:eastAsia="宋体" w:cs="仿宋"/>
                <w:sz w:val="24"/>
                <w:szCs w:val="24"/>
              </w:rPr>
            </w:pPr>
            <w:r>
              <w:rPr>
                <w:rFonts w:ascii="宋体" w:hAnsi="宋体" w:eastAsia="宋体" w:cs="仿宋"/>
                <w:sz w:val="24"/>
                <w:szCs w:val="24"/>
              </w:rPr>
              <w:t>···</w:t>
            </w:r>
          </w:p>
        </w:tc>
        <w:tc>
          <w:tcPr>
            <w:tcW w:w="2160" w:type="dxa"/>
            <w:tcBorders>
              <w:top w:val="single" w:color="auto" w:sz="6" w:space="0"/>
              <w:left w:val="single" w:color="auto" w:sz="6" w:space="0"/>
              <w:bottom w:val="single" w:color="auto" w:sz="6" w:space="0"/>
              <w:right w:val="single" w:color="auto" w:sz="6" w:space="0"/>
            </w:tcBorders>
            <w:vAlign w:val="center"/>
          </w:tcPr>
          <w:p w14:paraId="53BCCC17">
            <w:pPr>
              <w:spacing w:line="360" w:lineRule="auto"/>
              <w:ind w:firstLine="480"/>
              <w:jc w:val="center"/>
              <w:rPr>
                <w:rFonts w:ascii="宋体" w:hAnsi="宋体" w:eastAsia="宋体" w:cs="仿宋"/>
                <w:sz w:val="24"/>
                <w:szCs w:val="24"/>
              </w:rPr>
            </w:pPr>
            <w:r>
              <w:rPr>
                <w:rFonts w:ascii="宋体" w:hAnsi="宋体" w:eastAsia="宋体" w:cs="仿宋"/>
                <w:sz w:val="24"/>
                <w:szCs w:val="24"/>
              </w:rPr>
              <w:t>···</w:t>
            </w:r>
          </w:p>
        </w:tc>
        <w:tc>
          <w:tcPr>
            <w:tcW w:w="3291" w:type="dxa"/>
            <w:tcBorders>
              <w:top w:val="single" w:color="auto" w:sz="6" w:space="0"/>
              <w:left w:val="single" w:color="auto" w:sz="4" w:space="0"/>
              <w:bottom w:val="single" w:color="auto" w:sz="6" w:space="0"/>
              <w:right w:val="single" w:color="auto" w:sz="6" w:space="0"/>
            </w:tcBorders>
            <w:vAlign w:val="center"/>
          </w:tcPr>
          <w:p w14:paraId="3684F3C8">
            <w:pPr>
              <w:spacing w:line="360" w:lineRule="auto"/>
              <w:ind w:firstLine="480"/>
              <w:jc w:val="center"/>
              <w:rPr>
                <w:rFonts w:ascii="宋体" w:hAnsi="宋体" w:eastAsia="宋体" w:cs="仿宋"/>
                <w:sz w:val="24"/>
                <w:szCs w:val="24"/>
              </w:rPr>
            </w:pPr>
            <w:r>
              <w:rPr>
                <w:rFonts w:ascii="宋体" w:hAnsi="宋体" w:eastAsia="宋体" w:cs="仿宋"/>
                <w:sz w:val="24"/>
                <w:szCs w:val="24"/>
              </w:rPr>
              <w:t>···</w:t>
            </w:r>
          </w:p>
        </w:tc>
      </w:tr>
    </w:tbl>
    <w:p w14:paraId="1EB27414">
      <w:pPr>
        <w:spacing w:line="360" w:lineRule="auto"/>
        <w:ind w:firstLine="562"/>
        <w:rPr>
          <w:rFonts w:ascii="宋体" w:hAnsi="宋体" w:eastAsia="宋体" w:cs="仿宋"/>
          <w:b/>
          <w:bCs/>
          <w:sz w:val="28"/>
          <w:szCs w:val="20"/>
        </w:rPr>
      </w:pPr>
      <w:r>
        <w:rPr>
          <w:rFonts w:hint="eastAsia" w:ascii="宋体" w:hAnsi="宋体" w:eastAsia="宋体" w:cs="仿宋"/>
          <w:b/>
          <w:bCs/>
          <w:sz w:val="28"/>
          <w:szCs w:val="20"/>
        </w:rPr>
        <w:t>备注：</w:t>
      </w:r>
    </w:p>
    <w:p w14:paraId="7AFFDCAB">
      <w:pPr>
        <w:spacing w:line="360" w:lineRule="auto"/>
        <w:ind w:firstLine="562"/>
        <w:rPr>
          <w:rFonts w:hint="eastAsia" w:ascii="宋体" w:hAnsi="宋体" w:eastAsia="宋体" w:cs="仿宋"/>
          <w:b/>
          <w:bCs/>
          <w:sz w:val="28"/>
          <w:szCs w:val="20"/>
        </w:rPr>
      </w:pPr>
      <w:r>
        <w:rPr>
          <w:rFonts w:hint="eastAsia" w:ascii="宋体" w:hAnsi="宋体" w:eastAsia="宋体" w:cs="仿宋"/>
          <w:b/>
          <w:bCs/>
          <w:sz w:val="28"/>
          <w:szCs w:val="20"/>
        </w:rPr>
        <w:t>1.供应商须对</w:t>
      </w:r>
      <w:r>
        <w:rPr>
          <w:rFonts w:hint="eastAsia" w:ascii="宋体" w:hAnsi="宋体" w:eastAsia="宋体" w:cs="仿宋"/>
          <w:b/>
          <w:bCs/>
          <w:sz w:val="28"/>
          <w:szCs w:val="20"/>
          <w:lang w:val="en-US" w:eastAsia="zh-CN"/>
        </w:rPr>
        <w:t>第三章“商务要求”</w:t>
      </w:r>
      <w:r>
        <w:rPr>
          <w:rFonts w:hint="eastAsia" w:ascii="宋体" w:hAnsi="宋体" w:eastAsia="宋体" w:cs="仿宋"/>
          <w:b/>
          <w:bCs/>
          <w:sz w:val="28"/>
          <w:szCs w:val="20"/>
        </w:rPr>
        <w:t>条款逐条列明是否响应，如有偏离，须一一列明，若全部响应，则</w:t>
      </w:r>
      <w:r>
        <w:rPr>
          <w:rFonts w:hint="eastAsia" w:ascii="宋体" w:hAnsi="宋体" w:eastAsia="宋体" w:cs="仿宋"/>
          <w:b/>
          <w:bCs/>
          <w:sz w:val="28"/>
          <w:szCs w:val="20"/>
          <w:lang w:val="en-US" w:eastAsia="zh-CN"/>
        </w:rPr>
        <w:t>无需填写此表</w:t>
      </w:r>
      <w:r>
        <w:rPr>
          <w:rFonts w:hint="eastAsia" w:ascii="宋体" w:hAnsi="宋体" w:eastAsia="宋体" w:cs="仿宋"/>
          <w:b/>
          <w:bCs/>
          <w:sz w:val="28"/>
          <w:szCs w:val="20"/>
        </w:rPr>
        <w:t>，在偏离处填写“无偏离”即可。。</w:t>
      </w:r>
    </w:p>
    <w:p w14:paraId="4D0E757A">
      <w:pPr>
        <w:spacing w:line="360" w:lineRule="auto"/>
        <w:ind w:firstLine="482"/>
        <w:rPr>
          <w:rFonts w:ascii="宋体" w:hAnsi="宋体" w:eastAsia="宋体" w:cs="仿宋"/>
          <w:b/>
          <w:bCs/>
          <w:kern w:val="0"/>
          <w:sz w:val="24"/>
          <w:szCs w:val="20"/>
        </w:rPr>
      </w:pPr>
    </w:p>
    <w:p w14:paraId="5E93504A">
      <w:pPr>
        <w:spacing w:line="360" w:lineRule="auto"/>
        <w:ind w:right="-553" w:firstLine="537" w:firstLineChars="192"/>
        <w:jc w:val="left"/>
        <w:rPr>
          <w:rFonts w:ascii="宋体" w:hAnsi="宋体" w:eastAsia="宋体" w:cs="仿宋"/>
          <w:sz w:val="28"/>
          <w:szCs w:val="20"/>
        </w:rPr>
      </w:pPr>
      <w:r>
        <w:rPr>
          <w:rFonts w:hint="eastAsia" w:ascii="宋体" w:hAnsi="宋体" w:eastAsia="宋体" w:cs="仿宋"/>
          <w:sz w:val="28"/>
          <w:szCs w:val="20"/>
        </w:rPr>
        <w:t xml:space="preserve">谈判单位授权代表人（签字或盖章）：                             </w:t>
      </w:r>
    </w:p>
    <w:p w14:paraId="3475771B">
      <w:pPr>
        <w:spacing w:line="360" w:lineRule="auto"/>
        <w:ind w:right="-553" w:firstLine="537" w:firstLineChars="192"/>
        <w:jc w:val="left"/>
        <w:rPr>
          <w:rFonts w:ascii="宋体" w:hAnsi="宋体" w:eastAsia="宋体" w:cs="仿宋"/>
          <w:sz w:val="28"/>
          <w:szCs w:val="20"/>
        </w:rPr>
      </w:pPr>
      <w:r>
        <w:rPr>
          <w:rFonts w:hint="eastAsia" w:ascii="宋体" w:hAnsi="宋体" w:eastAsia="宋体" w:cs="仿宋"/>
          <w:sz w:val="28"/>
          <w:szCs w:val="20"/>
        </w:rPr>
        <w:t>谈判单位公章：</w:t>
      </w:r>
    </w:p>
    <w:p w14:paraId="24D9D23C">
      <w:pPr>
        <w:spacing w:line="360" w:lineRule="auto"/>
        <w:ind w:right="-553" w:firstLine="537" w:firstLineChars="192"/>
        <w:jc w:val="right"/>
        <w:rPr>
          <w:rFonts w:hint="eastAsia" w:ascii="宋体" w:hAnsi="宋体" w:eastAsia="宋体" w:cs="仿宋"/>
          <w:sz w:val="28"/>
          <w:szCs w:val="20"/>
        </w:rPr>
      </w:pPr>
      <w:r>
        <w:rPr>
          <w:rFonts w:hint="eastAsia" w:ascii="宋体" w:hAnsi="宋体" w:eastAsia="宋体" w:cs="仿宋"/>
          <w:sz w:val="28"/>
          <w:szCs w:val="20"/>
        </w:rPr>
        <w:t xml:space="preserve">      年   月</w:t>
      </w:r>
    </w:p>
    <w:p w14:paraId="5EA0B8E9">
      <w:pPr>
        <w:spacing w:line="360" w:lineRule="auto"/>
        <w:ind w:right="-553" w:firstLine="537" w:firstLineChars="192"/>
        <w:rPr>
          <w:rFonts w:hint="eastAsia" w:ascii="宋体" w:hAnsi="宋体" w:eastAsia="宋体" w:cs="仿宋"/>
          <w:sz w:val="28"/>
          <w:szCs w:val="20"/>
        </w:rPr>
      </w:pPr>
      <w:r>
        <w:rPr>
          <w:rFonts w:hint="eastAsia" w:ascii="宋体" w:hAnsi="宋体" w:eastAsia="宋体" w:cs="仿宋"/>
          <w:sz w:val="28"/>
          <w:szCs w:val="20"/>
        </w:rPr>
        <w:br w:type="page"/>
      </w:r>
    </w:p>
    <w:p w14:paraId="01CF3EE4">
      <w:pPr>
        <w:spacing w:line="360" w:lineRule="auto"/>
        <w:ind w:firstLine="562"/>
        <w:jc w:val="center"/>
        <w:outlineLvl w:val="1"/>
        <w:rPr>
          <w:rFonts w:ascii="宋体" w:hAnsi="宋体" w:eastAsia="宋体" w:cs="仿宋"/>
          <w:szCs w:val="20"/>
        </w:rPr>
      </w:pPr>
      <w:r>
        <w:rPr>
          <w:rFonts w:hint="eastAsia" w:ascii="宋体" w:hAnsi="宋体" w:eastAsia="宋体" w:cs="仿宋"/>
          <w:b/>
          <w:bCs/>
          <w:sz w:val="28"/>
          <w:szCs w:val="24"/>
        </w:rPr>
        <w:t>技术条款偏离表</w:t>
      </w:r>
      <w:bookmarkEnd w:id="96"/>
      <w:bookmarkEnd w:id="97"/>
      <w:bookmarkEnd w:id="99"/>
      <w:bookmarkEnd w:id="100"/>
    </w:p>
    <w:tbl>
      <w:tblPr>
        <w:tblStyle w:val="47"/>
        <w:tblW w:w="9130" w:type="dxa"/>
        <w:jc w:val="center"/>
        <w:tblLayout w:type="fixed"/>
        <w:tblCellMar>
          <w:top w:w="0" w:type="dxa"/>
          <w:left w:w="108" w:type="dxa"/>
          <w:bottom w:w="0" w:type="dxa"/>
          <w:right w:w="108" w:type="dxa"/>
        </w:tblCellMar>
      </w:tblPr>
      <w:tblGrid>
        <w:gridCol w:w="1537"/>
        <w:gridCol w:w="2142"/>
        <w:gridCol w:w="2160"/>
        <w:gridCol w:w="3291"/>
      </w:tblGrid>
      <w:tr w14:paraId="26146D63">
        <w:tblPrEx>
          <w:tblCellMar>
            <w:top w:w="0" w:type="dxa"/>
            <w:left w:w="108" w:type="dxa"/>
            <w:bottom w:w="0" w:type="dxa"/>
            <w:right w:w="108" w:type="dxa"/>
          </w:tblCellMar>
        </w:tblPrEx>
        <w:trPr>
          <w:trHeight w:val="535" w:hRule="atLeast"/>
          <w:jc w:val="center"/>
        </w:trPr>
        <w:tc>
          <w:tcPr>
            <w:tcW w:w="1537" w:type="dxa"/>
            <w:tcBorders>
              <w:top w:val="single" w:color="auto" w:sz="6" w:space="0"/>
              <w:left w:val="single" w:color="auto" w:sz="6" w:space="0"/>
              <w:bottom w:val="single" w:color="auto" w:sz="6" w:space="0"/>
              <w:right w:val="single" w:color="auto" w:sz="6" w:space="0"/>
            </w:tcBorders>
            <w:vAlign w:val="center"/>
          </w:tcPr>
          <w:p w14:paraId="0254EA01">
            <w:pPr>
              <w:spacing w:line="360" w:lineRule="auto"/>
              <w:jc w:val="center"/>
              <w:rPr>
                <w:rFonts w:ascii="宋体" w:hAnsi="宋体" w:eastAsia="宋体" w:cs="仿宋"/>
                <w:sz w:val="24"/>
                <w:szCs w:val="24"/>
              </w:rPr>
            </w:pPr>
            <w:r>
              <w:rPr>
                <w:rFonts w:hint="eastAsia" w:ascii="宋体" w:hAnsi="宋体" w:eastAsia="宋体" w:cs="仿宋"/>
                <w:sz w:val="24"/>
                <w:szCs w:val="24"/>
              </w:rPr>
              <w:t>序号</w:t>
            </w:r>
          </w:p>
        </w:tc>
        <w:tc>
          <w:tcPr>
            <w:tcW w:w="2142" w:type="dxa"/>
            <w:tcBorders>
              <w:top w:val="single" w:color="auto" w:sz="6" w:space="0"/>
              <w:left w:val="single" w:color="auto" w:sz="6" w:space="0"/>
              <w:bottom w:val="single" w:color="auto" w:sz="6" w:space="0"/>
              <w:right w:val="single" w:color="auto" w:sz="6" w:space="0"/>
            </w:tcBorders>
            <w:vAlign w:val="center"/>
          </w:tcPr>
          <w:p w14:paraId="75D2EDA9">
            <w:pPr>
              <w:spacing w:line="360" w:lineRule="auto"/>
              <w:jc w:val="center"/>
              <w:rPr>
                <w:rFonts w:ascii="宋体" w:hAnsi="宋体" w:eastAsia="宋体" w:cs="仿宋"/>
                <w:sz w:val="24"/>
                <w:szCs w:val="24"/>
              </w:rPr>
            </w:pPr>
            <w:r>
              <w:rPr>
                <w:rFonts w:hint="eastAsia" w:ascii="宋体" w:hAnsi="宋体" w:eastAsia="宋体" w:cs="仿宋"/>
                <w:sz w:val="24"/>
                <w:szCs w:val="24"/>
              </w:rPr>
              <w:t>技术条款要求</w:t>
            </w:r>
          </w:p>
        </w:tc>
        <w:tc>
          <w:tcPr>
            <w:tcW w:w="2160" w:type="dxa"/>
            <w:tcBorders>
              <w:top w:val="single" w:color="auto" w:sz="6" w:space="0"/>
              <w:left w:val="single" w:color="auto" w:sz="6" w:space="0"/>
              <w:bottom w:val="single" w:color="auto" w:sz="6" w:space="0"/>
              <w:right w:val="single" w:color="auto" w:sz="6" w:space="0"/>
            </w:tcBorders>
            <w:vAlign w:val="center"/>
          </w:tcPr>
          <w:p w14:paraId="0113D886">
            <w:pPr>
              <w:spacing w:line="360" w:lineRule="auto"/>
              <w:jc w:val="center"/>
              <w:rPr>
                <w:rFonts w:ascii="宋体" w:hAnsi="宋体" w:eastAsia="宋体" w:cs="仿宋"/>
                <w:sz w:val="24"/>
                <w:szCs w:val="24"/>
              </w:rPr>
            </w:pPr>
            <w:r>
              <w:rPr>
                <w:rFonts w:hint="eastAsia" w:ascii="宋体" w:hAnsi="宋体" w:eastAsia="宋体" w:cs="仿宋"/>
                <w:sz w:val="24"/>
                <w:szCs w:val="24"/>
              </w:rPr>
              <w:t>响应内容</w:t>
            </w:r>
          </w:p>
        </w:tc>
        <w:tc>
          <w:tcPr>
            <w:tcW w:w="3291" w:type="dxa"/>
            <w:tcBorders>
              <w:top w:val="single" w:color="auto" w:sz="6" w:space="0"/>
              <w:left w:val="single" w:color="auto" w:sz="4" w:space="0"/>
              <w:bottom w:val="single" w:color="auto" w:sz="6" w:space="0"/>
              <w:right w:val="single" w:color="auto" w:sz="6" w:space="0"/>
            </w:tcBorders>
            <w:vAlign w:val="center"/>
          </w:tcPr>
          <w:p w14:paraId="210A326A">
            <w:pPr>
              <w:spacing w:line="360" w:lineRule="auto"/>
              <w:jc w:val="center"/>
              <w:rPr>
                <w:rFonts w:ascii="宋体" w:hAnsi="宋体" w:eastAsia="宋体" w:cs="仿宋"/>
                <w:sz w:val="24"/>
                <w:szCs w:val="24"/>
              </w:rPr>
            </w:pPr>
            <w:r>
              <w:rPr>
                <w:rFonts w:hint="eastAsia" w:ascii="宋体" w:hAnsi="宋体" w:eastAsia="宋体" w:cs="仿宋"/>
                <w:sz w:val="24"/>
                <w:szCs w:val="24"/>
              </w:rPr>
              <w:t>偏离</w:t>
            </w:r>
          </w:p>
        </w:tc>
      </w:tr>
      <w:tr w14:paraId="3F79CB6A">
        <w:tblPrEx>
          <w:tblCellMar>
            <w:top w:w="0" w:type="dxa"/>
            <w:left w:w="108" w:type="dxa"/>
            <w:bottom w:w="0" w:type="dxa"/>
            <w:right w:w="108" w:type="dxa"/>
          </w:tblCellMar>
        </w:tblPrEx>
        <w:trPr>
          <w:trHeight w:val="535" w:hRule="atLeast"/>
          <w:jc w:val="center"/>
        </w:trPr>
        <w:tc>
          <w:tcPr>
            <w:tcW w:w="1537" w:type="dxa"/>
            <w:tcBorders>
              <w:top w:val="single" w:color="auto" w:sz="6" w:space="0"/>
              <w:left w:val="single" w:color="auto" w:sz="6" w:space="0"/>
              <w:bottom w:val="single" w:color="auto" w:sz="6" w:space="0"/>
              <w:right w:val="single" w:color="auto" w:sz="6" w:space="0"/>
            </w:tcBorders>
            <w:vAlign w:val="center"/>
          </w:tcPr>
          <w:p w14:paraId="500FDBC3">
            <w:pPr>
              <w:spacing w:line="360" w:lineRule="auto"/>
              <w:ind w:firstLine="480"/>
              <w:jc w:val="center"/>
              <w:rPr>
                <w:rFonts w:ascii="宋体" w:hAnsi="宋体" w:eastAsia="宋体" w:cs="仿宋"/>
                <w:sz w:val="24"/>
                <w:szCs w:val="24"/>
              </w:rPr>
            </w:pPr>
          </w:p>
        </w:tc>
        <w:tc>
          <w:tcPr>
            <w:tcW w:w="2142" w:type="dxa"/>
            <w:tcBorders>
              <w:top w:val="single" w:color="auto" w:sz="6" w:space="0"/>
              <w:left w:val="single" w:color="auto" w:sz="6" w:space="0"/>
              <w:bottom w:val="single" w:color="auto" w:sz="6" w:space="0"/>
              <w:right w:val="single" w:color="auto" w:sz="6" w:space="0"/>
            </w:tcBorders>
            <w:vAlign w:val="center"/>
          </w:tcPr>
          <w:p w14:paraId="0633B8AB">
            <w:pPr>
              <w:spacing w:line="360" w:lineRule="auto"/>
              <w:ind w:firstLine="480"/>
              <w:jc w:val="center"/>
              <w:rPr>
                <w:rFonts w:ascii="宋体" w:hAnsi="宋体" w:eastAsia="宋体" w:cs="仿宋"/>
                <w:sz w:val="24"/>
                <w:szCs w:val="24"/>
              </w:rPr>
            </w:pPr>
          </w:p>
        </w:tc>
        <w:tc>
          <w:tcPr>
            <w:tcW w:w="2160" w:type="dxa"/>
            <w:tcBorders>
              <w:top w:val="single" w:color="auto" w:sz="6" w:space="0"/>
              <w:left w:val="single" w:color="auto" w:sz="6" w:space="0"/>
              <w:bottom w:val="single" w:color="auto" w:sz="6" w:space="0"/>
              <w:right w:val="single" w:color="auto" w:sz="6" w:space="0"/>
            </w:tcBorders>
            <w:vAlign w:val="center"/>
          </w:tcPr>
          <w:p w14:paraId="5C00455D">
            <w:pPr>
              <w:spacing w:line="360" w:lineRule="auto"/>
              <w:ind w:firstLine="480"/>
              <w:jc w:val="center"/>
              <w:rPr>
                <w:rFonts w:ascii="宋体" w:hAnsi="宋体" w:eastAsia="宋体" w:cs="仿宋"/>
                <w:sz w:val="24"/>
                <w:szCs w:val="24"/>
              </w:rPr>
            </w:pPr>
          </w:p>
        </w:tc>
        <w:tc>
          <w:tcPr>
            <w:tcW w:w="3291" w:type="dxa"/>
            <w:tcBorders>
              <w:top w:val="single" w:color="auto" w:sz="6" w:space="0"/>
              <w:left w:val="single" w:color="auto" w:sz="4" w:space="0"/>
              <w:bottom w:val="single" w:color="auto" w:sz="6" w:space="0"/>
              <w:right w:val="single" w:color="auto" w:sz="6" w:space="0"/>
            </w:tcBorders>
            <w:vAlign w:val="center"/>
          </w:tcPr>
          <w:p w14:paraId="11BBB2FF">
            <w:pPr>
              <w:spacing w:line="360" w:lineRule="auto"/>
              <w:ind w:firstLine="480"/>
              <w:jc w:val="center"/>
              <w:rPr>
                <w:rFonts w:ascii="宋体" w:hAnsi="宋体" w:eastAsia="宋体" w:cs="仿宋"/>
                <w:sz w:val="24"/>
                <w:szCs w:val="24"/>
              </w:rPr>
            </w:pPr>
          </w:p>
        </w:tc>
      </w:tr>
      <w:tr w14:paraId="002857A7">
        <w:tblPrEx>
          <w:tblCellMar>
            <w:top w:w="0" w:type="dxa"/>
            <w:left w:w="108" w:type="dxa"/>
            <w:bottom w:w="0" w:type="dxa"/>
            <w:right w:w="108" w:type="dxa"/>
          </w:tblCellMar>
        </w:tblPrEx>
        <w:trPr>
          <w:trHeight w:val="535" w:hRule="atLeast"/>
          <w:jc w:val="center"/>
        </w:trPr>
        <w:tc>
          <w:tcPr>
            <w:tcW w:w="1537" w:type="dxa"/>
            <w:tcBorders>
              <w:top w:val="single" w:color="auto" w:sz="6" w:space="0"/>
              <w:left w:val="single" w:color="auto" w:sz="6" w:space="0"/>
              <w:bottom w:val="single" w:color="auto" w:sz="6" w:space="0"/>
              <w:right w:val="single" w:color="auto" w:sz="6" w:space="0"/>
            </w:tcBorders>
            <w:vAlign w:val="center"/>
          </w:tcPr>
          <w:p w14:paraId="1AEA865E">
            <w:pPr>
              <w:spacing w:line="360" w:lineRule="auto"/>
              <w:ind w:firstLine="480"/>
              <w:jc w:val="center"/>
              <w:rPr>
                <w:rFonts w:ascii="宋体" w:hAnsi="宋体" w:eastAsia="宋体" w:cs="仿宋"/>
                <w:sz w:val="24"/>
                <w:szCs w:val="24"/>
              </w:rPr>
            </w:pPr>
          </w:p>
        </w:tc>
        <w:tc>
          <w:tcPr>
            <w:tcW w:w="2142" w:type="dxa"/>
            <w:tcBorders>
              <w:top w:val="single" w:color="auto" w:sz="6" w:space="0"/>
              <w:left w:val="single" w:color="auto" w:sz="6" w:space="0"/>
              <w:bottom w:val="single" w:color="auto" w:sz="6" w:space="0"/>
              <w:right w:val="single" w:color="auto" w:sz="6" w:space="0"/>
            </w:tcBorders>
            <w:vAlign w:val="center"/>
          </w:tcPr>
          <w:p w14:paraId="1EB55346">
            <w:pPr>
              <w:spacing w:line="360" w:lineRule="auto"/>
              <w:ind w:firstLine="480"/>
              <w:jc w:val="center"/>
              <w:rPr>
                <w:rFonts w:ascii="宋体" w:hAnsi="宋体" w:eastAsia="宋体" w:cs="仿宋"/>
                <w:sz w:val="24"/>
                <w:szCs w:val="24"/>
              </w:rPr>
            </w:pPr>
          </w:p>
        </w:tc>
        <w:tc>
          <w:tcPr>
            <w:tcW w:w="2160" w:type="dxa"/>
            <w:tcBorders>
              <w:top w:val="single" w:color="auto" w:sz="6" w:space="0"/>
              <w:left w:val="single" w:color="auto" w:sz="6" w:space="0"/>
              <w:bottom w:val="single" w:color="auto" w:sz="6" w:space="0"/>
              <w:right w:val="single" w:color="auto" w:sz="6" w:space="0"/>
            </w:tcBorders>
            <w:vAlign w:val="center"/>
          </w:tcPr>
          <w:p w14:paraId="23DA6764">
            <w:pPr>
              <w:spacing w:line="360" w:lineRule="auto"/>
              <w:ind w:firstLine="480"/>
              <w:jc w:val="center"/>
              <w:rPr>
                <w:rFonts w:ascii="宋体" w:hAnsi="宋体" w:eastAsia="宋体" w:cs="仿宋"/>
                <w:sz w:val="24"/>
                <w:szCs w:val="24"/>
              </w:rPr>
            </w:pPr>
          </w:p>
        </w:tc>
        <w:tc>
          <w:tcPr>
            <w:tcW w:w="3291" w:type="dxa"/>
            <w:tcBorders>
              <w:top w:val="single" w:color="auto" w:sz="6" w:space="0"/>
              <w:left w:val="single" w:color="auto" w:sz="4" w:space="0"/>
              <w:bottom w:val="single" w:color="auto" w:sz="6" w:space="0"/>
              <w:right w:val="single" w:color="auto" w:sz="6" w:space="0"/>
            </w:tcBorders>
            <w:vAlign w:val="center"/>
          </w:tcPr>
          <w:p w14:paraId="6257934D">
            <w:pPr>
              <w:spacing w:line="360" w:lineRule="auto"/>
              <w:ind w:firstLine="480"/>
              <w:jc w:val="center"/>
              <w:rPr>
                <w:rFonts w:ascii="宋体" w:hAnsi="宋体" w:eastAsia="宋体" w:cs="仿宋"/>
                <w:sz w:val="24"/>
                <w:szCs w:val="24"/>
              </w:rPr>
            </w:pPr>
          </w:p>
        </w:tc>
      </w:tr>
      <w:tr w14:paraId="621EAA62">
        <w:tblPrEx>
          <w:tblCellMar>
            <w:top w:w="0" w:type="dxa"/>
            <w:left w:w="108" w:type="dxa"/>
            <w:bottom w:w="0" w:type="dxa"/>
            <w:right w:w="108" w:type="dxa"/>
          </w:tblCellMar>
        </w:tblPrEx>
        <w:trPr>
          <w:trHeight w:val="535" w:hRule="atLeast"/>
          <w:jc w:val="center"/>
        </w:trPr>
        <w:tc>
          <w:tcPr>
            <w:tcW w:w="1537" w:type="dxa"/>
            <w:tcBorders>
              <w:top w:val="single" w:color="auto" w:sz="6" w:space="0"/>
              <w:left w:val="single" w:color="auto" w:sz="6" w:space="0"/>
              <w:bottom w:val="single" w:color="auto" w:sz="6" w:space="0"/>
              <w:right w:val="single" w:color="auto" w:sz="6" w:space="0"/>
            </w:tcBorders>
            <w:vAlign w:val="center"/>
          </w:tcPr>
          <w:p w14:paraId="0B7EB769">
            <w:pPr>
              <w:spacing w:line="360" w:lineRule="auto"/>
              <w:ind w:firstLine="480"/>
              <w:jc w:val="center"/>
              <w:rPr>
                <w:rFonts w:ascii="宋体" w:hAnsi="宋体" w:eastAsia="宋体" w:cs="仿宋"/>
                <w:sz w:val="24"/>
                <w:szCs w:val="24"/>
              </w:rPr>
            </w:pPr>
          </w:p>
        </w:tc>
        <w:tc>
          <w:tcPr>
            <w:tcW w:w="2142" w:type="dxa"/>
            <w:tcBorders>
              <w:top w:val="single" w:color="auto" w:sz="6" w:space="0"/>
              <w:left w:val="single" w:color="auto" w:sz="6" w:space="0"/>
              <w:bottom w:val="single" w:color="auto" w:sz="6" w:space="0"/>
              <w:right w:val="single" w:color="auto" w:sz="6" w:space="0"/>
            </w:tcBorders>
            <w:vAlign w:val="center"/>
          </w:tcPr>
          <w:p w14:paraId="093FBFC0">
            <w:pPr>
              <w:spacing w:line="360" w:lineRule="auto"/>
              <w:ind w:firstLine="480"/>
              <w:jc w:val="center"/>
              <w:rPr>
                <w:rFonts w:ascii="宋体" w:hAnsi="宋体" w:eastAsia="宋体" w:cs="仿宋"/>
                <w:sz w:val="24"/>
                <w:szCs w:val="24"/>
              </w:rPr>
            </w:pPr>
          </w:p>
        </w:tc>
        <w:tc>
          <w:tcPr>
            <w:tcW w:w="2160" w:type="dxa"/>
            <w:tcBorders>
              <w:top w:val="single" w:color="auto" w:sz="6" w:space="0"/>
              <w:left w:val="single" w:color="auto" w:sz="6" w:space="0"/>
              <w:bottom w:val="single" w:color="auto" w:sz="6" w:space="0"/>
              <w:right w:val="single" w:color="auto" w:sz="6" w:space="0"/>
            </w:tcBorders>
            <w:vAlign w:val="center"/>
          </w:tcPr>
          <w:p w14:paraId="18FAA92E">
            <w:pPr>
              <w:spacing w:line="360" w:lineRule="auto"/>
              <w:ind w:firstLine="480"/>
              <w:jc w:val="center"/>
              <w:rPr>
                <w:rFonts w:ascii="宋体" w:hAnsi="宋体" w:eastAsia="宋体" w:cs="仿宋"/>
                <w:sz w:val="24"/>
                <w:szCs w:val="24"/>
              </w:rPr>
            </w:pPr>
          </w:p>
        </w:tc>
        <w:tc>
          <w:tcPr>
            <w:tcW w:w="3291" w:type="dxa"/>
            <w:tcBorders>
              <w:top w:val="single" w:color="auto" w:sz="6" w:space="0"/>
              <w:left w:val="single" w:color="auto" w:sz="4" w:space="0"/>
              <w:bottom w:val="single" w:color="auto" w:sz="6" w:space="0"/>
              <w:right w:val="single" w:color="auto" w:sz="6" w:space="0"/>
            </w:tcBorders>
            <w:vAlign w:val="center"/>
          </w:tcPr>
          <w:p w14:paraId="633951BF">
            <w:pPr>
              <w:spacing w:line="360" w:lineRule="auto"/>
              <w:ind w:firstLine="480"/>
              <w:jc w:val="center"/>
              <w:rPr>
                <w:rFonts w:ascii="宋体" w:hAnsi="宋体" w:eastAsia="宋体" w:cs="仿宋"/>
                <w:sz w:val="24"/>
                <w:szCs w:val="24"/>
              </w:rPr>
            </w:pPr>
          </w:p>
        </w:tc>
      </w:tr>
      <w:tr w14:paraId="077F93B3">
        <w:tblPrEx>
          <w:tblCellMar>
            <w:top w:w="0" w:type="dxa"/>
            <w:left w:w="108" w:type="dxa"/>
            <w:bottom w:w="0" w:type="dxa"/>
            <w:right w:w="108" w:type="dxa"/>
          </w:tblCellMar>
        </w:tblPrEx>
        <w:trPr>
          <w:trHeight w:val="535" w:hRule="atLeast"/>
          <w:jc w:val="center"/>
        </w:trPr>
        <w:tc>
          <w:tcPr>
            <w:tcW w:w="1537" w:type="dxa"/>
            <w:tcBorders>
              <w:top w:val="single" w:color="auto" w:sz="6" w:space="0"/>
              <w:left w:val="single" w:color="auto" w:sz="6" w:space="0"/>
              <w:bottom w:val="single" w:color="auto" w:sz="6" w:space="0"/>
              <w:right w:val="single" w:color="auto" w:sz="6" w:space="0"/>
            </w:tcBorders>
            <w:vAlign w:val="center"/>
          </w:tcPr>
          <w:p w14:paraId="25AAF0E0">
            <w:pPr>
              <w:spacing w:line="360" w:lineRule="auto"/>
              <w:ind w:firstLine="480"/>
              <w:jc w:val="center"/>
              <w:rPr>
                <w:rFonts w:ascii="宋体" w:hAnsi="宋体" w:eastAsia="宋体" w:cs="仿宋"/>
                <w:sz w:val="24"/>
                <w:szCs w:val="24"/>
              </w:rPr>
            </w:pPr>
          </w:p>
        </w:tc>
        <w:tc>
          <w:tcPr>
            <w:tcW w:w="2142" w:type="dxa"/>
            <w:tcBorders>
              <w:top w:val="single" w:color="auto" w:sz="6" w:space="0"/>
              <w:left w:val="single" w:color="auto" w:sz="6" w:space="0"/>
              <w:bottom w:val="single" w:color="auto" w:sz="6" w:space="0"/>
              <w:right w:val="single" w:color="auto" w:sz="6" w:space="0"/>
            </w:tcBorders>
            <w:vAlign w:val="center"/>
          </w:tcPr>
          <w:p w14:paraId="0623ED22">
            <w:pPr>
              <w:spacing w:line="360" w:lineRule="auto"/>
              <w:ind w:firstLine="480"/>
              <w:jc w:val="center"/>
              <w:rPr>
                <w:rFonts w:ascii="宋体" w:hAnsi="宋体" w:eastAsia="宋体" w:cs="仿宋"/>
                <w:sz w:val="24"/>
                <w:szCs w:val="24"/>
              </w:rPr>
            </w:pPr>
          </w:p>
        </w:tc>
        <w:tc>
          <w:tcPr>
            <w:tcW w:w="2160" w:type="dxa"/>
            <w:tcBorders>
              <w:top w:val="single" w:color="auto" w:sz="6" w:space="0"/>
              <w:left w:val="single" w:color="auto" w:sz="6" w:space="0"/>
              <w:bottom w:val="single" w:color="auto" w:sz="6" w:space="0"/>
              <w:right w:val="single" w:color="auto" w:sz="6" w:space="0"/>
            </w:tcBorders>
            <w:vAlign w:val="center"/>
          </w:tcPr>
          <w:p w14:paraId="014F0446">
            <w:pPr>
              <w:spacing w:line="360" w:lineRule="auto"/>
              <w:ind w:firstLine="480"/>
              <w:jc w:val="center"/>
              <w:rPr>
                <w:rFonts w:ascii="宋体" w:hAnsi="宋体" w:eastAsia="宋体" w:cs="仿宋"/>
                <w:sz w:val="24"/>
                <w:szCs w:val="24"/>
              </w:rPr>
            </w:pPr>
          </w:p>
        </w:tc>
        <w:tc>
          <w:tcPr>
            <w:tcW w:w="3291" w:type="dxa"/>
            <w:tcBorders>
              <w:top w:val="single" w:color="auto" w:sz="6" w:space="0"/>
              <w:left w:val="single" w:color="auto" w:sz="4" w:space="0"/>
              <w:bottom w:val="single" w:color="auto" w:sz="6" w:space="0"/>
              <w:right w:val="single" w:color="auto" w:sz="6" w:space="0"/>
            </w:tcBorders>
            <w:vAlign w:val="center"/>
          </w:tcPr>
          <w:p w14:paraId="3AE5733C">
            <w:pPr>
              <w:spacing w:line="360" w:lineRule="auto"/>
              <w:ind w:firstLine="480"/>
              <w:jc w:val="center"/>
              <w:rPr>
                <w:rFonts w:ascii="宋体" w:hAnsi="宋体" w:eastAsia="宋体" w:cs="仿宋"/>
                <w:sz w:val="24"/>
                <w:szCs w:val="24"/>
              </w:rPr>
            </w:pPr>
          </w:p>
        </w:tc>
      </w:tr>
      <w:tr w14:paraId="11F9ECEC">
        <w:tblPrEx>
          <w:tblCellMar>
            <w:top w:w="0" w:type="dxa"/>
            <w:left w:w="108" w:type="dxa"/>
            <w:bottom w:w="0" w:type="dxa"/>
            <w:right w:w="108" w:type="dxa"/>
          </w:tblCellMar>
        </w:tblPrEx>
        <w:trPr>
          <w:trHeight w:val="535" w:hRule="atLeast"/>
          <w:jc w:val="center"/>
        </w:trPr>
        <w:tc>
          <w:tcPr>
            <w:tcW w:w="1537" w:type="dxa"/>
            <w:tcBorders>
              <w:top w:val="single" w:color="auto" w:sz="6" w:space="0"/>
              <w:left w:val="single" w:color="auto" w:sz="6" w:space="0"/>
              <w:bottom w:val="single" w:color="auto" w:sz="6" w:space="0"/>
              <w:right w:val="single" w:color="auto" w:sz="6" w:space="0"/>
            </w:tcBorders>
            <w:vAlign w:val="center"/>
          </w:tcPr>
          <w:p w14:paraId="6095A029">
            <w:pPr>
              <w:spacing w:line="360" w:lineRule="auto"/>
              <w:ind w:firstLine="480"/>
              <w:rPr>
                <w:rFonts w:ascii="宋体" w:hAnsi="宋体" w:eastAsia="宋体" w:cs="仿宋"/>
                <w:sz w:val="24"/>
                <w:szCs w:val="24"/>
              </w:rPr>
            </w:pPr>
            <w:r>
              <w:rPr>
                <w:rFonts w:ascii="宋体" w:hAnsi="宋体" w:eastAsia="宋体" w:cs="仿宋"/>
                <w:sz w:val="24"/>
                <w:szCs w:val="24"/>
              </w:rPr>
              <w:t>···</w:t>
            </w:r>
          </w:p>
        </w:tc>
        <w:tc>
          <w:tcPr>
            <w:tcW w:w="2142" w:type="dxa"/>
            <w:tcBorders>
              <w:top w:val="single" w:color="auto" w:sz="6" w:space="0"/>
              <w:left w:val="single" w:color="auto" w:sz="6" w:space="0"/>
              <w:bottom w:val="single" w:color="auto" w:sz="6" w:space="0"/>
              <w:right w:val="single" w:color="auto" w:sz="6" w:space="0"/>
            </w:tcBorders>
            <w:vAlign w:val="center"/>
          </w:tcPr>
          <w:p w14:paraId="7B54D89E">
            <w:pPr>
              <w:spacing w:line="360" w:lineRule="auto"/>
              <w:ind w:firstLine="480"/>
              <w:jc w:val="center"/>
              <w:rPr>
                <w:rFonts w:ascii="宋体" w:hAnsi="宋体" w:eastAsia="宋体" w:cs="仿宋"/>
                <w:sz w:val="24"/>
                <w:szCs w:val="24"/>
              </w:rPr>
            </w:pPr>
            <w:r>
              <w:rPr>
                <w:rFonts w:ascii="宋体" w:hAnsi="宋体" w:eastAsia="宋体" w:cs="仿宋"/>
                <w:sz w:val="24"/>
                <w:szCs w:val="24"/>
              </w:rPr>
              <w:t>···</w:t>
            </w:r>
          </w:p>
        </w:tc>
        <w:tc>
          <w:tcPr>
            <w:tcW w:w="2160" w:type="dxa"/>
            <w:tcBorders>
              <w:top w:val="single" w:color="auto" w:sz="6" w:space="0"/>
              <w:left w:val="single" w:color="auto" w:sz="6" w:space="0"/>
              <w:bottom w:val="single" w:color="auto" w:sz="6" w:space="0"/>
              <w:right w:val="single" w:color="auto" w:sz="6" w:space="0"/>
            </w:tcBorders>
            <w:vAlign w:val="center"/>
          </w:tcPr>
          <w:p w14:paraId="68353977">
            <w:pPr>
              <w:spacing w:line="360" w:lineRule="auto"/>
              <w:ind w:firstLine="480"/>
              <w:jc w:val="center"/>
              <w:rPr>
                <w:rFonts w:ascii="宋体" w:hAnsi="宋体" w:eastAsia="宋体" w:cs="仿宋"/>
                <w:sz w:val="24"/>
                <w:szCs w:val="24"/>
              </w:rPr>
            </w:pPr>
            <w:r>
              <w:rPr>
                <w:rFonts w:ascii="宋体" w:hAnsi="宋体" w:eastAsia="宋体" w:cs="仿宋"/>
                <w:sz w:val="24"/>
                <w:szCs w:val="24"/>
              </w:rPr>
              <w:t>···</w:t>
            </w:r>
          </w:p>
        </w:tc>
        <w:tc>
          <w:tcPr>
            <w:tcW w:w="3291" w:type="dxa"/>
            <w:tcBorders>
              <w:top w:val="single" w:color="auto" w:sz="6" w:space="0"/>
              <w:left w:val="single" w:color="auto" w:sz="4" w:space="0"/>
              <w:bottom w:val="single" w:color="auto" w:sz="6" w:space="0"/>
              <w:right w:val="single" w:color="auto" w:sz="6" w:space="0"/>
            </w:tcBorders>
            <w:vAlign w:val="center"/>
          </w:tcPr>
          <w:p w14:paraId="771267AA">
            <w:pPr>
              <w:spacing w:line="360" w:lineRule="auto"/>
              <w:ind w:firstLine="480"/>
              <w:jc w:val="center"/>
              <w:rPr>
                <w:rFonts w:ascii="宋体" w:hAnsi="宋体" w:eastAsia="宋体" w:cs="仿宋"/>
                <w:sz w:val="24"/>
                <w:szCs w:val="24"/>
              </w:rPr>
            </w:pPr>
            <w:r>
              <w:rPr>
                <w:rFonts w:ascii="宋体" w:hAnsi="宋体" w:eastAsia="宋体" w:cs="仿宋"/>
                <w:sz w:val="24"/>
                <w:szCs w:val="24"/>
              </w:rPr>
              <w:t>···</w:t>
            </w:r>
          </w:p>
        </w:tc>
      </w:tr>
    </w:tbl>
    <w:p w14:paraId="20867C2C">
      <w:pPr>
        <w:spacing w:line="360" w:lineRule="auto"/>
        <w:ind w:firstLine="562"/>
        <w:rPr>
          <w:rFonts w:ascii="宋体" w:hAnsi="宋体" w:eastAsia="宋体" w:cs="仿宋"/>
          <w:b/>
          <w:bCs/>
          <w:sz w:val="28"/>
          <w:szCs w:val="20"/>
        </w:rPr>
      </w:pPr>
      <w:r>
        <w:rPr>
          <w:rFonts w:hint="eastAsia" w:ascii="宋体" w:hAnsi="宋体" w:eastAsia="宋体" w:cs="仿宋"/>
          <w:b/>
          <w:bCs/>
          <w:sz w:val="28"/>
          <w:szCs w:val="20"/>
        </w:rPr>
        <w:t>备注：</w:t>
      </w:r>
    </w:p>
    <w:p w14:paraId="7E66A253">
      <w:pPr>
        <w:spacing w:line="360" w:lineRule="auto"/>
        <w:ind w:firstLine="562"/>
        <w:rPr>
          <w:rFonts w:hint="eastAsia" w:ascii="宋体" w:hAnsi="宋体" w:eastAsia="宋体" w:cs="仿宋"/>
          <w:b/>
          <w:bCs/>
          <w:sz w:val="28"/>
          <w:szCs w:val="20"/>
        </w:rPr>
      </w:pPr>
      <w:r>
        <w:rPr>
          <w:rFonts w:hint="eastAsia" w:ascii="宋体" w:hAnsi="宋体" w:eastAsia="宋体" w:cs="仿宋"/>
          <w:b/>
          <w:bCs/>
          <w:sz w:val="28"/>
          <w:szCs w:val="20"/>
        </w:rPr>
        <w:t>1.供应商须对</w:t>
      </w:r>
      <w:r>
        <w:rPr>
          <w:rFonts w:hint="eastAsia" w:ascii="宋体" w:hAnsi="宋体" w:eastAsia="宋体" w:cs="仿宋"/>
          <w:b/>
          <w:bCs/>
          <w:sz w:val="28"/>
          <w:szCs w:val="20"/>
          <w:lang w:val="en-US" w:eastAsia="zh-CN"/>
        </w:rPr>
        <w:t>第三章“技术要求”</w:t>
      </w:r>
      <w:r>
        <w:rPr>
          <w:rFonts w:hint="eastAsia" w:ascii="宋体" w:hAnsi="宋体" w:eastAsia="宋体" w:cs="仿宋"/>
          <w:b/>
          <w:bCs/>
          <w:sz w:val="28"/>
          <w:szCs w:val="20"/>
        </w:rPr>
        <w:t>条款逐条列明是否响应，如有偏离，须一一列明，若全部响应，则</w:t>
      </w:r>
      <w:r>
        <w:rPr>
          <w:rFonts w:hint="eastAsia" w:ascii="宋体" w:hAnsi="宋体" w:eastAsia="宋体" w:cs="仿宋"/>
          <w:b/>
          <w:bCs/>
          <w:sz w:val="28"/>
          <w:szCs w:val="20"/>
          <w:lang w:val="en-US" w:eastAsia="zh-CN"/>
        </w:rPr>
        <w:t>无需填写此表</w:t>
      </w:r>
      <w:r>
        <w:rPr>
          <w:rFonts w:hint="eastAsia" w:ascii="宋体" w:hAnsi="宋体" w:eastAsia="宋体" w:cs="仿宋"/>
          <w:b/>
          <w:bCs/>
          <w:sz w:val="28"/>
          <w:szCs w:val="20"/>
        </w:rPr>
        <w:t>，在偏离处填写“无偏离”即可。。</w:t>
      </w:r>
    </w:p>
    <w:p w14:paraId="217F7CD6">
      <w:pPr>
        <w:spacing w:line="360" w:lineRule="auto"/>
        <w:ind w:firstLine="482"/>
        <w:rPr>
          <w:rFonts w:ascii="宋体" w:hAnsi="宋体" w:eastAsia="宋体" w:cs="仿宋"/>
          <w:b/>
          <w:bCs/>
          <w:kern w:val="0"/>
          <w:sz w:val="24"/>
          <w:szCs w:val="20"/>
        </w:rPr>
      </w:pPr>
    </w:p>
    <w:p w14:paraId="5B91C996">
      <w:pPr>
        <w:spacing w:line="360" w:lineRule="auto"/>
        <w:ind w:right="-553" w:firstLine="537" w:firstLineChars="192"/>
        <w:jc w:val="left"/>
        <w:rPr>
          <w:rFonts w:hint="eastAsia" w:ascii="宋体" w:hAnsi="宋体" w:eastAsia="宋体" w:cs="仿宋"/>
          <w:sz w:val="28"/>
          <w:szCs w:val="20"/>
        </w:rPr>
      </w:pPr>
      <w:r>
        <w:rPr>
          <w:rFonts w:hint="eastAsia" w:ascii="宋体" w:hAnsi="宋体" w:eastAsia="宋体" w:cs="仿宋"/>
          <w:sz w:val="28"/>
          <w:szCs w:val="20"/>
        </w:rPr>
        <w:t xml:space="preserve">谈判单位授权代表人（签字或盖章）：                             </w:t>
      </w:r>
    </w:p>
    <w:p w14:paraId="337FBD6B">
      <w:pPr>
        <w:spacing w:line="360" w:lineRule="auto"/>
        <w:ind w:right="-553" w:firstLine="537" w:firstLineChars="192"/>
        <w:jc w:val="left"/>
        <w:rPr>
          <w:rFonts w:hint="eastAsia" w:ascii="宋体" w:hAnsi="宋体" w:eastAsia="宋体" w:cs="仿宋"/>
          <w:sz w:val="28"/>
          <w:szCs w:val="20"/>
        </w:rPr>
      </w:pPr>
      <w:r>
        <w:rPr>
          <w:rFonts w:hint="eastAsia" w:ascii="宋体" w:hAnsi="宋体" w:eastAsia="宋体" w:cs="仿宋"/>
          <w:sz w:val="28"/>
          <w:szCs w:val="20"/>
        </w:rPr>
        <w:t>谈判单位公章：</w:t>
      </w:r>
    </w:p>
    <w:p w14:paraId="045DFB89">
      <w:pPr>
        <w:spacing w:line="360" w:lineRule="auto"/>
        <w:ind w:right="-553" w:firstLine="537" w:firstLineChars="192"/>
        <w:jc w:val="right"/>
        <w:rPr>
          <w:rFonts w:hint="eastAsia" w:ascii="宋体" w:hAnsi="宋体" w:eastAsia="宋体" w:cs="仿宋"/>
          <w:sz w:val="28"/>
          <w:szCs w:val="20"/>
        </w:rPr>
      </w:pPr>
      <w:r>
        <w:rPr>
          <w:rFonts w:hint="eastAsia" w:ascii="宋体" w:hAnsi="宋体" w:eastAsia="宋体" w:cs="仿宋"/>
          <w:sz w:val="28"/>
          <w:szCs w:val="20"/>
        </w:rPr>
        <w:t xml:space="preserve">      年   月</w:t>
      </w:r>
    </w:p>
    <w:p w14:paraId="1F0D21EF">
      <w:pPr>
        <w:spacing w:line="360" w:lineRule="auto"/>
        <w:ind w:right="98" w:firstLine="560"/>
        <w:jc w:val="right"/>
        <w:rPr>
          <w:rFonts w:hint="eastAsia" w:ascii="宋体" w:hAnsi="宋体" w:eastAsia="宋体" w:cs="仿宋"/>
          <w:sz w:val="28"/>
          <w:szCs w:val="20"/>
          <w:u w:val="single"/>
        </w:rPr>
      </w:pPr>
      <w:r>
        <w:rPr>
          <w:rFonts w:hint="eastAsia" w:ascii="宋体" w:hAnsi="宋体" w:eastAsia="宋体" w:cs="仿宋"/>
          <w:sz w:val="28"/>
          <w:szCs w:val="20"/>
          <w:u w:val="single"/>
        </w:rPr>
        <w:t xml:space="preserve">   </w:t>
      </w:r>
      <w:bookmarkStart w:id="101" w:name="_Toc56170403"/>
      <w:bookmarkStart w:id="102" w:name="_Toc8237"/>
      <w:bookmarkStart w:id="103" w:name="_Toc7249"/>
    </w:p>
    <w:p w14:paraId="127C0D47">
      <w:pPr>
        <w:spacing w:line="360" w:lineRule="auto"/>
        <w:ind w:right="98" w:firstLine="560"/>
        <w:jc w:val="right"/>
        <w:rPr>
          <w:rFonts w:hint="eastAsia" w:ascii="宋体" w:hAnsi="宋体" w:eastAsia="宋体" w:cs="仿宋"/>
          <w:b/>
          <w:bCs/>
          <w:color w:val="000000"/>
          <w:kern w:val="0"/>
          <w:sz w:val="32"/>
          <w:szCs w:val="32"/>
          <w:lang w:bidi="ar"/>
        </w:rPr>
      </w:pPr>
      <w:r>
        <w:rPr>
          <w:rFonts w:hint="eastAsia" w:ascii="宋体" w:hAnsi="宋体" w:eastAsia="宋体" w:cs="仿宋"/>
          <w:sz w:val="28"/>
          <w:szCs w:val="20"/>
          <w:u w:val="single"/>
        </w:rPr>
        <w:br w:type="page"/>
      </w:r>
      <w:r>
        <w:rPr>
          <w:rFonts w:hint="eastAsia" w:ascii="宋体" w:hAnsi="宋体" w:eastAsia="宋体" w:cs="仿宋"/>
          <w:sz w:val="28"/>
          <w:szCs w:val="20"/>
          <w:u w:val="single"/>
        </w:rPr>
        <w:t xml:space="preserve"> </w:t>
      </w:r>
      <w:bookmarkEnd w:id="101"/>
      <w:bookmarkEnd w:id="102"/>
      <w:bookmarkEnd w:id="103"/>
      <w:bookmarkStart w:id="104" w:name="_Toc22787"/>
      <w:bookmarkStart w:id="105" w:name="_Toc29336"/>
      <w:bookmarkStart w:id="106" w:name="_Toc195529432"/>
    </w:p>
    <w:p w14:paraId="7C5C6EAB">
      <w:pPr>
        <w:widowControl/>
        <w:ind w:firstLine="643"/>
        <w:jc w:val="center"/>
        <w:outlineLvl w:val="1"/>
        <w:rPr>
          <w:rFonts w:ascii="宋体" w:hAnsi="宋体" w:eastAsia="宋体" w:cs="仿宋"/>
          <w:sz w:val="22"/>
          <w:szCs w:val="21"/>
        </w:rPr>
      </w:pPr>
      <w:r>
        <w:rPr>
          <w:rFonts w:hint="eastAsia" w:ascii="宋体" w:hAnsi="宋体" w:eastAsia="宋体" w:cs="仿宋"/>
          <w:b/>
          <w:bCs/>
          <w:color w:val="000000"/>
          <w:kern w:val="0"/>
          <w:sz w:val="32"/>
          <w:szCs w:val="32"/>
          <w:lang w:bidi="ar"/>
        </w:rPr>
        <w:t>附件</w:t>
      </w:r>
      <w:r>
        <w:rPr>
          <w:rFonts w:hint="eastAsia" w:ascii="宋体" w:hAnsi="宋体" w:eastAsia="宋体" w:cs="仿宋"/>
          <w:b/>
          <w:bCs/>
          <w:color w:val="000000"/>
          <w:kern w:val="0"/>
          <w:sz w:val="32"/>
          <w:szCs w:val="32"/>
          <w:lang w:val="en-US" w:eastAsia="zh-CN" w:bidi="ar"/>
        </w:rPr>
        <w:t>七</w:t>
      </w:r>
      <w:r>
        <w:rPr>
          <w:rFonts w:hint="eastAsia" w:ascii="宋体" w:hAnsi="宋体" w:eastAsia="宋体" w:cs="仿宋"/>
          <w:b/>
          <w:bCs/>
          <w:color w:val="000000"/>
          <w:kern w:val="0"/>
          <w:sz w:val="32"/>
          <w:szCs w:val="32"/>
          <w:lang w:bidi="ar"/>
        </w:rPr>
        <w:t>、中小企业声明函</w:t>
      </w:r>
      <w:bookmarkEnd w:id="104"/>
      <w:bookmarkEnd w:id="105"/>
      <w:bookmarkEnd w:id="106"/>
    </w:p>
    <w:p w14:paraId="322028D4">
      <w:pPr>
        <w:widowControl/>
        <w:spacing w:line="360" w:lineRule="auto"/>
        <w:ind w:firstLine="640" w:firstLineChars="200"/>
        <w:jc w:val="center"/>
        <w:rPr>
          <w:rFonts w:ascii="宋体" w:hAnsi="宋体" w:eastAsia="宋体" w:cs="仿宋"/>
          <w:kern w:val="0"/>
          <w:sz w:val="28"/>
          <w:szCs w:val="28"/>
        </w:rPr>
      </w:pPr>
      <w:r>
        <w:rPr>
          <w:rFonts w:hint="eastAsia" w:ascii="宋体" w:hAnsi="宋体" w:eastAsia="宋体" w:cs="仿宋"/>
          <w:b/>
          <w:bCs/>
          <w:color w:val="000000"/>
          <w:kern w:val="0"/>
          <w:sz w:val="32"/>
          <w:szCs w:val="32"/>
          <w:lang w:bidi="ar"/>
        </w:rPr>
        <w:t>中小企业声明函（工程、服务）</w:t>
      </w:r>
    </w:p>
    <w:p w14:paraId="3784793F">
      <w:pPr>
        <w:spacing w:line="360" w:lineRule="auto"/>
        <w:ind w:firstLine="480" w:firstLineChars="200"/>
        <w:rPr>
          <w:rFonts w:ascii="宋体" w:hAnsi="宋体" w:cs="宋体"/>
          <w:sz w:val="24"/>
        </w:rPr>
      </w:pPr>
      <w:r>
        <w:rPr>
          <w:rFonts w:hint="eastAsia" w:ascii="宋体" w:hAnsi="宋体" w:cs="宋体"/>
          <w:sz w:val="24"/>
        </w:rPr>
        <w:t>本公司 (联合体)郑重声明,根据 《政府采购促进中小企业发展管理办法》(财库〔2020〕46号)的规定,本公司(联合体 )参加</w:t>
      </w:r>
      <w:r>
        <w:rPr>
          <w:rFonts w:hint="eastAsia" w:ascii="宋体" w:hAnsi="宋体" w:cs="宋体"/>
          <w:sz w:val="24"/>
          <w:u w:val="single"/>
        </w:rPr>
        <w:t>(单位名称)</w:t>
      </w:r>
      <w:r>
        <w:rPr>
          <w:rFonts w:hint="eastAsia" w:ascii="宋体" w:hAnsi="宋体" w:cs="宋体"/>
          <w:sz w:val="24"/>
        </w:rPr>
        <w:t>的</w:t>
      </w:r>
      <w:r>
        <w:rPr>
          <w:rFonts w:hint="eastAsia" w:ascii="宋体" w:hAnsi="宋体" w:cs="宋体"/>
          <w:sz w:val="24"/>
          <w:u w:val="single"/>
        </w:rPr>
        <w:t>(项目名称)</w:t>
      </w:r>
      <w:r>
        <w:rPr>
          <w:rFonts w:hint="eastAsia" w:ascii="宋体" w:hAnsi="宋体" w:cs="宋体"/>
          <w:sz w:val="24"/>
        </w:rPr>
        <w:t>采购活动,工程的施工单位全部为符合政策要求的中小企业(或者:服务全部由符合政策要求的中小企业承接)。相关企业(含联合体中的中小企业、签订分包意向协议的中小企业)的具体情况如下:</w:t>
      </w:r>
    </w:p>
    <w:p w14:paraId="0720E5EF">
      <w:pPr>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sz w:val="24"/>
          <w:u w:val="single"/>
        </w:rPr>
        <w:t>(标的名称)</w:t>
      </w:r>
      <w:r>
        <w:rPr>
          <w:rFonts w:hint="eastAsia" w:ascii="宋体" w:hAnsi="宋体" w:cs="宋体"/>
          <w:sz w:val="24"/>
        </w:rPr>
        <w:t>,属于</w:t>
      </w:r>
      <w:r>
        <w:rPr>
          <w:rFonts w:hint="eastAsia" w:ascii="宋体" w:hAnsi="宋体" w:cs="宋体"/>
          <w:sz w:val="24"/>
          <w:u w:val="single"/>
        </w:rPr>
        <w:t>(采购文件中明确的所属行业)</w:t>
      </w:r>
      <w:r>
        <w:rPr>
          <w:rFonts w:hint="eastAsia" w:ascii="宋体" w:hAnsi="宋体" w:cs="宋体"/>
          <w:sz w:val="24"/>
        </w:rPr>
        <w:t>；承建(承接)企业为</w:t>
      </w:r>
      <w:r>
        <w:rPr>
          <w:rFonts w:hint="eastAsia" w:ascii="宋体" w:hAnsi="宋体" w:cs="宋体"/>
          <w:sz w:val="24"/>
          <w:u w:val="single"/>
        </w:rPr>
        <w:t>(企业名称)</w:t>
      </w:r>
      <w:r>
        <w:rPr>
          <w:rFonts w:hint="eastAsia" w:ascii="宋体" w:hAnsi="宋体" w:cs="宋体"/>
          <w:sz w:val="24"/>
        </w:rPr>
        <w:t>,从 业人员</w:t>
      </w:r>
      <w:r>
        <w:rPr>
          <w:rFonts w:hint="eastAsia" w:ascii="宋体" w:hAnsi="宋体" w:cs="宋体"/>
          <w:sz w:val="24"/>
          <w:u w:val="single"/>
        </w:rPr>
        <w:t xml:space="preserve">    </w:t>
      </w:r>
      <w:r>
        <w:rPr>
          <w:rFonts w:hint="eastAsia" w:ascii="宋体" w:hAnsi="宋体" w:cs="宋体"/>
          <w:sz w:val="24"/>
        </w:rPr>
        <w:t xml:space="preserve">人 ,营业收入为 </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(中型企业、小型企业、微型企业)</w:t>
      </w:r>
      <w:r>
        <w:rPr>
          <w:rFonts w:hint="eastAsia" w:ascii="宋体" w:hAnsi="宋体" w:cs="宋体"/>
          <w:sz w:val="24"/>
        </w:rPr>
        <w:t>；</w:t>
      </w:r>
    </w:p>
    <w:p w14:paraId="1F6969AC">
      <w:pPr>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sz w:val="24"/>
          <w:u w:val="single"/>
        </w:rPr>
        <w:t>(标的名称)</w:t>
      </w:r>
      <w:r>
        <w:rPr>
          <w:rFonts w:hint="eastAsia" w:ascii="宋体" w:hAnsi="宋体" w:cs="宋体"/>
          <w:sz w:val="24"/>
        </w:rPr>
        <w:t>,属于</w:t>
      </w:r>
      <w:r>
        <w:rPr>
          <w:rFonts w:hint="eastAsia" w:ascii="宋体" w:hAnsi="宋体" w:cs="宋体"/>
          <w:sz w:val="24"/>
          <w:u w:val="single"/>
        </w:rPr>
        <w:t>(采购文件中明确的所属行业)</w:t>
      </w:r>
      <w:r>
        <w:rPr>
          <w:rFonts w:hint="eastAsia" w:ascii="宋体" w:hAnsi="宋体" w:cs="宋体"/>
          <w:sz w:val="24"/>
        </w:rPr>
        <w:t>；承建(承接)企业为</w:t>
      </w:r>
      <w:r>
        <w:rPr>
          <w:rFonts w:hint="eastAsia" w:ascii="宋体" w:hAnsi="宋体" w:cs="宋体"/>
          <w:sz w:val="24"/>
          <w:u w:val="single"/>
        </w:rPr>
        <w:t>(企业名称)</w:t>
      </w:r>
      <w:r>
        <w:rPr>
          <w:rFonts w:hint="eastAsia" w:ascii="宋体" w:hAnsi="宋体" w:cs="宋体"/>
          <w:sz w:val="24"/>
        </w:rPr>
        <w:t>,从业人员</w:t>
      </w:r>
      <w:r>
        <w:rPr>
          <w:rFonts w:hint="eastAsia" w:ascii="宋体" w:hAnsi="宋体" w:cs="宋体"/>
          <w:sz w:val="24"/>
          <w:u w:val="single"/>
        </w:rPr>
        <w:t xml:space="preserve">   </w:t>
      </w:r>
      <w:r>
        <w:rPr>
          <w:rFonts w:hint="eastAsia" w:ascii="宋体" w:hAnsi="宋体" w:cs="宋体"/>
          <w:sz w:val="24"/>
        </w:rPr>
        <w:t>人 ,营业收入为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(中型企业、小型企业、微型企业)</w:t>
      </w:r>
      <w:r>
        <w:rPr>
          <w:rFonts w:hint="eastAsia" w:ascii="宋体" w:hAnsi="宋体" w:cs="宋体"/>
          <w:sz w:val="24"/>
        </w:rPr>
        <w:t>；</w:t>
      </w:r>
    </w:p>
    <w:p w14:paraId="189BCF33">
      <w:pPr>
        <w:spacing w:line="360" w:lineRule="auto"/>
        <w:ind w:firstLine="480" w:firstLineChars="200"/>
        <w:rPr>
          <w:rFonts w:ascii="宋体" w:hAnsi="宋体" w:cs="宋体"/>
          <w:sz w:val="24"/>
        </w:rPr>
      </w:pPr>
      <w:r>
        <w:rPr>
          <w:rFonts w:hint="eastAsia" w:ascii="宋体" w:hAnsi="宋体" w:cs="宋体"/>
          <w:sz w:val="24"/>
        </w:rPr>
        <w:t>......</w:t>
      </w:r>
    </w:p>
    <w:p w14:paraId="50D3F891">
      <w:pPr>
        <w:spacing w:line="360" w:lineRule="auto"/>
        <w:ind w:firstLine="480" w:firstLineChars="200"/>
        <w:rPr>
          <w:rFonts w:ascii="宋体" w:hAnsi="宋体" w:cs="宋体"/>
          <w:sz w:val="24"/>
        </w:rPr>
      </w:pPr>
    </w:p>
    <w:p w14:paraId="66C87A66">
      <w:pPr>
        <w:spacing w:line="360" w:lineRule="auto"/>
        <w:ind w:firstLine="480" w:firstLineChars="200"/>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0CA03A78">
      <w:pPr>
        <w:spacing w:line="360" w:lineRule="auto"/>
        <w:ind w:firstLine="480" w:firstLineChars="200"/>
        <w:rPr>
          <w:rFonts w:ascii="宋体" w:hAnsi="宋体" w:cs="宋体"/>
          <w:sz w:val="24"/>
        </w:rPr>
      </w:pPr>
      <w:r>
        <w:rPr>
          <w:rFonts w:hint="eastAsia" w:ascii="宋体" w:hAnsi="宋体" w:cs="宋体"/>
          <w:sz w:val="24"/>
        </w:rPr>
        <w:t>本企业对上述声明内容的真实性负责。如有虚假,将依法承担相应责任。</w:t>
      </w:r>
    </w:p>
    <w:p w14:paraId="5A8347F2">
      <w:pPr>
        <w:widowControl/>
        <w:wordWrap w:val="0"/>
        <w:spacing w:line="360" w:lineRule="auto"/>
        <w:ind w:firstLine="560" w:firstLineChars="200"/>
        <w:jc w:val="right"/>
        <w:rPr>
          <w:rFonts w:ascii="宋体" w:hAnsi="宋体" w:eastAsia="宋体" w:cs="仿宋"/>
          <w:kern w:val="0"/>
          <w:sz w:val="28"/>
          <w:szCs w:val="28"/>
        </w:rPr>
      </w:pPr>
    </w:p>
    <w:p w14:paraId="4B17885A">
      <w:pPr>
        <w:widowControl/>
        <w:wordWrap w:val="0"/>
        <w:spacing w:line="360" w:lineRule="auto"/>
        <w:ind w:firstLine="560" w:firstLineChars="200"/>
        <w:jc w:val="right"/>
        <w:rPr>
          <w:rFonts w:ascii="宋体" w:hAnsi="宋体" w:eastAsia="宋体" w:cs="仿宋"/>
          <w:kern w:val="0"/>
          <w:sz w:val="28"/>
          <w:szCs w:val="28"/>
        </w:rPr>
      </w:pPr>
      <w:r>
        <w:rPr>
          <w:rFonts w:hint="eastAsia" w:ascii="宋体" w:hAnsi="宋体" w:eastAsia="宋体" w:cs="仿宋"/>
          <w:kern w:val="0"/>
          <w:sz w:val="28"/>
          <w:szCs w:val="28"/>
        </w:rPr>
        <w:t xml:space="preserve">企业名称（盖章）：        </w:t>
      </w:r>
    </w:p>
    <w:p w14:paraId="1D7DD2E2">
      <w:pPr>
        <w:widowControl/>
        <w:wordWrap w:val="0"/>
        <w:spacing w:line="360" w:lineRule="auto"/>
        <w:ind w:right="480" w:firstLine="560" w:firstLineChars="200"/>
        <w:jc w:val="right"/>
        <w:rPr>
          <w:rFonts w:ascii="宋体" w:hAnsi="宋体" w:eastAsia="宋体" w:cs="仿宋"/>
          <w:kern w:val="0"/>
          <w:sz w:val="28"/>
          <w:szCs w:val="28"/>
        </w:rPr>
      </w:pPr>
      <w:r>
        <w:rPr>
          <w:rFonts w:hint="eastAsia" w:ascii="宋体" w:hAnsi="宋体" w:eastAsia="宋体" w:cs="仿宋"/>
          <w:kern w:val="0"/>
          <w:sz w:val="28"/>
          <w:szCs w:val="28"/>
        </w:rPr>
        <w:t>日 期：</w:t>
      </w:r>
    </w:p>
    <w:p w14:paraId="78E7551F">
      <w:pPr>
        <w:tabs>
          <w:tab w:val="left" w:pos="720"/>
        </w:tabs>
        <w:ind w:firstLine="420"/>
        <w:rPr>
          <w:rFonts w:ascii="宋体" w:hAnsi="宋体" w:eastAsia="宋体" w:cs="仿宋"/>
          <w:bCs/>
          <w:szCs w:val="20"/>
        </w:rPr>
      </w:pPr>
      <w:r>
        <w:rPr>
          <w:rFonts w:ascii="宋体" w:hAnsi="宋体" w:eastAsia="宋体" w:cs="仿宋"/>
          <w:bCs/>
          <w:szCs w:val="20"/>
        </w:rPr>
        <w:t>注：</w:t>
      </w:r>
    </w:p>
    <w:p w14:paraId="64E9873E">
      <w:pPr>
        <w:tabs>
          <w:tab w:val="left" w:pos="720"/>
        </w:tabs>
        <w:ind w:firstLine="420"/>
        <w:rPr>
          <w:rFonts w:ascii="宋体" w:hAnsi="宋体" w:eastAsia="宋体" w:cs="仿宋"/>
          <w:bCs/>
          <w:szCs w:val="20"/>
        </w:rPr>
      </w:pPr>
      <w:r>
        <w:rPr>
          <w:rFonts w:hint="eastAsia" w:ascii="宋体" w:hAnsi="宋体" w:eastAsia="宋体" w:cs="仿宋"/>
          <w:bCs/>
          <w:szCs w:val="20"/>
        </w:rPr>
        <w:t>1 从业人员、营业收入、资产总额填报上一年度数据，无上一年度数据的新成立企业可不填报。</w:t>
      </w:r>
    </w:p>
    <w:p w14:paraId="5C5AA41E">
      <w:pPr>
        <w:tabs>
          <w:tab w:val="left" w:pos="720"/>
        </w:tabs>
        <w:ind w:firstLine="420"/>
        <w:rPr>
          <w:rFonts w:ascii="宋体" w:hAnsi="宋体" w:eastAsia="宋体" w:cs="仿宋"/>
          <w:bCs/>
          <w:szCs w:val="20"/>
        </w:rPr>
      </w:pPr>
      <w:r>
        <w:rPr>
          <w:rFonts w:hint="eastAsia" w:ascii="宋体" w:hAnsi="宋体" w:eastAsia="宋体" w:cs="仿宋"/>
          <w:bCs/>
          <w:szCs w:val="20"/>
        </w:rPr>
        <w:t>2中标、成交供应商享受中小企业扶持政策的，中标、成交供应商的《中小企业声明函》随中标、成交结果公开。</w:t>
      </w:r>
    </w:p>
    <w:p w14:paraId="01DF503C">
      <w:pPr>
        <w:ind w:firstLine="420"/>
        <w:rPr>
          <w:rFonts w:ascii="宋体" w:hAnsi="宋体" w:eastAsia="宋体" w:cs="仿宋"/>
          <w:bCs/>
          <w:szCs w:val="20"/>
        </w:rPr>
      </w:pPr>
    </w:p>
    <w:p w14:paraId="788AA3CE">
      <w:pPr>
        <w:widowControl/>
        <w:ind w:firstLine="480"/>
        <w:jc w:val="left"/>
        <w:rPr>
          <w:rFonts w:ascii="宋体" w:hAnsi="宋体" w:eastAsia="宋体" w:cs="仿宋"/>
          <w:sz w:val="24"/>
          <w:szCs w:val="21"/>
        </w:rPr>
      </w:pPr>
      <w:r>
        <w:rPr>
          <w:rFonts w:ascii="宋体" w:hAnsi="宋体" w:eastAsia="宋体" w:cs="仿宋"/>
          <w:sz w:val="24"/>
          <w:szCs w:val="21"/>
        </w:rPr>
        <w:br w:type="page"/>
      </w:r>
    </w:p>
    <w:p w14:paraId="751337E4">
      <w:pPr>
        <w:widowControl/>
        <w:ind w:firstLine="480"/>
        <w:rPr>
          <w:rFonts w:ascii="宋体" w:hAnsi="宋体" w:eastAsia="宋体" w:cs="仿宋"/>
          <w:sz w:val="24"/>
          <w:szCs w:val="21"/>
        </w:rPr>
      </w:pPr>
      <w:r>
        <w:rPr>
          <w:rFonts w:hint="eastAsia" w:ascii="宋体" w:hAnsi="宋体" w:eastAsia="宋体" w:cs="仿宋"/>
          <w:sz w:val="24"/>
          <w:szCs w:val="21"/>
        </w:rPr>
        <w:t>附：</w:t>
      </w:r>
    </w:p>
    <w:p w14:paraId="5582B398">
      <w:pPr>
        <w:ind w:firstLine="720"/>
        <w:rPr>
          <w:sz w:val="36"/>
          <w:szCs w:val="36"/>
        </w:rPr>
      </w:pPr>
      <w:bookmarkStart w:id="107" w:name="_Toc10479"/>
      <w:bookmarkStart w:id="108" w:name="_Toc29413"/>
      <w:bookmarkStart w:id="109" w:name="_Toc6700"/>
      <w:bookmarkStart w:id="110" w:name="_Toc103806520"/>
      <w:bookmarkStart w:id="111" w:name="_Toc4654"/>
      <w:bookmarkStart w:id="112" w:name="_Toc3759"/>
      <w:r>
        <w:rPr>
          <w:rFonts w:hint="eastAsia"/>
          <w:sz w:val="36"/>
          <w:szCs w:val="36"/>
        </w:rPr>
        <w:t>关于印发中小企业划型标准规定的通知</w:t>
      </w:r>
    </w:p>
    <w:p w14:paraId="0D80B66A">
      <w:pPr>
        <w:ind w:firstLine="720"/>
        <w:rPr>
          <w:rFonts w:ascii="宋体" w:hAnsi="宋体" w:eastAsia="宋体" w:cs="仿宋"/>
          <w:b/>
          <w:sz w:val="36"/>
          <w:szCs w:val="36"/>
        </w:rPr>
      </w:pPr>
      <w:r>
        <w:rPr>
          <w:rFonts w:hint="eastAsia"/>
          <w:sz w:val="36"/>
          <w:szCs w:val="36"/>
        </w:rPr>
        <w:t>工信部联企业</w:t>
      </w:r>
      <w:r>
        <w:rPr>
          <w:rFonts w:hint="eastAsia" w:ascii="宋体" w:hAnsi="宋体" w:eastAsia="宋体" w:cs="仿宋"/>
          <w:b/>
          <w:sz w:val="36"/>
          <w:szCs w:val="36"/>
        </w:rPr>
        <w:t>〔2011〕300号</w:t>
      </w:r>
      <w:bookmarkEnd w:id="107"/>
      <w:bookmarkEnd w:id="108"/>
      <w:bookmarkEnd w:id="109"/>
      <w:bookmarkEnd w:id="110"/>
      <w:bookmarkEnd w:id="111"/>
      <w:bookmarkEnd w:id="112"/>
    </w:p>
    <w:p w14:paraId="1CFAA775">
      <w:pPr>
        <w:widowControl/>
        <w:spacing w:before="1560" w:beforeAutospacing="1" w:after="100" w:afterAutospacing="1" w:line="360" w:lineRule="auto"/>
        <w:ind w:firstLine="440"/>
        <w:jc w:val="left"/>
        <w:textAlignment w:val="baseline"/>
        <w:rPr>
          <w:rFonts w:ascii="宋体" w:hAnsi="宋体" w:eastAsia="宋体" w:cs="仿宋"/>
          <w:kern w:val="0"/>
          <w:sz w:val="22"/>
        </w:rPr>
      </w:pPr>
      <w:r>
        <w:rPr>
          <w:rFonts w:hint="eastAsia" w:ascii="宋体" w:hAnsi="宋体" w:eastAsia="宋体" w:cs="仿宋"/>
          <w:kern w:val="0"/>
          <w:sz w:val="22"/>
        </w:rPr>
        <w:t>各省、自治区、直辖市人民政府，国务院各部委、各直属机构及有关单位：</w:t>
      </w:r>
    </w:p>
    <w:p w14:paraId="7D00F1EA">
      <w:pPr>
        <w:widowControl/>
        <w:spacing w:before="1560" w:beforeAutospacing="1" w:after="100" w:afterAutospacing="1" w:line="360" w:lineRule="auto"/>
        <w:ind w:firstLine="440" w:firstLineChars="200"/>
        <w:jc w:val="left"/>
        <w:textAlignment w:val="baseline"/>
        <w:rPr>
          <w:rFonts w:ascii="宋体" w:hAnsi="宋体" w:eastAsia="宋体" w:cs="仿宋"/>
          <w:kern w:val="0"/>
          <w:sz w:val="22"/>
        </w:rPr>
      </w:pPr>
      <w:r>
        <w:rPr>
          <w:rFonts w:hint="eastAsia" w:ascii="宋体" w:hAnsi="宋体" w:eastAsia="宋体" w:cs="仿宋"/>
          <w:kern w:val="0"/>
          <w:sz w:val="22"/>
        </w:rPr>
        <w:t>为贯彻落实《中华人民共和国中小企业促进法》和《国务院关于进一步促进中小企业发展的若干意见》（国发〔2009〕36号），工业和信息化部、国家统计局、发展改革委、财政部研究制定了《中小企业划型标准规定》。</w:t>
      </w:r>
    </w:p>
    <w:p w14:paraId="47CEBF93">
      <w:pPr>
        <w:widowControl/>
        <w:spacing w:before="1560" w:beforeAutospacing="1" w:after="100" w:afterAutospacing="1" w:line="360" w:lineRule="auto"/>
        <w:ind w:firstLine="440" w:firstLineChars="200"/>
        <w:jc w:val="left"/>
        <w:textAlignment w:val="baseline"/>
        <w:rPr>
          <w:rFonts w:ascii="宋体" w:hAnsi="宋体" w:eastAsia="宋体" w:cs="仿宋"/>
          <w:kern w:val="0"/>
          <w:sz w:val="22"/>
        </w:rPr>
      </w:pPr>
      <w:r>
        <w:rPr>
          <w:rFonts w:hint="eastAsia" w:ascii="宋体" w:hAnsi="宋体" w:eastAsia="宋体" w:cs="仿宋"/>
          <w:kern w:val="0"/>
          <w:sz w:val="22"/>
        </w:rPr>
        <w:t>经国务院同意，现印发给你们，请遵照执行。</w:t>
      </w:r>
    </w:p>
    <w:p w14:paraId="69E7290E">
      <w:pPr>
        <w:widowControl/>
        <w:spacing w:before="1560" w:beforeAutospacing="1" w:after="100" w:afterAutospacing="1" w:line="360" w:lineRule="auto"/>
        <w:ind w:firstLine="440"/>
        <w:jc w:val="left"/>
        <w:textAlignment w:val="baseline"/>
        <w:rPr>
          <w:rFonts w:ascii="宋体" w:hAnsi="宋体" w:eastAsia="宋体" w:cs="仿宋"/>
          <w:b/>
          <w:bCs/>
          <w:kern w:val="0"/>
          <w:sz w:val="22"/>
        </w:rPr>
      </w:pPr>
      <w:r>
        <w:rPr>
          <w:rFonts w:hint="eastAsia" w:ascii="宋体" w:hAnsi="宋体" w:eastAsia="宋体" w:cs="仿宋"/>
          <w:kern w:val="0"/>
          <w:sz w:val="22"/>
        </w:rPr>
        <w:t>附件：</w:t>
      </w:r>
    </w:p>
    <w:p w14:paraId="7B63000F">
      <w:pPr>
        <w:widowControl/>
        <w:spacing w:before="1560" w:beforeAutospacing="1" w:after="100" w:afterAutospacing="1"/>
        <w:ind w:firstLine="442"/>
        <w:jc w:val="center"/>
        <w:textAlignment w:val="baseline"/>
        <w:rPr>
          <w:rFonts w:ascii="宋体" w:hAnsi="宋体" w:eastAsia="宋体" w:cs="仿宋"/>
          <w:kern w:val="0"/>
          <w:sz w:val="22"/>
        </w:rPr>
      </w:pPr>
      <w:r>
        <w:rPr>
          <w:rFonts w:hint="eastAsia" w:ascii="宋体" w:hAnsi="宋体" w:eastAsia="宋体" w:cs="仿宋"/>
          <w:b/>
          <w:bCs/>
          <w:kern w:val="0"/>
          <w:sz w:val="22"/>
        </w:rPr>
        <w:t>中小企业划型标准规定</w:t>
      </w:r>
    </w:p>
    <w:p w14:paraId="33A91834">
      <w:pPr>
        <w:widowControl/>
        <w:spacing w:line="360" w:lineRule="auto"/>
        <w:ind w:firstLine="440" w:firstLineChars="200"/>
        <w:jc w:val="left"/>
        <w:textAlignment w:val="baseline"/>
        <w:rPr>
          <w:rFonts w:ascii="宋体" w:hAnsi="宋体" w:eastAsia="宋体" w:cs="仿宋"/>
          <w:kern w:val="0"/>
          <w:sz w:val="22"/>
        </w:rPr>
      </w:pPr>
      <w:r>
        <w:rPr>
          <w:rFonts w:hint="eastAsia" w:ascii="宋体" w:hAnsi="宋体" w:eastAsia="宋体" w:cs="仿宋"/>
          <w:kern w:val="0"/>
          <w:sz w:val="22"/>
        </w:rPr>
        <w:t>一、根据《中华人民共和国中小企业促进法》和《国务院关于进一步促进中小企业发展的若干意见》(国发〔2009〕36号)，制定本规定。</w:t>
      </w:r>
    </w:p>
    <w:p w14:paraId="6B962D65">
      <w:pPr>
        <w:widowControl/>
        <w:spacing w:line="360" w:lineRule="auto"/>
        <w:ind w:firstLine="440" w:firstLineChars="200"/>
        <w:jc w:val="left"/>
        <w:textAlignment w:val="baseline"/>
        <w:rPr>
          <w:rFonts w:ascii="宋体" w:hAnsi="宋体" w:eastAsia="宋体" w:cs="仿宋"/>
          <w:kern w:val="0"/>
          <w:sz w:val="22"/>
        </w:rPr>
      </w:pPr>
      <w:r>
        <w:rPr>
          <w:rFonts w:hint="eastAsia" w:ascii="宋体" w:hAnsi="宋体" w:eastAsia="宋体" w:cs="仿宋"/>
          <w:kern w:val="0"/>
          <w:sz w:val="22"/>
        </w:rPr>
        <w:t>二、中小企业划分为中型、小型、微型三种类型，具体标准根据企业从业人员、营业收入、资产总额等指标，结合行业特点制定。</w:t>
      </w:r>
    </w:p>
    <w:p w14:paraId="680D8F8C">
      <w:pPr>
        <w:widowControl/>
        <w:spacing w:line="360" w:lineRule="auto"/>
        <w:ind w:firstLine="440" w:firstLineChars="200"/>
        <w:jc w:val="left"/>
        <w:textAlignment w:val="baseline"/>
        <w:rPr>
          <w:rFonts w:ascii="宋体" w:hAnsi="宋体" w:eastAsia="宋体" w:cs="仿宋"/>
          <w:kern w:val="0"/>
          <w:sz w:val="22"/>
        </w:rPr>
      </w:pPr>
      <w:r>
        <w:rPr>
          <w:rFonts w:hint="eastAsia" w:ascii="宋体" w:hAnsi="宋体" w:eastAsia="宋体" w:cs="仿宋"/>
          <w:kern w:val="0"/>
          <w:sz w:val="22"/>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租赁和商务服务业（包括科学研究和技术服务业，水利、环境和公共设施管理业，居民服务、修理和其他服务业，社会工作，文化、体育和娱乐业等）。</w:t>
      </w:r>
    </w:p>
    <w:p w14:paraId="2E07287D">
      <w:pPr>
        <w:widowControl/>
        <w:spacing w:line="360" w:lineRule="auto"/>
        <w:ind w:firstLine="440" w:firstLineChars="200"/>
        <w:jc w:val="left"/>
        <w:textAlignment w:val="baseline"/>
        <w:rPr>
          <w:rFonts w:ascii="宋体" w:hAnsi="宋体" w:eastAsia="宋体" w:cs="仿宋"/>
          <w:kern w:val="0"/>
          <w:sz w:val="22"/>
        </w:rPr>
      </w:pPr>
      <w:r>
        <w:rPr>
          <w:rFonts w:hint="eastAsia" w:ascii="宋体" w:hAnsi="宋体" w:eastAsia="宋体" w:cs="仿宋"/>
          <w:kern w:val="0"/>
          <w:sz w:val="22"/>
        </w:rPr>
        <w:t>四、各行业划型标准为：</w:t>
      </w:r>
    </w:p>
    <w:p w14:paraId="539F29F7">
      <w:pPr>
        <w:widowControl/>
        <w:spacing w:line="360" w:lineRule="auto"/>
        <w:ind w:firstLine="440" w:firstLineChars="200"/>
        <w:jc w:val="left"/>
        <w:textAlignment w:val="baseline"/>
        <w:rPr>
          <w:rFonts w:ascii="宋体" w:hAnsi="宋体" w:eastAsia="宋体" w:cs="仿宋"/>
          <w:kern w:val="0"/>
          <w:sz w:val="22"/>
        </w:rPr>
      </w:pPr>
      <w:r>
        <w:rPr>
          <w:rFonts w:hint="eastAsia" w:ascii="宋体" w:hAnsi="宋体" w:eastAsia="宋体" w:cs="仿宋"/>
          <w:kern w:val="0"/>
          <w:sz w:val="22"/>
        </w:rPr>
        <w:t>（一）农、林、牧、渔业。营业收入20000万元以下的为中小微型企业。其中，营业收入500万元及以上的为中型企业，营业收入50万元及以上的为小型企业，营业收入50万元以下的为微型企业。</w:t>
      </w:r>
    </w:p>
    <w:p w14:paraId="745E6D4C">
      <w:pPr>
        <w:widowControl/>
        <w:spacing w:line="360" w:lineRule="auto"/>
        <w:ind w:firstLine="440" w:firstLineChars="200"/>
        <w:jc w:val="left"/>
        <w:textAlignment w:val="baseline"/>
        <w:rPr>
          <w:rFonts w:ascii="宋体" w:hAnsi="宋体" w:eastAsia="宋体" w:cs="仿宋"/>
          <w:bCs/>
          <w:kern w:val="0"/>
          <w:sz w:val="22"/>
        </w:rPr>
      </w:pPr>
      <w:r>
        <w:rPr>
          <w:rFonts w:hint="eastAsia" w:ascii="宋体" w:hAnsi="宋体" w:eastAsia="宋体" w:cs="仿宋"/>
          <w:bCs/>
          <w:kern w:val="0"/>
          <w:sz w:val="22"/>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4CAF1E3D">
      <w:pPr>
        <w:widowControl/>
        <w:spacing w:line="360" w:lineRule="auto"/>
        <w:ind w:firstLine="440" w:firstLineChars="200"/>
        <w:jc w:val="left"/>
        <w:textAlignment w:val="baseline"/>
        <w:rPr>
          <w:rFonts w:ascii="宋体" w:hAnsi="宋体" w:eastAsia="宋体" w:cs="仿宋"/>
          <w:kern w:val="0"/>
          <w:sz w:val="22"/>
        </w:rPr>
      </w:pPr>
      <w:r>
        <w:rPr>
          <w:rFonts w:hint="eastAsia" w:ascii="宋体" w:hAnsi="宋体" w:eastAsia="宋体" w:cs="仿宋"/>
          <w:kern w:val="0"/>
          <w:sz w:val="22"/>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4E128816">
      <w:pPr>
        <w:widowControl/>
        <w:spacing w:line="360" w:lineRule="auto"/>
        <w:ind w:firstLine="440" w:firstLineChars="200"/>
        <w:jc w:val="left"/>
        <w:textAlignment w:val="baseline"/>
        <w:rPr>
          <w:rFonts w:ascii="宋体" w:hAnsi="宋体" w:eastAsia="宋体" w:cs="仿宋"/>
          <w:kern w:val="0"/>
          <w:sz w:val="22"/>
        </w:rPr>
      </w:pPr>
      <w:r>
        <w:rPr>
          <w:rFonts w:hint="eastAsia" w:ascii="宋体" w:hAnsi="宋体" w:eastAsia="宋体" w:cs="仿宋"/>
          <w:kern w:val="0"/>
          <w:sz w:val="22"/>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0E948401">
      <w:pPr>
        <w:widowControl/>
        <w:spacing w:line="360" w:lineRule="auto"/>
        <w:ind w:firstLine="440" w:firstLineChars="200"/>
        <w:jc w:val="left"/>
        <w:textAlignment w:val="baseline"/>
        <w:rPr>
          <w:rFonts w:ascii="宋体" w:hAnsi="宋体" w:eastAsia="宋体" w:cs="仿宋"/>
          <w:kern w:val="0"/>
          <w:sz w:val="22"/>
        </w:rPr>
      </w:pPr>
      <w:r>
        <w:rPr>
          <w:rFonts w:hint="eastAsia" w:ascii="宋体" w:hAnsi="宋体" w:eastAsia="宋体" w:cs="仿宋"/>
          <w:kern w:val="0"/>
          <w:sz w:val="22"/>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37B325DA">
      <w:pPr>
        <w:widowControl/>
        <w:spacing w:line="360" w:lineRule="auto"/>
        <w:ind w:firstLine="440" w:firstLineChars="200"/>
        <w:jc w:val="left"/>
        <w:textAlignment w:val="baseline"/>
        <w:rPr>
          <w:rFonts w:ascii="宋体" w:hAnsi="宋体" w:eastAsia="宋体" w:cs="仿宋"/>
          <w:kern w:val="0"/>
          <w:sz w:val="22"/>
        </w:rPr>
      </w:pPr>
      <w:r>
        <w:rPr>
          <w:rFonts w:hint="eastAsia" w:ascii="宋体" w:hAnsi="宋体" w:eastAsia="宋体" w:cs="仿宋"/>
          <w:kern w:val="0"/>
          <w:sz w:val="22"/>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75EEBAE5">
      <w:pPr>
        <w:widowControl/>
        <w:spacing w:line="360" w:lineRule="auto"/>
        <w:ind w:firstLine="440" w:firstLineChars="200"/>
        <w:jc w:val="left"/>
        <w:textAlignment w:val="baseline"/>
        <w:rPr>
          <w:rFonts w:ascii="宋体" w:hAnsi="宋体" w:eastAsia="宋体" w:cs="仿宋"/>
          <w:kern w:val="0"/>
          <w:sz w:val="22"/>
        </w:rPr>
      </w:pPr>
      <w:r>
        <w:rPr>
          <w:rFonts w:hint="eastAsia" w:ascii="宋体" w:hAnsi="宋体" w:eastAsia="宋体" w:cs="仿宋"/>
          <w:kern w:val="0"/>
          <w:sz w:val="22"/>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5A6BA64C">
      <w:pPr>
        <w:widowControl/>
        <w:spacing w:line="360" w:lineRule="auto"/>
        <w:ind w:firstLine="440" w:firstLineChars="200"/>
        <w:jc w:val="left"/>
        <w:textAlignment w:val="baseline"/>
        <w:rPr>
          <w:rFonts w:ascii="宋体" w:hAnsi="宋体" w:eastAsia="宋体" w:cs="仿宋"/>
          <w:kern w:val="0"/>
          <w:sz w:val="22"/>
        </w:rPr>
      </w:pPr>
      <w:r>
        <w:rPr>
          <w:rFonts w:hint="eastAsia" w:ascii="宋体" w:hAnsi="宋体" w:eastAsia="宋体" w:cs="仿宋"/>
          <w:kern w:val="0"/>
          <w:sz w:val="22"/>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08001754">
      <w:pPr>
        <w:widowControl/>
        <w:spacing w:line="360" w:lineRule="auto"/>
        <w:ind w:firstLine="440" w:firstLineChars="200"/>
        <w:jc w:val="left"/>
        <w:textAlignment w:val="baseline"/>
        <w:rPr>
          <w:rFonts w:ascii="宋体" w:hAnsi="宋体" w:eastAsia="宋体" w:cs="仿宋"/>
          <w:kern w:val="0"/>
          <w:sz w:val="22"/>
        </w:rPr>
      </w:pPr>
      <w:r>
        <w:rPr>
          <w:rFonts w:hint="eastAsia" w:ascii="宋体" w:hAnsi="宋体" w:eastAsia="宋体" w:cs="仿宋"/>
          <w:kern w:val="0"/>
          <w:sz w:val="22"/>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0C38142A">
      <w:pPr>
        <w:widowControl/>
        <w:spacing w:line="360" w:lineRule="auto"/>
        <w:ind w:firstLine="440" w:firstLineChars="200"/>
        <w:jc w:val="left"/>
        <w:textAlignment w:val="baseline"/>
        <w:rPr>
          <w:rFonts w:ascii="宋体" w:hAnsi="宋体" w:eastAsia="宋体" w:cs="仿宋"/>
          <w:kern w:val="0"/>
          <w:sz w:val="22"/>
        </w:rPr>
      </w:pPr>
      <w:r>
        <w:rPr>
          <w:rFonts w:hint="eastAsia" w:ascii="宋体" w:hAnsi="宋体" w:eastAsia="宋体" w:cs="仿宋"/>
          <w:kern w:val="0"/>
          <w:sz w:val="22"/>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5BD38A10">
      <w:pPr>
        <w:widowControl/>
        <w:spacing w:line="360" w:lineRule="auto"/>
        <w:ind w:firstLine="440" w:firstLineChars="200"/>
        <w:jc w:val="left"/>
        <w:textAlignment w:val="baseline"/>
        <w:rPr>
          <w:rFonts w:ascii="宋体" w:hAnsi="宋体" w:eastAsia="宋体" w:cs="仿宋"/>
          <w:kern w:val="0"/>
          <w:sz w:val="22"/>
        </w:rPr>
      </w:pPr>
      <w:r>
        <w:rPr>
          <w:rFonts w:hint="eastAsia" w:ascii="宋体" w:hAnsi="宋体" w:eastAsia="宋体" w:cs="仿宋"/>
          <w:kern w:val="0"/>
          <w:sz w:val="22"/>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1A7C8E9F">
      <w:pPr>
        <w:widowControl/>
        <w:spacing w:line="360" w:lineRule="auto"/>
        <w:ind w:firstLine="440" w:firstLineChars="200"/>
        <w:jc w:val="left"/>
        <w:textAlignment w:val="baseline"/>
        <w:rPr>
          <w:rFonts w:ascii="宋体" w:hAnsi="宋体" w:eastAsia="宋体" w:cs="仿宋"/>
          <w:kern w:val="0"/>
          <w:sz w:val="22"/>
        </w:rPr>
      </w:pPr>
      <w:r>
        <w:rPr>
          <w:rFonts w:hint="eastAsia" w:ascii="宋体" w:hAnsi="宋体" w:eastAsia="宋体" w:cs="仿宋"/>
          <w:kern w:val="0"/>
          <w:sz w:val="22"/>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2B0278FE">
      <w:pPr>
        <w:widowControl/>
        <w:spacing w:line="360" w:lineRule="auto"/>
        <w:ind w:firstLine="440" w:firstLineChars="200"/>
        <w:jc w:val="left"/>
        <w:textAlignment w:val="baseline"/>
        <w:rPr>
          <w:rFonts w:ascii="宋体" w:hAnsi="宋体" w:eastAsia="宋体" w:cs="仿宋"/>
          <w:kern w:val="0"/>
          <w:sz w:val="22"/>
        </w:rPr>
      </w:pPr>
      <w:r>
        <w:rPr>
          <w:rFonts w:hint="eastAsia" w:ascii="宋体" w:hAnsi="宋体" w:eastAsia="宋体" w:cs="仿宋"/>
          <w:kern w:val="0"/>
          <w:sz w:val="22"/>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5402F4EF">
      <w:pPr>
        <w:widowControl/>
        <w:spacing w:line="360" w:lineRule="auto"/>
        <w:ind w:firstLine="440" w:firstLineChars="200"/>
        <w:jc w:val="left"/>
        <w:textAlignment w:val="baseline"/>
        <w:rPr>
          <w:rFonts w:ascii="宋体" w:hAnsi="宋体" w:eastAsia="宋体" w:cs="仿宋"/>
          <w:kern w:val="0"/>
          <w:sz w:val="22"/>
        </w:rPr>
      </w:pPr>
      <w:r>
        <w:rPr>
          <w:rFonts w:hint="eastAsia" w:ascii="宋体" w:hAnsi="宋体" w:eastAsia="宋体" w:cs="仿宋"/>
          <w:kern w:val="0"/>
          <w:sz w:val="22"/>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56A95889">
      <w:pPr>
        <w:widowControl/>
        <w:spacing w:line="360" w:lineRule="auto"/>
        <w:ind w:firstLine="440" w:firstLineChars="200"/>
        <w:jc w:val="left"/>
        <w:textAlignment w:val="baseline"/>
        <w:rPr>
          <w:rFonts w:ascii="宋体" w:hAnsi="宋体" w:eastAsia="宋体" w:cs="仿宋"/>
          <w:kern w:val="0"/>
          <w:sz w:val="22"/>
        </w:rPr>
      </w:pPr>
      <w:r>
        <w:rPr>
          <w:rFonts w:hint="eastAsia" w:ascii="宋体" w:hAnsi="宋体" w:eastAsia="宋体" w:cs="仿宋"/>
          <w:kern w:val="0"/>
          <w:sz w:val="22"/>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2F31D876">
      <w:pPr>
        <w:widowControl/>
        <w:spacing w:line="360" w:lineRule="auto"/>
        <w:ind w:firstLine="440" w:firstLineChars="200"/>
        <w:jc w:val="left"/>
        <w:textAlignment w:val="baseline"/>
        <w:rPr>
          <w:rFonts w:ascii="宋体" w:hAnsi="宋体" w:eastAsia="宋体" w:cs="仿宋"/>
          <w:kern w:val="0"/>
          <w:sz w:val="22"/>
        </w:rPr>
      </w:pPr>
      <w:r>
        <w:rPr>
          <w:rFonts w:hint="eastAsia" w:ascii="宋体" w:hAnsi="宋体" w:eastAsia="宋体" w:cs="仿宋"/>
          <w:b/>
          <w:bCs/>
          <w:kern w:val="0"/>
          <w:sz w:val="22"/>
        </w:rPr>
        <w:t>（十六）租赁和商务服务业。从业人员300人以下的为中小微型企业。其中，从业人员100人及以上的为中型企业；从业人员10人及以上的为小型企业；从业人员10人以下的为微型企业。</w:t>
      </w:r>
    </w:p>
    <w:p w14:paraId="1C684D64">
      <w:pPr>
        <w:widowControl/>
        <w:spacing w:line="360" w:lineRule="auto"/>
        <w:ind w:firstLine="440" w:firstLineChars="200"/>
        <w:jc w:val="left"/>
        <w:textAlignment w:val="baseline"/>
        <w:rPr>
          <w:rFonts w:ascii="宋体" w:hAnsi="宋体" w:eastAsia="宋体" w:cs="仿宋"/>
          <w:kern w:val="0"/>
          <w:sz w:val="22"/>
        </w:rPr>
      </w:pPr>
      <w:r>
        <w:rPr>
          <w:rFonts w:hint="eastAsia" w:ascii="宋体" w:hAnsi="宋体" w:eastAsia="宋体" w:cs="仿宋"/>
          <w:kern w:val="0"/>
          <w:sz w:val="22"/>
        </w:rPr>
        <w:t>五、企业类型的划分以统计部门的统计数据为依据。</w:t>
      </w:r>
    </w:p>
    <w:p w14:paraId="7C2CE099">
      <w:pPr>
        <w:widowControl/>
        <w:spacing w:line="360" w:lineRule="auto"/>
        <w:ind w:firstLine="440" w:firstLineChars="200"/>
        <w:jc w:val="left"/>
        <w:textAlignment w:val="baseline"/>
        <w:rPr>
          <w:rFonts w:ascii="宋体" w:hAnsi="宋体" w:eastAsia="宋体" w:cs="仿宋"/>
          <w:kern w:val="0"/>
          <w:sz w:val="22"/>
        </w:rPr>
      </w:pPr>
      <w:r>
        <w:rPr>
          <w:rFonts w:hint="eastAsia" w:ascii="宋体" w:hAnsi="宋体" w:eastAsia="宋体" w:cs="仿宋"/>
          <w:kern w:val="0"/>
          <w:sz w:val="22"/>
        </w:rPr>
        <w:t>六、本规定适用于在中华人民共和国境内依法设立的各类所有制和各种组织形式的企业。个体工商户和本规定以外的行业，参照本规定进行划型。</w:t>
      </w:r>
    </w:p>
    <w:p w14:paraId="0DA0EBC8">
      <w:pPr>
        <w:widowControl/>
        <w:spacing w:line="360" w:lineRule="auto"/>
        <w:ind w:firstLine="440" w:firstLineChars="200"/>
        <w:jc w:val="left"/>
        <w:textAlignment w:val="baseline"/>
        <w:rPr>
          <w:rFonts w:ascii="宋体" w:hAnsi="宋体" w:eastAsia="宋体" w:cs="仿宋"/>
          <w:kern w:val="0"/>
          <w:sz w:val="22"/>
        </w:rPr>
      </w:pPr>
      <w:r>
        <w:rPr>
          <w:rFonts w:hint="eastAsia" w:ascii="宋体" w:hAnsi="宋体" w:eastAsia="宋体" w:cs="仿宋"/>
          <w:kern w:val="0"/>
          <w:sz w:val="22"/>
        </w:rPr>
        <w:t>七、本规定的中型企业标准上限即为大型企业标准的下限，国家统计部门据此制定大中小微型企业的统计分类。国务院有关部门据此进行相关数据分析，不得制定与本规定不一致的企业划型标准。</w:t>
      </w:r>
    </w:p>
    <w:p w14:paraId="7D88133E">
      <w:pPr>
        <w:widowControl/>
        <w:spacing w:line="360" w:lineRule="auto"/>
        <w:ind w:firstLine="440" w:firstLineChars="200"/>
        <w:jc w:val="left"/>
        <w:textAlignment w:val="baseline"/>
        <w:rPr>
          <w:rFonts w:ascii="宋体" w:hAnsi="宋体" w:eastAsia="宋体" w:cs="仿宋"/>
          <w:kern w:val="0"/>
          <w:sz w:val="22"/>
        </w:rPr>
      </w:pPr>
      <w:r>
        <w:rPr>
          <w:rFonts w:hint="eastAsia" w:ascii="宋体" w:hAnsi="宋体" w:eastAsia="宋体" w:cs="仿宋"/>
          <w:kern w:val="0"/>
          <w:sz w:val="22"/>
        </w:rPr>
        <w:t>八、本规定由工业和信息化部、国家统计局会同有关部门根据《国民经济行业分类》修订情况和企业发展变化情况适时修订。</w:t>
      </w:r>
    </w:p>
    <w:p w14:paraId="16D140CB">
      <w:pPr>
        <w:widowControl/>
        <w:spacing w:line="360" w:lineRule="auto"/>
        <w:ind w:firstLine="440" w:firstLineChars="200"/>
        <w:jc w:val="left"/>
        <w:textAlignment w:val="baseline"/>
        <w:rPr>
          <w:rFonts w:ascii="宋体" w:hAnsi="宋体" w:eastAsia="宋体" w:cs="仿宋"/>
          <w:kern w:val="0"/>
          <w:sz w:val="22"/>
        </w:rPr>
      </w:pPr>
      <w:r>
        <w:rPr>
          <w:rFonts w:hint="eastAsia" w:ascii="宋体" w:hAnsi="宋体" w:eastAsia="宋体" w:cs="仿宋"/>
          <w:kern w:val="0"/>
          <w:sz w:val="22"/>
        </w:rPr>
        <w:t>九、本规定由工业和信息化部、国家统计局会同有关部门负责解释。</w:t>
      </w:r>
    </w:p>
    <w:p w14:paraId="5C3FAFD8">
      <w:pPr>
        <w:widowControl/>
        <w:spacing w:line="360" w:lineRule="auto"/>
        <w:ind w:firstLine="440" w:firstLineChars="200"/>
        <w:rPr>
          <w:rFonts w:ascii="宋体" w:hAnsi="宋体" w:eastAsia="宋体" w:cs="仿宋"/>
          <w:sz w:val="22"/>
        </w:rPr>
      </w:pPr>
      <w:r>
        <w:rPr>
          <w:rFonts w:hint="eastAsia" w:ascii="宋体" w:hAnsi="宋体" w:eastAsia="宋体" w:cs="仿宋"/>
          <w:sz w:val="22"/>
        </w:rPr>
        <w:t>十、本规定自发布之日起执行，原国家经贸委、原国家计委、财政部和国家统计局2003年颁布的《中小企业标准暂行规定》同时废止。</w:t>
      </w:r>
    </w:p>
    <w:p w14:paraId="59A2F763">
      <w:pPr>
        <w:widowControl/>
        <w:ind w:firstLine="440"/>
        <w:jc w:val="left"/>
        <w:rPr>
          <w:rFonts w:ascii="宋体" w:hAnsi="宋体" w:eastAsia="宋体" w:cs="仿宋"/>
          <w:sz w:val="22"/>
        </w:rPr>
      </w:pPr>
      <w:r>
        <w:rPr>
          <w:rFonts w:ascii="宋体" w:hAnsi="宋体" w:eastAsia="宋体" w:cs="仿宋"/>
          <w:sz w:val="22"/>
        </w:rPr>
        <w:br w:type="page"/>
      </w:r>
    </w:p>
    <w:p w14:paraId="5E9F4896">
      <w:pPr>
        <w:tabs>
          <w:tab w:val="left" w:pos="567"/>
          <w:tab w:val="left" w:pos="993"/>
        </w:tabs>
        <w:spacing w:line="400" w:lineRule="exact"/>
        <w:ind w:firstLine="422"/>
        <w:jc w:val="left"/>
        <w:rPr>
          <w:rFonts w:ascii="宋体" w:hAnsi="宋体" w:eastAsia="宋体" w:cs="Times New Roman"/>
          <w:b/>
          <w:bCs/>
          <w:szCs w:val="21"/>
        </w:rPr>
      </w:pPr>
      <w:r>
        <w:rPr>
          <w:rFonts w:ascii="宋体" w:hAnsi="宋体" w:eastAsia="宋体" w:cs="Times New Roman"/>
          <w:b/>
          <w:szCs w:val="21"/>
        </w:rPr>
        <w:t>2</w:t>
      </w:r>
      <w:r>
        <w:rPr>
          <w:rFonts w:hint="eastAsia" w:ascii="宋体" w:hAnsi="宋体" w:eastAsia="宋体" w:cs="Times New Roman"/>
          <w:b/>
          <w:szCs w:val="21"/>
        </w:rPr>
        <w:t>.残疾人福利性单位声明函</w:t>
      </w:r>
    </w:p>
    <w:p w14:paraId="281943C4">
      <w:pPr>
        <w:tabs>
          <w:tab w:val="left" w:pos="567"/>
          <w:tab w:val="left" w:pos="993"/>
        </w:tabs>
        <w:spacing w:line="400" w:lineRule="exact"/>
        <w:ind w:firstLine="422"/>
        <w:rPr>
          <w:rFonts w:ascii="宋体" w:hAnsi="宋体" w:eastAsia="宋体" w:cs="Times New Roman"/>
          <w:b/>
          <w:szCs w:val="21"/>
        </w:rPr>
      </w:pPr>
    </w:p>
    <w:p w14:paraId="304B0B73">
      <w:pPr>
        <w:tabs>
          <w:tab w:val="left" w:pos="567"/>
          <w:tab w:val="left" w:pos="993"/>
        </w:tabs>
        <w:spacing w:line="400" w:lineRule="exact"/>
        <w:ind w:firstLine="422"/>
        <w:rPr>
          <w:rFonts w:ascii="宋体" w:hAnsi="宋体" w:eastAsia="宋体" w:cs="Times New Roman"/>
          <w:b/>
          <w:szCs w:val="21"/>
        </w:rPr>
      </w:pPr>
    </w:p>
    <w:p w14:paraId="2BF2685E">
      <w:pPr>
        <w:spacing w:line="400" w:lineRule="exact"/>
        <w:ind w:firstLine="444" w:firstLineChars="200"/>
        <w:jc w:val="center"/>
        <w:rPr>
          <w:rFonts w:ascii="宋体" w:hAnsi="宋体" w:eastAsia="宋体" w:cs="Times New Roman"/>
          <w:b/>
          <w:spacing w:val="6"/>
          <w:szCs w:val="21"/>
        </w:rPr>
      </w:pPr>
      <w:bookmarkStart w:id="113" w:name="OLE_LINK13"/>
      <w:bookmarkStart w:id="114" w:name="OLE_LINK14"/>
      <w:r>
        <w:rPr>
          <w:rFonts w:hint="eastAsia" w:ascii="宋体" w:hAnsi="宋体" w:eastAsia="宋体" w:cs="Times New Roman"/>
          <w:b/>
          <w:spacing w:val="6"/>
          <w:szCs w:val="21"/>
        </w:rPr>
        <w:t>残疾人福利性单位声明函</w:t>
      </w:r>
    </w:p>
    <w:bookmarkEnd w:id="113"/>
    <w:bookmarkEnd w:id="114"/>
    <w:p w14:paraId="04283A08">
      <w:pPr>
        <w:spacing w:line="400" w:lineRule="exact"/>
        <w:ind w:firstLine="446"/>
        <w:rPr>
          <w:rFonts w:ascii="宋体" w:hAnsi="宋体" w:eastAsia="宋体" w:cs="Times New Roman"/>
          <w:b/>
          <w:spacing w:val="6"/>
          <w:szCs w:val="21"/>
        </w:rPr>
      </w:pPr>
    </w:p>
    <w:p w14:paraId="25FA156D">
      <w:pPr>
        <w:spacing w:line="400" w:lineRule="exact"/>
        <w:ind w:firstLine="444" w:firstLineChars="200"/>
        <w:rPr>
          <w:rFonts w:ascii="宋体" w:hAnsi="宋体" w:eastAsia="宋体" w:cs="Times New Roman"/>
          <w:spacing w:val="6"/>
          <w:szCs w:val="21"/>
        </w:rPr>
      </w:pPr>
      <w:r>
        <w:rPr>
          <w:rFonts w:hint="eastAsia" w:ascii="宋体" w:hAnsi="宋体" w:eastAsia="宋体" w:cs="Times New Roman"/>
          <w:spacing w:val="6"/>
          <w:szCs w:val="21"/>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78D5689">
      <w:pPr>
        <w:spacing w:line="400" w:lineRule="exact"/>
        <w:ind w:firstLine="444" w:firstLineChars="200"/>
        <w:rPr>
          <w:rFonts w:ascii="宋体" w:hAnsi="宋体" w:eastAsia="宋体" w:cs="Times New Roman"/>
          <w:spacing w:val="6"/>
          <w:szCs w:val="21"/>
        </w:rPr>
      </w:pPr>
      <w:r>
        <w:rPr>
          <w:rFonts w:hint="eastAsia" w:ascii="宋体" w:hAnsi="宋体" w:eastAsia="宋体" w:cs="Times New Roman"/>
          <w:spacing w:val="6"/>
          <w:szCs w:val="21"/>
        </w:rPr>
        <w:t>本单位对上述声明的真实性负责。如有虚假，将依法承担相应责任。</w:t>
      </w:r>
    </w:p>
    <w:p w14:paraId="7F17FB65">
      <w:pPr>
        <w:spacing w:line="400" w:lineRule="exact"/>
        <w:ind w:firstLine="444" w:firstLineChars="200"/>
        <w:rPr>
          <w:rFonts w:ascii="宋体" w:hAnsi="宋体" w:eastAsia="宋体" w:cs="Times New Roman"/>
          <w:spacing w:val="6"/>
          <w:szCs w:val="21"/>
        </w:rPr>
      </w:pPr>
    </w:p>
    <w:p w14:paraId="312313FC">
      <w:pPr>
        <w:spacing w:line="400" w:lineRule="exact"/>
        <w:ind w:firstLine="444" w:firstLineChars="200"/>
        <w:rPr>
          <w:rFonts w:ascii="宋体" w:hAnsi="宋体" w:eastAsia="宋体" w:cs="Times New Roman"/>
          <w:spacing w:val="6"/>
          <w:szCs w:val="21"/>
        </w:rPr>
      </w:pPr>
    </w:p>
    <w:p w14:paraId="60599C38">
      <w:pPr>
        <w:spacing w:line="400" w:lineRule="exact"/>
        <w:ind w:firstLine="444" w:firstLineChars="200"/>
        <w:rPr>
          <w:rFonts w:ascii="宋体" w:hAnsi="宋体" w:eastAsia="宋体" w:cs="Times New Roman"/>
          <w:spacing w:val="6"/>
          <w:szCs w:val="21"/>
        </w:rPr>
      </w:pPr>
    </w:p>
    <w:p w14:paraId="69C937A4">
      <w:pPr>
        <w:spacing w:line="400" w:lineRule="exact"/>
        <w:ind w:firstLine="444" w:firstLineChars="200"/>
        <w:rPr>
          <w:rFonts w:ascii="宋体" w:hAnsi="宋体" w:eastAsia="宋体" w:cs="Times New Roman"/>
          <w:spacing w:val="6"/>
          <w:szCs w:val="21"/>
        </w:rPr>
      </w:pPr>
    </w:p>
    <w:p w14:paraId="3E99D780">
      <w:pPr>
        <w:spacing w:line="400" w:lineRule="exact"/>
        <w:ind w:firstLine="444" w:firstLineChars="200"/>
        <w:rPr>
          <w:rFonts w:ascii="宋体" w:hAnsi="宋体" w:eastAsia="宋体" w:cs="Times New Roman"/>
          <w:spacing w:val="6"/>
          <w:szCs w:val="21"/>
        </w:rPr>
      </w:pPr>
      <w:r>
        <w:rPr>
          <w:rFonts w:hint="eastAsia" w:ascii="宋体" w:hAnsi="宋体" w:eastAsia="宋体" w:cs="Times New Roman"/>
          <w:spacing w:val="6"/>
          <w:szCs w:val="21"/>
        </w:rPr>
        <w:t>投标单位名称（盖章）：</w:t>
      </w:r>
    </w:p>
    <w:p w14:paraId="2F750A91">
      <w:pPr>
        <w:spacing w:line="400" w:lineRule="exact"/>
        <w:ind w:firstLine="444" w:firstLineChars="200"/>
        <w:rPr>
          <w:rFonts w:ascii="宋体" w:hAnsi="宋体" w:eastAsia="宋体" w:cs="Times New Roman"/>
          <w:spacing w:val="6"/>
          <w:szCs w:val="21"/>
        </w:rPr>
      </w:pPr>
      <w:r>
        <w:rPr>
          <w:rFonts w:hint="eastAsia" w:ascii="宋体" w:hAnsi="宋体" w:eastAsia="宋体" w:cs="Times New Roman"/>
          <w:spacing w:val="6"/>
          <w:szCs w:val="21"/>
        </w:rPr>
        <w:t>日  期：</w:t>
      </w:r>
    </w:p>
    <w:p w14:paraId="50FD0804">
      <w:pPr>
        <w:autoSpaceDE w:val="0"/>
        <w:autoSpaceDN w:val="0"/>
        <w:spacing w:line="400" w:lineRule="exact"/>
        <w:ind w:firstLine="422"/>
        <w:rPr>
          <w:rFonts w:ascii="宋体" w:hAnsi="宋体" w:eastAsia="宋体" w:cs="Times New Roman"/>
          <w:b/>
          <w:szCs w:val="21"/>
        </w:rPr>
      </w:pPr>
    </w:p>
    <w:p w14:paraId="184A16A3">
      <w:pPr>
        <w:autoSpaceDE w:val="0"/>
        <w:autoSpaceDN w:val="0"/>
        <w:spacing w:line="400" w:lineRule="exact"/>
        <w:ind w:firstLine="422"/>
        <w:rPr>
          <w:rFonts w:ascii="宋体" w:hAnsi="宋体" w:eastAsia="宋体" w:cs="Times New Roman"/>
          <w:b/>
          <w:szCs w:val="21"/>
        </w:rPr>
      </w:pPr>
    </w:p>
    <w:p w14:paraId="1690F2C3">
      <w:pPr>
        <w:autoSpaceDE w:val="0"/>
        <w:autoSpaceDN w:val="0"/>
        <w:spacing w:line="400" w:lineRule="exact"/>
        <w:ind w:firstLine="422"/>
        <w:rPr>
          <w:rFonts w:ascii="宋体" w:hAnsi="宋体" w:eastAsia="宋体" w:cs="Times New Roman"/>
          <w:b/>
          <w:szCs w:val="21"/>
        </w:rPr>
      </w:pPr>
    </w:p>
    <w:p w14:paraId="18E84611">
      <w:pPr>
        <w:autoSpaceDE w:val="0"/>
        <w:autoSpaceDN w:val="0"/>
        <w:spacing w:line="400" w:lineRule="exact"/>
        <w:ind w:firstLine="422"/>
        <w:rPr>
          <w:rFonts w:ascii="宋体" w:hAnsi="宋体" w:eastAsia="宋体" w:cs="Times New Roman"/>
          <w:b/>
          <w:szCs w:val="21"/>
        </w:rPr>
      </w:pPr>
    </w:p>
    <w:p w14:paraId="6B8B2790">
      <w:pPr>
        <w:widowControl/>
        <w:spacing w:line="360" w:lineRule="auto"/>
        <w:ind w:firstLine="444" w:firstLineChars="200"/>
        <w:rPr>
          <w:rFonts w:ascii="宋体" w:hAnsi="宋体" w:eastAsia="宋体" w:cs="Times New Roman"/>
          <w:spacing w:val="6"/>
          <w:szCs w:val="21"/>
        </w:rPr>
      </w:pPr>
      <w:r>
        <w:rPr>
          <w:rFonts w:hint="eastAsia" w:ascii="宋体" w:hAnsi="宋体" w:eastAsia="宋体" w:cs="Times New Roman"/>
          <w:spacing w:val="6"/>
          <w:szCs w:val="21"/>
        </w:rPr>
        <w:t>备注：1、中标、成交供应商承诺为残疾人福利性单位的，供应商的《残疾人福利性单位声明函》将随中标、成交结果同时公告，接受社会监督。</w:t>
      </w:r>
    </w:p>
    <w:p w14:paraId="0ECEE248">
      <w:pPr>
        <w:widowControl/>
        <w:ind w:firstLine="444"/>
        <w:jc w:val="left"/>
        <w:rPr>
          <w:rFonts w:ascii="宋体" w:hAnsi="宋体" w:eastAsia="宋体" w:cs="Times New Roman"/>
          <w:spacing w:val="6"/>
          <w:szCs w:val="21"/>
        </w:rPr>
      </w:pPr>
      <w:r>
        <w:rPr>
          <w:rFonts w:ascii="宋体" w:hAnsi="宋体" w:eastAsia="宋体" w:cs="Times New Roman"/>
          <w:spacing w:val="6"/>
          <w:szCs w:val="21"/>
        </w:rPr>
        <w:br w:type="page"/>
      </w:r>
    </w:p>
    <w:p w14:paraId="299559A7">
      <w:pPr>
        <w:tabs>
          <w:tab w:val="left" w:pos="567"/>
          <w:tab w:val="left" w:pos="993"/>
        </w:tabs>
        <w:spacing w:line="400" w:lineRule="exact"/>
        <w:ind w:firstLine="422"/>
        <w:jc w:val="left"/>
        <w:rPr>
          <w:rFonts w:ascii="宋体" w:hAnsi="宋体" w:eastAsia="宋体" w:cs="Times New Roman"/>
          <w:b/>
          <w:szCs w:val="21"/>
        </w:rPr>
      </w:pPr>
      <w:r>
        <w:rPr>
          <w:rFonts w:ascii="宋体" w:hAnsi="宋体" w:eastAsia="宋体" w:cs="Times New Roman"/>
          <w:b/>
          <w:szCs w:val="21"/>
        </w:rPr>
        <w:t>3.</w:t>
      </w:r>
      <w:r>
        <w:rPr>
          <w:rFonts w:hint="eastAsia" w:ascii="宋体" w:hAnsi="宋体" w:eastAsia="宋体" w:cs="Times New Roman"/>
          <w:b/>
          <w:szCs w:val="21"/>
        </w:rPr>
        <w:t>监狱</w:t>
      </w:r>
      <w:r>
        <w:rPr>
          <w:rFonts w:ascii="宋体" w:hAnsi="宋体" w:eastAsia="宋体" w:cs="Times New Roman"/>
          <w:b/>
          <w:szCs w:val="21"/>
        </w:rPr>
        <w:t>企业</w:t>
      </w:r>
      <w:r>
        <w:rPr>
          <w:rFonts w:hint="eastAsia" w:ascii="宋体" w:hAnsi="宋体" w:eastAsia="宋体" w:cs="Times New Roman"/>
          <w:b/>
          <w:szCs w:val="21"/>
        </w:rPr>
        <w:t>声明函</w:t>
      </w:r>
      <w:r>
        <w:rPr>
          <w:rFonts w:hint="eastAsia" w:ascii="宋体" w:hAnsi="宋体" w:eastAsia="宋体" w:cs="Times New Roman"/>
          <w:b/>
          <w:snapToGrid w:val="0"/>
          <w:kern w:val="0"/>
          <w:szCs w:val="21"/>
        </w:rPr>
        <w:t>（如供应商不符合条件，不需提供）</w:t>
      </w:r>
    </w:p>
    <w:p w14:paraId="189473DE">
      <w:pPr>
        <w:spacing w:line="400" w:lineRule="exact"/>
        <w:ind w:firstLine="420" w:firstLineChars="200"/>
        <w:jc w:val="center"/>
        <w:rPr>
          <w:rFonts w:ascii="Times New Roman" w:hAnsi="Times New Roman" w:eastAsia="宋体" w:cs="Times New Roman"/>
          <w:szCs w:val="20"/>
        </w:rPr>
      </w:pPr>
    </w:p>
    <w:p w14:paraId="34D1B0EF">
      <w:pPr>
        <w:spacing w:line="400" w:lineRule="exact"/>
        <w:ind w:firstLine="420" w:firstLineChars="200"/>
        <w:jc w:val="center"/>
        <w:rPr>
          <w:rFonts w:ascii="Times New Roman" w:hAnsi="Times New Roman" w:eastAsia="宋体" w:cs="Times New Roman"/>
          <w:szCs w:val="20"/>
        </w:rPr>
      </w:pPr>
    </w:p>
    <w:p w14:paraId="13D961D8">
      <w:pPr>
        <w:spacing w:line="400" w:lineRule="exact"/>
        <w:ind w:firstLine="420" w:firstLineChars="200"/>
        <w:jc w:val="center"/>
        <w:rPr>
          <w:rFonts w:ascii="Times New Roman" w:hAnsi="Times New Roman" w:eastAsia="宋体" w:cs="Times New Roman"/>
          <w:szCs w:val="20"/>
        </w:rPr>
      </w:pPr>
    </w:p>
    <w:p w14:paraId="67DCE9E1">
      <w:pPr>
        <w:spacing w:line="400" w:lineRule="exact"/>
        <w:ind w:firstLine="444" w:firstLineChars="200"/>
        <w:jc w:val="center"/>
        <w:rPr>
          <w:rFonts w:ascii="宋体" w:hAnsi="宋体" w:eastAsia="宋体" w:cs="Times New Roman"/>
          <w:b/>
          <w:spacing w:val="6"/>
          <w:szCs w:val="21"/>
        </w:rPr>
      </w:pPr>
      <w:r>
        <w:rPr>
          <w:rFonts w:hint="eastAsia" w:ascii="宋体" w:hAnsi="宋体" w:eastAsia="宋体" w:cs="Times New Roman"/>
          <w:b/>
          <w:spacing w:val="6"/>
          <w:szCs w:val="21"/>
        </w:rPr>
        <w:t>监狱企业声明函</w:t>
      </w:r>
    </w:p>
    <w:p w14:paraId="41650C52">
      <w:pPr>
        <w:spacing w:line="440" w:lineRule="exact"/>
        <w:ind w:firstLine="480"/>
        <w:jc w:val="center"/>
        <w:rPr>
          <w:rFonts w:ascii="宋体" w:hAnsi="宋体" w:eastAsia="宋体" w:cs="Times New Roman"/>
          <w:kern w:val="0"/>
          <w:sz w:val="24"/>
          <w:szCs w:val="24"/>
        </w:rPr>
      </w:pPr>
      <w:r>
        <w:rPr>
          <w:rFonts w:hint="eastAsia" w:ascii="宋体" w:hAnsi="宋体" w:eastAsia="宋体" w:cs="Times New Roman"/>
          <w:kern w:val="0"/>
          <w:sz w:val="24"/>
          <w:szCs w:val="24"/>
        </w:rPr>
        <w:t>（格式</w:t>
      </w:r>
      <w:r>
        <w:rPr>
          <w:rFonts w:ascii="宋体" w:hAnsi="宋体" w:eastAsia="宋体" w:cs="Times New Roman"/>
          <w:kern w:val="0"/>
          <w:sz w:val="24"/>
          <w:szCs w:val="24"/>
        </w:rPr>
        <w:t>自拟</w:t>
      </w:r>
      <w:r>
        <w:rPr>
          <w:rFonts w:hint="eastAsia" w:ascii="宋体" w:hAnsi="宋体" w:eastAsia="宋体" w:cs="Times New Roman"/>
          <w:kern w:val="0"/>
          <w:sz w:val="24"/>
          <w:szCs w:val="24"/>
        </w:rPr>
        <w:t>）</w:t>
      </w:r>
    </w:p>
    <w:p w14:paraId="2FAD9EA4">
      <w:pPr>
        <w:spacing w:line="440" w:lineRule="exact"/>
        <w:ind w:firstLine="480"/>
        <w:rPr>
          <w:rFonts w:ascii="宋体" w:hAnsi="宋体" w:eastAsia="宋体" w:cs="Times New Roman"/>
          <w:kern w:val="0"/>
          <w:sz w:val="24"/>
          <w:szCs w:val="24"/>
        </w:rPr>
      </w:pPr>
    </w:p>
    <w:p w14:paraId="7DFB0520">
      <w:pPr>
        <w:spacing w:line="440" w:lineRule="exact"/>
        <w:ind w:firstLine="480"/>
        <w:rPr>
          <w:rFonts w:ascii="宋体" w:hAnsi="宋体" w:eastAsia="宋体" w:cs="Times New Roman"/>
          <w:kern w:val="0"/>
          <w:sz w:val="24"/>
          <w:szCs w:val="24"/>
        </w:rPr>
      </w:pPr>
    </w:p>
    <w:p w14:paraId="75E570F2">
      <w:pPr>
        <w:spacing w:line="440" w:lineRule="exact"/>
        <w:ind w:firstLine="480"/>
        <w:rPr>
          <w:rFonts w:ascii="宋体" w:hAnsi="宋体" w:eastAsia="宋体" w:cs="Times New Roman"/>
          <w:kern w:val="0"/>
          <w:sz w:val="24"/>
          <w:szCs w:val="24"/>
        </w:rPr>
      </w:pPr>
      <w:r>
        <w:rPr>
          <w:rFonts w:hint="eastAsia" w:ascii="宋体" w:hAnsi="宋体" w:eastAsia="宋体" w:cs="Times New Roman"/>
          <w:kern w:val="0"/>
          <w:sz w:val="24"/>
          <w:szCs w:val="24"/>
        </w:rPr>
        <w:t>说明</w:t>
      </w:r>
      <w:r>
        <w:rPr>
          <w:rFonts w:ascii="宋体" w:hAnsi="宋体" w:eastAsia="宋体" w:cs="Times New Roman"/>
          <w:kern w:val="0"/>
          <w:sz w:val="24"/>
          <w:szCs w:val="24"/>
        </w:rPr>
        <w:t>：</w:t>
      </w:r>
    </w:p>
    <w:p w14:paraId="0C9DE9D3">
      <w:pPr>
        <w:spacing w:line="440" w:lineRule="exact"/>
        <w:ind w:firstLine="480" w:firstLineChars="200"/>
        <w:rPr>
          <w:rFonts w:ascii="宋体" w:hAnsi="宋体" w:eastAsia="宋体" w:cs="Times New Roman"/>
          <w:kern w:val="0"/>
          <w:sz w:val="24"/>
          <w:szCs w:val="24"/>
        </w:rPr>
      </w:pPr>
      <w:r>
        <w:rPr>
          <w:rFonts w:ascii="宋体" w:hAnsi="宋体" w:eastAsia="宋体" w:cs="Times New Roman"/>
          <w:kern w:val="0"/>
          <w:sz w:val="24"/>
          <w:szCs w:val="24"/>
        </w:rPr>
        <w:t>1</w:t>
      </w:r>
      <w:r>
        <w:rPr>
          <w:rFonts w:hint="eastAsia" w:ascii="宋体" w:hAnsi="宋体" w:eastAsia="宋体" w:cs="Times New Roman"/>
          <w:kern w:val="0"/>
          <w:sz w:val="24"/>
          <w:szCs w:val="24"/>
        </w:rPr>
        <w:t>、供应商</w:t>
      </w:r>
      <w:r>
        <w:rPr>
          <w:rFonts w:ascii="宋体" w:hAnsi="宋体" w:eastAsia="宋体" w:cs="Times New Roman"/>
          <w:kern w:val="0"/>
          <w:sz w:val="24"/>
          <w:szCs w:val="24"/>
        </w:rPr>
        <w:t>符合《</w:t>
      </w:r>
      <w:r>
        <w:rPr>
          <w:rFonts w:hint="eastAsia" w:ascii="宋体" w:hAnsi="宋体" w:eastAsia="宋体" w:cs="Times New Roman"/>
          <w:kern w:val="0"/>
          <w:sz w:val="24"/>
          <w:szCs w:val="24"/>
        </w:rPr>
        <w:t>政府</w:t>
      </w:r>
      <w:r>
        <w:rPr>
          <w:rFonts w:ascii="宋体" w:hAnsi="宋体" w:eastAsia="宋体" w:cs="Times New Roman"/>
          <w:kern w:val="0"/>
          <w:sz w:val="24"/>
          <w:szCs w:val="24"/>
        </w:rPr>
        <w:t>采购支持监狱企业发展有关问题的通知》</w:t>
      </w:r>
      <w:r>
        <w:rPr>
          <w:rFonts w:hint="eastAsia" w:ascii="宋体" w:hAnsi="宋体" w:eastAsia="宋体" w:cs="Times New Roman"/>
          <w:kern w:val="0"/>
          <w:sz w:val="24"/>
          <w:szCs w:val="24"/>
        </w:rPr>
        <w:t>（财库【2014】68号）规定</w:t>
      </w:r>
      <w:r>
        <w:rPr>
          <w:rFonts w:ascii="宋体" w:hAnsi="宋体" w:eastAsia="宋体" w:cs="Times New Roman"/>
          <w:kern w:val="0"/>
          <w:sz w:val="24"/>
          <w:szCs w:val="24"/>
        </w:rPr>
        <w:t>的划分标准为监狱企业</w:t>
      </w:r>
      <w:r>
        <w:rPr>
          <w:rFonts w:hint="eastAsia" w:ascii="宋体" w:hAnsi="宋体" w:eastAsia="宋体" w:cs="Times New Roman"/>
          <w:kern w:val="0"/>
          <w:sz w:val="24"/>
          <w:szCs w:val="24"/>
        </w:rPr>
        <w:t>适用</w:t>
      </w:r>
      <w:r>
        <w:rPr>
          <w:rFonts w:ascii="宋体" w:hAnsi="宋体" w:eastAsia="宋体" w:cs="Times New Roman"/>
          <w:kern w:val="0"/>
          <w:sz w:val="24"/>
          <w:szCs w:val="24"/>
        </w:rPr>
        <w:t>。</w:t>
      </w:r>
    </w:p>
    <w:p w14:paraId="0D537DBE">
      <w:pPr>
        <w:widowControl/>
        <w:spacing w:line="360" w:lineRule="auto"/>
        <w:ind w:firstLine="480" w:firstLineChars="200"/>
        <w:rPr>
          <w:rFonts w:hint="eastAsia" w:ascii="宋体" w:hAnsi="宋体" w:eastAsia="宋体" w:cs="Times New Roman"/>
          <w:kern w:val="0"/>
          <w:sz w:val="24"/>
          <w:szCs w:val="24"/>
        </w:rPr>
      </w:pPr>
      <w:r>
        <w:rPr>
          <w:rFonts w:hint="eastAsia" w:ascii="宋体" w:hAnsi="宋体" w:eastAsia="宋体" w:cs="Times New Roman"/>
          <w:kern w:val="0"/>
          <w:sz w:val="24"/>
          <w:szCs w:val="24"/>
        </w:rPr>
        <w:t>2、在政府采购活动中，监狱企业视同小型、微型企业，享受预留份额、评审中价格扣除等政府采购促进中小企业发展的政府采购政策。监狱企业参加政府采购活动时，</w:t>
      </w:r>
      <w:r>
        <w:rPr>
          <w:rFonts w:hint="eastAsia" w:ascii="宋体" w:hAnsi="宋体" w:eastAsia="宋体" w:cs="Times New Roman"/>
          <w:b/>
          <w:kern w:val="0"/>
          <w:sz w:val="24"/>
          <w:szCs w:val="24"/>
        </w:rPr>
        <w:t>还应当提供由省级以上监狱管理局、戒毒管理局(含新疆生产建设兵团)出具的属于监狱企业的证明文件</w:t>
      </w:r>
      <w:r>
        <w:rPr>
          <w:rFonts w:hint="eastAsia" w:ascii="宋体" w:hAnsi="宋体" w:eastAsia="宋体" w:cs="Times New Roman"/>
          <w:kern w:val="0"/>
          <w:sz w:val="24"/>
          <w:szCs w:val="24"/>
        </w:rPr>
        <w:t>。</w:t>
      </w:r>
      <w:bookmarkStart w:id="115" w:name="_Toc15126"/>
    </w:p>
    <w:p w14:paraId="5001D4C9">
      <w:pPr>
        <w:rPr>
          <w:rFonts w:hint="eastAsia" w:ascii="宋体" w:hAnsi="宋体" w:eastAsia="宋体" w:cs="Times New Roman"/>
          <w:kern w:val="0"/>
          <w:sz w:val="24"/>
          <w:szCs w:val="24"/>
        </w:rPr>
      </w:pPr>
      <w:r>
        <w:rPr>
          <w:rFonts w:hint="eastAsia" w:ascii="宋体" w:hAnsi="宋体" w:eastAsia="宋体" w:cs="Times New Roman"/>
          <w:kern w:val="0"/>
          <w:sz w:val="24"/>
          <w:szCs w:val="24"/>
        </w:rPr>
        <w:br w:type="page"/>
      </w:r>
    </w:p>
    <w:p w14:paraId="201FACB0">
      <w:pPr>
        <w:widowControl/>
        <w:spacing w:line="360" w:lineRule="auto"/>
        <w:ind w:firstLine="480" w:firstLineChars="200"/>
        <w:rPr>
          <w:rFonts w:hint="eastAsia" w:ascii="宋体" w:hAnsi="宋体" w:eastAsia="宋体" w:cs="Times New Roman"/>
          <w:kern w:val="0"/>
          <w:sz w:val="24"/>
          <w:szCs w:val="24"/>
        </w:rPr>
      </w:pPr>
    </w:p>
    <w:p w14:paraId="58257D59">
      <w:pPr>
        <w:widowControl/>
        <w:ind w:firstLine="643"/>
        <w:jc w:val="center"/>
        <w:outlineLvl w:val="1"/>
        <w:rPr>
          <w:rFonts w:ascii="宋体" w:hAnsi="宋体" w:eastAsia="宋体" w:cs="仿宋"/>
          <w:b/>
          <w:kern w:val="0"/>
          <w:sz w:val="32"/>
          <w:szCs w:val="24"/>
        </w:rPr>
      </w:pPr>
      <w:bookmarkStart w:id="116" w:name="_Toc195529433"/>
      <w:r>
        <w:rPr>
          <w:rFonts w:hint="eastAsia" w:ascii="宋体" w:hAnsi="宋体" w:eastAsia="宋体" w:cs="仿宋"/>
          <w:b/>
          <w:kern w:val="0"/>
          <w:sz w:val="32"/>
          <w:szCs w:val="24"/>
        </w:rPr>
        <w:t>附件</w:t>
      </w:r>
      <w:r>
        <w:rPr>
          <w:rFonts w:hint="eastAsia" w:ascii="宋体" w:hAnsi="宋体" w:eastAsia="宋体" w:cs="仿宋"/>
          <w:b/>
          <w:kern w:val="0"/>
          <w:sz w:val="32"/>
          <w:szCs w:val="24"/>
          <w:lang w:val="en-US" w:eastAsia="zh-CN"/>
        </w:rPr>
        <w:t>八</w:t>
      </w:r>
      <w:r>
        <w:rPr>
          <w:rFonts w:hint="eastAsia" w:ascii="宋体" w:hAnsi="宋体" w:eastAsia="宋体" w:cs="仿宋"/>
          <w:b/>
          <w:kern w:val="0"/>
          <w:sz w:val="32"/>
          <w:szCs w:val="24"/>
        </w:rPr>
        <w:t>、</w:t>
      </w:r>
      <w:r>
        <w:rPr>
          <w:rFonts w:hint="eastAsia" w:ascii="宋体" w:hAnsi="宋体" w:eastAsia="宋体" w:cs="仿宋"/>
          <w:b/>
          <w:kern w:val="0"/>
          <w:sz w:val="32"/>
          <w:szCs w:val="24"/>
          <w:lang w:val="en-US" w:eastAsia="zh-CN"/>
        </w:rPr>
        <w:t>服务</w:t>
      </w:r>
      <w:r>
        <w:rPr>
          <w:rFonts w:hint="eastAsia" w:ascii="宋体" w:hAnsi="宋体" w:eastAsia="宋体" w:cs="仿宋"/>
          <w:b/>
          <w:kern w:val="0"/>
          <w:sz w:val="32"/>
          <w:szCs w:val="24"/>
        </w:rPr>
        <w:t>方案</w:t>
      </w:r>
      <w:bookmarkEnd w:id="116"/>
    </w:p>
    <w:p w14:paraId="577E885A">
      <w:pPr>
        <w:ind w:firstLine="420"/>
      </w:pPr>
      <w:r>
        <w:rPr>
          <w:rFonts w:hint="eastAsia"/>
        </w:rPr>
        <w:t>根据本项目</w:t>
      </w:r>
      <w:r>
        <w:rPr>
          <w:rFonts w:hint="eastAsia"/>
          <w:lang w:val="en-US" w:eastAsia="zh-CN"/>
        </w:rPr>
        <w:t>实际情况</w:t>
      </w:r>
      <w:r>
        <w:rPr>
          <w:rFonts w:hint="eastAsia"/>
        </w:rPr>
        <w:t>编制</w:t>
      </w:r>
      <w:r>
        <w:rPr>
          <w:rFonts w:hint="eastAsia"/>
          <w:lang w:val="en-US" w:eastAsia="zh-CN"/>
        </w:rPr>
        <w:t>服务</w:t>
      </w:r>
      <w:r>
        <w:rPr>
          <w:rFonts w:hint="eastAsia"/>
        </w:rPr>
        <w:t>方案，格式</w:t>
      </w:r>
      <w:r>
        <w:t>自拟。</w:t>
      </w:r>
    </w:p>
    <w:p w14:paraId="648D24EB">
      <w:pPr>
        <w:widowControl/>
        <w:ind w:firstLine="643"/>
        <w:jc w:val="left"/>
        <w:rPr>
          <w:rFonts w:ascii="宋体" w:hAnsi="宋体" w:eastAsia="宋体" w:cs="仿宋"/>
          <w:b/>
          <w:kern w:val="0"/>
          <w:sz w:val="32"/>
          <w:szCs w:val="24"/>
        </w:rPr>
      </w:pPr>
      <w:r>
        <w:rPr>
          <w:rFonts w:ascii="宋体" w:hAnsi="宋体" w:eastAsia="宋体" w:cs="仿宋"/>
          <w:b/>
          <w:kern w:val="0"/>
          <w:sz w:val="32"/>
          <w:szCs w:val="24"/>
        </w:rPr>
        <w:br w:type="page"/>
      </w:r>
    </w:p>
    <w:p w14:paraId="1BF56A5B">
      <w:pPr>
        <w:widowControl/>
        <w:ind w:firstLine="643"/>
        <w:jc w:val="center"/>
        <w:outlineLvl w:val="1"/>
        <w:rPr>
          <w:rFonts w:ascii="宋体" w:hAnsi="宋体" w:eastAsia="宋体" w:cs="仿宋"/>
          <w:b/>
          <w:kern w:val="0"/>
          <w:sz w:val="32"/>
          <w:szCs w:val="24"/>
        </w:rPr>
      </w:pPr>
      <w:bookmarkStart w:id="117" w:name="_Toc195529434"/>
      <w:r>
        <w:rPr>
          <w:rFonts w:ascii="宋体" w:hAnsi="宋体" w:eastAsia="宋体" w:cs="仿宋"/>
          <w:b/>
          <w:kern w:val="0"/>
          <w:sz w:val="32"/>
          <w:szCs w:val="24"/>
        </w:rPr>
        <w:t>附件</w:t>
      </w:r>
      <w:r>
        <w:rPr>
          <w:rFonts w:hint="eastAsia" w:ascii="宋体" w:hAnsi="宋体" w:eastAsia="宋体" w:cs="仿宋"/>
          <w:b/>
          <w:kern w:val="0"/>
          <w:sz w:val="32"/>
          <w:szCs w:val="24"/>
          <w:lang w:val="en-US" w:eastAsia="zh-CN"/>
        </w:rPr>
        <w:t>九</w:t>
      </w:r>
      <w:r>
        <w:rPr>
          <w:rFonts w:ascii="宋体" w:hAnsi="宋体" w:eastAsia="宋体" w:cs="仿宋"/>
          <w:b/>
          <w:kern w:val="0"/>
          <w:sz w:val="32"/>
          <w:szCs w:val="24"/>
        </w:rPr>
        <w:t>、</w:t>
      </w:r>
      <w:r>
        <w:rPr>
          <w:rFonts w:hint="eastAsia" w:ascii="宋体" w:hAnsi="宋体" w:eastAsia="宋体" w:cs="仿宋"/>
          <w:b/>
          <w:kern w:val="0"/>
          <w:sz w:val="32"/>
          <w:szCs w:val="24"/>
        </w:rPr>
        <w:t>其他证明文件</w:t>
      </w:r>
      <w:bookmarkEnd w:id="115"/>
      <w:bookmarkEnd w:id="117"/>
    </w:p>
    <w:p w14:paraId="0880AA27">
      <w:pPr>
        <w:spacing w:line="360" w:lineRule="auto"/>
        <w:ind w:firstLine="482"/>
        <w:rPr>
          <w:rFonts w:ascii="宋体" w:hAnsi="宋体" w:eastAsia="宋体" w:cs="仿宋"/>
          <w:b/>
          <w:bCs/>
          <w:sz w:val="24"/>
          <w:szCs w:val="24"/>
        </w:rPr>
      </w:pPr>
      <w:bookmarkStart w:id="118" w:name="_Toc4602"/>
      <w:r>
        <w:rPr>
          <w:rFonts w:hint="eastAsia" w:ascii="宋体" w:hAnsi="宋体" w:eastAsia="宋体" w:cs="仿宋"/>
          <w:b/>
          <w:sz w:val="24"/>
          <w:szCs w:val="24"/>
        </w:rPr>
        <w:t>供应商根据谈判文件认为有必要提供的其它证明资料</w:t>
      </w:r>
      <w:bookmarkEnd w:id="118"/>
    </w:p>
    <w:p w14:paraId="642DE801">
      <w:pPr>
        <w:spacing w:after="120"/>
        <w:ind w:firstLine="210" w:firstLineChars="100"/>
        <w:rPr>
          <w:rFonts w:ascii="宋体" w:hAnsi="宋体" w:eastAsia="宋体" w:cs="仿宋"/>
          <w:szCs w:val="24"/>
        </w:rPr>
      </w:pPr>
    </w:p>
    <w:p w14:paraId="62BABB23">
      <w:pPr>
        <w:widowControl/>
        <w:ind w:firstLine="643"/>
        <w:jc w:val="left"/>
        <w:rPr>
          <w:rFonts w:ascii="宋体" w:hAnsi="宋体" w:eastAsia="宋体" w:cs="仿宋"/>
          <w:b/>
          <w:kern w:val="0"/>
          <w:sz w:val="32"/>
          <w:szCs w:val="24"/>
        </w:rPr>
      </w:pPr>
      <w:r>
        <w:rPr>
          <w:rFonts w:ascii="宋体" w:hAnsi="宋体" w:eastAsia="宋体" w:cs="仿宋"/>
          <w:b/>
          <w:kern w:val="0"/>
          <w:sz w:val="32"/>
          <w:szCs w:val="24"/>
        </w:rPr>
        <w:br w:type="page"/>
      </w:r>
    </w:p>
    <w:p w14:paraId="23BA868E">
      <w:pPr>
        <w:widowControl/>
        <w:ind w:firstLine="643"/>
        <w:jc w:val="center"/>
        <w:outlineLvl w:val="1"/>
        <w:rPr>
          <w:rFonts w:ascii="宋体" w:hAnsi="宋体" w:eastAsia="宋体" w:cs="仿宋"/>
          <w:b/>
          <w:kern w:val="0"/>
          <w:sz w:val="32"/>
          <w:szCs w:val="24"/>
        </w:rPr>
      </w:pPr>
      <w:bookmarkStart w:id="119" w:name="_Toc195529435"/>
      <w:r>
        <w:rPr>
          <w:rFonts w:ascii="宋体" w:hAnsi="宋体" w:eastAsia="宋体" w:cs="仿宋"/>
          <w:b/>
          <w:kern w:val="0"/>
          <w:sz w:val="32"/>
          <w:szCs w:val="24"/>
        </w:rPr>
        <w:t>附件十、</w:t>
      </w:r>
      <w:r>
        <w:rPr>
          <w:rFonts w:hint="eastAsia" w:ascii="宋体" w:hAnsi="宋体" w:eastAsia="宋体" w:cs="仿宋"/>
          <w:b/>
          <w:kern w:val="0"/>
          <w:sz w:val="32"/>
          <w:szCs w:val="24"/>
        </w:rPr>
        <w:t>二次（多次）报价单</w:t>
      </w:r>
      <w:bookmarkEnd w:id="119"/>
    </w:p>
    <w:p w14:paraId="12A7B13B">
      <w:pPr>
        <w:spacing w:line="360" w:lineRule="auto"/>
        <w:ind w:firstLine="140" w:firstLineChars="50"/>
        <w:rPr>
          <w:rFonts w:ascii="宋体" w:hAnsi="宋体" w:eastAsia="宋体" w:cs="仿宋"/>
          <w:color w:val="000000"/>
          <w:sz w:val="28"/>
          <w:szCs w:val="28"/>
        </w:rPr>
      </w:pPr>
    </w:p>
    <w:p w14:paraId="76D6F2F7">
      <w:pPr>
        <w:spacing w:line="360" w:lineRule="auto"/>
        <w:ind w:firstLine="160" w:firstLineChars="50"/>
        <w:jc w:val="center"/>
        <w:rPr>
          <w:rFonts w:ascii="宋体" w:hAnsi="宋体" w:eastAsia="宋体" w:cs="仿宋"/>
          <w:color w:val="000000"/>
          <w:sz w:val="28"/>
          <w:szCs w:val="28"/>
        </w:rPr>
      </w:pPr>
      <w:r>
        <w:rPr>
          <w:rFonts w:hint="eastAsia" w:ascii="宋体" w:hAnsi="宋体" w:eastAsia="宋体" w:cs="仿宋"/>
          <w:b/>
          <w:kern w:val="0"/>
          <w:sz w:val="32"/>
          <w:szCs w:val="24"/>
        </w:rPr>
        <w:t>（</w:t>
      </w:r>
      <w:r>
        <w:rPr>
          <w:rFonts w:hint="eastAsia" w:ascii="宋体" w:hAnsi="宋体" w:eastAsia="宋体" w:cs="仿宋"/>
          <w:b/>
          <w:kern w:val="0"/>
          <w:sz w:val="32"/>
          <w:szCs w:val="24"/>
          <w:u w:val="single"/>
        </w:rPr>
        <w:t xml:space="preserve"> </w:t>
      </w:r>
      <w:r>
        <w:rPr>
          <w:rFonts w:ascii="宋体" w:hAnsi="宋体" w:eastAsia="宋体" w:cs="仿宋"/>
          <w:b/>
          <w:kern w:val="0"/>
          <w:sz w:val="32"/>
          <w:szCs w:val="24"/>
          <w:u w:val="single"/>
        </w:rPr>
        <w:t xml:space="preserve">    </w:t>
      </w:r>
      <w:r>
        <w:rPr>
          <w:rFonts w:hint="eastAsia" w:ascii="宋体" w:hAnsi="宋体" w:eastAsia="宋体" w:cs="仿宋"/>
          <w:b/>
          <w:kern w:val="0"/>
          <w:sz w:val="32"/>
          <w:szCs w:val="24"/>
        </w:rPr>
        <w:t>次）报价单</w:t>
      </w:r>
    </w:p>
    <w:p w14:paraId="092FB92A">
      <w:pPr>
        <w:spacing w:line="360" w:lineRule="auto"/>
        <w:ind w:firstLine="140" w:firstLineChars="50"/>
        <w:rPr>
          <w:rFonts w:ascii="宋体" w:hAnsi="宋体" w:eastAsia="宋体" w:cs="仿宋"/>
          <w:color w:val="000000"/>
          <w:sz w:val="28"/>
          <w:szCs w:val="28"/>
        </w:rPr>
      </w:pPr>
      <w:r>
        <w:rPr>
          <w:rFonts w:hint="eastAsia" w:ascii="宋体" w:hAnsi="宋体" w:eastAsia="宋体" w:cs="仿宋"/>
          <w:color w:val="000000"/>
          <w:sz w:val="28"/>
          <w:szCs w:val="28"/>
        </w:rPr>
        <w:t xml:space="preserve">项目名称：                 </w:t>
      </w:r>
    </w:p>
    <w:p w14:paraId="03C12EF0">
      <w:pPr>
        <w:spacing w:line="360" w:lineRule="auto"/>
        <w:ind w:firstLine="140" w:firstLineChars="50"/>
        <w:rPr>
          <w:rFonts w:ascii="宋体" w:hAnsi="宋体" w:eastAsia="宋体" w:cs="仿宋"/>
          <w:color w:val="000000"/>
          <w:sz w:val="28"/>
          <w:szCs w:val="28"/>
        </w:rPr>
      </w:pPr>
      <w:r>
        <w:rPr>
          <w:rFonts w:hint="eastAsia" w:ascii="宋体" w:hAnsi="宋体" w:eastAsia="宋体" w:cs="仿宋"/>
          <w:color w:val="000000"/>
          <w:sz w:val="28"/>
          <w:szCs w:val="28"/>
        </w:rPr>
        <w:t xml:space="preserve">项目编号：                     </w:t>
      </w:r>
    </w:p>
    <w:p w14:paraId="54CAED4D">
      <w:pPr>
        <w:spacing w:line="360" w:lineRule="auto"/>
        <w:ind w:firstLine="140" w:firstLineChars="50"/>
        <w:rPr>
          <w:rFonts w:ascii="宋体" w:hAnsi="宋体" w:eastAsia="宋体" w:cs="仿宋"/>
          <w:color w:val="000000"/>
          <w:kern w:val="0"/>
          <w:sz w:val="28"/>
          <w:szCs w:val="28"/>
        </w:rPr>
      </w:pPr>
      <w:r>
        <w:rPr>
          <w:rFonts w:hint="eastAsia" w:ascii="宋体" w:hAnsi="宋体" w:eastAsia="宋体" w:cs="仿宋"/>
          <w:color w:val="000000"/>
          <w:sz w:val="28"/>
          <w:szCs w:val="28"/>
        </w:rPr>
        <w:t>单位：元</w:t>
      </w:r>
    </w:p>
    <w:tbl>
      <w:tblPr>
        <w:tblStyle w:val="47"/>
        <w:tblW w:w="10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35"/>
        <w:gridCol w:w="2446"/>
        <w:gridCol w:w="4961"/>
        <w:gridCol w:w="1418"/>
      </w:tblGrid>
      <w:tr w14:paraId="00F4E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074" w:hRule="exact"/>
          <w:jc w:val="center"/>
        </w:trPr>
        <w:tc>
          <w:tcPr>
            <w:tcW w:w="1235" w:type="dxa"/>
            <w:vAlign w:val="center"/>
          </w:tcPr>
          <w:p w14:paraId="7DD6513C">
            <w:pPr>
              <w:ind w:firstLine="560"/>
              <w:rPr>
                <w:rFonts w:ascii="宋体" w:hAnsi="宋体" w:eastAsia="宋体" w:cs="仿宋"/>
                <w:sz w:val="28"/>
                <w:szCs w:val="28"/>
              </w:rPr>
            </w:pPr>
            <w:r>
              <w:rPr>
                <w:rFonts w:hint="eastAsia" w:ascii="宋体" w:hAnsi="宋体" w:eastAsia="宋体" w:cs="仿宋"/>
                <w:sz w:val="28"/>
                <w:szCs w:val="28"/>
              </w:rPr>
              <w:t>1</w:t>
            </w:r>
          </w:p>
        </w:tc>
        <w:tc>
          <w:tcPr>
            <w:tcW w:w="2446" w:type="dxa"/>
            <w:vAlign w:val="center"/>
          </w:tcPr>
          <w:p w14:paraId="22A26F7C">
            <w:pPr>
              <w:rPr>
                <w:rFonts w:ascii="宋体" w:hAnsi="宋体" w:eastAsia="宋体" w:cs="仿宋"/>
                <w:sz w:val="28"/>
                <w:szCs w:val="28"/>
              </w:rPr>
            </w:pPr>
            <w:r>
              <w:rPr>
                <w:rFonts w:ascii="宋体" w:hAnsi="宋体" w:eastAsia="宋体" w:cs="仿宋"/>
                <w:sz w:val="28"/>
                <w:szCs w:val="28"/>
              </w:rPr>
              <w:t>应答报价（元）</w:t>
            </w:r>
          </w:p>
        </w:tc>
        <w:tc>
          <w:tcPr>
            <w:tcW w:w="4961" w:type="dxa"/>
            <w:vAlign w:val="center"/>
          </w:tcPr>
          <w:p w14:paraId="62D7C401">
            <w:pPr>
              <w:rPr>
                <w:rFonts w:ascii="宋体" w:hAnsi="宋体" w:eastAsia="宋体" w:cs="仿宋"/>
                <w:sz w:val="28"/>
                <w:szCs w:val="28"/>
              </w:rPr>
            </w:pPr>
            <w:r>
              <w:rPr>
                <w:rFonts w:ascii="宋体" w:hAnsi="宋体" w:eastAsia="宋体" w:cs="仿宋"/>
                <w:sz w:val="28"/>
                <w:szCs w:val="28"/>
              </w:rPr>
              <w:t>大写：</w:t>
            </w:r>
          </w:p>
          <w:p w14:paraId="05459B71">
            <w:pPr>
              <w:rPr>
                <w:rFonts w:ascii="宋体" w:hAnsi="宋体" w:eastAsia="宋体" w:cs="仿宋"/>
                <w:sz w:val="28"/>
                <w:szCs w:val="28"/>
              </w:rPr>
            </w:pPr>
            <w:r>
              <w:rPr>
                <w:rFonts w:ascii="宋体" w:hAnsi="宋体" w:eastAsia="宋体" w:cs="仿宋"/>
                <w:sz w:val="28"/>
                <w:szCs w:val="28"/>
              </w:rPr>
              <w:t>小写：</w:t>
            </w:r>
          </w:p>
        </w:tc>
        <w:tc>
          <w:tcPr>
            <w:tcW w:w="1418" w:type="dxa"/>
            <w:vAlign w:val="center"/>
          </w:tcPr>
          <w:p w14:paraId="006721F6">
            <w:pPr>
              <w:rPr>
                <w:rFonts w:ascii="宋体" w:hAnsi="宋体" w:eastAsia="宋体" w:cs="仿宋"/>
                <w:sz w:val="28"/>
                <w:szCs w:val="28"/>
              </w:rPr>
            </w:pPr>
          </w:p>
        </w:tc>
      </w:tr>
      <w:tr w14:paraId="332D6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98" w:hRule="atLeast"/>
          <w:jc w:val="center"/>
        </w:trPr>
        <w:tc>
          <w:tcPr>
            <w:tcW w:w="1235" w:type="dxa"/>
            <w:vAlign w:val="center"/>
          </w:tcPr>
          <w:p w14:paraId="3AD26F2D">
            <w:pPr>
              <w:snapToGrid w:val="0"/>
              <w:jc w:val="center"/>
              <w:rPr>
                <w:rFonts w:ascii="宋体" w:hAnsi="宋体" w:eastAsia="宋体" w:cs="仿宋"/>
                <w:sz w:val="28"/>
                <w:szCs w:val="28"/>
              </w:rPr>
            </w:pPr>
            <w:r>
              <w:rPr>
                <w:rFonts w:hint="eastAsia" w:ascii="宋体" w:hAnsi="宋体" w:eastAsia="宋体" w:cs="仿宋"/>
                <w:sz w:val="28"/>
                <w:szCs w:val="28"/>
              </w:rPr>
              <w:t>备注</w:t>
            </w:r>
          </w:p>
        </w:tc>
        <w:tc>
          <w:tcPr>
            <w:tcW w:w="8825" w:type="dxa"/>
            <w:gridSpan w:val="3"/>
            <w:vAlign w:val="center"/>
          </w:tcPr>
          <w:p w14:paraId="49382F27">
            <w:pPr>
              <w:snapToGrid w:val="0"/>
              <w:ind w:firstLine="560"/>
              <w:jc w:val="center"/>
              <w:rPr>
                <w:rFonts w:ascii="宋体" w:hAnsi="宋体" w:eastAsia="宋体" w:cs="仿宋"/>
                <w:sz w:val="28"/>
                <w:szCs w:val="28"/>
              </w:rPr>
            </w:pPr>
          </w:p>
        </w:tc>
      </w:tr>
    </w:tbl>
    <w:p w14:paraId="550E7A8C">
      <w:pPr>
        <w:spacing w:line="360" w:lineRule="auto"/>
        <w:ind w:firstLine="560"/>
        <w:rPr>
          <w:rFonts w:ascii="宋体" w:hAnsi="宋体" w:eastAsia="宋体" w:cs="仿宋"/>
          <w:color w:val="000000"/>
          <w:sz w:val="28"/>
          <w:szCs w:val="20"/>
        </w:rPr>
      </w:pPr>
      <w:r>
        <w:rPr>
          <w:rFonts w:hint="eastAsia" w:ascii="宋体" w:hAnsi="宋体" w:eastAsia="宋体" w:cs="仿宋"/>
          <w:color w:val="000000"/>
          <w:sz w:val="28"/>
          <w:szCs w:val="20"/>
        </w:rPr>
        <w:t>1</w:t>
      </w:r>
      <w:r>
        <w:rPr>
          <w:rFonts w:ascii="宋体" w:hAnsi="宋体" w:eastAsia="宋体" w:cs="仿宋"/>
          <w:color w:val="000000"/>
          <w:sz w:val="28"/>
          <w:szCs w:val="20"/>
        </w:rPr>
        <w:t>.本表无须装订，每轮谈判后，谈判小组通过政采云平台发起报价，供应商需填写本表后，以附件形式上传至平台。</w:t>
      </w:r>
    </w:p>
    <w:p w14:paraId="3167694E">
      <w:pPr>
        <w:pStyle w:val="15"/>
        <w:ind w:firstLine="560"/>
        <w:rPr>
          <w:rFonts w:ascii="宋体" w:hAnsi="宋体" w:eastAsia="宋体" w:cs="仿宋"/>
          <w:color w:val="000000"/>
          <w:sz w:val="28"/>
          <w:szCs w:val="20"/>
        </w:rPr>
      </w:pPr>
    </w:p>
    <w:p w14:paraId="2D40882D">
      <w:pPr>
        <w:pStyle w:val="15"/>
      </w:pPr>
    </w:p>
    <w:p w14:paraId="78BA1AAE">
      <w:pPr>
        <w:spacing w:line="360" w:lineRule="auto"/>
        <w:ind w:firstLine="560" w:firstLineChars="200"/>
        <w:rPr>
          <w:rFonts w:ascii="宋体" w:hAnsi="宋体" w:eastAsia="宋体" w:cs="仿宋"/>
          <w:color w:val="000000"/>
          <w:sz w:val="28"/>
          <w:szCs w:val="20"/>
        </w:rPr>
      </w:pPr>
      <w:r>
        <w:rPr>
          <w:rFonts w:hint="eastAsia" w:ascii="宋体" w:hAnsi="宋体" w:eastAsia="宋体" w:cs="仿宋"/>
          <w:color w:val="000000"/>
          <w:sz w:val="28"/>
          <w:szCs w:val="20"/>
        </w:rPr>
        <w:t xml:space="preserve">法定代表人或法定代表授权委托人：（签字或盖章）                  </w:t>
      </w:r>
    </w:p>
    <w:p w14:paraId="06C067D5">
      <w:pPr>
        <w:spacing w:line="360" w:lineRule="auto"/>
        <w:ind w:firstLine="560" w:firstLineChars="200"/>
        <w:rPr>
          <w:rFonts w:ascii="宋体" w:hAnsi="宋体" w:eastAsia="宋体" w:cs="仿宋"/>
          <w:color w:val="000000"/>
          <w:sz w:val="28"/>
          <w:szCs w:val="20"/>
        </w:rPr>
      </w:pPr>
      <w:r>
        <w:rPr>
          <w:rFonts w:hint="eastAsia" w:ascii="宋体" w:hAnsi="宋体" w:eastAsia="宋体" w:cs="仿宋"/>
          <w:color w:val="000000"/>
          <w:sz w:val="28"/>
          <w:szCs w:val="20"/>
        </w:rPr>
        <w:t>响应单位名称：（公章）</w:t>
      </w:r>
    </w:p>
    <w:p w14:paraId="5670B48E">
      <w:pPr>
        <w:ind w:firstLine="560"/>
        <w:rPr>
          <w:rFonts w:hint="eastAsia" w:ascii="宋体" w:hAnsi="宋体" w:eastAsia="宋体" w:cs="仿宋"/>
          <w:color w:val="000000"/>
          <w:sz w:val="28"/>
          <w:szCs w:val="24"/>
        </w:rPr>
      </w:pPr>
      <w:r>
        <w:rPr>
          <w:rFonts w:hint="eastAsia" w:ascii="宋体" w:hAnsi="宋体" w:eastAsia="宋体" w:cs="仿宋"/>
          <w:color w:val="000000"/>
          <w:sz w:val="28"/>
          <w:szCs w:val="24"/>
          <w:u w:val="single"/>
        </w:rPr>
        <w:t xml:space="preserve">      </w:t>
      </w:r>
      <w:r>
        <w:rPr>
          <w:rFonts w:hint="eastAsia" w:ascii="宋体" w:hAnsi="宋体" w:eastAsia="宋体" w:cs="仿宋"/>
          <w:color w:val="000000"/>
          <w:sz w:val="28"/>
          <w:szCs w:val="24"/>
        </w:rPr>
        <w:t>年</w:t>
      </w:r>
      <w:r>
        <w:rPr>
          <w:rFonts w:hint="eastAsia" w:ascii="宋体" w:hAnsi="宋体" w:eastAsia="宋体" w:cs="仿宋"/>
          <w:color w:val="000000"/>
          <w:sz w:val="28"/>
          <w:szCs w:val="24"/>
          <w:u w:val="single"/>
        </w:rPr>
        <w:t xml:space="preserve">   </w:t>
      </w:r>
      <w:r>
        <w:rPr>
          <w:rFonts w:hint="eastAsia" w:ascii="宋体" w:hAnsi="宋体" w:eastAsia="宋体" w:cs="仿宋"/>
          <w:color w:val="000000"/>
          <w:sz w:val="28"/>
          <w:szCs w:val="24"/>
        </w:rPr>
        <w:t>月</w:t>
      </w:r>
      <w:r>
        <w:rPr>
          <w:rFonts w:hint="eastAsia" w:ascii="宋体" w:hAnsi="宋体" w:eastAsia="宋体" w:cs="仿宋"/>
          <w:color w:val="000000"/>
          <w:sz w:val="28"/>
          <w:szCs w:val="24"/>
          <w:u w:val="single"/>
        </w:rPr>
        <w:t xml:space="preserve">   </w:t>
      </w:r>
      <w:r>
        <w:rPr>
          <w:rFonts w:hint="eastAsia" w:ascii="宋体" w:hAnsi="宋体" w:eastAsia="宋体" w:cs="仿宋"/>
          <w:color w:val="000000"/>
          <w:sz w:val="28"/>
          <w:szCs w:val="24"/>
        </w:rPr>
        <w:t>日</w:t>
      </w:r>
    </w:p>
    <w:p w14:paraId="421E65E4">
      <w:pPr>
        <w:rPr>
          <w:rFonts w:hint="eastAsia" w:ascii="宋体" w:hAnsi="宋体" w:eastAsia="宋体" w:cs="仿宋"/>
          <w:color w:val="000000"/>
          <w:sz w:val="28"/>
          <w:szCs w:val="24"/>
        </w:rPr>
      </w:pPr>
      <w:r>
        <w:rPr>
          <w:rFonts w:hint="eastAsia" w:ascii="宋体" w:hAnsi="宋体" w:eastAsia="宋体" w:cs="仿宋"/>
          <w:color w:val="000000"/>
          <w:sz w:val="28"/>
          <w:szCs w:val="24"/>
          <w:lang w:val="en-US" w:eastAsia="zh-CN"/>
        </w:rPr>
        <w:t>★本项目最终的明细报价清单以首次报价的清单价格作为价格基础，由成交人按照优惠率整体调整清单价格作为最终报价（优惠率为首次报价与成交价格为基准值计算）。成交人按要求在签订合同时提供该项目最终报价清单。</w:t>
      </w:r>
    </w:p>
    <w:sectPr>
      <w:headerReference r:id="rId15" w:type="default"/>
      <w:footerReference r:id="rId16" w:type="default"/>
      <w:type w:val="continuous"/>
      <w:pgSz w:w="11906" w:h="16838"/>
      <w:pgMar w:top="1440" w:right="1077" w:bottom="1440" w:left="1077" w:header="851" w:footer="992" w:gutter="0"/>
      <w:pgNumType w:fmt="decimal"/>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中等线_GBK">
    <w:altName w:val="Noto Sans SC"/>
    <w:panose1 w:val="00000000000000000000"/>
    <w:charset w:val="00"/>
    <w:family w:val="auto"/>
    <w:pitch w:val="default"/>
    <w:sig w:usb0="00000000" w:usb1="00000000" w:usb2="00000000" w:usb3="00000000" w:csb0="00040000" w:csb1="00000000"/>
  </w:font>
  <w:font w:name="Noto Sans SC">
    <w:panose1 w:val="020B0200000000000000"/>
    <w:charset w:val="86"/>
    <w:family w:val="auto"/>
    <w:pitch w:val="default"/>
    <w:sig w:usb0="20000083" w:usb1="2ADF3C10" w:usb2="00000016" w:usb3="00000000" w:csb0="60060107" w:csb1="00000000"/>
  </w:font>
  <w:font w:name="Microsoft YaHei UI">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
    <w:altName w:val="Arial"/>
    <w:panose1 w:val="00000000000000000000"/>
    <w:charset w:val="00"/>
    <w:family w:val="modern"/>
    <w:pitch w:val="default"/>
    <w:sig w:usb0="00000000" w:usb1="00000000" w:usb2="00000000" w:usb3="00000000" w:csb0="00000001" w:csb1="00000000"/>
  </w:font>
  <w:font w:name="MS Gothic">
    <w:panose1 w:val="020B0609070205080204"/>
    <w:charset w:val="80"/>
    <w:family w:val="modern"/>
    <w:pitch w:val="default"/>
    <w:sig w:usb0="E00002FF" w:usb1="6AC7FDFB" w:usb2="08000012" w:usb3="00000000" w:csb0="4002009F" w:csb1="DFD7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896E38">
    <w:pPr>
      <w:pStyle w:val="30"/>
      <w:rPr>
        <w:rFonts w:hint="eastAsia"/>
        <w:lang w:val="en-US" w:eastAsia="zh-CN"/>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124CDE">
    <w:pPr>
      <w:spacing w:line="174" w:lineRule="auto"/>
      <w:ind w:left="455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C3B1D5A">
                          <w:pPr>
                            <w:pStyle w:val="30"/>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OH7cfd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E4ftx90CAAAmBgAADgAAAAAAAAABACAAAAAfAQAAZHJzL2Uyb0RvYy54bWxQSwUG&#10;AAAAAAYABgBZAQAAbgYAAAAA&#10;">
              <v:fill on="f" focussize="0,0"/>
              <v:stroke on="f" weight="0.5pt"/>
              <v:imagedata o:title=""/>
              <o:lock v:ext="edit" aspectratio="f"/>
              <v:textbox inset="0mm,0mm,0mm,0mm" style="mso-fit-shape-to-text:t;">
                <w:txbxContent>
                  <w:p w14:paraId="3C3B1D5A">
                    <w:pPr>
                      <w:pStyle w:val="30"/>
                    </w:pPr>
                    <w:r>
                      <w:fldChar w:fldCharType="begin"/>
                    </w:r>
                    <w:r>
                      <w:instrText xml:space="preserve"> PAGE  \* MERGEFORMAT </w:instrText>
                    </w:r>
                    <w:r>
                      <w:fldChar w:fldCharType="separate"/>
                    </w:r>
                    <w:r>
                      <w:t>45</w:t>
                    </w:r>
                    <w:r>
                      <w:fldChar w:fldCharType="end"/>
                    </w:r>
                  </w:p>
                </w:txbxContent>
              </v:textbox>
            </v:shape>
          </w:pict>
        </mc:Fallback>
      </mc:AlternateContent>
    </w:r>
    <w:r>
      <w:rPr>
        <w:rFonts w:ascii="Times New Roman" w:hAnsi="Times New Roman" w:eastAsia="Times New Roman" w:cs="Times New Roman"/>
        <w:spacing w:val="-3"/>
        <w:sz w:val="18"/>
        <w:szCs w:val="18"/>
      </w:rPr>
      <w:t>54</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55D89D">
    <w:pPr>
      <w:spacing w:line="171" w:lineRule="auto"/>
      <w:ind w:left="463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21AAA37">
                          <w:pPr>
                            <w:pStyle w:val="30"/>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RbjTbd0CAAAmBgAADgAAAAAAAAABACAAAAAfAQAAZHJzL2Uyb0RvYy54bWxQSwUG&#10;AAAAAAYABgBZAQAAbgYAAAAA&#10;">
              <v:fill on="f" focussize="0,0"/>
              <v:stroke on="f" weight="0.5pt"/>
              <v:imagedata o:title=""/>
              <o:lock v:ext="edit" aspectratio="f"/>
              <v:textbox inset="0mm,0mm,0mm,0mm" style="mso-fit-shape-to-text:t;">
                <w:txbxContent>
                  <w:p w14:paraId="521AAA37">
                    <w:pPr>
                      <w:pStyle w:val="30"/>
                    </w:pPr>
                    <w:r>
                      <w:fldChar w:fldCharType="begin"/>
                    </w:r>
                    <w:r>
                      <w:instrText xml:space="preserve"> PAGE  \* MERGEFORMAT </w:instrText>
                    </w:r>
                    <w:r>
                      <w:fldChar w:fldCharType="separate"/>
                    </w:r>
                    <w:r>
                      <w:t>47</w:t>
                    </w:r>
                    <w:r>
                      <w:fldChar w:fldCharType="end"/>
                    </w:r>
                  </w:p>
                </w:txbxContent>
              </v:textbox>
            </v:shape>
          </w:pict>
        </mc:Fallback>
      </mc:AlternateContent>
    </w:r>
    <w:r>
      <w:rPr>
        <w:rFonts w:ascii="Times New Roman" w:hAnsi="Times New Roman" w:eastAsia="Times New Roman" w:cs="Times New Roman"/>
        <w:spacing w:val="-3"/>
        <w:sz w:val="18"/>
        <w:szCs w:val="18"/>
      </w:rPr>
      <w:t>55</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C990D4">
    <w:pPr>
      <w:pStyle w:val="30"/>
      <w:jc w:val="cente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AE26F77">
                          <w:pPr>
                            <w:pStyle w:val="30"/>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7/4Ejd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v/gSN0CAAAmBgAADgAAAAAAAAABACAAAAAfAQAAZHJzL2Uyb0RvYy54bWxQSwUG&#10;AAAAAAYABgBZAQAAbgYAAAAA&#10;">
              <v:fill on="f" focussize="0,0"/>
              <v:stroke on="f" weight="0.5pt"/>
              <v:imagedata o:title=""/>
              <o:lock v:ext="edit" aspectratio="f"/>
              <v:textbox inset="0mm,0mm,0mm,0mm" style="mso-fit-shape-to-text:t;">
                <w:txbxContent>
                  <w:p w14:paraId="5AE26F77">
                    <w:pPr>
                      <w:pStyle w:val="30"/>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0D4514">
    <w:pPr>
      <w:spacing w:line="174" w:lineRule="auto"/>
      <w:ind w:left="4079"/>
      <w:rPr>
        <w:rFonts w:hint="default" w:ascii="Times New Roman" w:hAnsi="Times New Roman" w:eastAsia="宋体" w:cs="Times New Roman"/>
        <w:sz w:val="18"/>
        <w:szCs w:val="18"/>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5DB88F6">
                          <w:pPr>
                            <w:pStyle w:val="3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75DB88F6">
                    <w:pPr>
                      <w:pStyle w:val="3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75DA4D">
    <w:pPr>
      <w:spacing w:line="174" w:lineRule="auto"/>
      <w:ind w:left="455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ABECB7F">
                          <w:pPr>
                            <w:pStyle w:val="30"/>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14:paraId="1ABECB7F">
                    <w:pPr>
                      <w:pStyle w:val="30"/>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B39859">
    <w:pPr>
      <w:spacing w:line="174" w:lineRule="auto"/>
      <w:ind w:left="455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34539FA">
                          <w:pPr>
                            <w:pStyle w:val="30"/>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LilsvdAgAAJAYAAA4AAABkcnMvZTJvRG9jLnhtbK1US27bMBDdF+gd&#10;CO4VSbbi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UuKWy90CAAAkBgAADgAAAAAAAAABACAAAAAfAQAAZHJzL2Uyb0RvYy54bWxQSwUG&#10;AAAAAAYABgBZAQAAbgYAAAAA&#10;">
              <v:fill on="f" focussize="0,0"/>
              <v:stroke on="f" weight="0.5pt"/>
              <v:imagedata o:title=""/>
              <o:lock v:ext="edit" aspectratio="f"/>
              <v:textbox inset="0mm,0mm,0mm,0mm" style="mso-fit-shape-to-text:t;">
                <w:txbxContent>
                  <w:p w14:paraId="434539FA">
                    <w:pPr>
                      <w:pStyle w:val="30"/>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06A39E">
    <w:pPr>
      <w:spacing w:line="174" w:lineRule="auto"/>
      <w:ind w:left="455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8213762">
                          <w:pPr>
                            <w:pStyle w:val="30"/>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PRhHJN0CAAAkBgAADgAAAAAAAAABACAAAAAfAQAAZHJzL2Uyb0RvYy54bWxQSwUG&#10;AAAAAAYABgBZAQAAbgYAAAAA&#10;">
              <v:fill on="f" focussize="0,0"/>
              <v:stroke on="f" weight="0.5pt"/>
              <v:imagedata o:title=""/>
              <o:lock v:ext="edit" aspectratio="f"/>
              <v:textbox inset="0mm,0mm,0mm,0mm" style="mso-fit-shape-to-text:t;">
                <w:txbxContent>
                  <w:p w14:paraId="68213762">
                    <w:pPr>
                      <w:pStyle w:val="30"/>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9239FE">
    <w:pPr>
      <w:spacing w:line="174" w:lineRule="auto"/>
      <w:ind w:left="455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AF6FDF6">
                          <w:pPr>
                            <w:pStyle w:val="30"/>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mF77cAgAAJ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AqZhe+3AIAACQGAAAOAAAAAAAAAAEAIAAAAB8BAABkcnMvZTJvRG9jLnhtbFBLBQYA&#10;AAAABgAGAFkBAABtBgAAAAA=&#10;">
              <v:fill on="f" focussize="0,0"/>
              <v:stroke on="f" weight="0.5pt"/>
              <v:imagedata o:title=""/>
              <o:lock v:ext="edit" aspectratio="f"/>
              <v:textbox inset="0mm,0mm,0mm,0mm" style="mso-fit-shape-to-text:t;">
                <w:txbxContent>
                  <w:p w14:paraId="7AF6FDF6">
                    <w:pPr>
                      <w:pStyle w:val="30"/>
                    </w:pPr>
                    <w:r>
                      <w:fldChar w:fldCharType="begin"/>
                    </w:r>
                    <w:r>
                      <w:instrText xml:space="preserve"> PAGE  \* MERGEFORMAT </w:instrText>
                    </w:r>
                    <w:r>
                      <w:fldChar w:fldCharType="separate"/>
                    </w:r>
                    <w:r>
                      <w:t>40</w:t>
                    </w:r>
                    <w:r>
                      <w:fldChar w:fldCharType="end"/>
                    </w:r>
                  </w:p>
                </w:txbxContent>
              </v:textbox>
            </v:shape>
          </w:pict>
        </mc:Fallback>
      </mc:AlternateContent>
    </w:r>
    <w:r>
      <w:rPr>
        <w:rFonts w:ascii="Times New Roman" w:hAnsi="Times New Roman" w:eastAsia="Times New Roman" w:cs="Times New Roman"/>
        <w:spacing w:val="-3"/>
        <w:sz w:val="18"/>
        <w:szCs w:val="18"/>
      </w:rPr>
      <w:t>50</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8E5DCE">
    <w:pPr>
      <w:spacing w:line="174" w:lineRule="auto"/>
      <w:ind w:left="456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0D36FB1">
                          <w:pPr>
                            <w:pStyle w:val="30"/>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J0wnyN0CAAAkBgAADgAAAAAAAAABACAAAAAfAQAAZHJzL2Uyb0RvYy54bWxQSwUG&#10;AAAAAAYABgBZAQAAbgYAAAAA&#10;">
              <v:fill on="f" focussize="0,0"/>
              <v:stroke on="f" weight="0.5pt"/>
              <v:imagedata o:title=""/>
              <o:lock v:ext="edit" aspectratio="f"/>
              <v:textbox inset="0mm,0mm,0mm,0mm" style="mso-fit-shape-to-text:t;">
                <w:txbxContent>
                  <w:p w14:paraId="00D36FB1">
                    <w:pPr>
                      <w:pStyle w:val="30"/>
                    </w:pPr>
                    <w:r>
                      <w:fldChar w:fldCharType="begin"/>
                    </w:r>
                    <w:r>
                      <w:instrText xml:space="preserve"> PAGE  \* MERGEFORMAT </w:instrText>
                    </w:r>
                    <w:r>
                      <w:fldChar w:fldCharType="separate"/>
                    </w:r>
                    <w:r>
                      <w:t>41</w:t>
                    </w:r>
                    <w:r>
                      <w:fldChar w:fldCharType="end"/>
                    </w:r>
                  </w:p>
                </w:txbxContent>
              </v:textbox>
            </v:shape>
          </w:pict>
        </mc:Fallback>
      </mc:AlternateContent>
    </w:r>
    <w:r>
      <w:rPr>
        <w:rFonts w:ascii="Times New Roman" w:hAnsi="Times New Roman" w:eastAsia="Times New Roman" w:cs="Times New Roman"/>
        <w:spacing w:val="-3"/>
        <w:sz w:val="18"/>
        <w:szCs w:val="18"/>
      </w:rPr>
      <w:t>51</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79609F">
    <w:pPr>
      <w:spacing w:line="174" w:lineRule="auto"/>
      <w:ind w:left="456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450BDCC">
                          <w:pPr>
                            <w:pStyle w:val="30"/>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CvwKVW3AIAACQGAAAOAAAAAAAAAAEAIAAAAB8BAABkcnMvZTJvRG9jLnhtbFBLBQYA&#10;AAAABgAGAFkBAABtBgAAAAA=&#10;">
              <v:fill on="f" focussize="0,0"/>
              <v:stroke on="f" weight="0.5pt"/>
              <v:imagedata o:title=""/>
              <o:lock v:ext="edit" aspectratio="f"/>
              <v:textbox inset="0mm,0mm,0mm,0mm" style="mso-fit-shape-to-text:t;">
                <w:txbxContent>
                  <w:p w14:paraId="2450BDCC">
                    <w:pPr>
                      <w:pStyle w:val="30"/>
                    </w:pPr>
                    <w:r>
                      <w:fldChar w:fldCharType="begin"/>
                    </w:r>
                    <w:r>
                      <w:instrText xml:space="preserve"> PAGE  \* MERGEFORMAT </w:instrText>
                    </w:r>
                    <w:r>
                      <w:fldChar w:fldCharType="separate"/>
                    </w:r>
                    <w:r>
                      <w:t>42</w:t>
                    </w:r>
                    <w:r>
                      <w:fldChar w:fldCharType="end"/>
                    </w:r>
                  </w:p>
                </w:txbxContent>
              </v:textbox>
            </v:shape>
          </w:pict>
        </mc:Fallback>
      </mc:AlternateContent>
    </w:r>
    <w:r>
      <w:rPr>
        <w:rFonts w:ascii="Times New Roman" w:hAnsi="Times New Roman" w:eastAsia="Times New Roman" w:cs="Times New Roman"/>
        <w:spacing w:val="-3"/>
        <w:sz w:val="18"/>
        <w:szCs w:val="18"/>
      </w:rPr>
      <w:t>52</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527E6E">
    <w:pPr>
      <w:spacing w:line="174" w:lineRule="auto"/>
      <w:ind w:left="455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8507CEC">
                          <w:pPr>
                            <w:pStyle w:val="30"/>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Ci6pUg3AIAACQGAAAOAAAAAAAAAAEAIAAAAB8BAABkcnMvZTJvRG9jLnhtbFBLBQYA&#10;AAAABgAGAFkBAABtBgAAAAA=&#10;">
              <v:fill on="f" focussize="0,0"/>
              <v:stroke on="f" weight="0.5pt"/>
              <v:imagedata o:title=""/>
              <o:lock v:ext="edit" aspectratio="f"/>
              <v:textbox inset="0mm,0mm,0mm,0mm" style="mso-fit-shape-to-text:t;">
                <w:txbxContent>
                  <w:p w14:paraId="48507CEC">
                    <w:pPr>
                      <w:pStyle w:val="30"/>
                    </w:pPr>
                    <w:r>
                      <w:fldChar w:fldCharType="begin"/>
                    </w:r>
                    <w:r>
                      <w:instrText xml:space="preserve"> PAGE  \* MERGEFORMAT </w:instrText>
                    </w:r>
                    <w:r>
                      <w:fldChar w:fldCharType="separate"/>
                    </w:r>
                    <w:r>
                      <w:t>43</w:t>
                    </w:r>
                    <w:r>
                      <w:fldChar w:fldCharType="end"/>
                    </w:r>
                  </w:p>
                </w:txbxContent>
              </v:textbox>
            </v:shape>
          </w:pict>
        </mc:Fallback>
      </mc:AlternateContent>
    </w:r>
    <w:r>
      <w:rPr>
        <w:rFonts w:ascii="Times New Roman" w:hAnsi="Times New Roman" w:eastAsia="Times New Roman" w:cs="Times New Roman"/>
        <w:spacing w:val="-3"/>
        <w:sz w:val="18"/>
        <w:szCs w:val="18"/>
      </w:rPr>
      <w:t>53</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0B4AF5">
    <w:pPr>
      <w:pStyle w:val="31"/>
      <w:rPr>
        <w:rStyle w:val="74"/>
        <w:rFonts w:ascii="Times New Roman" w:eastAsia="宋体"/>
        <w:b w:val="0"/>
        <w:i w:val="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53F433">
    <w:pPr>
      <w:pStyle w:val="3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8"/>
    <w:multiLevelType w:val="multilevel"/>
    <w:tmpl w:val="00000008"/>
    <w:lvl w:ilvl="0" w:tentative="0">
      <w:start w:val="1"/>
      <w:numFmt w:val="decimal"/>
      <w:lvlText w:val="2.1.%1"/>
      <w:lvlJc w:val="left"/>
      <w:pPr>
        <w:tabs>
          <w:tab w:val="left" w:pos="1260"/>
        </w:tabs>
        <w:ind w:left="972" w:hanging="432"/>
      </w:pPr>
      <w:rPr>
        <w:rFonts w:hint="eastAsia"/>
      </w:rPr>
    </w:lvl>
    <w:lvl w:ilvl="1" w:tentative="0">
      <w:start w:val="1"/>
      <w:numFmt w:val="decimal"/>
      <w:lvlText w:val="%1.%2"/>
      <w:lvlJc w:val="left"/>
      <w:pPr>
        <w:tabs>
          <w:tab w:val="left" w:pos="1296"/>
        </w:tabs>
        <w:ind w:left="1296" w:hanging="576"/>
      </w:pPr>
      <w:rPr>
        <w:rFonts w:hint="eastAsia"/>
      </w:rPr>
    </w:lvl>
    <w:lvl w:ilvl="2" w:tentative="0">
      <w:start w:val="1"/>
      <w:numFmt w:val="decimal"/>
      <w:pStyle w:val="6"/>
      <w:lvlText w:val="%1.%2.%3"/>
      <w:lvlJc w:val="left"/>
      <w:pPr>
        <w:tabs>
          <w:tab w:val="left" w:pos="1260"/>
        </w:tabs>
        <w:ind w:left="1260" w:hanging="720"/>
      </w:pPr>
      <w:rPr>
        <w:rFonts w:hint="eastAsia"/>
      </w:rPr>
    </w:lvl>
    <w:lvl w:ilvl="3" w:tentative="0">
      <w:start w:val="1"/>
      <w:numFmt w:val="decimal"/>
      <w:lvlText w:val="%1.%2.%3.%4"/>
      <w:lvlJc w:val="left"/>
      <w:pPr>
        <w:tabs>
          <w:tab w:val="left" w:pos="1404"/>
        </w:tabs>
        <w:ind w:left="1404" w:hanging="864"/>
      </w:pPr>
      <w:rPr>
        <w:rFonts w:hint="eastAsia"/>
      </w:rPr>
    </w:lvl>
    <w:lvl w:ilvl="4" w:tentative="0">
      <w:start w:val="1"/>
      <w:numFmt w:val="decimal"/>
      <w:lvlText w:val="%1.%2.%3.%4.%5"/>
      <w:lvlJc w:val="left"/>
      <w:pPr>
        <w:tabs>
          <w:tab w:val="left" w:pos="1548"/>
        </w:tabs>
        <w:ind w:left="1548" w:hanging="1008"/>
      </w:pPr>
      <w:rPr>
        <w:rFonts w:hint="eastAsia"/>
      </w:rPr>
    </w:lvl>
    <w:lvl w:ilvl="5" w:tentative="0">
      <w:start w:val="1"/>
      <w:numFmt w:val="decimal"/>
      <w:lvlText w:val="%1.%2.%3.%4.%5.%6"/>
      <w:lvlJc w:val="left"/>
      <w:pPr>
        <w:tabs>
          <w:tab w:val="left" w:pos="1692"/>
        </w:tabs>
        <w:ind w:left="1692" w:hanging="1152"/>
      </w:pPr>
      <w:rPr>
        <w:rFonts w:hint="eastAsia"/>
      </w:rPr>
    </w:lvl>
    <w:lvl w:ilvl="6" w:tentative="0">
      <w:start w:val="1"/>
      <w:numFmt w:val="decimal"/>
      <w:lvlText w:val="%1.%2.%3.%4.%5.%6.%7"/>
      <w:lvlJc w:val="left"/>
      <w:pPr>
        <w:tabs>
          <w:tab w:val="left" w:pos="1836"/>
        </w:tabs>
        <w:ind w:left="1836" w:hanging="1296"/>
      </w:pPr>
      <w:rPr>
        <w:rFonts w:hint="eastAsia"/>
      </w:rPr>
    </w:lvl>
    <w:lvl w:ilvl="7" w:tentative="0">
      <w:start w:val="1"/>
      <w:numFmt w:val="decimal"/>
      <w:lvlText w:val="%1.%2.%3.%4.%5.%6.%7.%8"/>
      <w:lvlJc w:val="left"/>
      <w:pPr>
        <w:tabs>
          <w:tab w:val="left" w:pos="1980"/>
        </w:tabs>
        <w:ind w:left="1980" w:hanging="1440"/>
      </w:pPr>
      <w:rPr>
        <w:rFonts w:hint="eastAsia"/>
      </w:rPr>
    </w:lvl>
    <w:lvl w:ilvl="8" w:tentative="0">
      <w:start w:val="1"/>
      <w:numFmt w:val="decimal"/>
      <w:lvlText w:val="%1.%2.%3.%4.%5.%6.%7.%8.%9"/>
      <w:lvlJc w:val="left"/>
      <w:pPr>
        <w:tabs>
          <w:tab w:val="left" w:pos="2124"/>
        </w:tabs>
        <w:ind w:left="2124" w:hanging="1584"/>
      </w:pPr>
      <w:rPr>
        <w:rFonts w:hint="eastAsia"/>
      </w:rPr>
    </w:lvl>
  </w:abstractNum>
  <w:abstractNum w:abstractNumId="1">
    <w:nsid w:val="28DAB95B"/>
    <w:multiLevelType w:val="singleLevel"/>
    <w:tmpl w:val="28DAB95B"/>
    <w:lvl w:ilvl="0" w:tentative="0">
      <w:start w:val="9"/>
      <w:numFmt w:val="decimal"/>
      <w:suff w:val="nothing"/>
      <w:lvlText w:val="%1）"/>
      <w:lvlJc w:val="left"/>
    </w:lvl>
  </w:abstractNum>
  <w:abstractNum w:abstractNumId="2">
    <w:nsid w:val="628055A6"/>
    <w:multiLevelType w:val="singleLevel"/>
    <w:tmpl w:val="628055A6"/>
    <w:lvl w:ilvl="0" w:tentative="0">
      <w:start w:val="6"/>
      <w:numFmt w:val="decimal"/>
      <w:suff w:val="nothing"/>
      <w:lvlText w:val="%1）"/>
      <w:lvlJc w:val="left"/>
    </w:lvl>
  </w:abstractNum>
  <w:abstractNum w:abstractNumId="3">
    <w:nsid w:val="7BF75193"/>
    <w:multiLevelType w:val="singleLevel"/>
    <w:tmpl w:val="7BF75193"/>
    <w:lvl w:ilvl="0" w:tentative="0">
      <w:start w:val="2"/>
      <w:numFmt w:val="chineseCounting"/>
      <w:suff w:val="nothing"/>
      <w:lvlText w:val="%1、"/>
      <w:lvlJc w:val="left"/>
      <w:rPr>
        <w:rFonts w:hint="eastAsia"/>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MwYjY1MDdiYzI4NDc4YjAwZDViNDU1ZjdkMTEzNDgifQ=="/>
  </w:docVars>
  <w:rsids>
    <w:rsidRoot w:val="00A41E41"/>
    <w:rsid w:val="00000264"/>
    <w:rsid w:val="0002671E"/>
    <w:rsid w:val="00027C8D"/>
    <w:rsid w:val="00032CEB"/>
    <w:rsid w:val="00033D3D"/>
    <w:rsid w:val="000515FA"/>
    <w:rsid w:val="00051B81"/>
    <w:rsid w:val="00071D58"/>
    <w:rsid w:val="000769AA"/>
    <w:rsid w:val="00093320"/>
    <w:rsid w:val="00105AB7"/>
    <w:rsid w:val="00115E12"/>
    <w:rsid w:val="00137DDA"/>
    <w:rsid w:val="001446DF"/>
    <w:rsid w:val="00145242"/>
    <w:rsid w:val="001B6A75"/>
    <w:rsid w:val="001B7899"/>
    <w:rsid w:val="001F34E1"/>
    <w:rsid w:val="00201A6F"/>
    <w:rsid w:val="0021238A"/>
    <w:rsid w:val="00222C25"/>
    <w:rsid w:val="002340ED"/>
    <w:rsid w:val="00236649"/>
    <w:rsid w:val="0024424D"/>
    <w:rsid w:val="0025093F"/>
    <w:rsid w:val="00275B43"/>
    <w:rsid w:val="0029207A"/>
    <w:rsid w:val="00293775"/>
    <w:rsid w:val="002A04F8"/>
    <w:rsid w:val="002A1F54"/>
    <w:rsid w:val="002A54CA"/>
    <w:rsid w:val="002C6D28"/>
    <w:rsid w:val="002E3FD9"/>
    <w:rsid w:val="00311F09"/>
    <w:rsid w:val="0033431B"/>
    <w:rsid w:val="00336827"/>
    <w:rsid w:val="0035231C"/>
    <w:rsid w:val="00365D49"/>
    <w:rsid w:val="00384A97"/>
    <w:rsid w:val="00384AE1"/>
    <w:rsid w:val="003954CD"/>
    <w:rsid w:val="003A79EC"/>
    <w:rsid w:val="00411B75"/>
    <w:rsid w:val="00444C02"/>
    <w:rsid w:val="00496644"/>
    <w:rsid w:val="004F0494"/>
    <w:rsid w:val="004F0A43"/>
    <w:rsid w:val="004F2344"/>
    <w:rsid w:val="00503D81"/>
    <w:rsid w:val="00525253"/>
    <w:rsid w:val="00526D5F"/>
    <w:rsid w:val="00530247"/>
    <w:rsid w:val="00565762"/>
    <w:rsid w:val="005A2571"/>
    <w:rsid w:val="005B1B89"/>
    <w:rsid w:val="005B3090"/>
    <w:rsid w:val="005D2C22"/>
    <w:rsid w:val="005D3F56"/>
    <w:rsid w:val="005E0DB1"/>
    <w:rsid w:val="005E4136"/>
    <w:rsid w:val="005E42BB"/>
    <w:rsid w:val="00607A63"/>
    <w:rsid w:val="0061336B"/>
    <w:rsid w:val="006258E7"/>
    <w:rsid w:val="00630A55"/>
    <w:rsid w:val="00640822"/>
    <w:rsid w:val="00647CF6"/>
    <w:rsid w:val="006D0FE1"/>
    <w:rsid w:val="006D4637"/>
    <w:rsid w:val="006D487D"/>
    <w:rsid w:val="007176BF"/>
    <w:rsid w:val="00720F30"/>
    <w:rsid w:val="00722017"/>
    <w:rsid w:val="00746425"/>
    <w:rsid w:val="007609FA"/>
    <w:rsid w:val="0076138D"/>
    <w:rsid w:val="00794293"/>
    <w:rsid w:val="007A44E4"/>
    <w:rsid w:val="007B0BE6"/>
    <w:rsid w:val="007B2517"/>
    <w:rsid w:val="007D4502"/>
    <w:rsid w:val="008076EA"/>
    <w:rsid w:val="00823315"/>
    <w:rsid w:val="00826C56"/>
    <w:rsid w:val="008711F4"/>
    <w:rsid w:val="00873EAA"/>
    <w:rsid w:val="00883DCA"/>
    <w:rsid w:val="00886D5E"/>
    <w:rsid w:val="008974F7"/>
    <w:rsid w:val="008A5B5B"/>
    <w:rsid w:val="008A647B"/>
    <w:rsid w:val="008A671A"/>
    <w:rsid w:val="00921E4F"/>
    <w:rsid w:val="009359BC"/>
    <w:rsid w:val="00950B34"/>
    <w:rsid w:val="00964DC1"/>
    <w:rsid w:val="00966A60"/>
    <w:rsid w:val="00997473"/>
    <w:rsid w:val="009A5CDA"/>
    <w:rsid w:val="009A7486"/>
    <w:rsid w:val="009B1AAB"/>
    <w:rsid w:val="009C7417"/>
    <w:rsid w:val="009D555D"/>
    <w:rsid w:val="009E57BA"/>
    <w:rsid w:val="009F0509"/>
    <w:rsid w:val="00A06591"/>
    <w:rsid w:val="00A07399"/>
    <w:rsid w:val="00A12A7A"/>
    <w:rsid w:val="00A2223A"/>
    <w:rsid w:val="00A24968"/>
    <w:rsid w:val="00A25A6C"/>
    <w:rsid w:val="00A30A68"/>
    <w:rsid w:val="00A359B7"/>
    <w:rsid w:val="00A41E41"/>
    <w:rsid w:val="00A52CAE"/>
    <w:rsid w:val="00A622AA"/>
    <w:rsid w:val="00A63D9C"/>
    <w:rsid w:val="00A821BF"/>
    <w:rsid w:val="00AA0407"/>
    <w:rsid w:val="00AA194C"/>
    <w:rsid w:val="00AC7A93"/>
    <w:rsid w:val="00AF662B"/>
    <w:rsid w:val="00B21A12"/>
    <w:rsid w:val="00B2681B"/>
    <w:rsid w:val="00B26C21"/>
    <w:rsid w:val="00B26EC0"/>
    <w:rsid w:val="00B309F2"/>
    <w:rsid w:val="00B600AF"/>
    <w:rsid w:val="00BB72FF"/>
    <w:rsid w:val="00BC2E78"/>
    <w:rsid w:val="00BC7A23"/>
    <w:rsid w:val="00BD56AD"/>
    <w:rsid w:val="00BF1A09"/>
    <w:rsid w:val="00C01994"/>
    <w:rsid w:val="00C071E5"/>
    <w:rsid w:val="00C159B4"/>
    <w:rsid w:val="00C243B5"/>
    <w:rsid w:val="00C27F4B"/>
    <w:rsid w:val="00C405FD"/>
    <w:rsid w:val="00C41D51"/>
    <w:rsid w:val="00C6680B"/>
    <w:rsid w:val="00C74A8A"/>
    <w:rsid w:val="00C80142"/>
    <w:rsid w:val="00C80D0D"/>
    <w:rsid w:val="00CA2FE4"/>
    <w:rsid w:val="00CB4D80"/>
    <w:rsid w:val="00CD2B53"/>
    <w:rsid w:val="00CF273D"/>
    <w:rsid w:val="00D023E3"/>
    <w:rsid w:val="00D05992"/>
    <w:rsid w:val="00D24175"/>
    <w:rsid w:val="00D26C87"/>
    <w:rsid w:val="00D60793"/>
    <w:rsid w:val="00D62B81"/>
    <w:rsid w:val="00D72CCD"/>
    <w:rsid w:val="00D7607D"/>
    <w:rsid w:val="00DA3702"/>
    <w:rsid w:val="00DA6A59"/>
    <w:rsid w:val="00DB40AE"/>
    <w:rsid w:val="00E021EF"/>
    <w:rsid w:val="00E30FCF"/>
    <w:rsid w:val="00E47787"/>
    <w:rsid w:val="00E64EEC"/>
    <w:rsid w:val="00E7140D"/>
    <w:rsid w:val="00E7673D"/>
    <w:rsid w:val="00EA26F8"/>
    <w:rsid w:val="00EA3906"/>
    <w:rsid w:val="00EB0FE3"/>
    <w:rsid w:val="00ED17E4"/>
    <w:rsid w:val="00ED4F9A"/>
    <w:rsid w:val="00EF08F0"/>
    <w:rsid w:val="00F1213B"/>
    <w:rsid w:val="00F21C4D"/>
    <w:rsid w:val="00F251F0"/>
    <w:rsid w:val="00F45266"/>
    <w:rsid w:val="00F52721"/>
    <w:rsid w:val="00F52C7B"/>
    <w:rsid w:val="00F7582E"/>
    <w:rsid w:val="00FE24E0"/>
    <w:rsid w:val="00FF4647"/>
    <w:rsid w:val="00FF680F"/>
    <w:rsid w:val="018455CD"/>
    <w:rsid w:val="02C569BE"/>
    <w:rsid w:val="02CB7DA4"/>
    <w:rsid w:val="03D4012E"/>
    <w:rsid w:val="04BD7B8A"/>
    <w:rsid w:val="064864B0"/>
    <w:rsid w:val="0797489E"/>
    <w:rsid w:val="07BC347A"/>
    <w:rsid w:val="08A82FCC"/>
    <w:rsid w:val="08B23E59"/>
    <w:rsid w:val="0AAF25E0"/>
    <w:rsid w:val="0B563119"/>
    <w:rsid w:val="0D7F3B30"/>
    <w:rsid w:val="0FAB48AB"/>
    <w:rsid w:val="106930CF"/>
    <w:rsid w:val="11547C88"/>
    <w:rsid w:val="11AE2812"/>
    <w:rsid w:val="126B0AD1"/>
    <w:rsid w:val="12FE0737"/>
    <w:rsid w:val="144E4364"/>
    <w:rsid w:val="147C43C1"/>
    <w:rsid w:val="14D42C8D"/>
    <w:rsid w:val="189F0C59"/>
    <w:rsid w:val="19976C42"/>
    <w:rsid w:val="1ADD0697"/>
    <w:rsid w:val="202A106E"/>
    <w:rsid w:val="212E507B"/>
    <w:rsid w:val="242E584E"/>
    <w:rsid w:val="24913F18"/>
    <w:rsid w:val="24C325C8"/>
    <w:rsid w:val="28366A88"/>
    <w:rsid w:val="296251DC"/>
    <w:rsid w:val="2ABC1226"/>
    <w:rsid w:val="2B293012"/>
    <w:rsid w:val="2B68546B"/>
    <w:rsid w:val="2B8C04DE"/>
    <w:rsid w:val="2D803C95"/>
    <w:rsid w:val="2E0771FC"/>
    <w:rsid w:val="2EC81EED"/>
    <w:rsid w:val="311F308B"/>
    <w:rsid w:val="33C56993"/>
    <w:rsid w:val="341658F6"/>
    <w:rsid w:val="34B453EB"/>
    <w:rsid w:val="36685DC9"/>
    <w:rsid w:val="374814F9"/>
    <w:rsid w:val="3A9D1CD0"/>
    <w:rsid w:val="3B90629C"/>
    <w:rsid w:val="3D45206A"/>
    <w:rsid w:val="3D8350B0"/>
    <w:rsid w:val="3E283F16"/>
    <w:rsid w:val="3F174709"/>
    <w:rsid w:val="3F2E427F"/>
    <w:rsid w:val="3FF63AD7"/>
    <w:rsid w:val="43264D48"/>
    <w:rsid w:val="44707EC4"/>
    <w:rsid w:val="4873281A"/>
    <w:rsid w:val="49203F9B"/>
    <w:rsid w:val="4A302CAC"/>
    <w:rsid w:val="4BD5741E"/>
    <w:rsid w:val="4C0D543C"/>
    <w:rsid w:val="4FEC6C15"/>
    <w:rsid w:val="50F73649"/>
    <w:rsid w:val="524424F9"/>
    <w:rsid w:val="529C40E3"/>
    <w:rsid w:val="52BE1C88"/>
    <w:rsid w:val="53763A76"/>
    <w:rsid w:val="53F96723"/>
    <w:rsid w:val="5641747C"/>
    <w:rsid w:val="564E22B5"/>
    <w:rsid w:val="56876D94"/>
    <w:rsid w:val="58071DF7"/>
    <w:rsid w:val="58632C40"/>
    <w:rsid w:val="5D2044AB"/>
    <w:rsid w:val="5F4A29C5"/>
    <w:rsid w:val="65180EAD"/>
    <w:rsid w:val="653F727C"/>
    <w:rsid w:val="65A04EA1"/>
    <w:rsid w:val="65F1139E"/>
    <w:rsid w:val="668D72D5"/>
    <w:rsid w:val="66D67948"/>
    <w:rsid w:val="67C32D4C"/>
    <w:rsid w:val="69E07ADF"/>
    <w:rsid w:val="6A643940"/>
    <w:rsid w:val="766626A7"/>
    <w:rsid w:val="76871C26"/>
    <w:rsid w:val="78BC47EE"/>
    <w:rsid w:val="78CC219A"/>
    <w:rsid w:val="79BF0C4D"/>
    <w:rsid w:val="7A8712B5"/>
    <w:rsid w:val="7D33764D"/>
    <w:rsid w:val="7DE46736"/>
    <w:rsid w:val="7E2933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qFormat="1" w:unhideWhenUsed="0" w:uiPriority="0" w:semiHidden="0" w:name="index 4"/>
    <w:lsdException w:uiPriority="99" w:name="index 5"/>
    <w:lsdException w:uiPriority="99" w:name="index 6"/>
    <w:lsdException w:qFormat="1" w:unhideWhenUsed="0" w:uiPriority="0" w:semiHidden="0"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iPriority="0" w:semiHidden="0" w:name="Normal Indent"/>
    <w:lsdException w:qFormat="1" w:uiPriority="99" w:semiHidden="0" w:name="footnote text"/>
    <w:lsdException w:qFormat="1"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99" w:semiHidden="0" w:name="List 2"/>
    <w:lsdException w:uiPriority="99" w:name="List 3"/>
    <w:lsdException w:uiPriority="99" w:name="List 4"/>
    <w:lsdException w:uiPriority="99" w:name="List 5"/>
    <w:lsdException w:uiPriority="99" w:name="List Bullet 2"/>
    <w:lsdException w:uiPriority="99" w:name="List Bullet 3"/>
    <w:lsdException w:qFormat="1" w:unhideWhenUsed="0" w:uiPriority="0" w:semiHidden="0"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99" w:semiHidden="0" w:name="Body Text First Indent"/>
    <w:lsdException w:qFormat="1" w:unhideWhenUsed="0" w:uiPriority="99" w:semiHidden="0"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semiHidden="0" w:name="HTML Preformatted"/>
    <w:lsdException w:qFormat="1" w:unhideWhenUsed="0" w:uiPriority="0" w:semiHidden="0"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57"/>
    <w:qFormat/>
    <w:uiPriority w:val="0"/>
    <w:pPr>
      <w:spacing w:line="360" w:lineRule="auto"/>
      <w:outlineLvl w:val="0"/>
    </w:pPr>
    <w:rPr>
      <w:rFonts w:ascii="仿宋" w:hAnsi="仿宋" w:eastAsia="仿宋" w:cs="Times New Roman"/>
      <w:color w:val="000000"/>
      <w:sz w:val="36"/>
      <w:szCs w:val="20"/>
    </w:rPr>
  </w:style>
  <w:style w:type="paragraph" w:styleId="4">
    <w:name w:val="heading 2"/>
    <w:basedOn w:val="5"/>
    <w:next w:val="1"/>
    <w:link w:val="58"/>
    <w:qFormat/>
    <w:uiPriority w:val="0"/>
    <w:pPr>
      <w:spacing w:before="240" w:after="120" w:line="520" w:lineRule="exact"/>
      <w:outlineLvl w:val="1"/>
    </w:pPr>
    <w:rPr>
      <w:rFonts w:ascii="仿宋" w:hAnsi="仿宋" w:eastAsia="仿宋"/>
      <w:b/>
      <w:color w:val="000000"/>
      <w:kern w:val="0"/>
      <w:sz w:val="28"/>
    </w:rPr>
  </w:style>
  <w:style w:type="paragraph" w:styleId="6">
    <w:name w:val="heading 3"/>
    <w:basedOn w:val="1"/>
    <w:next w:val="1"/>
    <w:link w:val="59"/>
    <w:qFormat/>
    <w:uiPriority w:val="0"/>
    <w:pPr>
      <w:keepNext/>
      <w:keepLines/>
      <w:numPr>
        <w:ilvl w:val="2"/>
        <w:numId w:val="1"/>
      </w:numPr>
      <w:tabs>
        <w:tab w:val="left" w:pos="720"/>
      </w:tabs>
      <w:adjustRightInd w:val="0"/>
      <w:spacing w:before="260" w:after="260" w:line="416" w:lineRule="atLeast"/>
      <w:jc w:val="left"/>
      <w:textAlignment w:val="baseline"/>
      <w:outlineLvl w:val="2"/>
    </w:pPr>
    <w:rPr>
      <w:rFonts w:ascii="Times New Roman" w:hAnsi="Times New Roman" w:eastAsia="黑体" w:cs="Times New Roman"/>
      <w:b/>
      <w:kern w:val="0"/>
      <w:sz w:val="24"/>
      <w:szCs w:val="20"/>
    </w:rPr>
  </w:style>
  <w:style w:type="paragraph" w:styleId="7">
    <w:name w:val="heading 4"/>
    <w:basedOn w:val="1"/>
    <w:next w:val="1"/>
    <w:link w:val="88"/>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8">
    <w:name w:val="heading 5"/>
    <w:basedOn w:val="1"/>
    <w:next w:val="1"/>
    <w:link w:val="95"/>
    <w:qFormat/>
    <w:uiPriority w:val="0"/>
    <w:pPr>
      <w:keepNext/>
      <w:keepLines/>
      <w:spacing w:before="280" w:after="290" w:line="372" w:lineRule="auto"/>
      <w:outlineLvl w:val="4"/>
    </w:pPr>
    <w:rPr>
      <w:rFonts w:ascii="Times New Roman" w:hAnsi="Times New Roman" w:eastAsia="微软雅黑" w:cs="Times New Roman"/>
      <w:b/>
      <w:bCs/>
      <w:sz w:val="28"/>
      <w:szCs w:val="28"/>
    </w:rPr>
  </w:style>
  <w:style w:type="paragraph" w:styleId="9">
    <w:name w:val="heading 6"/>
    <w:basedOn w:val="1"/>
    <w:next w:val="1"/>
    <w:link w:val="96"/>
    <w:qFormat/>
    <w:uiPriority w:val="0"/>
    <w:pPr>
      <w:keepNext/>
      <w:keepLines/>
      <w:spacing w:before="240" w:after="64" w:line="317" w:lineRule="auto"/>
      <w:outlineLvl w:val="5"/>
    </w:pPr>
    <w:rPr>
      <w:rFonts w:ascii="Cambria" w:hAnsi="Cambria" w:eastAsia="宋体" w:cs="Times New Roman"/>
      <w:b/>
      <w:bCs/>
      <w:sz w:val="24"/>
      <w:szCs w:val="24"/>
    </w:rPr>
  </w:style>
  <w:style w:type="paragraph" w:styleId="10">
    <w:name w:val="heading 7"/>
    <w:basedOn w:val="1"/>
    <w:next w:val="1"/>
    <w:link w:val="97"/>
    <w:qFormat/>
    <w:uiPriority w:val="0"/>
    <w:pPr>
      <w:keepNext/>
      <w:keepLines/>
      <w:spacing w:before="240" w:after="64" w:line="317" w:lineRule="auto"/>
      <w:outlineLvl w:val="6"/>
    </w:pPr>
    <w:rPr>
      <w:rFonts w:ascii="Times New Roman" w:hAnsi="Times New Roman" w:eastAsia="微软雅黑" w:cs="Times New Roman"/>
      <w:b/>
      <w:bCs/>
      <w:sz w:val="24"/>
      <w:szCs w:val="24"/>
    </w:rPr>
  </w:style>
  <w:style w:type="paragraph" w:styleId="11">
    <w:name w:val="heading 8"/>
    <w:basedOn w:val="1"/>
    <w:next w:val="1"/>
    <w:link w:val="98"/>
    <w:qFormat/>
    <w:uiPriority w:val="0"/>
    <w:pPr>
      <w:keepNext/>
      <w:keepLines/>
      <w:spacing w:before="240" w:after="64" w:line="317" w:lineRule="auto"/>
      <w:outlineLvl w:val="7"/>
    </w:pPr>
    <w:rPr>
      <w:rFonts w:ascii="Cambria" w:hAnsi="Cambria" w:eastAsia="宋体" w:cs="Times New Roman"/>
      <w:sz w:val="24"/>
      <w:szCs w:val="24"/>
    </w:rPr>
  </w:style>
  <w:style w:type="paragraph" w:styleId="12">
    <w:name w:val="heading 9"/>
    <w:basedOn w:val="1"/>
    <w:next w:val="1"/>
    <w:link w:val="99"/>
    <w:qFormat/>
    <w:uiPriority w:val="0"/>
    <w:pPr>
      <w:keepNext/>
      <w:keepLines/>
      <w:spacing w:before="240" w:after="64" w:line="317" w:lineRule="auto"/>
      <w:outlineLvl w:val="8"/>
    </w:pPr>
    <w:rPr>
      <w:rFonts w:ascii="Cambria" w:hAnsi="Cambria" w:eastAsia="宋体" w:cs="Times New Roman"/>
      <w:szCs w:val="21"/>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1"/>
    <w:link w:val="62"/>
    <w:unhideWhenUsed/>
    <w:qFormat/>
    <w:uiPriority w:val="0"/>
    <w:pPr>
      <w:spacing w:after="120"/>
      <w:ind w:left="420" w:leftChars="200"/>
    </w:pPr>
    <w:rPr>
      <w:rFonts w:ascii="Times New Roman" w:hAnsi="Times New Roman" w:eastAsia="宋体" w:cs="Times New Roman"/>
      <w:szCs w:val="20"/>
    </w:rPr>
  </w:style>
  <w:style w:type="paragraph" w:customStyle="1" w:styleId="5">
    <w:name w:val="列出段落1"/>
    <w:basedOn w:val="1"/>
    <w:qFormat/>
    <w:uiPriority w:val="34"/>
    <w:pPr>
      <w:ind w:firstLine="420" w:firstLineChars="200"/>
    </w:pPr>
    <w:rPr>
      <w:rFonts w:ascii="Times New Roman" w:hAnsi="Times New Roman" w:eastAsia="宋体" w:cs="Times New Roman"/>
      <w:szCs w:val="24"/>
    </w:rPr>
  </w:style>
  <w:style w:type="paragraph" w:styleId="13">
    <w:name w:val="toc 7"/>
    <w:basedOn w:val="1"/>
    <w:next w:val="1"/>
    <w:qFormat/>
    <w:uiPriority w:val="0"/>
    <w:pPr>
      <w:ind w:left="2520" w:leftChars="1200"/>
    </w:pPr>
    <w:rPr>
      <w:rFonts w:ascii="Times New Roman" w:hAnsi="Times New Roman" w:eastAsia="微软雅黑" w:cs="Times New Roman"/>
    </w:rPr>
  </w:style>
  <w:style w:type="paragraph" w:styleId="14">
    <w:name w:val="List Bullet 4"/>
    <w:basedOn w:val="1"/>
    <w:qFormat/>
    <w:uiPriority w:val="0"/>
    <w:pPr>
      <w:tabs>
        <w:tab w:val="left" w:pos="1620"/>
      </w:tabs>
      <w:ind w:left="1620" w:hanging="360"/>
    </w:pPr>
    <w:rPr>
      <w:rFonts w:ascii="仿宋_GB2312" w:hAnsi="仿宋_GB2312" w:eastAsia="宋体" w:cs="Times New Roman"/>
      <w:szCs w:val="24"/>
    </w:rPr>
  </w:style>
  <w:style w:type="paragraph" w:styleId="15">
    <w:name w:val="Normal Indent"/>
    <w:basedOn w:val="1"/>
    <w:unhideWhenUsed/>
    <w:qFormat/>
    <w:uiPriority w:val="0"/>
    <w:pPr>
      <w:ind w:firstLine="420" w:firstLineChars="200"/>
    </w:pPr>
    <w:rPr>
      <w:szCs w:val="24"/>
    </w:rPr>
  </w:style>
  <w:style w:type="paragraph" w:styleId="16">
    <w:name w:val="caption"/>
    <w:basedOn w:val="1"/>
    <w:next w:val="1"/>
    <w:qFormat/>
    <w:uiPriority w:val="0"/>
    <w:rPr>
      <w:rFonts w:ascii="Cambria" w:hAnsi="Cambria" w:eastAsia="黑体" w:cs="Times New Roman"/>
      <w:sz w:val="20"/>
      <w:szCs w:val="20"/>
    </w:rPr>
  </w:style>
  <w:style w:type="paragraph" w:styleId="17">
    <w:name w:val="Document Map"/>
    <w:basedOn w:val="1"/>
    <w:link w:val="102"/>
    <w:unhideWhenUsed/>
    <w:qFormat/>
    <w:uiPriority w:val="0"/>
    <w:rPr>
      <w:rFonts w:ascii="方正中等线_GBK" w:hAnsi="Times New Roman" w:eastAsia="方正中等线_GBK" w:cs="Times New Roman"/>
      <w:sz w:val="18"/>
      <w:szCs w:val="18"/>
    </w:rPr>
  </w:style>
  <w:style w:type="paragraph" w:styleId="18">
    <w:name w:val="annotation text"/>
    <w:basedOn w:val="1"/>
    <w:link w:val="89"/>
    <w:unhideWhenUsed/>
    <w:qFormat/>
    <w:uiPriority w:val="0"/>
    <w:pPr>
      <w:jc w:val="left"/>
    </w:pPr>
  </w:style>
  <w:style w:type="paragraph" w:styleId="19">
    <w:name w:val="Body Text 3"/>
    <w:basedOn w:val="1"/>
    <w:link w:val="103"/>
    <w:qFormat/>
    <w:uiPriority w:val="0"/>
    <w:pPr>
      <w:spacing w:after="120"/>
    </w:pPr>
    <w:rPr>
      <w:rFonts w:ascii="Times New Roman" w:hAnsi="Times New Roman" w:eastAsia="宋体" w:cs="Times New Roman"/>
      <w:sz w:val="16"/>
      <w:szCs w:val="16"/>
    </w:rPr>
  </w:style>
  <w:style w:type="paragraph" w:styleId="20">
    <w:name w:val="Body Text"/>
    <w:basedOn w:val="1"/>
    <w:link w:val="60"/>
    <w:qFormat/>
    <w:uiPriority w:val="0"/>
    <w:rPr>
      <w:rFonts w:ascii="Times New Roman" w:hAnsi="Times New Roman" w:eastAsia="宋体" w:cs="Times New Roman"/>
      <w:sz w:val="24"/>
      <w:szCs w:val="24"/>
    </w:rPr>
  </w:style>
  <w:style w:type="paragraph" w:styleId="21">
    <w:name w:val="List 2"/>
    <w:basedOn w:val="1"/>
    <w:qFormat/>
    <w:uiPriority w:val="99"/>
    <w:pPr>
      <w:autoSpaceDE w:val="0"/>
      <w:autoSpaceDN w:val="0"/>
      <w:ind w:left="100" w:leftChars="200" w:hanging="200" w:hangingChars="200"/>
      <w:contextualSpacing/>
      <w:jc w:val="left"/>
    </w:pPr>
    <w:rPr>
      <w:rFonts w:ascii="Calibri Light" w:hAnsi="Calibri Light" w:eastAsia="宋体" w:cs="Calibri Light"/>
      <w:kern w:val="0"/>
      <w:sz w:val="22"/>
      <w:lang w:val="zh-CN"/>
    </w:rPr>
  </w:style>
  <w:style w:type="paragraph" w:styleId="22">
    <w:name w:val="index 4"/>
    <w:basedOn w:val="1"/>
    <w:next w:val="1"/>
    <w:qFormat/>
    <w:uiPriority w:val="0"/>
    <w:pPr>
      <w:ind w:left="600" w:leftChars="600"/>
    </w:pPr>
    <w:rPr>
      <w:rFonts w:ascii="Times New Roman" w:hAnsi="Times New Roman" w:eastAsia="微软雅黑" w:cs="Times New Roman"/>
      <w:szCs w:val="24"/>
    </w:rPr>
  </w:style>
  <w:style w:type="paragraph" w:styleId="23">
    <w:name w:val="toc 5"/>
    <w:basedOn w:val="1"/>
    <w:next w:val="1"/>
    <w:qFormat/>
    <w:uiPriority w:val="0"/>
    <w:pPr>
      <w:ind w:left="840"/>
      <w:jc w:val="left"/>
    </w:pPr>
    <w:rPr>
      <w:rFonts w:ascii="Courier New" w:hAnsi="Courier New" w:eastAsia="Calibri Light" w:cs="仿宋_GB2312"/>
      <w:sz w:val="18"/>
      <w:szCs w:val="20"/>
    </w:rPr>
  </w:style>
  <w:style w:type="paragraph" w:styleId="24">
    <w:name w:val="toc 3"/>
    <w:basedOn w:val="1"/>
    <w:next w:val="1"/>
    <w:unhideWhenUsed/>
    <w:qFormat/>
    <w:uiPriority w:val="0"/>
    <w:pPr>
      <w:ind w:left="840" w:leftChars="400"/>
    </w:pPr>
    <w:rPr>
      <w:rFonts w:ascii="Times New Roman" w:hAnsi="Times New Roman" w:eastAsia="宋体" w:cs="Times New Roman"/>
    </w:rPr>
  </w:style>
  <w:style w:type="paragraph" w:styleId="25">
    <w:name w:val="Plain Text"/>
    <w:basedOn w:val="1"/>
    <w:link w:val="63"/>
    <w:qFormat/>
    <w:uiPriority w:val="0"/>
    <w:rPr>
      <w:rFonts w:ascii="宋体" w:hAnsi="Courier New" w:eastAsia="宋体" w:cs="Times New Roman"/>
      <w:sz w:val="11"/>
      <w:szCs w:val="20"/>
    </w:rPr>
  </w:style>
  <w:style w:type="paragraph" w:styleId="26">
    <w:name w:val="toc 8"/>
    <w:basedOn w:val="1"/>
    <w:next w:val="1"/>
    <w:qFormat/>
    <w:uiPriority w:val="0"/>
    <w:pPr>
      <w:ind w:left="2940" w:leftChars="1400"/>
    </w:pPr>
    <w:rPr>
      <w:rFonts w:ascii="Times New Roman" w:hAnsi="Times New Roman" w:eastAsia="微软雅黑" w:cs="Times New Roman"/>
    </w:rPr>
  </w:style>
  <w:style w:type="paragraph" w:styleId="27">
    <w:name w:val="Date"/>
    <w:basedOn w:val="1"/>
    <w:next w:val="1"/>
    <w:link w:val="64"/>
    <w:qFormat/>
    <w:uiPriority w:val="0"/>
    <w:pPr>
      <w:ind w:left="100" w:leftChars="2500"/>
    </w:pPr>
    <w:rPr>
      <w:rFonts w:ascii="仿宋_GB2312" w:hAnsi="Times New Roman" w:eastAsia="仿宋_GB2312" w:cs="Times New Roman"/>
      <w:color w:val="000000"/>
      <w:kern w:val="0"/>
      <w:sz w:val="28"/>
      <w:szCs w:val="20"/>
    </w:rPr>
  </w:style>
  <w:style w:type="paragraph" w:styleId="28">
    <w:name w:val="Body Text Indent 2"/>
    <w:basedOn w:val="1"/>
    <w:link w:val="107"/>
    <w:qFormat/>
    <w:uiPriority w:val="0"/>
    <w:pPr>
      <w:ind w:firstLine="480"/>
    </w:pPr>
    <w:rPr>
      <w:rFonts w:ascii="Courier New" w:hAnsi="Courier New" w:eastAsia="宋体" w:cs="Times New Roman"/>
    </w:rPr>
  </w:style>
  <w:style w:type="paragraph" w:styleId="29">
    <w:name w:val="Balloon Text"/>
    <w:basedOn w:val="1"/>
    <w:link w:val="91"/>
    <w:unhideWhenUsed/>
    <w:qFormat/>
    <w:uiPriority w:val="0"/>
    <w:rPr>
      <w:sz w:val="18"/>
      <w:szCs w:val="18"/>
    </w:rPr>
  </w:style>
  <w:style w:type="paragraph" w:styleId="30">
    <w:name w:val="footer"/>
    <w:basedOn w:val="1"/>
    <w:link w:val="65"/>
    <w:qFormat/>
    <w:uiPriority w:val="99"/>
    <w:pPr>
      <w:tabs>
        <w:tab w:val="center" w:pos="4153"/>
        <w:tab w:val="right" w:pos="8306"/>
      </w:tabs>
      <w:snapToGrid w:val="0"/>
      <w:jc w:val="left"/>
    </w:pPr>
    <w:rPr>
      <w:rFonts w:ascii="Times New Roman" w:hAnsi="Times New Roman" w:eastAsia="宋体" w:cs="Times New Roman"/>
      <w:sz w:val="18"/>
      <w:szCs w:val="20"/>
    </w:rPr>
  </w:style>
  <w:style w:type="paragraph" w:styleId="31">
    <w:name w:val="header"/>
    <w:basedOn w:val="1"/>
    <w:link w:val="66"/>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20"/>
    </w:rPr>
  </w:style>
  <w:style w:type="paragraph" w:styleId="32">
    <w:name w:val="toc 1"/>
    <w:basedOn w:val="1"/>
    <w:next w:val="1"/>
    <w:qFormat/>
    <w:uiPriority w:val="39"/>
    <w:pPr>
      <w:spacing w:before="120" w:after="120" w:line="360" w:lineRule="auto"/>
      <w:ind w:firstLine="200" w:firstLineChars="200"/>
      <w:jc w:val="left"/>
    </w:pPr>
    <w:rPr>
      <w:rFonts w:ascii="Times New Roman" w:hAnsi="Times New Roman" w:eastAsia="宋体" w:cs="Times New Roman"/>
      <w:b/>
      <w:bCs/>
      <w:caps/>
      <w:sz w:val="20"/>
      <w:szCs w:val="20"/>
    </w:rPr>
  </w:style>
  <w:style w:type="paragraph" w:styleId="33">
    <w:name w:val="toc 4"/>
    <w:basedOn w:val="1"/>
    <w:next w:val="1"/>
    <w:qFormat/>
    <w:uiPriority w:val="0"/>
    <w:pPr>
      <w:tabs>
        <w:tab w:val="left" w:pos="1890"/>
        <w:tab w:val="right" w:leader="dot" w:pos="8296"/>
      </w:tabs>
      <w:ind w:left="630" w:leftChars="300"/>
    </w:pPr>
    <w:rPr>
      <w:rFonts w:ascii="Times New Roman" w:hAnsi="Times New Roman" w:eastAsia="微软雅黑" w:cs="Times New Roman"/>
    </w:rPr>
  </w:style>
  <w:style w:type="paragraph" w:styleId="34">
    <w:name w:val="Subtitle"/>
    <w:basedOn w:val="1"/>
    <w:link w:val="92"/>
    <w:qFormat/>
    <w:uiPriority w:val="0"/>
    <w:pPr>
      <w:spacing w:before="240" w:after="60" w:line="312" w:lineRule="auto"/>
      <w:jc w:val="center"/>
      <w:outlineLvl w:val="1"/>
    </w:pPr>
    <w:rPr>
      <w:rFonts w:ascii="Arial" w:hAnsi="Arial"/>
      <w:b/>
      <w:kern w:val="28"/>
      <w:sz w:val="32"/>
    </w:rPr>
  </w:style>
  <w:style w:type="paragraph" w:styleId="35">
    <w:name w:val="footnote text"/>
    <w:basedOn w:val="1"/>
    <w:link w:val="111"/>
    <w:unhideWhenUsed/>
    <w:qFormat/>
    <w:uiPriority w:val="99"/>
    <w:pPr>
      <w:snapToGrid w:val="0"/>
      <w:jc w:val="left"/>
    </w:pPr>
    <w:rPr>
      <w:rFonts w:ascii="Times New Roman" w:hAnsi="Times New Roman" w:eastAsia="宋体" w:cs="Times New Roman"/>
      <w:sz w:val="18"/>
    </w:rPr>
  </w:style>
  <w:style w:type="paragraph" w:styleId="36">
    <w:name w:val="toc 6"/>
    <w:basedOn w:val="1"/>
    <w:next w:val="1"/>
    <w:qFormat/>
    <w:uiPriority w:val="0"/>
    <w:pPr>
      <w:ind w:left="1050"/>
      <w:jc w:val="left"/>
    </w:pPr>
    <w:rPr>
      <w:rFonts w:ascii="Times New Roman" w:hAnsi="Times New Roman" w:eastAsia="宋体" w:cs="Times New Roman"/>
      <w:sz w:val="18"/>
      <w:szCs w:val="20"/>
    </w:rPr>
  </w:style>
  <w:style w:type="paragraph" w:styleId="37">
    <w:name w:val="index 7"/>
    <w:basedOn w:val="1"/>
    <w:next w:val="1"/>
    <w:qFormat/>
    <w:uiPriority w:val="0"/>
    <w:pPr>
      <w:ind w:left="1200" w:leftChars="1200"/>
    </w:pPr>
    <w:rPr>
      <w:rFonts w:ascii="Times New Roman" w:hAnsi="Times New Roman" w:eastAsia="宋体" w:cs="Times New Roman"/>
      <w:szCs w:val="24"/>
    </w:rPr>
  </w:style>
  <w:style w:type="paragraph" w:styleId="38">
    <w:name w:val="toc 2"/>
    <w:basedOn w:val="1"/>
    <w:next w:val="1"/>
    <w:qFormat/>
    <w:uiPriority w:val="39"/>
    <w:pPr>
      <w:ind w:left="100" w:leftChars="100"/>
      <w:jc w:val="left"/>
    </w:pPr>
    <w:rPr>
      <w:rFonts w:ascii="Arial" w:hAnsi="Arial" w:eastAsia="宋体" w:cs="Times New Roman"/>
      <w:szCs w:val="20"/>
    </w:rPr>
  </w:style>
  <w:style w:type="paragraph" w:styleId="39">
    <w:name w:val="toc 9"/>
    <w:basedOn w:val="1"/>
    <w:next w:val="1"/>
    <w:qFormat/>
    <w:uiPriority w:val="0"/>
    <w:pPr>
      <w:ind w:left="3360" w:leftChars="1600"/>
    </w:pPr>
    <w:rPr>
      <w:rFonts w:ascii="Times New Roman" w:hAnsi="Times New Roman" w:eastAsia="微软雅黑" w:cs="Times New Roman"/>
    </w:rPr>
  </w:style>
  <w:style w:type="paragraph" w:styleId="40">
    <w:name w:val="HTML Preformatted"/>
    <w:basedOn w:val="1"/>
    <w:link w:val="67"/>
    <w:unhideWhenUsed/>
    <w:qFormat/>
    <w:uiPriority w:val="0"/>
    <w:rPr>
      <w:rFonts w:ascii="Courier New" w:hAnsi="Courier New" w:eastAsia="宋体" w:cs="Courier New"/>
      <w:sz w:val="20"/>
      <w:szCs w:val="20"/>
    </w:rPr>
  </w:style>
  <w:style w:type="paragraph" w:styleId="41">
    <w:name w:val="Normal (Web)"/>
    <w:basedOn w:val="1"/>
    <w:qFormat/>
    <w:uiPriority w:val="0"/>
    <w:pPr>
      <w:widowControl/>
      <w:spacing w:before="100" w:beforeAutospacing="1" w:after="100" w:afterAutospacing="1"/>
      <w:jc w:val="left"/>
    </w:pPr>
    <w:rPr>
      <w:rFonts w:ascii="宋体" w:hAnsi="宋体" w:eastAsia="宋体" w:cs="Times New Roman"/>
      <w:kern w:val="0"/>
      <w:sz w:val="24"/>
      <w:szCs w:val="20"/>
    </w:rPr>
  </w:style>
  <w:style w:type="paragraph" w:styleId="42">
    <w:name w:val="index 1"/>
    <w:basedOn w:val="1"/>
    <w:next w:val="1"/>
    <w:qFormat/>
    <w:uiPriority w:val="0"/>
    <w:rPr>
      <w:rFonts w:ascii="Courier New" w:hAnsi="Courier New" w:eastAsia="Calibri Light" w:cs="仿宋_GB2312"/>
      <w:kern w:val="0"/>
      <w:sz w:val="24"/>
      <w:szCs w:val="21"/>
    </w:rPr>
  </w:style>
  <w:style w:type="paragraph" w:styleId="43">
    <w:name w:val="Title"/>
    <w:basedOn w:val="1"/>
    <w:link w:val="68"/>
    <w:qFormat/>
    <w:uiPriority w:val="0"/>
    <w:pPr>
      <w:spacing w:before="240" w:after="60"/>
      <w:ind w:left="425" w:hanging="425"/>
      <w:jc w:val="center"/>
      <w:outlineLvl w:val="0"/>
    </w:pPr>
    <w:rPr>
      <w:rFonts w:ascii="Arial" w:hAnsi="Arial" w:eastAsia="宋体" w:cs="Arial"/>
      <w:b/>
      <w:bCs/>
      <w:sz w:val="32"/>
      <w:szCs w:val="32"/>
    </w:rPr>
  </w:style>
  <w:style w:type="paragraph" w:styleId="44">
    <w:name w:val="annotation subject"/>
    <w:basedOn w:val="18"/>
    <w:next w:val="18"/>
    <w:link w:val="90"/>
    <w:unhideWhenUsed/>
    <w:qFormat/>
    <w:uiPriority w:val="0"/>
    <w:rPr>
      <w:b/>
      <w:bCs/>
    </w:rPr>
  </w:style>
  <w:style w:type="paragraph" w:styleId="45">
    <w:name w:val="Body Text First Indent"/>
    <w:basedOn w:val="20"/>
    <w:next w:val="36"/>
    <w:link w:val="61"/>
    <w:qFormat/>
    <w:uiPriority w:val="99"/>
    <w:pPr>
      <w:spacing w:after="120"/>
      <w:ind w:firstLine="420" w:firstLineChars="100"/>
    </w:pPr>
    <w:rPr>
      <w:sz w:val="21"/>
    </w:rPr>
  </w:style>
  <w:style w:type="paragraph" w:styleId="46">
    <w:name w:val="Body Text First Indent 2"/>
    <w:basedOn w:val="2"/>
    <w:next w:val="1"/>
    <w:link w:val="112"/>
    <w:qFormat/>
    <w:uiPriority w:val="99"/>
    <w:pPr>
      <w:tabs>
        <w:tab w:val="left" w:pos="426"/>
      </w:tabs>
      <w:autoSpaceDE w:val="0"/>
      <w:autoSpaceDN w:val="0"/>
      <w:spacing w:after="0"/>
      <w:ind w:left="0" w:leftChars="0" w:firstLine="645" w:firstLineChars="352"/>
    </w:pPr>
    <w:rPr>
      <w:rFonts w:ascii="Calibri Light" w:hAnsi="Calibri Light" w:eastAsia="Microsoft YaHei UI" w:cs="Calibri Light"/>
      <w:kern w:val="0"/>
      <w:sz w:val="28"/>
    </w:rPr>
  </w:style>
  <w:style w:type="table" w:styleId="48">
    <w:name w:val="Table Grid"/>
    <w:basedOn w:val="4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0">
    <w:name w:val="Strong"/>
    <w:qFormat/>
    <w:uiPriority w:val="0"/>
    <w:rPr>
      <w:b/>
      <w:bCs/>
    </w:rPr>
  </w:style>
  <w:style w:type="character" w:styleId="51">
    <w:name w:val="page number"/>
    <w:qFormat/>
    <w:uiPriority w:val="0"/>
    <w:rPr>
      <w:rFonts w:ascii="Courier New" w:hAnsi="Courier New" w:eastAsia="Calibri Light" w:cs="仿宋_GB2312"/>
    </w:rPr>
  </w:style>
  <w:style w:type="character" w:styleId="52">
    <w:name w:val="FollowedHyperlink"/>
    <w:qFormat/>
    <w:uiPriority w:val="99"/>
    <w:rPr>
      <w:rFonts w:ascii="Courier New" w:hAnsi="Courier New" w:eastAsia="Calibri Light" w:cs="仿宋_GB2312"/>
      <w:color w:val="800080"/>
      <w:u w:val="none"/>
    </w:rPr>
  </w:style>
  <w:style w:type="character" w:styleId="53">
    <w:name w:val="Emphasis"/>
    <w:basedOn w:val="49"/>
    <w:qFormat/>
    <w:uiPriority w:val="0"/>
    <w:rPr>
      <w:i/>
    </w:rPr>
  </w:style>
  <w:style w:type="character" w:styleId="54">
    <w:name w:val="Hyperlink"/>
    <w:qFormat/>
    <w:uiPriority w:val="99"/>
    <w:rPr>
      <w:color w:val="333333"/>
      <w:u w:val="none"/>
    </w:rPr>
  </w:style>
  <w:style w:type="character" w:styleId="55">
    <w:name w:val="annotation reference"/>
    <w:basedOn w:val="49"/>
    <w:unhideWhenUsed/>
    <w:qFormat/>
    <w:uiPriority w:val="0"/>
    <w:rPr>
      <w:sz w:val="21"/>
      <w:szCs w:val="21"/>
    </w:rPr>
  </w:style>
  <w:style w:type="character" w:styleId="56">
    <w:name w:val="HTML Sample"/>
    <w:qFormat/>
    <w:uiPriority w:val="0"/>
    <w:rPr>
      <w:rFonts w:ascii="Courier New" w:hAnsi="Courier New"/>
    </w:rPr>
  </w:style>
  <w:style w:type="character" w:customStyle="1" w:styleId="57">
    <w:name w:val="标题 1 Char"/>
    <w:basedOn w:val="49"/>
    <w:link w:val="3"/>
    <w:qFormat/>
    <w:uiPriority w:val="0"/>
    <w:rPr>
      <w:rFonts w:ascii="仿宋" w:hAnsi="仿宋" w:eastAsia="仿宋" w:cs="Times New Roman"/>
      <w:color w:val="000000"/>
      <w:sz w:val="36"/>
      <w:szCs w:val="20"/>
    </w:rPr>
  </w:style>
  <w:style w:type="character" w:customStyle="1" w:styleId="58">
    <w:name w:val="标题 2 Char"/>
    <w:basedOn w:val="49"/>
    <w:link w:val="4"/>
    <w:qFormat/>
    <w:uiPriority w:val="0"/>
    <w:rPr>
      <w:rFonts w:ascii="仿宋" w:hAnsi="仿宋" w:eastAsia="仿宋" w:cs="Times New Roman"/>
      <w:b/>
      <w:color w:val="000000"/>
      <w:kern w:val="0"/>
      <w:sz w:val="28"/>
      <w:szCs w:val="24"/>
    </w:rPr>
  </w:style>
  <w:style w:type="character" w:customStyle="1" w:styleId="59">
    <w:name w:val="标题 3 Char"/>
    <w:basedOn w:val="49"/>
    <w:link w:val="6"/>
    <w:qFormat/>
    <w:uiPriority w:val="0"/>
    <w:rPr>
      <w:rFonts w:ascii="Times New Roman" w:hAnsi="Times New Roman" w:eastAsia="黑体" w:cs="Times New Roman"/>
      <w:b/>
      <w:kern w:val="0"/>
      <w:sz w:val="24"/>
      <w:szCs w:val="20"/>
    </w:rPr>
  </w:style>
  <w:style w:type="character" w:customStyle="1" w:styleId="60">
    <w:name w:val="正文文本 Char"/>
    <w:basedOn w:val="49"/>
    <w:link w:val="20"/>
    <w:qFormat/>
    <w:uiPriority w:val="0"/>
    <w:rPr>
      <w:rFonts w:ascii="Times New Roman" w:hAnsi="Times New Roman" w:eastAsia="宋体" w:cs="Times New Roman"/>
      <w:sz w:val="24"/>
      <w:szCs w:val="24"/>
    </w:rPr>
  </w:style>
  <w:style w:type="character" w:customStyle="1" w:styleId="61">
    <w:name w:val="正文首行缩进 Char"/>
    <w:basedOn w:val="60"/>
    <w:link w:val="45"/>
    <w:qFormat/>
    <w:uiPriority w:val="99"/>
    <w:rPr>
      <w:rFonts w:ascii="Times New Roman" w:hAnsi="Times New Roman" w:eastAsia="宋体" w:cs="Times New Roman"/>
      <w:sz w:val="24"/>
      <w:szCs w:val="24"/>
    </w:rPr>
  </w:style>
  <w:style w:type="character" w:customStyle="1" w:styleId="62">
    <w:name w:val="正文文本缩进 Char"/>
    <w:basedOn w:val="49"/>
    <w:link w:val="2"/>
    <w:qFormat/>
    <w:uiPriority w:val="0"/>
    <w:rPr>
      <w:rFonts w:ascii="Times New Roman" w:hAnsi="Times New Roman" w:eastAsia="宋体" w:cs="Times New Roman"/>
      <w:szCs w:val="20"/>
    </w:rPr>
  </w:style>
  <w:style w:type="character" w:customStyle="1" w:styleId="63">
    <w:name w:val="纯文本 Char"/>
    <w:basedOn w:val="49"/>
    <w:link w:val="25"/>
    <w:qFormat/>
    <w:uiPriority w:val="0"/>
    <w:rPr>
      <w:rFonts w:ascii="宋体" w:hAnsi="Courier New" w:eastAsia="宋体" w:cs="Times New Roman"/>
      <w:sz w:val="11"/>
      <w:szCs w:val="20"/>
    </w:rPr>
  </w:style>
  <w:style w:type="character" w:customStyle="1" w:styleId="64">
    <w:name w:val="日期 Char"/>
    <w:basedOn w:val="49"/>
    <w:link w:val="27"/>
    <w:qFormat/>
    <w:uiPriority w:val="0"/>
    <w:rPr>
      <w:rFonts w:ascii="仿宋_GB2312" w:hAnsi="Times New Roman" w:eastAsia="仿宋_GB2312" w:cs="Times New Roman"/>
      <w:color w:val="000000"/>
      <w:kern w:val="0"/>
      <w:sz w:val="28"/>
      <w:szCs w:val="20"/>
    </w:rPr>
  </w:style>
  <w:style w:type="character" w:customStyle="1" w:styleId="65">
    <w:name w:val="页脚 Char"/>
    <w:basedOn w:val="49"/>
    <w:link w:val="30"/>
    <w:qFormat/>
    <w:uiPriority w:val="99"/>
    <w:rPr>
      <w:rFonts w:ascii="Times New Roman" w:hAnsi="Times New Roman" w:eastAsia="宋体" w:cs="Times New Roman"/>
      <w:sz w:val="18"/>
      <w:szCs w:val="20"/>
    </w:rPr>
  </w:style>
  <w:style w:type="character" w:customStyle="1" w:styleId="66">
    <w:name w:val="页眉 Char"/>
    <w:basedOn w:val="49"/>
    <w:link w:val="31"/>
    <w:qFormat/>
    <w:uiPriority w:val="0"/>
    <w:rPr>
      <w:rFonts w:ascii="Times New Roman" w:hAnsi="Times New Roman" w:eastAsia="宋体" w:cs="Times New Roman"/>
      <w:sz w:val="18"/>
      <w:szCs w:val="20"/>
    </w:rPr>
  </w:style>
  <w:style w:type="character" w:customStyle="1" w:styleId="67">
    <w:name w:val="HTML 预设格式 Char"/>
    <w:basedOn w:val="49"/>
    <w:link w:val="40"/>
    <w:qFormat/>
    <w:uiPriority w:val="0"/>
    <w:rPr>
      <w:rFonts w:ascii="Courier New" w:hAnsi="Courier New" w:eastAsia="宋体" w:cs="Courier New"/>
      <w:sz w:val="20"/>
      <w:szCs w:val="20"/>
    </w:rPr>
  </w:style>
  <w:style w:type="character" w:customStyle="1" w:styleId="68">
    <w:name w:val="标题 Char"/>
    <w:basedOn w:val="49"/>
    <w:link w:val="43"/>
    <w:qFormat/>
    <w:uiPriority w:val="0"/>
    <w:rPr>
      <w:rFonts w:ascii="Arial" w:hAnsi="Arial" w:eastAsia="宋体" w:cs="Arial"/>
      <w:b/>
      <w:bCs/>
      <w:sz w:val="32"/>
      <w:szCs w:val="32"/>
    </w:rPr>
  </w:style>
  <w:style w:type="paragraph" w:customStyle="1" w:styleId="69">
    <w:name w:val="5）标书正文 首行缩进2字符"/>
    <w:basedOn w:val="1"/>
    <w:qFormat/>
    <w:uiPriority w:val="0"/>
    <w:pPr>
      <w:spacing w:line="480" w:lineRule="exact"/>
      <w:ind w:firstLine="200" w:firstLineChars="200"/>
    </w:pPr>
    <w:rPr>
      <w:rFonts w:ascii="仿宋_GB2312" w:hAnsi="Times New Roman" w:eastAsia="仿宋_GB2312" w:cs="Times New Roman"/>
      <w:sz w:val="28"/>
      <w:szCs w:val="20"/>
    </w:rPr>
  </w:style>
  <w:style w:type="paragraph" w:customStyle="1" w:styleId="70">
    <w:name w:val="Default Text"/>
    <w:link w:val="114"/>
    <w:qFormat/>
    <w:uiPriority w:val="0"/>
    <w:pPr>
      <w:widowControl w:val="0"/>
      <w:autoSpaceDE w:val="0"/>
      <w:autoSpaceDN w:val="0"/>
      <w:adjustRightInd w:val="0"/>
    </w:pPr>
    <w:rPr>
      <w:rFonts w:ascii="Times New Roman" w:hAnsi="Times New Roman" w:eastAsia="宋体" w:cs="Times New Roman"/>
      <w:color w:val="000000"/>
      <w:sz w:val="24"/>
      <w:lang w:val="en-US" w:eastAsia="zh-CN" w:bidi="ar-SA"/>
    </w:rPr>
  </w:style>
  <w:style w:type="paragraph" w:customStyle="1" w:styleId="71">
    <w:name w:val="缺省文本"/>
    <w:qFormat/>
    <w:uiPriority w:val="0"/>
    <w:pPr>
      <w:widowControl w:val="0"/>
      <w:autoSpaceDE w:val="0"/>
      <w:autoSpaceDN w:val="0"/>
      <w:adjustRightInd w:val="0"/>
    </w:pPr>
    <w:rPr>
      <w:rFonts w:ascii="Times New Roman" w:hAnsi="Times New Roman" w:eastAsia="宋体" w:cs="Times New Roman"/>
      <w:color w:val="000000"/>
      <w:lang w:val="en-US" w:eastAsia="zh-CN" w:bidi="ar-SA"/>
    </w:rPr>
  </w:style>
  <w:style w:type="paragraph" w:customStyle="1" w:styleId="72">
    <w:name w:val="样式1"/>
    <w:basedOn w:val="4"/>
    <w:qFormat/>
    <w:uiPriority w:val="0"/>
    <w:pPr>
      <w:tabs>
        <w:tab w:val="left" w:pos="576"/>
        <w:tab w:val="left" w:pos="1296"/>
      </w:tabs>
      <w:spacing w:before="0" w:after="0" w:line="240" w:lineRule="auto"/>
      <w:ind w:left="576" w:hanging="576"/>
    </w:pPr>
    <w:rPr>
      <w:rFonts w:ascii="Times New Roman" w:hAnsi="Times New Roman" w:eastAsia="宋体"/>
      <w:color w:val="auto"/>
      <w:sz w:val="24"/>
      <w:szCs w:val="20"/>
    </w:rPr>
  </w:style>
  <w:style w:type="paragraph" w:customStyle="1" w:styleId="73">
    <w:name w:val="标书正文"/>
    <w:basedOn w:val="1"/>
    <w:qFormat/>
    <w:uiPriority w:val="0"/>
    <w:pPr>
      <w:spacing w:line="560" w:lineRule="exact"/>
      <w:ind w:firstLine="723" w:firstLineChars="200"/>
      <w:jc w:val="center"/>
    </w:pPr>
    <w:rPr>
      <w:rFonts w:ascii="仿宋_GB2312" w:hAnsi="Times New Roman" w:eastAsia="仿宋_GB2312" w:cs="Times New Roman"/>
      <w:b/>
      <w:sz w:val="36"/>
      <w:szCs w:val="20"/>
    </w:rPr>
  </w:style>
  <w:style w:type="character" w:customStyle="1" w:styleId="74">
    <w:name w:val="7）页眉页脚"/>
    <w:qFormat/>
    <w:uiPriority w:val="0"/>
    <w:rPr>
      <w:rFonts w:ascii="仿宋_GB2312" w:eastAsia="仿宋_GB2312"/>
      <w:b/>
      <w:i/>
      <w:sz w:val="18"/>
      <w:vertAlign w:val="baseline"/>
    </w:rPr>
  </w:style>
  <w:style w:type="paragraph" w:styleId="75">
    <w:name w:val="List Paragraph"/>
    <w:basedOn w:val="1"/>
    <w:qFormat/>
    <w:uiPriority w:val="0"/>
    <w:pPr>
      <w:ind w:firstLine="200" w:firstLineChars="200"/>
    </w:pPr>
    <w:rPr>
      <w:rFonts w:ascii="Calibri" w:hAnsi="Calibri" w:eastAsia="宋体" w:cs="Times New Roman"/>
    </w:rPr>
  </w:style>
  <w:style w:type="paragraph" w:customStyle="1" w:styleId="76">
    <w:name w:val="Heading3"/>
    <w:basedOn w:val="1"/>
    <w:next w:val="1"/>
    <w:qFormat/>
    <w:uiPriority w:val="0"/>
    <w:pPr>
      <w:widowControl/>
      <w:spacing w:after="50" w:line="360" w:lineRule="auto"/>
      <w:ind w:left="-4"/>
      <w:textAlignment w:val="baseline"/>
    </w:pPr>
    <w:rPr>
      <w:rFonts w:ascii="宋体" w:hAnsi="宋体" w:eastAsia="宋体" w:cs="Times New Roman"/>
      <w:b/>
      <w:color w:val="000000"/>
      <w:sz w:val="30"/>
      <w:szCs w:val="20"/>
      <w:lang w:val="en-GB"/>
    </w:rPr>
  </w:style>
  <w:style w:type="character" w:customStyle="1" w:styleId="77">
    <w:name w:val="font41"/>
    <w:basedOn w:val="49"/>
    <w:qFormat/>
    <w:uiPriority w:val="0"/>
    <w:rPr>
      <w:rFonts w:hint="default" w:ascii="仿宋_GB2312" w:eastAsia="仿宋_GB2312" w:cs="仿宋_GB2312"/>
      <w:color w:val="000000"/>
      <w:sz w:val="24"/>
      <w:szCs w:val="24"/>
      <w:u w:val="none"/>
    </w:rPr>
  </w:style>
  <w:style w:type="character" w:customStyle="1" w:styleId="78">
    <w:name w:val="NormalCharacter"/>
    <w:qFormat/>
    <w:uiPriority w:val="0"/>
  </w:style>
  <w:style w:type="character" w:customStyle="1" w:styleId="79">
    <w:name w:val="font31"/>
    <w:basedOn w:val="49"/>
    <w:qFormat/>
    <w:uiPriority w:val="0"/>
    <w:rPr>
      <w:rFonts w:hint="eastAsia" w:ascii="微软雅黑" w:hAnsi="微软雅黑" w:eastAsia="微软雅黑" w:cs="微软雅黑"/>
      <w:color w:val="000000"/>
      <w:sz w:val="16"/>
      <w:szCs w:val="16"/>
      <w:u w:val="none"/>
    </w:rPr>
  </w:style>
  <w:style w:type="character" w:customStyle="1" w:styleId="80">
    <w:name w:val="font51"/>
    <w:basedOn w:val="49"/>
    <w:qFormat/>
    <w:uiPriority w:val="0"/>
    <w:rPr>
      <w:rFonts w:hint="eastAsia" w:ascii="微软雅黑" w:hAnsi="微软雅黑" w:eastAsia="微软雅黑" w:cs="微软雅黑"/>
      <w:color w:val="FF0000"/>
      <w:sz w:val="16"/>
      <w:szCs w:val="16"/>
      <w:u w:val="none"/>
    </w:rPr>
  </w:style>
  <w:style w:type="character" w:customStyle="1" w:styleId="81">
    <w:name w:val="font21"/>
    <w:basedOn w:val="49"/>
    <w:qFormat/>
    <w:uiPriority w:val="0"/>
    <w:rPr>
      <w:rFonts w:hint="eastAsia" w:ascii="微软雅黑" w:hAnsi="微软雅黑" w:eastAsia="微软雅黑" w:cs="微软雅黑"/>
      <w:color w:val="000000"/>
      <w:sz w:val="16"/>
      <w:szCs w:val="16"/>
      <w:u w:val="none"/>
    </w:rPr>
  </w:style>
  <w:style w:type="paragraph" w:customStyle="1" w:styleId="82">
    <w:name w:val="封面署名"/>
    <w:basedOn w:val="1"/>
    <w:qFormat/>
    <w:uiPriority w:val="0"/>
    <w:pPr>
      <w:jc w:val="center"/>
    </w:pPr>
    <w:rPr>
      <w:rFonts w:ascii="Times New Roman" w:hAnsi="Times New Roman" w:eastAsia="宋体" w:cs="Times New Roman"/>
      <w:b/>
      <w:kern w:val="0"/>
      <w:sz w:val="28"/>
      <w:szCs w:val="20"/>
    </w:rPr>
  </w:style>
  <w:style w:type="paragraph" w:customStyle="1" w:styleId="83">
    <w:name w:val="正文_4_0_0"/>
    <w:basedOn w:val="84"/>
    <w:qFormat/>
    <w:uiPriority w:val="0"/>
    <w:rPr>
      <w:rFonts w:cs="Calibri"/>
      <w:szCs w:val="21"/>
    </w:rPr>
  </w:style>
  <w:style w:type="paragraph" w:customStyle="1" w:styleId="84">
    <w:name w:val="正文_0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85">
    <w:name w:val="Normal_4"/>
    <w:qFormat/>
    <w:uiPriority w:val="0"/>
    <w:rPr>
      <w:rFonts w:ascii="黑体" w:hAnsi="黑体" w:eastAsia="黑体" w:cs="Times New Roman"/>
      <w:b/>
      <w:sz w:val="32"/>
      <w:szCs w:val="24"/>
      <w:lang w:val="en-US" w:eastAsia="zh-CN" w:bidi="ar-SA"/>
    </w:rPr>
  </w:style>
  <w:style w:type="character" w:customStyle="1" w:styleId="86">
    <w:name w:val="正文文本 Char1"/>
    <w:qFormat/>
    <w:uiPriority w:val="0"/>
    <w:rPr>
      <w:kern w:val="2"/>
      <w:sz w:val="24"/>
      <w:szCs w:val="24"/>
    </w:rPr>
  </w:style>
  <w:style w:type="paragraph" w:customStyle="1" w:styleId="87">
    <w:name w:val="TOC 标题1"/>
    <w:basedOn w:val="3"/>
    <w:next w:val="1"/>
    <w:unhideWhenUsed/>
    <w:qFormat/>
    <w:uiPriority w:val="39"/>
    <w:pPr>
      <w:keepNext/>
      <w:keepLines/>
      <w:widowControl/>
      <w:ind w:firstLine="420"/>
      <w:jc w:val="center"/>
      <w:outlineLvl w:val="9"/>
    </w:pPr>
    <w:rPr>
      <w:rFonts w:asciiTheme="majorHAnsi" w:hAnsiTheme="majorHAnsi" w:eastAsiaTheme="majorEastAsia" w:cstheme="majorBidi"/>
      <w:color w:val="2E75B6" w:themeColor="accent1" w:themeShade="BF"/>
      <w:kern w:val="0"/>
      <w:sz w:val="32"/>
      <w:szCs w:val="32"/>
    </w:rPr>
  </w:style>
  <w:style w:type="character" w:customStyle="1" w:styleId="88">
    <w:name w:val="标题 4 Char"/>
    <w:basedOn w:val="49"/>
    <w:link w:val="7"/>
    <w:qFormat/>
    <w:uiPriority w:val="0"/>
    <w:rPr>
      <w:rFonts w:asciiTheme="majorHAnsi" w:hAnsiTheme="majorHAnsi" w:eastAsiaTheme="majorEastAsia" w:cstheme="majorBidi"/>
      <w:b/>
      <w:bCs/>
      <w:sz w:val="28"/>
      <w:szCs w:val="28"/>
    </w:rPr>
  </w:style>
  <w:style w:type="character" w:customStyle="1" w:styleId="89">
    <w:name w:val="批注文字 Char"/>
    <w:basedOn w:val="49"/>
    <w:link w:val="18"/>
    <w:qFormat/>
    <w:uiPriority w:val="0"/>
    <w:rPr>
      <w:kern w:val="2"/>
      <w:sz w:val="21"/>
      <w:szCs w:val="22"/>
    </w:rPr>
  </w:style>
  <w:style w:type="character" w:customStyle="1" w:styleId="90">
    <w:name w:val="批注主题 Char"/>
    <w:basedOn w:val="89"/>
    <w:link w:val="44"/>
    <w:qFormat/>
    <w:uiPriority w:val="0"/>
    <w:rPr>
      <w:b/>
      <w:bCs/>
      <w:kern w:val="2"/>
      <w:sz w:val="21"/>
      <w:szCs w:val="22"/>
    </w:rPr>
  </w:style>
  <w:style w:type="character" w:customStyle="1" w:styleId="91">
    <w:name w:val="批注框文本 Char"/>
    <w:basedOn w:val="49"/>
    <w:link w:val="29"/>
    <w:qFormat/>
    <w:uiPriority w:val="0"/>
    <w:rPr>
      <w:kern w:val="2"/>
      <w:sz w:val="18"/>
      <w:szCs w:val="18"/>
    </w:rPr>
  </w:style>
  <w:style w:type="character" w:customStyle="1" w:styleId="92">
    <w:name w:val="副标题 Char"/>
    <w:basedOn w:val="49"/>
    <w:link w:val="34"/>
    <w:qFormat/>
    <w:uiPriority w:val="0"/>
    <w:rPr>
      <w:rFonts w:ascii="Cambria" w:hAnsi="Cambria" w:eastAsia="宋体" w:cs="Times New Roman"/>
      <w:b/>
      <w:bCs/>
      <w:kern w:val="28"/>
      <w:sz w:val="32"/>
      <w:szCs w:val="32"/>
    </w:rPr>
  </w:style>
  <w:style w:type="character" w:customStyle="1" w:styleId="93">
    <w:name w:val="纯文本 Char2"/>
    <w:qFormat/>
    <w:uiPriority w:val="0"/>
    <w:rPr>
      <w:rFonts w:ascii="Calibri Light" w:hAnsi="Calibri Light" w:eastAsia="Calibri Light" w:cs="仿宋_GB2312"/>
      <w:kern w:val="2"/>
      <w:sz w:val="22"/>
    </w:rPr>
  </w:style>
  <w:style w:type="paragraph" w:customStyle="1" w:styleId="94">
    <w:name w:val="正文缩进1"/>
    <w:basedOn w:val="1"/>
    <w:qFormat/>
    <w:uiPriority w:val="0"/>
    <w:pPr>
      <w:widowControl/>
      <w:ind w:firstLine="420"/>
      <w:jc w:val="left"/>
    </w:pPr>
    <w:rPr>
      <w:rFonts w:ascii="Times New Roman" w:hAnsi="Times New Roman" w:eastAsia="宋体" w:cs="Times New Roman"/>
      <w:szCs w:val="20"/>
    </w:rPr>
  </w:style>
  <w:style w:type="character" w:customStyle="1" w:styleId="95">
    <w:name w:val="标题 5 Char"/>
    <w:basedOn w:val="49"/>
    <w:link w:val="8"/>
    <w:qFormat/>
    <w:uiPriority w:val="0"/>
    <w:rPr>
      <w:rFonts w:eastAsia="微软雅黑"/>
      <w:b/>
      <w:bCs/>
      <w:kern w:val="2"/>
      <w:sz w:val="28"/>
      <w:szCs w:val="28"/>
    </w:rPr>
  </w:style>
  <w:style w:type="character" w:customStyle="1" w:styleId="96">
    <w:name w:val="标题 6 Char"/>
    <w:basedOn w:val="49"/>
    <w:link w:val="9"/>
    <w:qFormat/>
    <w:uiPriority w:val="0"/>
    <w:rPr>
      <w:rFonts w:ascii="Cambria" w:hAnsi="Cambria"/>
      <w:b/>
      <w:bCs/>
      <w:kern w:val="2"/>
      <w:sz w:val="24"/>
      <w:szCs w:val="24"/>
    </w:rPr>
  </w:style>
  <w:style w:type="character" w:customStyle="1" w:styleId="97">
    <w:name w:val="标题 7 Char"/>
    <w:basedOn w:val="49"/>
    <w:link w:val="10"/>
    <w:qFormat/>
    <w:uiPriority w:val="0"/>
    <w:rPr>
      <w:rFonts w:eastAsia="微软雅黑"/>
      <w:b/>
      <w:bCs/>
      <w:kern w:val="2"/>
      <w:sz w:val="24"/>
      <w:szCs w:val="24"/>
    </w:rPr>
  </w:style>
  <w:style w:type="character" w:customStyle="1" w:styleId="98">
    <w:name w:val="标题 8 Char"/>
    <w:basedOn w:val="49"/>
    <w:link w:val="11"/>
    <w:qFormat/>
    <w:uiPriority w:val="0"/>
    <w:rPr>
      <w:rFonts w:ascii="Cambria" w:hAnsi="Cambria"/>
      <w:kern w:val="2"/>
      <w:sz w:val="24"/>
      <w:szCs w:val="24"/>
    </w:rPr>
  </w:style>
  <w:style w:type="character" w:customStyle="1" w:styleId="99">
    <w:name w:val="标题 9 Char"/>
    <w:basedOn w:val="49"/>
    <w:link w:val="12"/>
    <w:qFormat/>
    <w:uiPriority w:val="0"/>
    <w:rPr>
      <w:rFonts w:ascii="Cambria" w:hAnsi="Cambria"/>
      <w:kern w:val="2"/>
      <w:sz w:val="21"/>
      <w:szCs w:val="21"/>
    </w:rPr>
  </w:style>
  <w:style w:type="character" w:customStyle="1" w:styleId="100">
    <w:name w:val="标题 1 Char1"/>
    <w:qFormat/>
    <w:uiPriority w:val="9"/>
    <w:rPr>
      <w:rFonts w:ascii="Courier New" w:hAnsi="Courier New" w:eastAsia="Calibri Light" w:cs="仿宋_GB2312"/>
      <w:b/>
      <w:bCs/>
      <w:kern w:val="44"/>
      <w:sz w:val="44"/>
      <w:szCs w:val="44"/>
    </w:rPr>
  </w:style>
  <w:style w:type="character" w:customStyle="1" w:styleId="101">
    <w:name w:val="标题 2 Char1"/>
    <w:qFormat/>
    <w:uiPriority w:val="0"/>
    <w:rPr>
      <w:rFonts w:ascii="方正中等线_GBK" w:hAnsi="方正中等线_GBK" w:eastAsia="Calibri Light" w:cs="仿宋_GB2312"/>
      <w:b/>
      <w:bCs/>
      <w:kern w:val="2"/>
      <w:sz w:val="32"/>
      <w:szCs w:val="32"/>
    </w:rPr>
  </w:style>
  <w:style w:type="character" w:customStyle="1" w:styleId="102">
    <w:name w:val="文档结构图 Char"/>
    <w:basedOn w:val="49"/>
    <w:link w:val="17"/>
    <w:qFormat/>
    <w:uiPriority w:val="0"/>
    <w:rPr>
      <w:rFonts w:ascii="方正中等线_GBK" w:eastAsia="方正中等线_GBK"/>
      <w:kern w:val="2"/>
      <w:sz w:val="18"/>
      <w:szCs w:val="18"/>
    </w:rPr>
  </w:style>
  <w:style w:type="character" w:customStyle="1" w:styleId="103">
    <w:name w:val="正文文本 3 Char"/>
    <w:basedOn w:val="49"/>
    <w:link w:val="19"/>
    <w:qFormat/>
    <w:uiPriority w:val="0"/>
    <w:rPr>
      <w:kern w:val="2"/>
      <w:sz w:val="16"/>
      <w:szCs w:val="16"/>
    </w:rPr>
  </w:style>
  <w:style w:type="character" w:customStyle="1" w:styleId="104">
    <w:name w:val="正文文本缩进 Char1"/>
    <w:qFormat/>
    <w:uiPriority w:val="0"/>
    <w:rPr>
      <w:rFonts w:ascii="Courier New" w:hAnsi="Courier New" w:eastAsia="Calibri Light" w:cs="仿宋_GB2312"/>
      <w:kern w:val="2"/>
      <w:sz w:val="21"/>
      <w:szCs w:val="22"/>
    </w:rPr>
  </w:style>
  <w:style w:type="character" w:customStyle="1" w:styleId="105">
    <w:name w:val="日期 Char1"/>
    <w:qFormat/>
    <w:uiPriority w:val="0"/>
    <w:rPr>
      <w:rFonts w:ascii="Courier New" w:hAnsi="Calibri Light" w:eastAsia="Courier New" w:cs="仿宋_GB2312"/>
      <w:kern w:val="2"/>
      <w:sz w:val="24"/>
    </w:rPr>
  </w:style>
  <w:style w:type="character" w:customStyle="1" w:styleId="106">
    <w:name w:val="正文文本缩进 2 Char"/>
    <w:basedOn w:val="49"/>
    <w:qFormat/>
    <w:uiPriority w:val="0"/>
    <w:rPr>
      <w:rFonts w:asciiTheme="minorHAnsi" w:hAnsiTheme="minorHAnsi" w:eastAsiaTheme="minorEastAsia" w:cstheme="minorBidi"/>
      <w:kern w:val="2"/>
      <w:sz w:val="21"/>
      <w:szCs w:val="22"/>
    </w:rPr>
  </w:style>
  <w:style w:type="character" w:customStyle="1" w:styleId="107">
    <w:name w:val="正文文本缩进 2 Char1"/>
    <w:link w:val="28"/>
    <w:qFormat/>
    <w:uiPriority w:val="0"/>
    <w:rPr>
      <w:rFonts w:ascii="Courier New" w:hAnsi="Courier New"/>
      <w:kern w:val="2"/>
      <w:sz w:val="21"/>
      <w:szCs w:val="22"/>
    </w:rPr>
  </w:style>
  <w:style w:type="character" w:customStyle="1" w:styleId="108">
    <w:name w:val="批注框文本 Char1"/>
    <w:qFormat/>
    <w:uiPriority w:val="0"/>
    <w:rPr>
      <w:rFonts w:ascii="Courier New" w:hAnsi="Courier New" w:eastAsia="Calibri Light" w:cs="仿宋_GB2312"/>
      <w:kern w:val="2"/>
      <w:sz w:val="18"/>
      <w:szCs w:val="18"/>
    </w:rPr>
  </w:style>
  <w:style w:type="character" w:customStyle="1" w:styleId="109">
    <w:name w:val="页脚 Char1"/>
    <w:qFormat/>
    <w:uiPriority w:val="0"/>
    <w:rPr>
      <w:rFonts w:ascii="Courier New" w:hAnsi="Courier New" w:eastAsia="Calibri Light" w:cs="仿宋_GB2312"/>
      <w:kern w:val="2"/>
      <w:sz w:val="18"/>
      <w:szCs w:val="18"/>
    </w:rPr>
  </w:style>
  <w:style w:type="character" w:customStyle="1" w:styleId="110">
    <w:name w:val="页眉 Char1"/>
    <w:qFormat/>
    <w:uiPriority w:val="0"/>
    <w:rPr>
      <w:rFonts w:ascii="Courier New" w:hAnsi="Courier New" w:eastAsia="Calibri Light" w:cs="仿宋_GB2312"/>
      <w:kern w:val="2"/>
      <w:sz w:val="18"/>
      <w:szCs w:val="18"/>
    </w:rPr>
  </w:style>
  <w:style w:type="character" w:customStyle="1" w:styleId="111">
    <w:name w:val="脚注文本 Char"/>
    <w:basedOn w:val="49"/>
    <w:link w:val="35"/>
    <w:qFormat/>
    <w:uiPriority w:val="99"/>
    <w:rPr>
      <w:kern w:val="2"/>
      <w:sz w:val="18"/>
      <w:szCs w:val="22"/>
    </w:rPr>
  </w:style>
  <w:style w:type="character" w:customStyle="1" w:styleId="112">
    <w:name w:val="正文首行缩进 2 Char"/>
    <w:basedOn w:val="62"/>
    <w:link w:val="46"/>
    <w:qFormat/>
    <w:uiPriority w:val="99"/>
    <w:rPr>
      <w:rFonts w:ascii="Calibri Light" w:hAnsi="Calibri Light" w:eastAsia="Microsoft YaHei UI" w:cs="Calibri Light"/>
      <w:sz w:val="28"/>
      <w:szCs w:val="20"/>
    </w:rPr>
  </w:style>
  <w:style w:type="table" w:customStyle="1" w:styleId="113">
    <w:name w:val="网格型1"/>
    <w:basedOn w:val="47"/>
    <w:qFormat/>
    <w:uiPriority w:val="99"/>
    <w:pPr>
      <w:widowControl w:val="0"/>
      <w:jc w:val="both"/>
    </w:pPr>
    <w:rPr>
      <w:rFonts w:ascii="Courier New" w:hAnsi="Courier New" w:eastAsia="Calibri Light" w:cs="仿宋_GB231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4">
    <w:name w:val="Default Text Char"/>
    <w:link w:val="70"/>
    <w:qFormat/>
    <w:uiPriority w:val="0"/>
    <w:rPr>
      <w:color w:val="000000"/>
      <w:sz w:val="24"/>
    </w:rPr>
  </w:style>
  <w:style w:type="character" w:customStyle="1" w:styleId="115">
    <w:name w:val="font11"/>
    <w:qFormat/>
    <w:uiPriority w:val="0"/>
    <w:rPr>
      <w:rFonts w:ascii="Calibri Light" w:hAnsi="Courier New" w:eastAsia="Calibri Light" w:cs="Calibri Light"/>
      <w:color w:val="FF0000"/>
      <w:sz w:val="20"/>
      <w:szCs w:val="20"/>
      <w:u w:val="none"/>
    </w:rPr>
  </w:style>
  <w:style w:type="character" w:customStyle="1" w:styleId="116">
    <w:name w:val="正文文本 字符"/>
    <w:qFormat/>
    <w:uiPriority w:val="0"/>
    <w:rPr>
      <w:rFonts w:ascii="Courier New" w:hAnsi="Courier New" w:eastAsia="Calibri Light" w:cs="仿宋_GB2312"/>
      <w:kern w:val="2"/>
      <w:sz w:val="21"/>
      <w:szCs w:val="22"/>
    </w:rPr>
  </w:style>
  <w:style w:type="character" w:customStyle="1" w:styleId="117">
    <w:name w:val="未处理的提及"/>
    <w:unhideWhenUsed/>
    <w:qFormat/>
    <w:uiPriority w:val="99"/>
    <w:rPr>
      <w:rFonts w:ascii="Courier New" w:hAnsi="Courier New" w:eastAsia="Calibri Light" w:cs="仿宋_GB2312"/>
      <w:color w:val="605E5C"/>
      <w:shd w:val="clear" w:color="auto" w:fill="E1DFDD"/>
    </w:rPr>
  </w:style>
  <w:style w:type="character" w:customStyle="1" w:styleId="118">
    <w:name w:val="正文文本缩进 字符"/>
    <w:qFormat/>
    <w:uiPriority w:val="0"/>
    <w:rPr>
      <w:rFonts w:ascii="Courier New" w:hAnsi="Courier New" w:eastAsia="Calibri Light" w:cs="仿宋_GB2312"/>
      <w:kern w:val="2"/>
      <w:sz w:val="21"/>
      <w:szCs w:val="22"/>
    </w:rPr>
  </w:style>
  <w:style w:type="character" w:customStyle="1" w:styleId="119">
    <w:name w:val="普通文字 Char1"/>
    <w:qFormat/>
    <w:uiPriority w:val="0"/>
    <w:rPr>
      <w:rFonts w:ascii="Calibri Light" w:hAnsi="Calibri Light" w:eastAsia="Calibri Light" w:cs="仿宋_GB2312"/>
      <w:kern w:val="2"/>
      <w:sz w:val="21"/>
      <w:lang w:val="en-US" w:eastAsia="zh-CN"/>
    </w:rPr>
  </w:style>
  <w:style w:type="character" w:customStyle="1" w:styleId="120">
    <w:name w:val="tpc_content1"/>
    <w:qFormat/>
    <w:uiPriority w:val="0"/>
    <w:rPr>
      <w:rFonts w:ascii="Courier New" w:hAnsi="Courier New" w:eastAsia="Calibri Light" w:cs="仿宋_GB2312"/>
      <w:sz w:val="20"/>
      <w:szCs w:val="20"/>
    </w:rPr>
  </w:style>
  <w:style w:type="character" w:customStyle="1" w:styleId="121">
    <w:name w:val="纯文本 字符"/>
    <w:qFormat/>
    <w:uiPriority w:val="99"/>
    <w:rPr>
      <w:rFonts w:ascii="Calibri Light" w:hAnsi="Calibri Light" w:eastAsia="Calibri Light" w:cs="仿宋_GB2312"/>
      <w:kern w:val="2"/>
      <w:sz w:val="22"/>
    </w:rPr>
  </w:style>
  <w:style w:type="character" w:customStyle="1" w:styleId="122">
    <w:name w:val="case31"/>
    <w:qFormat/>
    <w:uiPriority w:val="0"/>
    <w:rPr>
      <w:rFonts w:ascii="楷体_GB2312" w:hAnsi="楷体_GB2312" w:eastAsia="Calibri Light" w:cs="仿宋_GB2312"/>
      <w:sz w:val="21"/>
      <w:szCs w:val="21"/>
    </w:rPr>
  </w:style>
  <w:style w:type="character" w:customStyle="1" w:styleId="123">
    <w:name w:val="bookmark-item"/>
    <w:qFormat/>
    <w:uiPriority w:val="0"/>
  </w:style>
  <w:style w:type="character" w:customStyle="1" w:styleId="124">
    <w:name w:val="纯文本 Char1"/>
    <w:qFormat/>
    <w:uiPriority w:val="99"/>
    <w:rPr>
      <w:rFonts w:ascii="Calibri Light" w:hAnsi="Calibri Light" w:eastAsia="Calibri Light" w:cs="仿宋_GB2312"/>
      <w:kern w:val="2"/>
      <w:sz w:val="21"/>
      <w:szCs w:val="21"/>
    </w:rPr>
  </w:style>
  <w:style w:type="character" w:customStyle="1" w:styleId="125">
    <w:name w:val="页码1"/>
    <w:qFormat/>
    <w:uiPriority w:val="0"/>
  </w:style>
  <w:style w:type="character" w:customStyle="1" w:styleId="126">
    <w:name w:val="fontstyle01"/>
    <w:qFormat/>
    <w:uiPriority w:val="0"/>
    <w:rPr>
      <w:rFonts w:ascii="宋体" w:hAnsi="宋体" w:eastAsia="宋体" w:cs="宋体"/>
      <w:color w:val="000000"/>
      <w:sz w:val="24"/>
      <w:szCs w:val="24"/>
    </w:rPr>
  </w:style>
  <w:style w:type="paragraph" w:customStyle="1" w:styleId="127">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 w:hAnsi="Calibri Light" w:eastAsia="??" w:cs="Calibri Light"/>
      <w:color w:val="000000"/>
      <w:kern w:val="0"/>
      <w:sz w:val="24"/>
      <w:szCs w:val="24"/>
    </w:rPr>
  </w:style>
  <w:style w:type="paragraph" w:customStyle="1" w:styleId="128">
    <w:name w:val="样式 样式 样式 左侧:  2 字符1 + 首行缩进:  2 字符1 + 首行缩进:  2 字符"/>
    <w:basedOn w:val="1"/>
    <w:qFormat/>
    <w:uiPriority w:val="0"/>
    <w:pPr>
      <w:widowControl/>
      <w:adjustRightInd w:val="0"/>
      <w:spacing w:before="60" w:after="120" w:line="440" w:lineRule="atLeast"/>
      <w:ind w:firstLine="480"/>
      <w:textAlignment w:val="baseline"/>
    </w:pPr>
    <w:rPr>
      <w:rFonts w:ascii="Courier New" w:hAnsi="Courier New" w:eastAsia="Calibri Light" w:cs="仿宋_GB2312"/>
      <w:sz w:val="24"/>
      <w:szCs w:val="20"/>
    </w:rPr>
  </w:style>
  <w:style w:type="paragraph" w:customStyle="1" w:styleId="129">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right"/>
    </w:pPr>
    <w:rPr>
      <w:rFonts w:ascii="??" w:hAnsi="Calibri Light" w:eastAsia="??" w:cs="Calibri Light"/>
      <w:color w:val="000000"/>
      <w:kern w:val="0"/>
      <w:sz w:val="24"/>
      <w:szCs w:val="24"/>
    </w:rPr>
  </w:style>
  <w:style w:type="paragraph" w:customStyle="1" w:styleId="130">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 w:hAnsi="Calibri Light" w:eastAsia="??" w:cs="Calibri Light"/>
      <w:b/>
      <w:bCs/>
      <w:kern w:val="0"/>
      <w:sz w:val="24"/>
      <w:szCs w:val="24"/>
    </w:rPr>
  </w:style>
  <w:style w:type="paragraph" w:customStyle="1" w:styleId="131">
    <w:name w:val="_Style 2"/>
    <w:basedOn w:val="1"/>
    <w:qFormat/>
    <w:uiPriority w:val="0"/>
    <w:pPr>
      <w:ind w:firstLine="420" w:firstLineChars="200"/>
    </w:pPr>
    <w:rPr>
      <w:rFonts w:ascii="Times New Roman" w:hAnsi="Times New Roman" w:eastAsia="宋体" w:cs="Times New Roman"/>
    </w:rPr>
  </w:style>
  <w:style w:type="paragraph" w:customStyle="1" w:styleId="132">
    <w:name w:val="列表段落1"/>
    <w:basedOn w:val="1"/>
    <w:unhideWhenUsed/>
    <w:qFormat/>
    <w:uiPriority w:val="34"/>
    <w:pPr>
      <w:autoSpaceDE w:val="0"/>
      <w:autoSpaceDN w:val="0"/>
      <w:ind w:firstLine="420" w:firstLineChars="200"/>
      <w:jc w:val="left"/>
    </w:pPr>
    <w:rPr>
      <w:rFonts w:ascii="Calibri Light" w:hAnsi="Calibri Light" w:eastAsia="宋体" w:cs="Calibri Light"/>
      <w:kern w:val="0"/>
      <w:sz w:val="22"/>
      <w:lang w:val="zh-CN"/>
    </w:rPr>
  </w:style>
  <w:style w:type="paragraph" w:customStyle="1" w:styleId="133">
    <w:name w:val="Other|1"/>
    <w:basedOn w:val="1"/>
    <w:qFormat/>
    <w:uiPriority w:val="0"/>
    <w:pPr>
      <w:ind w:firstLine="300"/>
    </w:pPr>
    <w:rPr>
      <w:rFonts w:ascii="Calibri Light" w:hAnsi="Calibri Light" w:eastAsia="Calibri Light" w:cs="Calibri Light"/>
      <w:sz w:val="16"/>
      <w:szCs w:val="16"/>
    </w:rPr>
  </w:style>
  <w:style w:type="paragraph" w:customStyle="1" w:styleId="134">
    <w:name w:val="正文 New New New New"/>
    <w:qFormat/>
    <w:uiPriority w:val="0"/>
    <w:pPr>
      <w:widowControl w:val="0"/>
      <w:jc w:val="both"/>
    </w:pPr>
    <w:rPr>
      <w:rFonts w:ascii="Times New Roman" w:hAnsi="Times New Roman" w:eastAsia="宋体" w:cs="Times New Roman"/>
      <w:szCs w:val="24"/>
      <w:lang w:val="en-US" w:eastAsia="zh-CN" w:bidi="ar-SA"/>
    </w:rPr>
  </w:style>
  <w:style w:type="paragraph" w:customStyle="1" w:styleId="135">
    <w:name w:val="È¡ÀÊ¡ÎÄ¡À¾"/>
    <w:basedOn w:val="1"/>
    <w:qFormat/>
    <w:uiPriority w:val="0"/>
    <w:pPr>
      <w:widowControl/>
      <w:overflowPunct w:val="0"/>
      <w:autoSpaceDE w:val="0"/>
      <w:autoSpaceDN w:val="0"/>
      <w:adjustRightInd w:val="0"/>
      <w:jc w:val="left"/>
      <w:textAlignment w:val="baseline"/>
    </w:pPr>
    <w:rPr>
      <w:rFonts w:ascii="Courier New" w:hAnsi="Courier New" w:eastAsia="Calibri Light" w:cs="仿宋_GB2312"/>
      <w:kern w:val="0"/>
      <w:sz w:val="24"/>
    </w:rPr>
  </w:style>
  <w:style w:type="paragraph" w:customStyle="1" w:styleId="136">
    <w:name w:val="TOC Heading"/>
    <w:basedOn w:val="3"/>
    <w:next w:val="1"/>
    <w:qFormat/>
    <w:uiPriority w:val="0"/>
    <w:pPr>
      <w:keepNext/>
      <w:keepLines/>
      <w:widowControl/>
      <w:spacing w:before="240" w:line="259" w:lineRule="auto"/>
      <w:jc w:val="left"/>
      <w:outlineLvl w:val="9"/>
    </w:pPr>
    <w:rPr>
      <w:rFonts w:ascii="方正中等线_GBK" w:hAnsi="方正中等线_GBK" w:eastAsia="Calibri Light" w:cs="仿宋_GB2312"/>
      <w:color w:val="2E74B5"/>
      <w:kern w:val="0"/>
      <w:sz w:val="32"/>
      <w:szCs w:val="32"/>
    </w:rPr>
  </w:style>
  <w:style w:type="paragraph" w:customStyle="1" w:styleId="137">
    <w:name w:val="xl7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 w:hAnsi="Calibri Light" w:eastAsia="??" w:cs="Calibri Light"/>
      <w:color w:val="000000"/>
      <w:kern w:val="0"/>
      <w:sz w:val="24"/>
      <w:szCs w:val="24"/>
    </w:rPr>
  </w:style>
  <w:style w:type="paragraph" w:customStyle="1" w:styleId="138">
    <w:name w:val="xl72"/>
    <w:basedOn w:val="1"/>
    <w:qFormat/>
    <w:uiPriority w:val="0"/>
    <w:pPr>
      <w:widowControl/>
      <w:spacing w:before="100" w:beforeAutospacing="1" w:after="100" w:afterAutospacing="1"/>
      <w:jc w:val="left"/>
    </w:pPr>
    <w:rPr>
      <w:rFonts w:ascii="??" w:hAnsi="Calibri Light" w:eastAsia="??" w:cs="Calibri Light"/>
      <w:kern w:val="0"/>
      <w:sz w:val="24"/>
      <w:szCs w:val="24"/>
    </w:rPr>
  </w:style>
  <w:style w:type="paragraph" w:customStyle="1" w:styleId="139">
    <w:name w:val="xl68"/>
    <w:basedOn w:val="1"/>
    <w:qFormat/>
    <w:uiPriority w:val="0"/>
    <w:pPr>
      <w:widowControl/>
      <w:spacing w:before="100" w:beforeAutospacing="1" w:after="100" w:afterAutospacing="1"/>
      <w:jc w:val="left"/>
    </w:pPr>
    <w:rPr>
      <w:rFonts w:ascii="??" w:hAnsi="Calibri Light" w:eastAsia="??" w:cs="Calibri Light"/>
      <w:b/>
      <w:bCs/>
      <w:kern w:val="0"/>
      <w:sz w:val="24"/>
      <w:szCs w:val="24"/>
    </w:rPr>
  </w:style>
  <w:style w:type="paragraph" w:customStyle="1" w:styleId="140">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 w:hAnsi="Calibri Light" w:eastAsia="??" w:cs="Calibri Light"/>
      <w:color w:val="000000"/>
      <w:kern w:val="0"/>
      <w:sz w:val="24"/>
      <w:szCs w:val="24"/>
    </w:rPr>
  </w:style>
  <w:style w:type="paragraph" w:customStyle="1" w:styleId="141">
    <w:name w:val="xl70"/>
    <w:basedOn w:val="1"/>
    <w:qFormat/>
    <w:uiPriority w:val="0"/>
    <w:pPr>
      <w:widowControl/>
      <w:spacing w:before="100" w:beforeAutospacing="1" w:after="100" w:afterAutospacing="1"/>
      <w:jc w:val="left"/>
    </w:pPr>
    <w:rPr>
      <w:rFonts w:ascii="??" w:hAnsi="Calibri Light" w:eastAsia="??" w:cs="Calibri Light"/>
      <w:kern w:val="0"/>
      <w:sz w:val="24"/>
      <w:szCs w:val="24"/>
    </w:rPr>
  </w:style>
  <w:style w:type="paragraph" w:customStyle="1" w:styleId="142">
    <w:name w:val="正文格式"/>
    <w:qFormat/>
    <w:uiPriority w:val="99"/>
    <w:pPr>
      <w:spacing w:line="360" w:lineRule="auto"/>
      <w:ind w:firstLine="200" w:firstLineChars="200"/>
    </w:pPr>
    <w:rPr>
      <w:rFonts w:ascii="Calibri Light" w:hAnsi="Calibri Light" w:eastAsia="宋体" w:cs="Times New Roman"/>
      <w:kern w:val="2"/>
      <w:sz w:val="28"/>
      <w:szCs w:val="22"/>
      <w:lang w:val="en-US" w:eastAsia="zh-CN" w:bidi="ar-SA"/>
    </w:rPr>
  </w:style>
  <w:style w:type="paragraph" w:customStyle="1" w:styleId="143">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 w:hAnsi="Calibri Light" w:eastAsia="??" w:cs="Calibri Light"/>
      <w:b/>
      <w:bCs/>
      <w:kern w:val="0"/>
      <w:sz w:val="24"/>
      <w:szCs w:val="24"/>
    </w:rPr>
  </w:style>
  <w:style w:type="paragraph" w:customStyle="1" w:styleId="144">
    <w:name w:val="txt"/>
    <w:basedOn w:val="1"/>
    <w:qFormat/>
    <w:uiPriority w:val="0"/>
    <w:pPr>
      <w:widowControl/>
      <w:spacing w:before="100" w:beforeAutospacing="1" w:after="100" w:afterAutospacing="1"/>
      <w:jc w:val="left"/>
    </w:pPr>
    <w:rPr>
      <w:rFonts w:ascii="Calibri Light" w:hAnsi="Calibri Light" w:eastAsia="Calibri Light" w:cs="Calibri Light"/>
      <w:kern w:val="0"/>
      <w:sz w:val="24"/>
      <w:szCs w:val="24"/>
    </w:rPr>
  </w:style>
  <w:style w:type="paragraph" w:customStyle="1" w:styleId="145">
    <w:name w:val="xl69"/>
    <w:basedOn w:val="1"/>
    <w:qFormat/>
    <w:uiPriority w:val="0"/>
    <w:pPr>
      <w:widowControl/>
      <w:spacing w:before="100" w:beforeAutospacing="1" w:after="100" w:afterAutospacing="1"/>
      <w:jc w:val="left"/>
    </w:pPr>
    <w:rPr>
      <w:rFonts w:ascii="??" w:hAnsi="Calibri Light" w:eastAsia="??" w:cs="Calibri Light"/>
      <w:color w:val="000000"/>
      <w:kern w:val="0"/>
      <w:sz w:val="24"/>
      <w:szCs w:val="24"/>
    </w:rPr>
  </w:style>
  <w:style w:type="paragraph" w:customStyle="1" w:styleId="146">
    <w:name w:val="列出段落2"/>
    <w:basedOn w:val="1"/>
    <w:qFormat/>
    <w:uiPriority w:val="34"/>
    <w:pPr>
      <w:ind w:firstLine="420" w:firstLineChars="200"/>
    </w:pPr>
    <w:rPr>
      <w:rFonts w:ascii="Times New Roman" w:hAnsi="Times New Roman" w:eastAsia="宋体" w:cs="Times New Roman"/>
    </w:rPr>
  </w:style>
  <w:style w:type="paragraph" w:customStyle="1" w:styleId="147">
    <w:name w:val="È±Ê¡ÎÄ±¾"/>
    <w:basedOn w:val="1"/>
    <w:qFormat/>
    <w:uiPriority w:val="0"/>
    <w:pPr>
      <w:widowControl/>
      <w:overflowPunct w:val="0"/>
      <w:autoSpaceDE w:val="0"/>
      <w:autoSpaceDN w:val="0"/>
      <w:adjustRightInd w:val="0"/>
      <w:jc w:val="left"/>
      <w:textAlignment w:val="baseline"/>
    </w:pPr>
    <w:rPr>
      <w:rFonts w:ascii="Courier New" w:hAnsi="Courier New" w:eastAsia="Calibri Light" w:cs="仿宋_GB2312"/>
      <w:kern w:val="0"/>
      <w:sz w:val="24"/>
      <w:szCs w:val="20"/>
    </w:rPr>
  </w:style>
  <w:style w:type="paragraph" w:customStyle="1" w:styleId="148">
    <w:name w:val="Default"/>
    <w:qFormat/>
    <w:uiPriority w:val="0"/>
    <w:pPr>
      <w:widowControl w:val="0"/>
      <w:autoSpaceDE w:val="0"/>
      <w:autoSpaceDN w:val="0"/>
      <w:adjustRightInd w:val="0"/>
      <w:spacing w:line="360" w:lineRule="atLeast"/>
      <w:jc w:val="both"/>
      <w:textAlignment w:val="baseline"/>
    </w:pPr>
    <w:rPr>
      <w:rFonts w:ascii="宋体" w:hAnsi="Times New Roman" w:eastAsia="宋体" w:cs="Times New Roman"/>
      <w:color w:val="000000"/>
      <w:sz w:val="24"/>
      <w:szCs w:val="24"/>
      <w:lang w:val="en-US" w:eastAsia="zh-CN" w:bidi="ar-SA"/>
    </w:rPr>
  </w:style>
  <w:style w:type="paragraph" w:customStyle="1" w:styleId="149">
    <w:name w:val="xl71"/>
    <w:basedOn w:val="1"/>
    <w:qFormat/>
    <w:uiPriority w:val="0"/>
    <w:pPr>
      <w:widowControl/>
      <w:spacing w:before="100" w:beforeAutospacing="1" w:after="100" w:afterAutospacing="1"/>
      <w:jc w:val="left"/>
    </w:pPr>
    <w:rPr>
      <w:rFonts w:ascii="??" w:hAnsi="Calibri Light" w:eastAsia="??" w:cs="Calibri Light"/>
      <w:kern w:val="0"/>
      <w:sz w:val="24"/>
      <w:szCs w:val="24"/>
    </w:rPr>
  </w:style>
  <w:style w:type="paragraph" w:customStyle="1" w:styleId="150">
    <w:name w:val="纯文本1"/>
    <w:basedOn w:val="1"/>
    <w:qFormat/>
    <w:uiPriority w:val="0"/>
    <w:pPr>
      <w:adjustRightInd w:val="0"/>
      <w:textAlignment w:val="baseline"/>
    </w:pPr>
    <w:rPr>
      <w:rFonts w:ascii="Calibri Light" w:hAnsi="Calibri Light" w:eastAsia="Courier New" w:cs="仿宋_GB2312"/>
      <w:sz w:val="28"/>
      <w:szCs w:val="20"/>
    </w:rPr>
  </w:style>
  <w:style w:type="character" w:customStyle="1" w:styleId="151">
    <w:name w:val="Intense Emphasis"/>
    <w:qFormat/>
    <w:uiPriority w:val="0"/>
    <w:rPr>
      <w:b/>
      <w:bCs/>
      <w:i/>
      <w:iCs/>
      <w:color w:val="4F81BD"/>
    </w:rPr>
  </w:style>
  <w:style w:type="character" w:customStyle="1" w:styleId="152">
    <w:name w:val="Intense Reference"/>
    <w:qFormat/>
    <w:uiPriority w:val="0"/>
    <w:rPr>
      <w:b/>
      <w:bCs/>
      <w:smallCaps/>
      <w:color w:val="C0504D"/>
      <w:spacing w:val="5"/>
      <w:u w:val="single"/>
    </w:rPr>
  </w:style>
  <w:style w:type="character" w:customStyle="1" w:styleId="153">
    <w:name w:val="文档结构图 Char1"/>
    <w:qFormat/>
    <w:uiPriority w:val="0"/>
    <w:rPr>
      <w:rFonts w:ascii="宋体"/>
      <w:kern w:val="2"/>
      <w:sz w:val="18"/>
      <w:szCs w:val="18"/>
    </w:rPr>
  </w:style>
  <w:style w:type="character" w:customStyle="1" w:styleId="154">
    <w:name w:val="Subtle Emphasis"/>
    <w:qFormat/>
    <w:uiPriority w:val="0"/>
    <w:rPr>
      <w:i/>
      <w:iCs/>
      <w:color w:val="808080"/>
    </w:rPr>
  </w:style>
  <w:style w:type="character" w:customStyle="1" w:styleId="155">
    <w:name w:val="批注主题 Char1"/>
    <w:qFormat/>
    <w:uiPriority w:val="0"/>
    <w:rPr>
      <w:b/>
      <w:bCs/>
      <w:kern w:val="2"/>
      <w:sz w:val="21"/>
      <w:szCs w:val="22"/>
    </w:rPr>
  </w:style>
  <w:style w:type="character" w:customStyle="1" w:styleId="156">
    <w:name w:val="明显引用 Char"/>
    <w:link w:val="157"/>
    <w:qFormat/>
    <w:uiPriority w:val="0"/>
    <w:rPr>
      <w:b/>
      <w:bCs/>
      <w:i/>
      <w:iCs/>
      <w:color w:val="4F81BD"/>
      <w:kern w:val="2"/>
      <w:sz w:val="21"/>
      <w:szCs w:val="22"/>
    </w:rPr>
  </w:style>
  <w:style w:type="paragraph" w:styleId="157">
    <w:name w:val="Intense Quote"/>
    <w:basedOn w:val="1"/>
    <w:next w:val="1"/>
    <w:link w:val="156"/>
    <w:qFormat/>
    <w:uiPriority w:val="0"/>
    <w:pPr>
      <w:pBdr>
        <w:bottom w:val="single" w:color="4F81BD" w:sz="4" w:space="4"/>
      </w:pBdr>
      <w:spacing w:before="200" w:after="280"/>
      <w:ind w:left="936" w:right="936"/>
    </w:pPr>
    <w:rPr>
      <w:rFonts w:ascii="Times New Roman" w:hAnsi="Times New Roman" w:eastAsia="宋体" w:cs="Times New Roman"/>
      <w:b/>
      <w:bCs/>
      <w:i/>
      <w:iCs/>
      <w:color w:val="4F81BD"/>
    </w:rPr>
  </w:style>
  <w:style w:type="character" w:customStyle="1" w:styleId="158">
    <w:name w:val="明显引用 Char1"/>
    <w:basedOn w:val="49"/>
    <w:qFormat/>
    <w:uiPriority w:val="99"/>
    <w:rPr>
      <w:rFonts w:asciiTheme="minorHAnsi" w:hAnsiTheme="minorHAnsi" w:eastAsiaTheme="minorEastAsia" w:cstheme="minorBidi"/>
      <w:i/>
      <w:iCs/>
      <w:color w:val="5B9BD5" w:themeColor="accent1"/>
      <w:kern w:val="2"/>
      <w:sz w:val="21"/>
      <w:szCs w:val="22"/>
      <w14:textFill>
        <w14:solidFill>
          <w14:schemeClr w14:val="accent1"/>
        </w14:solidFill>
      </w14:textFill>
    </w:rPr>
  </w:style>
  <w:style w:type="character" w:customStyle="1" w:styleId="159">
    <w:name w:val="Book Title"/>
    <w:qFormat/>
    <w:uiPriority w:val="0"/>
    <w:rPr>
      <w:b/>
      <w:bCs/>
      <w:smallCaps/>
      <w:spacing w:val="5"/>
    </w:rPr>
  </w:style>
  <w:style w:type="character" w:customStyle="1" w:styleId="160">
    <w:name w:val="批注文字 Char Char"/>
    <w:qFormat/>
    <w:uiPriority w:val="0"/>
    <w:rPr>
      <w:rFonts w:ascii="宋体" w:hAnsi="Times New Roman" w:eastAsia="宋体" w:cs="Times New Roman"/>
      <w:sz w:val="28"/>
      <w:szCs w:val="20"/>
    </w:rPr>
  </w:style>
  <w:style w:type="character" w:customStyle="1" w:styleId="161">
    <w:name w:val="标题4 Char Char"/>
    <w:link w:val="162"/>
    <w:qFormat/>
    <w:uiPriority w:val="0"/>
    <w:rPr>
      <w:rFonts w:ascii="Arial" w:hAnsi="Arial"/>
      <w:b/>
      <w:bCs/>
      <w:sz w:val="24"/>
      <w:szCs w:val="32"/>
    </w:rPr>
  </w:style>
  <w:style w:type="paragraph" w:customStyle="1" w:styleId="162">
    <w:name w:val="标题4"/>
    <w:basedOn w:val="4"/>
    <w:next w:val="22"/>
    <w:link w:val="161"/>
    <w:qFormat/>
    <w:uiPriority w:val="0"/>
    <w:pPr>
      <w:keepNext/>
      <w:keepLines/>
      <w:spacing w:before="260" w:after="260" w:line="413" w:lineRule="auto"/>
      <w:ind w:firstLine="0" w:firstLineChars="0"/>
    </w:pPr>
    <w:rPr>
      <w:rFonts w:ascii="Arial" w:hAnsi="Arial" w:eastAsia="宋体"/>
      <w:bCs/>
      <w:color w:val="auto"/>
      <w:sz w:val="24"/>
      <w:szCs w:val="32"/>
    </w:rPr>
  </w:style>
  <w:style w:type="character" w:customStyle="1" w:styleId="163">
    <w:name w:val="textcontents"/>
    <w:qFormat/>
    <w:uiPriority w:val="0"/>
    <w:rPr>
      <w:rFonts w:cs="Times New Roman"/>
    </w:rPr>
  </w:style>
  <w:style w:type="character" w:customStyle="1" w:styleId="164">
    <w:name w:val="标题5 Char Char"/>
    <w:link w:val="165"/>
    <w:qFormat/>
    <w:uiPriority w:val="0"/>
    <w:rPr>
      <w:rFonts w:ascii="Arial" w:hAnsi="Arial"/>
      <w:b/>
      <w:bCs/>
      <w:sz w:val="24"/>
      <w:szCs w:val="32"/>
    </w:rPr>
  </w:style>
  <w:style w:type="paragraph" w:customStyle="1" w:styleId="165">
    <w:name w:val="标题5"/>
    <w:basedOn w:val="6"/>
    <w:link w:val="164"/>
    <w:qFormat/>
    <w:uiPriority w:val="0"/>
    <w:pPr>
      <w:numPr>
        <w:ilvl w:val="0"/>
        <w:numId w:val="0"/>
      </w:numPr>
      <w:tabs>
        <w:tab w:val="clear" w:pos="720"/>
      </w:tabs>
      <w:adjustRightInd/>
      <w:spacing w:line="413" w:lineRule="auto"/>
      <w:jc w:val="both"/>
      <w:textAlignment w:val="auto"/>
    </w:pPr>
    <w:rPr>
      <w:rFonts w:ascii="Arial" w:hAnsi="Arial" w:eastAsia="宋体"/>
      <w:bCs/>
      <w:szCs w:val="32"/>
    </w:rPr>
  </w:style>
  <w:style w:type="character" w:customStyle="1" w:styleId="166">
    <w:name w:val="引用 Char"/>
    <w:link w:val="167"/>
    <w:qFormat/>
    <w:uiPriority w:val="0"/>
    <w:rPr>
      <w:i/>
      <w:iCs/>
      <w:color w:val="000000"/>
      <w:kern w:val="2"/>
      <w:sz w:val="21"/>
      <w:szCs w:val="22"/>
    </w:rPr>
  </w:style>
  <w:style w:type="paragraph" w:styleId="167">
    <w:name w:val="Quote"/>
    <w:basedOn w:val="1"/>
    <w:next w:val="1"/>
    <w:link w:val="166"/>
    <w:qFormat/>
    <w:uiPriority w:val="0"/>
    <w:rPr>
      <w:rFonts w:ascii="Times New Roman" w:hAnsi="Times New Roman" w:eastAsia="宋体" w:cs="Times New Roman"/>
      <w:i/>
      <w:iCs/>
      <w:color w:val="000000"/>
    </w:rPr>
  </w:style>
  <w:style w:type="character" w:customStyle="1" w:styleId="168">
    <w:name w:val="引用 Char1"/>
    <w:basedOn w:val="49"/>
    <w:qFormat/>
    <w:uiPriority w:val="99"/>
    <w:rPr>
      <w:rFonts w:asciiTheme="minorHAnsi" w:hAnsiTheme="minorHAnsi" w:eastAsiaTheme="minorEastAsia" w:cstheme="minorBidi"/>
      <w:i/>
      <w:iCs/>
      <w:color w:val="404040" w:themeColor="text1" w:themeTint="BF"/>
      <w:kern w:val="2"/>
      <w:sz w:val="21"/>
      <w:szCs w:val="22"/>
      <w14:textFill>
        <w14:solidFill>
          <w14:schemeClr w14:val="tx1">
            <w14:lumMod w14:val="75000"/>
            <w14:lumOff w14:val="25000"/>
          </w14:schemeClr>
        </w14:solidFill>
      </w14:textFill>
    </w:rPr>
  </w:style>
  <w:style w:type="character" w:customStyle="1" w:styleId="169">
    <w:name w:val="Subtle Reference"/>
    <w:qFormat/>
    <w:uiPriority w:val="0"/>
    <w:rPr>
      <w:smallCaps/>
      <w:color w:val="C0504D"/>
      <w:u w:val="single"/>
    </w:rPr>
  </w:style>
  <w:style w:type="paragraph" w:customStyle="1" w:styleId="170">
    <w:name w:val="空半行"/>
    <w:basedOn w:val="1"/>
    <w:qFormat/>
    <w:uiPriority w:val="0"/>
    <w:pPr>
      <w:adjustRightInd w:val="0"/>
      <w:spacing w:line="120" w:lineRule="exact"/>
      <w:textAlignment w:val="baseline"/>
    </w:pPr>
    <w:rPr>
      <w:rFonts w:ascii="Times New Roman" w:hAnsi="Times New Roman" w:eastAsia="仿宋_GB2312" w:cs="Times New Roman"/>
      <w:color w:val="FFFFFF"/>
      <w:kern w:val="0"/>
      <w:sz w:val="30"/>
      <w:szCs w:val="20"/>
    </w:rPr>
  </w:style>
  <w:style w:type="paragraph" w:customStyle="1" w:styleId="171">
    <w:name w:val="样式 标题 3 + (中文) 黑体 小四 非加粗 段前: 7.8 磅 段后: 0 磅 行距: 固定值 20 磅"/>
    <w:basedOn w:val="6"/>
    <w:qFormat/>
    <w:uiPriority w:val="0"/>
    <w:pPr>
      <w:numPr>
        <w:ilvl w:val="0"/>
        <w:numId w:val="0"/>
      </w:numPr>
      <w:tabs>
        <w:tab w:val="clear" w:pos="720"/>
      </w:tabs>
      <w:adjustRightInd/>
      <w:spacing w:before="0" w:after="0" w:line="400" w:lineRule="exact"/>
      <w:jc w:val="both"/>
      <w:textAlignment w:val="auto"/>
    </w:pPr>
    <w:rPr>
      <w:rFonts w:cs="宋体"/>
      <w:b w:val="0"/>
      <w:kern w:val="2"/>
    </w:rPr>
  </w:style>
  <w:style w:type="paragraph" w:styleId="172">
    <w:name w:val="No Spacing"/>
    <w:qFormat/>
    <w:uiPriority w:val="0"/>
    <w:pPr>
      <w:widowControl w:val="0"/>
      <w:jc w:val="both"/>
    </w:pPr>
    <w:rPr>
      <w:rFonts w:ascii="Times New Roman" w:hAnsi="Times New Roman" w:eastAsia="微软雅黑" w:cs="Times New Roman"/>
      <w:kern w:val="2"/>
      <w:sz w:val="21"/>
      <w:szCs w:val="22"/>
      <w:lang w:val="en-US" w:eastAsia="zh-CN" w:bidi="ar-SA"/>
    </w:rPr>
  </w:style>
  <w:style w:type="paragraph" w:customStyle="1" w:styleId="173">
    <w:name w:val="样式 标题 2 + Times New Roman 四号 非加粗 段前: 5 磅 段后: 0 磅 行距: 固定值 20..."/>
    <w:basedOn w:val="4"/>
    <w:qFormat/>
    <w:uiPriority w:val="0"/>
    <w:pPr>
      <w:keepNext/>
      <w:keepLines/>
      <w:spacing w:before="100" w:after="0" w:line="400" w:lineRule="exact"/>
      <w:ind w:firstLine="0" w:firstLineChars="0"/>
    </w:pPr>
    <w:rPr>
      <w:rFonts w:ascii="Times New Roman" w:hAnsi="Times New Roman" w:eastAsia="黑体" w:cs="宋体"/>
      <w:b w:val="0"/>
      <w:color w:val="auto"/>
      <w:szCs w:val="20"/>
    </w:rPr>
  </w:style>
  <w:style w:type="paragraph" w:customStyle="1" w:styleId="174">
    <w:name w:val="flNote"/>
    <w:basedOn w:val="1"/>
    <w:qFormat/>
    <w:uiPriority w:val="0"/>
    <w:pPr>
      <w:adjustRightInd w:val="0"/>
      <w:spacing w:before="320" w:after="160" w:line="360" w:lineRule="atLeast"/>
      <w:jc w:val="center"/>
      <w:textAlignment w:val="baseline"/>
    </w:pPr>
    <w:rPr>
      <w:rFonts w:ascii="Arial" w:hAnsi="Times New Roman" w:eastAsia="黑体" w:cs="Times New Roman"/>
      <w:kern w:val="0"/>
      <w:sz w:val="30"/>
      <w:szCs w:val="20"/>
    </w:rPr>
  </w:style>
  <w:style w:type="paragraph" w:customStyle="1" w:styleId="175">
    <w:name w:val="Revision"/>
    <w:qFormat/>
    <w:uiPriority w:val="0"/>
    <w:rPr>
      <w:rFonts w:ascii="Times New Roman" w:hAnsi="Times New Roman" w:eastAsia="微软雅黑" w:cs="Times New Roman"/>
      <w:kern w:val="2"/>
      <w:sz w:val="21"/>
      <w:szCs w:val="24"/>
      <w:lang w:val="en-US" w:eastAsia="zh-CN" w:bidi="ar-SA"/>
    </w:rPr>
  </w:style>
  <w:style w:type="paragraph" w:customStyle="1" w:styleId="176">
    <w:name w:val="样式 模板正文 + 左侧:  2 字符 段前: 0 磅 行距: 单倍行距"/>
    <w:basedOn w:val="177"/>
    <w:qFormat/>
    <w:uiPriority w:val="0"/>
    <w:pPr>
      <w:ind w:left="0" w:leftChars="0"/>
    </w:pPr>
    <w:rPr>
      <w:szCs w:val="20"/>
    </w:rPr>
  </w:style>
  <w:style w:type="paragraph" w:customStyle="1" w:styleId="177">
    <w:name w:val="模板正文"/>
    <w:basedOn w:val="1"/>
    <w:qFormat/>
    <w:uiPriority w:val="0"/>
    <w:pPr>
      <w:wordWrap w:val="0"/>
      <w:spacing w:before="120" w:line="320" w:lineRule="exact"/>
      <w:ind w:left="200" w:leftChars="200" w:firstLine="200" w:firstLineChars="200"/>
    </w:pPr>
    <w:rPr>
      <w:rFonts w:ascii="Arial" w:hAnsi="Arial"/>
      <w:szCs w:val="21"/>
    </w:rPr>
  </w:style>
  <w:style w:type="paragraph" w:customStyle="1" w:styleId="178">
    <w:name w:val="Table Text"/>
    <w:basedOn w:val="1"/>
    <w:semiHidden/>
    <w:qFormat/>
    <w:uiPriority w:val="0"/>
    <w:rPr>
      <w:rFonts w:ascii="宋体" w:hAnsi="宋体" w:eastAsia="宋体" w:cs="宋体"/>
      <w:sz w:val="23"/>
      <w:szCs w:val="23"/>
      <w:lang w:val="en-US" w:eastAsia="en-US" w:bidi="ar-SA"/>
    </w:rPr>
  </w:style>
  <w:style w:type="table" w:customStyle="1" w:styleId="179">
    <w:name w:val="Table Normal"/>
    <w:semiHidden/>
    <w:unhideWhenUsed/>
    <w:qFormat/>
    <w:uiPriority w:val="0"/>
    <w:tblPr>
      <w:tblCellMar>
        <w:top w:w="0" w:type="dxa"/>
        <w:left w:w="0" w:type="dxa"/>
        <w:bottom w:w="0" w:type="dxa"/>
        <w:right w:w="0" w:type="dxa"/>
      </w:tblCellMar>
    </w:tblPr>
  </w:style>
  <w:style w:type="paragraph" w:customStyle="1" w:styleId="180">
    <w:name w:val="正文_0_3"/>
    <w:qFormat/>
    <w:uiPriority w:val="0"/>
    <w:pPr>
      <w:widowControl w:val="0"/>
      <w:jc w:val="both"/>
    </w:pPr>
    <w:rPr>
      <w:rFonts w:ascii="Calibri" w:hAnsi="Calibri" w:eastAsia="仿宋_GB2312" w:cs="Times New Roman"/>
      <w:kern w:val="2"/>
      <w:sz w:val="28"/>
      <w:szCs w:val="24"/>
      <w:lang w:val="en-US" w:eastAsia="zh-CN" w:bidi="ar-SA"/>
    </w:rPr>
  </w:style>
  <w:style w:type="paragraph" w:customStyle="1" w:styleId="181">
    <w:name w:val="正文_1_0"/>
    <w:basedOn w:val="182"/>
    <w:next w:val="185"/>
    <w:qFormat/>
    <w:uiPriority w:val="0"/>
    <w:rPr>
      <w:rFonts w:ascii="Times New Roman" w:hAnsi="Times New Roman"/>
      <w:szCs w:val="24"/>
    </w:rPr>
  </w:style>
  <w:style w:type="paragraph" w:customStyle="1" w:styleId="182">
    <w:name w:val="正文_1_1"/>
    <w:basedOn w:val="183"/>
    <w:qFormat/>
    <w:uiPriority w:val="0"/>
    <w:rPr>
      <w:rFonts w:ascii="Calibri" w:hAnsi="Calibri"/>
      <w:szCs w:val="22"/>
    </w:rPr>
  </w:style>
  <w:style w:type="paragraph" w:customStyle="1" w:styleId="183">
    <w:name w:val="正文_5"/>
    <w:next w:val="18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4">
    <w:name w:val="引文目录标题_0"/>
    <w:basedOn w:val="183"/>
    <w:next w:val="183"/>
    <w:qFormat/>
    <w:uiPriority w:val="0"/>
    <w:pPr>
      <w:spacing w:before="120"/>
    </w:pPr>
    <w:rPr>
      <w:rFonts w:ascii="Arial" w:hAnsi="Arial"/>
      <w:sz w:val="24"/>
    </w:rPr>
  </w:style>
  <w:style w:type="paragraph" w:customStyle="1" w:styleId="185">
    <w:name w:val="正文首行缩进1"/>
    <w:basedOn w:val="186"/>
    <w:unhideWhenUsed/>
    <w:qFormat/>
    <w:uiPriority w:val="99"/>
    <w:pPr>
      <w:ind w:firstLine="420" w:firstLineChars="100"/>
    </w:pPr>
    <w:rPr>
      <w:szCs w:val="22"/>
    </w:rPr>
  </w:style>
  <w:style w:type="paragraph" w:customStyle="1" w:styleId="186">
    <w:name w:val="正文文本_0_0"/>
    <w:basedOn w:val="187"/>
    <w:qFormat/>
    <w:uiPriority w:val="0"/>
    <w:pPr>
      <w:spacing w:after="120"/>
    </w:pPr>
    <w:rPr>
      <w:rFonts w:ascii="Calibri" w:hAnsi="Calibri"/>
      <w:kern w:val="0"/>
      <w:sz w:val="20"/>
    </w:rPr>
  </w:style>
  <w:style w:type="paragraph" w:customStyle="1" w:styleId="187">
    <w:name w:val="正文_1_3"/>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88">
    <w:name w:val="font61"/>
    <w:basedOn w:val="49"/>
    <w:qFormat/>
    <w:uiPriority w:val="0"/>
    <w:rPr>
      <w:rFonts w:hint="default" w:ascii="Times New Roman" w:hAnsi="Times New Roman" w:cs="Times New Roman"/>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12.xml"/><Relationship Id="rId15" Type="http://schemas.openxmlformats.org/officeDocument/2006/relationships/header" Target="header2.xml"/><Relationship Id="rId14" Type="http://schemas.openxmlformats.org/officeDocument/2006/relationships/footer" Target="footer11.xml"/><Relationship Id="rId13" Type="http://schemas.openxmlformats.org/officeDocument/2006/relationships/footer" Target="footer10.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F039E4F-A47D-4B6D-A1BE-1828263C8D88}">
  <ds:schemaRefs/>
</ds:datastoreItem>
</file>

<file path=docProps/app.xml><?xml version="1.0" encoding="utf-8"?>
<Properties xmlns="http://schemas.openxmlformats.org/officeDocument/2006/extended-properties" xmlns:vt="http://schemas.openxmlformats.org/officeDocument/2006/docPropsVTypes">
  <Template>Normal.dotm</Template>
  <Pages>79</Pages>
  <Words>6037</Words>
  <Characters>6538</Characters>
  <Lines>379</Lines>
  <Paragraphs>106</Paragraphs>
  <TotalTime>4</TotalTime>
  <ScaleCrop>false</ScaleCrop>
  <LinksUpToDate>false</LinksUpToDate>
  <CharactersWithSpaces>6708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2025-03-28T09:23:00Z</dcterms:created>
  <dc:creator>NTKO</dc:creator>
  <cp:lastModifiedBy>赵梓杰</cp:lastModifiedBy>
  <dcterms:modified xsi:type="dcterms:W3CDTF">2025-05-26T03:02:23Z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1BD7948B223049A391767E6829FAF853_13</vt:lpwstr>
  </property>
  <property fmtid="{D5CDD505-2E9C-101B-9397-08002B2CF9AE}" pid="4" name="KSOTemplateDocerSaveRecord">
    <vt:lpwstr>eyJoZGlkIjoiMDFhZjc2N2E0MzI1NzI3ZjQ5Y2NkNjBlY2IzOGVkY2YiLCJ1c2VySWQiOiIyNDQ3MDk4NTUifQ==</vt:lpwstr>
  </property>
</Properties>
</file>