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highlight w:val="none"/>
          <w:lang w:val="en-US" w:eastAsia="zh-CN"/>
        </w:rPr>
      </w:pPr>
      <w:r>
        <w:rPr>
          <w:rFonts w:hint="eastAsia" w:ascii="宋体" w:hAnsi="宋体"/>
          <w:highlight w:val="none"/>
          <w:lang w:eastAsia="zh-CN"/>
        </w:rPr>
        <w:t>广西鑫磐工程项目管理有限责任公司</w:t>
      </w:r>
      <w:r>
        <w:rPr>
          <w:rFonts w:hint="eastAsia" w:ascii="宋体" w:hAnsi="宋体"/>
          <w:highlight w:val="none"/>
          <w:lang w:val="en-US" w:eastAsia="zh-CN"/>
        </w:rPr>
        <w:t>关于儿童康复中心建设项目设备及器材采购（</w:t>
      </w:r>
      <w:r>
        <w:rPr>
          <w:rFonts w:hint="eastAsia" w:ascii="宋体" w:hAnsi="宋体"/>
          <w:highlight w:val="none"/>
          <w:lang w:eastAsia="zh-CN"/>
        </w:rPr>
        <w:t>GLZC2020-J1-210033-GXXP</w:t>
      </w:r>
      <w:r>
        <w:rPr>
          <w:rFonts w:hint="eastAsia" w:ascii="宋体" w:hAnsi="宋体"/>
          <w:highlight w:val="none"/>
          <w:lang w:val="en-US" w:eastAsia="zh-CN"/>
        </w:rPr>
        <w:t>）</w:t>
      </w:r>
    </w:p>
    <w:p>
      <w:pPr>
        <w:pStyle w:val="3"/>
        <w:keepNext/>
        <w:keepLines/>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b w:val="0"/>
          <w:szCs w:val="32"/>
          <w:highlight w:val="none"/>
          <w:lang w:val="en-US"/>
        </w:rPr>
      </w:pPr>
      <w:bookmarkStart w:id="17" w:name="_GoBack"/>
      <w:bookmarkEnd w:id="17"/>
      <w:r>
        <w:rPr>
          <w:rFonts w:hint="eastAsia" w:ascii="宋体" w:hAnsi="宋体"/>
          <w:highlight w:val="none"/>
          <w:lang w:val="en-US" w:eastAsia="zh-CN"/>
        </w:rPr>
        <w:t>竞争性谈判公告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hint="eastAsia" w:ascii="宋体" w:hAnsi="宋体"/>
          <w:highlight w:val="none"/>
        </w:rPr>
      </w:pPr>
      <w:r>
        <w:rPr>
          <w:rFonts w:hint="eastAsia" w:ascii="宋体" w:hAnsi="宋体"/>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20" w:firstLineChars="200"/>
        <w:textAlignment w:val="auto"/>
        <w:rPr>
          <w:rFonts w:hint="eastAsia" w:ascii="宋体" w:hAnsi="宋体"/>
          <w:highlight w:val="none"/>
        </w:rPr>
      </w:pPr>
      <w:r>
        <w:rPr>
          <w:rFonts w:hint="eastAsia" w:ascii="宋体" w:hAnsi="宋体"/>
          <w:highlight w:val="none"/>
          <w:lang w:eastAsia="zh-CN"/>
        </w:rPr>
        <w:t>广西鑫磐工程项目管理有限责任公司</w:t>
      </w:r>
      <w:r>
        <w:rPr>
          <w:rFonts w:hint="eastAsia" w:ascii="宋体" w:hAnsi="宋体"/>
          <w:highlight w:val="none"/>
        </w:rPr>
        <w:t>受</w:t>
      </w:r>
      <w:r>
        <w:rPr>
          <w:rFonts w:hint="eastAsia" w:ascii="宋体" w:hAnsi="宋体"/>
          <w:highlight w:val="none"/>
          <w:u w:val="single"/>
        </w:rPr>
        <w:t>阳朔县妇幼保健院</w:t>
      </w:r>
      <w:r>
        <w:rPr>
          <w:rFonts w:hint="eastAsia" w:ascii="宋体" w:hAnsi="宋体"/>
          <w:highlight w:val="none"/>
          <w:u w:val="none"/>
          <w:lang w:val="en-US" w:eastAsia="zh-CN"/>
        </w:rPr>
        <w:t>委托</w:t>
      </w:r>
      <w:r>
        <w:rPr>
          <w:rFonts w:hint="eastAsia" w:ascii="宋体" w:hAnsi="宋体"/>
          <w:highlight w:val="none"/>
        </w:rPr>
        <w:t>，根据《中华人民共和国政府采购法》、《中华人民共和国政府采购法实施条例》、《政府采购非招标采购方式管理办法》等规定，现就</w:t>
      </w:r>
      <w:r>
        <w:rPr>
          <w:rFonts w:hint="eastAsia" w:hAnsi="宋体"/>
          <w:highlight w:val="none"/>
          <w:u w:val="single"/>
          <w:lang w:eastAsia="zh-CN"/>
        </w:rPr>
        <w:t>儿童康复中心建设项目设备及器材采购</w:t>
      </w:r>
      <w:r>
        <w:rPr>
          <w:rFonts w:hint="eastAsia" w:ascii="宋体" w:hAnsi="宋体"/>
          <w:highlight w:val="none"/>
        </w:rPr>
        <w:t xml:space="preserve">项目进行竞争性谈判采购，欢迎符合条件的供应商前来参加谈判活动，并于 </w:t>
      </w:r>
      <w:r>
        <w:rPr>
          <w:rFonts w:hint="eastAsia" w:hAnsi="宋体"/>
          <w:highlight w:val="none"/>
          <w:u w:val="single"/>
          <w:lang w:eastAsia="zh-CN"/>
        </w:rPr>
        <w:t>2020年</w:t>
      </w:r>
      <w:r>
        <w:rPr>
          <w:rFonts w:hint="eastAsia" w:hAnsi="宋体"/>
          <w:highlight w:val="none"/>
          <w:u w:val="single"/>
          <w:lang w:val="en-US" w:eastAsia="zh-CN"/>
        </w:rPr>
        <w:t>11</w:t>
      </w:r>
      <w:r>
        <w:rPr>
          <w:rFonts w:hint="eastAsia" w:hAnsi="宋体"/>
          <w:highlight w:val="none"/>
          <w:u w:val="single"/>
          <w:lang w:eastAsia="zh-CN"/>
        </w:rPr>
        <w:t>月</w:t>
      </w:r>
      <w:r>
        <w:rPr>
          <w:rFonts w:hint="eastAsia" w:hAnsi="宋体"/>
          <w:highlight w:val="none"/>
          <w:u w:val="single"/>
          <w:lang w:val="en-US" w:eastAsia="zh-CN"/>
        </w:rPr>
        <w:t>17</w:t>
      </w:r>
      <w:r>
        <w:rPr>
          <w:rFonts w:hint="eastAsia" w:hAnsi="宋体"/>
          <w:highlight w:val="none"/>
          <w:u w:val="single"/>
          <w:lang w:eastAsia="zh-CN"/>
        </w:rPr>
        <w:t>日</w:t>
      </w:r>
      <w:r>
        <w:rPr>
          <w:rFonts w:hint="eastAsia" w:hAnsi="宋体"/>
          <w:highlight w:val="none"/>
          <w:u w:val="single"/>
          <w:lang w:val="en-US" w:eastAsia="zh-CN"/>
        </w:rPr>
        <w:t>10</w:t>
      </w:r>
      <w:r>
        <w:rPr>
          <w:rFonts w:hint="eastAsia" w:hAnsi="宋体"/>
          <w:highlight w:val="none"/>
          <w:u w:val="single"/>
          <w:lang w:eastAsia="zh-CN"/>
        </w:rPr>
        <w:t>点</w:t>
      </w:r>
      <w:r>
        <w:rPr>
          <w:rFonts w:hint="eastAsia" w:hAnsi="宋体"/>
          <w:highlight w:val="none"/>
          <w:u w:val="single"/>
          <w:lang w:val="en-US" w:eastAsia="zh-CN"/>
        </w:rPr>
        <w:t>30</w:t>
      </w:r>
      <w:r>
        <w:rPr>
          <w:rFonts w:hint="eastAsia" w:hAnsi="宋体"/>
          <w:highlight w:val="none"/>
          <w:u w:val="single"/>
          <w:lang w:eastAsia="zh-CN"/>
        </w:rPr>
        <w:t>分</w:t>
      </w:r>
      <w:r>
        <w:rPr>
          <w:rFonts w:hint="eastAsia" w:ascii="宋体" w:hAnsi="宋体"/>
          <w:highlight w:val="none"/>
        </w:rPr>
        <w:t>（北京时间）前提交响应文件。现将本次竞争性谈判的有关事项公告如下：</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
          <w:szCs w:val="21"/>
          <w:highlight w:val="none"/>
        </w:rPr>
      </w:pPr>
      <w:bookmarkStart w:id="0" w:name="_Toc44405619"/>
      <w:bookmarkStart w:id="1" w:name="_Toc44229878"/>
      <w:r>
        <w:rPr>
          <w:rFonts w:hint="eastAsia"/>
          <w:b/>
          <w:bCs/>
          <w:highlight w:val="none"/>
        </w:rPr>
        <w:t>一、项目基本情况</w:t>
      </w:r>
      <w:bookmarkEnd w:id="0"/>
      <w:bookmarkEnd w:id="1"/>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highlight w:val="none"/>
          <w:lang w:eastAsia="zh-CN"/>
        </w:rPr>
      </w:pPr>
      <w:r>
        <w:rPr>
          <w:rFonts w:hint="eastAsia" w:ascii="宋体" w:hAnsi="宋体"/>
          <w:highlight w:val="none"/>
        </w:rPr>
        <w:t>1.项目名称：</w:t>
      </w:r>
      <w:r>
        <w:rPr>
          <w:rFonts w:hint="eastAsia" w:hAnsi="宋体"/>
          <w:highlight w:val="none"/>
          <w:lang w:eastAsia="zh-CN"/>
        </w:rPr>
        <w:t>儿童康复中心建设项目设备及器材采购</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highlight w:val="none"/>
        </w:rPr>
      </w:pPr>
      <w:r>
        <w:rPr>
          <w:rFonts w:hint="eastAsia" w:ascii="宋体" w:hAnsi="宋体"/>
          <w:highlight w:val="none"/>
        </w:rPr>
        <w:t>2.项目编号：</w:t>
      </w:r>
      <w:r>
        <w:rPr>
          <w:rFonts w:hint="eastAsia" w:ascii="宋体" w:hAnsi="宋体"/>
          <w:highlight w:val="none"/>
          <w:lang w:eastAsia="zh-CN"/>
        </w:rPr>
        <w:t>GLZC2020-J1-210033-GXXP</w:t>
      </w:r>
      <w:r>
        <w:rPr>
          <w:rFonts w:hint="eastAsia" w:ascii="宋体" w:hAnsi="宋体"/>
          <w:highlight w:val="none"/>
        </w:rPr>
        <w:t xml:space="preserve">   </w:t>
      </w:r>
      <w:r>
        <w:rPr>
          <w:rFonts w:hint="eastAsia" w:ascii="宋体" w:hAnsi="宋体"/>
          <w:szCs w:val="21"/>
          <w:highlight w:val="none"/>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highlight w:val="none"/>
        </w:rPr>
      </w:pPr>
      <w:r>
        <w:rPr>
          <w:rFonts w:hint="eastAsia" w:ascii="宋体" w:hAnsi="宋体"/>
          <w:highlight w:val="none"/>
        </w:rPr>
        <w:t>3.采购方式：竞争性谈判</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b/>
          <w:highlight w:val="none"/>
        </w:rPr>
      </w:pPr>
      <w:r>
        <w:rPr>
          <w:rFonts w:hint="eastAsia" w:ascii="宋体" w:hAnsi="宋体"/>
          <w:b w:val="0"/>
          <w:bCs/>
          <w:highlight w:val="none"/>
        </w:rPr>
        <w:t>4.预算金额（人民币）：</w:t>
      </w:r>
      <w:r>
        <w:rPr>
          <w:rFonts w:hint="eastAsia" w:ascii="宋体" w:hAnsi="宋体"/>
          <w:b w:val="0"/>
          <w:bCs/>
          <w:highlight w:val="none"/>
          <w:lang w:val="en-US" w:eastAsia="zh-CN"/>
        </w:rPr>
        <w:t>壹佰陆</w:t>
      </w:r>
      <w:r>
        <w:rPr>
          <w:rFonts w:hint="eastAsia" w:ascii="宋体" w:hAnsi="宋体"/>
          <w:b w:val="0"/>
          <w:bCs/>
          <w:highlight w:val="none"/>
          <w:lang w:eastAsia="zh-CN"/>
        </w:rPr>
        <w:t>拾</w:t>
      </w:r>
      <w:r>
        <w:rPr>
          <w:rFonts w:hint="eastAsia" w:ascii="宋体" w:hAnsi="宋体"/>
          <w:b w:val="0"/>
          <w:bCs/>
          <w:highlight w:val="none"/>
          <w:lang w:val="en-US" w:eastAsia="zh-CN"/>
        </w:rPr>
        <w:t>伍</w:t>
      </w:r>
      <w:r>
        <w:rPr>
          <w:rFonts w:hint="eastAsia" w:ascii="宋体" w:hAnsi="宋体"/>
          <w:b w:val="0"/>
          <w:bCs/>
          <w:highlight w:val="none"/>
          <w:lang w:eastAsia="zh-CN"/>
        </w:rPr>
        <w:t>万元整</w:t>
      </w:r>
      <w:r>
        <w:rPr>
          <w:rFonts w:hint="eastAsia" w:ascii="宋体" w:hAnsi="宋体"/>
          <w:b w:val="0"/>
          <w:bCs/>
          <w:highlight w:val="none"/>
        </w:rPr>
        <w:t>（</w:t>
      </w:r>
      <w:r>
        <w:rPr>
          <w:rFonts w:hint="eastAsia" w:ascii="宋体" w:hAnsi="宋体" w:eastAsia="宋体" w:cs="宋体"/>
          <w:b w:val="0"/>
          <w:bCs/>
          <w:color w:val="auto"/>
          <w:kern w:val="2"/>
          <w:sz w:val="21"/>
          <w:szCs w:val="24"/>
          <w:highlight w:val="none"/>
          <w:lang w:val="en-US" w:eastAsia="zh-CN" w:bidi="ar-SA"/>
        </w:rPr>
        <w:t>¥</w:t>
      </w:r>
      <w:r>
        <w:rPr>
          <w:rFonts w:hint="eastAsia" w:ascii="宋体" w:hAnsi="宋体"/>
          <w:b w:val="0"/>
          <w:bCs/>
          <w:highlight w:val="none"/>
          <w:lang w:val="en-US" w:eastAsia="zh-CN"/>
        </w:rPr>
        <w:t>1650000</w:t>
      </w:r>
      <w:r>
        <w:rPr>
          <w:rFonts w:hint="eastAsia" w:ascii="宋体" w:hAnsi="宋体"/>
          <w:b w:val="0"/>
          <w:bCs/>
          <w:highlight w:val="none"/>
          <w:lang w:eastAsia="zh-CN"/>
        </w:rPr>
        <w:t>.00</w:t>
      </w:r>
      <w:r>
        <w:rPr>
          <w:rFonts w:hint="eastAsia" w:ascii="宋体" w:hAnsi="宋体"/>
          <w:b w:val="0"/>
          <w:bCs/>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highlight w:val="none"/>
        </w:rPr>
      </w:pPr>
      <w:r>
        <w:rPr>
          <w:rFonts w:hint="eastAsia" w:ascii="宋体" w:hAnsi="宋体"/>
          <w:highlight w:val="none"/>
        </w:rPr>
        <w:t>5.采购需求：</w:t>
      </w:r>
    </w:p>
    <w:tbl>
      <w:tblPr>
        <w:tblStyle w:val="6"/>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480"/>
        <w:gridCol w:w="773"/>
        <w:gridCol w:w="849"/>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kern w:val="2"/>
                <w:sz w:val="21"/>
                <w:szCs w:val="21"/>
                <w:highlight w:val="none"/>
                <w:lang w:val="en-US" w:eastAsia="zh-CN" w:bidi="ar-SA"/>
              </w:rPr>
            </w:pPr>
            <w:r>
              <w:rPr>
                <w:rFonts w:hint="eastAsia" w:ascii="宋体" w:hAnsi="宋体" w:cs="宋体"/>
                <w:b/>
                <w:bCs/>
                <w:szCs w:val="21"/>
                <w:highlight w:val="none"/>
              </w:rPr>
              <w:t>序号</w:t>
            </w:r>
          </w:p>
        </w:tc>
        <w:tc>
          <w:tcPr>
            <w:tcW w:w="34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color w:val="auto"/>
                <w:kern w:val="0"/>
                <w:sz w:val="21"/>
                <w:szCs w:val="21"/>
                <w:highlight w:val="none"/>
                <w:lang w:val="en-US" w:eastAsia="zh-CN" w:bidi="zh-CN"/>
              </w:rPr>
            </w:pPr>
            <w:r>
              <w:rPr>
                <w:rFonts w:hint="eastAsia" w:ascii="宋体" w:hAnsi="宋体" w:eastAsia="宋体" w:cs="宋体"/>
                <w:b/>
                <w:bCs/>
                <w:color w:val="auto"/>
                <w:kern w:val="0"/>
                <w:sz w:val="21"/>
                <w:szCs w:val="21"/>
                <w:highlight w:val="none"/>
                <w:lang w:val="en-US" w:eastAsia="zh-CN" w:bidi="zh-CN"/>
              </w:rPr>
              <w:t>货物名称</w:t>
            </w:r>
          </w:p>
        </w:tc>
        <w:tc>
          <w:tcPr>
            <w:tcW w:w="77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color w:val="auto"/>
                <w:kern w:val="0"/>
                <w:sz w:val="21"/>
                <w:szCs w:val="21"/>
                <w:lang w:val="en-US" w:eastAsia="zh-CN" w:bidi="zh-CN"/>
              </w:rPr>
            </w:pPr>
            <w:r>
              <w:rPr>
                <w:rFonts w:hint="eastAsia" w:ascii="宋体" w:hAnsi="宋体" w:eastAsia="宋体" w:cs="宋体"/>
                <w:b/>
                <w:bCs/>
                <w:color w:val="auto"/>
                <w:kern w:val="0"/>
                <w:sz w:val="21"/>
                <w:szCs w:val="21"/>
                <w:lang w:val="en-US" w:eastAsia="zh-CN" w:bidi="zh-CN"/>
              </w:rPr>
              <w:t>数量</w:t>
            </w:r>
          </w:p>
        </w:tc>
        <w:tc>
          <w:tcPr>
            <w:tcW w:w="84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color w:val="auto"/>
                <w:kern w:val="0"/>
                <w:sz w:val="21"/>
                <w:szCs w:val="21"/>
                <w:lang w:val="en-US" w:eastAsia="zh-CN" w:bidi="zh-CN"/>
              </w:rPr>
            </w:pPr>
            <w:r>
              <w:rPr>
                <w:rFonts w:hint="eastAsia" w:ascii="宋体" w:hAnsi="宋体" w:eastAsia="宋体" w:cs="宋体"/>
                <w:b/>
                <w:bCs/>
                <w:color w:val="auto"/>
                <w:kern w:val="0"/>
                <w:sz w:val="21"/>
                <w:szCs w:val="21"/>
                <w:lang w:val="en-US" w:eastAsia="zh-CN" w:bidi="zh-CN"/>
              </w:rPr>
              <w:t>单位</w:t>
            </w:r>
          </w:p>
        </w:tc>
        <w:tc>
          <w:tcPr>
            <w:tcW w:w="334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cs="宋体"/>
                <w:b/>
                <w:bCs/>
                <w:color w:val="000000"/>
                <w:kern w:val="0"/>
                <w:sz w:val="21"/>
                <w:szCs w:val="21"/>
                <w:lang w:bidi="ar"/>
              </w:rPr>
              <w:t>一、儿童智能PT联合运动训练单元</w:t>
            </w:r>
          </w:p>
        </w:tc>
        <w:tc>
          <w:tcPr>
            <w:tcW w:w="3343"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s="宋体"/>
                <w:b/>
                <w:bCs/>
                <w:color w:val="000000"/>
                <w:kern w:val="0"/>
                <w:sz w:val="21"/>
                <w:szCs w:val="21"/>
                <w:lang w:bidi="ar"/>
              </w:rPr>
            </w:pPr>
            <w:r>
              <w:rPr>
                <w:rFonts w:hint="eastAsia" w:ascii="宋体" w:hAnsi="宋体" w:cs="宋体"/>
                <w:kern w:val="0"/>
                <w:szCs w:val="21"/>
                <w:highlight w:val="none"/>
              </w:rPr>
              <w:t>如</w:t>
            </w:r>
            <w:r>
              <w:rPr>
                <w:rFonts w:hint="eastAsia" w:ascii="宋体" w:hAnsi="宋体" w:cs="宋体"/>
                <w:kern w:val="0"/>
                <w:szCs w:val="21"/>
                <w:highlight w:val="none"/>
                <w:lang w:val="en-US" w:eastAsia="zh-CN"/>
              </w:rPr>
              <w:t>需</w:t>
            </w:r>
            <w:r>
              <w:rPr>
                <w:rFonts w:hint="eastAsia" w:ascii="宋体" w:hAnsi="宋体" w:cs="宋体"/>
                <w:kern w:val="0"/>
                <w:szCs w:val="21"/>
                <w:highlight w:val="none"/>
              </w:rPr>
              <w:t>进一步了解详细内容，详见第三章货物</w:t>
            </w:r>
            <w:r>
              <w:rPr>
                <w:rFonts w:hint="eastAsia" w:ascii="宋体" w:hAnsi="宋体" w:cs="宋体"/>
                <w:kern w:val="0"/>
                <w:szCs w:val="21"/>
                <w:highlight w:val="none"/>
                <w:lang w:val="en-US" w:eastAsia="zh-CN"/>
              </w:rPr>
              <w:t>采购</w:t>
            </w:r>
            <w:r>
              <w:rPr>
                <w:rFonts w:hint="eastAsia" w:ascii="宋体" w:hAnsi="宋体" w:cs="宋体"/>
                <w:kern w:val="0"/>
                <w:szCs w:val="21"/>
                <w:highlight w:val="none"/>
              </w:rPr>
              <w:t>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val="0"/>
                <w:bCs w:val="0"/>
                <w:color w:val="auto"/>
                <w:kern w:val="0"/>
                <w:sz w:val="21"/>
                <w:szCs w:val="21"/>
                <w:lang w:val="en-US" w:eastAsia="zh-CN" w:bidi="zh-CN"/>
              </w:rPr>
              <w:t>1</w:t>
            </w:r>
          </w:p>
        </w:tc>
        <w:tc>
          <w:tcPr>
            <w:tcW w:w="3480" w:type="dxa"/>
            <w:noWrap w:val="0"/>
            <w:vAlign w:val="center"/>
          </w:tcPr>
          <w:p>
            <w:pPr>
              <w:pStyle w:val="4"/>
              <w:pageBreakBefore w:val="0"/>
              <w:kinsoku/>
              <w:wordWrap/>
              <w:overflowPunct/>
              <w:topLinePunct w:val="0"/>
              <w:bidi w:val="0"/>
              <w:adjustRightInd/>
              <w:snapToGrid w:val="0"/>
              <w:spacing w:line="240" w:lineRule="auto"/>
              <w:jc w:val="center"/>
              <w:outlineLvl w:val="0"/>
              <w:rPr>
                <w:rFonts w:hint="eastAsia" w:ascii="宋体" w:hAnsi="宋体" w:eastAsia="宋体" w:cs="宋体"/>
                <w:b w:val="0"/>
                <w:bCs w:val="0"/>
                <w:color w:val="auto"/>
                <w:kern w:val="0"/>
                <w:sz w:val="21"/>
                <w:szCs w:val="21"/>
                <w:lang w:val="en-US" w:eastAsia="zh-CN" w:bidi="zh-CN"/>
              </w:rPr>
            </w:pPr>
            <w:r>
              <w:rPr>
                <w:rFonts w:hint="eastAsia" w:hAnsi="宋体" w:cs="宋体"/>
                <w:color w:val="000000"/>
                <w:kern w:val="0"/>
                <w:lang w:bidi="ar"/>
              </w:rPr>
              <w:t>PT治疗床</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szCs w:val="21"/>
              </w:rPr>
              <w:t>4</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张</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val="0"/>
                <w:bCs w:val="0"/>
                <w:color w:val="auto"/>
                <w:kern w:val="0"/>
                <w:sz w:val="21"/>
                <w:szCs w:val="21"/>
                <w:lang w:val="en-US" w:eastAsia="zh-CN" w:bidi="zh-CN"/>
              </w:rPr>
              <w:t>2</w:t>
            </w:r>
          </w:p>
        </w:tc>
        <w:tc>
          <w:tcPr>
            <w:tcW w:w="3480" w:type="dxa"/>
            <w:noWrap w:val="0"/>
            <w:vAlign w:val="center"/>
          </w:tcPr>
          <w:p>
            <w:pPr>
              <w:pStyle w:val="4"/>
              <w:pageBreakBefore w:val="0"/>
              <w:kinsoku/>
              <w:wordWrap/>
              <w:overflowPunct/>
              <w:topLinePunct w:val="0"/>
              <w:bidi w:val="0"/>
              <w:adjustRightInd/>
              <w:snapToGrid w:val="0"/>
              <w:spacing w:line="240" w:lineRule="auto"/>
              <w:jc w:val="center"/>
              <w:outlineLvl w:val="0"/>
              <w:rPr>
                <w:rFonts w:hint="eastAsia" w:ascii="宋体" w:hAnsi="宋体" w:eastAsia="宋体" w:cs="宋体"/>
                <w:b w:val="0"/>
                <w:bCs w:val="0"/>
                <w:color w:val="auto"/>
                <w:kern w:val="0"/>
                <w:sz w:val="21"/>
                <w:szCs w:val="21"/>
                <w:lang w:val="en-US" w:eastAsia="zh-CN" w:bidi="zh-CN"/>
              </w:rPr>
            </w:pPr>
            <w:r>
              <w:rPr>
                <w:rFonts w:hint="eastAsia" w:hAnsi="宋体" w:cs="宋体"/>
                <w:color w:val="000000"/>
                <w:kern w:val="0"/>
                <w:lang w:bidi="ar"/>
              </w:rPr>
              <w:t>训练用扶梯</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val="0"/>
                <w:bCs w:val="0"/>
                <w:color w:val="auto"/>
                <w:kern w:val="0"/>
                <w:sz w:val="21"/>
                <w:szCs w:val="21"/>
                <w:lang w:val="en-US" w:eastAsia="zh-CN" w:bidi="zh-CN"/>
              </w:rPr>
              <w:t>3</w:t>
            </w:r>
          </w:p>
        </w:tc>
        <w:tc>
          <w:tcPr>
            <w:tcW w:w="3480" w:type="dxa"/>
            <w:noWrap w:val="0"/>
            <w:vAlign w:val="center"/>
          </w:tcPr>
          <w:p>
            <w:pPr>
              <w:pStyle w:val="4"/>
              <w:pageBreakBefore w:val="0"/>
              <w:kinsoku/>
              <w:wordWrap/>
              <w:overflowPunct/>
              <w:topLinePunct w:val="0"/>
              <w:bidi w:val="0"/>
              <w:adjustRightInd/>
              <w:snapToGrid w:val="0"/>
              <w:spacing w:line="240" w:lineRule="auto"/>
              <w:jc w:val="center"/>
              <w:outlineLvl w:val="0"/>
              <w:rPr>
                <w:rFonts w:hint="eastAsia" w:ascii="宋体" w:hAnsi="宋体" w:eastAsia="宋体" w:cs="宋体"/>
                <w:b w:val="0"/>
                <w:bCs w:val="0"/>
                <w:color w:val="auto"/>
                <w:kern w:val="0"/>
                <w:sz w:val="21"/>
                <w:szCs w:val="21"/>
                <w:lang w:val="en-US" w:eastAsia="zh-CN" w:bidi="zh-CN"/>
              </w:rPr>
            </w:pPr>
            <w:r>
              <w:rPr>
                <w:rFonts w:hint="eastAsia" w:hAnsi="宋体" w:cs="宋体"/>
                <w:color w:val="000000"/>
                <w:kern w:val="0"/>
                <w:lang w:bidi="ar"/>
              </w:rPr>
              <w:t>儿童站立架</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val="0"/>
                <w:bCs w:val="0"/>
                <w:color w:val="auto"/>
                <w:kern w:val="0"/>
                <w:sz w:val="21"/>
                <w:szCs w:val="21"/>
                <w:lang w:val="en-US" w:eastAsia="zh-CN" w:bidi="zh-CN"/>
              </w:rPr>
              <w:t>4</w:t>
            </w:r>
          </w:p>
        </w:tc>
        <w:tc>
          <w:tcPr>
            <w:tcW w:w="3480" w:type="dxa"/>
            <w:noWrap w:val="0"/>
            <w:vAlign w:val="center"/>
          </w:tcPr>
          <w:p>
            <w:pPr>
              <w:pStyle w:val="4"/>
              <w:pageBreakBefore w:val="0"/>
              <w:kinsoku/>
              <w:wordWrap/>
              <w:overflowPunct/>
              <w:topLinePunct w:val="0"/>
              <w:bidi w:val="0"/>
              <w:adjustRightInd/>
              <w:snapToGrid w:val="0"/>
              <w:spacing w:line="240" w:lineRule="auto"/>
              <w:jc w:val="center"/>
              <w:outlineLvl w:val="0"/>
              <w:rPr>
                <w:rFonts w:hint="eastAsia" w:ascii="宋体" w:hAnsi="宋体" w:eastAsia="宋体" w:cs="宋体"/>
                <w:b w:val="0"/>
                <w:bCs w:val="0"/>
                <w:color w:val="auto"/>
                <w:kern w:val="0"/>
                <w:sz w:val="21"/>
                <w:szCs w:val="21"/>
                <w:lang w:val="en-US" w:eastAsia="zh-CN" w:bidi="zh-CN"/>
              </w:rPr>
            </w:pPr>
            <w:r>
              <w:rPr>
                <w:rFonts w:hint="eastAsia" w:hAnsi="宋体" w:cs="宋体"/>
                <w:color w:val="000000"/>
                <w:kern w:val="0"/>
                <w:lang w:bidi="ar"/>
              </w:rPr>
              <w:t>儿童平行杠</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val="0"/>
                <w:bCs w:val="0"/>
                <w:color w:val="auto"/>
                <w:kern w:val="0"/>
                <w:sz w:val="21"/>
                <w:szCs w:val="21"/>
                <w:lang w:val="en-US" w:eastAsia="zh-CN" w:bidi="zh-CN"/>
              </w:rPr>
              <w:t>5</w:t>
            </w:r>
          </w:p>
        </w:tc>
        <w:tc>
          <w:tcPr>
            <w:tcW w:w="3480" w:type="dxa"/>
            <w:noWrap w:val="0"/>
            <w:vAlign w:val="center"/>
          </w:tcPr>
          <w:p>
            <w:pPr>
              <w:pStyle w:val="4"/>
              <w:pageBreakBefore w:val="0"/>
              <w:kinsoku/>
              <w:wordWrap/>
              <w:overflowPunct/>
              <w:topLinePunct w:val="0"/>
              <w:bidi w:val="0"/>
              <w:adjustRightInd/>
              <w:snapToGrid w:val="0"/>
              <w:spacing w:line="240" w:lineRule="auto"/>
              <w:jc w:val="center"/>
              <w:outlineLvl w:val="0"/>
              <w:rPr>
                <w:rFonts w:hint="eastAsia" w:ascii="宋体" w:hAnsi="宋体" w:eastAsia="宋体" w:cs="宋体"/>
                <w:b w:val="0"/>
                <w:bCs w:val="0"/>
                <w:color w:val="auto"/>
                <w:kern w:val="0"/>
                <w:sz w:val="21"/>
                <w:szCs w:val="21"/>
                <w:lang w:val="en-US" w:eastAsia="zh-CN" w:bidi="zh-CN"/>
              </w:rPr>
            </w:pPr>
            <w:r>
              <w:rPr>
                <w:rFonts w:hint="eastAsia" w:hAnsi="宋体" w:cs="宋体"/>
                <w:color w:val="000000"/>
                <w:kern w:val="0"/>
                <w:lang w:bidi="ar"/>
              </w:rPr>
              <w:t>PT凳</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5</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张</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color w:val="auto"/>
                <w:kern w:val="0"/>
                <w:sz w:val="21"/>
                <w:szCs w:val="21"/>
                <w:lang w:val="en-US" w:eastAsia="zh-CN" w:bidi="zh-CN"/>
              </w:rPr>
            </w:pPr>
            <w:r>
              <w:rPr>
                <w:rFonts w:hint="eastAsia" w:ascii="宋体" w:hAnsi="宋体" w:eastAsia="宋体" w:cs="宋体"/>
                <w:b w:val="0"/>
                <w:bCs w:val="0"/>
                <w:color w:val="auto"/>
                <w:kern w:val="0"/>
                <w:sz w:val="21"/>
                <w:szCs w:val="21"/>
                <w:lang w:val="en-US" w:eastAsia="zh-CN" w:bidi="zh-CN"/>
              </w:rPr>
              <w:t>6</w:t>
            </w:r>
          </w:p>
        </w:tc>
        <w:tc>
          <w:tcPr>
            <w:tcW w:w="3480" w:type="dxa"/>
            <w:noWrap w:val="0"/>
            <w:vAlign w:val="center"/>
          </w:tcPr>
          <w:p>
            <w:pPr>
              <w:pStyle w:val="4"/>
              <w:pageBreakBefore w:val="0"/>
              <w:kinsoku/>
              <w:wordWrap/>
              <w:overflowPunct/>
              <w:topLinePunct w:val="0"/>
              <w:bidi w:val="0"/>
              <w:adjustRightInd/>
              <w:snapToGrid w:val="0"/>
              <w:spacing w:line="240" w:lineRule="auto"/>
              <w:jc w:val="center"/>
              <w:outlineLvl w:val="0"/>
              <w:rPr>
                <w:rFonts w:hint="eastAsia" w:ascii="宋体" w:hAnsi="宋体" w:eastAsia="宋体" w:cs="宋体"/>
                <w:b w:val="0"/>
                <w:bCs w:val="0"/>
                <w:color w:val="auto"/>
                <w:kern w:val="0"/>
                <w:sz w:val="21"/>
                <w:szCs w:val="21"/>
                <w:lang w:val="en-US" w:eastAsia="zh-CN" w:bidi="zh-CN"/>
              </w:rPr>
            </w:pPr>
            <w:r>
              <w:rPr>
                <w:rFonts w:hint="eastAsia" w:hAnsi="宋体" w:cs="宋体"/>
                <w:color w:val="000000"/>
                <w:kern w:val="0"/>
                <w:lang w:bidi="ar"/>
              </w:rPr>
              <w:t>儿童梯椅</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szCs w:val="21"/>
              </w:rPr>
              <w:t>2</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color w:val="auto"/>
                <w:kern w:val="0"/>
                <w:sz w:val="21"/>
                <w:szCs w:val="21"/>
                <w:lang w:val="en-US" w:eastAsia="zh-CN" w:bidi="zh-CN"/>
              </w:rPr>
            </w:pPr>
            <w:r>
              <w:rPr>
                <w:rFonts w:hint="eastAsia" w:ascii="宋体" w:hAnsi="宋体" w:eastAsia="宋体" w:cs="宋体"/>
                <w:b w:val="0"/>
                <w:bCs w:val="0"/>
                <w:color w:val="auto"/>
                <w:kern w:val="0"/>
                <w:sz w:val="21"/>
                <w:szCs w:val="21"/>
                <w:lang w:val="en-US" w:eastAsia="zh-CN" w:bidi="zh-CN"/>
              </w:rPr>
              <w:t>7</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儿童滚筒</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color w:val="auto"/>
                <w:kern w:val="0"/>
                <w:sz w:val="21"/>
                <w:szCs w:val="21"/>
                <w:lang w:val="en-US" w:eastAsia="zh-CN" w:bidi="zh-CN"/>
              </w:rPr>
            </w:pPr>
            <w:r>
              <w:rPr>
                <w:rFonts w:hint="eastAsia" w:ascii="宋体" w:hAnsi="宋体" w:eastAsia="宋体" w:cs="宋体"/>
                <w:b w:val="0"/>
                <w:bCs w:val="0"/>
                <w:color w:val="auto"/>
                <w:kern w:val="0"/>
                <w:sz w:val="21"/>
                <w:szCs w:val="21"/>
                <w:lang w:val="en-US" w:eastAsia="zh-CN" w:bidi="zh-CN"/>
              </w:rPr>
              <w:t>8</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儿童楔形垫</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color w:val="auto"/>
                <w:kern w:val="0"/>
                <w:sz w:val="21"/>
                <w:szCs w:val="21"/>
                <w:lang w:val="en-US" w:eastAsia="zh-CN" w:bidi="zh-CN"/>
              </w:rPr>
            </w:pPr>
            <w:r>
              <w:rPr>
                <w:rFonts w:hint="eastAsia" w:ascii="宋体" w:hAnsi="宋体" w:eastAsia="宋体" w:cs="宋体"/>
                <w:b w:val="0"/>
                <w:bCs w:val="0"/>
                <w:color w:val="auto"/>
                <w:kern w:val="0"/>
                <w:sz w:val="21"/>
                <w:szCs w:val="21"/>
                <w:lang w:val="en-US" w:eastAsia="zh-CN" w:bidi="zh-CN"/>
              </w:rPr>
              <w:t>9</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梯背架</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4</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张</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color w:val="auto"/>
                <w:kern w:val="0"/>
                <w:sz w:val="21"/>
                <w:szCs w:val="21"/>
                <w:lang w:val="en-US" w:eastAsia="zh-CN" w:bidi="zh-CN"/>
              </w:rPr>
            </w:pPr>
            <w:r>
              <w:rPr>
                <w:rFonts w:hint="eastAsia" w:ascii="宋体" w:hAnsi="宋体" w:eastAsia="宋体" w:cs="宋体"/>
                <w:b w:val="0"/>
                <w:bCs w:val="0"/>
                <w:color w:val="auto"/>
                <w:kern w:val="0"/>
                <w:sz w:val="21"/>
                <w:szCs w:val="21"/>
                <w:lang w:val="en-US" w:eastAsia="zh-CN" w:bidi="zh-CN"/>
              </w:rPr>
              <w:t>10</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平衡板</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3</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color w:val="auto"/>
                <w:kern w:val="0"/>
                <w:sz w:val="21"/>
                <w:szCs w:val="21"/>
                <w:lang w:val="en-US" w:eastAsia="zh-CN" w:bidi="zh-CN"/>
              </w:rPr>
            </w:pPr>
            <w:r>
              <w:rPr>
                <w:rFonts w:hint="eastAsia" w:ascii="宋体" w:hAnsi="宋体" w:eastAsia="宋体" w:cs="宋体"/>
                <w:b w:val="0"/>
                <w:bCs w:val="0"/>
                <w:color w:val="auto"/>
                <w:kern w:val="0"/>
                <w:sz w:val="21"/>
                <w:szCs w:val="21"/>
                <w:lang w:val="en-US" w:eastAsia="zh-CN" w:bidi="zh-CN"/>
              </w:rPr>
              <w:t>11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儿童蹦床（带护栏）</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color w:val="auto"/>
                <w:kern w:val="0"/>
                <w:sz w:val="21"/>
                <w:szCs w:val="21"/>
                <w:lang w:val="en-US" w:eastAsia="zh-CN" w:bidi="zh-CN"/>
              </w:rPr>
            </w:pPr>
            <w:r>
              <w:rPr>
                <w:rFonts w:hint="eastAsia" w:ascii="宋体" w:hAnsi="宋体" w:eastAsia="宋体" w:cs="宋体"/>
                <w:b w:val="0"/>
                <w:bCs w:val="0"/>
                <w:color w:val="auto"/>
                <w:kern w:val="0"/>
                <w:sz w:val="21"/>
                <w:szCs w:val="21"/>
                <w:lang w:val="en-US" w:eastAsia="zh-CN" w:bidi="zh-CN"/>
              </w:rPr>
              <w:t>12</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智能天轨步态训练系统</w:t>
            </w:r>
          </w:p>
        </w:tc>
        <w:tc>
          <w:tcPr>
            <w:tcW w:w="773" w:type="dxa"/>
            <w:noWrap w:val="0"/>
            <w:vAlign w:val="center"/>
          </w:tcPr>
          <w:p>
            <w:pPr>
              <w:pageBreakBefore w:val="0"/>
              <w:kinsoku/>
              <w:wordWrap/>
              <w:overflowPunct/>
              <w:topLinePunct w:val="0"/>
              <w:bidi w:val="0"/>
              <w:adjustRightInd/>
              <w:snapToGrid w:val="0"/>
              <w:spacing w:line="240" w:lineRule="auto"/>
              <w:jc w:val="center"/>
              <w:outlineLvl w:val="0"/>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szCs w:val="21"/>
              </w:rPr>
              <w:t>1</w:t>
            </w:r>
          </w:p>
        </w:tc>
        <w:tc>
          <w:tcPr>
            <w:tcW w:w="849" w:type="dxa"/>
            <w:noWrap w:val="0"/>
            <w:vAlign w:val="center"/>
          </w:tcPr>
          <w:p>
            <w:pPr>
              <w:pageBreakBefore w:val="0"/>
              <w:kinsoku/>
              <w:wordWrap/>
              <w:overflowPunct/>
              <w:topLinePunct w:val="0"/>
              <w:bidi w:val="0"/>
              <w:adjustRightInd/>
              <w:snapToGrid w:val="0"/>
              <w:spacing w:line="240" w:lineRule="auto"/>
              <w:jc w:val="center"/>
              <w:outlineLvl w:val="0"/>
              <w:rPr>
                <w:rFonts w:hint="eastAsia" w:ascii="宋体" w:hAnsi="宋体" w:eastAsia="宋体" w:cs="宋体"/>
                <w:b w:val="0"/>
                <w:bCs w:val="0"/>
                <w:color w:val="auto"/>
                <w:kern w:val="0"/>
                <w:sz w:val="21"/>
                <w:szCs w:val="21"/>
                <w:lang w:val="en-US" w:eastAsia="zh-CN" w:bidi="zh-CN"/>
              </w:rPr>
            </w:pPr>
            <w:r>
              <w:rPr>
                <w:rFonts w:hint="eastAsia" w:ascii="宋体" w:hAnsi="宋体" w:cs="宋体"/>
                <w:szCs w:val="21"/>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cs="宋体"/>
                <w:b/>
                <w:bCs/>
                <w:color w:val="000000"/>
                <w:kern w:val="0"/>
                <w:sz w:val="21"/>
                <w:szCs w:val="21"/>
                <w:lang w:bidi="ar"/>
              </w:rPr>
              <w:t>二、</w:t>
            </w:r>
            <w:r>
              <w:rPr>
                <w:rFonts w:hint="eastAsia"/>
                <w:b/>
                <w:bCs/>
                <w:color w:val="000000"/>
                <w:sz w:val="21"/>
                <w:szCs w:val="21"/>
              </w:rPr>
              <w:t>儿童感觉统合训练单元</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s="宋体"/>
                <w:b/>
                <w:bCs/>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木滑梯</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2</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大号身体挤压机-NEW</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3</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立体攀爬架</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4</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A型架</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5</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南瓜秋千</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6</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两用吊球</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感统游戏垫A-穿越森林</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感统游戏垫C</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花生球</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3</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个</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滑板车</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2</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布袋跳</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个</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平衡木</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彩虹伞</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 w:val="0"/>
                <w:bCs w:val="0"/>
                <w:color w:val="auto"/>
                <w:kern w:val="0"/>
                <w:sz w:val="21"/>
                <w:szCs w:val="21"/>
                <w:lang w:val="en-US" w:eastAsia="zh-CN" w:bidi="zh-CN"/>
              </w:rPr>
            </w:pPr>
            <w:r>
              <w:rPr>
                <w:rFonts w:hint="eastAsia" w:ascii="宋体" w:hAnsi="宋体" w:cs="宋体"/>
                <w:color w:val="000000"/>
                <w:kern w:val="0"/>
                <w:szCs w:val="21"/>
                <w:lang w:bidi="ar"/>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ascii="宋体" w:hAnsi="宋体" w:cs="宋体"/>
                <w:b/>
                <w:bCs/>
                <w:color w:val="000000"/>
                <w:kern w:val="0"/>
                <w:sz w:val="21"/>
                <w:szCs w:val="21"/>
                <w:lang w:bidi="ar"/>
              </w:rPr>
              <w:t>三、儿童多感官训练单元</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s="宋体"/>
                <w:b/>
                <w:bCs/>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80"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泡泡管</w:t>
            </w:r>
          </w:p>
        </w:tc>
        <w:tc>
          <w:tcPr>
            <w:tcW w:w="773"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2</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根</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480"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泡泡管</w:t>
            </w:r>
            <w:r>
              <w:rPr>
                <w:rFonts w:hint="eastAsia" w:ascii="宋体" w:hAnsi="宋体" w:cs="宋体"/>
                <w:color w:val="000000"/>
                <w:kern w:val="0"/>
                <w:szCs w:val="21"/>
              </w:rPr>
              <w:t>发生器的内胆</w:t>
            </w:r>
          </w:p>
        </w:tc>
        <w:tc>
          <w:tcPr>
            <w:tcW w:w="773"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color w:val="000000"/>
                <w:kern w:val="0"/>
                <w:szCs w:val="21"/>
              </w:rPr>
              <w:t>2</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color w:val="000000"/>
                <w:kern w:val="0"/>
                <w:szCs w:val="21"/>
              </w:rPr>
              <w:t>个</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480"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动感彩轮</w:t>
            </w:r>
          </w:p>
        </w:tc>
        <w:tc>
          <w:tcPr>
            <w:tcW w:w="773"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1</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480" w:type="dxa"/>
            <w:noWrap w:val="0"/>
            <w:vAlign w:val="center"/>
          </w:tcPr>
          <w:p>
            <w:pPr>
              <w:pageBreakBefore w:val="0"/>
              <w:kinsoku/>
              <w:wordWrap/>
              <w:overflowPunct/>
              <w:topLinePunct w:val="0"/>
              <w:bidi w:val="0"/>
              <w:adjustRightInd/>
              <w:snapToGrid w:val="0"/>
              <w:spacing w:line="240" w:lineRule="auto"/>
              <w:jc w:val="center"/>
              <w:rPr>
                <w:rFonts w:hint="eastAsia" w:ascii="宋体" w:hAnsi="宋体" w:cs="宋体"/>
                <w:color w:val="000000"/>
                <w:kern w:val="0"/>
                <w:szCs w:val="21"/>
                <w:lang w:bidi="ar"/>
              </w:rPr>
            </w:pPr>
            <w:r>
              <w:rPr>
                <w:rFonts w:hint="eastAsia" w:ascii="宋体" w:hAnsi="宋体" w:cs="宋体"/>
                <w:szCs w:val="21"/>
              </w:rPr>
              <w:t>无尽深度灯镜</w:t>
            </w:r>
          </w:p>
        </w:tc>
        <w:tc>
          <w:tcPr>
            <w:tcW w:w="773" w:type="dxa"/>
            <w:noWrap w:val="0"/>
            <w:vAlign w:val="center"/>
          </w:tcPr>
          <w:p>
            <w:pPr>
              <w:pageBreakBefore w:val="0"/>
              <w:kinsoku/>
              <w:wordWrap/>
              <w:overflowPunct/>
              <w:topLinePunct w:val="0"/>
              <w:bidi w:val="0"/>
              <w:adjustRightInd/>
              <w:spacing w:line="240" w:lineRule="auto"/>
              <w:ind w:left="-109" w:leftChars="0"/>
              <w:jc w:val="center"/>
              <w:rPr>
                <w:rFonts w:hint="eastAsia" w:ascii="宋体" w:hAnsi="宋体" w:cs="宋体"/>
                <w:color w:val="000000"/>
                <w:kern w:val="0"/>
                <w:szCs w:val="21"/>
                <w:lang w:bidi="ar"/>
              </w:rPr>
            </w:pPr>
            <w:r>
              <w:rPr>
                <w:rFonts w:hint="eastAsia" w:ascii="宋体" w:hAnsi="宋体" w:cs="宋体"/>
                <w:kern w:val="0"/>
                <w:szCs w:val="21"/>
                <w:lang w:val="en-US" w:eastAsia="zh-CN"/>
              </w:rPr>
              <w:t xml:space="preserve"> </w:t>
            </w:r>
            <w:r>
              <w:rPr>
                <w:rFonts w:hint="eastAsia" w:ascii="宋体" w:hAnsi="宋体" w:cs="宋体"/>
                <w:kern w:val="0"/>
                <w:szCs w:val="21"/>
              </w:rPr>
              <w:t>1</w:t>
            </w:r>
          </w:p>
        </w:tc>
        <w:tc>
          <w:tcPr>
            <w:tcW w:w="849" w:type="dxa"/>
            <w:noWrap w:val="0"/>
            <w:vAlign w:val="center"/>
          </w:tcPr>
          <w:p>
            <w:pPr>
              <w:pageBreakBefore w:val="0"/>
              <w:kinsoku/>
              <w:wordWrap/>
              <w:overflowPunct/>
              <w:topLinePunct w:val="0"/>
              <w:bidi w:val="0"/>
              <w:adjustRightInd/>
              <w:spacing w:line="240" w:lineRule="auto"/>
              <w:ind w:left="-109" w:leftChars="0"/>
              <w:jc w:val="center"/>
              <w:rPr>
                <w:rFonts w:hint="eastAsia" w:ascii="宋体" w:hAnsi="宋体" w:cs="宋体"/>
                <w:color w:val="000000"/>
                <w:kern w:val="0"/>
                <w:szCs w:val="21"/>
                <w:lang w:bidi="ar"/>
              </w:rPr>
            </w:pPr>
            <w:r>
              <w:rPr>
                <w:rFonts w:hint="eastAsia" w:ascii="宋体" w:hAnsi="宋体" w:cs="宋体"/>
                <w:kern w:val="0"/>
                <w:szCs w:val="21"/>
                <w:lang w:val="en-US" w:eastAsia="zh-CN"/>
              </w:rPr>
              <w:t xml:space="preserve"> </w:t>
            </w:r>
            <w:r>
              <w:rPr>
                <w:rFonts w:hint="eastAsia" w:ascii="宋体" w:hAnsi="宋体" w:cs="宋体"/>
                <w:kern w:val="0"/>
                <w:szCs w:val="21"/>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480" w:type="dxa"/>
            <w:noWrap w:val="0"/>
            <w:vAlign w:val="center"/>
          </w:tcPr>
          <w:p>
            <w:pPr>
              <w:pageBreakBefore w:val="0"/>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szCs w:val="21"/>
              </w:rPr>
              <w:t>互动嗅觉装置</w:t>
            </w:r>
          </w:p>
        </w:tc>
        <w:tc>
          <w:tcPr>
            <w:tcW w:w="773" w:type="dxa"/>
            <w:noWrap w:val="0"/>
            <w:vAlign w:val="center"/>
          </w:tcPr>
          <w:p>
            <w:pPr>
              <w:pageBreakBefore w:val="0"/>
              <w:kinsoku/>
              <w:wordWrap/>
              <w:overflowPunct/>
              <w:topLinePunct w:val="0"/>
              <w:bidi w:val="0"/>
              <w:adjustRightInd/>
              <w:spacing w:line="240" w:lineRule="auto"/>
              <w:ind w:left="-109" w:leftChars="0"/>
              <w:jc w:val="center"/>
              <w:rPr>
                <w:rFonts w:hint="eastAsia" w:ascii="宋体" w:hAnsi="宋体" w:cs="宋体"/>
                <w:color w:val="000000"/>
                <w:kern w:val="0"/>
                <w:szCs w:val="21"/>
                <w:lang w:bidi="ar"/>
              </w:rPr>
            </w:pPr>
            <w:r>
              <w:rPr>
                <w:rFonts w:hint="eastAsia" w:ascii="宋体" w:hAnsi="宋体" w:cs="宋体"/>
                <w:kern w:val="0"/>
                <w:szCs w:val="21"/>
                <w:lang w:val="en-US" w:eastAsia="zh-CN"/>
              </w:rPr>
              <w:t xml:space="preserve"> </w:t>
            </w:r>
            <w:r>
              <w:rPr>
                <w:rFonts w:hint="eastAsia" w:ascii="宋体" w:hAnsi="宋体" w:cs="宋体"/>
                <w:kern w:val="0"/>
                <w:szCs w:val="21"/>
              </w:rPr>
              <w:t>1</w:t>
            </w:r>
          </w:p>
        </w:tc>
        <w:tc>
          <w:tcPr>
            <w:tcW w:w="849" w:type="dxa"/>
            <w:noWrap w:val="0"/>
            <w:vAlign w:val="center"/>
          </w:tcPr>
          <w:p>
            <w:pPr>
              <w:pageBreakBefore w:val="0"/>
              <w:kinsoku/>
              <w:wordWrap/>
              <w:overflowPunct/>
              <w:topLinePunct w:val="0"/>
              <w:bidi w:val="0"/>
              <w:adjustRightInd/>
              <w:spacing w:line="240" w:lineRule="auto"/>
              <w:ind w:left="-109" w:leftChars="0"/>
              <w:jc w:val="center"/>
              <w:rPr>
                <w:rFonts w:hint="eastAsia" w:ascii="宋体" w:hAnsi="宋体" w:cs="宋体"/>
                <w:color w:val="000000"/>
                <w:kern w:val="0"/>
                <w:szCs w:val="21"/>
                <w:lang w:bidi="ar"/>
              </w:rPr>
            </w:pPr>
            <w:r>
              <w:rPr>
                <w:rFonts w:hint="eastAsia" w:ascii="宋体" w:hAnsi="宋体" w:cs="宋体"/>
                <w:kern w:val="0"/>
                <w:szCs w:val="21"/>
                <w:lang w:val="en-US" w:eastAsia="zh-CN"/>
              </w:rPr>
              <w:t xml:space="preserve"> </w:t>
            </w:r>
            <w:r>
              <w:rPr>
                <w:rFonts w:hint="eastAsia" w:ascii="宋体" w:hAnsi="宋体" w:cs="宋体"/>
                <w:kern w:val="0"/>
                <w:szCs w:val="21"/>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480"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引导性上肢协调训练器</w:t>
            </w:r>
          </w:p>
        </w:tc>
        <w:tc>
          <w:tcPr>
            <w:tcW w:w="773" w:type="dxa"/>
            <w:noWrap w:val="0"/>
            <w:vAlign w:val="center"/>
          </w:tcPr>
          <w:p>
            <w:pPr>
              <w:pageBreakBefore w:val="0"/>
              <w:widowControl/>
              <w:kinsoku/>
              <w:wordWrap/>
              <w:overflowPunct/>
              <w:topLinePunct w:val="0"/>
              <w:bidi w:val="0"/>
              <w:adjustRightInd/>
              <w:spacing w:line="240" w:lineRule="auto"/>
              <w:ind w:firstLine="210" w:firstLineChars="100"/>
              <w:jc w:val="both"/>
              <w:rPr>
                <w:rFonts w:hint="eastAsia" w:ascii="宋体" w:hAnsi="宋体" w:cs="宋体"/>
                <w:color w:val="000000"/>
                <w:kern w:val="0"/>
                <w:szCs w:val="21"/>
                <w:lang w:bidi="ar"/>
              </w:rPr>
            </w:pPr>
            <w:r>
              <w:rPr>
                <w:rFonts w:hint="eastAsia" w:ascii="宋体" w:hAnsi="宋体" w:cs="宋体"/>
                <w:kern w:val="0"/>
                <w:szCs w:val="21"/>
              </w:rPr>
              <w:t>1</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480"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无线说话方块</w:t>
            </w:r>
          </w:p>
        </w:tc>
        <w:tc>
          <w:tcPr>
            <w:tcW w:w="773"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1</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480"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颜色转换控制面板</w:t>
            </w:r>
          </w:p>
        </w:tc>
        <w:tc>
          <w:tcPr>
            <w:tcW w:w="773"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1</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3480"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9幻彩光纤帘</w:t>
            </w:r>
          </w:p>
        </w:tc>
        <w:tc>
          <w:tcPr>
            <w:tcW w:w="773"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1</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组</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480"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幻彩光纤灯源</w:t>
            </w:r>
          </w:p>
        </w:tc>
        <w:tc>
          <w:tcPr>
            <w:tcW w:w="773"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1</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个</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3480"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color w:val="000000"/>
                <w:kern w:val="0"/>
                <w:szCs w:val="21"/>
              </w:rPr>
              <w:t>聚光面板</w:t>
            </w:r>
          </w:p>
        </w:tc>
        <w:tc>
          <w:tcPr>
            <w:tcW w:w="773"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color w:val="000000"/>
                <w:kern w:val="0"/>
                <w:szCs w:val="21"/>
              </w:rPr>
              <w:t>1</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color w:val="000000"/>
                <w:kern w:val="0"/>
                <w:szCs w:val="21"/>
              </w:rPr>
              <w:t>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3480"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波波池</w:t>
            </w:r>
          </w:p>
        </w:tc>
        <w:tc>
          <w:tcPr>
            <w:tcW w:w="773"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1</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3480"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型体椅</w:t>
            </w:r>
          </w:p>
        </w:tc>
        <w:tc>
          <w:tcPr>
            <w:tcW w:w="773"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1</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个</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3480"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触觉套装</w:t>
            </w:r>
          </w:p>
        </w:tc>
        <w:tc>
          <w:tcPr>
            <w:tcW w:w="773"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1</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3480"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幻彩镜球</w:t>
            </w:r>
          </w:p>
        </w:tc>
        <w:tc>
          <w:tcPr>
            <w:tcW w:w="773"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1</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个</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3480"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彩光LED球</w:t>
            </w:r>
          </w:p>
        </w:tc>
        <w:tc>
          <w:tcPr>
            <w:tcW w:w="773"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1</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个</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3480"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color w:val="000000"/>
                <w:kern w:val="0"/>
                <w:szCs w:val="21"/>
              </w:rPr>
              <w:t>彩转射灯</w:t>
            </w:r>
          </w:p>
        </w:tc>
        <w:tc>
          <w:tcPr>
            <w:tcW w:w="773"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1</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个</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3480"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型态仪</w:t>
            </w:r>
          </w:p>
        </w:tc>
        <w:tc>
          <w:tcPr>
            <w:tcW w:w="773"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1</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面</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3480" w:type="dxa"/>
            <w:noWrap w:val="0"/>
            <w:vAlign w:val="center"/>
          </w:tcPr>
          <w:p>
            <w:pPr>
              <w:pageBreakBefore w:val="0"/>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szCs w:val="21"/>
              </w:rPr>
              <w:t>音乐治疗组合音响</w:t>
            </w:r>
          </w:p>
        </w:tc>
        <w:tc>
          <w:tcPr>
            <w:tcW w:w="773"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1</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3480" w:type="dxa"/>
            <w:noWrap w:val="0"/>
            <w:vAlign w:val="center"/>
          </w:tcPr>
          <w:p>
            <w:pPr>
              <w:pageBreakBefore w:val="0"/>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szCs w:val="21"/>
              </w:rPr>
              <w:t>多感官配套投射系统</w:t>
            </w:r>
          </w:p>
        </w:tc>
        <w:tc>
          <w:tcPr>
            <w:tcW w:w="773" w:type="dxa"/>
            <w:noWrap w:val="0"/>
            <w:vAlign w:val="center"/>
          </w:tcPr>
          <w:p>
            <w:pPr>
              <w:pageBreakBefore w:val="0"/>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szCs w:val="21"/>
              </w:rPr>
              <w:t>1</w:t>
            </w:r>
          </w:p>
        </w:tc>
        <w:tc>
          <w:tcPr>
            <w:tcW w:w="849" w:type="dxa"/>
            <w:noWrap w:val="0"/>
            <w:vAlign w:val="center"/>
          </w:tcPr>
          <w:p>
            <w:pPr>
              <w:pageBreakBefore w:val="0"/>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szCs w:val="21"/>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3480" w:type="dxa"/>
            <w:noWrap w:val="0"/>
            <w:vAlign w:val="center"/>
          </w:tcPr>
          <w:p>
            <w:pPr>
              <w:pageBreakBefore w:val="0"/>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电动幕布</w:t>
            </w:r>
          </w:p>
        </w:tc>
        <w:tc>
          <w:tcPr>
            <w:tcW w:w="773" w:type="dxa"/>
            <w:noWrap w:val="0"/>
            <w:vAlign w:val="center"/>
          </w:tcPr>
          <w:p>
            <w:pPr>
              <w:pageBreakBefore w:val="0"/>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1</w:t>
            </w:r>
          </w:p>
        </w:tc>
        <w:tc>
          <w:tcPr>
            <w:tcW w:w="849" w:type="dxa"/>
            <w:noWrap w:val="0"/>
            <w:vAlign w:val="center"/>
          </w:tcPr>
          <w:p>
            <w:pPr>
              <w:pageBreakBefore w:val="0"/>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szCs w:val="21"/>
              </w:rPr>
              <w:t>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3480"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多感官配套控制系统</w:t>
            </w:r>
          </w:p>
        </w:tc>
        <w:tc>
          <w:tcPr>
            <w:tcW w:w="773"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1</w:t>
            </w:r>
          </w:p>
        </w:tc>
        <w:tc>
          <w:tcPr>
            <w:tcW w:w="849" w:type="dxa"/>
            <w:noWrap w:val="0"/>
            <w:vAlign w:val="center"/>
          </w:tcPr>
          <w:p>
            <w:pPr>
              <w:pageBreakBefore w:val="0"/>
              <w:widowControl/>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kern w:val="0"/>
                <w:szCs w:val="21"/>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3480" w:type="dxa"/>
            <w:noWrap w:val="0"/>
            <w:vAlign w:val="center"/>
          </w:tcPr>
          <w:p>
            <w:pPr>
              <w:pageBreakBefore w:val="0"/>
              <w:kinsoku/>
              <w:wordWrap/>
              <w:overflowPunct/>
              <w:topLinePunct w:val="0"/>
              <w:bidi w:val="0"/>
              <w:adjustRightInd/>
              <w:spacing w:line="240" w:lineRule="auto"/>
              <w:jc w:val="center"/>
              <w:rPr>
                <w:rFonts w:hint="eastAsia" w:ascii="宋体" w:hAnsi="宋体" w:cs="宋体"/>
                <w:color w:val="000000"/>
                <w:kern w:val="0"/>
                <w:szCs w:val="21"/>
                <w:lang w:bidi="ar"/>
              </w:rPr>
            </w:pPr>
            <w:r>
              <w:rPr>
                <w:rFonts w:hint="eastAsia" w:ascii="宋体" w:hAnsi="宋体" w:cs="宋体"/>
                <w:szCs w:val="21"/>
              </w:rPr>
              <w:t>多感官互动训练系统</w:t>
            </w:r>
          </w:p>
        </w:tc>
        <w:tc>
          <w:tcPr>
            <w:tcW w:w="773" w:type="dxa"/>
            <w:noWrap w:val="0"/>
            <w:vAlign w:val="center"/>
          </w:tcPr>
          <w:p>
            <w:pPr>
              <w:pStyle w:val="4"/>
              <w:pageBreakBefore w:val="0"/>
              <w:kinsoku/>
              <w:wordWrap/>
              <w:overflowPunct/>
              <w:topLinePunct w:val="0"/>
              <w:bidi w:val="0"/>
              <w:adjustRightInd/>
              <w:snapToGrid w:val="0"/>
              <w:spacing w:line="240" w:lineRule="auto"/>
              <w:jc w:val="center"/>
              <w:outlineLvl w:val="0"/>
              <w:rPr>
                <w:rFonts w:hint="eastAsia" w:ascii="宋体" w:hAnsi="宋体" w:cs="宋体"/>
                <w:color w:val="000000"/>
                <w:kern w:val="0"/>
                <w:szCs w:val="21"/>
                <w:lang w:bidi="ar"/>
              </w:rPr>
            </w:pPr>
            <w:r>
              <w:rPr>
                <w:rFonts w:hint="eastAsia" w:hAnsi="宋体" w:cs="宋体"/>
                <w:color w:val="000000"/>
              </w:rPr>
              <w:t>1</w:t>
            </w:r>
          </w:p>
        </w:tc>
        <w:tc>
          <w:tcPr>
            <w:tcW w:w="849" w:type="dxa"/>
            <w:noWrap w:val="0"/>
            <w:vAlign w:val="center"/>
          </w:tcPr>
          <w:p>
            <w:pPr>
              <w:pStyle w:val="4"/>
              <w:pageBreakBefore w:val="0"/>
              <w:kinsoku/>
              <w:wordWrap/>
              <w:overflowPunct/>
              <w:topLinePunct w:val="0"/>
              <w:bidi w:val="0"/>
              <w:adjustRightInd/>
              <w:snapToGrid w:val="0"/>
              <w:spacing w:line="240" w:lineRule="auto"/>
              <w:jc w:val="center"/>
              <w:outlineLvl w:val="0"/>
              <w:rPr>
                <w:rFonts w:hint="eastAsia" w:ascii="宋体" w:hAnsi="宋体" w:cs="宋体"/>
                <w:color w:val="000000"/>
                <w:kern w:val="0"/>
                <w:szCs w:val="21"/>
                <w:lang w:bidi="ar"/>
              </w:rPr>
            </w:pPr>
            <w:r>
              <w:rPr>
                <w:rFonts w:hint="eastAsia" w:hAnsi="宋体" w:cs="宋体"/>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ascii="宋体" w:hAnsi="宋体" w:cs="宋体"/>
                <w:b/>
                <w:bCs/>
                <w:color w:val="000000"/>
                <w:kern w:val="0"/>
                <w:szCs w:val="21"/>
                <w:lang w:bidi="ar"/>
              </w:rPr>
              <w:t>四、</w:t>
            </w:r>
            <w:r>
              <w:rPr>
                <w:rFonts w:hint="eastAsia" w:ascii="宋体" w:hAnsi="宋体" w:cs="宋体"/>
                <w:b/>
                <w:bCs/>
                <w:szCs w:val="21"/>
              </w:rPr>
              <w:t>听觉统合室</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s="宋体"/>
                <w:b/>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000000"/>
                <w:kern w:val="0"/>
                <w:szCs w:val="21"/>
                <w:lang w:bidi="ar"/>
              </w:rPr>
              <w:t>1</w:t>
            </w:r>
          </w:p>
        </w:tc>
        <w:tc>
          <w:tcPr>
            <w:tcW w:w="3480" w:type="dxa"/>
            <w:noWrap w:val="0"/>
            <w:vAlign w:val="center"/>
          </w:tcPr>
          <w:p>
            <w:pPr>
              <w:pStyle w:val="4"/>
              <w:pageBreakBefore w:val="0"/>
              <w:kinsoku/>
              <w:wordWrap/>
              <w:overflowPunct/>
              <w:topLinePunct w:val="0"/>
              <w:bidi w:val="0"/>
              <w:adjustRightInd/>
              <w:snapToGrid w:val="0"/>
              <w:spacing w:line="240" w:lineRule="auto"/>
              <w:jc w:val="center"/>
              <w:outlineLvl w:val="0"/>
              <w:rPr>
                <w:rFonts w:hint="eastAsia" w:ascii="宋体" w:hAnsi="宋体" w:cs="宋体"/>
                <w:szCs w:val="21"/>
              </w:rPr>
            </w:pPr>
            <w:r>
              <w:rPr>
                <w:rFonts w:hint="eastAsia" w:hAnsi="宋体" w:cs="宋体"/>
                <w:bCs/>
                <w:color w:val="000000"/>
                <w:kern w:val="0"/>
              </w:rPr>
              <w:t>AIT听觉统合训练仪</w:t>
            </w:r>
          </w:p>
        </w:tc>
        <w:tc>
          <w:tcPr>
            <w:tcW w:w="773" w:type="dxa"/>
            <w:noWrap w:val="0"/>
            <w:vAlign w:val="center"/>
          </w:tcPr>
          <w:p>
            <w:pPr>
              <w:pStyle w:val="4"/>
              <w:pageBreakBefore w:val="0"/>
              <w:kinsoku/>
              <w:wordWrap/>
              <w:overflowPunct/>
              <w:topLinePunct w:val="0"/>
              <w:bidi w:val="0"/>
              <w:adjustRightInd/>
              <w:snapToGrid w:val="0"/>
              <w:spacing w:line="240" w:lineRule="auto"/>
              <w:jc w:val="center"/>
              <w:outlineLvl w:val="0"/>
              <w:rPr>
                <w:rFonts w:hint="eastAsia" w:hAnsi="宋体" w:cs="宋体"/>
                <w:color w:val="000000"/>
              </w:rPr>
            </w:pPr>
            <w:r>
              <w:rPr>
                <w:rFonts w:hint="eastAsia" w:hAnsi="宋体" w:cs="宋体"/>
                <w:color w:val="000000"/>
              </w:rPr>
              <w:t>1</w:t>
            </w:r>
          </w:p>
        </w:tc>
        <w:tc>
          <w:tcPr>
            <w:tcW w:w="849" w:type="dxa"/>
            <w:noWrap w:val="0"/>
            <w:vAlign w:val="center"/>
          </w:tcPr>
          <w:p>
            <w:pPr>
              <w:pStyle w:val="4"/>
              <w:pageBreakBefore w:val="0"/>
              <w:kinsoku/>
              <w:wordWrap/>
              <w:overflowPunct/>
              <w:topLinePunct w:val="0"/>
              <w:bidi w:val="0"/>
              <w:adjustRightInd/>
              <w:snapToGrid w:val="0"/>
              <w:spacing w:line="240" w:lineRule="auto"/>
              <w:jc w:val="center"/>
              <w:outlineLvl w:val="0"/>
              <w:rPr>
                <w:rFonts w:hint="eastAsia" w:hAnsi="宋体" w:cs="宋体"/>
              </w:rPr>
            </w:pPr>
            <w:r>
              <w:rPr>
                <w:rFonts w:hint="eastAsia" w:hAnsi="宋体" w:cs="宋体"/>
                <w:color w:val="000000"/>
                <w:kern w:val="0"/>
                <w:lang w:bidi="ar"/>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hAnsi="宋体" w:cs="宋体"/>
                <w:b/>
                <w:bCs/>
                <w:color w:val="000000"/>
                <w:kern w:val="0"/>
                <w:lang w:bidi="ar"/>
              </w:rPr>
              <w:t>五、蒙台梭利室</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hAnsi="宋体" w:cs="宋体"/>
                <w:b/>
                <w:bCs/>
                <w:color w:val="00000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000000"/>
                <w:kern w:val="0"/>
                <w:szCs w:val="21"/>
                <w:lang w:bidi="ar"/>
              </w:rPr>
              <w:t>1</w:t>
            </w:r>
          </w:p>
        </w:tc>
        <w:tc>
          <w:tcPr>
            <w:tcW w:w="3480" w:type="dxa"/>
            <w:noWrap w:val="0"/>
            <w:vAlign w:val="center"/>
          </w:tcPr>
          <w:p>
            <w:pPr>
              <w:pStyle w:val="4"/>
              <w:pageBreakBefore w:val="0"/>
              <w:kinsoku/>
              <w:wordWrap/>
              <w:overflowPunct/>
              <w:topLinePunct w:val="0"/>
              <w:bidi w:val="0"/>
              <w:adjustRightInd/>
              <w:snapToGrid w:val="0"/>
              <w:spacing w:line="240" w:lineRule="auto"/>
              <w:jc w:val="center"/>
              <w:outlineLvl w:val="0"/>
              <w:rPr>
                <w:rFonts w:hint="eastAsia" w:ascii="宋体" w:hAnsi="宋体" w:cs="宋体"/>
                <w:szCs w:val="21"/>
              </w:rPr>
            </w:pPr>
            <w:r>
              <w:rPr>
                <w:rFonts w:hint="eastAsia" w:hAnsi="宋体" w:cs="宋体"/>
                <w:color w:val="000000"/>
                <w:kern w:val="0"/>
                <w:lang w:bidi="ar"/>
              </w:rPr>
              <w:t>蒙台梭利</w:t>
            </w:r>
          </w:p>
        </w:tc>
        <w:tc>
          <w:tcPr>
            <w:tcW w:w="773" w:type="dxa"/>
            <w:noWrap w:val="0"/>
            <w:vAlign w:val="center"/>
          </w:tcPr>
          <w:p>
            <w:pPr>
              <w:pStyle w:val="4"/>
              <w:pageBreakBefore w:val="0"/>
              <w:kinsoku/>
              <w:wordWrap/>
              <w:overflowPunct/>
              <w:topLinePunct w:val="0"/>
              <w:bidi w:val="0"/>
              <w:adjustRightInd/>
              <w:snapToGrid w:val="0"/>
              <w:spacing w:line="240" w:lineRule="auto"/>
              <w:jc w:val="center"/>
              <w:outlineLvl w:val="0"/>
              <w:rPr>
                <w:rFonts w:hint="eastAsia" w:hAnsi="宋体" w:cs="宋体"/>
                <w:color w:val="000000"/>
              </w:rPr>
            </w:pPr>
            <w:r>
              <w:rPr>
                <w:rFonts w:hint="eastAsia" w:hAnsi="宋体" w:cs="宋体"/>
                <w:color w:val="000000"/>
              </w:rPr>
              <w:t>1</w:t>
            </w:r>
          </w:p>
        </w:tc>
        <w:tc>
          <w:tcPr>
            <w:tcW w:w="849" w:type="dxa"/>
            <w:noWrap w:val="0"/>
            <w:vAlign w:val="center"/>
          </w:tcPr>
          <w:p>
            <w:pPr>
              <w:pStyle w:val="4"/>
              <w:pageBreakBefore w:val="0"/>
              <w:kinsoku/>
              <w:wordWrap/>
              <w:overflowPunct/>
              <w:topLinePunct w:val="0"/>
              <w:bidi w:val="0"/>
              <w:adjustRightInd/>
              <w:snapToGrid w:val="0"/>
              <w:spacing w:line="240" w:lineRule="auto"/>
              <w:jc w:val="center"/>
              <w:outlineLvl w:val="0"/>
              <w:rPr>
                <w:rFonts w:hint="eastAsia" w:hAnsi="宋体" w:cs="宋体"/>
              </w:rPr>
            </w:pPr>
            <w:r>
              <w:rPr>
                <w:rFonts w:hint="eastAsia" w:hAnsi="宋体" w:cs="宋体"/>
                <w:color w:val="000000"/>
                <w:kern w:val="0"/>
                <w:lang w:bidi="ar"/>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hAnsi="宋体" w:cs="宋体"/>
                <w:b/>
                <w:bCs/>
                <w:color w:val="000000"/>
              </w:rPr>
              <w:t>六、作业治疗室</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hAnsi="宋体" w:cs="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bCs/>
                <w:szCs w:val="21"/>
              </w:rPr>
              <w:t>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cs="宋体"/>
                <w:szCs w:val="21"/>
              </w:rPr>
            </w:pPr>
            <w:r>
              <w:rPr>
                <w:rFonts w:hint="eastAsia" w:ascii="宋体" w:hAnsi="宋体" w:cs="宋体"/>
                <w:color w:val="000000"/>
                <w:kern w:val="0"/>
                <w:szCs w:val="21"/>
                <w:lang w:bidi="ar"/>
              </w:rPr>
              <w:t>姿势矫正椅</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b w:val="0"/>
                <w:bCs/>
                <w:color w:val="000000"/>
              </w:rPr>
            </w:pPr>
            <w:r>
              <w:rPr>
                <w:rFonts w:hint="eastAsia" w:ascii="宋体" w:hAnsi="宋体" w:cs="宋体"/>
                <w:b w:val="0"/>
                <w:bCs/>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b w:val="0"/>
                <w:bCs/>
              </w:rPr>
            </w:pPr>
            <w:r>
              <w:rPr>
                <w:rFonts w:hint="eastAsia" w:ascii="宋体" w:hAnsi="宋体" w:cs="宋体"/>
                <w:b w:val="0"/>
                <w:bCs/>
                <w:color w:val="000000"/>
                <w:kern w:val="0"/>
                <w:szCs w:val="21"/>
                <w:lang w:bidi="ar"/>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bCs/>
                <w:szCs w:val="21"/>
              </w:rPr>
              <w:t>2</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cs="宋体"/>
                <w:szCs w:val="21"/>
              </w:rPr>
            </w:pPr>
            <w:r>
              <w:rPr>
                <w:rFonts w:hint="eastAsia" w:ascii="宋体" w:hAnsi="宋体" w:cs="宋体"/>
                <w:color w:val="3C3C3C"/>
                <w:kern w:val="0"/>
                <w:szCs w:val="21"/>
                <w:lang w:bidi="ar"/>
              </w:rPr>
              <w:t>脑瘫康复认知板</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color w:val="000000"/>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rPr>
            </w:pPr>
            <w:r>
              <w:rPr>
                <w:rFonts w:hint="eastAsia" w:ascii="宋体" w:hAnsi="宋体" w:cs="宋体"/>
                <w:color w:val="000000"/>
                <w:kern w:val="0"/>
                <w:szCs w:val="21"/>
                <w:lang w:bidi="ar"/>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bCs/>
                <w:szCs w:val="21"/>
              </w:rPr>
              <w:t>3</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cs="宋体"/>
                <w:szCs w:val="21"/>
              </w:rPr>
            </w:pPr>
            <w:r>
              <w:rPr>
                <w:rFonts w:hint="eastAsia" w:ascii="宋体" w:hAnsi="宋体" w:cs="宋体"/>
                <w:color w:val="000000"/>
                <w:kern w:val="0"/>
                <w:szCs w:val="21"/>
                <w:lang w:bidi="ar"/>
              </w:rPr>
              <w:t>木插板</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color w:val="000000"/>
              </w:rPr>
            </w:pPr>
            <w:r>
              <w:rPr>
                <w:rFonts w:hint="eastAsia" w:ascii="宋体" w:hAnsi="宋体" w:cs="宋体"/>
                <w:color w:val="000000"/>
                <w:kern w:val="0"/>
                <w:szCs w:val="21"/>
                <w:lang w:bidi="ar"/>
              </w:rPr>
              <w:t>2</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rPr>
            </w:pPr>
            <w:r>
              <w:rPr>
                <w:rFonts w:hint="eastAsia" w:ascii="宋体" w:hAnsi="宋体" w:cs="宋体"/>
                <w:color w:val="000000"/>
                <w:kern w:val="0"/>
                <w:szCs w:val="21"/>
                <w:lang w:bidi="ar"/>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5816" w:type="dxa"/>
            <w:gridSpan w:val="4"/>
            <w:noWrap w:val="0"/>
            <w:vAlign w:val="center"/>
          </w:tcPr>
          <w:p>
            <w:pPr>
              <w:pageBreakBefore w:val="0"/>
              <w:kinsoku/>
              <w:wordWrap/>
              <w:overflowPunct/>
              <w:topLinePunct w:val="0"/>
              <w:bidi w:val="0"/>
              <w:adjustRightInd/>
              <w:spacing w:line="240" w:lineRule="auto"/>
              <w:jc w:val="left"/>
              <w:rPr>
                <w:rFonts w:ascii="新宋体" w:hAnsi="新宋体" w:eastAsia="新宋体" w:cs="新宋体"/>
                <w:b/>
                <w:bCs/>
                <w:color w:val="000000"/>
                <w:kern w:val="0"/>
                <w:szCs w:val="21"/>
              </w:rPr>
            </w:pPr>
            <w:r>
              <w:rPr>
                <w:rFonts w:hint="eastAsia" w:ascii="宋体" w:hAnsi="宋体" w:cs="宋体"/>
                <w:b/>
                <w:bCs/>
                <w:color w:val="000000"/>
                <w:kern w:val="0"/>
                <w:szCs w:val="21"/>
                <w:lang w:bidi="ar"/>
              </w:rPr>
              <w:t>七、心理</w:t>
            </w:r>
            <w:r>
              <w:rPr>
                <w:rFonts w:hint="eastAsia" w:ascii="新宋体" w:hAnsi="新宋体" w:eastAsia="新宋体" w:cs="新宋体"/>
                <w:b/>
                <w:bCs/>
                <w:color w:val="000000"/>
                <w:szCs w:val="21"/>
              </w:rPr>
              <w:t>沙盘室</w:t>
            </w: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bCs/>
                <w:szCs w:val="21"/>
              </w:rPr>
              <w:t>1</w:t>
            </w:r>
          </w:p>
        </w:tc>
        <w:tc>
          <w:tcPr>
            <w:tcW w:w="3480" w:type="dxa"/>
            <w:noWrap w:val="0"/>
            <w:vAlign w:val="center"/>
          </w:tcPr>
          <w:p>
            <w:pPr>
              <w:pageBreakBefore w:val="0"/>
              <w:kinsoku/>
              <w:wordWrap/>
              <w:overflowPunct/>
              <w:topLinePunct w:val="0"/>
              <w:bidi w:val="0"/>
              <w:adjustRightInd/>
              <w:spacing w:line="240" w:lineRule="auto"/>
              <w:jc w:val="center"/>
              <w:rPr>
                <w:rFonts w:ascii="新宋体" w:hAnsi="新宋体" w:eastAsia="新宋体" w:cs="新宋体"/>
                <w:color w:val="000000"/>
                <w:kern w:val="0"/>
                <w:szCs w:val="21"/>
              </w:rPr>
            </w:pPr>
            <w:r>
              <w:rPr>
                <w:rFonts w:hint="eastAsia" w:ascii="新宋体" w:hAnsi="新宋体" w:eastAsia="新宋体" w:cs="新宋体"/>
                <w:color w:val="000000"/>
                <w:szCs w:val="21"/>
              </w:rPr>
              <w:t>心理沙盘</w:t>
            </w:r>
          </w:p>
          <w:p>
            <w:pPr>
              <w:pageBreakBefore w:val="0"/>
              <w:widowControl/>
              <w:kinsoku/>
              <w:wordWrap/>
              <w:overflowPunct/>
              <w:topLinePunct w:val="0"/>
              <w:bidi w:val="0"/>
              <w:adjustRightInd/>
              <w:spacing w:line="240" w:lineRule="auto"/>
              <w:jc w:val="center"/>
              <w:textAlignment w:val="center"/>
              <w:rPr>
                <w:rFonts w:hint="eastAsia" w:ascii="宋体" w:hAnsi="宋体" w:cs="宋体"/>
                <w:szCs w:val="21"/>
              </w:rPr>
            </w:pP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color w:val="000000"/>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rPr>
            </w:pPr>
            <w:r>
              <w:rPr>
                <w:rFonts w:hint="eastAsia" w:ascii="宋体" w:hAnsi="宋体" w:cs="宋体"/>
                <w:color w:val="000000"/>
                <w:kern w:val="0"/>
                <w:szCs w:val="21"/>
                <w:lang w:bidi="ar"/>
              </w:rPr>
              <w:t>套</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hAnsi="宋体" w:cs="宋体"/>
                <w:b/>
                <w:bCs/>
                <w:color w:val="000000"/>
              </w:rPr>
              <w:t>八、儿童康复物理治疗单元</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hAnsi="宋体" w:cs="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cs="宋体"/>
                <w:szCs w:val="21"/>
              </w:rPr>
            </w:pPr>
            <w:r>
              <w:rPr>
                <w:rFonts w:hint="eastAsia" w:ascii="宋体" w:hAnsi="宋体" w:cs="宋体"/>
                <w:color w:val="000000"/>
                <w:kern w:val="0"/>
                <w:szCs w:val="21"/>
                <w:lang w:bidi="ar"/>
              </w:rPr>
              <w:t>脑电仿生电刺激仪</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color w:val="000000"/>
              </w:rPr>
            </w:pPr>
            <w:r>
              <w:rPr>
                <w:rFonts w:hint="eastAsia" w:ascii="宋体" w:hAnsi="宋体" w:cs="宋体"/>
                <w:color w:val="000000"/>
                <w:szCs w:val="21"/>
              </w:rPr>
              <w:t>2</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rPr>
            </w:pPr>
            <w:r>
              <w:rPr>
                <w:rFonts w:hint="eastAsia" w:ascii="宋体" w:hAnsi="宋体" w:cs="宋体"/>
                <w:color w:val="000000"/>
                <w:kern w:val="0"/>
                <w:szCs w:val="21"/>
                <w:lang w:bidi="ar"/>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cs="宋体"/>
                <w:szCs w:val="21"/>
              </w:rPr>
            </w:pPr>
            <w:r>
              <w:rPr>
                <w:rFonts w:hint="eastAsia" w:ascii="宋体" w:hAnsi="宋体" w:cs="宋体"/>
                <w:color w:val="000000"/>
                <w:kern w:val="0"/>
                <w:szCs w:val="21"/>
                <w:lang w:bidi="ar"/>
              </w:rPr>
              <w:t>痉挛肌治疗仪</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color w:val="000000"/>
              </w:rPr>
            </w:pPr>
            <w:r>
              <w:rPr>
                <w:rFonts w:hint="eastAsia" w:ascii="宋体" w:hAnsi="宋体" w:cs="宋体"/>
                <w:color w:val="000000"/>
                <w:szCs w:val="21"/>
              </w:rPr>
              <w:t>2</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rPr>
            </w:pPr>
            <w:r>
              <w:rPr>
                <w:rFonts w:hint="eastAsia" w:ascii="宋体" w:hAnsi="宋体" w:cs="宋体"/>
                <w:color w:val="000000"/>
                <w:kern w:val="0"/>
                <w:szCs w:val="21"/>
                <w:lang w:bidi="ar"/>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cs="宋体"/>
                <w:szCs w:val="21"/>
              </w:rPr>
            </w:pPr>
            <w:r>
              <w:rPr>
                <w:rFonts w:hint="eastAsia" w:ascii="宋体" w:hAnsi="宋体" w:cs="宋体"/>
                <w:color w:val="000000"/>
                <w:kern w:val="0"/>
                <w:szCs w:val="21"/>
                <w:lang w:bidi="ar"/>
              </w:rPr>
              <w:t>生物刺激反馈仪</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color w:val="000000"/>
              </w:rPr>
            </w:pPr>
            <w:r>
              <w:rPr>
                <w:rFonts w:hint="eastAsia" w:ascii="宋体" w:hAnsi="宋体" w:cs="宋体"/>
                <w:color w:val="000000"/>
                <w:szCs w:val="21"/>
              </w:rPr>
              <w:t>3</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rPr>
            </w:pPr>
            <w:r>
              <w:rPr>
                <w:rFonts w:hint="eastAsia" w:ascii="宋体" w:hAnsi="宋体" w:cs="宋体"/>
                <w:color w:val="000000"/>
                <w:kern w:val="0"/>
                <w:szCs w:val="21"/>
                <w:lang w:bidi="ar"/>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cs="宋体"/>
                <w:szCs w:val="21"/>
              </w:rPr>
            </w:pPr>
            <w:r>
              <w:rPr>
                <w:rFonts w:hint="eastAsia" w:ascii="宋体" w:hAnsi="宋体" w:cs="宋体"/>
                <w:color w:val="000000"/>
                <w:kern w:val="0"/>
                <w:szCs w:val="21"/>
                <w:lang w:bidi="ar"/>
              </w:rPr>
              <w:t>儿童经颅磁治疗仪（小磁）</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color w:val="000000"/>
              </w:rPr>
            </w:pPr>
            <w:r>
              <w:rPr>
                <w:rFonts w:hint="eastAsia" w:ascii="宋体" w:hAnsi="宋体" w:cs="宋体"/>
                <w:color w:val="000000"/>
                <w:szCs w:val="21"/>
              </w:rPr>
              <w:t>2</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rPr>
            </w:pPr>
            <w:r>
              <w:rPr>
                <w:rFonts w:hint="eastAsia" w:ascii="宋体" w:hAnsi="宋体" w:cs="宋体"/>
                <w:color w:val="000000"/>
                <w:kern w:val="0"/>
                <w:szCs w:val="21"/>
                <w:lang w:bidi="ar"/>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cs="宋体"/>
                <w:szCs w:val="21"/>
              </w:rPr>
            </w:pPr>
            <w:r>
              <w:rPr>
                <w:rFonts w:hint="eastAsia" w:ascii="宋体" w:hAnsi="宋体" w:cs="宋体"/>
                <w:color w:val="000000"/>
                <w:kern w:val="0"/>
                <w:szCs w:val="21"/>
                <w:lang w:bidi="ar"/>
              </w:rPr>
              <w:t>肌兴奋治疗仪</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color w:val="000000"/>
              </w:rPr>
            </w:pPr>
            <w:r>
              <w:rPr>
                <w:rFonts w:hint="eastAsia" w:ascii="宋体" w:hAnsi="宋体" w:cs="宋体"/>
                <w:color w:val="000000"/>
                <w:szCs w:val="21"/>
              </w:rPr>
              <w:t>2</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rPr>
            </w:pPr>
            <w:r>
              <w:rPr>
                <w:rFonts w:hint="eastAsia" w:ascii="宋体" w:hAnsi="宋体" w:cs="宋体"/>
                <w:color w:val="000000"/>
                <w:kern w:val="0"/>
                <w:szCs w:val="21"/>
                <w:lang w:bidi="ar"/>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cs="宋体"/>
                <w:szCs w:val="21"/>
              </w:rPr>
            </w:pPr>
            <w:r>
              <w:rPr>
                <w:rFonts w:hint="eastAsia" w:ascii="宋体" w:hAnsi="宋体" w:cs="宋体"/>
                <w:color w:val="000000"/>
                <w:kern w:val="0"/>
                <w:szCs w:val="21"/>
                <w:lang w:bidi="ar"/>
              </w:rPr>
              <w:t>经络导平治疗仪</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color w:val="000000"/>
              </w:rPr>
            </w:pPr>
            <w:r>
              <w:rPr>
                <w:rFonts w:hint="eastAsia" w:ascii="宋体" w:hAnsi="宋体" w:cs="宋体"/>
                <w:color w:val="000000"/>
                <w:szCs w:val="21"/>
              </w:rPr>
              <w:t>2</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rPr>
            </w:pPr>
            <w:r>
              <w:rPr>
                <w:rFonts w:hint="eastAsia" w:ascii="宋体" w:hAnsi="宋体" w:cs="宋体"/>
                <w:color w:val="000000"/>
                <w:kern w:val="0"/>
                <w:szCs w:val="21"/>
                <w:lang w:bidi="ar"/>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cs="宋体"/>
                <w:szCs w:val="21"/>
              </w:rPr>
            </w:pPr>
            <w:r>
              <w:rPr>
                <w:rFonts w:hint="eastAsia" w:ascii="宋体" w:hAnsi="宋体" w:cs="宋体"/>
                <w:color w:val="000000"/>
                <w:kern w:val="0"/>
                <w:szCs w:val="21"/>
                <w:lang w:bidi="ar"/>
              </w:rPr>
              <w:t>吞咽神经和肌肉电刺激仪（便携式）</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color w:val="000000"/>
              </w:rPr>
            </w:pPr>
            <w:r>
              <w:rPr>
                <w:rFonts w:hint="eastAsia" w:ascii="宋体" w:hAnsi="宋体" w:cs="宋体"/>
                <w:color w:val="000000"/>
                <w:szCs w:val="21"/>
              </w:rPr>
              <w:t>4</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rPr>
            </w:pPr>
            <w:r>
              <w:rPr>
                <w:rFonts w:hint="eastAsia" w:ascii="宋体" w:hAnsi="宋体" w:cs="宋体"/>
                <w:color w:val="000000"/>
                <w:kern w:val="0"/>
                <w:szCs w:val="21"/>
                <w:lang w:bidi="ar"/>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1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cs="宋体"/>
                <w:szCs w:val="21"/>
              </w:rPr>
            </w:pPr>
            <w:r>
              <w:rPr>
                <w:rFonts w:hint="eastAsia" w:ascii="宋体" w:hAnsi="宋体" w:cs="宋体"/>
                <w:color w:val="000000"/>
                <w:kern w:val="0"/>
                <w:szCs w:val="21"/>
                <w:lang w:bidi="ar"/>
              </w:rPr>
              <w:t>电脑中频治疗仪</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color w:val="000000"/>
              </w:rPr>
            </w:pPr>
            <w:r>
              <w:rPr>
                <w:rFonts w:hint="eastAsia" w:ascii="宋体" w:hAnsi="宋体" w:cs="宋体"/>
                <w:color w:val="000000"/>
                <w:kern w:val="0"/>
                <w:szCs w:val="21"/>
                <w:lang w:bidi="ar"/>
              </w:rPr>
              <w:t>1</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hAnsi="宋体" w:cs="宋体"/>
              </w:rPr>
            </w:pPr>
            <w:r>
              <w:rPr>
                <w:rFonts w:hint="eastAsia" w:ascii="宋体" w:hAnsi="宋体" w:cs="宋体"/>
                <w:color w:val="000000"/>
                <w:kern w:val="0"/>
                <w:szCs w:val="21"/>
                <w:lang w:bidi="ar"/>
              </w:rPr>
              <w:t>台</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ascii="宋体" w:hAnsi="宋体" w:cs="宋体"/>
                <w:b/>
                <w:bCs/>
                <w:color w:val="000000"/>
                <w:kern w:val="0"/>
                <w:szCs w:val="21"/>
                <w:lang w:bidi="ar"/>
              </w:rPr>
              <w:t>九、装修部分</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s="宋体"/>
                <w:b/>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val="en-US" w:eastAsia="zh-CN" w:bidi="ar"/>
              </w:rPr>
              <w:t>一</w:t>
            </w: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感统中心</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软垫</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45.4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2</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软包墙</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33.4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3</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墙绘</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55.6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二</w:t>
            </w: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游泳中心</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墙绘</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 xml:space="preserve">17.4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val="en-US" w:eastAsia="zh-CN" w:bidi="ar"/>
              </w:rPr>
              <w:t>三</w:t>
            </w: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多感官</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软垫</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33.7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2</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软包墙</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30.6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3</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墙绘</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51.0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val="en-US" w:eastAsia="zh-CN" w:bidi="ar"/>
              </w:rPr>
              <w:t>四</w:t>
            </w: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心理沙盘</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软包墙</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24.4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2</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墙绘</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40.6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五</w:t>
            </w: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感统室</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软垫</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39.8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2</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软包墙</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17.4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3</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墙绘</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52.0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六</w:t>
            </w: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运动室</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软垫</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33.8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2</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软包墙</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28.2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3</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墙绘</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47.0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七</w:t>
            </w: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一层加建运动室</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软垫</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38.1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2</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软包墙</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30.4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3</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墙绘</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50.6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八</w:t>
            </w: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蒙台</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软垫</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9.1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2</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墙绘</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36.3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val="en-US" w:eastAsia="zh-CN" w:bidi="ar"/>
              </w:rPr>
              <w:t>九</w:t>
            </w: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认知</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软垫</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18.2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2</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墙绘</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72.6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十</w:t>
            </w: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语言</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软垫</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23.2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2</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墙绘</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 xml:space="preserve">101.3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十一</w:t>
            </w: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理疗</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墙绘</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 xml:space="preserve">66.0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十二</w:t>
            </w: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康复评估</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墙绘</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 xml:space="preserve">42.3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十三</w:t>
            </w:r>
            <w:r>
              <w:rPr>
                <w:rFonts w:hint="eastAsia" w:ascii="宋体" w:hAnsi="宋体" w:eastAsia="宋体" w:cs="宋体"/>
                <w:b/>
                <w:color w:val="000000"/>
                <w:kern w:val="0"/>
                <w:sz w:val="21"/>
                <w:szCs w:val="21"/>
                <w:lang w:eastAsia="zh-CN" w:bidi="ar"/>
              </w:rPr>
              <w:t>）</w:t>
            </w:r>
            <w:r>
              <w:rPr>
                <w:rFonts w:hint="eastAsia" w:ascii="宋体" w:hAnsi="宋体" w:eastAsia="宋体" w:cs="宋体"/>
                <w:b/>
                <w:color w:val="000000"/>
                <w:kern w:val="0"/>
                <w:sz w:val="21"/>
                <w:szCs w:val="21"/>
                <w:lang w:bidi="ar"/>
              </w:rPr>
              <w:t>作业</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墙绘</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66.0</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5816"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kern w:val="0"/>
                <w:sz w:val="21"/>
                <w:szCs w:val="21"/>
                <w:lang w:val="en-US" w:eastAsia="zh-CN" w:bidi="zh-CN"/>
              </w:rPr>
            </w:pPr>
            <w:r>
              <w:rPr>
                <w:rFonts w:hint="eastAsia" w:ascii="宋体" w:hAnsi="宋体" w:eastAsia="宋体" w:cs="宋体"/>
                <w:b/>
                <w:color w:val="000000"/>
                <w:kern w:val="0"/>
                <w:sz w:val="21"/>
                <w:szCs w:val="21"/>
                <w:lang w:val="en-US" w:eastAsia="zh-CN" w:bidi="ar"/>
              </w:rPr>
              <w:t>（</w:t>
            </w:r>
            <w:r>
              <w:rPr>
                <w:rFonts w:hint="eastAsia" w:ascii="宋体" w:hAnsi="宋体" w:eastAsia="宋体" w:cs="宋体"/>
                <w:b/>
                <w:color w:val="000000"/>
                <w:kern w:val="0"/>
                <w:sz w:val="21"/>
                <w:szCs w:val="21"/>
                <w:lang w:bidi="ar"/>
              </w:rPr>
              <w:t>十四</w:t>
            </w:r>
            <w:r>
              <w:rPr>
                <w:rFonts w:hint="eastAsia" w:ascii="宋体" w:hAnsi="宋体" w:eastAsia="宋体" w:cs="宋体"/>
                <w:b/>
                <w:color w:val="000000"/>
                <w:kern w:val="0"/>
                <w:sz w:val="21"/>
                <w:szCs w:val="21"/>
                <w:lang w:val="en-US" w:eastAsia="zh-CN" w:bidi="ar"/>
              </w:rPr>
              <w:t>）</w:t>
            </w:r>
            <w:r>
              <w:rPr>
                <w:rFonts w:hint="eastAsia" w:ascii="宋体" w:hAnsi="宋体" w:eastAsia="宋体" w:cs="宋体"/>
                <w:b/>
                <w:color w:val="000000"/>
                <w:kern w:val="0"/>
                <w:sz w:val="21"/>
                <w:szCs w:val="21"/>
                <w:lang w:bidi="ar"/>
              </w:rPr>
              <w:t>听统</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14"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p>
        </w:tc>
        <w:tc>
          <w:tcPr>
            <w:tcW w:w="3480"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墙绘</w:t>
            </w:r>
          </w:p>
        </w:tc>
        <w:tc>
          <w:tcPr>
            <w:tcW w:w="773"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 xml:space="preserve">42.2 </w:t>
            </w:r>
          </w:p>
        </w:tc>
        <w:tc>
          <w:tcPr>
            <w:tcW w:w="849" w:type="dxa"/>
            <w:noWrap w:val="0"/>
            <w:vAlign w:val="center"/>
          </w:tcPr>
          <w:p>
            <w:pPr>
              <w:pageBreakBefore w:val="0"/>
              <w:widowControl/>
              <w:kinsoku/>
              <w:wordWrap/>
              <w:overflowPunct/>
              <w:topLinePunct w:val="0"/>
              <w:bidi w:val="0"/>
              <w:adjustRightIn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w:t>
            </w:r>
          </w:p>
        </w:tc>
        <w:tc>
          <w:tcPr>
            <w:tcW w:w="3343"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lang w:val="en-US" w:eastAsia="zh-CN" w:bidi="zh-CN"/>
              </w:rPr>
            </w:pPr>
          </w:p>
        </w:tc>
      </w:tr>
    </w:tbl>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szCs w:val="21"/>
          <w:highlight w:val="none"/>
        </w:rPr>
      </w:pPr>
      <w:r>
        <w:rPr>
          <w:rFonts w:hint="eastAsia" w:ascii="宋体" w:hAnsi="宋体"/>
          <w:szCs w:val="21"/>
          <w:highlight w:val="none"/>
        </w:rPr>
        <w:t>合同履行期限：</w:t>
      </w:r>
      <w:r>
        <w:rPr>
          <w:rFonts w:hint="eastAsia" w:ascii="宋体" w:hAnsi="宋体" w:eastAsia="宋体" w:cs="宋体"/>
          <w:i w:val="0"/>
          <w:caps w:val="0"/>
          <w:color w:val="000000"/>
          <w:spacing w:val="0"/>
          <w:sz w:val="21"/>
          <w:szCs w:val="21"/>
          <w:highlight w:val="none"/>
        </w:rPr>
        <w:t>自签订合同之日起</w:t>
      </w:r>
      <w:r>
        <w:rPr>
          <w:rFonts w:hint="default" w:ascii="Times New Roman" w:hAnsi="Times New Roman" w:eastAsia="宋体" w:cs="Times New Roman"/>
          <w:i w:val="0"/>
          <w:caps w:val="0"/>
          <w:color w:val="000000"/>
          <w:spacing w:val="0"/>
          <w:sz w:val="21"/>
          <w:szCs w:val="21"/>
          <w:highlight w:val="none"/>
        </w:rPr>
        <w:t>60</w:t>
      </w:r>
      <w:r>
        <w:rPr>
          <w:rFonts w:hint="eastAsia" w:ascii="宋体" w:hAnsi="宋体" w:eastAsia="宋体" w:cs="宋体"/>
          <w:i w:val="0"/>
          <w:caps w:val="0"/>
          <w:color w:val="000000"/>
          <w:spacing w:val="0"/>
          <w:sz w:val="21"/>
          <w:szCs w:val="21"/>
          <w:highlight w:val="none"/>
        </w:rPr>
        <w:t>天内</w:t>
      </w:r>
      <w:r>
        <w:rPr>
          <w:rFonts w:hint="eastAsia" w:ascii="宋体" w:hAnsi="宋体" w:eastAsia="宋体" w:cs="宋体"/>
          <w:color w:val="auto"/>
          <w:highlight w:val="none"/>
          <w:shd w:val="clear" w:color="auto" w:fill="auto"/>
        </w:rPr>
        <w:t>(日历日)</w:t>
      </w:r>
      <w:r>
        <w:rPr>
          <w:rFonts w:hint="eastAsia" w:ascii="宋体" w:hAnsi="宋体" w:eastAsia="宋体" w:cs="宋体"/>
          <w:i w:val="0"/>
          <w:caps w:val="0"/>
          <w:color w:val="000000"/>
          <w:spacing w:val="0"/>
          <w:sz w:val="21"/>
          <w:szCs w:val="21"/>
          <w:highlight w:val="none"/>
        </w:rPr>
        <w:t>安装完毕并交付使用。</w:t>
      </w:r>
    </w:p>
    <w:p>
      <w:pPr>
        <w:pStyle w:val="2"/>
        <w:pageBreakBefore w:val="0"/>
        <w:numPr>
          <w:ilvl w:val="0"/>
          <w:numId w:val="0"/>
        </w:numPr>
        <w:kinsoku/>
        <w:wordWrap/>
        <w:overflowPunct/>
        <w:topLinePunct w:val="0"/>
        <w:bidi w:val="0"/>
        <w:adjustRightInd/>
        <w:spacing w:line="240" w:lineRule="auto"/>
        <w:rPr>
          <w:rFonts w:hint="default" w:eastAsia="宋体"/>
          <w:lang w:val="en-US" w:eastAsia="zh-CN"/>
        </w:rPr>
      </w:pPr>
      <w:r>
        <w:rPr>
          <w:rFonts w:hint="eastAsia"/>
          <w:lang w:val="en-US" w:eastAsia="zh-CN"/>
        </w:rPr>
        <w:t xml:space="preserve">    本项目</w:t>
      </w:r>
      <w:r>
        <w:rPr>
          <w:rFonts w:hint="eastAsia"/>
          <w:b/>
          <w:bCs/>
          <w:u w:val="single"/>
          <w:lang w:val="en-US" w:eastAsia="zh-CN"/>
        </w:rPr>
        <w:t>不接受</w:t>
      </w:r>
      <w:r>
        <w:rPr>
          <w:rFonts w:hint="eastAsia"/>
          <w:lang w:val="en-US" w:eastAsia="zh-CN"/>
        </w:rPr>
        <w:t>联合体参与谈判。</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b/>
          <w:szCs w:val="21"/>
          <w:highlight w:val="none"/>
        </w:rPr>
      </w:pPr>
      <w:bookmarkStart w:id="2" w:name="_Toc44229879"/>
      <w:bookmarkStart w:id="3" w:name="_Toc44405620"/>
      <w:r>
        <w:rPr>
          <w:rFonts w:hint="eastAsia" w:ascii="宋体" w:hAnsi="宋体"/>
          <w:b/>
          <w:szCs w:val="21"/>
          <w:highlight w:val="none"/>
        </w:rPr>
        <w:t>二、供应商的资格条件：</w:t>
      </w:r>
      <w:bookmarkEnd w:id="2"/>
      <w:bookmarkEnd w:id="3"/>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highlight w:val="none"/>
        </w:rPr>
      </w:pPr>
      <w:r>
        <w:rPr>
          <w:rFonts w:hint="eastAsia" w:ascii="宋体" w:hAnsi="宋体"/>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highlight w:val="none"/>
        </w:rPr>
      </w:pPr>
      <w:r>
        <w:rPr>
          <w:rFonts w:hint="eastAsia" w:ascii="宋体" w:hAnsi="宋体"/>
          <w:highlight w:val="none"/>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pStyle w:val="2"/>
        <w:pageBreakBefore w:val="0"/>
        <w:kinsoku/>
        <w:wordWrap/>
        <w:overflowPunct/>
        <w:topLinePunct w:val="0"/>
        <w:bidi w:val="0"/>
        <w:adjustRightInd/>
        <w:spacing w:line="240" w:lineRule="auto"/>
        <w:ind w:firstLine="409" w:firstLineChars="195"/>
        <w:rPr>
          <w:rFonts w:hint="eastAsia"/>
          <w:highlight w:val="none"/>
          <w:lang w:val="en-US" w:eastAsia="zh-CN"/>
        </w:rPr>
      </w:pPr>
      <w:r>
        <w:rPr>
          <w:rFonts w:hint="eastAsia"/>
          <w:highlight w:val="none"/>
          <w:lang w:val="en-US" w:eastAsia="zh-CN"/>
        </w:rPr>
        <w:t>3.落实政府采购政策需满足的资格要求：</w:t>
      </w:r>
    </w:p>
    <w:p>
      <w:pPr>
        <w:pStyle w:val="2"/>
        <w:pageBreakBefore w:val="0"/>
        <w:kinsoku/>
        <w:wordWrap/>
        <w:overflowPunct/>
        <w:topLinePunct w:val="0"/>
        <w:bidi w:val="0"/>
        <w:adjustRightInd/>
        <w:spacing w:line="240" w:lineRule="auto"/>
        <w:ind w:firstLine="409" w:firstLineChars="195"/>
        <w:rPr>
          <w:rFonts w:hint="eastAsia"/>
          <w:highlight w:val="none"/>
          <w:lang w:val="en-US" w:eastAsia="zh-CN"/>
        </w:rPr>
      </w:pPr>
      <w:r>
        <w:rPr>
          <w:rFonts w:hint="eastAsia"/>
          <w:highlight w:val="none"/>
          <w:lang w:val="en-US" w:eastAsia="zh-CN"/>
        </w:rPr>
        <w:t>（1）《政府采购促进中小企业发展暂行办法》（财库[2011]181号）；</w:t>
      </w:r>
    </w:p>
    <w:p>
      <w:pPr>
        <w:pStyle w:val="2"/>
        <w:pageBreakBefore w:val="0"/>
        <w:kinsoku/>
        <w:wordWrap/>
        <w:overflowPunct/>
        <w:topLinePunct w:val="0"/>
        <w:bidi w:val="0"/>
        <w:adjustRightInd/>
        <w:spacing w:line="240" w:lineRule="auto"/>
        <w:ind w:firstLine="409" w:firstLineChars="195"/>
        <w:rPr>
          <w:rFonts w:hint="eastAsia"/>
          <w:highlight w:val="none"/>
          <w:lang w:val="en-US" w:eastAsia="zh-CN"/>
        </w:rPr>
      </w:pPr>
      <w:r>
        <w:rPr>
          <w:rFonts w:hint="eastAsia"/>
          <w:highlight w:val="none"/>
          <w:lang w:val="en-US" w:eastAsia="zh-CN"/>
        </w:rPr>
        <w:t>（2）《关于政府采购支持监狱企业发展有关问题的通知》（财库[2014]68号）；</w:t>
      </w:r>
    </w:p>
    <w:p>
      <w:pPr>
        <w:pStyle w:val="2"/>
        <w:pageBreakBefore w:val="0"/>
        <w:kinsoku/>
        <w:wordWrap/>
        <w:overflowPunct/>
        <w:topLinePunct w:val="0"/>
        <w:bidi w:val="0"/>
        <w:adjustRightInd/>
        <w:spacing w:line="240" w:lineRule="auto"/>
        <w:ind w:firstLine="409" w:firstLineChars="195"/>
        <w:rPr>
          <w:rFonts w:hint="eastAsia"/>
          <w:highlight w:val="none"/>
          <w:lang w:val="en-US" w:eastAsia="zh-CN"/>
        </w:rPr>
      </w:pPr>
      <w:r>
        <w:rPr>
          <w:rFonts w:hint="eastAsia"/>
          <w:highlight w:val="none"/>
          <w:lang w:val="en-US" w:eastAsia="zh-CN"/>
        </w:rPr>
        <w:t>（3）《关于促进残疾人就业政府采购政策的通知》（财库[2017]141号）；</w:t>
      </w:r>
    </w:p>
    <w:p>
      <w:pPr>
        <w:pStyle w:val="2"/>
        <w:pageBreakBefore w:val="0"/>
        <w:kinsoku/>
        <w:wordWrap/>
        <w:overflowPunct/>
        <w:topLinePunct w:val="0"/>
        <w:bidi w:val="0"/>
        <w:adjustRightInd/>
        <w:spacing w:line="240" w:lineRule="auto"/>
        <w:ind w:firstLine="409" w:firstLineChars="195"/>
        <w:rPr>
          <w:rFonts w:hint="eastAsia"/>
          <w:highlight w:val="none"/>
          <w:lang w:val="en-US" w:eastAsia="zh-CN"/>
        </w:rPr>
      </w:pPr>
      <w:r>
        <w:rPr>
          <w:rFonts w:hint="eastAsia"/>
          <w:highlight w:val="none"/>
          <w:lang w:val="en-US" w:eastAsia="zh-CN"/>
        </w:rPr>
        <w:t xml:space="preserve">（4）《关于调整优化节能产品、环境标志产品政府采购执行机制的通知》（财库〔2019〕9号）；    </w:t>
      </w:r>
    </w:p>
    <w:p>
      <w:pPr>
        <w:pStyle w:val="2"/>
        <w:pageBreakBefore w:val="0"/>
        <w:kinsoku/>
        <w:wordWrap/>
        <w:overflowPunct/>
        <w:topLinePunct w:val="0"/>
        <w:bidi w:val="0"/>
        <w:adjustRightInd/>
        <w:spacing w:line="240" w:lineRule="auto"/>
        <w:ind w:firstLine="409" w:firstLineChars="195"/>
        <w:rPr>
          <w:rFonts w:hint="eastAsia"/>
          <w:highlight w:val="none"/>
          <w:lang w:val="en-US" w:eastAsia="zh-CN"/>
        </w:rPr>
      </w:pPr>
      <w:r>
        <w:rPr>
          <w:rFonts w:hint="eastAsia"/>
          <w:highlight w:val="none"/>
          <w:lang w:val="en-US" w:eastAsia="zh-CN"/>
        </w:rPr>
        <w:t>（5） 《广西壮族自治区人民政府办公厅关于印发招标采购促进广西工业产品产销对接实施细则的通知》（桂政办发[2015]78号）；</w:t>
      </w:r>
    </w:p>
    <w:p>
      <w:pPr>
        <w:pStyle w:val="2"/>
        <w:pageBreakBefore w:val="0"/>
        <w:kinsoku/>
        <w:wordWrap/>
        <w:overflowPunct/>
        <w:topLinePunct w:val="0"/>
        <w:bidi w:val="0"/>
        <w:adjustRightInd/>
        <w:spacing w:line="240" w:lineRule="auto"/>
        <w:ind w:firstLine="409" w:firstLineChars="195"/>
        <w:rPr>
          <w:rFonts w:hint="eastAsia"/>
          <w:highlight w:val="none"/>
          <w:lang w:val="en-US" w:eastAsia="zh-CN"/>
        </w:rPr>
      </w:pPr>
      <w:r>
        <w:rPr>
          <w:rFonts w:hint="eastAsia"/>
          <w:highlight w:val="none"/>
          <w:lang w:val="en-US" w:eastAsia="zh-CN"/>
        </w:rPr>
        <w:t>（6）本项目非专门面向中小微企业采购。</w:t>
      </w:r>
    </w:p>
    <w:p>
      <w:pPr>
        <w:ind w:firstLine="420" w:firstLineChars="200"/>
        <w:rPr>
          <w:rFonts w:hint="default"/>
          <w:lang w:val="en-US" w:eastAsia="zh-CN"/>
        </w:rPr>
      </w:pPr>
      <w:r>
        <w:rPr>
          <w:rFonts w:hint="eastAsia" w:ascii="宋体" w:hAnsi="宋体" w:eastAsia="宋体" w:cs="Times New Roman"/>
          <w:kern w:val="0"/>
          <w:sz w:val="21"/>
          <w:szCs w:val="21"/>
          <w:highlight w:val="none"/>
          <w:lang w:val="en-US" w:eastAsia="zh-CN" w:bidi="ar-SA"/>
        </w:rPr>
        <w:t>4.单位负责人为同一人或者存在直接控股、管理关系的不同供应商，不得参加同一合同项下的政府采购活动。除单</w:t>
      </w:r>
      <w:r>
        <w:rPr>
          <w:rFonts w:hint="eastAsia"/>
          <w:highlight w:val="none"/>
          <w:lang w:val="en-US" w:eastAsia="zh-CN"/>
        </w:rPr>
        <w:t>一来源采购项目外，为采购项目提供整体设计、规范编制或者项目管理、监理、检测等服务的供应商，不得再参加该采购项目的其他采购活动。</w:t>
      </w:r>
    </w:p>
    <w:p>
      <w:pPr>
        <w:pStyle w:val="2"/>
        <w:pageBreakBefore w:val="0"/>
        <w:kinsoku/>
        <w:wordWrap/>
        <w:overflowPunct/>
        <w:topLinePunct w:val="0"/>
        <w:bidi w:val="0"/>
        <w:adjustRightInd/>
        <w:spacing w:line="240" w:lineRule="auto"/>
        <w:ind w:firstLine="411" w:firstLineChars="195"/>
        <w:rPr>
          <w:rFonts w:hint="default" w:ascii="宋体" w:hAnsi="宋体" w:eastAsia="宋体" w:cs="Times New Roman"/>
          <w:b/>
          <w:bCs/>
          <w:kern w:val="0"/>
          <w:sz w:val="21"/>
          <w:szCs w:val="21"/>
          <w:highlight w:val="none"/>
          <w:lang w:val="en-US" w:eastAsia="zh-CN" w:bidi="ar-SA"/>
        </w:rPr>
      </w:pPr>
      <w:r>
        <w:rPr>
          <w:rFonts w:hint="eastAsia" w:ascii="宋体" w:hAnsi="宋体" w:eastAsia="宋体" w:cs="Times New Roman"/>
          <w:b/>
          <w:bCs/>
          <w:kern w:val="0"/>
          <w:sz w:val="21"/>
          <w:szCs w:val="21"/>
          <w:highlight w:val="none"/>
          <w:lang w:val="en-US" w:eastAsia="zh-CN" w:bidi="ar-SA"/>
        </w:rPr>
        <w:t>5.本项目的特定资格要求：供应商必须具有相应完整有效的《医疗器械经营许可证》（或第二类医疗器械经营备案凭证）或《医疗器械生产企业许可证》。</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Times New Roman"/>
          <w:b/>
          <w:bCs/>
          <w:kern w:val="0"/>
          <w:sz w:val="21"/>
          <w:szCs w:val="21"/>
          <w:highlight w:val="none"/>
          <w:lang w:val="en-US" w:eastAsia="zh-CN" w:bidi="ar-SA"/>
        </w:rPr>
      </w:pPr>
      <w:bookmarkStart w:id="4" w:name="_Toc44405621"/>
      <w:bookmarkStart w:id="5" w:name="_Toc44229880"/>
      <w:r>
        <w:rPr>
          <w:rFonts w:hint="eastAsia" w:ascii="宋体" w:hAnsi="宋体" w:eastAsia="宋体" w:cs="Times New Roman"/>
          <w:b/>
          <w:bCs/>
          <w:kern w:val="0"/>
          <w:sz w:val="21"/>
          <w:szCs w:val="21"/>
          <w:highlight w:val="none"/>
          <w:lang w:val="en-US" w:eastAsia="zh-CN" w:bidi="ar-SA"/>
        </w:rPr>
        <w:t>三、获取竞争性谈判文件</w:t>
      </w:r>
      <w:bookmarkEnd w:id="4"/>
      <w:bookmarkEnd w:id="5"/>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kern w:val="0"/>
          <w:szCs w:val="21"/>
          <w:highlight w:val="none"/>
        </w:rPr>
      </w:pPr>
      <w:r>
        <w:rPr>
          <w:rFonts w:hint="eastAsia" w:ascii="宋体" w:hAnsi="宋体"/>
          <w:kern w:val="0"/>
          <w:szCs w:val="21"/>
          <w:highlight w:val="none"/>
        </w:rPr>
        <w:t>潜在供应商登陆广西壮族自治区政府采购网（http://zfcg.gxzf.gov.cn/）</w:t>
      </w:r>
      <w:r>
        <w:rPr>
          <w:rFonts w:hint="eastAsia" w:ascii="宋体" w:hAnsi="宋体"/>
          <w:kern w:val="0"/>
          <w:szCs w:val="21"/>
          <w:highlight w:val="none"/>
          <w:lang w:eastAsia="zh-CN"/>
        </w:rPr>
        <w:t>、</w:t>
      </w:r>
      <w:r>
        <w:rPr>
          <w:rFonts w:hint="eastAsia" w:ascii="宋体" w:hAnsi="宋体"/>
          <w:kern w:val="0"/>
          <w:szCs w:val="21"/>
          <w:highlight w:val="none"/>
        </w:rPr>
        <w:t>桂林政府采购网（</w:t>
      </w:r>
      <w:r>
        <w:rPr>
          <w:rFonts w:hint="eastAsia" w:ascii="宋体" w:hAnsi="宋体"/>
          <w:kern w:val="0"/>
          <w:szCs w:val="21"/>
          <w:highlight w:val="none"/>
          <w:lang w:eastAsia="zh-CN"/>
        </w:rPr>
        <w:t>http://</w:t>
      </w:r>
      <w:r>
        <w:rPr>
          <w:rFonts w:hint="eastAsia" w:ascii="宋体" w:hAnsi="宋体"/>
          <w:kern w:val="0"/>
          <w:szCs w:val="21"/>
          <w:highlight w:val="none"/>
        </w:rPr>
        <w:t>zfcg.czj.guilin.gov.cn）</w:t>
      </w:r>
      <w:r>
        <w:rPr>
          <w:rFonts w:hint="eastAsia" w:ascii="宋体" w:hAnsi="宋体"/>
          <w:kern w:val="0"/>
          <w:szCs w:val="21"/>
          <w:highlight w:val="none"/>
          <w:lang w:eastAsia="zh-CN"/>
        </w:rPr>
        <w:t>、桂林市公共资源交易中心网（http://glggzy.org.cn/gxglzbw/）</w:t>
      </w:r>
      <w:r>
        <w:rPr>
          <w:rFonts w:hint="eastAsia" w:ascii="宋体" w:hAnsi="宋体"/>
          <w:kern w:val="0"/>
          <w:szCs w:val="21"/>
          <w:highlight w:val="none"/>
        </w:rPr>
        <w:t>，从网上下</w:t>
      </w:r>
      <w:r>
        <w:rPr>
          <w:rFonts w:hint="eastAsia" w:ascii="宋体" w:hAnsi="宋体"/>
          <w:szCs w:val="21"/>
          <w:highlight w:val="none"/>
        </w:rPr>
        <w:t>载竞争性谈判文件电子版，并根据竞争</w:t>
      </w:r>
      <w:r>
        <w:rPr>
          <w:rFonts w:hint="eastAsia" w:ascii="宋体" w:hAnsi="宋体"/>
          <w:kern w:val="0"/>
          <w:szCs w:val="21"/>
          <w:highlight w:val="none"/>
        </w:rPr>
        <w:t>性谈判文件规定的响应文件递交截止时间和地点提交响应文件参与谈判。</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highlight w:val="none"/>
        </w:rPr>
      </w:pPr>
      <w:r>
        <w:rPr>
          <w:rFonts w:hint="eastAsia" w:ascii="宋体" w:hAnsi="宋体" w:cs="宋体"/>
          <w:b/>
          <w:bCs/>
          <w:highlight w:val="none"/>
        </w:rPr>
        <w:t>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highlight w:val="none"/>
        </w:rPr>
      </w:pPr>
      <w:r>
        <w:rPr>
          <w:rFonts w:hint="eastAsia" w:ascii="宋体" w:hAnsi="宋体" w:cs="宋体"/>
          <w:highlight w:val="none"/>
        </w:rPr>
        <w:t>1.已获取竞争性谈判文件的供应商不等于符合本项目的供应商资格条件。</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highlight w:val="none"/>
        </w:rPr>
      </w:pPr>
      <w:bookmarkStart w:id="6" w:name="_Hlk44401315"/>
      <w:r>
        <w:rPr>
          <w:rFonts w:hint="eastAsia" w:ascii="宋体" w:hAnsi="宋体" w:cs="宋体"/>
          <w:highlight w:val="none"/>
        </w:rPr>
        <w:t>2.为配合采购人进行政府采购项目执行和备案，未在政采云注册的供应商可在获取竞争性谈判文件后登录政采云进行注册，如在操作过程中遇到问题或者需要技术支持，请致电政采云客服热线：400-881-7190。</w:t>
      </w:r>
    </w:p>
    <w:bookmarkEnd w:id="6"/>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cs="宋体"/>
          <w:b/>
          <w:szCs w:val="21"/>
          <w:highlight w:val="none"/>
        </w:rPr>
      </w:pPr>
      <w:bookmarkStart w:id="7" w:name="_Toc44405622"/>
      <w:bookmarkStart w:id="8" w:name="_Toc44229881"/>
      <w:r>
        <w:rPr>
          <w:rFonts w:hint="eastAsia" w:ascii="宋体" w:hAnsi="宋体"/>
          <w:b/>
          <w:szCs w:val="21"/>
          <w:highlight w:val="none"/>
        </w:rPr>
        <w:t>四、响应文件提交</w:t>
      </w:r>
      <w:bookmarkEnd w:id="7"/>
      <w:bookmarkEnd w:id="8"/>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highlight w:val="none"/>
        </w:rPr>
      </w:pPr>
      <w:r>
        <w:rPr>
          <w:rFonts w:hint="eastAsia" w:ascii="宋体" w:hAnsi="宋体"/>
          <w:highlight w:val="none"/>
        </w:rPr>
        <w:t>1.</w:t>
      </w:r>
      <w:r>
        <w:rPr>
          <w:rFonts w:hint="eastAsia" w:ascii="宋体" w:hAnsi="宋体"/>
          <w:bCs/>
          <w:highlight w:val="none"/>
        </w:rPr>
        <w:t>首次响应文件提交起止时间：</w:t>
      </w:r>
      <w:r>
        <w:rPr>
          <w:rFonts w:hint="eastAsia" w:ascii="宋体" w:hAnsi="宋体" w:cs="宋体"/>
          <w:highlight w:val="none"/>
          <w:lang w:val="en-US" w:eastAsia="zh-CN"/>
        </w:rPr>
        <w:t>2020年11月17日上午10时00分起至10时30分止</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宋体" w:hAnsi="宋体" w:cs="宋体"/>
          <w:highlight w:val="none"/>
          <w:lang w:val="en-US" w:eastAsia="zh-CN"/>
        </w:rPr>
      </w:pPr>
      <w:r>
        <w:rPr>
          <w:rFonts w:hint="eastAsia" w:ascii="宋体" w:hAnsi="宋体" w:cs="宋体"/>
          <w:highlight w:val="none"/>
        </w:rPr>
        <w:t>2.首次响应文件提交截止时间：</w:t>
      </w:r>
      <w:r>
        <w:rPr>
          <w:rFonts w:hint="eastAsia" w:ascii="宋体" w:hAnsi="宋体" w:cs="宋体"/>
          <w:highlight w:val="none"/>
          <w:lang w:val="en-US" w:eastAsia="zh-CN"/>
        </w:rPr>
        <w:t>2020年11月17日上午10时30分止</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highlight w:val="none"/>
          <w:u w:val="none"/>
        </w:rPr>
      </w:pPr>
      <w:r>
        <w:rPr>
          <w:rFonts w:hint="eastAsia" w:ascii="宋体" w:hAnsi="宋体"/>
          <w:highlight w:val="none"/>
        </w:rPr>
        <w:t>3.首次响应文件提交地点：</w:t>
      </w:r>
      <w:r>
        <w:rPr>
          <w:rFonts w:hint="eastAsia" w:ascii="宋体" w:hAnsi="宋体"/>
          <w:kern w:val="0"/>
          <w:szCs w:val="21"/>
          <w:highlight w:val="none"/>
          <w:u w:val="none"/>
        </w:rPr>
        <w:t>桂林市公共资源交易</w:t>
      </w:r>
      <w:r>
        <w:rPr>
          <w:rFonts w:hint="eastAsia" w:ascii="宋体" w:hAnsi="宋体"/>
          <w:kern w:val="0"/>
          <w:szCs w:val="21"/>
          <w:highlight w:val="none"/>
          <w:u w:val="none"/>
          <w:lang w:val="en-US" w:eastAsia="zh-CN"/>
        </w:rPr>
        <w:t>中心10号开标</w:t>
      </w:r>
      <w:r>
        <w:rPr>
          <w:rFonts w:hint="eastAsia" w:ascii="宋体" w:hAnsi="宋体"/>
          <w:highlight w:val="none"/>
          <w:u w:val="none"/>
          <w:lang w:val="en-US" w:eastAsia="zh-CN"/>
        </w:rPr>
        <w:t>室</w:t>
      </w:r>
      <w:r>
        <w:rPr>
          <w:rFonts w:hint="eastAsia" w:ascii="宋体" w:hAnsi="宋体"/>
          <w:kern w:val="0"/>
          <w:szCs w:val="21"/>
          <w:highlight w:val="none"/>
          <w:u w:val="none"/>
        </w:rPr>
        <w:t>（广西桂林市临桂区西城中路69号创业大厦西辅楼4楼北区）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bCs/>
          <w:highlight w:val="none"/>
          <w:u w:val="none"/>
        </w:rPr>
      </w:pPr>
      <w:r>
        <w:rPr>
          <w:rFonts w:hint="eastAsia" w:ascii="宋体" w:hAnsi="宋体"/>
          <w:bCs/>
          <w:highlight w:val="none"/>
          <w:u w:val="none"/>
        </w:rPr>
        <w:t>注：供应商应当在首次响应文件提交截止时间前，将响应文件密封送达首次响应文件提交地点。在首次响应文件提交截止时间后送达的响应文件为无效文件，采购代理机构应当拒收。</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kern w:val="0"/>
          <w:szCs w:val="21"/>
          <w:highlight w:val="none"/>
          <w:u w:val="none"/>
        </w:rPr>
      </w:pPr>
      <w:bookmarkStart w:id="9" w:name="_Toc44229882"/>
      <w:bookmarkStart w:id="10" w:name="_Toc44405623"/>
      <w:r>
        <w:rPr>
          <w:rFonts w:hint="eastAsia" w:ascii="宋体" w:hAnsi="宋体"/>
          <w:b/>
          <w:szCs w:val="21"/>
          <w:highlight w:val="none"/>
        </w:rPr>
        <w:t>五、</w:t>
      </w:r>
      <w:r>
        <w:rPr>
          <w:rFonts w:hint="eastAsia" w:ascii="宋体" w:hAnsi="宋体"/>
          <w:b/>
          <w:szCs w:val="21"/>
          <w:highlight w:val="none"/>
          <w:u w:val="none"/>
        </w:rPr>
        <w:t>开启</w:t>
      </w:r>
      <w:bookmarkEnd w:id="9"/>
      <w:bookmarkEnd w:id="10"/>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bCs/>
          <w:highlight w:val="none"/>
          <w:u w:val="none"/>
          <w:lang w:eastAsia="zh-CN"/>
        </w:rPr>
      </w:pPr>
      <w:r>
        <w:rPr>
          <w:rFonts w:hint="eastAsia" w:ascii="宋体" w:hAnsi="宋体"/>
          <w:kern w:val="0"/>
          <w:szCs w:val="21"/>
          <w:highlight w:val="none"/>
          <w:u w:val="none"/>
        </w:rPr>
        <w:t>1.时间：2020年</w:t>
      </w:r>
      <w:r>
        <w:rPr>
          <w:rFonts w:hint="eastAsia" w:ascii="宋体" w:hAnsi="宋体"/>
          <w:kern w:val="0"/>
          <w:szCs w:val="21"/>
          <w:highlight w:val="none"/>
          <w:u w:val="none"/>
          <w:lang w:val="en-US" w:eastAsia="zh-CN"/>
        </w:rPr>
        <w:t>11</w:t>
      </w:r>
      <w:r>
        <w:rPr>
          <w:rFonts w:hint="eastAsia" w:ascii="宋体" w:hAnsi="宋体"/>
          <w:kern w:val="0"/>
          <w:szCs w:val="21"/>
          <w:highlight w:val="none"/>
          <w:u w:val="none"/>
        </w:rPr>
        <w:t>月</w:t>
      </w:r>
      <w:r>
        <w:rPr>
          <w:rFonts w:hint="eastAsia" w:ascii="宋体" w:hAnsi="宋体"/>
          <w:kern w:val="0"/>
          <w:szCs w:val="21"/>
          <w:highlight w:val="none"/>
          <w:u w:val="none"/>
          <w:lang w:val="en-US" w:eastAsia="zh-CN"/>
        </w:rPr>
        <w:t>17</w:t>
      </w:r>
      <w:r>
        <w:rPr>
          <w:rFonts w:hint="eastAsia" w:ascii="宋体" w:hAnsi="宋体"/>
          <w:kern w:val="0"/>
          <w:szCs w:val="21"/>
          <w:highlight w:val="none"/>
          <w:u w:val="none"/>
        </w:rPr>
        <w:t>日</w:t>
      </w:r>
      <w:r>
        <w:rPr>
          <w:rFonts w:hint="eastAsia" w:ascii="宋体" w:hAnsi="宋体"/>
          <w:kern w:val="0"/>
          <w:szCs w:val="21"/>
          <w:highlight w:val="none"/>
          <w:u w:val="none"/>
          <w:lang w:val="en-US" w:eastAsia="zh-CN"/>
        </w:rPr>
        <w:t>10</w:t>
      </w:r>
      <w:r>
        <w:rPr>
          <w:rFonts w:hint="eastAsia" w:ascii="宋体" w:hAnsi="宋体"/>
          <w:kern w:val="0"/>
          <w:szCs w:val="21"/>
          <w:highlight w:val="none"/>
          <w:u w:val="none"/>
        </w:rPr>
        <w:t>点</w:t>
      </w:r>
      <w:r>
        <w:rPr>
          <w:rFonts w:hint="eastAsia" w:ascii="宋体" w:hAnsi="宋体"/>
          <w:kern w:val="0"/>
          <w:szCs w:val="21"/>
          <w:highlight w:val="none"/>
          <w:u w:val="none"/>
          <w:lang w:val="en-US" w:eastAsia="zh-CN"/>
        </w:rPr>
        <w:t>30</w:t>
      </w:r>
      <w:r>
        <w:rPr>
          <w:rFonts w:hint="eastAsia" w:ascii="宋体" w:hAnsi="宋体"/>
          <w:kern w:val="0"/>
          <w:szCs w:val="21"/>
          <w:highlight w:val="none"/>
          <w:u w:val="none"/>
        </w:rPr>
        <w:t>分截标后（</w:t>
      </w:r>
      <w:r>
        <w:rPr>
          <w:rFonts w:hint="eastAsia" w:ascii="宋体" w:hAnsi="宋体"/>
          <w:highlight w:val="none"/>
          <w:u w:val="none"/>
        </w:rPr>
        <w:t>北京时间）</w:t>
      </w:r>
      <w:r>
        <w:rPr>
          <w:rFonts w:hint="eastAsia" w:ascii="宋体" w:hAnsi="宋体"/>
          <w:highlight w:val="none"/>
          <w:u w:val="none"/>
          <w:lang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bCs/>
          <w:highlight w:val="none"/>
          <w:u w:val="none"/>
          <w:lang w:eastAsia="zh-CN"/>
        </w:rPr>
      </w:pPr>
      <w:r>
        <w:rPr>
          <w:rFonts w:hint="eastAsia" w:ascii="宋体" w:hAnsi="宋体"/>
          <w:highlight w:val="none"/>
          <w:u w:val="none"/>
        </w:rPr>
        <w:t>2.地点：</w:t>
      </w:r>
      <w:r>
        <w:rPr>
          <w:rFonts w:hint="eastAsia" w:ascii="宋体" w:hAnsi="宋体"/>
          <w:kern w:val="0"/>
          <w:szCs w:val="21"/>
          <w:highlight w:val="none"/>
          <w:u w:val="none"/>
        </w:rPr>
        <w:t>桂林市公共资源交易中心评标室（广西桂林市临桂区西城中路69号创业大厦西辅楼4楼北区）</w:t>
      </w:r>
      <w:r>
        <w:rPr>
          <w:rFonts w:hint="eastAsia" w:ascii="宋体" w:hAnsi="宋体"/>
          <w:kern w:val="0"/>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b/>
          <w:szCs w:val="21"/>
          <w:highlight w:val="none"/>
        </w:rPr>
      </w:pPr>
      <w:bookmarkStart w:id="11" w:name="_Toc44229883"/>
      <w:bookmarkStart w:id="12" w:name="_Toc44405624"/>
      <w:r>
        <w:rPr>
          <w:rFonts w:hint="eastAsia" w:ascii="宋体" w:hAnsi="宋体"/>
          <w:b/>
          <w:szCs w:val="21"/>
          <w:highlight w:val="none"/>
        </w:rPr>
        <w:t>六、公告期限</w:t>
      </w:r>
      <w:bookmarkEnd w:id="11"/>
      <w:bookmarkEnd w:id="12"/>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kern w:val="0"/>
          <w:highlight w:val="none"/>
        </w:rPr>
      </w:pPr>
      <w:r>
        <w:rPr>
          <w:rFonts w:hint="eastAsia" w:ascii="宋体" w:hAnsi="宋体" w:cs="宋体"/>
          <w:kern w:val="0"/>
          <w:szCs w:val="21"/>
          <w:highlight w:val="none"/>
        </w:rPr>
        <w:t>自本公告发布之日起</w:t>
      </w:r>
      <w:r>
        <w:rPr>
          <w:rFonts w:hint="eastAsia" w:ascii="宋体" w:hAnsi="宋体" w:cs="宋体"/>
          <w:kern w:val="0"/>
          <w:szCs w:val="21"/>
          <w:highlight w:val="none"/>
          <w:lang w:val="en-US" w:eastAsia="zh-CN"/>
        </w:rPr>
        <w:t>5</w:t>
      </w:r>
      <w:r>
        <w:rPr>
          <w:rFonts w:hint="eastAsia" w:ascii="宋体" w:hAnsi="宋体" w:cs="宋体"/>
          <w:kern w:val="0"/>
          <w:szCs w:val="21"/>
          <w:highlight w:val="none"/>
        </w:rPr>
        <w:t>个工作日</w:t>
      </w:r>
      <w:r>
        <w:rPr>
          <w:rFonts w:hint="eastAsia" w:ascii="宋体" w:hAnsi="宋体" w:cs="宋体"/>
          <w:kern w:val="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cs="宋体"/>
          <w:b/>
          <w:szCs w:val="21"/>
          <w:highlight w:val="none"/>
        </w:rPr>
      </w:pPr>
      <w:bookmarkStart w:id="13" w:name="_Toc44229884"/>
      <w:bookmarkStart w:id="14" w:name="_Toc44405625"/>
      <w:r>
        <w:rPr>
          <w:rFonts w:hint="eastAsia" w:ascii="宋体" w:hAnsi="宋体"/>
          <w:b/>
          <w:szCs w:val="21"/>
          <w:highlight w:val="none"/>
        </w:rPr>
        <w:t>七、其他补充事宜</w:t>
      </w:r>
      <w:bookmarkEnd w:id="13"/>
      <w:bookmarkEnd w:id="14"/>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kern w:val="0"/>
          <w:highlight w:val="none"/>
        </w:rPr>
      </w:pPr>
      <w:r>
        <w:rPr>
          <w:rFonts w:hint="eastAsia" w:ascii="宋体" w:hAnsi="宋体" w:cs="宋体"/>
          <w:kern w:val="0"/>
          <w:highlight w:val="none"/>
        </w:rPr>
        <w:t>1.</w:t>
      </w:r>
      <w:r>
        <w:rPr>
          <w:rFonts w:hint="eastAsia" w:ascii="宋体" w:hAnsi="宋体"/>
          <w:highlight w:val="none"/>
        </w:rPr>
        <w:t>供应商可以由法定代表人、负责人、自然人或其委托代理人出席开标会。供应商可以由法定代表人、负责人、自然人或其委托代理人出席开标会议（出席代表和供应商授权委托人需携带本人身份证原件，未携带身份证所造成的一切后果，由其自行承担）。</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kern w:val="0"/>
          <w:highlight w:val="none"/>
        </w:rPr>
      </w:pPr>
      <w:r>
        <w:rPr>
          <w:rFonts w:hint="eastAsia" w:ascii="宋体" w:hAnsi="宋体"/>
          <w:highlight w:val="none"/>
        </w:rPr>
        <w:t>2.</w:t>
      </w:r>
      <w:r>
        <w:rPr>
          <w:rFonts w:hint="eastAsia" w:ascii="宋体" w:hAnsi="宋体" w:cs="宋体"/>
          <w:kern w:val="0"/>
          <w:highlight w:val="none"/>
        </w:rPr>
        <w:t>网上查询地址</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kern w:val="0"/>
          <w:highlight w:val="none"/>
          <w:lang w:val="en-US" w:eastAsia="zh-CN"/>
        </w:rPr>
      </w:pPr>
      <w:r>
        <w:rPr>
          <w:rFonts w:hint="eastAsia" w:ascii="宋体" w:hAnsi="宋体"/>
          <w:szCs w:val="21"/>
          <w:highlight w:val="none"/>
        </w:rPr>
        <w:t>中国政府采购网</w:t>
      </w:r>
      <w:r>
        <w:rPr>
          <w:rFonts w:hint="eastAsia" w:ascii="宋体" w:hAnsi="宋体"/>
          <w:szCs w:val="21"/>
          <w:highlight w:val="none"/>
          <w:lang w:val="en-US" w:eastAsia="zh-CN"/>
        </w:rPr>
        <w:t>(</w:t>
      </w:r>
      <w:r>
        <w:rPr>
          <w:rFonts w:hint="eastAsia" w:ascii="宋体" w:hAnsi="宋体"/>
          <w:szCs w:val="21"/>
          <w:highlight w:val="none"/>
        </w:rPr>
        <w:t>http://www.ccgp.gov.cn/</w:t>
      </w:r>
      <w:r>
        <w:rPr>
          <w:rFonts w:hint="eastAsia" w:ascii="宋体" w:hAnsi="宋体"/>
          <w:szCs w:val="21"/>
          <w:highlight w:val="none"/>
          <w:lang w:val="en-US" w:eastAsia="zh-CN"/>
        </w:rPr>
        <w:t>)</w:t>
      </w:r>
      <w:r>
        <w:rPr>
          <w:rFonts w:hint="eastAsia" w:ascii="宋体" w:hAnsi="宋体"/>
          <w:szCs w:val="21"/>
          <w:highlight w:val="none"/>
        </w:rPr>
        <w:t>、广西壮族自治区政府采购网（</w:t>
      </w:r>
      <w:r>
        <w:rPr>
          <w:rFonts w:hint="eastAsia" w:ascii="宋体" w:hAnsi="宋体"/>
          <w:szCs w:val="21"/>
          <w:highlight w:val="none"/>
          <w:lang w:eastAsia="zh-CN"/>
        </w:rPr>
        <w:t>http://zfcg.gxzf.gov.cn/</w:t>
      </w:r>
      <w:r>
        <w:rPr>
          <w:rFonts w:hint="eastAsia" w:ascii="宋体" w:hAnsi="宋体"/>
          <w:szCs w:val="21"/>
          <w:highlight w:val="none"/>
        </w:rPr>
        <w:t>）、</w:t>
      </w:r>
      <w:r>
        <w:rPr>
          <w:rFonts w:hint="eastAsia" w:ascii="宋体" w:hAnsi="宋体"/>
          <w:kern w:val="0"/>
          <w:szCs w:val="21"/>
          <w:highlight w:val="none"/>
        </w:rPr>
        <w:t>桂林政府采购网（</w:t>
      </w:r>
      <w:r>
        <w:rPr>
          <w:rFonts w:hint="eastAsia" w:ascii="宋体" w:hAnsi="宋体"/>
          <w:szCs w:val="21"/>
          <w:highlight w:val="none"/>
        </w:rPr>
        <w:t>http://zfcg.czj.guilin.gov.cn/</w:t>
      </w:r>
      <w:r>
        <w:rPr>
          <w:rFonts w:hint="eastAsia" w:ascii="宋体" w:hAnsi="宋体"/>
          <w:kern w:val="0"/>
          <w:szCs w:val="21"/>
          <w:highlight w:val="none"/>
        </w:rPr>
        <w:t>）</w:t>
      </w:r>
      <w:r>
        <w:rPr>
          <w:rFonts w:hint="eastAsia" w:ascii="宋体" w:hAnsi="宋体"/>
          <w:szCs w:val="21"/>
          <w:highlight w:val="none"/>
        </w:rPr>
        <w:t>、桂林市公共资源交易中心网（</w:t>
      </w:r>
      <w:r>
        <w:rPr>
          <w:rFonts w:hint="eastAsia" w:ascii="宋体" w:hAnsi="宋体"/>
          <w:szCs w:val="21"/>
          <w:highlight w:val="none"/>
          <w:lang w:eastAsia="zh-CN"/>
        </w:rPr>
        <w:t>http://glggzy.org.cn/gxglzbw/</w:t>
      </w:r>
      <w:r>
        <w:rPr>
          <w:rFonts w:hint="eastAsia" w:ascii="宋体" w:hAnsi="宋体"/>
          <w:szCs w:val="21"/>
          <w:highlight w:val="none"/>
        </w:rPr>
        <w:t>）</w:t>
      </w:r>
      <w:r>
        <w:rPr>
          <w:rFonts w:hint="eastAsia" w:ascii="宋体" w:hAnsi="宋体"/>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cs="宋体"/>
          <w:b/>
          <w:szCs w:val="21"/>
          <w:highlight w:val="none"/>
        </w:rPr>
      </w:pPr>
      <w:bookmarkStart w:id="15" w:name="_Toc44405626"/>
      <w:bookmarkStart w:id="16" w:name="_Toc44229885"/>
      <w:r>
        <w:rPr>
          <w:rFonts w:hint="eastAsia" w:ascii="宋体" w:hAnsi="宋体"/>
          <w:b/>
          <w:szCs w:val="21"/>
          <w:highlight w:val="none"/>
        </w:rPr>
        <w:t>八、凡对本次采购提出询问，请按以下方式联系。</w:t>
      </w:r>
      <w:bookmarkEnd w:id="15"/>
      <w:bookmarkEnd w:id="16"/>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kern w:val="0"/>
          <w:highlight w:val="none"/>
        </w:rPr>
      </w:pPr>
      <w:r>
        <w:rPr>
          <w:rFonts w:hint="eastAsia" w:ascii="宋体" w:hAnsi="宋体" w:cs="宋体"/>
          <w:kern w:val="0"/>
          <w:highlight w:val="none"/>
        </w:rPr>
        <w:t>1.采购人信息</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highlight w:val="none"/>
          <w:lang w:eastAsia="zh-CN"/>
        </w:rPr>
      </w:pPr>
      <w:r>
        <w:rPr>
          <w:rFonts w:hint="eastAsia" w:ascii="宋体" w:hAnsi="宋体"/>
          <w:highlight w:val="none"/>
        </w:rPr>
        <w:t>名称：</w:t>
      </w:r>
      <w:r>
        <w:rPr>
          <w:rFonts w:hint="eastAsia" w:ascii="宋体" w:hAnsi="宋体" w:eastAsia="宋体" w:cs="宋体"/>
          <w:color w:val="auto"/>
          <w:sz w:val="21"/>
          <w:szCs w:val="21"/>
        </w:rPr>
        <w:t>阳朔县妇幼保健院</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highlight w:val="none"/>
          <w:lang w:eastAsia="zh-CN"/>
        </w:rPr>
      </w:pPr>
      <w:r>
        <w:rPr>
          <w:rFonts w:hint="eastAsia" w:ascii="宋体" w:hAnsi="宋体"/>
          <w:highlight w:val="none"/>
        </w:rPr>
        <w:t>地址：</w:t>
      </w:r>
      <w:r>
        <w:rPr>
          <w:rFonts w:hint="eastAsia" w:ascii="宋体" w:hAnsi="宋体" w:eastAsia="宋体" w:cs="宋体"/>
          <w:color w:val="auto"/>
          <w:sz w:val="21"/>
          <w:szCs w:val="21"/>
        </w:rPr>
        <w:t>广西壮族自治区桂林市阳朔县阳朔镇蟠桃路227号</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highlight w:val="none"/>
          <w:lang w:eastAsia="zh-CN"/>
        </w:rPr>
      </w:pPr>
      <w:r>
        <w:rPr>
          <w:rFonts w:hint="eastAsia" w:ascii="宋体" w:hAnsi="宋体"/>
          <w:highlight w:val="none"/>
        </w:rPr>
        <w:t>联系方式：</w:t>
      </w:r>
      <w:r>
        <w:rPr>
          <w:rFonts w:hint="eastAsia" w:ascii="宋体" w:hAnsi="宋体" w:eastAsia="宋体" w:cs="宋体"/>
          <w:color w:val="auto"/>
          <w:sz w:val="21"/>
          <w:szCs w:val="21"/>
        </w:rPr>
        <w:t>0773-8826104</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kern w:val="0"/>
          <w:highlight w:val="none"/>
        </w:rPr>
      </w:pPr>
      <w:r>
        <w:rPr>
          <w:rFonts w:hint="eastAsia" w:ascii="宋体" w:hAnsi="宋体" w:cs="宋体"/>
          <w:kern w:val="0"/>
          <w:highlight w:val="none"/>
        </w:rPr>
        <w:t>2.采购代理机构信息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highlight w:val="none"/>
          <w:lang w:eastAsia="zh-CN"/>
        </w:rPr>
      </w:pPr>
      <w:r>
        <w:rPr>
          <w:rFonts w:hint="eastAsia" w:ascii="宋体" w:hAnsi="宋体"/>
          <w:highlight w:val="none"/>
        </w:rPr>
        <w:t>名称：</w:t>
      </w:r>
      <w:r>
        <w:rPr>
          <w:rFonts w:hint="eastAsia" w:ascii="宋体" w:hAnsi="宋体"/>
          <w:highlight w:val="none"/>
          <w:lang w:eastAsia="zh-CN"/>
        </w:rPr>
        <w:t>广西鑫磐工程项目管理有限责任公司</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highlight w:val="none"/>
          <w:lang w:eastAsia="zh-CN"/>
        </w:rPr>
      </w:pPr>
      <w:r>
        <w:rPr>
          <w:rFonts w:hint="eastAsia" w:ascii="宋体" w:hAnsi="宋体"/>
          <w:highlight w:val="none"/>
        </w:rPr>
        <w:t>地址：</w:t>
      </w:r>
      <w:r>
        <w:rPr>
          <w:rFonts w:hint="eastAsia" w:ascii="宋体" w:hAnsi="宋体"/>
          <w:highlight w:val="none"/>
          <w:lang w:eastAsia="zh-CN"/>
        </w:rPr>
        <w:t>桂林市七星区七里店路1号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highlight w:val="none"/>
        </w:rPr>
      </w:pPr>
      <w:r>
        <w:rPr>
          <w:rFonts w:hint="eastAsia" w:ascii="宋体" w:hAnsi="宋体"/>
          <w:highlight w:val="none"/>
        </w:rPr>
        <w:t>联系方式：</w:t>
      </w:r>
      <w:r>
        <w:rPr>
          <w:rFonts w:hint="eastAsia" w:ascii="宋体" w:hAnsi="宋体"/>
          <w:highlight w:val="none"/>
          <w:lang w:eastAsia="zh-CN"/>
        </w:rPr>
        <w:t>0773-2838777</w:t>
      </w:r>
      <w:r>
        <w:rPr>
          <w:rFonts w:hint="eastAsia" w:ascii="宋体" w:hAnsi="宋体"/>
          <w:highlight w:val="none"/>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kern w:val="0"/>
          <w:highlight w:val="none"/>
        </w:rPr>
      </w:pPr>
      <w:r>
        <w:rPr>
          <w:rFonts w:hint="eastAsia" w:ascii="宋体" w:hAnsi="宋体" w:cs="宋体"/>
          <w:kern w:val="0"/>
          <w:highlight w:val="none"/>
        </w:rPr>
        <w:t>3.项目联系方式</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szCs w:val="20"/>
          <w:highlight w:val="none"/>
          <w:lang w:val="en-US" w:eastAsia="zh-CN"/>
        </w:rPr>
      </w:pPr>
      <w:r>
        <w:rPr>
          <w:rFonts w:hint="eastAsia" w:ascii="宋体" w:hAnsi="宋体"/>
          <w:szCs w:val="20"/>
          <w:highlight w:val="none"/>
        </w:rPr>
        <w:t>项目联系人：</w:t>
      </w:r>
      <w:r>
        <w:rPr>
          <w:rFonts w:hint="eastAsia" w:ascii="宋体" w:hAnsi="宋体"/>
          <w:highlight w:val="none"/>
          <w:lang w:val="en-US" w:eastAsia="zh-CN"/>
        </w:rPr>
        <w:t>卢工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highlight w:val="none"/>
          <w:lang w:eastAsia="zh-CN"/>
        </w:rPr>
      </w:pPr>
      <w:r>
        <w:rPr>
          <w:rFonts w:hint="eastAsia" w:ascii="宋体" w:hAnsi="宋体"/>
          <w:highlight w:val="none"/>
        </w:rPr>
        <w:t>电话：</w:t>
      </w:r>
      <w:r>
        <w:rPr>
          <w:rFonts w:hint="eastAsia" w:ascii="宋体" w:hAnsi="宋体"/>
          <w:highlight w:val="none"/>
          <w:lang w:eastAsia="zh-CN"/>
        </w:rPr>
        <w:t>0773-2838777</w:t>
      </w:r>
    </w:p>
    <w:p>
      <w:pPr>
        <w:keepNext w:val="0"/>
        <w:keepLines w:val="0"/>
        <w:pageBreakBefore w:val="0"/>
        <w:kinsoku/>
        <w:wordWrap/>
        <w:overflowPunct/>
        <w:topLinePunct w:val="0"/>
        <w:autoSpaceDE/>
        <w:autoSpaceDN/>
        <w:bidi w:val="0"/>
        <w:adjustRightInd/>
        <w:snapToGrid/>
        <w:spacing w:line="240" w:lineRule="auto"/>
        <w:ind w:firstLine="630" w:firstLineChars="300"/>
        <w:jc w:val="center"/>
        <w:textAlignment w:val="auto"/>
        <w:rPr>
          <w:rFonts w:hint="eastAsia" w:ascii="宋体" w:hAnsi="宋体"/>
          <w:highlight w:val="none"/>
          <w:u w:val="none"/>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highlight w:val="none"/>
          <w:u w:val="none"/>
          <w:lang w:val="en-US" w:eastAsia="zh-CN"/>
        </w:rPr>
      </w:pPr>
      <w:r>
        <w:rPr>
          <w:rFonts w:hint="eastAsia" w:ascii="宋体" w:hAnsi="宋体"/>
          <w:highlight w:val="none"/>
          <w:u w:val="non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630" w:firstLineChars="300"/>
        <w:jc w:val="center"/>
        <w:textAlignment w:val="auto"/>
        <w:rPr>
          <w:rFonts w:hint="eastAsia" w:ascii="宋体" w:hAnsi="宋体"/>
          <w:highlight w:val="none"/>
          <w:u w:val="none"/>
          <w:lang w:eastAsia="zh-CN"/>
        </w:rPr>
      </w:pPr>
      <w:r>
        <w:rPr>
          <w:rFonts w:hint="eastAsia" w:ascii="宋体" w:hAnsi="宋体"/>
          <w:highlight w:val="none"/>
          <w:u w:val="none"/>
          <w:lang w:val="en-US" w:eastAsia="zh-CN"/>
        </w:rPr>
        <w:t xml:space="preserve">                                 </w:t>
      </w:r>
      <w:r>
        <w:rPr>
          <w:rFonts w:hint="eastAsia" w:ascii="宋体" w:hAnsi="宋体"/>
          <w:highlight w:val="none"/>
          <w:u w:val="none"/>
          <w:lang w:eastAsia="zh-CN"/>
        </w:rPr>
        <w:t>广西鑫磐工程项目管理有限责任公司</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ascii="宋体" w:hAnsi="宋体"/>
          <w:color w:val="0000FF"/>
          <w:highlight w:val="none"/>
          <w:u w:val="none"/>
          <w:lang w:val="en-US" w:eastAsia="zh-CN"/>
        </w:rPr>
        <w:t xml:space="preserve">                                     </w:t>
      </w:r>
      <w:r>
        <w:rPr>
          <w:rFonts w:hint="eastAsia" w:ascii="宋体" w:hAnsi="宋体"/>
          <w:highlight w:val="none"/>
          <w:u w:val="none"/>
          <w:lang w:eastAsia="zh-CN"/>
        </w:rPr>
        <w:t>2020年</w:t>
      </w:r>
      <w:r>
        <w:rPr>
          <w:rFonts w:hint="eastAsia" w:ascii="宋体" w:hAnsi="宋体"/>
          <w:highlight w:val="none"/>
          <w:u w:val="none"/>
          <w:lang w:val="en-US" w:eastAsia="zh-CN"/>
        </w:rPr>
        <w:t>11</w:t>
      </w:r>
      <w:r>
        <w:rPr>
          <w:rFonts w:hint="eastAsia" w:ascii="宋体" w:hAnsi="宋体"/>
          <w:highlight w:val="none"/>
          <w:u w:val="none"/>
          <w:lang w:eastAsia="zh-CN"/>
        </w:rPr>
        <w:t>月</w:t>
      </w:r>
      <w:r>
        <w:rPr>
          <w:rFonts w:hint="eastAsia" w:ascii="宋体" w:hAnsi="宋体"/>
          <w:highlight w:val="none"/>
          <w:u w:val="none"/>
          <w:lang w:val="en-US" w:eastAsia="zh-CN"/>
        </w:rPr>
        <w:t>9</w:t>
      </w:r>
      <w:r>
        <w:rPr>
          <w:rFonts w:hint="eastAsia" w:ascii="宋体" w:hAnsi="宋体"/>
          <w:highlight w:val="none"/>
          <w:u w:val="none"/>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C404E"/>
    <w:rsid w:val="127C4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90" w:afterLines="0" w:afterAutospacing="0" w:line="240" w:lineRule="auto"/>
      <w:outlineLvl w:val="0"/>
    </w:pPr>
    <w:rPr>
      <w:rFonts w:ascii="Calibri" w:hAnsi="Calibri" w:eastAsia="宋体"/>
      <w:b/>
      <w:kern w:val="44"/>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styleId="4">
    <w:name w:val="Plain Text"/>
    <w:basedOn w:val="1"/>
    <w:next w:val="1"/>
    <w:qFormat/>
    <w:uiPriority w:val="0"/>
    <w:rPr>
      <w:rFonts w:ascii="宋体" w:hAnsi="Courier New"/>
      <w:szCs w:val="20"/>
    </w:rPr>
  </w:style>
  <w:style w:type="paragraph" w:styleId="5">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2020-11-09T07:43:00Z</dcterms:created>
  <dc:creator>zoey</dc:creator>
  <cp:lastModifiedBy>zoey</cp:lastModifiedBy>
  <dcterms:modified xsi:type="dcterms:W3CDTF">2020-11-09T07:45:48Z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