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17"/>
        </w:tabs>
        <w:autoSpaceDE w:val="0"/>
        <w:autoSpaceDN w:val="0"/>
        <w:spacing w:line="360" w:lineRule="auto"/>
        <w:jc w:val="center"/>
        <w:rPr>
          <w:rFonts w:ascii="宋体" w:hAnsi="宋体" w:cs="宋体"/>
          <w:b/>
          <w:color w:val="auto"/>
          <w:sz w:val="18"/>
          <w:szCs w:val="18"/>
        </w:rPr>
      </w:pPr>
    </w:p>
    <w:p>
      <w:pPr>
        <w:pStyle w:val="21"/>
        <w:rPr>
          <w:rFonts w:ascii="宋体" w:hAnsi="宋体" w:cs="宋体"/>
          <w:b/>
          <w:color w:val="auto"/>
          <w:sz w:val="18"/>
          <w:szCs w:val="18"/>
        </w:rPr>
      </w:pPr>
    </w:p>
    <w:p>
      <w:pPr>
        <w:pStyle w:val="21"/>
        <w:rPr>
          <w:rFonts w:ascii="宋体" w:hAnsi="宋体" w:cs="宋体"/>
          <w:b/>
          <w:color w:val="auto"/>
          <w:sz w:val="18"/>
          <w:szCs w:val="18"/>
        </w:rPr>
      </w:pPr>
    </w:p>
    <w:p>
      <w:pPr>
        <w:spacing w:line="400" w:lineRule="exact"/>
        <w:rPr>
          <w:rFonts w:hint="eastAsia" w:ascii="宋体" w:hAnsi="宋体" w:eastAsia="宋体" w:cs="宋体"/>
          <w:b/>
          <w:color w:val="auto"/>
          <w:sz w:val="28"/>
          <w:lang w:eastAsia="zh-CN"/>
        </w:rPr>
      </w:pPr>
      <w:bookmarkStart w:id="0" w:name="_Toc251051295"/>
      <w:bookmarkEnd w:id="0"/>
    </w:p>
    <w:p>
      <w:pPr>
        <w:spacing w:line="400" w:lineRule="exact"/>
        <w:rPr>
          <w:rFonts w:ascii="宋体" w:hAnsi="宋体" w:cs="宋体"/>
          <w:b/>
          <w:color w:val="auto"/>
          <w:sz w:val="40"/>
          <w:szCs w:val="36"/>
        </w:rPr>
      </w:pPr>
    </w:p>
    <w:p>
      <w:pPr>
        <w:spacing w:line="400" w:lineRule="exact"/>
        <w:jc w:val="center"/>
        <w:rPr>
          <w:rFonts w:hint="default" w:ascii="宋体" w:hAnsi="宋体" w:eastAsia="宋体" w:cs="宋体"/>
          <w:b/>
          <w:color w:val="auto"/>
          <w:sz w:val="40"/>
          <w:szCs w:val="36"/>
          <w:lang w:val="en-US" w:eastAsia="zh-CN"/>
        </w:rPr>
      </w:pPr>
      <w:r>
        <w:rPr>
          <w:rFonts w:hint="eastAsia" w:ascii="宋体" w:hAnsi="宋体" w:cs="宋体"/>
          <w:b/>
          <w:color w:val="auto"/>
          <w:sz w:val="40"/>
          <w:szCs w:val="36"/>
          <w:lang w:val="en-US" w:eastAsia="zh-CN"/>
        </w:rPr>
        <w:t>广西天立工程造价咨询有限公司</w:t>
      </w:r>
    </w:p>
    <w:p>
      <w:pPr>
        <w:spacing w:line="600" w:lineRule="exact"/>
        <w:ind w:firstLine="1533" w:firstLineChars="347"/>
        <w:rPr>
          <w:rFonts w:ascii="宋体" w:hAnsi="宋体" w:cs="宋体"/>
          <w:b/>
          <w:color w:val="auto"/>
          <w:sz w:val="44"/>
          <w:szCs w:val="44"/>
        </w:rPr>
      </w:pPr>
    </w:p>
    <w:p>
      <w:pPr>
        <w:autoSpaceDE w:val="0"/>
        <w:autoSpaceDN w:val="0"/>
        <w:jc w:val="center"/>
        <w:rPr>
          <w:rFonts w:ascii="宋体" w:hAnsi="宋体" w:cs="宋体"/>
          <w:b/>
          <w:color w:val="auto"/>
          <w:sz w:val="70"/>
          <w:szCs w:val="70"/>
        </w:rPr>
      </w:pPr>
    </w:p>
    <w:p>
      <w:pPr>
        <w:autoSpaceDE w:val="0"/>
        <w:autoSpaceDN w:val="0"/>
        <w:jc w:val="center"/>
        <w:rPr>
          <w:rFonts w:ascii="宋体" w:hAnsi="宋体" w:cs="宋体"/>
          <w:b/>
          <w:color w:val="auto"/>
          <w:sz w:val="90"/>
        </w:rPr>
      </w:pPr>
      <w:r>
        <w:rPr>
          <w:rFonts w:hint="eastAsia" w:ascii="宋体" w:hAnsi="宋体" w:cs="宋体"/>
          <w:b/>
          <w:color w:val="auto"/>
          <w:sz w:val="70"/>
          <w:szCs w:val="70"/>
        </w:rPr>
        <w:t>公开招标文件</w:t>
      </w:r>
    </w:p>
    <w:p>
      <w:pPr>
        <w:spacing w:line="400" w:lineRule="exact"/>
        <w:jc w:val="center"/>
        <w:rPr>
          <w:rFonts w:ascii="宋体" w:hAnsi="宋体" w:cs="宋体"/>
          <w:b/>
          <w:color w:val="auto"/>
          <w:sz w:val="32"/>
          <w:szCs w:val="32"/>
        </w:rPr>
      </w:pPr>
    </w:p>
    <w:p>
      <w:pPr>
        <w:pStyle w:val="29"/>
        <w:spacing w:line="400" w:lineRule="exact"/>
        <w:jc w:val="center"/>
        <w:rPr>
          <w:rFonts w:hAnsi="宋体" w:cs="宋体"/>
          <w:b/>
          <w:color w:val="auto"/>
          <w:sz w:val="32"/>
          <w:szCs w:val="32"/>
        </w:rPr>
      </w:pPr>
    </w:p>
    <w:p>
      <w:pPr>
        <w:pStyle w:val="29"/>
        <w:spacing w:line="400" w:lineRule="exact"/>
        <w:jc w:val="center"/>
        <w:rPr>
          <w:rFonts w:hAnsi="宋体" w:cs="宋体"/>
          <w:b/>
          <w:color w:val="auto"/>
          <w:sz w:val="32"/>
          <w:szCs w:val="32"/>
        </w:rPr>
      </w:pPr>
    </w:p>
    <w:p>
      <w:pPr>
        <w:pStyle w:val="29"/>
        <w:spacing w:line="400" w:lineRule="exact"/>
        <w:jc w:val="center"/>
        <w:rPr>
          <w:rFonts w:hAnsi="宋体" w:cs="宋体"/>
          <w:b/>
          <w:color w:val="auto"/>
          <w:sz w:val="32"/>
          <w:szCs w:val="32"/>
        </w:rPr>
      </w:pPr>
    </w:p>
    <w:p>
      <w:pPr>
        <w:pStyle w:val="29"/>
        <w:spacing w:line="400" w:lineRule="exact"/>
        <w:ind w:left="3639" w:leftChars="1064" w:hanging="1405" w:hangingChars="500"/>
        <w:rPr>
          <w:rFonts w:hint="eastAsia" w:hAnsi="宋体" w:eastAsia="宋体" w:cs="宋体"/>
          <w:b/>
          <w:color w:val="auto"/>
          <w:sz w:val="28"/>
          <w:szCs w:val="28"/>
          <w:lang w:eastAsia="zh-CN"/>
        </w:rPr>
      </w:pPr>
      <w:r>
        <w:rPr>
          <w:rFonts w:hint="eastAsia" w:hAnsi="宋体" w:cs="宋体"/>
          <w:b/>
          <w:color w:val="auto"/>
          <w:sz w:val="28"/>
          <w:szCs w:val="28"/>
        </w:rPr>
        <w:t>项目名称</w:t>
      </w:r>
      <w:bookmarkStart w:id="1" w:name="_Toc251051298"/>
      <w:r>
        <w:rPr>
          <w:rFonts w:hint="eastAsia" w:hAnsi="宋体" w:cs="宋体"/>
          <w:b/>
          <w:color w:val="auto"/>
          <w:sz w:val="28"/>
          <w:szCs w:val="28"/>
        </w:rPr>
        <w:t>：</w:t>
      </w:r>
      <w:r>
        <w:rPr>
          <w:rFonts w:hint="eastAsia" w:hAnsi="宋体" w:cs="宋体"/>
          <w:b/>
          <w:color w:val="auto"/>
          <w:sz w:val="28"/>
          <w:szCs w:val="28"/>
          <w:lang w:eastAsia="zh-CN"/>
        </w:rPr>
        <w:t>富川瑶族自治县民族医医院整体搬迁建设项目-病床等设备采购</w:t>
      </w:r>
    </w:p>
    <w:p>
      <w:pPr>
        <w:spacing w:line="400" w:lineRule="exact"/>
        <w:ind w:firstLine="562" w:firstLineChars="200"/>
        <w:rPr>
          <w:rFonts w:ascii="宋体" w:hAnsi="宋体" w:cs="宋体"/>
          <w:b/>
          <w:color w:val="auto"/>
          <w:sz w:val="28"/>
          <w:szCs w:val="28"/>
        </w:rPr>
      </w:pPr>
    </w:p>
    <w:p>
      <w:pPr>
        <w:pStyle w:val="29"/>
        <w:spacing w:line="400" w:lineRule="exact"/>
        <w:ind w:firstLine="2223" w:firstLineChars="791"/>
        <w:rPr>
          <w:rFonts w:hint="eastAsia" w:hAnsi="宋体" w:eastAsia="宋体" w:cs="宋体"/>
          <w:b/>
          <w:color w:val="auto"/>
          <w:sz w:val="28"/>
          <w:szCs w:val="28"/>
          <w:lang w:eastAsia="zh-CN"/>
        </w:rPr>
      </w:pPr>
      <w:r>
        <w:rPr>
          <w:rFonts w:hint="eastAsia" w:hAnsi="宋体" w:cs="宋体"/>
          <w:b/>
          <w:color w:val="auto"/>
          <w:sz w:val="28"/>
          <w:szCs w:val="28"/>
        </w:rPr>
        <w:t>项目编号：</w:t>
      </w:r>
      <w:bookmarkEnd w:id="1"/>
      <w:r>
        <w:rPr>
          <w:rFonts w:hint="eastAsia" w:hAnsi="宋体" w:cs="宋体"/>
          <w:b/>
          <w:color w:val="auto"/>
          <w:sz w:val="28"/>
          <w:szCs w:val="28"/>
          <w:lang w:eastAsia="zh-CN"/>
        </w:rPr>
        <w:t xml:space="preserve"> FCZC2020-G1-230233-TLZJ</w:t>
      </w:r>
    </w:p>
    <w:p>
      <w:pPr>
        <w:spacing w:line="400" w:lineRule="exact"/>
        <w:jc w:val="center"/>
        <w:rPr>
          <w:rFonts w:ascii="宋体" w:hAnsi="宋体" w:cs="宋体"/>
          <w:b/>
          <w:color w:val="auto"/>
          <w:sz w:val="28"/>
          <w:szCs w:val="28"/>
        </w:rPr>
      </w:pPr>
    </w:p>
    <w:p>
      <w:pPr>
        <w:spacing w:line="400" w:lineRule="exact"/>
        <w:jc w:val="center"/>
        <w:rPr>
          <w:rFonts w:ascii="宋体" w:hAnsi="宋体" w:cs="宋体"/>
          <w:b/>
          <w:color w:val="auto"/>
          <w:sz w:val="28"/>
          <w:szCs w:val="28"/>
        </w:rPr>
      </w:pPr>
    </w:p>
    <w:p>
      <w:pPr>
        <w:spacing w:line="400" w:lineRule="exact"/>
        <w:ind w:firstLine="551" w:firstLineChars="196"/>
        <w:rPr>
          <w:rFonts w:ascii="宋体" w:hAnsi="宋体" w:cs="宋体"/>
          <w:b/>
          <w:color w:val="auto"/>
          <w:sz w:val="28"/>
          <w:szCs w:val="28"/>
          <w:u w:val="double"/>
        </w:rPr>
      </w:pPr>
    </w:p>
    <w:p>
      <w:pPr>
        <w:spacing w:line="400" w:lineRule="exact"/>
        <w:jc w:val="left"/>
        <w:rPr>
          <w:rFonts w:ascii="宋体" w:hAnsi="宋体" w:cs="宋体"/>
          <w:bCs/>
          <w:color w:val="auto"/>
          <w:sz w:val="28"/>
          <w:szCs w:val="28"/>
          <w:u w:val="double"/>
        </w:rPr>
      </w:pPr>
      <w:r>
        <w:rPr>
          <w:rFonts w:ascii="宋体" w:hAnsi="宋体" w:cs="宋体"/>
          <w:color w:val="auto"/>
          <w:sz w:val="28"/>
          <w:szCs w:val="28"/>
        </w:rPr>
        <w:pict>
          <v:line id="Line 24" o:spid="_x0000_s1029" o:spt="20" style="position:absolute;left:0pt;margin-left:44.65pt;margin-top:2pt;height:2.25pt;width:434.25pt;z-index:251656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">
            <v:path arrowok="t"/>
            <v:fill focussize="0,0"/>
            <v:stroke/>
            <v:imagedata o:title=""/>
            <o:lock v:ext="edit"/>
          </v:line>
        </w:pict>
      </w:r>
      <w:r>
        <w:rPr>
          <w:rFonts w:ascii="宋体" w:hAnsi="宋体" w:cs="宋体"/>
          <w:color w:val="auto"/>
          <w:sz w:val="28"/>
          <w:szCs w:val="28"/>
        </w:rPr>
        <w:pict>
          <v:line id="Line 25" o:spid="_x0000_s1028" o:spt="20" style="position:absolute;left:0pt;margin-left:44.05pt;margin-top:6.5pt;height:2.25pt;width:435.6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">
            <v:path arrowok="t"/>
            <v:fill focussize="0,0"/>
            <v:stroke/>
            <v:imagedata o:title=""/>
            <o:lock v:ext="edit"/>
          </v:line>
        </w:pict>
      </w:r>
    </w:p>
    <w:p>
      <w:pPr>
        <w:spacing w:line="400" w:lineRule="exact"/>
        <w:ind w:firstLine="1687" w:firstLineChars="600"/>
        <w:rPr>
          <w:rFonts w:hint="eastAsia" w:ascii="宋体" w:hAnsi="宋体" w:eastAsia="宋体" w:cs="宋体"/>
          <w:color w:val="auto"/>
          <w:sz w:val="28"/>
          <w:szCs w:val="28"/>
          <w:lang w:eastAsia="zh-CN"/>
        </w:rPr>
      </w:pPr>
      <w:bookmarkStart w:id="2" w:name="_Toc251051300"/>
      <w:r>
        <w:rPr>
          <w:rFonts w:hint="eastAsia" w:ascii="宋体" w:hAnsi="宋体" w:cs="宋体"/>
          <w:b/>
          <w:bCs/>
          <w:color w:val="auto"/>
          <w:sz w:val="28"/>
          <w:szCs w:val="28"/>
        </w:rPr>
        <w:t>招标单位:</w:t>
      </w:r>
      <w:bookmarkEnd w:id="2"/>
      <w:bookmarkStart w:id="3" w:name="_Toc251051301"/>
      <w:r>
        <w:rPr>
          <w:rFonts w:hint="eastAsia" w:ascii="宋体" w:hAnsi="宋体" w:cs="宋体"/>
          <w:b/>
          <w:bCs/>
          <w:color w:val="auto"/>
          <w:sz w:val="28"/>
          <w:szCs w:val="28"/>
          <w:lang w:eastAsia="zh-CN"/>
        </w:rPr>
        <w:t xml:space="preserve"> 富川瑶族自治县民族医医院</w:t>
      </w:r>
    </w:p>
    <w:p>
      <w:pPr>
        <w:spacing w:line="400" w:lineRule="exact"/>
        <w:ind w:firstLine="1687" w:firstLineChars="600"/>
        <w:rPr>
          <w:rFonts w:hint="eastAsia" w:ascii="宋体" w:hAnsi="宋体" w:eastAsia="宋体" w:cs="宋体"/>
          <w:b/>
          <w:bCs/>
          <w:color w:val="auto"/>
          <w:sz w:val="28"/>
          <w:szCs w:val="28"/>
          <w:lang w:eastAsia="zh-CN"/>
        </w:rPr>
      </w:pPr>
      <w:r>
        <w:rPr>
          <w:rFonts w:hint="eastAsia" w:ascii="宋体" w:hAnsi="宋体" w:cs="宋体"/>
          <w:b/>
          <w:bCs/>
          <w:color w:val="auto"/>
          <w:sz w:val="28"/>
          <w:szCs w:val="28"/>
        </w:rPr>
        <w:t>招标代理机构:</w:t>
      </w:r>
      <w:bookmarkEnd w:id="3"/>
      <w:r>
        <w:rPr>
          <w:rFonts w:hint="eastAsia" w:ascii="宋体" w:hAnsi="宋体" w:cs="宋体"/>
          <w:b/>
          <w:bCs/>
          <w:color w:val="auto"/>
          <w:sz w:val="28"/>
          <w:szCs w:val="28"/>
          <w:lang w:eastAsia="zh-CN"/>
        </w:rPr>
        <w:t xml:space="preserve"> 广西天立工程造价咨询有限公司</w:t>
      </w:r>
    </w:p>
    <w:p>
      <w:pPr>
        <w:spacing w:line="400" w:lineRule="exact"/>
        <w:rPr>
          <w:rFonts w:ascii="宋体" w:hAnsi="宋体" w:cs="宋体"/>
          <w:b/>
          <w:bCs/>
          <w:color w:val="auto"/>
          <w:sz w:val="28"/>
          <w:szCs w:val="28"/>
        </w:rPr>
      </w:pPr>
      <w:r>
        <w:rPr>
          <w:rFonts w:hint="eastAsia" w:ascii="宋体" w:hAnsi="宋体" w:cs="宋体"/>
          <w:b/>
          <w:bCs/>
          <w:color w:val="auto"/>
          <w:sz w:val="28"/>
          <w:szCs w:val="28"/>
        </w:rPr>
        <w:t xml:space="preserve">            发布日期：2020年</w:t>
      </w:r>
      <w:r>
        <w:rPr>
          <w:rFonts w:hint="eastAsia" w:ascii="宋体" w:hAnsi="宋体" w:cs="宋体"/>
          <w:b/>
          <w:bCs/>
          <w:color w:val="auto"/>
          <w:sz w:val="28"/>
          <w:szCs w:val="28"/>
          <w:lang w:val="en-US" w:eastAsia="zh-CN"/>
        </w:rPr>
        <w:t>10</w:t>
      </w:r>
      <w:r>
        <w:rPr>
          <w:rFonts w:hint="eastAsia" w:ascii="宋体" w:hAnsi="宋体" w:cs="宋体"/>
          <w:b/>
          <w:bCs/>
          <w:color w:val="auto"/>
          <w:sz w:val="28"/>
          <w:szCs w:val="28"/>
        </w:rPr>
        <w:t>月</w:t>
      </w:r>
    </w:p>
    <w:p>
      <w:pPr>
        <w:pStyle w:val="29"/>
        <w:spacing w:line="400" w:lineRule="exact"/>
        <w:jc w:val="center"/>
        <w:rPr>
          <w:rFonts w:hAnsi="宋体" w:cs="宋体"/>
          <w:b/>
          <w:color w:val="auto"/>
          <w:sz w:val="44"/>
        </w:rPr>
        <w:sectPr>
          <w:headerReference r:id="rId3" w:type="default"/>
          <w:footerReference r:id="rId5" w:type="default"/>
          <w:headerReference r:id="rId4" w:type="even"/>
          <w:footerReference r:id="rId6" w:type="even"/>
          <w:type w:val="evenPage"/>
          <w:pgSz w:w="11906" w:h="16838"/>
          <w:pgMar w:top="1134" w:right="1062" w:bottom="1134" w:left="964" w:header="851" w:footer="992" w:gutter="0"/>
          <w:pgNumType w:start="1"/>
          <w:cols w:space="720" w:num="1"/>
          <w:titlePg/>
          <w:docGrid w:type="lines" w:linePitch="312" w:charSpace="0"/>
        </w:sectPr>
      </w:pPr>
    </w:p>
    <w:p>
      <w:pPr>
        <w:pStyle w:val="29"/>
        <w:jc w:val="center"/>
        <w:rPr>
          <w:rFonts w:hAnsi="宋体" w:cs="宋体"/>
          <w:b/>
          <w:color w:val="auto"/>
          <w:sz w:val="44"/>
        </w:rPr>
      </w:pPr>
      <w:r>
        <w:rPr>
          <w:rFonts w:hint="eastAsia" w:hAnsi="宋体" w:cs="宋体"/>
          <w:b/>
          <w:color w:val="auto"/>
          <w:sz w:val="44"/>
        </w:rPr>
        <w:t>目 录</w:t>
      </w:r>
    </w:p>
    <w:p>
      <w:pPr>
        <w:pStyle w:val="29"/>
        <w:spacing w:line="400" w:lineRule="exact"/>
        <w:jc w:val="center"/>
        <w:rPr>
          <w:rFonts w:hAnsi="宋体" w:cs="宋体"/>
          <w:color w:val="auto"/>
        </w:rPr>
      </w:pPr>
    </w:p>
    <w:p>
      <w:pPr>
        <w:pStyle w:val="37"/>
        <w:tabs>
          <w:tab w:val="right" w:leader="dot" w:pos="9412"/>
        </w:tabs>
      </w:pPr>
      <w:r>
        <w:rPr>
          <w:rFonts w:hint="eastAsia" w:ascii="宋体" w:hAnsi="宋体" w:cs="宋体"/>
          <w:b w:val="0"/>
          <w:color w:val="auto"/>
          <w:sz w:val="21"/>
          <w:szCs w:val="21"/>
        </w:rPr>
        <w:fldChar w:fldCharType="begin"/>
      </w:r>
      <w:r>
        <w:rPr>
          <w:rFonts w:hint="eastAsia" w:ascii="宋体" w:hAnsi="宋体" w:cs="宋体"/>
          <w:b w:val="0"/>
          <w:color w:val="auto"/>
          <w:sz w:val="21"/>
          <w:szCs w:val="21"/>
        </w:rPr>
        <w:instrText xml:space="preserve"> TOC \o "1-3" \h \z \u </w:instrText>
      </w:r>
      <w:r>
        <w:rPr>
          <w:rFonts w:hint="eastAsia" w:ascii="宋体" w:hAnsi="宋体" w:cs="宋体"/>
          <w:b w:val="0"/>
          <w:color w:val="auto"/>
          <w:sz w:val="21"/>
          <w:szCs w:val="21"/>
        </w:rPr>
        <w:fldChar w:fldCharType="separate"/>
      </w:r>
      <w:r>
        <w:rPr>
          <w:rFonts w:hint="eastAsia" w:ascii="宋体" w:hAnsi="宋体" w:cs="宋体"/>
          <w:color w:val="auto"/>
          <w:szCs w:val="21"/>
        </w:rPr>
        <w:fldChar w:fldCharType="begin"/>
      </w:r>
      <w:r>
        <w:rPr>
          <w:rFonts w:hint="eastAsia" w:ascii="宋体" w:hAnsi="宋体" w:cs="宋体"/>
          <w:szCs w:val="21"/>
        </w:rPr>
        <w:instrText xml:space="preserve"> HYPERLINK \l _Toc18931 </w:instrText>
      </w:r>
      <w:r>
        <w:rPr>
          <w:rFonts w:hint="eastAsia" w:ascii="宋体" w:hAnsi="宋体" w:cs="宋体"/>
          <w:szCs w:val="21"/>
        </w:rPr>
        <w:fldChar w:fldCharType="separate"/>
      </w:r>
      <w:r>
        <w:rPr>
          <w:rFonts w:hint="eastAsia" w:ascii="宋体" w:hAnsi="宋体" w:cs="宋体"/>
          <w:szCs w:val="44"/>
        </w:rPr>
        <w:t>第一章  招标公告</w:t>
      </w:r>
      <w:r>
        <w:tab/>
      </w:r>
      <w:r>
        <w:fldChar w:fldCharType="begin"/>
      </w:r>
      <w:r>
        <w:instrText xml:space="preserve"> PAGEREF _Toc18931 </w:instrText>
      </w:r>
      <w:r>
        <w:fldChar w:fldCharType="separate"/>
      </w:r>
      <w:r>
        <w:t>1</w:t>
      </w:r>
      <w:r>
        <w:fldChar w:fldCharType="end"/>
      </w:r>
      <w:r>
        <w:rPr>
          <w:rFonts w:hint="eastAsia" w:ascii="宋体" w:hAnsi="宋体" w:cs="宋体"/>
          <w:color w:val="auto"/>
          <w:szCs w:val="21"/>
        </w:rPr>
        <w:fldChar w:fldCharType="end"/>
      </w:r>
    </w:p>
    <w:p>
      <w:pPr>
        <w:pStyle w:val="43"/>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_Toc28541 </w:instrText>
      </w:r>
      <w:r>
        <w:rPr>
          <w:rFonts w:hint="eastAsia" w:ascii="宋体" w:hAnsi="宋体" w:cs="宋体"/>
          <w:szCs w:val="21"/>
        </w:rPr>
        <w:fldChar w:fldCharType="separate"/>
      </w:r>
      <w:r>
        <w:rPr>
          <w:rFonts w:hint="eastAsia" w:ascii="宋体" w:hAnsi="宋体" w:eastAsia="宋体" w:cs="宋体"/>
          <w:szCs w:val="21"/>
          <w:lang w:val="en-US" w:eastAsia="zh-CN"/>
        </w:rPr>
        <w:t>2.</w:t>
      </w:r>
      <w:r>
        <w:rPr>
          <w:rFonts w:hint="eastAsia" w:ascii="宋体" w:hAnsi="宋体" w:eastAsia="宋体" w:cs="宋体"/>
          <w:szCs w:val="21"/>
        </w:rPr>
        <w:t>扶持中小企业政策：评审时小型和微型企业产品的价格给予</w:t>
      </w:r>
      <w:r>
        <w:rPr>
          <w:rFonts w:hint="eastAsia" w:ascii="宋体" w:hAnsi="宋体" w:eastAsia="宋体" w:cs="宋体"/>
          <w:szCs w:val="21"/>
          <w:lang w:val="en-US" w:eastAsia="zh-CN"/>
        </w:rPr>
        <w:t>10</w:t>
      </w:r>
      <w:r>
        <w:rPr>
          <w:rFonts w:hint="eastAsia" w:ascii="宋体" w:hAnsi="宋体" w:eastAsia="宋体" w:cs="宋体"/>
          <w:szCs w:val="21"/>
        </w:rPr>
        <w:t>%的扣除。监狱企业、残疾人福利性单位视同小型和微型企业，其产品在评审时给予相同的价格扣除。</w:t>
      </w:r>
      <w:r>
        <w:tab/>
      </w:r>
      <w:r>
        <w:fldChar w:fldCharType="begin"/>
      </w:r>
      <w:r>
        <w:instrText xml:space="preserve"> PAGEREF _Toc28541 </w:instrText>
      </w:r>
      <w:r>
        <w:fldChar w:fldCharType="separate"/>
      </w:r>
      <w:r>
        <w:t>3</w:t>
      </w:r>
      <w:r>
        <w:fldChar w:fldCharType="end"/>
      </w:r>
      <w:r>
        <w:rPr>
          <w:rFonts w:hint="eastAsia" w:ascii="宋体" w:hAnsi="宋体" w:cs="宋体"/>
          <w:color w:val="auto"/>
          <w:szCs w:val="21"/>
        </w:rPr>
        <w:fldChar w:fldCharType="end"/>
      </w:r>
    </w:p>
    <w:p>
      <w:pPr>
        <w:pStyle w:val="37"/>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_Toc31806 </w:instrText>
      </w:r>
      <w:r>
        <w:rPr>
          <w:rFonts w:hint="eastAsia" w:ascii="宋体" w:hAnsi="宋体" w:cs="宋体"/>
          <w:szCs w:val="21"/>
        </w:rPr>
        <w:fldChar w:fldCharType="separate"/>
      </w:r>
      <w:r>
        <w:rPr>
          <w:rFonts w:hint="eastAsia" w:ascii="宋体" w:hAnsi="宋体" w:cs="宋体"/>
          <w:szCs w:val="44"/>
        </w:rPr>
        <w:t>第二章  投标人须知</w:t>
      </w:r>
      <w:r>
        <w:tab/>
      </w:r>
      <w:r>
        <w:fldChar w:fldCharType="begin"/>
      </w:r>
      <w:r>
        <w:instrText xml:space="preserve"> PAGEREF _Toc31806 </w:instrText>
      </w:r>
      <w:r>
        <w:fldChar w:fldCharType="separate"/>
      </w:r>
      <w:r>
        <w:t>4</w:t>
      </w:r>
      <w:r>
        <w:fldChar w:fldCharType="end"/>
      </w:r>
      <w:r>
        <w:rPr>
          <w:rFonts w:hint="eastAsia" w:ascii="宋体" w:hAnsi="宋体" w:cs="宋体"/>
          <w:color w:val="auto"/>
          <w:szCs w:val="21"/>
        </w:rPr>
        <w:fldChar w:fldCharType="end"/>
      </w:r>
    </w:p>
    <w:p>
      <w:pPr>
        <w:pStyle w:val="28"/>
        <w:tabs>
          <w:tab w:val="right" w:leader="dot" w:pos="9412"/>
        </w:tabs>
        <w:rPr>
          <w:rFonts w:hint="eastAsia" w:ascii="宋体" w:hAnsi="宋体" w:eastAsia="宋体" w:cs="宋体"/>
          <w:i w:val="0"/>
          <w:iCs w:val="0"/>
          <w:smallCaps/>
          <w:kern w:val="2"/>
          <w:sz w:val="20"/>
          <w:szCs w:val="21"/>
          <w:lang w:val="en-US" w:eastAsia="zh-CN" w:bidi="ar-SA"/>
        </w:rPr>
      </w:pP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HYPERLINK \l _Toc14666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（一）总则</w:t>
      </w:r>
      <w:r>
        <w:rPr>
          <w:rFonts w:hint="eastAsia" w:ascii="宋体" w:hAnsi="宋体" w:eastAsia="宋体" w:cs="宋体"/>
          <w:i w:val="0"/>
          <w:iCs w:val="0"/>
          <w:smallCaps/>
          <w:kern w:val="2"/>
          <w:sz w:val="20"/>
          <w:szCs w:val="21"/>
          <w:lang w:val="en-US" w:eastAsia="zh-CN" w:bidi="ar-SA"/>
        </w:rPr>
        <w:tab/>
      </w: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PAGEREF _Toc14666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7</w:t>
      </w:r>
      <w:r>
        <w:rPr>
          <w:rFonts w:hint="eastAsia" w:ascii="宋体" w:hAnsi="宋体" w:eastAsia="宋体" w:cs="宋体"/>
          <w:i w:val="0"/>
          <w:iCs w:val="0"/>
          <w:smallCaps/>
          <w:kern w:val="2"/>
          <w:sz w:val="20"/>
          <w:szCs w:val="21"/>
          <w:lang w:val="en-US" w:eastAsia="zh-CN" w:bidi="ar-SA"/>
        </w:rPr>
        <w:fldChar w:fldCharType="end"/>
      </w:r>
      <w:r>
        <w:rPr>
          <w:rFonts w:hint="eastAsia" w:ascii="宋体" w:hAnsi="宋体" w:eastAsia="宋体" w:cs="宋体"/>
          <w:i w:val="0"/>
          <w:iCs w:val="0"/>
          <w:smallCaps/>
          <w:kern w:val="2"/>
          <w:sz w:val="20"/>
          <w:szCs w:val="21"/>
          <w:lang w:val="en-US" w:eastAsia="zh-CN" w:bidi="ar-SA"/>
        </w:rPr>
        <w:fldChar w:fldCharType="end"/>
      </w:r>
    </w:p>
    <w:p>
      <w:pPr>
        <w:pStyle w:val="28"/>
        <w:tabs>
          <w:tab w:val="right" w:leader="dot" w:pos="9412"/>
        </w:tabs>
        <w:rPr>
          <w:rFonts w:hint="eastAsia" w:ascii="宋体" w:hAnsi="宋体" w:eastAsia="宋体" w:cs="宋体"/>
          <w:i w:val="0"/>
          <w:iCs w:val="0"/>
          <w:smallCaps/>
          <w:kern w:val="2"/>
          <w:sz w:val="20"/>
          <w:szCs w:val="21"/>
          <w:lang w:val="en-US" w:eastAsia="zh-CN" w:bidi="ar-SA"/>
        </w:rPr>
      </w:pP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HYPERLINK \l _Toc1512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（二）招标文件</w:t>
      </w:r>
      <w:r>
        <w:rPr>
          <w:rFonts w:hint="eastAsia" w:ascii="宋体" w:hAnsi="宋体" w:eastAsia="宋体" w:cs="宋体"/>
          <w:i w:val="0"/>
          <w:iCs w:val="0"/>
          <w:smallCaps/>
          <w:kern w:val="2"/>
          <w:sz w:val="20"/>
          <w:szCs w:val="21"/>
          <w:lang w:val="en-US" w:eastAsia="zh-CN" w:bidi="ar-SA"/>
        </w:rPr>
        <w:tab/>
      </w: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PAGEREF _Toc1512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8</w:t>
      </w:r>
      <w:r>
        <w:rPr>
          <w:rFonts w:hint="eastAsia" w:ascii="宋体" w:hAnsi="宋体" w:eastAsia="宋体" w:cs="宋体"/>
          <w:i w:val="0"/>
          <w:iCs w:val="0"/>
          <w:smallCaps/>
          <w:kern w:val="2"/>
          <w:sz w:val="20"/>
          <w:szCs w:val="21"/>
          <w:lang w:val="en-US" w:eastAsia="zh-CN" w:bidi="ar-SA"/>
        </w:rPr>
        <w:fldChar w:fldCharType="end"/>
      </w:r>
      <w:r>
        <w:rPr>
          <w:rFonts w:hint="eastAsia" w:ascii="宋体" w:hAnsi="宋体" w:eastAsia="宋体" w:cs="宋体"/>
          <w:i w:val="0"/>
          <w:iCs w:val="0"/>
          <w:smallCaps/>
          <w:kern w:val="2"/>
          <w:sz w:val="20"/>
          <w:szCs w:val="21"/>
          <w:lang w:val="en-US" w:eastAsia="zh-CN" w:bidi="ar-SA"/>
        </w:rPr>
        <w:fldChar w:fldCharType="end"/>
      </w:r>
    </w:p>
    <w:p>
      <w:pPr>
        <w:pStyle w:val="28"/>
        <w:tabs>
          <w:tab w:val="right" w:leader="dot" w:pos="9412"/>
        </w:tabs>
        <w:rPr>
          <w:rFonts w:hint="eastAsia" w:ascii="宋体" w:hAnsi="宋体" w:eastAsia="宋体" w:cs="宋体"/>
          <w:i w:val="0"/>
          <w:iCs w:val="0"/>
          <w:smallCaps/>
          <w:kern w:val="2"/>
          <w:sz w:val="20"/>
          <w:szCs w:val="21"/>
          <w:lang w:val="en-US" w:eastAsia="zh-CN" w:bidi="ar-SA"/>
        </w:rPr>
      </w:pP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HYPERLINK \l _Toc19387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（三）投标文件的编制</w:t>
      </w:r>
      <w:r>
        <w:rPr>
          <w:rFonts w:hint="eastAsia" w:ascii="宋体" w:hAnsi="宋体" w:eastAsia="宋体" w:cs="宋体"/>
          <w:i w:val="0"/>
          <w:iCs w:val="0"/>
          <w:smallCaps/>
          <w:kern w:val="2"/>
          <w:sz w:val="20"/>
          <w:szCs w:val="21"/>
          <w:lang w:val="en-US" w:eastAsia="zh-CN" w:bidi="ar-SA"/>
        </w:rPr>
        <w:tab/>
      </w: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PAGEREF _Toc19387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9</w:t>
      </w:r>
      <w:r>
        <w:rPr>
          <w:rFonts w:hint="eastAsia" w:ascii="宋体" w:hAnsi="宋体" w:eastAsia="宋体" w:cs="宋体"/>
          <w:i w:val="0"/>
          <w:iCs w:val="0"/>
          <w:smallCaps/>
          <w:kern w:val="2"/>
          <w:sz w:val="20"/>
          <w:szCs w:val="21"/>
          <w:lang w:val="en-US" w:eastAsia="zh-CN" w:bidi="ar-SA"/>
        </w:rPr>
        <w:fldChar w:fldCharType="end"/>
      </w:r>
      <w:r>
        <w:rPr>
          <w:rFonts w:hint="eastAsia" w:ascii="宋体" w:hAnsi="宋体" w:eastAsia="宋体" w:cs="宋体"/>
          <w:i w:val="0"/>
          <w:iCs w:val="0"/>
          <w:smallCaps/>
          <w:kern w:val="2"/>
          <w:sz w:val="20"/>
          <w:szCs w:val="21"/>
          <w:lang w:val="en-US" w:eastAsia="zh-CN" w:bidi="ar-SA"/>
        </w:rPr>
        <w:fldChar w:fldCharType="end"/>
      </w:r>
    </w:p>
    <w:p>
      <w:pPr>
        <w:pStyle w:val="28"/>
        <w:tabs>
          <w:tab w:val="right" w:leader="dot" w:pos="9412"/>
        </w:tabs>
        <w:rPr>
          <w:rFonts w:hint="eastAsia" w:ascii="宋体" w:hAnsi="宋体" w:eastAsia="宋体" w:cs="宋体"/>
          <w:i w:val="0"/>
          <w:iCs w:val="0"/>
          <w:smallCaps/>
          <w:kern w:val="2"/>
          <w:sz w:val="20"/>
          <w:szCs w:val="21"/>
          <w:lang w:val="en-US" w:eastAsia="zh-CN" w:bidi="ar-SA"/>
        </w:rPr>
      </w:pP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HYPERLINK \l _Toc4715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（四）开标</w:t>
      </w:r>
      <w:r>
        <w:rPr>
          <w:rFonts w:hint="eastAsia" w:ascii="宋体" w:hAnsi="宋体" w:eastAsia="宋体" w:cs="宋体"/>
          <w:i w:val="0"/>
          <w:iCs w:val="0"/>
          <w:smallCaps/>
          <w:kern w:val="2"/>
          <w:sz w:val="20"/>
          <w:szCs w:val="21"/>
          <w:lang w:val="en-US" w:eastAsia="zh-CN" w:bidi="ar-SA"/>
        </w:rPr>
        <w:tab/>
      </w: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PAGEREF _Toc4715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14</w:t>
      </w:r>
      <w:r>
        <w:rPr>
          <w:rFonts w:hint="eastAsia" w:ascii="宋体" w:hAnsi="宋体" w:eastAsia="宋体" w:cs="宋体"/>
          <w:i w:val="0"/>
          <w:iCs w:val="0"/>
          <w:smallCaps/>
          <w:kern w:val="2"/>
          <w:sz w:val="20"/>
          <w:szCs w:val="21"/>
          <w:lang w:val="en-US" w:eastAsia="zh-CN" w:bidi="ar-SA"/>
        </w:rPr>
        <w:fldChar w:fldCharType="end"/>
      </w:r>
      <w:r>
        <w:rPr>
          <w:rFonts w:hint="eastAsia" w:ascii="宋体" w:hAnsi="宋体" w:eastAsia="宋体" w:cs="宋体"/>
          <w:i w:val="0"/>
          <w:iCs w:val="0"/>
          <w:smallCaps/>
          <w:kern w:val="2"/>
          <w:sz w:val="20"/>
          <w:szCs w:val="21"/>
          <w:lang w:val="en-US" w:eastAsia="zh-CN" w:bidi="ar-SA"/>
        </w:rPr>
        <w:fldChar w:fldCharType="end"/>
      </w:r>
    </w:p>
    <w:p>
      <w:pPr>
        <w:pStyle w:val="28"/>
        <w:tabs>
          <w:tab w:val="right" w:leader="dot" w:pos="9412"/>
        </w:tabs>
        <w:rPr>
          <w:rFonts w:hint="eastAsia" w:ascii="宋体" w:hAnsi="宋体" w:eastAsia="宋体" w:cs="宋体"/>
          <w:i w:val="0"/>
          <w:iCs w:val="0"/>
          <w:smallCaps/>
          <w:kern w:val="2"/>
          <w:sz w:val="20"/>
          <w:szCs w:val="21"/>
          <w:lang w:val="en-US" w:eastAsia="zh-CN" w:bidi="ar-SA"/>
        </w:rPr>
      </w:pP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HYPERLINK \l _Toc25680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（五）资格审查</w:t>
      </w:r>
      <w:r>
        <w:rPr>
          <w:rFonts w:hint="eastAsia" w:ascii="宋体" w:hAnsi="宋体" w:eastAsia="宋体" w:cs="宋体"/>
          <w:i w:val="0"/>
          <w:iCs w:val="0"/>
          <w:smallCaps/>
          <w:kern w:val="2"/>
          <w:sz w:val="20"/>
          <w:szCs w:val="21"/>
          <w:lang w:val="en-US" w:eastAsia="zh-CN" w:bidi="ar-SA"/>
        </w:rPr>
        <w:tab/>
      </w: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PAGEREF _Toc25680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14</w:t>
      </w:r>
      <w:r>
        <w:rPr>
          <w:rFonts w:hint="eastAsia" w:ascii="宋体" w:hAnsi="宋体" w:eastAsia="宋体" w:cs="宋体"/>
          <w:i w:val="0"/>
          <w:iCs w:val="0"/>
          <w:smallCaps/>
          <w:kern w:val="2"/>
          <w:sz w:val="20"/>
          <w:szCs w:val="21"/>
          <w:lang w:val="en-US" w:eastAsia="zh-CN" w:bidi="ar-SA"/>
        </w:rPr>
        <w:fldChar w:fldCharType="end"/>
      </w:r>
      <w:r>
        <w:rPr>
          <w:rFonts w:hint="eastAsia" w:ascii="宋体" w:hAnsi="宋体" w:eastAsia="宋体" w:cs="宋体"/>
          <w:i w:val="0"/>
          <w:iCs w:val="0"/>
          <w:smallCaps/>
          <w:kern w:val="2"/>
          <w:sz w:val="20"/>
          <w:szCs w:val="21"/>
          <w:lang w:val="en-US" w:eastAsia="zh-CN" w:bidi="ar-SA"/>
        </w:rPr>
        <w:fldChar w:fldCharType="end"/>
      </w:r>
    </w:p>
    <w:p>
      <w:pPr>
        <w:pStyle w:val="28"/>
        <w:tabs>
          <w:tab w:val="right" w:leader="dot" w:pos="9412"/>
        </w:tabs>
        <w:rPr>
          <w:rFonts w:hint="eastAsia" w:ascii="宋体" w:hAnsi="宋体" w:eastAsia="宋体" w:cs="宋体"/>
          <w:i w:val="0"/>
          <w:iCs w:val="0"/>
          <w:smallCaps/>
          <w:kern w:val="2"/>
          <w:sz w:val="20"/>
          <w:szCs w:val="21"/>
          <w:lang w:val="en-US" w:eastAsia="zh-CN" w:bidi="ar-SA"/>
        </w:rPr>
      </w:pP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HYPERLINK \l _Toc29042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（六）评标</w:t>
      </w:r>
      <w:r>
        <w:rPr>
          <w:rFonts w:hint="eastAsia" w:ascii="宋体" w:hAnsi="宋体" w:eastAsia="宋体" w:cs="宋体"/>
          <w:i w:val="0"/>
          <w:iCs w:val="0"/>
          <w:smallCaps/>
          <w:kern w:val="2"/>
          <w:sz w:val="20"/>
          <w:szCs w:val="21"/>
          <w:lang w:val="en-US" w:eastAsia="zh-CN" w:bidi="ar-SA"/>
        </w:rPr>
        <w:tab/>
      </w: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PAGEREF _Toc29042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15</w:t>
      </w:r>
      <w:r>
        <w:rPr>
          <w:rFonts w:hint="eastAsia" w:ascii="宋体" w:hAnsi="宋体" w:eastAsia="宋体" w:cs="宋体"/>
          <w:i w:val="0"/>
          <w:iCs w:val="0"/>
          <w:smallCaps/>
          <w:kern w:val="2"/>
          <w:sz w:val="20"/>
          <w:szCs w:val="21"/>
          <w:lang w:val="en-US" w:eastAsia="zh-CN" w:bidi="ar-SA"/>
        </w:rPr>
        <w:fldChar w:fldCharType="end"/>
      </w:r>
      <w:r>
        <w:rPr>
          <w:rFonts w:hint="eastAsia" w:ascii="宋体" w:hAnsi="宋体" w:eastAsia="宋体" w:cs="宋体"/>
          <w:i w:val="0"/>
          <w:iCs w:val="0"/>
          <w:smallCaps/>
          <w:kern w:val="2"/>
          <w:sz w:val="20"/>
          <w:szCs w:val="21"/>
          <w:lang w:val="en-US" w:eastAsia="zh-CN" w:bidi="ar-SA"/>
        </w:rPr>
        <w:fldChar w:fldCharType="end"/>
      </w:r>
    </w:p>
    <w:p>
      <w:pPr>
        <w:pStyle w:val="28"/>
        <w:tabs>
          <w:tab w:val="right" w:leader="dot" w:pos="9412"/>
        </w:tabs>
        <w:rPr>
          <w:rFonts w:hint="eastAsia" w:ascii="宋体" w:hAnsi="宋体" w:eastAsia="宋体" w:cs="宋体"/>
          <w:i w:val="0"/>
          <w:iCs w:val="0"/>
          <w:smallCaps/>
          <w:kern w:val="2"/>
          <w:sz w:val="20"/>
          <w:szCs w:val="21"/>
          <w:lang w:val="en-US" w:eastAsia="zh-CN" w:bidi="ar-SA"/>
        </w:rPr>
      </w:pP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HYPERLINK \l _Toc9101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（七）评标结果</w:t>
      </w:r>
      <w:r>
        <w:rPr>
          <w:rFonts w:hint="eastAsia" w:ascii="宋体" w:hAnsi="宋体" w:eastAsia="宋体" w:cs="宋体"/>
          <w:i w:val="0"/>
          <w:iCs w:val="0"/>
          <w:smallCaps/>
          <w:kern w:val="2"/>
          <w:sz w:val="20"/>
          <w:szCs w:val="21"/>
          <w:lang w:val="en-US" w:eastAsia="zh-CN" w:bidi="ar-SA"/>
        </w:rPr>
        <w:tab/>
      </w: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PAGEREF _Toc9101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16</w:t>
      </w:r>
      <w:r>
        <w:rPr>
          <w:rFonts w:hint="eastAsia" w:ascii="宋体" w:hAnsi="宋体" w:eastAsia="宋体" w:cs="宋体"/>
          <w:i w:val="0"/>
          <w:iCs w:val="0"/>
          <w:smallCaps/>
          <w:kern w:val="2"/>
          <w:sz w:val="20"/>
          <w:szCs w:val="21"/>
          <w:lang w:val="en-US" w:eastAsia="zh-CN" w:bidi="ar-SA"/>
        </w:rPr>
        <w:fldChar w:fldCharType="end"/>
      </w:r>
      <w:r>
        <w:rPr>
          <w:rFonts w:hint="eastAsia" w:ascii="宋体" w:hAnsi="宋体" w:eastAsia="宋体" w:cs="宋体"/>
          <w:i w:val="0"/>
          <w:iCs w:val="0"/>
          <w:smallCaps/>
          <w:kern w:val="2"/>
          <w:sz w:val="20"/>
          <w:szCs w:val="21"/>
          <w:lang w:val="en-US" w:eastAsia="zh-CN" w:bidi="ar-SA"/>
        </w:rPr>
        <w:fldChar w:fldCharType="end"/>
      </w:r>
    </w:p>
    <w:p>
      <w:pPr>
        <w:pStyle w:val="28"/>
        <w:tabs>
          <w:tab w:val="right" w:leader="dot" w:pos="9412"/>
        </w:tabs>
        <w:rPr>
          <w:rFonts w:hint="eastAsia" w:ascii="宋体" w:hAnsi="宋体" w:eastAsia="宋体" w:cs="宋体"/>
          <w:i w:val="0"/>
          <w:iCs w:val="0"/>
          <w:smallCaps/>
          <w:kern w:val="2"/>
          <w:sz w:val="20"/>
          <w:szCs w:val="21"/>
          <w:lang w:val="en-US" w:eastAsia="zh-CN" w:bidi="ar-SA"/>
        </w:rPr>
      </w:pP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HYPERLINK \l _Toc6890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（八）签订合同</w:t>
      </w:r>
      <w:r>
        <w:rPr>
          <w:rFonts w:hint="eastAsia" w:ascii="宋体" w:hAnsi="宋体" w:eastAsia="宋体" w:cs="宋体"/>
          <w:i w:val="0"/>
          <w:iCs w:val="0"/>
          <w:smallCaps/>
          <w:kern w:val="2"/>
          <w:sz w:val="20"/>
          <w:szCs w:val="21"/>
          <w:lang w:val="en-US" w:eastAsia="zh-CN" w:bidi="ar-SA"/>
        </w:rPr>
        <w:tab/>
      </w: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PAGEREF _Toc6890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16</w:t>
      </w:r>
      <w:r>
        <w:rPr>
          <w:rFonts w:hint="eastAsia" w:ascii="宋体" w:hAnsi="宋体" w:eastAsia="宋体" w:cs="宋体"/>
          <w:i w:val="0"/>
          <w:iCs w:val="0"/>
          <w:smallCaps/>
          <w:kern w:val="2"/>
          <w:sz w:val="20"/>
          <w:szCs w:val="21"/>
          <w:lang w:val="en-US" w:eastAsia="zh-CN" w:bidi="ar-SA"/>
        </w:rPr>
        <w:fldChar w:fldCharType="end"/>
      </w:r>
      <w:r>
        <w:rPr>
          <w:rFonts w:hint="eastAsia" w:ascii="宋体" w:hAnsi="宋体" w:eastAsia="宋体" w:cs="宋体"/>
          <w:i w:val="0"/>
          <w:iCs w:val="0"/>
          <w:smallCaps/>
          <w:kern w:val="2"/>
          <w:sz w:val="20"/>
          <w:szCs w:val="21"/>
          <w:lang w:val="en-US" w:eastAsia="zh-CN" w:bidi="ar-SA"/>
        </w:rPr>
        <w:fldChar w:fldCharType="end"/>
      </w:r>
    </w:p>
    <w:p>
      <w:pPr>
        <w:pStyle w:val="28"/>
        <w:tabs>
          <w:tab w:val="right" w:leader="dot" w:pos="9412"/>
        </w:tabs>
      </w:pP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HYPERLINK \l _Toc32059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（九）其他事项</w:t>
      </w:r>
      <w:r>
        <w:rPr>
          <w:rFonts w:hint="eastAsia" w:ascii="宋体" w:hAnsi="宋体" w:eastAsia="宋体" w:cs="宋体"/>
          <w:i w:val="0"/>
          <w:iCs w:val="0"/>
          <w:smallCaps/>
          <w:kern w:val="2"/>
          <w:sz w:val="20"/>
          <w:szCs w:val="21"/>
          <w:lang w:val="en-US" w:eastAsia="zh-CN" w:bidi="ar-SA"/>
        </w:rPr>
        <w:tab/>
      </w: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PAGEREF _Toc32059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17</w:t>
      </w:r>
      <w:r>
        <w:rPr>
          <w:rFonts w:hint="eastAsia" w:ascii="宋体" w:hAnsi="宋体" w:eastAsia="宋体" w:cs="宋体"/>
          <w:i w:val="0"/>
          <w:iCs w:val="0"/>
          <w:smallCaps/>
          <w:kern w:val="2"/>
          <w:sz w:val="20"/>
          <w:szCs w:val="21"/>
          <w:lang w:val="en-US" w:eastAsia="zh-CN" w:bidi="ar-SA"/>
        </w:rPr>
        <w:fldChar w:fldCharType="end"/>
      </w:r>
      <w:r>
        <w:rPr>
          <w:rFonts w:hint="eastAsia" w:ascii="宋体" w:hAnsi="宋体" w:eastAsia="宋体" w:cs="宋体"/>
          <w:i w:val="0"/>
          <w:iCs w:val="0"/>
          <w:smallCaps/>
          <w:kern w:val="2"/>
          <w:sz w:val="20"/>
          <w:szCs w:val="21"/>
          <w:lang w:val="en-US" w:eastAsia="zh-CN" w:bidi="ar-SA"/>
        </w:rPr>
        <w:fldChar w:fldCharType="end"/>
      </w:r>
    </w:p>
    <w:p>
      <w:pPr>
        <w:pStyle w:val="37"/>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_Toc26818 </w:instrText>
      </w:r>
      <w:r>
        <w:rPr>
          <w:rFonts w:hint="eastAsia" w:ascii="宋体" w:hAnsi="宋体" w:cs="宋体"/>
          <w:szCs w:val="21"/>
        </w:rPr>
        <w:fldChar w:fldCharType="separate"/>
      </w:r>
      <w:r>
        <w:rPr>
          <w:rFonts w:hint="eastAsia" w:ascii="宋体" w:hAnsi="宋体" w:cs="宋体"/>
          <w:szCs w:val="44"/>
        </w:rPr>
        <w:t>第三章  采购需求和说明</w:t>
      </w:r>
      <w:r>
        <w:tab/>
      </w:r>
      <w:r>
        <w:fldChar w:fldCharType="begin"/>
      </w:r>
      <w:r>
        <w:instrText xml:space="preserve"> PAGEREF _Toc26818 </w:instrText>
      </w:r>
      <w:r>
        <w:fldChar w:fldCharType="separate"/>
      </w:r>
      <w:r>
        <w:t>20</w:t>
      </w:r>
      <w:r>
        <w:fldChar w:fldCharType="end"/>
      </w:r>
      <w:r>
        <w:rPr>
          <w:rFonts w:hint="eastAsia" w:ascii="宋体" w:hAnsi="宋体" w:cs="宋体"/>
          <w:color w:val="auto"/>
          <w:szCs w:val="21"/>
        </w:rPr>
        <w:fldChar w:fldCharType="end"/>
      </w:r>
    </w:p>
    <w:p>
      <w:pPr>
        <w:pStyle w:val="43"/>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_Toc27564 </w:instrText>
      </w:r>
      <w:r>
        <w:rPr>
          <w:rFonts w:hint="eastAsia" w:ascii="宋体" w:hAnsi="宋体" w:cs="宋体"/>
          <w:szCs w:val="21"/>
        </w:rPr>
        <w:fldChar w:fldCharType="separate"/>
      </w:r>
      <w:r>
        <w:rPr>
          <w:rFonts w:hint="eastAsia" w:ascii="宋体" w:hAnsi="宋体" w:cs="宋体"/>
        </w:rPr>
        <w:t>项目需求一览表</w:t>
      </w:r>
      <w:r>
        <w:tab/>
      </w:r>
      <w:r>
        <w:fldChar w:fldCharType="begin"/>
      </w:r>
      <w:r>
        <w:instrText xml:space="preserve"> PAGEREF _Toc27564 </w:instrText>
      </w:r>
      <w:r>
        <w:fldChar w:fldCharType="separate"/>
      </w:r>
      <w:r>
        <w:t>21</w:t>
      </w:r>
      <w:r>
        <w:fldChar w:fldCharType="end"/>
      </w:r>
      <w:r>
        <w:rPr>
          <w:rFonts w:hint="eastAsia" w:ascii="宋体" w:hAnsi="宋体" w:cs="宋体"/>
          <w:color w:val="auto"/>
          <w:szCs w:val="21"/>
        </w:rPr>
        <w:fldChar w:fldCharType="end"/>
      </w:r>
    </w:p>
    <w:p>
      <w:pPr>
        <w:pStyle w:val="37"/>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_Toc23452 </w:instrText>
      </w:r>
      <w:r>
        <w:rPr>
          <w:rFonts w:hint="eastAsia" w:ascii="宋体" w:hAnsi="宋体" w:cs="宋体"/>
          <w:szCs w:val="21"/>
        </w:rPr>
        <w:fldChar w:fldCharType="separate"/>
      </w:r>
      <w:r>
        <w:rPr>
          <w:rFonts w:hint="eastAsia" w:ascii="宋体" w:hAnsi="宋体" w:cs="宋体"/>
        </w:rPr>
        <w:t>第四章  政府采购合同书（格式）</w:t>
      </w:r>
      <w:r>
        <w:tab/>
      </w:r>
      <w:r>
        <w:fldChar w:fldCharType="begin"/>
      </w:r>
      <w:r>
        <w:instrText xml:space="preserve"> PAGEREF _Toc23452 </w:instrText>
      </w:r>
      <w:r>
        <w:fldChar w:fldCharType="separate"/>
      </w:r>
      <w:r>
        <w:t>25</w:t>
      </w:r>
      <w:r>
        <w:fldChar w:fldCharType="end"/>
      </w:r>
      <w:r>
        <w:rPr>
          <w:rFonts w:hint="eastAsia" w:ascii="宋体" w:hAnsi="宋体" w:cs="宋体"/>
          <w:color w:val="auto"/>
          <w:szCs w:val="21"/>
        </w:rPr>
        <w:fldChar w:fldCharType="end"/>
      </w:r>
    </w:p>
    <w:p>
      <w:pPr>
        <w:pStyle w:val="37"/>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_Toc1586 </w:instrText>
      </w:r>
      <w:r>
        <w:rPr>
          <w:rFonts w:hint="eastAsia" w:ascii="宋体" w:hAnsi="宋体" w:cs="宋体"/>
          <w:szCs w:val="21"/>
        </w:rPr>
        <w:fldChar w:fldCharType="separate"/>
      </w:r>
      <w:r>
        <w:rPr>
          <w:rFonts w:hint="eastAsia" w:hAnsi="宋体" w:cs="宋体"/>
        </w:rPr>
        <w:t>广西壮族自治区政府采购合同（格式）</w:t>
      </w:r>
      <w:r>
        <w:tab/>
      </w:r>
      <w:r>
        <w:fldChar w:fldCharType="begin"/>
      </w:r>
      <w:r>
        <w:instrText xml:space="preserve"> PAGEREF _Toc1586 </w:instrText>
      </w:r>
      <w:r>
        <w:fldChar w:fldCharType="separate"/>
      </w:r>
      <w:r>
        <w:t>26</w:t>
      </w:r>
      <w:r>
        <w:fldChar w:fldCharType="end"/>
      </w:r>
      <w:r>
        <w:rPr>
          <w:rFonts w:hint="eastAsia" w:ascii="宋体" w:hAnsi="宋体" w:cs="宋体"/>
          <w:color w:val="auto"/>
          <w:szCs w:val="21"/>
        </w:rPr>
        <w:fldChar w:fldCharType="end"/>
      </w:r>
    </w:p>
    <w:p>
      <w:pPr>
        <w:pStyle w:val="37"/>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_Toc10737 </w:instrText>
      </w:r>
      <w:r>
        <w:rPr>
          <w:rFonts w:hint="eastAsia" w:ascii="宋体" w:hAnsi="宋体" w:cs="宋体"/>
          <w:szCs w:val="21"/>
        </w:rPr>
        <w:fldChar w:fldCharType="separate"/>
      </w:r>
      <w:r>
        <w:rPr>
          <w:rFonts w:hint="eastAsia" w:hAnsi="宋体" w:cs="宋体"/>
          <w:szCs w:val="18"/>
        </w:rPr>
        <w:t>合同编号：</w:t>
      </w:r>
      <w:r>
        <w:tab/>
      </w:r>
      <w:r>
        <w:fldChar w:fldCharType="begin"/>
      </w:r>
      <w:r>
        <w:instrText xml:space="preserve"> PAGEREF _Toc10737 </w:instrText>
      </w:r>
      <w:r>
        <w:fldChar w:fldCharType="separate"/>
      </w:r>
      <w:r>
        <w:t>26</w:t>
      </w:r>
      <w:r>
        <w:fldChar w:fldCharType="end"/>
      </w:r>
      <w:r>
        <w:rPr>
          <w:rFonts w:hint="eastAsia" w:ascii="宋体" w:hAnsi="宋体" w:cs="宋体"/>
          <w:color w:val="auto"/>
          <w:szCs w:val="21"/>
        </w:rPr>
        <w:fldChar w:fldCharType="end"/>
      </w:r>
    </w:p>
    <w:p>
      <w:pPr>
        <w:pStyle w:val="37"/>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_Toc23584 </w:instrText>
      </w:r>
      <w:r>
        <w:rPr>
          <w:rFonts w:hint="eastAsia" w:ascii="宋体" w:hAnsi="宋体" w:cs="宋体"/>
          <w:szCs w:val="21"/>
        </w:rPr>
        <w:fldChar w:fldCharType="separate"/>
      </w:r>
      <w:r>
        <w:rPr>
          <w:rFonts w:hint="eastAsia" w:hAnsi="宋体" w:cs="宋体"/>
        </w:rPr>
        <w:t>招标单位（甲方）： 采购计划号：</w:t>
      </w:r>
      <w:r>
        <w:tab/>
      </w:r>
      <w:r>
        <w:fldChar w:fldCharType="begin"/>
      </w:r>
      <w:r>
        <w:instrText xml:space="preserve"> PAGEREF _Toc23584 </w:instrText>
      </w:r>
      <w:r>
        <w:fldChar w:fldCharType="separate"/>
      </w:r>
      <w:r>
        <w:t>26</w:t>
      </w:r>
      <w:r>
        <w:fldChar w:fldCharType="end"/>
      </w:r>
      <w:r>
        <w:rPr>
          <w:rFonts w:hint="eastAsia" w:ascii="宋体" w:hAnsi="宋体" w:cs="宋体"/>
          <w:color w:val="auto"/>
          <w:szCs w:val="21"/>
        </w:rPr>
        <w:fldChar w:fldCharType="end"/>
      </w:r>
    </w:p>
    <w:p>
      <w:pPr>
        <w:pStyle w:val="37"/>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_Toc5501 </w:instrText>
      </w:r>
      <w:r>
        <w:rPr>
          <w:rFonts w:hint="eastAsia" w:ascii="宋体" w:hAnsi="宋体" w:cs="宋体"/>
          <w:szCs w:val="21"/>
        </w:rPr>
        <w:fldChar w:fldCharType="separate"/>
      </w:r>
      <w:r>
        <w:rPr>
          <w:rFonts w:hint="eastAsia" w:hAnsi="宋体" w:cs="宋体"/>
        </w:rPr>
        <w:t>供应商（乙方）：</w:t>
      </w:r>
      <w:r>
        <w:tab/>
      </w:r>
      <w:r>
        <w:fldChar w:fldCharType="begin"/>
      </w:r>
      <w:r>
        <w:instrText xml:space="preserve"> PAGEREF _Toc5501 </w:instrText>
      </w:r>
      <w:r>
        <w:fldChar w:fldCharType="separate"/>
      </w:r>
      <w:r>
        <w:t>26</w:t>
      </w:r>
      <w:r>
        <w:fldChar w:fldCharType="end"/>
      </w:r>
      <w:r>
        <w:rPr>
          <w:rFonts w:hint="eastAsia" w:ascii="宋体" w:hAnsi="宋体" w:cs="宋体"/>
          <w:color w:val="auto"/>
          <w:szCs w:val="21"/>
        </w:rPr>
        <w:fldChar w:fldCharType="end"/>
      </w:r>
    </w:p>
    <w:p>
      <w:pPr>
        <w:pStyle w:val="37"/>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_Toc16661 </w:instrText>
      </w:r>
      <w:r>
        <w:rPr>
          <w:rFonts w:hint="eastAsia" w:ascii="宋体" w:hAnsi="宋体" w:cs="宋体"/>
          <w:szCs w:val="21"/>
        </w:rPr>
        <w:fldChar w:fldCharType="separate"/>
      </w:r>
      <w:r>
        <w:rPr>
          <w:rFonts w:hint="eastAsia" w:hAnsi="宋体" w:cs="宋体"/>
        </w:rPr>
        <w:t>项目名称、</w:t>
      </w:r>
      <w:r>
        <w:tab/>
      </w:r>
      <w:r>
        <w:fldChar w:fldCharType="begin"/>
      </w:r>
      <w:r>
        <w:instrText xml:space="preserve"> PAGEREF _Toc16661 </w:instrText>
      </w:r>
      <w:r>
        <w:fldChar w:fldCharType="separate"/>
      </w:r>
      <w:r>
        <w:t>26</w:t>
      </w:r>
      <w:r>
        <w:fldChar w:fldCharType="end"/>
      </w:r>
      <w:r>
        <w:rPr>
          <w:rFonts w:hint="eastAsia" w:ascii="宋体" w:hAnsi="宋体" w:cs="宋体"/>
          <w:color w:val="auto"/>
          <w:szCs w:val="21"/>
        </w:rPr>
        <w:fldChar w:fldCharType="end"/>
      </w:r>
    </w:p>
    <w:p>
      <w:pPr>
        <w:pStyle w:val="37"/>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_Toc8433 </w:instrText>
      </w:r>
      <w:r>
        <w:rPr>
          <w:rFonts w:hint="eastAsia" w:ascii="宋体" w:hAnsi="宋体" w:cs="宋体"/>
          <w:szCs w:val="21"/>
        </w:rPr>
        <w:fldChar w:fldCharType="separate"/>
      </w:r>
      <w:r>
        <w:rPr>
          <w:rFonts w:hint="eastAsia" w:hAnsi="宋体" w:cs="宋体"/>
          <w:lang w:val="en-US" w:eastAsia="zh-CN"/>
        </w:rPr>
        <w:t>项目</w:t>
      </w:r>
      <w:r>
        <w:rPr>
          <w:rFonts w:hint="eastAsia" w:hAnsi="宋体" w:cs="宋体"/>
        </w:rPr>
        <w:t>编号、</w:t>
      </w:r>
      <w:r>
        <w:tab/>
      </w:r>
      <w:r>
        <w:fldChar w:fldCharType="begin"/>
      </w:r>
      <w:r>
        <w:instrText xml:space="preserve"> PAGEREF _Toc8433 </w:instrText>
      </w:r>
      <w:r>
        <w:fldChar w:fldCharType="separate"/>
      </w:r>
      <w:r>
        <w:t>26</w:t>
      </w:r>
      <w:r>
        <w:fldChar w:fldCharType="end"/>
      </w:r>
      <w:r>
        <w:rPr>
          <w:rFonts w:hint="eastAsia" w:ascii="宋体" w:hAnsi="宋体" w:cs="宋体"/>
          <w:color w:val="auto"/>
          <w:szCs w:val="21"/>
        </w:rPr>
        <w:fldChar w:fldCharType="end"/>
      </w:r>
    </w:p>
    <w:p>
      <w:pPr>
        <w:pStyle w:val="37"/>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_Toc23649 </w:instrText>
      </w:r>
      <w:r>
        <w:rPr>
          <w:rFonts w:hint="eastAsia" w:ascii="宋体" w:hAnsi="宋体" w:cs="宋体"/>
          <w:szCs w:val="21"/>
        </w:rPr>
        <w:fldChar w:fldCharType="separate"/>
      </w:r>
      <w:r>
        <w:rPr>
          <w:rFonts w:hint="eastAsia" w:hAnsi="宋体" w:cs="宋体"/>
        </w:rPr>
        <w:t>签订地点：</w:t>
      </w:r>
      <w:r>
        <w:tab/>
      </w:r>
      <w:r>
        <w:fldChar w:fldCharType="begin"/>
      </w:r>
      <w:r>
        <w:instrText xml:space="preserve"> PAGEREF _Toc23649 </w:instrText>
      </w:r>
      <w:r>
        <w:fldChar w:fldCharType="separate"/>
      </w:r>
      <w:r>
        <w:t>26</w:t>
      </w:r>
      <w:r>
        <w:fldChar w:fldCharType="end"/>
      </w:r>
      <w:r>
        <w:rPr>
          <w:rFonts w:hint="eastAsia" w:ascii="宋体" w:hAnsi="宋体" w:cs="宋体"/>
          <w:color w:val="auto"/>
          <w:szCs w:val="21"/>
        </w:rPr>
        <w:fldChar w:fldCharType="end"/>
      </w:r>
    </w:p>
    <w:p>
      <w:pPr>
        <w:pStyle w:val="37"/>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_Toc20533 </w:instrText>
      </w:r>
      <w:r>
        <w:rPr>
          <w:rFonts w:hint="eastAsia" w:ascii="宋体" w:hAnsi="宋体" w:cs="宋体"/>
          <w:szCs w:val="21"/>
        </w:rPr>
        <w:fldChar w:fldCharType="separate"/>
      </w:r>
      <w:r>
        <w:rPr>
          <w:rFonts w:hint="eastAsia" w:hAnsi="宋体" w:cs="宋体"/>
        </w:rPr>
        <w:t>签订时间：</w:t>
      </w:r>
      <w:r>
        <w:tab/>
      </w:r>
      <w:r>
        <w:fldChar w:fldCharType="begin"/>
      </w:r>
      <w:r>
        <w:instrText xml:space="preserve"> PAGEREF _Toc20533 </w:instrText>
      </w:r>
      <w:r>
        <w:fldChar w:fldCharType="separate"/>
      </w:r>
      <w:r>
        <w:t>26</w:t>
      </w:r>
      <w:r>
        <w:fldChar w:fldCharType="end"/>
      </w:r>
      <w:r>
        <w:rPr>
          <w:rFonts w:hint="eastAsia" w:ascii="宋体" w:hAnsi="宋体" w:cs="宋体"/>
          <w:color w:val="auto"/>
          <w:szCs w:val="21"/>
        </w:rPr>
        <w:fldChar w:fldCharType="end"/>
      </w:r>
    </w:p>
    <w:p>
      <w:pPr>
        <w:pStyle w:val="37"/>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_Toc7359 </w:instrText>
      </w:r>
      <w:r>
        <w:rPr>
          <w:rFonts w:hint="eastAsia" w:ascii="宋体" w:hAnsi="宋体" w:cs="宋体"/>
          <w:szCs w:val="21"/>
        </w:rPr>
        <w:fldChar w:fldCharType="separate"/>
      </w:r>
      <w:r>
        <w:rPr>
          <w:rFonts w:hint="eastAsia" w:hAnsi="宋体" w:cs="宋体"/>
        </w:rPr>
        <w:t>根据《中华人民共和国政府采购法》、《中华人民共和国合同法》等法律、法规规定，按照招标文件（采购文件）规定条款和中标（中标）供应商承诺，甲乙双方签订本合同。</w:t>
      </w:r>
      <w:r>
        <w:tab/>
      </w:r>
      <w:r>
        <w:fldChar w:fldCharType="begin"/>
      </w:r>
      <w:r>
        <w:instrText xml:space="preserve"> PAGEREF _Toc7359 </w:instrText>
      </w:r>
      <w:r>
        <w:fldChar w:fldCharType="separate"/>
      </w:r>
      <w:r>
        <w:t>26</w:t>
      </w:r>
      <w:r>
        <w:fldChar w:fldCharType="end"/>
      </w:r>
      <w:r>
        <w:rPr>
          <w:rFonts w:hint="eastAsia" w:ascii="宋体" w:hAnsi="宋体" w:cs="宋体"/>
          <w:color w:val="auto"/>
          <w:szCs w:val="21"/>
        </w:rPr>
        <w:fldChar w:fldCharType="end"/>
      </w:r>
    </w:p>
    <w:p>
      <w:pPr>
        <w:pStyle w:val="37"/>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_Toc12228 </w:instrText>
      </w:r>
      <w:r>
        <w:rPr>
          <w:rFonts w:hint="eastAsia" w:ascii="宋体" w:hAnsi="宋体" w:cs="宋体"/>
          <w:szCs w:val="21"/>
        </w:rPr>
        <w:fldChar w:fldCharType="separate"/>
      </w:r>
      <w:r>
        <w:rPr>
          <w:rFonts w:hint="eastAsia" w:ascii="宋体" w:hAnsi="宋体" w:cs="宋体"/>
          <w:szCs w:val="44"/>
        </w:rPr>
        <w:t>第五章  投标文件（格式）</w:t>
      </w:r>
      <w:r>
        <w:tab/>
      </w:r>
      <w:r>
        <w:fldChar w:fldCharType="begin"/>
      </w:r>
      <w:r>
        <w:instrText xml:space="preserve"> PAGEREF _Toc12228 </w:instrText>
      </w:r>
      <w:r>
        <w:fldChar w:fldCharType="separate"/>
      </w:r>
      <w:r>
        <w:t>32</w:t>
      </w:r>
      <w:r>
        <w:fldChar w:fldCharType="end"/>
      </w:r>
      <w:r>
        <w:rPr>
          <w:rFonts w:hint="eastAsia" w:ascii="宋体" w:hAnsi="宋体" w:cs="宋体"/>
          <w:color w:val="auto"/>
          <w:szCs w:val="21"/>
        </w:rPr>
        <w:fldChar w:fldCharType="end"/>
      </w:r>
    </w:p>
    <w:p>
      <w:pPr>
        <w:pStyle w:val="43"/>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_Toc31421 </w:instrText>
      </w:r>
      <w:r>
        <w:rPr>
          <w:rFonts w:hint="eastAsia" w:ascii="宋体" w:hAnsi="宋体" w:cs="宋体"/>
          <w:szCs w:val="21"/>
        </w:rPr>
        <w:fldChar w:fldCharType="separate"/>
      </w:r>
      <w:r>
        <w:rPr>
          <w:rFonts w:hint="eastAsia" w:hAnsi="宋体" w:cs="宋体"/>
          <w:bCs/>
          <w:kern w:val="0"/>
          <w:szCs w:val="20"/>
        </w:rPr>
        <w:t>第一部分  开标一览表文件（格式）</w:t>
      </w:r>
      <w:r>
        <w:tab/>
      </w:r>
      <w:r>
        <w:fldChar w:fldCharType="begin"/>
      </w:r>
      <w:r>
        <w:instrText xml:space="preserve"> PAGEREF _Toc31421 </w:instrText>
      </w:r>
      <w:r>
        <w:fldChar w:fldCharType="separate"/>
      </w:r>
      <w:r>
        <w:t>33</w:t>
      </w:r>
      <w:r>
        <w:fldChar w:fldCharType="end"/>
      </w:r>
      <w:r>
        <w:rPr>
          <w:rFonts w:hint="eastAsia" w:ascii="宋体" w:hAnsi="宋体" w:cs="宋体"/>
          <w:color w:val="auto"/>
          <w:szCs w:val="21"/>
        </w:rPr>
        <w:fldChar w:fldCharType="end"/>
      </w:r>
    </w:p>
    <w:p>
      <w:pPr>
        <w:pStyle w:val="28"/>
        <w:tabs>
          <w:tab w:val="right" w:leader="dot" w:pos="9412"/>
        </w:tabs>
        <w:rPr>
          <w:rFonts w:hint="eastAsia" w:ascii="宋体" w:hAnsi="宋体" w:eastAsia="宋体" w:cs="宋体"/>
          <w:i w:val="0"/>
          <w:iCs w:val="0"/>
          <w:smallCaps/>
          <w:kern w:val="2"/>
          <w:sz w:val="20"/>
          <w:szCs w:val="21"/>
          <w:lang w:val="en-US" w:eastAsia="zh-CN" w:bidi="ar-SA"/>
        </w:rPr>
      </w:pP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HYPERLINK \l _Toc1002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（一）外包装封面（格式 ）</w:t>
      </w:r>
      <w:r>
        <w:rPr>
          <w:rFonts w:hint="eastAsia" w:ascii="宋体" w:hAnsi="宋体" w:eastAsia="宋体" w:cs="宋体"/>
          <w:i w:val="0"/>
          <w:iCs w:val="0"/>
          <w:smallCaps/>
          <w:kern w:val="2"/>
          <w:sz w:val="20"/>
          <w:szCs w:val="21"/>
          <w:lang w:val="en-US" w:eastAsia="zh-CN" w:bidi="ar-SA"/>
        </w:rPr>
        <w:tab/>
      </w: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PAGEREF _Toc1002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33</w:t>
      </w:r>
      <w:r>
        <w:rPr>
          <w:rFonts w:hint="eastAsia" w:ascii="宋体" w:hAnsi="宋体" w:eastAsia="宋体" w:cs="宋体"/>
          <w:i w:val="0"/>
          <w:iCs w:val="0"/>
          <w:smallCaps/>
          <w:kern w:val="2"/>
          <w:sz w:val="20"/>
          <w:szCs w:val="21"/>
          <w:lang w:val="en-US" w:eastAsia="zh-CN" w:bidi="ar-SA"/>
        </w:rPr>
        <w:fldChar w:fldCharType="end"/>
      </w:r>
      <w:r>
        <w:rPr>
          <w:rFonts w:hint="eastAsia" w:ascii="宋体" w:hAnsi="宋体" w:eastAsia="宋体" w:cs="宋体"/>
          <w:i w:val="0"/>
          <w:iCs w:val="0"/>
          <w:smallCaps/>
          <w:kern w:val="2"/>
          <w:sz w:val="20"/>
          <w:szCs w:val="21"/>
          <w:lang w:val="en-US" w:eastAsia="zh-CN" w:bidi="ar-SA"/>
        </w:rPr>
        <w:fldChar w:fldCharType="end"/>
      </w:r>
    </w:p>
    <w:p>
      <w:pPr>
        <w:pStyle w:val="28"/>
        <w:tabs>
          <w:tab w:val="right" w:leader="dot" w:pos="9412"/>
        </w:tabs>
        <w:rPr>
          <w:rFonts w:hint="eastAsia" w:ascii="宋体" w:hAnsi="宋体" w:eastAsia="宋体" w:cs="宋体"/>
          <w:i w:val="0"/>
          <w:iCs w:val="0"/>
          <w:smallCaps/>
          <w:kern w:val="2"/>
          <w:sz w:val="20"/>
          <w:szCs w:val="21"/>
          <w:lang w:val="en-US" w:eastAsia="zh-CN" w:bidi="ar-SA"/>
        </w:rPr>
      </w:pP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HYPERLINK \l _Toc1928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（二）投标文件（格式）</w:t>
      </w:r>
      <w:r>
        <w:rPr>
          <w:rFonts w:hint="eastAsia" w:ascii="宋体" w:hAnsi="宋体" w:eastAsia="宋体" w:cs="宋体"/>
          <w:i w:val="0"/>
          <w:iCs w:val="0"/>
          <w:smallCaps/>
          <w:kern w:val="2"/>
          <w:sz w:val="20"/>
          <w:szCs w:val="21"/>
          <w:lang w:val="en-US" w:eastAsia="zh-CN" w:bidi="ar-SA"/>
        </w:rPr>
        <w:tab/>
      </w: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PAGEREF _Toc1928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34</w:t>
      </w:r>
      <w:r>
        <w:rPr>
          <w:rFonts w:hint="eastAsia" w:ascii="宋体" w:hAnsi="宋体" w:eastAsia="宋体" w:cs="宋体"/>
          <w:i w:val="0"/>
          <w:iCs w:val="0"/>
          <w:smallCaps/>
          <w:kern w:val="2"/>
          <w:sz w:val="20"/>
          <w:szCs w:val="21"/>
          <w:lang w:val="en-US" w:eastAsia="zh-CN" w:bidi="ar-SA"/>
        </w:rPr>
        <w:fldChar w:fldCharType="end"/>
      </w:r>
      <w:r>
        <w:rPr>
          <w:rFonts w:hint="eastAsia" w:ascii="宋体" w:hAnsi="宋体" w:eastAsia="宋体" w:cs="宋体"/>
          <w:i w:val="0"/>
          <w:iCs w:val="0"/>
          <w:smallCaps/>
          <w:kern w:val="2"/>
          <w:sz w:val="20"/>
          <w:szCs w:val="21"/>
          <w:lang w:val="en-US" w:eastAsia="zh-CN" w:bidi="ar-SA"/>
        </w:rPr>
        <w:fldChar w:fldCharType="end"/>
      </w:r>
    </w:p>
    <w:p>
      <w:pPr>
        <w:pStyle w:val="43"/>
        <w:tabs>
          <w:tab w:val="right" w:leader="dot" w:pos="9412"/>
        </w:tabs>
        <w:rPr>
          <w:rFonts w:hint="eastAsia" w:ascii="宋体" w:hAnsi="宋体" w:eastAsia="宋体" w:cs="宋体"/>
          <w:i w:val="0"/>
          <w:iCs w:val="0"/>
          <w:smallCaps/>
          <w:kern w:val="2"/>
          <w:sz w:val="20"/>
          <w:szCs w:val="21"/>
          <w:lang w:val="en-US" w:eastAsia="zh-CN" w:bidi="ar-SA"/>
        </w:rPr>
      </w:pP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HYPERLINK \l _Toc18155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第二部分  资格文件（格式）</w:t>
      </w:r>
      <w:r>
        <w:rPr>
          <w:rFonts w:hint="eastAsia" w:ascii="宋体" w:hAnsi="宋体" w:eastAsia="宋体" w:cs="宋体"/>
          <w:i w:val="0"/>
          <w:iCs w:val="0"/>
          <w:smallCaps/>
          <w:kern w:val="2"/>
          <w:sz w:val="20"/>
          <w:szCs w:val="21"/>
          <w:lang w:val="en-US" w:eastAsia="zh-CN" w:bidi="ar-SA"/>
        </w:rPr>
        <w:tab/>
      </w: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PAGEREF _Toc18155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35</w:t>
      </w:r>
      <w:r>
        <w:rPr>
          <w:rFonts w:hint="eastAsia" w:ascii="宋体" w:hAnsi="宋体" w:eastAsia="宋体" w:cs="宋体"/>
          <w:i w:val="0"/>
          <w:iCs w:val="0"/>
          <w:smallCaps/>
          <w:kern w:val="2"/>
          <w:sz w:val="20"/>
          <w:szCs w:val="21"/>
          <w:lang w:val="en-US" w:eastAsia="zh-CN" w:bidi="ar-SA"/>
        </w:rPr>
        <w:fldChar w:fldCharType="end"/>
      </w:r>
      <w:r>
        <w:rPr>
          <w:rFonts w:hint="eastAsia" w:ascii="宋体" w:hAnsi="宋体" w:eastAsia="宋体" w:cs="宋体"/>
          <w:i w:val="0"/>
          <w:iCs w:val="0"/>
          <w:smallCaps/>
          <w:kern w:val="2"/>
          <w:sz w:val="20"/>
          <w:szCs w:val="21"/>
          <w:lang w:val="en-US" w:eastAsia="zh-CN" w:bidi="ar-SA"/>
        </w:rPr>
        <w:fldChar w:fldCharType="end"/>
      </w:r>
    </w:p>
    <w:p>
      <w:pPr>
        <w:pStyle w:val="28"/>
        <w:tabs>
          <w:tab w:val="right" w:leader="dot" w:pos="9412"/>
        </w:tabs>
        <w:rPr>
          <w:rFonts w:hint="eastAsia" w:ascii="宋体" w:hAnsi="宋体" w:eastAsia="宋体" w:cs="宋体"/>
          <w:i w:val="0"/>
          <w:iCs w:val="0"/>
          <w:smallCaps/>
          <w:kern w:val="2"/>
          <w:sz w:val="20"/>
          <w:szCs w:val="21"/>
          <w:lang w:val="en-US" w:eastAsia="zh-CN" w:bidi="ar-SA"/>
        </w:rPr>
      </w:pP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HYPERLINK \l _Toc29433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（一）外包装封面（格式 ）</w:t>
      </w:r>
      <w:r>
        <w:rPr>
          <w:rFonts w:hint="eastAsia" w:ascii="宋体" w:hAnsi="宋体" w:eastAsia="宋体" w:cs="宋体"/>
          <w:i w:val="0"/>
          <w:iCs w:val="0"/>
          <w:smallCaps/>
          <w:kern w:val="2"/>
          <w:sz w:val="20"/>
          <w:szCs w:val="21"/>
          <w:lang w:val="en-US" w:eastAsia="zh-CN" w:bidi="ar-SA"/>
        </w:rPr>
        <w:tab/>
      </w: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PAGEREF _Toc29433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35</w:t>
      </w:r>
      <w:r>
        <w:rPr>
          <w:rFonts w:hint="eastAsia" w:ascii="宋体" w:hAnsi="宋体" w:eastAsia="宋体" w:cs="宋体"/>
          <w:i w:val="0"/>
          <w:iCs w:val="0"/>
          <w:smallCaps/>
          <w:kern w:val="2"/>
          <w:sz w:val="20"/>
          <w:szCs w:val="21"/>
          <w:lang w:val="en-US" w:eastAsia="zh-CN" w:bidi="ar-SA"/>
        </w:rPr>
        <w:fldChar w:fldCharType="end"/>
      </w:r>
      <w:r>
        <w:rPr>
          <w:rFonts w:hint="eastAsia" w:ascii="宋体" w:hAnsi="宋体" w:eastAsia="宋体" w:cs="宋体"/>
          <w:i w:val="0"/>
          <w:iCs w:val="0"/>
          <w:smallCaps/>
          <w:kern w:val="2"/>
          <w:sz w:val="20"/>
          <w:szCs w:val="21"/>
          <w:lang w:val="en-US" w:eastAsia="zh-CN" w:bidi="ar-SA"/>
        </w:rPr>
        <w:fldChar w:fldCharType="end"/>
      </w:r>
    </w:p>
    <w:p>
      <w:pPr>
        <w:pStyle w:val="28"/>
        <w:tabs>
          <w:tab w:val="right" w:leader="dot" w:pos="9412"/>
        </w:tabs>
        <w:rPr>
          <w:rFonts w:hint="eastAsia" w:ascii="宋体" w:hAnsi="宋体" w:eastAsia="宋体" w:cs="宋体"/>
          <w:i w:val="0"/>
          <w:iCs w:val="0"/>
          <w:smallCaps/>
          <w:kern w:val="2"/>
          <w:sz w:val="20"/>
          <w:szCs w:val="21"/>
          <w:lang w:val="en-US" w:eastAsia="zh-CN" w:bidi="ar-SA"/>
        </w:rPr>
      </w:pP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HYPERLINK \l _Toc5465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（二）投标文件封面（格式 ）</w:t>
      </w:r>
      <w:r>
        <w:rPr>
          <w:rFonts w:hint="eastAsia" w:ascii="宋体" w:hAnsi="宋体" w:eastAsia="宋体" w:cs="宋体"/>
          <w:i w:val="0"/>
          <w:iCs w:val="0"/>
          <w:smallCaps/>
          <w:kern w:val="2"/>
          <w:sz w:val="20"/>
          <w:szCs w:val="21"/>
          <w:lang w:val="en-US" w:eastAsia="zh-CN" w:bidi="ar-SA"/>
        </w:rPr>
        <w:tab/>
      </w: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PAGEREF _Toc5465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35</w:t>
      </w:r>
      <w:r>
        <w:rPr>
          <w:rFonts w:hint="eastAsia" w:ascii="宋体" w:hAnsi="宋体" w:eastAsia="宋体" w:cs="宋体"/>
          <w:i w:val="0"/>
          <w:iCs w:val="0"/>
          <w:smallCaps/>
          <w:kern w:val="2"/>
          <w:sz w:val="20"/>
          <w:szCs w:val="21"/>
          <w:lang w:val="en-US" w:eastAsia="zh-CN" w:bidi="ar-SA"/>
        </w:rPr>
        <w:fldChar w:fldCharType="end"/>
      </w:r>
      <w:r>
        <w:rPr>
          <w:rFonts w:hint="eastAsia" w:ascii="宋体" w:hAnsi="宋体" w:eastAsia="宋体" w:cs="宋体"/>
          <w:i w:val="0"/>
          <w:iCs w:val="0"/>
          <w:smallCaps/>
          <w:kern w:val="2"/>
          <w:sz w:val="20"/>
          <w:szCs w:val="21"/>
          <w:lang w:val="en-US" w:eastAsia="zh-CN" w:bidi="ar-SA"/>
        </w:rPr>
        <w:fldChar w:fldCharType="end"/>
      </w:r>
    </w:p>
    <w:p>
      <w:pPr>
        <w:pStyle w:val="28"/>
        <w:tabs>
          <w:tab w:val="right" w:leader="dot" w:pos="9412"/>
        </w:tabs>
        <w:rPr>
          <w:rFonts w:hint="eastAsia" w:ascii="宋体" w:hAnsi="宋体" w:eastAsia="宋体" w:cs="宋体"/>
          <w:i w:val="0"/>
          <w:iCs w:val="0"/>
          <w:smallCaps/>
          <w:kern w:val="2"/>
          <w:sz w:val="20"/>
          <w:szCs w:val="21"/>
          <w:lang w:val="en-US" w:eastAsia="zh-CN" w:bidi="ar-SA"/>
        </w:rPr>
      </w:pP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HYPERLINK \l _Toc19214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（三）投标文件（格式）</w:t>
      </w:r>
      <w:r>
        <w:rPr>
          <w:rFonts w:hint="eastAsia" w:ascii="宋体" w:hAnsi="宋体" w:eastAsia="宋体" w:cs="宋体"/>
          <w:i w:val="0"/>
          <w:iCs w:val="0"/>
          <w:smallCaps/>
          <w:kern w:val="2"/>
          <w:sz w:val="20"/>
          <w:szCs w:val="21"/>
          <w:lang w:val="en-US" w:eastAsia="zh-CN" w:bidi="ar-SA"/>
        </w:rPr>
        <w:tab/>
      </w: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PAGEREF _Toc19214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36</w:t>
      </w:r>
      <w:r>
        <w:rPr>
          <w:rFonts w:hint="eastAsia" w:ascii="宋体" w:hAnsi="宋体" w:eastAsia="宋体" w:cs="宋体"/>
          <w:i w:val="0"/>
          <w:iCs w:val="0"/>
          <w:smallCaps/>
          <w:kern w:val="2"/>
          <w:sz w:val="20"/>
          <w:szCs w:val="21"/>
          <w:lang w:val="en-US" w:eastAsia="zh-CN" w:bidi="ar-SA"/>
        </w:rPr>
        <w:fldChar w:fldCharType="end"/>
      </w:r>
      <w:r>
        <w:rPr>
          <w:rFonts w:hint="eastAsia" w:ascii="宋体" w:hAnsi="宋体" w:eastAsia="宋体" w:cs="宋体"/>
          <w:i w:val="0"/>
          <w:iCs w:val="0"/>
          <w:smallCaps/>
          <w:kern w:val="2"/>
          <w:sz w:val="20"/>
          <w:szCs w:val="21"/>
          <w:lang w:val="en-US" w:eastAsia="zh-CN" w:bidi="ar-SA"/>
        </w:rPr>
        <w:fldChar w:fldCharType="end"/>
      </w:r>
    </w:p>
    <w:p>
      <w:pPr>
        <w:pStyle w:val="43"/>
        <w:tabs>
          <w:tab w:val="right" w:leader="dot" w:pos="9412"/>
        </w:tabs>
      </w:pP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HYPERLINK \l _Toc25122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第三部分  报价/商务及技术文件（格式）</w:t>
      </w:r>
      <w:r>
        <w:rPr>
          <w:rFonts w:hint="eastAsia" w:ascii="宋体" w:hAnsi="宋体" w:eastAsia="宋体" w:cs="宋体"/>
          <w:i w:val="0"/>
          <w:iCs w:val="0"/>
          <w:smallCaps/>
          <w:kern w:val="2"/>
          <w:sz w:val="20"/>
          <w:szCs w:val="21"/>
          <w:lang w:val="en-US" w:eastAsia="zh-CN" w:bidi="ar-SA"/>
        </w:rPr>
        <w:tab/>
      </w: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PAGEREF _Toc25122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38</w:t>
      </w:r>
      <w:r>
        <w:rPr>
          <w:rFonts w:hint="eastAsia" w:ascii="宋体" w:hAnsi="宋体" w:eastAsia="宋体" w:cs="宋体"/>
          <w:i w:val="0"/>
          <w:iCs w:val="0"/>
          <w:smallCaps/>
          <w:kern w:val="2"/>
          <w:sz w:val="20"/>
          <w:szCs w:val="21"/>
          <w:lang w:val="en-US" w:eastAsia="zh-CN" w:bidi="ar-SA"/>
        </w:rPr>
        <w:fldChar w:fldCharType="end"/>
      </w:r>
      <w:r>
        <w:rPr>
          <w:rFonts w:hint="eastAsia" w:ascii="宋体" w:hAnsi="宋体" w:eastAsia="宋体" w:cs="宋体"/>
          <w:i w:val="0"/>
          <w:iCs w:val="0"/>
          <w:smallCaps/>
          <w:kern w:val="2"/>
          <w:sz w:val="20"/>
          <w:szCs w:val="21"/>
          <w:lang w:val="en-US" w:eastAsia="zh-CN" w:bidi="ar-SA"/>
        </w:rPr>
        <w:fldChar w:fldCharType="end"/>
      </w:r>
    </w:p>
    <w:p>
      <w:pPr>
        <w:pStyle w:val="28"/>
        <w:tabs>
          <w:tab w:val="right" w:leader="dot" w:pos="9412"/>
        </w:tabs>
        <w:rPr>
          <w:rFonts w:hint="eastAsia" w:ascii="宋体" w:hAnsi="宋体" w:eastAsia="宋体" w:cs="宋体"/>
          <w:i w:val="0"/>
          <w:iCs w:val="0"/>
          <w:smallCaps/>
          <w:kern w:val="2"/>
          <w:sz w:val="20"/>
          <w:szCs w:val="21"/>
          <w:lang w:val="en-US" w:eastAsia="zh-CN" w:bidi="ar-SA"/>
        </w:rPr>
      </w:pP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HYPERLINK \l _Toc2107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（一）外包装封面（格式 ）</w:t>
      </w:r>
      <w:r>
        <w:rPr>
          <w:rFonts w:hint="eastAsia" w:ascii="宋体" w:hAnsi="宋体" w:eastAsia="宋体" w:cs="宋体"/>
          <w:i w:val="0"/>
          <w:iCs w:val="0"/>
          <w:smallCaps/>
          <w:kern w:val="2"/>
          <w:sz w:val="20"/>
          <w:szCs w:val="21"/>
          <w:lang w:val="en-US" w:eastAsia="zh-CN" w:bidi="ar-SA"/>
        </w:rPr>
        <w:tab/>
      </w: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PAGEREF _Toc2107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38</w:t>
      </w:r>
      <w:r>
        <w:rPr>
          <w:rFonts w:hint="eastAsia" w:ascii="宋体" w:hAnsi="宋体" w:eastAsia="宋体" w:cs="宋体"/>
          <w:i w:val="0"/>
          <w:iCs w:val="0"/>
          <w:smallCaps/>
          <w:kern w:val="2"/>
          <w:sz w:val="20"/>
          <w:szCs w:val="21"/>
          <w:lang w:val="en-US" w:eastAsia="zh-CN" w:bidi="ar-SA"/>
        </w:rPr>
        <w:fldChar w:fldCharType="end"/>
      </w:r>
      <w:r>
        <w:rPr>
          <w:rFonts w:hint="eastAsia" w:ascii="宋体" w:hAnsi="宋体" w:eastAsia="宋体" w:cs="宋体"/>
          <w:i w:val="0"/>
          <w:iCs w:val="0"/>
          <w:smallCaps/>
          <w:kern w:val="2"/>
          <w:sz w:val="20"/>
          <w:szCs w:val="21"/>
          <w:lang w:val="en-US" w:eastAsia="zh-CN" w:bidi="ar-SA"/>
        </w:rPr>
        <w:fldChar w:fldCharType="end"/>
      </w:r>
    </w:p>
    <w:p>
      <w:pPr>
        <w:pStyle w:val="28"/>
        <w:tabs>
          <w:tab w:val="right" w:leader="dot" w:pos="9412"/>
        </w:tabs>
        <w:rPr>
          <w:rFonts w:hint="eastAsia" w:ascii="宋体" w:hAnsi="宋体" w:eastAsia="宋体" w:cs="宋体"/>
          <w:i w:val="0"/>
          <w:iCs w:val="0"/>
          <w:smallCaps/>
          <w:kern w:val="2"/>
          <w:sz w:val="20"/>
          <w:szCs w:val="21"/>
          <w:lang w:val="en-US" w:eastAsia="zh-CN" w:bidi="ar-SA"/>
        </w:rPr>
      </w:pP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HYPERLINK \l _Toc22565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（二）投标文件封面（格式 ）</w:t>
      </w:r>
      <w:r>
        <w:rPr>
          <w:rFonts w:hint="eastAsia" w:ascii="宋体" w:hAnsi="宋体" w:eastAsia="宋体" w:cs="宋体"/>
          <w:i w:val="0"/>
          <w:iCs w:val="0"/>
          <w:smallCaps/>
          <w:kern w:val="2"/>
          <w:sz w:val="20"/>
          <w:szCs w:val="21"/>
          <w:lang w:val="en-US" w:eastAsia="zh-CN" w:bidi="ar-SA"/>
        </w:rPr>
        <w:tab/>
      </w: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PAGEREF _Toc22565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38</w:t>
      </w:r>
      <w:r>
        <w:rPr>
          <w:rFonts w:hint="eastAsia" w:ascii="宋体" w:hAnsi="宋体" w:eastAsia="宋体" w:cs="宋体"/>
          <w:i w:val="0"/>
          <w:iCs w:val="0"/>
          <w:smallCaps/>
          <w:kern w:val="2"/>
          <w:sz w:val="20"/>
          <w:szCs w:val="21"/>
          <w:lang w:val="en-US" w:eastAsia="zh-CN" w:bidi="ar-SA"/>
        </w:rPr>
        <w:fldChar w:fldCharType="end"/>
      </w:r>
      <w:r>
        <w:rPr>
          <w:rFonts w:hint="eastAsia" w:ascii="宋体" w:hAnsi="宋体" w:eastAsia="宋体" w:cs="宋体"/>
          <w:i w:val="0"/>
          <w:iCs w:val="0"/>
          <w:smallCaps/>
          <w:kern w:val="2"/>
          <w:sz w:val="20"/>
          <w:szCs w:val="21"/>
          <w:lang w:val="en-US" w:eastAsia="zh-CN" w:bidi="ar-SA"/>
        </w:rPr>
        <w:fldChar w:fldCharType="end"/>
      </w:r>
    </w:p>
    <w:p>
      <w:pPr>
        <w:pStyle w:val="28"/>
        <w:tabs>
          <w:tab w:val="right" w:leader="dot" w:pos="9412"/>
        </w:tabs>
      </w:pP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HYPERLINK \l _Toc21814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（三）投标文件（格式）</w:t>
      </w:r>
      <w:r>
        <w:rPr>
          <w:rFonts w:hint="eastAsia" w:ascii="宋体" w:hAnsi="宋体" w:eastAsia="宋体" w:cs="宋体"/>
          <w:i w:val="0"/>
          <w:iCs w:val="0"/>
          <w:smallCaps/>
          <w:kern w:val="2"/>
          <w:sz w:val="20"/>
          <w:szCs w:val="21"/>
          <w:lang w:val="en-US" w:eastAsia="zh-CN" w:bidi="ar-SA"/>
        </w:rPr>
        <w:tab/>
      </w: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PAGEREF _Toc21814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39</w:t>
      </w:r>
      <w:r>
        <w:rPr>
          <w:rFonts w:hint="eastAsia" w:ascii="宋体" w:hAnsi="宋体" w:eastAsia="宋体" w:cs="宋体"/>
          <w:i w:val="0"/>
          <w:iCs w:val="0"/>
          <w:smallCaps/>
          <w:kern w:val="2"/>
          <w:sz w:val="20"/>
          <w:szCs w:val="21"/>
          <w:lang w:val="en-US" w:eastAsia="zh-CN" w:bidi="ar-SA"/>
        </w:rPr>
        <w:fldChar w:fldCharType="end"/>
      </w:r>
      <w:r>
        <w:rPr>
          <w:rFonts w:hint="eastAsia" w:ascii="宋体" w:hAnsi="宋体" w:eastAsia="宋体" w:cs="宋体"/>
          <w:i w:val="0"/>
          <w:iCs w:val="0"/>
          <w:smallCaps/>
          <w:kern w:val="2"/>
          <w:sz w:val="20"/>
          <w:szCs w:val="21"/>
          <w:lang w:val="en-US" w:eastAsia="zh-CN" w:bidi="ar-SA"/>
        </w:rPr>
        <w:fldChar w:fldCharType="end"/>
      </w:r>
    </w:p>
    <w:p>
      <w:pPr>
        <w:pStyle w:val="37"/>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_Toc15690 </w:instrText>
      </w:r>
      <w:r>
        <w:rPr>
          <w:rFonts w:hint="eastAsia" w:ascii="宋体" w:hAnsi="宋体" w:cs="宋体"/>
          <w:szCs w:val="21"/>
        </w:rPr>
        <w:fldChar w:fldCharType="separate"/>
      </w:r>
      <w:r>
        <w:rPr>
          <w:rFonts w:hint="eastAsia" w:ascii="宋体" w:hAnsi="宋体" w:cs="宋体"/>
          <w:szCs w:val="44"/>
        </w:rPr>
        <w:t>第六章  评标方法及评定标准</w:t>
      </w:r>
      <w:r>
        <w:tab/>
      </w:r>
      <w:r>
        <w:fldChar w:fldCharType="begin"/>
      </w:r>
      <w:r>
        <w:instrText xml:space="preserve"> PAGEREF _Toc15690 </w:instrText>
      </w:r>
      <w:r>
        <w:fldChar w:fldCharType="separate"/>
      </w:r>
      <w:r>
        <w:t>50</w:t>
      </w:r>
      <w:r>
        <w:fldChar w:fldCharType="end"/>
      </w:r>
      <w:r>
        <w:rPr>
          <w:rFonts w:hint="eastAsia" w:ascii="宋体" w:hAnsi="宋体" w:cs="宋体"/>
          <w:color w:val="auto"/>
          <w:szCs w:val="21"/>
        </w:rPr>
        <w:fldChar w:fldCharType="end"/>
      </w:r>
    </w:p>
    <w:p>
      <w:pPr>
        <w:pStyle w:val="43"/>
        <w:tabs>
          <w:tab w:val="right" w:leader="dot" w:pos="9412"/>
        </w:tabs>
        <w:rPr>
          <w:rFonts w:hint="eastAsia" w:ascii="宋体" w:hAnsi="宋体" w:eastAsia="宋体" w:cs="宋体"/>
          <w:i w:val="0"/>
          <w:iCs w:val="0"/>
          <w:smallCaps/>
          <w:kern w:val="2"/>
          <w:sz w:val="20"/>
          <w:szCs w:val="21"/>
          <w:lang w:val="en-US" w:eastAsia="zh-CN" w:bidi="ar-SA"/>
        </w:rPr>
      </w:pP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HYPERLINK \l _Toc13864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评标方法及评定标准</w:t>
      </w:r>
      <w:r>
        <w:rPr>
          <w:rFonts w:hint="eastAsia" w:ascii="宋体" w:hAnsi="宋体" w:eastAsia="宋体" w:cs="宋体"/>
          <w:i w:val="0"/>
          <w:iCs w:val="0"/>
          <w:smallCaps/>
          <w:kern w:val="2"/>
          <w:sz w:val="20"/>
          <w:szCs w:val="21"/>
          <w:lang w:val="en-US" w:eastAsia="zh-CN" w:bidi="ar-SA"/>
        </w:rPr>
        <w:tab/>
      </w: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PAGEREF _Toc13864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51</w:t>
      </w:r>
      <w:r>
        <w:rPr>
          <w:rFonts w:hint="eastAsia" w:ascii="宋体" w:hAnsi="宋体" w:eastAsia="宋体" w:cs="宋体"/>
          <w:i w:val="0"/>
          <w:iCs w:val="0"/>
          <w:smallCaps/>
          <w:kern w:val="2"/>
          <w:sz w:val="20"/>
          <w:szCs w:val="21"/>
          <w:lang w:val="en-US" w:eastAsia="zh-CN" w:bidi="ar-SA"/>
        </w:rPr>
        <w:fldChar w:fldCharType="end"/>
      </w:r>
      <w:r>
        <w:rPr>
          <w:rFonts w:hint="eastAsia" w:ascii="宋体" w:hAnsi="宋体" w:eastAsia="宋体" w:cs="宋体"/>
          <w:i w:val="0"/>
          <w:iCs w:val="0"/>
          <w:smallCaps/>
          <w:kern w:val="2"/>
          <w:sz w:val="20"/>
          <w:szCs w:val="21"/>
          <w:lang w:val="en-US" w:eastAsia="zh-CN" w:bidi="ar-SA"/>
        </w:rPr>
        <w:fldChar w:fldCharType="end"/>
      </w:r>
    </w:p>
    <w:p>
      <w:pPr>
        <w:pStyle w:val="28"/>
        <w:tabs>
          <w:tab w:val="right" w:leader="dot" w:pos="9412"/>
        </w:tabs>
        <w:rPr>
          <w:rFonts w:hint="eastAsia" w:ascii="宋体" w:hAnsi="宋体" w:eastAsia="宋体" w:cs="宋体"/>
          <w:i w:val="0"/>
          <w:iCs w:val="0"/>
          <w:smallCaps/>
          <w:kern w:val="2"/>
          <w:sz w:val="20"/>
          <w:szCs w:val="21"/>
          <w:lang w:val="en-US" w:eastAsia="zh-CN" w:bidi="ar-SA"/>
        </w:rPr>
      </w:pP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HYPERLINK \l _Toc2926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一、评标原则</w:t>
      </w:r>
      <w:r>
        <w:rPr>
          <w:rFonts w:hint="eastAsia" w:ascii="宋体" w:hAnsi="宋体" w:eastAsia="宋体" w:cs="宋体"/>
          <w:i w:val="0"/>
          <w:iCs w:val="0"/>
          <w:smallCaps/>
          <w:kern w:val="2"/>
          <w:sz w:val="20"/>
          <w:szCs w:val="21"/>
          <w:lang w:val="en-US" w:eastAsia="zh-CN" w:bidi="ar-SA"/>
        </w:rPr>
        <w:tab/>
      </w: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PAGEREF _Toc2926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51</w:t>
      </w:r>
      <w:r>
        <w:rPr>
          <w:rFonts w:hint="eastAsia" w:ascii="宋体" w:hAnsi="宋体" w:eastAsia="宋体" w:cs="宋体"/>
          <w:i w:val="0"/>
          <w:iCs w:val="0"/>
          <w:smallCaps/>
          <w:kern w:val="2"/>
          <w:sz w:val="20"/>
          <w:szCs w:val="21"/>
          <w:lang w:val="en-US" w:eastAsia="zh-CN" w:bidi="ar-SA"/>
        </w:rPr>
        <w:fldChar w:fldCharType="end"/>
      </w:r>
      <w:r>
        <w:rPr>
          <w:rFonts w:hint="eastAsia" w:ascii="宋体" w:hAnsi="宋体" w:eastAsia="宋体" w:cs="宋体"/>
          <w:i w:val="0"/>
          <w:iCs w:val="0"/>
          <w:smallCaps/>
          <w:kern w:val="2"/>
          <w:sz w:val="20"/>
          <w:szCs w:val="21"/>
          <w:lang w:val="en-US" w:eastAsia="zh-CN" w:bidi="ar-SA"/>
        </w:rPr>
        <w:fldChar w:fldCharType="end"/>
      </w:r>
    </w:p>
    <w:p>
      <w:pPr>
        <w:pStyle w:val="28"/>
        <w:tabs>
          <w:tab w:val="right" w:leader="dot" w:pos="9412"/>
        </w:tabs>
      </w:pP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HYPERLINK \l _Toc4717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二、评标办法</w:t>
      </w:r>
      <w:r>
        <w:rPr>
          <w:rFonts w:hint="eastAsia" w:ascii="宋体" w:hAnsi="宋体" w:eastAsia="宋体" w:cs="宋体"/>
          <w:i w:val="0"/>
          <w:iCs w:val="0"/>
          <w:smallCaps/>
          <w:kern w:val="2"/>
          <w:sz w:val="20"/>
          <w:szCs w:val="21"/>
          <w:lang w:val="en-US" w:eastAsia="zh-CN" w:bidi="ar-SA"/>
        </w:rPr>
        <w:tab/>
      </w:r>
      <w:r>
        <w:rPr>
          <w:rFonts w:hint="eastAsia" w:ascii="宋体" w:hAnsi="宋体" w:eastAsia="宋体" w:cs="宋体"/>
          <w:i w:val="0"/>
          <w:iCs w:val="0"/>
          <w:smallCaps/>
          <w:kern w:val="2"/>
          <w:sz w:val="20"/>
          <w:szCs w:val="21"/>
          <w:lang w:val="en-US" w:eastAsia="zh-CN" w:bidi="ar-SA"/>
        </w:rPr>
        <w:fldChar w:fldCharType="begin"/>
      </w:r>
      <w:r>
        <w:rPr>
          <w:rFonts w:hint="eastAsia" w:ascii="宋体" w:hAnsi="宋体" w:eastAsia="宋体" w:cs="宋体"/>
          <w:i w:val="0"/>
          <w:iCs w:val="0"/>
          <w:smallCaps/>
          <w:kern w:val="2"/>
          <w:sz w:val="20"/>
          <w:szCs w:val="21"/>
          <w:lang w:val="en-US" w:eastAsia="zh-CN" w:bidi="ar-SA"/>
        </w:rPr>
        <w:instrText xml:space="preserve"> PAGEREF _Toc4717 </w:instrText>
      </w:r>
      <w:r>
        <w:rPr>
          <w:rFonts w:hint="eastAsia" w:ascii="宋体" w:hAnsi="宋体" w:eastAsia="宋体" w:cs="宋体"/>
          <w:i w:val="0"/>
          <w:iCs w:val="0"/>
          <w:smallCaps/>
          <w:kern w:val="2"/>
          <w:sz w:val="20"/>
          <w:szCs w:val="21"/>
          <w:lang w:val="en-US" w:eastAsia="zh-CN" w:bidi="ar-SA"/>
        </w:rPr>
        <w:fldChar w:fldCharType="separate"/>
      </w:r>
      <w:r>
        <w:rPr>
          <w:rFonts w:hint="eastAsia" w:ascii="宋体" w:hAnsi="宋体" w:eastAsia="宋体" w:cs="宋体"/>
          <w:i w:val="0"/>
          <w:iCs w:val="0"/>
          <w:smallCaps/>
          <w:kern w:val="2"/>
          <w:sz w:val="20"/>
          <w:szCs w:val="21"/>
          <w:lang w:val="en-US" w:eastAsia="zh-CN" w:bidi="ar-SA"/>
        </w:rPr>
        <w:t>51</w:t>
      </w:r>
      <w:r>
        <w:rPr>
          <w:rFonts w:hint="eastAsia" w:ascii="宋体" w:hAnsi="宋体" w:eastAsia="宋体" w:cs="宋体"/>
          <w:i w:val="0"/>
          <w:iCs w:val="0"/>
          <w:smallCaps/>
          <w:kern w:val="2"/>
          <w:sz w:val="20"/>
          <w:szCs w:val="21"/>
          <w:lang w:val="en-US" w:eastAsia="zh-CN" w:bidi="ar-SA"/>
        </w:rPr>
        <w:fldChar w:fldCharType="end"/>
      </w:r>
      <w:r>
        <w:rPr>
          <w:rFonts w:hint="eastAsia" w:ascii="宋体" w:hAnsi="宋体" w:eastAsia="宋体" w:cs="宋体"/>
          <w:i w:val="0"/>
          <w:iCs w:val="0"/>
          <w:smallCaps/>
          <w:kern w:val="2"/>
          <w:sz w:val="20"/>
          <w:szCs w:val="21"/>
          <w:lang w:val="en-US" w:eastAsia="zh-CN" w:bidi="ar-SA"/>
        </w:rPr>
        <w:fldChar w:fldCharType="end"/>
      </w:r>
    </w:p>
    <w:p>
      <w:pPr>
        <w:pStyle w:val="43"/>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_Toc21927 </w:instrText>
      </w:r>
      <w:r>
        <w:rPr>
          <w:rFonts w:hint="eastAsia" w:ascii="宋体" w:hAnsi="宋体" w:cs="宋体"/>
          <w:szCs w:val="21"/>
        </w:rPr>
        <w:fldChar w:fldCharType="separate"/>
      </w:r>
      <w:r>
        <w:rPr>
          <w:rFonts w:hAnsi="宋体" w:cs="宋体"/>
          <w:bCs/>
        </w:rPr>
        <w:t>3</w:t>
      </w:r>
      <w:r>
        <w:rPr>
          <w:rFonts w:hint="eastAsia" w:hAnsi="宋体" w:cs="宋体"/>
          <w:bCs/>
        </w:rPr>
        <w:t>、供货及安装分…………………………………………………………………………………</w:t>
      </w:r>
      <w:r>
        <w:rPr>
          <w:rFonts w:hAnsi="宋体" w:cs="宋体"/>
          <w:bCs/>
        </w:rPr>
        <w:t>1</w:t>
      </w:r>
      <w:r>
        <w:rPr>
          <w:rFonts w:hint="eastAsia" w:hAnsi="宋体" w:cs="宋体"/>
          <w:bCs/>
        </w:rPr>
        <w:t>5分</w:t>
      </w:r>
      <w:r>
        <w:tab/>
      </w:r>
      <w:r>
        <w:fldChar w:fldCharType="begin"/>
      </w:r>
      <w:r>
        <w:instrText xml:space="preserve"> PAGEREF _Toc21927 </w:instrText>
      </w:r>
      <w:r>
        <w:fldChar w:fldCharType="separate"/>
      </w:r>
      <w:r>
        <w:t>52</w:t>
      </w:r>
      <w:r>
        <w:fldChar w:fldCharType="end"/>
      </w:r>
      <w:r>
        <w:rPr>
          <w:rFonts w:hint="eastAsia" w:ascii="宋体" w:hAnsi="宋体" w:cs="宋体"/>
          <w:color w:val="auto"/>
          <w:szCs w:val="21"/>
        </w:rPr>
        <w:fldChar w:fldCharType="end"/>
      </w:r>
    </w:p>
    <w:p>
      <w:pPr>
        <w:pStyle w:val="43"/>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_Toc32073 </w:instrText>
      </w:r>
      <w:r>
        <w:rPr>
          <w:rFonts w:hint="eastAsia" w:ascii="宋体" w:hAnsi="宋体" w:cs="宋体"/>
          <w:szCs w:val="21"/>
        </w:rPr>
        <w:fldChar w:fldCharType="separate"/>
      </w:r>
      <w:r>
        <w:rPr>
          <w:rFonts w:hint="eastAsia" w:hAnsi="宋体" w:cs="宋体"/>
        </w:rPr>
        <w:t>一档5分</w:t>
      </w:r>
      <w:r>
        <w:rPr>
          <w:rFonts w:hint="eastAsia" w:hAnsi="宋体" w:cs="宋体"/>
          <w:bCs/>
        </w:rPr>
        <w:t>：方案简单、基本可行；</w:t>
      </w:r>
      <w:r>
        <w:tab/>
      </w:r>
      <w:r>
        <w:fldChar w:fldCharType="begin"/>
      </w:r>
      <w:r>
        <w:instrText xml:space="preserve"> PAGEREF _Toc32073 </w:instrText>
      </w:r>
      <w:r>
        <w:fldChar w:fldCharType="separate"/>
      </w:r>
      <w:r>
        <w:t>52</w:t>
      </w:r>
      <w:r>
        <w:fldChar w:fldCharType="end"/>
      </w:r>
      <w:r>
        <w:rPr>
          <w:rFonts w:hint="eastAsia" w:ascii="宋体" w:hAnsi="宋体" w:cs="宋体"/>
          <w:color w:val="auto"/>
          <w:szCs w:val="21"/>
        </w:rPr>
        <w:fldChar w:fldCharType="end"/>
      </w:r>
    </w:p>
    <w:p>
      <w:pPr>
        <w:pStyle w:val="43"/>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_Toc1190 </w:instrText>
      </w:r>
      <w:r>
        <w:rPr>
          <w:rFonts w:hint="eastAsia" w:ascii="宋体" w:hAnsi="宋体" w:cs="宋体"/>
          <w:szCs w:val="21"/>
        </w:rPr>
        <w:fldChar w:fldCharType="separate"/>
      </w:r>
      <w:r>
        <w:rPr>
          <w:rFonts w:hint="eastAsia" w:hAnsi="宋体" w:cs="宋体"/>
        </w:rPr>
        <w:t>二档10分</w:t>
      </w:r>
      <w:r>
        <w:rPr>
          <w:rFonts w:hint="eastAsia" w:hAnsi="宋体" w:cs="宋体"/>
          <w:bCs/>
        </w:rPr>
        <w:t>：供货及安装方案较详细、可行，实施组织机构健全、实施人员配备合理充足，实施进度计划合理，能满足项目实施要求；</w:t>
      </w:r>
      <w:r>
        <w:tab/>
      </w:r>
      <w:r>
        <w:fldChar w:fldCharType="begin"/>
      </w:r>
      <w:r>
        <w:instrText xml:space="preserve"> PAGEREF _Toc1190 </w:instrText>
      </w:r>
      <w:r>
        <w:fldChar w:fldCharType="separate"/>
      </w:r>
      <w:r>
        <w:t>52</w:t>
      </w:r>
      <w:r>
        <w:fldChar w:fldCharType="end"/>
      </w:r>
      <w:r>
        <w:rPr>
          <w:rFonts w:hint="eastAsia" w:ascii="宋体" w:hAnsi="宋体" w:cs="宋体"/>
          <w:color w:val="auto"/>
          <w:szCs w:val="21"/>
        </w:rPr>
        <w:fldChar w:fldCharType="end"/>
      </w:r>
    </w:p>
    <w:p>
      <w:pPr>
        <w:pStyle w:val="43"/>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_Toc15668 </w:instrText>
      </w:r>
      <w:r>
        <w:rPr>
          <w:rFonts w:hint="eastAsia" w:ascii="宋体" w:hAnsi="宋体" w:cs="宋体"/>
          <w:szCs w:val="21"/>
        </w:rPr>
        <w:fldChar w:fldCharType="separate"/>
      </w:r>
      <w:r>
        <w:rPr>
          <w:rFonts w:hint="eastAsia" w:hAnsi="宋体" w:cs="宋体"/>
        </w:rPr>
        <w:t>三档15分</w:t>
      </w:r>
      <w:r>
        <w:rPr>
          <w:rFonts w:hint="eastAsia" w:hAnsi="宋体" w:cs="宋体"/>
          <w:bCs/>
        </w:rPr>
        <w:t>：供货及安装方案详细、先进，计划周密，实施组织机构健全、人员配备充足，进度有保障，施工进度有保障，质量控制、测试及验收描述详细、可行。</w:t>
      </w:r>
      <w:r>
        <w:tab/>
      </w:r>
      <w:r>
        <w:fldChar w:fldCharType="begin"/>
      </w:r>
      <w:r>
        <w:instrText xml:space="preserve"> PAGEREF _Toc15668 </w:instrText>
      </w:r>
      <w:r>
        <w:fldChar w:fldCharType="separate"/>
      </w:r>
      <w:r>
        <w:t>52</w:t>
      </w:r>
      <w:r>
        <w:fldChar w:fldCharType="end"/>
      </w:r>
      <w:r>
        <w:rPr>
          <w:rFonts w:hint="eastAsia" w:ascii="宋体" w:hAnsi="宋体" w:cs="宋体"/>
          <w:color w:val="auto"/>
          <w:szCs w:val="21"/>
        </w:rPr>
        <w:fldChar w:fldCharType="end"/>
      </w:r>
    </w:p>
    <w:p>
      <w:pPr>
        <w:pStyle w:val="43"/>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_Toc2891 </w:instrText>
      </w:r>
      <w:r>
        <w:rPr>
          <w:rFonts w:hint="eastAsia" w:ascii="宋体" w:hAnsi="宋体" w:cs="宋体"/>
          <w:szCs w:val="21"/>
        </w:rPr>
        <w:fldChar w:fldCharType="separate"/>
      </w:r>
      <w:r>
        <w:rPr>
          <w:rFonts w:hint="eastAsia" w:hAnsi="宋体" w:cs="宋体"/>
          <w:bCs/>
        </w:rPr>
        <w:t>由评标委员会集体确定所属档次后独立打分。</w:t>
      </w:r>
      <w:r>
        <w:tab/>
      </w:r>
      <w:r>
        <w:fldChar w:fldCharType="begin"/>
      </w:r>
      <w:r>
        <w:instrText xml:space="preserve"> PAGEREF _Toc2891 </w:instrText>
      </w:r>
      <w:r>
        <w:fldChar w:fldCharType="separate"/>
      </w:r>
      <w:r>
        <w:t>52</w:t>
      </w:r>
      <w:r>
        <w:fldChar w:fldCharType="end"/>
      </w:r>
      <w:r>
        <w:rPr>
          <w:rFonts w:hint="eastAsia" w:ascii="宋体" w:hAnsi="宋体" w:cs="宋体"/>
          <w:color w:val="auto"/>
          <w:szCs w:val="21"/>
        </w:rPr>
        <w:fldChar w:fldCharType="end"/>
      </w:r>
    </w:p>
    <w:p>
      <w:pPr>
        <w:pStyle w:val="37"/>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_Toc20147 </w:instrText>
      </w:r>
      <w:r>
        <w:rPr>
          <w:rFonts w:hint="eastAsia" w:ascii="宋体" w:hAnsi="宋体" w:cs="宋体"/>
          <w:szCs w:val="21"/>
        </w:rPr>
        <w:fldChar w:fldCharType="separate"/>
      </w:r>
      <w:r>
        <w:rPr>
          <w:rFonts w:hint="eastAsia" w:hAnsi="宋体" w:cs="宋体"/>
        </w:rPr>
        <w:t>（</w:t>
      </w:r>
      <w:r>
        <w:rPr>
          <w:rFonts w:hAnsi="宋体" w:cs="宋体"/>
        </w:rPr>
        <w:t>3</w:t>
      </w:r>
      <w:r>
        <w:rPr>
          <w:rFonts w:hint="eastAsia" w:hAnsi="宋体" w:cs="宋体"/>
        </w:rPr>
        <w:t>）投标人自</w:t>
      </w:r>
      <w:r>
        <w:rPr>
          <w:rFonts w:hAnsi="宋体" w:cs="宋体"/>
        </w:rPr>
        <w:t>2017</w:t>
      </w:r>
      <w:r>
        <w:rPr>
          <w:rFonts w:hint="eastAsia" w:hAnsi="宋体" w:cs="宋体"/>
        </w:rPr>
        <w:t>年以来与此次采购货物为</w:t>
      </w:r>
      <w:r>
        <w:rPr>
          <w:rFonts w:hint="eastAsia" w:hAnsi="宋体" w:cs="宋体"/>
          <w:bCs/>
        </w:rPr>
        <w:t>同类设备的业绩分，</w:t>
      </w:r>
      <w:r>
        <w:rPr>
          <w:rFonts w:hint="eastAsia" w:hAnsi="宋体" w:cs="宋体"/>
        </w:rPr>
        <w:t>以合同或中标（成交）通知书复印件等证明资料为准，每有一项得</w:t>
      </w:r>
      <w:r>
        <w:rPr>
          <w:rFonts w:hAnsi="宋体" w:cs="宋体"/>
        </w:rPr>
        <w:t>1</w:t>
      </w:r>
      <w:r>
        <w:rPr>
          <w:rFonts w:hint="eastAsia" w:hAnsi="宋体" w:cs="宋体"/>
        </w:rPr>
        <w:t>分。(</w:t>
      </w:r>
      <w:r>
        <w:rPr>
          <w:rFonts w:hint="eastAsia" w:hAnsi="宋体" w:cs="宋体"/>
          <w:bCs/>
        </w:rPr>
        <w:t>满分</w:t>
      </w:r>
      <w:r>
        <w:rPr>
          <w:rFonts w:hAnsi="宋体" w:cs="宋体"/>
          <w:bCs/>
        </w:rPr>
        <w:t>3</w:t>
      </w:r>
      <w:r>
        <w:rPr>
          <w:rFonts w:hint="eastAsia" w:hAnsi="宋体" w:cs="宋体"/>
          <w:bCs/>
        </w:rPr>
        <w:t>分)</w:t>
      </w:r>
      <w:r>
        <w:tab/>
      </w:r>
      <w:r>
        <w:fldChar w:fldCharType="begin"/>
      </w:r>
      <w:r>
        <w:instrText xml:space="preserve"> PAGEREF _Toc20147 </w:instrText>
      </w:r>
      <w:r>
        <w:fldChar w:fldCharType="separate"/>
      </w:r>
      <w:r>
        <w:t>53</w:t>
      </w:r>
      <w:r>
        <w:fldChar w:fldCharType="end"/>
      </w:r>
      <w:r>
        <w:rPr>
          <w:rFonts w:hint="eastAsia" w:ascii="宋体" w:hAnsi="宋体" w:cs="宋体"/>
          <w:color w:val="auto"/>
          <w:szCs w:val="21"/>
        </w:rPr>
        <w:fldChar w:fldCharType="end"/>
      </w:r>
    </w:p>
    <w:p>
      <w:pPr>
        <w:pStyle w:val="28"/>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_Toc31904 </w:instrText>
      </w:r>
      <w:r>
        <w:rPr>
          <w:rFonts w:hint="eastAsia" w:ascii="宋体" w:hAnsi="宋体" w:cs="宋体"/>
          <w:szCs w:val="21"/>
        </w:rPr>
        <w:fldChar w:fldCharType="separate"/>
      </w:r>
      <w:r>
        <w:rPr>
          <w:rFonts w:hint="eastAsia" w:hAnsi="宋体" w:cs="宋体"/>
          <w:bCs/>
          <w:kern w:val="0"/>
        </w:rPr>
        <w:t>三、中标候选人推荐原则</w:t>
      </w:r>
      <w:r>
        <w:tab/>
      </w:r>
      <w:r>
        <w:fldChar w:fldCharType="begin"/>
      </w:r>
      <w:r>
        <w:instrText xml:space="preserve"> PAGEREF _Toc31904 </w:instrText>
      </w:r>
      <w:r>
        <w:fldChar w:fldCharType="separate"/>
      </w:r>
      <w:r>
        <w:t>53</w:t>
      </w:r>
      <w:r>
        <w:fldChar w:fldCharType="end"/>
      </w:r>
      <w:r>
        <w:rPr>
          <w:rFonts w:hint="eastAsia" w:ascii="宋体" w:hAnsi="宋体" w:cs="宋体"/>
          <w:color w:val="auto"/>
          <w:szCs w:val="21"/>
        </w:rPr>
        <w:fldChar w:fldCharType="end"/>
      </w:r>
    </w:p>
    <w:p>
      <w:pPr>
        <w:pStyle w:val="143"/>
        <w:widowControl w:val="0"/>
        <w:spacing w:afterLines="0" w:line="400" w:lineRule="exact"/>
        <w:ind w:firstLine="0" w:firstLineChars="0"/>
        <w:rPr>
          <w:rFonts w:ascii="宋体" w:hAnsi="宋体" w:cs="宋体"/>
          <w:color w:val="auto"/>
          <w:sz w:val="44"/>
          <w:szCs w:val="44"/>
        </w:rPr>
      </w:pPr>
      <w:r>
        <w:rPr>
          <w:rFonts w:hint="eastAsia" w:ascii="宋体" w:hAnsi="宋体" w:cs="宋体"/>
          <w:color w:val="auto"/>
          <w:szCs w:val="21"/>
        </w:rPr>
        <w:fldChar w:fldCharType="end"/>
      </w:r>
    </w:p>
    <w:p>
      <w:pPr>
        <w:pStyle w:val="143"/>
        <w:widowControl w:val="0"/>
        <w:spacing w:afterLines="0"/>
        <w:ind w:firstLine="0" w:firstLineChars="0"/>
        <w:jc w:val="center"/>
        <w:rPr>
          <w:rFonts w:ascii="宋体" w:hAnsi="宋体" w:cs="宋体"/>
          <w:b/>
          <w:color w:val="auto"/>
          <w:sz w:val="44"/>
          <w:szCs w:val="44"/>
        </w:rPr>
        <w:sectPr>
          <w:footerReference r:id="rId7" w:type="first"/>
          <w:type w:val="evenPage"/>
          <w:pgSz w:w="11906" w:h="16838"/>
          <w:pgMar w:top="1247" w:right="1247" w:bottom="1247" w:left="1247" w:header="567" w:footer="567" w:gutter="0"/>
          <w:cols w:space="720" w:num="1"/>
          <w:docGrid w:type="lines" w:linePitch="312" w:charSpace="0"/>
        </w:sectPr>
      </w:pPr>
    </w:p>
    <w:p>
      <w:pPr>
        <w:pStyle w:val="143"/>
        <w:widowControl w:val="0"/>
        <w:spacing w:afterLines="0"/>
        <w:ind w:firstLine="0" w:firstLineChars="0"/>
        <w:jc w:val="center"/>
        <w:rPr>
          <w:rFonts w:ascii="宋体" w:hAnsi="宋体" w:cs="宋体"/>
          <w:b/>
          <w:color w:val="auto"/>
          <w:sz w:val="44"/>
          <w:szCs w:val="44"/>
        </w:rPr>
      </w:pPr>
    </w:p>
    <w:p>
      <w:pPr>
        <w:pStyle w:val="143"/>
        <w:widowControl w:val="0"/>
        <w:spacing w:afterLines="0"/>
        <w:ind w:firstLine="0" w:firstLineChars="0"/>
        <w:jc w:val="center"/>
        <w:rPr>
          <w:rFonts w:ascii="宋体" w:hAnsi="宋体" w:cs="宋体"/>
          <w:b/>
          <w:color w:val="auto"/>
          <w:sz w:val="44"/>
          <w:szCs w:val="44"/>
        </w:rPr>
      </w:pPr>
    </w:p>
    <w:p>
      <w:pPr>
        <w:pStyle w:val="143"/>
        <w:widowControl w:val="0"/>
        <w:spacing w:afterLines="0"/>
        <w:ind w:firstLine="0" w:firstLineChars="0"/>
        <w:jc w:val="center"/>
        <w:rPr>
          <w:rFonts w:ascii="宋体" w:hAnsi="宋体" w:cs="宋体"/>
          <w:b/>
          <w:color w:val="auto"/>
          <w:sz w:val="44"/>
          <w:szCs w:val="44"/>
        </w:rPr>
      </w:pPr>
    </w:p>
    <w:p>
      <w:pPr>
        <w:pStyle w:val="143"/>
        <w:widowControl w:val="0"/>
        <w:spacing w:afterLines="0"/>
        <w:ind w:firstLine="0" w:firstLineChars="0"/>
        <w:jc w:val="center"/>
        <w:rPr>
          <w:rFonts w:ascii="宋体" w:hAnsi="宋体" w:cs="宋体"/>
          <w:b/>
          <w:color w:val="auto"/>
          <w:sz w:val="44"/>
          <w:szCs w:val="44"/>
        </w:rPr>
      </w:pPr>
    </w:p>
    <w:p>
      <w:pPr>
        <w:pStyle w:val="143"/>
        <w:widowControl w:val="0"/>
        <w:spacing w:afterLines="0"/>
        <w:ind w:firstLine="0" w:firstLineChars="0"/>
        <w:jc w:val="center"/>
        <w:rPr>
          <w:rFonts w:ascii="宋体" w:hAnsi="宋体" w:cs="宋体"/>
          <w:b/>
          <w:color w:val="auto"/>
          <w:sz w:val="44"/>
          <w:szCs w:val="44"/>
        </w:rPr>
      </w:pPr>
    </w:p>
    <w:p>
      <w:pPr>
        <w:pStyle w:val="143"/>
        <w:widowControl w:val="0"/>
        <w:spacing w:afterLines="0"/>
        <w:ind w:firstLine="0" w:firstLineChars="0"/>
        <w:jc w:val="center"/>
        <w:rPr>
          <w:rFonts w:ascii="宋体" w:hAnsi="宋体" w:cs="宋体"/>
          <w:b/>
          <w:color w:val="auto"/>
          <w:sz w:val="44"/>
          <w:szCs w:val="44"/>
        </w:rPr>
      </w:pPr>
    </w:p>
    <w:p>
      <w:pPr>
        <w:pStyle w:val="143"/>
        <w:widowControl w:val="0"/>
        <w:spacing w:afterLines="0"/>
        <w:ind w:firstLine="0" w:firstLineChars="0"/>
        <w:jc w:val="center"/>
        <w:rPr>
          <w:rFonts w:ascii="宋体" w:hAnsi="宋体" w:cs="宋体"/>
          <w:b/>
          <w:color w:val="auto"/>
          <w:sz w:val="44"/>
          <w:szCs w:val="44"/>
        </w:rPr>
      </w:pPr>
    </w:p>
    <w:p>
      <w:pPr>
        <w:pStyle w:val="143"/>
        <w:widowControl w:val="0"/>
        <w:spacing w:afterLines="0"/>
        <w:ind w:firstLine="0" w:firstLineChars="0"/>
        <w:jc w:val="center"/>
        <w:rPr>
          <w:rFonts w:ascii="宋体" w:hAnsi="宋体" w:cs="宋体"/>
          <w:b/>
          <w:color w:val="auto"/>
          <w:sz w:val="44"/>
          <w:szCs w:val="44"/>
        </w:rPr>
      </w:pPr>
    </w:p>
    <w:p>
      <w:pPr>
        <w:pStyle w:val="143"/>
        <w:widowControl w:val="0"/>
        <w:spacing w:afterLines="0"/>
        <w:ind w:firstLine="0" w:firstLineChars="0"/>
        <w:jc w:val="center"/>
        <w:rPr>
          <w:rFonts w:ascii="宋体" w:hAnsi="宋体" w:cs="宋体"/>
          <w:b/>
          <w:color w:val="auto"/>
          <w:sz w:val="44"/>
          <w:szCs w:val="44"/>
        </w:rPr>
      </w:pPr>
    </w:p>
    <w:p>
      <w:pPr>
        <w:pStyle w:val="143"/>
        <w:widowControl w:val="0"/>
        <w:spacing w:afterLines="0"/>
        <w:ind w:firstLine="0" w:firstLineChars="0"/>
        <w:jc w:val="center"/>
        <w:rPr>
          <w:rFonts w:ascii="宋体" w:hAnsi="宋体" w:cs="宋体"/>
          <w:b/>
          <w:color w:val="auto"/>
          <w:sz w:val="44"/>
          <w:szCs w:val="44"/>
        </w:rPr>
      </w:pPr>
    </w:p>
    <w:p>
      <w:pPr>
        <w:pStyle w:val="143"/>
        <w:widowControl w:val="0"/>
        <w:spacing w:afterLines="0"/>
        <w:ind w:firstLine="0" w:firstLineChars="0"/>
        <w:jc w:val="center"/>
        <w:outlineLvl w:val="0"/>
        <w:rPr>
          <w:rFonts w:ascii="宋体" w:hAnsi="宋体" w:cs="宋体"/>
          <w:b/>
          <w:color w:val="auto"/>
          <w:sz w:val="44"/>
          <w:szCs w:val="44"/>
        </w:rPr>
      </w:pPr>
      <w:bookmarkStart w:id="4" w:name="_Toc18931"/>
      <w:bookmarkStart w:id="5" w:name="_Toc494352116"/>
      <w:r>
        <w:rPr>
          <w:rFonts w:hint="eastAsia" w:ascii="宋体" w:hAnsi="宋体" w:cs="宋体"/>
          <w:b/>
          <w:color w:val="auto"/>
          <w:sz w:val="44"/>
          <w:szCs w:val="44"/>
        </w:rPr>
        <w:t>第一章  招标公告</w:t>
      </w:r>
      <w:bookmarkEnd w:id="4"/>
      <w:bookmarkEnd w:id="5"/>
    </w:p>
    <w:p>
      <w:pPr>
        <w:pStyle w:val="143"/>
        <w:widowControl w:val="0"/>
        <w:spacing w:afterLines="0"/>
        <w:ind w:firstLine="0" w:firstLineChars="0"/>
        <w:jc w:val="center"/>
        <w:rPr>
          <w:rFonts w:ascii="宋体" w:hAnsi="宋体" w:cs="宋体"/>
          <w:color w:val="auto"/>
          <w:sz w:val="32"/>
          <w:szCs w:val="32"/>
        </w:rPr>
      </w:pPr>
    </w:p>
    <w:p>
      <w:pPr>
        <w:snapToGrid w:val="0"/>
        <w:jc w:val="center"/>
        <w:rPr>
          <w:rFonts w:hint="eastAsia" w:ascii="宋体" w:hAnsi="宋体" w:eastAsia="宋体" w:cs="宋体"/>
          <w:b/>
          <w:bCs/>
          <w:color w:val="auto"/>
          <w:sz w:val="28"/>
          <w:szCs w:val="28"/>
          <w:lang w:eastAsia="zh-CN"/>
        </w:rPr>
      </w:pPr>
      <w:r>
        <w:rPr>
          <w:rFonts w:hint="eastAsia" w:ascii="宋体" w:hAnsi="宋体" w:cs="宋体"/>
          <w:color w:val="auto"/>
          <w:sz w:val="32"/>
          <w:szCs w:val="32"/>
        </w:rPr>
        <w:br w:type="page"/>
      </w:r>
      <w:r>
        <w:rPr>
          <w:rFonts w:hint="eastAsia" w:ascii="宋体" w:hAnsi="宋体" w:cs="宋体"/>
          <w:b/>
          <w:bCs/>
          <w:color w:val="auto"/>
          <w:sz w:val="28"/>
          <w:szCs w:val="28"/>
          <w:lang w:eastAsia="zh-CN"/>
        </w:rPr>
        <w:t xml:space="preserve"> 广西天立工程造价咨询有限公司</w:t>
      </w:r>
    </w:p>
    <w:p>
      <w:pPr>
        <w:snapToGrid w:val="0"/>
        <w:jc w:val="center"/>
        <w:rPr>
          <w:rFonts w:ascii="宋体" w:hAnsi="宋体" w:cs="宋体"/>
          <w:b/>
          <w:bCs/>
          <w:color w:val="auto"/>
          <w:sz w:val="28"/>
          <w:szCs w:val="28"/>
        </w:rPr>
      </w:pPr>
      <w:r>
        <w:rPr>
          <w:rFonts w:hint="eastAsia" w:ascii="宋体" w:hAnsi="宋体" w:cs="宋体"/>
          <w:b/>
          <w:bCs/>
          <w:color w:val="auto"/>
          <w:sz w:val="28"/>
          <w:szCs w:val="28"/>
        </w:rPr>
        <w:t>关于</w:t>
      </w:r>
      <w:r>
        <w:rPr>
          <w:rFonts w:hint="eastAsia" w:ascii="宋体" w:hAnsi="宋体" w:cs="宋体"/>
          <w:b/>
          <w:bCs/>
          <w:color w:val="auto"/>
          <w:sz w:val="28"/>
          <w:szCs w:val="28"/>
          <w:lang w:eastAsia="zh-CN"/>
        </w:rPr>
        <w:t>富川瑶族自治县民族医医院整体搬迁建设项目-病床等设备采购</w:t>
      </w:r>
      <w:r>
        <w:rPr>
          <w:rFonts w:hint="eastAsia" w:ascii="宋体" w:hAnsi="宋体" w:cs="宋体"/>
          <w:b/>
          <w:bCs/>
          <w:color w:val="auto"/>
          <w:sz w:val="28"/>
          <w:szCs w:val="28"/>
        </w:rPr>
        <w:t>（</w:t>
      </w:r>
      <w:r>
        <w:rPr>
          <w:rFonts w:hint="eastAsia" w:ascii="宋体" w:hAnsi="宋体" w:cs="宋体"/>
          <w:b/>
          <w:bCs/>
          <w:color w:val="auto"/>
          <w:sz w:val="28"/>
          <w:szCs w:val="28"/>
          <w:lang w:eastAsia="zh-CN"/>
        </w:rPr>
        <w:t xml:space="preserve"> FCZC2020-G1-230233-TLZJ</w:t>
      </w:r>
      <w:r>
        <w:rPr>
          <w:rFonts w:hint="eastAsia" w:ascii="宋体" w:hAnsi="宋体" w:cs="宋体"/>
          <w:b/>
          <w:bCs/>
          <w:color w:val="auto"/>
          <w:sz w:val="28"/>
          <w:szCs w:val="28"/>
        </w:rPr>
        <w:t>）</w:t>
      </w:r>
    </w:p>
    <w:p>
      <w:pPr>
        <w:snapToGrid w:val="0"/>
        <w:jc w:val="center"/>
        <w:rPr>
          <w:rFonts w:ascii="宋体" w:hAnsi="宋体" w:cs="宋体"/>
          <w:b/>
          <w:color w:val="auto"/>
          <w:sz w:val="24"/>
        </w:rPr>
      </w:pPr>
      <w:r>
        <w:rPr>
          <w:rFonts w:hint="eastAsia" w:ascii="宋体" w:hAnsi="宋体" w:cs="宋体"/>
          <w:b/>
          <w:bCs/>
          <w:color w:val="auto"/>
          <w:sz w:val="28"/>
          <w:szCs w:val="28"/>
        </w:rPr>
        <w:t>公开招标公告</w:t>
      </w:r>
    </w:p>
    <w:p>
      <w:pPr>
        <w:spacing w:line="240" w:lineRule="auto"/>
        <w:ind w:firstLine="420"/>
        <w:rPr>
          <w:rFonts w:ascii="宋体" w:hAnsi="宋体" w:cs="宋体"/>
          <w:bCs/>
          <w:color w:val="auto"/>
          <w:szCs w:val="21"/>
        </w:rPr>
      </w:pPr>
      <w:r>
        <w:rPr>
          <w:rFonts w:hint="eastAsia" w:ascii="宋体" w:hAnsi="宋体" w:cs="宋体"/>
          <w:bCs/>
          <w:color w:val="auto"/>
          <w:szCs w:val="21"/>
          <w:lang w:eastAsia="zh-CN"/>
        </w:rPr>
        <w:t>富川瑶族自治县民族医医院整体搬迁建设项目-病床等设备采购</w:t>
      </w:r>
      <w:r>
        <w:rPr>
          <w:rFonts w:hint="eastAsia" w:ascii="宋体" w:hAnsi="宋体" w:cs="宋体"/>
          <w:bCs/>
          <w:color w:val="auto"/>
          <w:szCs w:val="21"/>
        </w:rPr>
        <w:t>项目（项目编号</w:t>
      </w:r>
      <w:r>
        <w:rPr>
          <w:rFonts w:hint="eastAsia" w:ascii="宋体" w:hAnsi="宋体" w:cs="宋体"/>
          <w:bCs/>
          <w:color w:val="auto"/>
          <w:szCs w:val="21"/>
          <w:lang w:eastAsia="zh-CN"/>
        </w:rPr>
        <w:t xml:space="preserve"> FCZC2020-G1-230233-TLZJ</w:t>
      </w:r>
      <w:r>
        <w:rPr>
          <w:rFonts w:hint="eastAsia" w:ascii="宋体" w:hAnsi="宋体" w:cs="宋体"/>
          <w:bCs/>
          <w:color w:val="auto"/>
          <w:szCs w:val="21"/>
        </w:rPr>
        <w:t>）的潜在投标人应在</w:t>
      </w:r>
      <w:r>
        <w:rPr>
          <w:rFonts w:hint="eastAsia" w:ascii="宋体" w:hAnsi="宋体" w:cs="宋体"/>
          <w:bCs/>
          <w:color w:val="auto"/>
          <w:szCs w:val="21"/>
          <w:u w:val="single"/>
          <w:lang w:eastAsia="zh-CN"/>
        </w:rPr>
        <w:t>贺州市新风街92号广西天立工程造价咨询有限公司</w:t>
      </w:r>
      <w:r>
        <w:rPr>
          <w:rFonts w:hint="eastAsia" w:ascii="宋体" w:hAnsi="宋体" w:cs="宋体"/>
          <w:bCs/>
          <w:color w:val="auto"/>
          <w:szCs w:val="21"/>
        </w:rPr>
        <w:t>获取采购文件，并于</w:t>
      </w:r>
      <w:r>
        <w:rPr>
          <w:rFonts w:hint="eastAsia" w:ascii="宋体" w:hAnsi="宋体" w:cs="宋体"/>
          <w:bCs/>
          <w:color w:val="auto"/>
          <w:szCs w:val="21"/>
          <w:u w:val="single"/>
        </w:rPr>
        <w:t>2020年</w:t>
      </w:r>
      <w:r>
        <w:rPr>
          <w:rFonts w:hint="eastAsia" w:ascii="宋体" w:hAnsi="宋体" w:cs="宋体"/>
          <w:bCs/>
          <w:color w:val="auto"/>
          <w:szCs w:val="21"/>
          <w:u w:val="single"/>
          <w:lang w:val="en-US" w:eastAsia="zh-CN"/>
        </w:rPr>
        <w:t>11</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17</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15</w:t>
      </w:r>
      <w:r>
        <w:rPr>
          <w:rFonts w:hint="eastAsia" w:ascii="宋体" w:hAnsi="宋体" w:cs="宋体"/>
          <w:bCs/>
          <w:color w:val="auto"/>
          <w:szCs w:val="21"/>
          <w:u w:val="single"/>
        </w:rPr>
        <w:t>点</w:t>
      </w:r>
      <w:r>
        <w:rPr>
          <w:rFonts w:hint="eastAsia" w:ascii="宋体" w:hAnsi="宋体" w:cs="宋体"/>
          <w:bCs/>
          <w:color w:val="auto"/>
          <w:szCs w:val="21"/>
          <w:u w:val="single"/>
          <w:lang w:val="en-US" w:eastAsia="zh-CN"/>
        </w:rPr>
        <w:t>30</w:t>
      </w:r>
      <w:r>
        <w:rPr>
          <w:rFonts w:hint="eastAsia" w:ascii="宋体" w:hAnsi="宋体" w:cs="宋体"/>
          <w:bCs/>
          <w:color w:val="auto"/>
          <w:szCs w:val="21"/>
          <w:u w:val="single"/>
        </w:rPr>
        <w:t>分（北京时间）</w:t>
      </w:r>
      <w:r>
        <w:rPr>
          <w:rFonts w:hint="eastAsia" w:ascii="宋体" w:hAnsi="宋体" w:cs="宋体"/>
          <w:bCs/>
          <w:color w:val="auto"/>
          <w:szCs w:val="21"/>
        </w:rPr>
        <w:t>前提交投标文件。</w:t>
      </w:r>
    </w:p>
    <w:p>
      <w:pPr>
        <w:spacing w:line="240" w:lineRule="auto"/>
        <w:ind w:firstLine="420"/>
        <w:rPr>
          <w:rFonts w:ascii="宋体" w:hAnsi="宋体" w:cs="宋体"/>
          <w:bCs/>
          <w:color w:val="auto"/>
          <w:szCs w:val="21"/>
        </w:rPr>
      </w:pPr>
      <w:r>
        <w:rPr>
          <w:rFonts w:hint="eastAsia" w:ascii="宋体" w:hAnsi="宋体" w:cs="宋体"/>
          <w:b/>
          <w:color w:val="auto"/>
          <w:szCs w:val="21"/>
        </w:rPr>
        <w:t>一、项目基本情况</w:t>
      </w:r>
    </w:p>
    <w:p>
      <w:pPr>
        <w:spacing w:line="240" w:lineRule="auto"/>
        <w:ind w:firstLine="420"/>
        <w:rPr>
          <w:rFonts w:hint="eastAsia" w:ascii="宋体" w:hAnsi="宋体" w:eastAsia="宋体" w:cs="宋体"/>
          <w:bCs/>
          <w:color w:val="auto"/>
          <w:szCs w:val="21"/>
          <w:lang w:eastAsia="zh-CN"/>
        </w:rPr>
      </w:pPr>
      <w:r>
        <w:rPr>
          <w:rFonts w:hint="eastAsia" w:ascii="宋体" w:hAnsi="宋体" w:cs="宋体"/>
          <w:bCs/>
          <w:color w:val="auto"/>
          <w:szCs w:val="21"/>
        </w:rPr>
        <w:t>项目编号：</w:t>
      </w:r>
      <w:r>
        <w:rPr>
          <w:rFonts w:hint="eastAsia" w:ascii="宋体" w:hAnsi="宋体" w:cs="宋体"/>
          <w:bCs/>
          <w:color w:val="auto"/>
          <w:szCs w:val="21"/>
          <w:lang w:eastAsia="zh-CN"/>
        </w:rPr>
        <w:t xml:space="preserve"> FCZC2020-G1-230233-TLZJ</w:t>
      </w:r>
    </w:p>
    <w:p>
      <w:pPr>
        <w:spacing w:line="240" w:lineRule="auto"/>
        <w:ind w:firstLine="420"/>
        <w:rPr>
          <w:rFonts w:hint="eastAsia" w:ascii="宋体" w:hAnsi="宋体" w:eastAsia="宋体" w:cs="宋体"/>
          <w:bCs/>
          <w:color w:val="auto"/>
          <w:szCs w:val="21"/>
          <w:lang w:eastAsia="zh-CN"/>
        </w:rPr>
      </w:pPr>
      <w:r>
        <w:rPr>
          <w:rFonts w:hint="eastAsia" w:ascii="宋体" w:hAnsi="宋体" w:cs="宋体"/>
          <w:bCs/>
          <w:color w:val="auto"/>
          <w:szCs w:val="21"/>
        </w:rPr>
        <w:t>项目名称：</w:t>
      </w:r>
      <w:r>
        <w:rPr>
          <w:rFonts w:hint="eastAsia" w:ascii="宋体" w:hAnsi="宋体" w:cs="宋体"/>
          <w:bCs/>
          <w:color w:val="auto"/>
          <w:szCs w:val="21"/>
          <w:lang w:eastAsia="zh-CN"/>
        </w:rPr>
        <w:t>富川瑶族自治县民族医医院整体搬迁建设项目-病床等设备采购</w:t>
      </w:r>
    </w:p>
    <w:p>
      <w:pPr>
        <w:spacing w:line="240" w:lineRule="auto"/>
        <w:ind w:firstLine="420"/>
        <w:rPr>
          <w:rFonts w:ascii="宋体" w:hAnsi="宋体" w:cs="宋体"/>
          <w:bCs/>
          <w:color w:val="auto"/>
          <w:szCs w:val="21"/>
        </w:rPr>
      </w:pPr>
      <w:r>
        <w:rPr>
          <w:rFonts w:hint="eastAsia" w:ascii="宋体" w:hAnsi="宋体" w:cs="宋体"/>
          <w:bCs/>
          <w:color w:val="auto"/>
          <w:szCs w:val="21"/>
        </w:rPr>
        <w:t>预算金额：人民币</w:t>
      </w:r>
      <w:r>
        <w:rPr>
          <w:rFonts w:hint="eastAsia" w:ascii="宋体" w:hAnsi="宋体" w:cs="宋体"/>
          <w:b/>
          <w:color w:val="auto"/>
          <w:kern w:val="0"/>
          <w:szCs w:val="21"/>
          <w:u w:val="single"/>
          <w:lang w:val="en-US" w:eastAsia="zh-CN"/>
        </w:rPr>
        <w:t>114.9</w:t>
      </w:r>
      <w:r>
        <w:rPr>
          <w:rFonts w:hint="eastAsia" w:ascii="宋体" w:hAnsi="宋体" w:cs="宋体"/>
          <w:b/>
          <w:color w:val="auto"/>
          <w:u w:val="single"/>
        </w:rPr>
        <w:t>万元</w:t>
      </w:r>
      <w:r>
        <w:rPr>
          <w:rFonts w:hint="eastAsia" w:ascii="宋体" w:hAnsi="宋体" w:cs="宋体"/>
          <w:color w:val="auto"/>
        </w:rPr>
        <w:t>。</w:t>
      </w:r>
    </w:p>
    <w:p>
      <w:pPr>
        <w:spacing w:line="240" w:lineRule="auto"/>
        <w:ind w:firstLine="420" w:firstLineChars="200"/>
        <w:rPr>
          <w:rFonts w:ascii="宋体" w:hAnsi="宋体" w:cs="宋体"/>
          <w:color w:val="auto"/>
          <w:szCs w:val="21"/>
        </w:rPr>
      </w:pPr>
      <w:r>
        <w:rPr>
          <w:rFonts w:hint="eastAsia" w:ascii="宋体" w:hAnsi="宋体" w:cs="宋体"/>
          <w:bCs/>
          <w:color w:val="auto"/>
          <w:szCs w:val="21"/>
        </w:rPr>
        <w:t>采购需求：</w:t>
      </w:r>
      <w:r>
        <w:rPr>
          <w:rFonts w:hint="eastAsia" w:ascii="宋体" w:hAnsi="宋体" w:cs="宋体"/>
          <w:color w:val="auto"/>
          <w:kern w:val="0"/>
          <w:szCs w:val="21"/>
        </w:rPr>
        <w:t>采购医疗设备一批</w:t>
      </w:r>
      <w:r>
        <w:rPr>
          <w:rFonts w:hint="eastAsia" w:ascii="宋体" w:hAnsi="宋体" w:cs="宋体"/>
          <w:bCs/>
          <w:color w:val="auto"/>
          <w:szCs w:val="21"/>
        </w:rPr>
        <w:t>，</w:t>
      </w:r>
      <w:r>
        <w:rPr>
          <w:rFonts w:hint="eastAsia" w:ascii="宋体" w:hAnsi="宋体" w:cs="宋体"/>
          <w:color w:val="auto"/>
          <w:szCs w:val="21"/>
        </w:rPr>
        <w:t>如需进一步了解详细内容，详见招标文件。</w:t>
      </w:r>
    </w:p>
    <w:p>
      <w:pPr>
        <w:spacing w:line="240" w:lineRule="auto"/>
        <w:ind w:firstLine="420"/>
        <w:rPr>
          <w:rFonts w:ascii="宋体" w:hAnsi="宋体" w:cs="宋体"/>
          <w:bCs/>
          <w:color w:val="auto"/>
          <w:szCs w:val="21"/>
        </w:rPr>
      </w:pPr>
      <w:r>
        <w:rPr>
          <w:rFonts w:hint="eastAsia" w:ascii="宋体" w:hAnsi="宋体" w:cs="宋体"/>
          <w:bCs/>
          <w:color w:val="auto"/>
          <w:szCs w:val="21"/>
        </w:rPr>
        <w:t>合同履行期限：</w:t>
      </w:r>
      <w:r>
        <w:rPr>
          <w:rFonts w:hint="eastAsia" w:ascii="宋体" w:hAnsi="宋体" w:cs="宋体"/>
          <w:color w:val="auto"/>
          <w:szCs w:val="21"/>
        </w:rPr>
        <w:t>按合同要求</w:t>
      </w:r>
      <w:r>
        <w:rPr>
          <w:rFonts w:hint="eastAsia" w:ascii="宋体" w:hAnsi="宋体" w:cs="宋体"/>
          <w:bCs/>
          <w:color w:val="auto"/>
          <w:szCs w:val="21"/>
        </w:rPr>
        <w:t>。</w:t>
      </w:r>
    </w:p>
    <w:p>
      <w:pPr>
        <w:spacing w:line="240" w:lineRule="auto"/>
        <w:ind w:firstLine="420"/>
        <w:rPr>
          <w:rFonts w:ascii="宋体" w:hAnsi="宋体" w:cs="宋体"/>
          <w:bCs/>
          <w:color w:val="auto"/>
          <w:szCs w:val="21"/>
        </w:rPr>
      </w:pPr>
      <w:r>
        <w:rPr>
          <w:rFonts w:hint="eastAsia" w:ascii="宋体" w:hAnsi="宋体" w:cs="宋体"/>
          <w:bCs/>
          <w:color w:val="auto"/>
          <w:szCs w:val="21"/>
        </w:rPr>
        <w:t>本项目不接受联合体投标。</w:t>
      </w:r>
    </w:p>
    <w:p>
      <w:pPr>
        <w:spacing w:line="240" w:lineRule="auto"/>
        <w:ind w:firstLine="420"/>
        <w:rPr>
          <w:rFonts w:ascii="宋体" w:hAnsi="宋体" w:cs="宋体"/>
          <w:bCs/>
          <w:color w:val="auto"/>
          <w:szCs w:val="21"/>
        </w:rPr>
      </w:pPr>
      <w:r>
        <w:rPr>
          <w:rFonts w:hint="eastAsia" w:ascii="宋体" w:hAnsi="宋体" w:cs="宋体"/>
          <w:b/>
          <w:color w:val="auto"/>
          <w:szCs w:val="21"/>
        </w:rPr>
        <w:t>二、申请人的资格要求</w:t>
      </w:r>
    </w:p>
    <w:p>
      <w:pPr>
        <w:spacing w:line="240" w:lineRule="auto"/>
        <w:ind w:firstLine="420"/>
        <w:rPr>
          <w:rFonts w:ascii="宋体" w:hAnsi="宋体" w:cs="宋体"/>
          <w:bCs/>
          <w:color w:val="auto"/>
          <w:szCs w:val="21"/>
        </w:rPr>
      </w:pPr>
      <w:r>
        <w:rPr>
          <w:rFonts w:hint="eastAsia" w:ascii="宋体" w:hAnsi="宋体" w:cs="宋体"/>
          <w:bCs/>
          <w:color w:val="auto"/>
          <w:szCs w:val="21"/>
        </w:rPr>
        <w:t>1.满足《中华人民共和国政府采购法》第二十二条规定；</w:t>
      </w:r>
    </w:p>
    <w:p>
      <w:pPr>
        <w:spacing w:line="240" w:lineRule="auto"/>
        <w:ind w:firstLine="420" w:firstLineChars="200"/>
        <w:rPr>
          <w:rFonts w:ascii="宋体" w:hAnsi="宋体" w:cs="宋体"/>
          <w:bCs/>
          <w:color w:val="auto"/>
          <w:szCs w:val="21"/>
        </w:rPr>
      </w:pPr>
      <w:r>
        <w:rPr>
          <w:rFonts w:hint="eastAsia" w:ascii="宋体" w:hAnsi="宋体" w:cs="宋体"/>
          <w:bCs/>
          <w:color w:val="auto"/>
          <w:szCs w:val="21"/>
        </w:rPr>
        <w:t>2.落实政府采购政策需满足的资格要求：无要求；</w:t>
      </w:r>
    </w:p>
    <w:p>
      <w:pPr>
        <w:spacing w:line="240" w:lineRule="auto"/>
        <w:ind w:firstLine="420" w:firstLineChars="200"/>
        <w:rPr>
          <w:rFonts w:ascii="宋体" w:hAnsi="宋体" w:cs="宋体"/>
          <w:bCs/>
          <w:color w:val="auto"/>
          <w:szCs w:val="21"/>
        </w:rPr>
      </w:pPr>
      <w:r>
        <w:rPr>
          <w:rFonts w:hint="eastAsia" w:ascii="宋体" w:hAnsi="宋体" w:cs="宋体"/>
          <w:bCs/>
          <w:color w:val="auto"/>
          <w:szCs w:val="21"/>
        </w:rPr>
        <w:t>3.本项目特定的资格要求：</w:t>
      </w:r>
    </w:p>
    <w:p>
      <w:pPr>
        <w:spacing w:line="240" w:lineRule="auto"/>
        <w:ind w:firstLine="420" w:firstLineChars="200"/>
        <w:rPr>
          <w:rFonts w:ascii="宋体" w:hAnsi="宋体" w:cs="宋体"/>
          <w:color w:val="auto"/>
        </w:rPr>
      </w:pPr>
      <w:r>
        <w:rPr>
          <w:rFonts w:hint="eastAsia" w:ascii="宋体" w:hAnsi="宋体" w:cs="宋体"/>
          <w:color w:val="auto"/>
        </w:rPr>
        <w:t>3.1</w:t>
      </w:r>
      <w:r>
        <w:rPr>
          <w:rFonts w:hint="eastAsia" w:ascii="宋体" w:hAnsi="宋体" w:cs="宋体"/>
          <w:color w:val="auto"/>
          <w:szCs w:val="21"/>
        </w:rPr>
        <w:t>投标人须具备医疗器械经营许可证（或医疗器械生产许可证）</w:t>
      </w:r>
      <w:r>
        <w:rPr>
          <w:rFonts w:hint="eastAsia" w:ascii="宋体" w:hAnsi="宋体" w:cs="宋体"/>
          <w:color w:val="auto"/>
        </w:rPr>
        <w:t>。</w:t>
      </w:r>
    </w:p>
    <w:p>
      <w:pPr>
        <w:spacing w:line="240" w:lineRule="auto"/>
        <w:ind w:firstLine="420" w:firstLineChars="200"/>
        <w:rPr>
          <w:rFonts w:ascii="宋体" w:hAnsi="宋体" w:cs="宋体"/>
          <w:color w:val="auto"/>
        </w:rPr>
      </w:pPr>
      <w:r>
        <w:rPr>
          <w:rFonts w:hint="eastAsia" w:ascii="宋体" w:hAnsi="宋体" w:cs="宋体"/>
          <w:color w:val="auto"/>
        </w:rPr>
        <w:t>3.2未被列入失信被执行人、重大税收违法案件当事人名单、政府采购严重违法失信行为记录名单（以评审阶段通过“信用中国”网站(www.creditchina.gov.cn)、或中国政府采购网(www.ccgp.gov.cn)查询的结果为准）。</w:t>
      </w:r>
    </w:p>
    <w:p>
      <w:pPr>
        <w:spacing w:line="240" w:lineRule="auto"/>
        <w:ind w:firstLine="420"/>
        <w:rPr>
          <w:rFonts w:ascii="宋体" w:hAnsi="宋体" w:cs="宋体"/>
          <w:bCs/>
          <w:color w:val="auto"/>
          <w:szCs w:val="21"/>
        </w:rPr>
      </w:pPr>
      <w:r>
        <w:rPr>
          <w:rFonts w:hint="eastAsia" w:ascii="宋体" w:hAnsi="宋体" w:cs="宋体"/>
          <w:b/>
          <w:color w:val="auto"/>
          <w:szCs w:val="21"/>
        </w:rPr>
        <w:t>三、获取招标文件</w:t>
      </w:r>
    </w:p>
    <w:p>
      <w:pPr>
        <w:spacing w:line="240" w:lineRule="auto"/>
        <w:ind w:firstLine="420"/>
        <w:rPr>
          <w:rFonts w:ascii="宋体" w:hAnsi="宋体" w:cs="宋体"/>
          <w:bCs/>
          <w:color w:val="auto"/>
          <w:szCs w:val="21"/>
        </w:rPr>
      </w:pPr>
      <w:r>
        <w:rPr>
          <w:rFonts w:hint="eastAsia" w:ascii="宋体" w:hAnsi="宋体" w:cs="宋体"/>
          <w:bCs/>
          <w:color w:val="auto"/>
          <w:szCs w:val="21"/>
        </w:rPr>
        <w:t>时间：</w:t>
      </w:r>
      <w:r>
        <w:rPr>
          <w:rFonts w:hint="eastAsia" w:ascii="宋体" w:hAnsi="宋体" w:cs="宋体"/>
          <w:color w:val="auto"/>
          <w:szCs w:val="21"/>
        </w:rPr>
        <w:t>2020年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27</w:t>
      </w:r>
      <w:r>
        <w:rPr>
          <w:rFonts w:hint="eastAsia" w:ascii="宋体" w:hAnsi="宋体" w:cs="宋体"/>
          <w:color w:val="auto"/>
          <w:szCs w:val="21"/>
        </w:rPr>
        <w:t>日公告发布之时起至2020年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3</w:t>
      </w:r>
      <w:r>
        <w:rPr>
          <w:rFonts w:hint="eastAsia" w:ascii="宋体" w:hAnsi="宋体" w:cs="宋体"/>
          <w:color w:val="auto"/>
          <w:szCs w:val="21"/>
        </w:rPr>
        <w:t>日止（工作日）,</w:t>
      </w:r>
      <w:r>
        <w:rPr>
          <w:rFonts w:hint="eastAsia" w:ascii="宋体" w:hAnsi="宋体" w:cs="宋体"/>
          <w:color w:val="auto"/>
          <w:kern w:val="0"/>
          <w:szCs w:val="21"/>
        </w:rPr>
        <w:t>每天上午8：00</w:t>
      </w:r>
      <w:r>
        <w:rPr>
          <w:rFonts w:hint="eastAsia" w:ascii="宋体" w:hAnsi="宋体" w:cs="宋体"/>
          <w:color w:val="auto"/>
          <w:szCs w:val="21"/>
        </w:rPr>
        <w:t>～</w:t>
      </w:r>
      <w:r>
        <w:rPr>
          <w:rFonts w:hint="eastAsia" w:ascii="宋体" w:hAnsi="宋体" w:cs="宋体"/>
          <w:color w:val="auto"/>
          <w:kern w:val="0"/>
          <w:szCs w:val="21"/>
        </w:rPr>
        <w:t>11：30，</w:t>
      </w:r>
      <w:r>
        <w:rPr>
          <w:rFonts w:hint="eastAsia" w:ascii="宋体" w:hAnsi="宋体" w:cs="宋体"/>
          <w:color w:val="auto"/>
          <w:szCs w:val="21"/>
        </w:rPr>
        <w:t>下午15：00～17:30</w:t>
      </w:r>
      <w:r>
        <w:rPr>
          <w:rFonts w:hint="eastAsia" w:ascii="宋体" w:hAnsi="宋体" w:cs="宋体"/>
          <w:color w:val="auto"/>
          <w:kern w:val="0"/>
          <w:szCs w:val="21"/>
        </w:rPr>
        <w:t>（北京时间，法定节假日除外）</w:t>
      </w:r>
      <w:r>
        <w:rPr>
          <w:rFonts w:hint="eastAsia" w:ascii="宋体" w:hAnsi="宋体" w:cs="宋体"/>
          <w:color w:val="auto"/>
          <w:szCs w:val="21"/>
        </w:rPr>
        <w:t>。</w:t>
      </w:r>
    </w:p>
    <w:p>
      <w:pPr>
        <w:spacing w:line="240" w:lineRule="auto"/>
        <w:ind w:firstLine="420"/>
        <w:rPr>
          <w:rFonts w:ascii="宋体" w:hAnsi="宋体" w:cs="宋体"/>
          <w:bCs/>
          <w:color w:val="auto"/>
          <w:szCs w:val="21"/>
        </w:rPr>
      </w:pPr>
      <w:r>
        <w:rPr>
          <w:rFonts w:hint="eastAsia" w:ascii="宋体" w:hAnsi="宋体" w:cs="宋体"/>
          <w:bCs/>
          <w:color w:val="auto"/>
          <w:szCs w:val="21"/>
        </w:rPr>
        <w:t>地点：</w:t>
      </w:r>
      <w:r>
        <w:rPr>
          <w:rFonts w:hint="eastAsia" w:ascii="宋体" w:hAnsi="宋体" w:cs="宋体"/>
          <w:color w:val="auto"/>
          <w:szCs w:val="21"/>
          <w:lang w:val="en-US" w:eastAsia="zh-CN"/>
        </w:rPr>
        <w:t>贺州市新风街92号（广西天立工程造价咨询有限公司）</w:t>
      </w:r>
      <w:r>
        <w:rPr>
          <w:rFonts w:hint="eastAsia" w:ascii="宋体" w:hAnsi="宋体" w:cs="宋体"/>
          <w:color w:val="auto"/>
          <w:szCs w:val="21"/>
        </w:rPr>
        <w:t>，联系电话：</w:t>
      </w:r>
      <w:r>
        <w:rPr>
          <w:rFonts w:hint="eastAsia" w:ascii="宋体" w:hAnsi="宋体" w:cs="宋体"/>
          <w:color w:val="auto"/>
          <w:szCs w:val="21"/>
          <w:lang w:eastAsia="zh-CN"/>
        </w:rPr>
        <w:t>（</w:t>
      </w:r>
      <w:r>
        <w:rPr>
          <w:rFonts w:hint="eastAsia" w:ascii="宋体" w:hAnsi="宋体" w:cs="宋体"/>
          <w:color w:val="auto"/>
          <w:szCs w:val="21"/>
        </w:rPr>
        <w:t>0774-</w:t>
      </w:r>
      <w:r>
        <w:rPr>
          <w:rFonts w:hint="eastAsia" w:ascii="宋体" w:hAnsi="宋体" w:cs="宋体"/>
          <w:color w:val="auto"/>
          <w:szCs w:val="21"/>
          <w:lang w:val="en-US" w:eastAsia="zh-CN"/>
        </w:rPr>
        <w:t>5270990</w:t>
      </w:r>
      <w:r>
        <w:rPr>
          <w:rFonts w:hint="eastAsia" w:ascii="宋体" w:hAnsi="宋体" w:cs="宋体"/>
          <w:color w:val="auto"/>
          <w:szCs w:val="21"/>
          <w:lang w:eastAsia="zh-CN"/>
        </w:rPr>
        <w:t>）</w:t>
      </w:r>
      <w:r>
        <w:rPr>
          <w:rFonts w:hint="eastAsia" w:ascii="宋体" w:hAnsi="宋体" w:cs="宋体"/>
          <w:color w:val="auto"/>
          <w:szCs w:val="21"/>
        </w:rPr>
        <w:t>。</w:t>
      </w:r>
    </w:p>
    <w:p>
      <w:pPr>
        <w:spacing w:line="240" w:lineRule="auto"/>
        <w:ind w:firstLine="420"/>
        <w:rPr>
          <w:rFonts w:ascii="宋体" w:hAnsi="宋体" w:cs="宋体"/>
          <w:color w:val="auto"/>
          <w:szCs w:val="21"/>
        </w:rPr>
      </w:pPr>
      <w:r>
        <w:rPr>
          <w:rFonts w:hint="eastAsia" w:ascii="宋体" w:hAnsi="宋体" w:cs="宋体"/>
          <w:bCs/>
          <w:color w:val="auto"/>
          <w:szCs w:val="21"/>
        </w:rPr>
        <w:t>方式：</w:t>
      </w:r>
      <w:r>
        <w:rPr>
          <w:rFonts w:hint="eastAsia" w:ascii="宋体" w:hAnsi="宋体" w:cs="宋体"/>
          <w:color w:val="auto"/>
          <w:szCs w:val="21"/>
        </w:rPr>
        <w:t>凡有意参加本次采购并符合上述条件的投标人，</w:t>
      </w:r>
      <w:r>
        <w:rPr>
          <w:rFonts w:hint="eastAsia" w:ascii="宋体" w:hAnsi="宋体" w:cs="宋体"/>
          <w:color w:val="auto"/>
          <w:kern w:val="0"/>
          <w:szCs w:val="21"/>
        </w:rPr>
        <w:t>由本单位法定代表人或其委托的授权代理人携带如下资料</w:t>
      </w:r>
      <w:r>
        <w:rPr>
          <w:rFonts w:hint="eastAsia" w:ascii="宋体" w:hAnsi="宋体" w:cs="宋体"/>
          <w:color w:val="auto"/>
          <w:szCs w:val="21"/>
        </w:rPr>
        <w:t>接受报名：①企业法定代表人身份证复印件②授权代理人身份证复印件及授权委托书原件（委托代理时必须提供）③企业营业执照</w:t>
      </w:r>
      <w:r>
        <w:rPr>
          <w:rFonts w:hint="eastAsia"/>
          <w:color w:val="auto"/>
        </w:rPr>
        <w:t>副本</w:t>
      </w:r>
      <w:r>
        <w:rPr>
          <w:rFonts w:hint="eastAsia" w:ascii="宋体" w:hAnsi="宋体" w:cs="宋体"/>
          <w:color w:val="auto"/>
          <w:szCs w:val="21"/>
        </w:rPr>
        <w:t>复印件（以上提及的证件或资料复印件均须提供加盖投标单位公章）。</w:t>
      </w:r>
    </w:p>
    <w:p>
      <w:pPr>
        <w:spacing w:line="240" w:lineRule="auto"/>
        <w:ind w:firstLine="420"/>
        <w:rPr>
          <w:rFonts w:ascii="宋体" w:hAnsi="宋体" w:cs="宋体"/>
          <w:bCs/>
          <w:color w:val="auto"/>
          <w:szCs w:val="21"/>
        </w:rPr>
      </w:pPr>
      <w:r>
        <w:rPr>
          <w:rFonts w:hint="eastAsia" w:ascii="宋体" w:hAnsi="宋体" w:cs="宋体"/>
          <w:bCs/>
          <w:color w:val="auto"/>
          <w:szCs w:val="21"/>
        </w:rPr>
        <w:t>售价：</w:t>
      </w:r>
      <w:r>
        <w:rPr>
          <w:rFonts w:hint="eastAsia" w:ascii="宋体" w:hAnsi="宋体" w:cs="宋体"/>
          <w:color w:val="auto"/>
          <w:szCs w:val="21"/>
        </w:rPr>
        <w:t>采购文件工本费每本</w:t>
      </w:r>
      <w:r>
        <w:rPr>
          <w:rFonts w:hint="eastAsia" w:ascii="宋体" w:hAnsi="宋体" w:cs="宋体"/>
          <w:color w:val="auto"/>
          <w:szCs w:val="21"/>
          <w:u w:val="single"/>
        </w:rPr>
        <w:t>300</w:t>
      </w:r>
      <w:r>
        <w:rPr>
          <w:rFonts w:hint="eastAsia" w:ascii="宋体" w:hAnsi="宋体" w:cs="宋体"/>
          <w:color w:val="auto"/>
          <w:szCs w:val="21"/>
        </w:rPr>
        <w:t>元，售后不退。</w:t>
      </w:r>
    </w:p>
    <w:p>
      <w:pPr>
        <w:spacing w:line="240" w:lineRule="auto"/>
        <w:ind w:firstLine="420"/>
        <w:rPr>
          <w:rFonts w:ascii="宋体" w:hAnsi="宋体" w:cs="宋体"/>
          <w:b/>
          <w:color w:val="auto"/>
          <w:szCs w:val="21"/>
        </w:rPr>
      </w:pPr>
      <w:r>
        <w:rPr>
          <w:rFonts w:hint="eastAsia" w:ascii="宋体" w:hAnsi="宋体" w:cs="宋体"/>
          <w:b/>
          <w:color w:val="auto"/>
          <w:szCs w:val="21"/>
        </w:rPr>
        <w:t>四、提交投标文件截止时间、开标时间和地点</w:t>
      </w:r>
    </w:p>
    <w:p>
      <w:pPr>
        <w:spacing w:line="240" w:lineRule="auto"/>
        <w:ind w:firstLine="420"/>
        <w:rPr>
          <w:rFonts w:ascii="宋体" w:hAnsi="宋体" w:cs="宋体"/>
          <w:bCs/>
          <w:color w:val="auto"/>
          <w:szCs w:val="21"/>
        </w:rPr>
      </w:pPr>
      <w:r>
        <w:rPr>
          <w:rFonts w:hint="eastAsia" w:ascii="宋体" w:hAnsi="宋体" w:cs="宋体"/>
          <w:bCs/>
          <w:color w:val="auto"/>
          <w:szCs w:val="21"/>
        </w:rPr>
        <w:t>截止时间：2020年</w:t>
      </w:r>
      <w:r>
        <w:rPr>
          <w:rFonts w:hint="eastAsia" w:ascii="宋体" w:hAnsi="宋体" w:cs="宋体"/>
          <w:bCs/>
          <w:color w:val="auto"/>
          <w:szCs w:val="21"/>
          <w:lang w:val="en-US" w:eastAsia="zh-CN"/>
        </w:rPr>
        <w:t>11</w:t>
      </w:r>
      <w:r>
        <w:rPr>
          <w:rFonts w:hint="eastAsia" w:ascii="宋体" w:hAnsi="宋体" w:cs="宋体"/>
          <w:bCs/>
          <w:color w:val="auto"/>
          <w:szCs w:val="21"/>
        </w:rPr>
        <w:t>月</w:t>
      </w:r>
      <w:r>
        <w:rPr>
          <w:rFonts w:hint="eastAsia" w:ascii="宋体" w:hAnsi="宋体" w:cs="宋体"/>
          <w:bCs/>
          <w:color w:val="auto"/>
          <w:szCs w:val="21"/>
          <w:lang w:val="en-US" w:eastAsia="zh-CN"/>
        </w:rPr>
        <w:t>17</w:t>
      </w:r>
      <w:r>
        <w:rPr>
          <w:rFonts w:hint="eastAsia" w:ascii="宋体" w:hAnsi="宋体" w:cs="宋体"/>
          <w:bCs/>
          <w:color w:val="auto"/>
          <w:szCs w:val="21"/>
        </w:rPr>
        <w:t>日</w:t>
      </w:r>
      <w:r>
        <w:rPr>
          <w:rFonts w:hint="eastAsia" w:ascii="宋体" w:hAnsi="宋体" w:cs="宋体"/>
          <w:bCs/>
          <w:color w:val="auto"/>
          <w:szCs w:val="21"/>
          <w:lang w:val="en-US" w:eastAsia="zh-CN"/>
        </w:rPr>
        <w:t>15</w:t>
      </w:r>
      <w:r>
        <w:rPr>
          <w:rFonts w:hint="eastAsia" w:ascii="宋体" w:hAnsi="宋体" w:cs="宋体"/>
          <w:bCs/>
          <w:color w:val="auto"/>
          <w:szCs w:val="21"/>
        </w:rPr>
        <w:t>点</w:t>
      </w:r>
      <w:r>
        <w:rPr>
          <w:rFonts w:hint="eastAsia" w:ascii="宋体" w:hAnsi="宋体" w:cs="宋体"/>
          <w:bCs/>
          <w:color w:val="auto"/>
          <w:szCs w:val="21"/>
          <w:lang w:val="en-US" w:eastAsia="zh-CN"/>
        </w:rPr>
        <w:t>30</w:t>
      </w:r>
      <w:r>
        <w:rPr>
          <w:rFonts w:hint="eastAsia" w:ascii="宋体" w:hAnsi="宋体" w:cs="宋体"/>
          <w:bCs/>
          <w:color w:val="auto"/>
          <w:szCs w:val="21"/>
        </w:rPr>
        <w:t>分（北京时间）</w:t>
      </w:r>
    </w:p>
    <w:p>
      <w:pPr>
        <w:spacing w:line="240" w:lineRule="auto"/>
        <w:ind w:firstLine="420"/>
        <w:rPr>
          <w:rFonts w:hint="eastAsia" w:ascii="宋体" w:hAnsi="宋体" w:eastAsia="宋体" w:cs="宋体"/>
          <w:bCs/>
          <w:color w:val="auto"/>
          <w:szCs w:val="21"/>
          <w:lang w:eastAsia="zh-CN"/>
        </w:rPr>
      </w:pPr>
      <w:r>
        <w:rPr>
          <w:rFonts w:hint="eastAsia" w:ascii="宋体" w:hAnsi="宋体" w:cs="宋体"/>
          <w:bCs/>
          <w:color w:val="auto"/>
          <w:szCs w:val="21"/>
        </w:rPr>
        <w:t>地点：</w:t>
      </w:r>
      <w:r>
        <w:rPr>
          <w:rFonts w:hint="eastAsia" w:ascii="宋体" w:hAnsi="宋体" w:cs="宋体"/>
          <w:bCs/>
          <w:color w:val="auto"/>
          <w:szCs w:val="21"/>
          <w:lang w:eastAsia="zh-CN"/>
        </w:rPr>
        <w:t>富川瑶族自治县建筑市场交易中心(富川瑶族自治县富阳镇凤凰路85号2楼会议室)</w:t>
      </w:r>
    </w:p>
    <w:p>
      <w:pPr>
        <w:spacing w:line="240" w:lineRule="auto"/>
        <w:ind w:firstLine="420"/>
        <w:rPr>
          <w:rFonts w:ascii="宋体" w:hAnsi="宋体" w:cs="宋体"/>
          <w:b/>
          <w:color w:val="auto"/>
          <w:szCs w:val="21"/>
        </w:rPr>
      </w:pPr>
      <w:r>
        <w:rPr>
          <w:rFonts w:hint="eastAsia" w:ascii="宋体" w:hAnsi="宋体" w:cs="宋体"/>
          <w:b/>
          <w:color w:val="auto"/>
          <w:szCs w:val="21"/>
        </w:rPr>
        <w:t>五、开启</w:t>
      </w:r>
    </w:p>
    <w:p>
      <w:pPr>
        <w:spacing w:line="240" w:lineRule="auto"/>
        <w:ind w:firstLine="420" w:firstLineChars="200"/>
        <w:rPr>
          <w:rFonts w:ascii="宋体" w:hAnsi="宋体" w:cs="宋体"/>
          <w:bCs/>
          <w:color w:val="auto"/>
          <w:szCs w:val="21"/>
        </w:rPr>
      </w:pPr>
      <w:r>
        <w:rPr>
          <w:rFonts w:hint="eastAsia" w:ascii="宋体" w:hAnsi="宋体" w:cs="宋体"/>
          <w:bCs/>
          <w:color w:val="auto"/>
          <w:szCs w:val="21"/>
        </w:rPr>
        <w:t>时间：2020年</w:t>
      </w:r>
      <w:r>
        <w:rPr>
          <w:rFonts w:hint="eastAsia" w:ascii="宋体" w:hAnsi="宋体" w:cs="宋体"/>
          <w:bCs/>
          <w:color w:val="auto"/>
          <w:szCs w:val="21"/>
          <w:lang w:val="en-US" w:eastAsia="zh-CN"/>
        </w:rPr>
        <w:t>11</w:t>
      </w:r>
      <w:r>
        <w:rPr>
          <w:rFonts w:hint="eastAsia" w:ascii="宋体" w:hAnsi="宋体" w:cs="宋体"/>
          <w:bCs/>
          <w:color w:val="auto"/>
          <w:szCs w:val="21"/>
        </w:rPr>
        <w:t>月</w:t>
      </w:r>
      <w:r>
        <w:rPr>
          <w:rFonts w:hint="eastAsia" w:ascii="宋体" w:hAnsi="宋体" w:cs="宋体"/>
          <w:bCs/>
          <w:color w:val="auto"/>
          <w:szCs w:val="21"/>
          <w:lang w:val="en-US" w:eastAsia="zh-CN"/>
        </w:rPr>
        <w:t>17</w:t>
      </w:r>
      <w:r>
        <w:rPr>
          <w:rFonts w:hint="eastAsia" w:ascii="宋体" w:hAnsi="宋体" w:cs="宋体"/>
          <w:bCs/>
          <w:color w:val="auto"/>
          <w:szCs w:val="21"/>
        </w:rPr>
        <w:t>日</w:t>
      </w:r>
      <w:r>
        <w:rPr>
          <w:rFonts w:hint="eastAsia" w:ascii="宋体" w:hAnsi="宋体" w:cs="宋体"/>
          <w:bCs/>
          <w:color w:val="auto"/>
          <w:szCs w:val="21"/>
          <w:lang w:val="en-US" w:eastAsia="zh-CN"/>
        </w:rPr>
        <w:t>15</w:t>
      </w:r>
      <w:r>
        <w:rPr>
          <w:rFonts w:hint="eastAsia" w:ascii="宋体" w:hAnsi="宋体" w:cs="宋体"/>
          <w:bCs/>
          <w:color w:val="auto"/>
          <w:szCs w:val="21"/>
        </w:rPr>
        <w:t>点</w:t>
      </w:r>
      <w:r>
        <w:rPr>
          <w:rFonts w:hint="eastAsia" w:ascii="宋体" w:hAnsi="宋体" w:cs="宋体"/>
          <w:bCs/>
          <w:color w:val="auto"/>
          <w:szCs w:val="21"/>
          <w:lang w:val="en-US" w:eastAsia="zh-CN"/>
        </w:rPr>
        <w:t>30</w:t>
      </w:r>
      <w:r>
        <w:rPr>
          <w:rFonts w:hint="eastAsia" w:ascii="宋体" w:hAnsi="宋体" w:cs="宋体"/>
          <w:bCs/>
          <w:color w:val="auto"/>
          <w:szCs w:val="21"/>
        </w:rPr>
        <w:t>分（北京时间）</w:t>
      </w:r>
    </w:p>
    <w:p>
      <w:pPr>
        <w:spacing w:line="240" w:lineRule="auto"/>
        <w:ind w:firstLine="420" w:firstLineChars="200"/>
        <w:rPr>
          <w:rFonts w:ascii="宋体" w:hAnsi="宋体" w:cs="宋体"/>
          <w:bCs/>
          <w:color w:val="auto"/>
          <w:szCs w:val="21"/>
        </w:rPr>
      </w:pPr>
      <w:r>
        <w:rPr>
          <w:rFonts w:hint="eastAsia" w:ascii="宋体" w:hAnsi="宋体" w:cs="宋体"/>
          <w:bCs/>
          <w:color w:val="auto"/>
          <w:szCs w:val="21"/>
        </w:rPr>
        <w:t>地点：同投标文件提交地点。</w:t>
      </w:r>
    </w:p>
    <w:p>
      <w:pPr>
        <w:spacing w:line="240" w:lineRule="auto"/>
        <w:ind w:firstLine="420"/>
        <w:rPr>
          <w:rFonts w:ascii="宋体" w:hAnsi="宋体" w:cs="宋体"/>
          <w:bCs/>
          <w:color w:val="auto"/>
          <w:szCs w:val="21"/>
        </w:rPr>
      </w:pPr>
      <w:r>
        <w:rPr>
          <w:rFonts w:hint="eastAsia" w:ascii="宋体" w:hAnsi="宋体" w:cs="宋体"/>
          <w:b/>
          <w:color w:val="auto"/>
          <w:szCs w:val="21"/>
        </w:rPr>
        <w:t>六、公告期限</w:t>
      </w:r>
    </w:p>
    <w:p>
      <w:pPr>
        <w:spacing w:line="240" w:lineRule="auto"/>
        <w:ind w:firstLine="420"/>
        <w:rPr>
          <w:rFonts w:ascii="宋体" w:hAnsi="宋体" w:cs="宋体"/>
          <w:bCs/>
          <w:color w:val="auto"/>
          <w:szCs w:val="21"/>
        </w:rPr>
      </w:pPr>
      <w:r>
        <w:rPr>
          <w:rFonts w:hint="eastAsia" w:ascii="宋体" w:hAnsi="宋体" w:cs="宋体"/>
          <w:bCs/>
          <w:color w:val="auto"/>
          <w:szCs w:val="21"/>
        </w:rPr>
        <w:t>自本公告发布之日起5个工作日。</w:t>
      </w:r>
    </w:p>
    <w:p>
      <w:pPr>
        <w:spacing w:line="240" w:lineRule="auto"/>
        <w:ind w:firstLine="420"/>
        <w:rPr>
          <w:rFonts w:ascii="宋体" w:hAnsi="宋体" w:cs="宋体"/>
          <w:bCs/>
          <w:color w:val="auto"/>
          <w:szCs w:val="21"/>
        </w:rPr>
      </w:pPr>
      <w:r>
        <w:rPr>
          <w:rFonts w:hint="eastAsia" w:ascii="宋体" w:hAnsi="宋体" w:cs="宋体"/>
          <w:b/>
          <w:color w:val="auto"/>
          <w:szCs w:val="21"/>
        </w:rPr>
        <w:t>七、其他补充事宜</w:t>
      </w:r>
    </w:p>
    <w:p>
      <w:pPr>
        <w:spacing w:line="240" w:lineRule="auto"/>
        <w:ind w:firstLine="405"/>
        <w:rPr>
          <w:rFonts w:hint="eastAsia" w:ascii="宋体" w:hAnsi="宋体" w:cs="宋体"/>
          <w:color w:val="auto"/>
        </w:rPr>
      </w:pPr>
      <w:r>
        <w:rPr>
          <w:rFonts w:hint="eastAsia" w:ascii="宋体" w:hAnsi="宋体" w:cs="宋体"/>
          <w:bCs/>
          <w:color w:val="auto"/>
          <w:szCs w:val="21"/>
        </w:rPr>
        <w:t>1.落实的政府采购政策：</w:t>
      </w:r>
      <w:r>
        <w:rPr>
          <w:rFonts w:hint="eastAsia" w:ascii="宋体" w:hAnsi="宋体" w:cs="宋体"/>
          <w:color w:val="auto"/>
        </w:rPr>
        <w:t>《政府采购促进中小企业发展暂行办法》（财库2011）181号）、《关于政府采购支持监狱企业发展有关问题的通知》（财库[2014]68号）、《关于促进残疾人就业政府采购政策的通知》（财库〔2017〕141号）、政府采购支持采用本国产品的政策、强制采购、优先采购环境标志产品、节能产品等。</w:t>
      </w:r>
    </w:p>
    <w:p>
      <w:pPr>
        <w:pStyle w:val="4"/>
        <w:numPr>
          <w:ilvl w:val="0"/>
          <w:numId w:val="0"/>
        </w:numPr>
        <w:spacing w:line="240" w:lineRule="auto"/>
        <w:ind w:firstLine="420" w:firstLineChars="200"/>
        <w:rPr>
          <w:rFonts w:ascii="宋体" w:hAnsi="宋体" w:eastAsia="宋体" w:cs="宋体"/>
          <w:b w:val="0"/>
          <w:color w:val="auto"/>
          <w:sz w:val="21"/>
          <w:szCs w:val="21"/>
        </w:rPr>
      </w:pPr>
      <w:bookmarkStart w:id="6" w:name="_Toc13974"/>
      <w:bookmarkStart w:id="7" w:name="_Toc28541"/>
      <w:r>
        <w:rPr>
          <w:rFonts w:hint="eastAsia" w:ascii="宋体" w:hAnsi="宋体" w:eastAsia="宋体" w:cs="宋体"/>
          <w:b w:val="0"/>
          <w:color w:val="auto"/>
          <w:sz w:val="21"/>
          <w:szCs w:val="21"/>
          <w:lang w:val="en-US" w:eastAsia="zh-CN"/>
        </w:rPr>
        <w:t>2.</w:t>
      </w:r>
      <w:r>
        <w:rPr>
          <w:rFonts w:hint="eastAsia" w:ascii="宋体" w:hAnsi="宋体" w:eastAsia="宋体" w:cs="宋体"/>
          <w:b w:val="0"/>
          <w:color w:val="auto"/>
          <w:sz w:val="21"/>
          <w:szCs w:val="21"/>
        </w:rPr>
        <w:t>扶持中小企业政策：评审时小型和微型企业产品的价格给予</w:t>
      </w:r>
      <w:r>
        <w:rPr>
          <w:rFonts w:hint="eastAsia" w:ascii="宋体" w:hAnsi="宋体" w:eastAsia="宋体" w:cs="宋体"/>
          <w:b w:val="0"/>
          <w:color w:val="auto"/>
          <w:sz w:val="21"/>
          <w:szCs w:val="21"/>
          <w:lang w:val="en-US" w:eastAsia="zh-CN"/>
        </w:rPr>
        <w:t>10</w:t>
      </w:r>
      <w:r>
        <w:rPr>
          <w:rFonts w:hint="eastAsia" w:ascii="宋体" w:hAnsi="宋体" w:eastAsia="宋体" w:cs="宋体"/>
          <w:b w:val="0"/>
          <w:color w:val="auto"/>
          <w:sz w:val="21"/>
          <w:szCs w:val="21"/>
        </w:rPr>
        <w:t>%的扣除。监狱企业、残疾人福利性单位视同小型和微型企业，其产品在评审时给予相同的价格扣除。</w:t>
      </w:r>
      <w:bookmarkEnd w:id="6"/>
      <w:bookmarkEnd w:id="7"/>
    </w:p>
    <w:p>
      <w:pPr>
        <w:spacing w:line="240" w:lineRule="auto"/>
        <w:ind w:firstLine="210" w:firstLineChars="100"/>
        <w:rPr>
          <w:rFonts w:ascii="宋体" w:hAnsi="宋体" w:cs="宋体"/>
          <w:color w:val="auto"/>
          <w:szCs w:val="21"/>
        </w:rPr>
      </w:pPr>
      <w:r>
        <w:rPr>
          <w:rFonts w:hint="eastAsia" w:ascii="宋体" w:hAnsi="宋体" w:cs="宋体"/>
          <w:bCs/>
          <w:color w:val="auto"/>
          <w:szCs w:val="21"/>
          <w:lang w:val="en-US" w:eastAsia="zh-CN"/>
        </w:rPr>
        <w:t>3</w:t>
      </w:r>
      <w:r>
        <w:rPr>
          <w:rFonts w:hint="eastAsia" w:ascii="宋体" w:hAnsi="宋体" w:cs="宋体"/>
          <w:bCs/>
          <w:color w:val="auto"/>
          <w:szCs w:val="21"/>
        </w:rPr>
        <w:t>.投标保证金(人民币)：壹万元整。</w:t>
      </w:r>
    </w:p>
    <w:p>
      <w:pPr>
        <w:spacing w:line="240" w:lineRule="auto"/>
        <w:ind w:firstLine="420" w:firstLineChars="200"/>
        <w:rPr>
          <w:rFonts w:ascii="宋体" w:hAnsi="宋体" w:cs="宋体"/>
          <w:color w:val="auto"/>
          <w:szCs w:val="21"/>
        </w:rPr>
      </w:pPr>
      <w:r>
        <w:rPr>
          <w:rFonts w:hint="eastAsia" w:ascii="宋体" w:hAnsi="宋体" w:cs="宋体"/>
          <w:color w:val="auto"/>
          <w:szCs w:val="21"/>
        </w:rPr>
        <w:t>投标人应将投标保证金以支票、汇票、本票、转账、电汇或者金融机构出具的保函等非现金形式提交至以下账户，</w:t>
      </w:r>
      <w:r>
        <w:rPr>
          <w:rFonts w:hint="eastAsia" w:ascii="宋体" w:hAnsi="宋体" w:cs="宋体"/>
          <w:color w:val="auto"/>
          <w:szCs w:val="21"/>
          <w:lang w:eastAsia="zh-CN"/>
        </w:rPr>
        <w:t>（</w:t>
      </w:r>
      <w:r>
        <w:rPr>
          <w:rFonts w:hint="eastAsia" w:ascii="宋体" w:hAnsi="宋体" w:cs="宋体"/>
          <w:color w:val="auto"/>
          <w:szCs w:val="21"/>
          <w:lang w:val="en-US" w:eastAsia="zh-CN"/>
        </w:rPr>
        <w:t>备注：受疫情影响下中小微企业（在提供真实可信证明材料的前提下），本项目不收取投标保证金。</w:t>
      </w:r>
      <w:r>
        <w:rPr>
          <w:rFonts w:hint="eastAsia" w:ascii="宋体" w:hAnsi="宋体" w:cs="宋体"/>
          <w:color w:val="auto"/>
          <w:szCs w:val="21"/>
          <w:lang w:eastAsia="zh-CN"/>
        </w:rPr>
        <w:t>）</w:t>
      </w:r>
      <w:r>
        <w:rPr>
          <w:rFonts w:hint="eastAsia" w:ascii="宋体" w:hAnsi="宋体" w:cs="宋体"/>
          <w:color w:val="auto"/>
          <w:szCs w:val="21"/>
        </w:rPr>
        <w:t>并于投标截止时间前到账，到账时间以银行确认的到账时间为准(注：若以支票、汇票、本票方式提交的，交款人必须是投标人；若以转账、电汇方式提交的，必须从投标人银行账户转出；若以现金方式交纳或者没有足额交纳的视为无效投标。</w:t>
      </w:r>
    </w:p>
    <w:p>
      <w:pPr>
        <w:spacing w:line="240" w:lineRule="auto"/>
        <w:ind w:firstLine="420" w:firstLineChars="200"/>
        <w:rPr>
          <w:rFonts w:hint="eastAsia" w:ascii="宋体" w:hAnsi="宋体" w:cs="宋体"/>
          <w:color w:val="auto"/>
          <w:szCs w:val="21"/>
        </w:rPr>
      </w:pPr>
      <w:r>
        <w:rPr>
          <w:rFonts w:hint="eastAsia" w:ascii="宋体" w:hAnsi="宋体" w:cs="宋体"/>
          <w:color w:val="auto"/>
          <w:szCs w:val="21"/>
        </w:rPr>
        <w:t>开户名：广西天立工程造价咨询有限公司贺州分公司</w:t>
      </w:r>
      <w:r>
        <w:rPr>
          <w:rFonts w:hint="eastAsia" w:ascii="宋体" w:hAnsi="宋体" w:cs="宋体"/>
          <w:color w:val="auto"/>
          <w:szCs w:val="21"/>
        </w:rPr>
        <w:tab/>
      </w:r>
    </w:p>
    <w:p>
      <w:pPr>
        <w:spacing w:line="240" w:lineRule="auto"/>
        <w:ind w:firstLine="420" w:firstLineChars="200"/>
        <w:rPr>
          <w:rFonts w:hint="eastAsia" w:ascii="宋体" w:hAnsi="宋体" w:cs="宋体"/>
          <w:color w:val="auto"/>
          <w:szCs w:val="21"/>
        </w:rPr>
      </w:pPr>
      <w:r>
        <w:rPr>
          <w:rFonts w:hint="eastAsia" w:ascii="宋体" w:hAnsi="宋体" w:cs="宋体"/>
          <w:color w:val="auto"/>
          <w:szCs w:val="21"/>
        </w:rPr>
        <w:t>账  号：2109  3805  1910  0060  905</w:t>
      </w:r>
      <w:r>
        <w:rPr>
          <w:rFonts w:hint="eastAsia" w:ascii="宋体" w:hAnsi="宋体" w:cs="宋体"/>
          <w:color w:val="auto"/>
          <w:szCs w:val="21"/>
        </w:rPr>
        <w:tab/>
      </w:r>
    </w:p>
    <w:p>
      <w:pPr>
        <w:spacing w:line="240" w:lineRule="auto"/>
        <w:ind w:firstLine="420" w:firstLineChars="200"/>
        <w:rPr>
          <w:rFonts w:hint="eastAsia" w:ascii="宋体" w:hAnsi="宋体" w:cs="宋体"/>
          <w:color w:val="auto"/>
          <w:szCs w:val="21"/>
        </w:rPr>
      </w:pPr>
      <w:r>
        <w:rPr>
          <w:rFonts w:hint="eastAsia" w:ascii="宋体" w:hAnsi="宋体" w:cs="宋体"/>
          <w:color w:val="auto"/>
          <w:szCs w:val="21"/>
        </w:rPr>
        <w:t>开户行：中国工商银行股份有限公司贺州市西约支行</w:t>
      </w:r>
    </w:p>
    <w:p>
      <w:pPr>
        <w:spacing w:line="240" w:lineRule="auto"/>
        <w:ind w:firstLine="420" w:firstLineChars="200"/>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.投标人可以由法定代表人或委托代理人出席开标会议（携带本人身份证原件，委托代理人出席应携带单位授权委托书原件，投标保证金</w:t>
      </w:r>
      <w:r>
        <w:rPr>
          <w:rFonts w:hint="eastAsia"/>
          <w:color w:val="auto"/>
        </w:rPr>
        <w:t>缴纳凭证</w:t>
      </w:r>
      <w:r>
        <w:rPr>
          <w:rFonts w:hint="eastAsia" w:ascii="宋体" w:hAnsi="宋体" w:cs="宋体"/>
          <w:color w:val="auto"/>
          <w:szCs w:val="21"/>
        </w:rPr>
        <w:t>底单复印件、投标人银行基本帐户开户许可证复印件或基本存款账户信息表加盖单位公章，否则其投标文件不予接收）。</w:t>
      </w:r>
    </w:p>
    <w:p>
      <w:pPr>
        <w:spacing w:line="240" w:lineRule="auto"/>
        <w:ind w:firstLine="420" w:firstLineChars="200"/>
        <w:rPr>
          <w:rFonts w:hint="eastAsia" w:ascii="宋体" w:hAnsi="宋体" w:eastAsia="宋体" w:cs="宋体"/>
          <w:bCs/>
          <w:color w:val="auto"/>
          <w:szCs w:val="21"/>
          <w:lang w:eastAsia="zh-CN"/>
        </w:rPr>
      </w:pPr>
      <w:r>
        <w:rPr>
          <w:rFonts w:hint="eastAsia" w:ascii="宋体" w:hAnsi="宋体" w:cs="宋体"/>
          <w:bCs/>
          <w:color w:val="auto"/>
          <w:szCs w:val="21"/>
          <w:lang w:val="en-US" w:eastAsia="zh-CN"/>
        </w:rPr>
        <w:t>5</w:t>
      </w:r>
      <w:r>
        <w:rPr>
          <w:rFonts w:hint="eastAsia" w:ascii="宋体" w:hAnsi="宋体" w:cs="宋体"/>
          <w:bCs/>
          <w:color w:val="auto"/>
          <w:szCs w:val="21"/>
        </w:rPr>
        <w:t>.</w:t>
      </w:r>
      <w:r>
        <w:rPr>
          <w:rFonts w:hint="eastAsia" w:ascii="宋体" w:hAnsi="宋体" w:cs="宋体"/>
          <w:bCs/>
          <w:color w:val="auto"/>
        </w:rPr>
        <w:t>发布公告的媒介：中国政府采购网、广西壮族自治区政府采购网</w:t>
      </w:r>
      <w:r>
        <w:rPr>
          <w:rFonts w:hint="eastAsia" w:ascii="宋体" w:hAnsi="宋体" w:cs="宋体"/>
          <w:bCs/>
          <w:color w:val="auto"/>
          <w:lang w:eastAsia="zh-CN"/>
        </w:rPr>
        <w:t>。</w:t>
      </w:r>
    </w:p>
    <w:p>
      <w:pPr>
        <w:spacing w:line="240" w:lineRule="auto"/>
        <w:ind w:firstLine="420"/>
        <w:rPr>
          <w:rFonts w:ascii="宋体" w:hAnsi="宋体" w:cs="宋体"/>
          <w:bCs/>
          <w:color w:val="auto"/>
          <w:szCs w:val="21"/>
        </w:rPr>
      </w:pPr>
      <w:r>
        <w:rPr>
          <w:rFonts w:hint="eastAsia" w:ascii="宋体" w:hAnsi="宋体" w:cs="宋体"/>
          <w:b/>
          <w:color w:val="auto"/>
          <w:szCs w:val="21"/>
        </w:rPr>
        <w:t>八、凡对本次采购提出询问，请按以下方式联系。</w:t>
      </w:r>
    </w:p>
    <w:p>
      <w:pPr>
        <w:spacing w:line="240" w:lineRule="auto"/>
        <w:ind w:firstLine="420"/>
        <w:rPr>
          <w:rFonts w:ascii="宋体" w:hAnsi="宋体" w:cs="宋体"/>
          <w:bCs/>
          <w:color w:val="auto"/>
          <w:szCs w:val="21"/>
        </w:rPr>
      </w:pPr>
      <w:r>
        <w:rPr>
          <w:rFonts w:hint="eastAsia" w:ascii="宋体" w:hAnsi="宋体" w:cs="宋体"/>
          <w:bCs/>
          <w:color w:val="auto"/>
          <w:szCs w:val="21"/>
        </w:rPr>
        <w:t>1.招标单位信息</w:t>
      </w:r>
    </w:p>
    <w:p>
      <w:pPr>
        <w:spacing w:line="240" w:lineRule="auto"/>
        <w:ind w:firstLine="420"/>
        <w:rPr>
          <w:rFonts w:hint="eastAsia" w:ascii="宋体" w:hAnsi="宋体" w:eastAsia="宋体" w:cs="宋体"/>
          <w:bCs/>
          <w:color w:val="auto"/>
          <w:szCs w:val="21"/>
          <w:lang w:eastAsia="zh-CN"/>
        </w:rPr>
      </w:pPr>
      <w:r>
        <w:rPr>
          <w:rFonts w:hint="eastAsia" w:ascii="宋体" w:hAnsi="宋体" w:cs="宋体"/>
          <w:bCs/>
          <w:color w:val="auto"/>
          <w:szCs w:val="21"/>
        </w:rPr>
        <w:t>名 称：</w:t>
      </w:r>
      <w:r>
        <w:rPr>
          <w:rFonts w:hint="eastAsia" w:ascii="宋体" w:hAnsi="宋体" w:cs="宋体"/>
          <w:color w:val="auto"/>
          <w:szCs w:val="21"/>
          <w:lang w:eastAsia="zh-CN"/>
        </w:rPr>
        <w:t xml:space="preserve"> 富川瑶族自治县民族医医院</w:t>
      </w:r>
    </w:p>
    <w:p>
      <w:pPr>
        <w:spacing w:line="240" w:lineRule="auto"/>
        <w:ind w:firstLine="420"/>
        <w:rPr>
          <w:rFonts w:ascii="宋体" w:hAnsi="宋体" w:cs="宋体"/>
          <w:bCs/>
          <w:color w:val="auto"/>
          <w:szCs w:val="21"/>
        </w:rPr>
      </w:pPr>
      <w:r>
        <w:rPr>
          <w:rFonts w:hint="eastAsia" w:ascii="宋体" w:hAnsi="宋体" w:cs="宋体"/>
          <w:bCs/>
          <w:color w:val="auto"/>
          <w:szCs w:val="21"/>
        </w:rPr>
        <w:t>地 址：</w:t>
      </w:r>
      <w:r>
        <w:rPr>
          <w:rFonts w:hint="eastAsia" w:asciiTheme="minorEastAsia" w:hAnsiTheme="minorEastAsia" w:eastAsiaTheme="minorEastAsia" w:cstheme="minorEastAsia"/>
          <w:color w:val="000000" w:themeColor="text1"/>
          <w:szCs w:val="21"/>
        </w:rPr>
        <w:t>富川瑶族自治县民族路26号</w:t>
      </w:r>
    </w:p>
    <w:p>
      <w:pPr>
        <w:spacing w:line="240" w:lineRule="auto"/>
        <w:ind w:firstLine="420"/>
        <w:rPr>
          <w:rFonts w:ascii="宋体" w:hAnsi="宋体" w:cs="宋体"/>
          <w:bCs/>
          <w:color w:val="auto"/>
          <w:szCs w:val="21"/>
        </w:rPr>
      </w:pPr>
      <w:r>
        <w:rPr>
          <w:rFonts w:hint="eastAsia" w:ascii="宋体" w:hAnsi="宋体" w:cs="宋体"/>
          <w:bCs/>
          <w:color w:val="auto"/>
          <w:szCs w:val="21"/>
        </w:rPr>
        <w:t>联系方式：石工，0774-7891626  </w:t>
      </w:r>
    </w:p>
    <w:p>
      <w:pPr>
        <w:spacing w:line="240" w:lineRule="auto"/>
        <w:ind w:firstLine="420"/>
        <w:rPr>
          <w:rFonts w:ascii="宋体" w:hAnsi="宋体" w:cs="宋体"/>
          <w:bCs/>
          <w:color w:val="auto"/>
          <w:szCs w:val="21"/>
        </w:rPr>
      </w:pPr>
      <w:r>
        <w:rPr>
          <w:rFonts w:hint="eastAsia" w:ascii="宋体" w:hAnsi="宋体" w:cs="宋体"/>
          <w:bCs/>
          <w:color w:val="auto"/>
          <w:szCs w:val="21"/>
        </w:rPr>
        <w:t>2.招标代理机构信息</w:t>
      </w:r>
    </w:p>
    <w:p>
      <w:pPr>
        <w:spacing w:line="240" w:lineRule="auto"/>
        <w:ind w:firstLine="420"/>
        <w:rPr>
          <w:rFonts w:hint="eastAsia" w:ascii="宋体" w:hAnsi="宋体" w:eastAsia="宋体" w:cs="宋体"/>
          <w:bCs/>
          <w:color w:val="auto"/>
          <w:szCs w:val="21"/>
          <w:lang w:eastAsia="zh-CN"/>
        </w:rPr>
      </w:pPr>
      <w:r>
        <w:rPr>
          <w:rFonts w:hint="eastAsia" w:ascii="宋体" w:hAnsi="宋体" w:cs="宋体"/>
          <w:bCs/>
          <w:color w:val="auto"/>
          <w:szCs w:val="21"/>
        </w:rPr>
        <w:t>名 称：</w:t>
      </w:r>
      <w:r>
        <w:rPr>
          <w:rFonts w:hint="eastAsia" w:ascii="宋体" w:hAnsi="宋体" w:cs="宋体"/>
          <w:color w:val="auto"/>
          <w:szCs w:val="21"/>
          <w:lang w:eastAsia="zh-CN"/>
        </w:rPr>
        <w:t xml:space="preserve"> 广西天立工程造价咨询有限公司</w:t>
      </w:r>
    </w:p>
    <w:p>
      <w:pPr>
        <w:spacing w:line="240" w:lineRule="auto"/>
        <w:ind w:firstLine="424" w:firstLineChars="202"/>
        <w:jc w:val="left"/>
        <w:rPr>
          <w:rFonts w:hint="default" w:ascii="宋体" w:hAnsi="宋体" w:eastAsia="宋体" w:cs="宋体"/>
          <w:bCs/>
          <w:color w:val="auto"/>
          <w:szCs w:val="21"/>
          <w:lang w:val="en-US" w:eastAsia="zh-CN"/>
        </w:rPr>
      </w:pPr>
      <w:r>
        <w:rPr>
          <w:rFonts w:hint="eastAsia" w:ascii="宋体" w:hAnsi="宋体" w:cs="宋体"/>
          <w:bCs/>
          <w:color w:val="auto"/>
          <w:szCs w:val="21"/>
        </w:rPr>
        <w:t>地 址：</w:t>
      </w:r>
      <w:r>
        <w:rPr>
          <w:rFonts w:hint="eastAsia" w:ascii="宋体" w:hAnsi="宋体" w:cs="宋体"/>
          <w:color w:val="auto"/>
          <w:szCs w:val="21"/>
        </w:rPr>
        <w:t>贺州市</w:t>
      </w:r>
      <w:r>
        <w:rPr>
          <w:rFonts w:hint="eastAsia" w:ascii="宋体" w:hAnsi="宋体" w:cs="宋体"/>
          <w:color w:val="auto"/>
          <w:szCs w:val="21"/>
          <w:lang w:val="en-US" w:eastAsia="zh-CN"/>
        </w:rPr>
        <w:t>新风街92号</w:t>
      </w:r>
    </w:p>
    <w:p>
      <w:pPr>
        <w:spacing w:line="240" w:lineRule="auto"/>
        <w:ind w:firstLine="420"/>
        <w:rPr>
          <w:rFonts w:hint="default" w:ascii="宋体" w:hAnsi="宋体" w:eastAsia="宋体" w:cs="宋体"/>
          <w:bCs/>
          <w:color w:val="auto"/>
          <w:szCs w:val="21"/>
          <w:lang w:val="en-US" w:eastAsia="zh-CN"/>
        </w:rPr>
      </w:pPr>
      <w:r>
        <w:rPr>
          <w:rFonts w:hint="eastAsia" w:ascii="宋体" w:hAnsi="宋体" w:cs="宋体"/>
          <w:bCs/>
          <w:color w:val="auto"/>
          <w:szCs w:val="21"/>
        </w:rPr>
        <w:t>联系方式：0774-</w:t>
      </w:r>
      <w:r>
        <w:rPr>
          <w:rFonts w:hint="eastAsia" w:ascii="宋体" w:hAnsi="宋体" w:cs="宋体"/>
          <w:bCs/>
          <w:color w:val="auto"/>
          <w:szCs w:val="21"/>
          <w:lang w:val="en-US" w:eastAsia="zh-CN"/>
        </w:rPr>
        <w:t>5270990</w:t>
      </w:r>
    </w:p>
    <w:p>
      <w:pPr>
        <w:spacing w:line="240" w:lineRule="auto"/>
        <w:ind w:firstLine="420" w:firstLineChars="200"/>
        <w:rPr>
          <w:rFonts w:hint="eastAsia" w:ascii="宋体" w:hAnsi="宋体" w:eastAsia="宋体" w:cs="宋体"/>
          <w:bCs/>
          <w:color w:val="auto"/>
          <w:szCs w:val="21"/>
          <w:lang w:eastAsia="zh-CN"/>
        </w:rPr>
      </w:pPr>
      <w:r>
        <w:rPr>
          <w:rFonts w:hint="eastAsia" w:ascii="宋体" w:hAnsi="宋体" w:cs="宋体"/>
          <w:bCs/>
          <w:color w:val="auto"/>
          <w:szCs w:val="21"/>
        </w:rPr>
        <w:t>3.监督部门：</w:t>
      </w:r>
      <w:r>
        <w:rPr>
          <w:rFonts w:hint="eastAsia" w:ascii="宋体" w:hAnsi="宋体" w:cs="宋体"/>
          <w:color w:val="auto"/>
          <w:szCs w:val="21"/>
          <w:lang w:eastAsia="zh-CN"/>
        </w:rPr>
        <w:t>富川瑶族自治县财政局采购管理办公室    联系电话：0774-7882324</w:t>
      </w:r>
    </w:p>
    <w:p>
      <w:pPr>
        <w:spacing w:line="240" w:lineRule="auto"/>
        <w:ind w:firstLine="420" w:firstLineChars="200"/>
        <w:rPr>
          <w:rFonts w:ascii="宋体" w:hAnsi="宋体" w:cs="宋体"/>
          <w:bCs/>
          <w:color w:val="auto"/>
          <w:szCs w:val="21"/>
        </w:rPr>
      </w:pPr>
      <w:r>
        <w:rPr>
          <w:rFonts w:hint="eastAsia" w:ascii="宋体" w:hAnsi="宋体" w:cs="宋体"/>
          <w:bCs/>
          <w:color w:val="auto"/>
          <w:szCs w:val="21"/>
        </w:rPr>
        <w:t>4.项目联系方式</w:t>
      </w:r>
    </w:p>
    <w:p>
      <w:pPr>
        <w:spacing w:line="240" w:lineRule="auto"/>
        <w:ind w:firstLine="420"/>
        <w:rPr>
          <w:rFonts w:hint="default" w:ascii="宋体" w:hAnsi="宋体" w:eastAsia="宋体" w:cs="宋体"/>
          <w:bCs/>
          <w:color w:val="auto"/>
          <w:szCs w:val="21"/>
          <w:lang w:val="en-US" w:eastAsia="zh-CN"/>
        </w:rPr>
      </w:pPr>
      <w:r>
        <w:rPr>
          <w:rFonts w:hint="eastAsia" w:ascii="宋体" w:hAnsi="宋体" w:cs="宋体"/>
          <w:bCs/>
          <w:color w:val="auto"/>
          <w:szCs w:val="21"/>
        </w:rPr>
        <w:t>项目联系人：小</w:t>
      </w:r>
      <w:r>
        <w:rPr>
          <w:rFonts w:hint="eastAsia" w:ascii="宋体" w:hAnsi="宋体" w:cs="宋体"/>
          <w:bCs/>
          <w:color w:val="auto"/>
          <w:szCs w:val="21"/>
          <w:lang w:val="en-US" w:eastAsia="zh-CN"/>
        </w:rPr>
        <w:t>曾</w:t>
      </w:r>
      <w:r>
        <w:rPr>
          <w:rFonts w:hint="eastAsia" w:ascii="宋体" w:hAnsi="宋体" w:cs="宋体"/>
          <w:bCs/>
          <w:color w:val="auto"/>
          <w:szCs w:val="21"/>
        </w:rPr>
        <w:t xml:space="preserve">   电话：0774-</w:t>
      </w:r>
      <w:r>
        <w:rPr>
          <w:rFonts w:hint="eastAsia" w:ascii="宋体" w:hAnsi="宋体" w:cs="宋体"/>
          <w:bCs/>
          <w:color w:val="auto"/>
          <w:szCs w:val="21"/>
          <w:lang w:val="en-US" w:eastAsia="zh-CN"/>
        </w:rPr>
        <w:t>5270990</w:t>
      </w:r>
    </w:p>
    <w:p>
      <w:pPr>
        <w:spacing w:line="240" w:lineRule="auto"/>
        <w:jc w:val="center"/>
        <w:rPr>
          <w:rFonts w:ascii="宋体" w:hAnsi="宋体" w:cs="宋体"/>
          <w:b/>
          <w:color w:val="auto"/>
          <w:sz w:val="24"/>
        </w:rPr>
      </w:pPr>
    </w:p>
    <w:p>
      <w:pPr>
        <w:spacing w:line="240" w:lineRule="auto"/>
        <w:ind w:firstLine="4830" w:firstLineChars="2300"/>
        <w:jc w:val="both"/>
        <w:rPr>
          <w:rFonts w:hint="eastAsia" w:ascii="宋体" w:hAnsi="宋体" w:eastAsia="宋体" w:cs="宋体"/>
          <w:color w:val="auto"/>
          <w:szCs w:val="21"/>
          <w:lang w:eastAsia="zh-CN"/>
        </w:rPr>
      </w:pPr>
      <w:r>
        <w:rPr>
          <w:rFonts w:hint="eastAsia" w:ascii="宋体" w:hAnsi="宋体" w:cs="宋体"/>
          <w:color w:val="auto"/>
          <w:szCs w:val="21"/>
        </w:rPr>
        <w:t>招标单位：</w:t>
      </w:r>
      <w:r>
        <w:rPr>
          <w:rFonts w:hint="eastAsia" w:ascii="宋体" w:hAnsi="宋体" w:cs="宋体"/>
          <w:color w:val="auto"/>
          <w:szCs w:val="21"/>
          <w:lang w:eastAsia="zh-CN"/>
        </w:rPr>
        <w:t xml:space="preserve"> 富川瑶族自治县民族医医院</w:t>
      </w:r>
    </w:p>
    <w:p>
      <w:pPr>
        <w:pStyle w:val="21"/>
        <w:spacing w:line="240" w:lineRule="auto"/>
        <w:rPr>
          <w:color w:val="auto"/>
        </w:rPr>
      </w:pPr>
    </w:p>
    <w:p>
      <w:pPr>
        <w:spacing w:line="240" w:lineRule="auto"/>
        <w:ind w:firstLine="424" w:firstLineChars="202"/>
        <w:jc w:val="right"/>
        <w:rPr>
          <w:rFonts w:hint="eastAsia" w:ascii="宋体" w:hAnsi="宋体" w:eastAsia="宋体" w:cs="宋体"/>
          <w:color w:val="auto"/>
          <w:szCs w:val="21"/>
          <w:lang w:eastAsia="zh-CN"/>
        </w:rPr>
      </w:pPr>
      <w:r>
        <w:rPr>
          <w:rFonts w:hint="eastAsia" w:ascii="宋体" w:hAnsi="宋体" w:cs="宋体"/>
          <w:color w:val="auto"/>
          <w:szCs w:val="21"/>
        </w:rPr>
        <w:t>招标代理机构：</w:t>
      </w:r>
      <w:r>
        <w:rPr>
          <w:rFonts w:hint="eastAsia" w:ascii="宋体" w:hAnsi="宋体" w:cs="宋体"/>
          <w:color w:val="auto"/>
          <w:szCs w:val="21"/>
          <w:lang w:eastAsia="zh-CN"/>
        </w:rPr>
        <w:t xml:space="preserve"> 广西天立工程造价咨询有限公司</w:t>
      </w:r>
    </w:p>
    <w:p>
      <w:pPr>
        <w:spacing w:line="240" w:lineRule="auto"/>
        <w:ind w:firstLine="424" w:firstLineChars="202"/>
        <w:jc w:val="right"/>
        <w:rPr>
          <w:rFonts w:ascii="宋体" w:hAnsi="宋体" w:cs="宋体"/>
          <w:color w:val="auto"/>
          <w:szCs w:val="21"/>
        </w:rPr>
      </w:pPr>
      <w:r>
        <w:rPr>
          <w:rFonts w:hint="eastAsia" w:ascii="宋体" w:hAnsi="宋体" w:cs="宋体"/>
          <w:color w:val="auto"/>
          <w:szCs w:val="21"/>
        </w:rPr>
        <w:t>2020年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27</w:t>
      </w:r>
      <w:r>
        <w:rPr>
          <w:rFonts w:hint="eastAsia" w:ascii="宋体" w:hAnsi="宋体" w:cs="宋体"/>
          <w:color w:val="auto"/>
          <w:szCs w:val="21"/>
        </w:rPr>
        <w:t>日</w:t>
      </w:r>
    </w:p>
    <w:p>
      <w:pPr>
        <w:spacing w:line="240" w:lineRule="auto"/>
        <w:rPr>
          <w:rFonts w:ascii="宋体" w:hAnsi="宋体" w:cs="宋体"/>
          <w:b/>
          <w:color w:val="auto"/>
          <w:sz w:val="44"/>
          <w:szCs w:val="44"/>
        </w:rPr>
      </w:pPr>
      <w:r>
        <w:rPr>
          <w:rFonts w:hint="eastAsia" w:ascii="宋体" w:hAnsi="宋体" w:cs="宋体"/>
          <w:color w:val="auto"/>
        </w:rPr>
        <w:br w:type="page"/>
      </w:r>
    </w:p>
    <w:p>
      <w:pPr>
        <w:pStyle w:val="143"/>
        <w:widowControl w:val="0"/>
        <w:spacing w:afterLines="0"/>
        <w:ind w:firstLine="0" w:firstLineChars="0"/>
        <w:jc w:val="center"/>
        <w:rPr>
          <w:rFonts w:ascii="宋体" w:hAnsi="宋体" w:cs="宋体"/>
          <w:b/>
          <w:color w:val="auto"/>
          <w:sz w:val="44"/>
          <w:szCs w:val="44"/>
        </w:rPr>
      </w:pPr>
    </w:p>
    <w:p>
      <w:pPr>
        <w:pStyle w:val="143"/>
        <w:widowControl w:val="0"/>
        <w:spacing w:afterLines="0"/>
        <w:ind w:firstLine="0" w:firstLineChars="0"/>
        <w:jc w:val="center"/>
        <w:rPr>
          <w:rFonts w:ascii="宋体" w:hAnsi="宋体" w:cs="宋体"/>
          <w:b/>
          <w:color w:val="auto"/>
          <w:sz w:val="44"/>
          <w:szCs w:val="44"/>
        </w:rPr>
      </w:pPr>
    </w:p>
    <w:p>
      <w:pPr>
        <w:pStyle w:val="143"/>
        <w:widowControl w:val="0"/>
        <w:spacing w:afterLines="0"/>
        <w:ind w:firstLine="0" w:firstLineChars="0"/>
        <w:jc w:val="center"/>
        <w:rPr>
          <w:rFonts w:ascii="宋体" w:hAnsi="宋体" w:cs="宋体"/>
          <w:b/>
          <w:color w:val="auto"/>
          <w:sz w:val="44"/>
          <w:szCs w:val="44"/>
        </w:rPr>
      </w:pPr>
    </w:p>
    <w:p>
      <w:pPr>
        <w:pStyle w:val="143"/>
        <w:widowControl w:val="0"/>
        <w:spacing w:afterLines="0"/>
        <w:ind w:firstLine="0" w:firstLineChars="0"/>
        <w:jc w:val="center"/>
        <w:rPr>
          <w:rFonts w:ascii="宋体" w:hAnsi="宋体" w:cs="宋体"/>
          <w:b/>
          <w:color w:val="auto"/>
          <w:sz w:val="44"/>
          <w:szCs w:val="44"/>
        </w:rPr>
      </w:pPr>
    </w:p>
    <w:p>
      <w:pPr>
        <w:pStyle w:val="143"/>
        <w:widowControl w:val="0"/>
        <w:spacing w:afterLines="0"/>
        <w:ind w:firstLine="0" w:firstLineChars="0"/>
        <w:jc w:val="center"/>
        <w:rPr>
          <w:rFonts w:ascii="宋体" w:hAnsi="宋体" w:cs="宋体"/>
          <w:b/>
          <w:color w:val="auto"/>
          <w:sz w:val="44"/>
          <w:szCs w:val="44"/>
        </w:rPr>
      </w:pPr>
    </w:p>
    <w:p>
      <w:pPr>
        <w:pStyle w:val="143"/>
        <w:widowControl w:val="0"/>
        <w:spacing w:afterLines="0"/>
        <w:ind w:firstLine="0" w:firstLineChars="0"/>
        <w:jc w:val="center"/>
        <w:rPr>
          <w:rFonts w:ascii="宋体" w:hAnsi="宋体" w:cs="宋体"/>
          <w:b/>
          <w:color w:val="auto"/>
          <w:sz w:val="44"/>
          <w:szCs w:val="44"/>
        </w:rPr>
      </w:pPr>
    </w:p>
    <w:p>
      <w:pPr>
        <w:pStyle w:val="143"/>
        <w:widowControl w:val="0"/>
        <w:spacing w:afterLines="0"/>
        <w:ind w:firstLine="0" w:firstLineChars="0"/>
        <w:jc w:val="center"/>
        <w:rPr>
          <w:rFonts w:ascii="宋体" w:hAnsi="宋体" w:cs="宋体"/>
          <w:b/>
          <w:color w:val="auto"/>
          <w:sz w:val="44"/>
          <w:szCs w:val="44"/>
        </w:rPr>
      </w:pPr>
    </w:p>
    <w:p>
      <w:pPr>
        <w:pStyle w:val="143"/>
        <w:widowControl w:val="0"/>
        <w:spacing w:afterLines="0"/>
        <w:ind w:firstLine="0" w:firstLineChars="0"/>
        <w:jc w:val="center"/>
        <w:rPr>
          <w:rFonts w:ascii="宋体" w:hAnsi="宋体" w:cs="宋体"/>
          <w:b/>
          <w:color w:val="auto"/>
          <w:sz w:val="44"/>
          <w:szCs w:val="44"/>
        </w:rPr>
      </w:pPr>
    </w:p>
    <w:p>
      <w:pPr>
        <w:pStyle w:val="143"/>
        <w:widowControl w:val="0"/>
        <w:spacing w:afterLines="0"/>
        <w:ind w:firstLine="0" w:firstLineChars="0"/>
        <w:jc w:val="center"/>
        <w:rPr>
          <w:rFonts w:ascii="宋体" w:hAnsi="宋体" w:cs="宋体"/>
          <w:b/>
          <w:color w:val="auto"/>
          <w:sz w:val="44"/>
          <w:szCs w:val="44"/>
        </w:rPr>
      </w:pPr>
    </w:p>
    <w:p>
      <w:pPr>
        <w:pStyle w:val="143"/>
        <w:widowControl w:val="0"/>
        <w:spacing w:afterLines="0"/>
        <w:ind w:firstLine="0" w:firstLineChars="0"/>
        <w:jc w:val="center"/>
        <w:outlineLvl w:val="0"/>
        <w:rPr>
          <w:rFonts w:ascii="宋体" w:hAnsi="宋体" w:cs="宋体"/>
          <w:b/>
          <w:color w:val="auto"/>
          <w:sz w:val="44"/>
          <w:szCs w:val="44"/>
        </w:rPr>
      </w:pPr>
      <w:bookmarkStart w:id="8" w:name="_Toc494352119"/>
      <w:bookmarkStart w:id="9" w:name="_Toc31806"/>
      <w:r>
        <w:rPr>
          <w:rFonts w:hint="eastAsia" w:ascii="宋体" w:hAnsi="宋体" w:cs="宋体"/>
          <w:b/>
          <w:color w:val="auto"/>
          <w:sz w:val="44"/>
          <w:szCs w:val="44"/>
        </w:rPr>
        <w:t>第二章  投标人须知</w:t>
      </w:r>
      <w:bookmarkEnd w:id="8"/>
      <w:bookmarkEnd w:id="9"/>
    </w:p>
    <w:p>
      <w:pPr>
        <w:snapToGrid w:val="0"/>
        <w:jc w:val="center"/>
        <w:rPr>
          <w:rFonts w:ascii="宋体" w:hAnsi="宋体" w:cs="宋体"/>
          <w:color w:val="auto"/>
          <w:sz w:val="32"/>
          <w:szCs w:val="32"/>
        </w:rPr>
      </w:pPr>
    </w:p>
    <w:p>
      <w:pPr>
        <w:snapToGrid w:val="0"/>
        <w:jc w:val="center"/>
        <w:rPr>
          <w:rFonts w:ascii="宋体" w:hAnsi="宋体" w:cs="宋体"/>
          <w:color w:val="auto"/>
          <w:sz w:val="32"/>
          <w:szCs w:val="32"/>
        </w:rPr>
      </w:pPr>
    </w:p>
    <w:p>
      <w:pPr>
        <w:pStyle w:val="29"/>
        <w:jc w:val="center"/>
        <w:rPr>
          <w:rFonts w:hAnsi="宋体" w:cs="宋体"/>
          <w:b/>
          <w:color w:val="auto"/>
          <w:kern w:val="0"/>
          <w:sz w:val="32"/>
          <w:szCs w:val="32"/>
        </w:rPr>
      </w:pPr>
      <w:r>
        <w:rPr>
          <w:rFonts w:hint="eastAsia" w:hAnsi="宋体" w:cs="宋体"/>
          <w:color w:val="auto"/>
          <w:sz w:val="32"/>
          <w:szCs w:val="32"/>
        </w:rPr>
        <w:br w:type="page"/>
      </w:r>
      <w:bookmarkStart w:id="10" w:name="_Toc494352120"/>
      <w:r>
        <w:rPr>
          <w:rFonts w:hint="eastAsia" w:hAnsi="宋体" w:cs="宋体"/>
          <w:b/>
          <w:color w:val="auto"/>
          <w:kern w:val="0"/>
          <w:sz w:val="32"/>
          <w:szCs w:val="32"/>
        </w:rPr>
        <w:t>投标</w:t>
      </w:r>
      <w:bookmarkStart w:id="11" w:name="_Toc254970667"/>
      <w:bookmarkStart w:id="12" w:name="_Toc254970526"/>
      <w:r>
        <w:rPr>
          <w:rFonts w:hint="eastAsia" w:hAnsi="宋体" w:cs="宋体"/>
          <w:b/>
          <w:color w:val="auto"/>
          <w:kern w:val="0"/>
          <w:sz w:val="32"/>
          <w:szCs w:val="32"/>
        </w:rPr>
        <w:t>人须知前附表</w:t>
      </w:r>
      <w:bookmarkEnd w:id="10"/>
      <w:bookmarkEnd w:id="11"/>
      <w:bookmarkEnd w:id="12"/>
    </w:p>
    <w:tbl>
      <w:tblPr>
        <w:tblStyle w:val="53"/>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89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b/>
                <w:color w:val="auto"/>
                <w:szCs w:val="21"/>
              </w:rPr>
            </w:pPr>
            <w:r>
              <w:rPr>
                <w:rFonts w:hint="eastAsia" w:ascii="宋体" w:hAnsi="宋体" w:cs="宋体"/>
                <w:b/>
                <w:color w:val="auto"/>
                <w:szCs w:val="21"/>
              </w:rPr>
              <w:t>序号</w:t>
            </w:r>
          </w:p>
        </w:tc>
        <w:tc>
          <w:tcPr>
            <w:tcW w:w="89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b/>
                <w:color w:val="auto"/>
                <w:szCs w:val="21"/>
              </w:rPr>
            </w:pPr>
            <w:r>
              <w:rPr>
                <w:rFonts w:hint="eastAsia" w:ascii="宋体" w:hAnsi="宋体" w:cs="宋体"/>
                <w:b/>
                <w:color w:val="auto"/>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1</w:t>
            </w:r>
          </w:p>
        </w:tc>
        <w:tc>
          <w:tcPr>
            <w:tcW w:w="89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lang w:eastAsia="zh-CN"/>
              </w:rPr>
              <w:t>富川瑶族自治县民族医医院整体搬迁建设项目-病床等设备采购</w:t>
            </w:r>
            <w:r>
              <w:rPr>
                <w:rFonts w:hint="eastAsia" w:ascii="宋体" w:hAnsi="宋体" w:cs="宋体"/>
                <w:color w:val="auto"/>
                <w:szCs w:val="21"/>
              </w:rPr>
              <w:t xml:space="preserve"> </w:t>
            </w:r>
          </w:p>
          <w:p>
            <w:pPr>
              <w:keepNext w:val="0"/>
              <w:keepLines w:val="0"/>
              <w:suppressLineNumbers w:val="0"/>
              <w:snapToGrid w:val="0"/>
              <w:spacing w:before="0" w:beforeAutospacing="0" w:after="0" w:afterAutospacing="0" w:line="400" w:lineRule="exact"/>
              <w:ind w:left="0" w:right="0"/>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 xml:space="preserve"> FCZC2020-G1-230233-TLZJ</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2</w:t>
            </w:r>
          </w:p>
        </w:tc>
        <w:tc>
          <w:tcPr>
            <w:tcW w:w="89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宋体" w:hAnsi="宋体" w:eastAsia="宋体" w:cs="宋体"/>
                <w:color w:val="auto"/>
                <w:szCs w:val="21"/>
                <w:lang w:val="en-US" w:eastAsia="zh-CN"/>
              </w:rPr>
            </w:pPr>
            <w:r>
              <w:rPr>
                <w:rFonts w:hint="eastAsia" w:ascii="宋体" w:hAnsi="宋体" w:cs="宋体"/>
                <w:color w:val="auto"/>
                <w:szCs w:val="21"/>
              </w:rPr>
              <w:t>采购资金来源：</w:t>
            </w:r>
            <w:r>
              <w:rPr>
                <w:rFonts w:hint="eastAsia" w:ascii="宋体" w:hAnsi="宋体" w:cs="宋体"/>
                <w:color w:val="auto"/>
                <w:szCs w:val="21"/>
                <w:lang w:val="en-US" w:eastAsia="zh-CN"/>
              </w:rPr>
              <w:t>政府性资金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3</w:t>
            </w:r>
          </w:p>
        </w:tc>
        <w:tc>
          <w:tcPr>
            <w:tcW w:w="89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投标报价及费用：</w:t>
            </w:r>
          </w:p>
          <w:p>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4</w:t>
            </w:r>
          </w:p>
        </w:tc>
        <w:tc>
          <w:tcPr>
            <w:tcW w:w="89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宋体"/>
                <w:b/>
                <w:color w:val="auto"/>
                <w:szCs w:val="21"/>
              </w:rPr>
            </w:pPr>
            <w:r>
              <w:rPr>
                <w:rFonts w:hint="eastAsia" w:ascii="宋体" w:hAnsi="宋体" w:cs="宋体"/>
                <w:b/>
                <w:color w:val="auto"/>
                <w:szCs w:val="21"/>
              </w:rPr>
              <w:t>答疑、澄清：</w:t>
            </w:r>
          </w:p>
          <w:p>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投标人如认为招标文件表述不清晰、</w:t>
            </w:r>
            <w:r>
              <w:rPr>
                <w:rFonts w:hint="eastAsia" w:ascii="宋体" w:hAnsi="宋体" w:cs="宋体"/>
                <w:bCs/>
                <w:color w:val="auto"/>
              </w:rPr>
              <w:t>有误或有不合理要求的</w:t>
            </w:r>
            <w:r>
              <w:rPr>
                <w:rFonts w:hint="eastAsia" w:ascii="宋体" w:hAnsi="宋体" w:cs="宋体"/>
                <w:color w:val="auto"/>
                <w:szCs w:val="21"/>
              </w:rPr>
              <w:t>，应当</w:t>
            </w:r>
            <w:r>
              <w:rPr>
                <w:rFonts w:hint="eastAsia" w:ascii="宋体" w:hAnsi="宋体" w:cs="宋体"/>
                <w:color w:val="auto"/>
              </w:rPr>
              <w:t>在投标截止日期</w:t>
            </w:r>
            <w:r>
              <w:rPr>
                <w:rFonts w:hint="eastAsia" w:ascii="宋体" w:hAnsi="宋体" w:cs="宋体"/>
                <w:color w:val="auto"/>
                <w:u w:val="single"/>
              </w:rPr>
              <w:t>10</w:t>
            </w:r>
            <w:r>
              <w:rPr>
                <w:rFonts w:hint="eastAsia" w:ascii="宋体" w:hAnsi="宋体" w:cs="宋体"/>
                <w:color w:val="auto"/>
              </w:rPr>
              <w:t>天</w:t>
            </w:r>
            <w:r>
              <w:rPr>
                <w:rFonts w:hint="eastAsia" w:ascii="宋体" w:hAnsi="宋体" w:cs="宋体"/>
                <w:bCs/>
                <w:color w:val="auto"/>
              </w:rPr>
              <w:t>前</w:t>
            </w:r>
            <w:r>
              <w:rPr>
                <w:rFonts w:hint="eastAsia" w:ascii="宋体" w:hAnsi="宋体" w:cs="宋体"/>
                <w:color w:val="auto"/>
                <w:szCs w:val="21"/>
              </w:rPr>
              <w:t>，以书面形式要求招标单位答疑、澄清；</w:t>
            </w:r>
          </w:p>
          <w:p>
            <w:pPr>
              <w:keepNext w:val="0"/>
              <w:keepLines w:val="0"/>
              <w:suppressLineNumbers w:val="0"/>
              <w:snapToGrid w:val="0"/>
              <w:spacing w:before="0" w:beforeAutospacing="0" w:after="0" w:afterAutospacing="0" w:line="400" w:lineRule="exact"/>
              <w:ind w:left="0" w:right="0"/>
              <w:rPr>
                <w:rFonts w:hint="default" w:ascii="宋体" w:hAnsi="宋体" w:cs="宋体"/>
                <w:b/>
                <w:color w:val="auto"/>
                <w:szCs w:val="21"/>
              </w:rPr>
            </w:pPr>
            <w:r>
              <w:rPr>
                <w:rFonts w:hint="eastAsia" w:ascii="宋体" w:hAnsi="宋体" w:cs="宋体"/>
                <w:b/>
                <w:color w:val="auto"/>
                <w:szCs w:val="21"/>
              </w:rPr>
              <w:t>询问、质疑：</w:t>
            </w:r>
          </w:p>
          <w:p>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投标人如认为招标文件存在歧视性、排他性或者其他违法内容的，按投标人须知（一）总则第9条“询问、质疑和投诉”中的要求向招标单位提出书面询问、质疑。</w:t>
            </w:r>
          </w:p>
          <w:p>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答疑、澄清内容是招标文件的组成部份，本代理机构将以电子邮件发送形式发送给所有已报名的投标人；</w:t>
            </w:r>
            <w:r>
              <w:rPr>
                <w:rFonts w:hint="eastAsia" w:ascii="宋体" w:hAnsi="宋体" w:cs="宋体"/>
                <w:b/>
                <w:color w:val="auto"/>
              </w:rPr>
              <w:t>本代理机构可以视采购具体情况，延长招标文件提供期限，并在</w:t>
            </w:r>
            <w:r>
              <w:rPr>
                <w:rStyle w:val="62"/>
                <w:rFonts w:hint="eastAsia"/>
                <w:b/>
                <w:color w:val="auto"/>
                <w:kern w:val="0"/>
              </w:rPr>
              <w:t>发布招标公告的同一网站上</w:t>
            </w:r>
            <w:r>
              <w:rPr>
                <w:rFonts w:hint="eastAsia" w:ascii="宋体" w:hAnsi="宋体" w:cs="宋体"/>
                <w:b/>
                <w:color w:val="auto"/>
              </w:rPr>
              <w:t>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5</w:t>
            </w:r>
          </w:p>
        </w:tc>
        <w:tc>
          <w:tcPr>
            <w:tcW w:w="89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投标文件有效期：</w:t>
            </w:r>
            <w:r>
              <w:rPr>
                <w:rFonts w:hint="eastAsia" w:ascii="宋体" w:hAnsi="宋体" w:cs="宋体"/>
                <w:color w:val="auto"/>
                <w:szCs w:val="21"/>
                <w:u w:val="single"/>
              </w:rPr>
              <w:t xml:space="preserve"> 60 </w:t>
            </w:r>
            <w:r>
              <w:rPr>
                <w:rFonts w:hint="eastAsia" w:ascii="宋体" w:hAnsi="宋体" w:cs="宋体"/>
                <w:color w:val="auto"/>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bCs/>
                <w:color w:val="auto"/>
              </w:rPr>
            </w:pPr>
            <w:r>
              <w:rPr>
                <w:rFonts w:hint="eastAsia" w:ascii="宋体" w:hAnsi="宋体" w:cs="宋体"/>
                <w:bCs/>
                <w:color w:val="auto"/>
              </w:rPr>
              <w:t>6</w:t>
            </w:r>
          </w:p>
        </w:tc>
        <w:tc>
          <w:tcPr>
            <w:tcW w:w="89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宋体"/>
                <w:bCs/>
                <w:color w:val="auto"/>
              </w:rPr>
            </w:pPr>
            <w:r>
              <w:rPr>
                <w:rFonts w:hint="eastAsia" w:ascii="宋体" w:hAnsi="宋体" w:cs="宋体"/>
                <w:bCs/>
                <w:color w:val="auto"/>
              </w:rPr>
              <w:t>投标保证金：</w:t>
            </w:r>
          </w:p>
          <w:p>
            <w:pPr>
              <w:keepNext w:val="0"/>
              <w:keepLines w:val="0"/>
              <w:suppressLineNumbers w:val="0"/>
              <w:snapToGrid w:val="0"/>
              <w:spacing w:before="0" w:beforeAutospacing="0" w:after="0" w:afterAutospacing="0" w:line="400" w:lineRule="exact"/>
              <w:ind w:left="0" w:right="0"/>
              <w:rPr>
                <w:rFonts w:hint="default" w:ascii="宋体" w:hAnsi="宋体" w:cs="宋体"/>
                <w:bCs/>
                <w:color w:val="auto"/>
                <w:szCs w:val="21"/>
              </w:rPr>
            </w:pPr>
            <w:r>
              <w:rPr>
                <w:rFonts w:hint="eastAsia" w:ascii="宋体" w:hAnsi="宋体" w:cs="宋体"/>
                <w:bCs/>
                <w:color w:val="auto"/>
                <w:szCs w:val="21"/>
              </w:rPr>
              <w:t>1标：壹万元整</w:t>
            </w:r>
          </w:p>
          <w:p>
            <w:pPr>
              <w:keepNext w:val="0"/>
              <w:keepLines w:val="0"/>
              <w:suppressLineNumbers w:val="0"/>
              <w:snapToGrid w:val="0"/>
              <w:spacing w:before="0" w:beforeAutospacing="0" w:after="0" w:afterAutospacing="0" w:line="400" w:lineRule="exact"/>
              <w:ind w:left="0" w:right="0"/>
              <w:rPr>
                <w:rFonts w:hint="default" w:ascii="宋体" w:hAnsi="宋体" w:cs="宋体"/>
                <w:bCs/>
                <w:color w:val="auto"/>
                <w:szCs w:val="21"/>
              </w:rPr>
            </w:pPr>
            <w:r>
              <w:rPr>
                <w:rFonts w:hint="eastAsia" w:ascii="宋体" w:hAnsi="宋体" w:cs="宋体"/>
                <w:color w:val="auto"/>
                <w:szCs w:val="21"/>
              </w:rPr>
              <w:t>保证金交纳形式：支票、汇票、本票、保函等非现金形式提交。</w:t>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投标人应将投标保证金以支票、汇票、本票、转账、电汇或者金融机构出具的保函等非现金形式提交至以下账户，并于投标截止时间前到账，到账时间以银行确认的到账时间为准(注：若以支票、汇票、本票方式提交的，交款人必须是投标人；若以转账、电汇方式提交的，必须从投标人银行账户转出；若以现金方式交纳或者没有足额交纳的视为无效投标。投标保证金交纳账户：</w:t>
            </w:r>
          </w:p>
          <w:p>
            <w:pPr>
              <w:keepNext w:val="0"/>
              <w:keepLines w:val="0"/>
              <w:suppressLineNumbers w:val="0"/>
              <w:spacing w:before="0" w:beforeAutospacing="0" w:after="0" w:afterAutospacing="0" w:line="400" w:lineRule="exact"/>
              <w:ind w:left="0" w:right="0"/>
              <w:rPr>
                <w:rFonts w:hint="eastAsia" w:ascii="宋体" w:hAnsi="宋体" w:cs="宋体"/>
                <w:color w:val="auto"/>
                <w:szCs w:val="21"/>
              </w:rPr>
            </w:pPr>
            <w:r>
              <w:rPr>
                <w:rFonts w:hint="eastAsia" w:ascii="宋体" w:hAnsi="宋体" w:cs="宋体"/>
                <w:color w:val="auto"/>
                <w:szCs w:val="21"/>
              </w:rPr>
              <w:t>开户名：广西天立工程造价咨询有限公司贺州分公司</w:t>
            </w:r>
            <w:r>
              <w:rPr>
                <w:rFonts w:hint="eastAsia" w:ascii="宋体" w:hAnsi="宋体" w:cs="宋体"/>
                <w:color w:val="auto"/>
                <w:szCs w:val="21"/>
              </w:rPr>
              <w:tab/>
            </w:r>
          </w:p>
          <w:p>
            <w:pPr>
              <w:keepNext w:val="0"/>
              <w:keepLines w:val="0"/>
              <w:suppressLineNumbers w:val="0"/>
              <w:spacing w:before="0" w:beforeAutospacing="0" w:after="0" w:afterAutospacing="0" w:line="400" w:lineRule="exact"/>
              <w:ind w:left="0" w:right="0"/>
              <w:rPr>
                <w:rFonts w:hint="eastAsia" w:ascii="宋体" w:hAnsi="宋体" w:cs="宋体"/>
                <w:color w:val="auto"/>
                <w:szCs w:val="21"/>
              </w:rPr>
            </w:pPr>
            <w:r>
              <w:rPr>
                <w:rFonts w:hint="eastAsia" w:ascii="宋体" w:hAnsi="宋体" w:cs="宋体"/>
                <w:color w:val="auto"/>
                <w:szCs w:val="21"/>
              </w:rPr>
              <w:t>账  号：2109  3805  1910  0060  905</w:t>
            </w:r>
            <w:r>
              <w:rPr>
                <w:rFonts w:hint="eastAsia" w:ascii="宋体" w:hAnsi="宋体" w:cs="宋体"/>
                <w:color w:val="auto"/>
                <w:szCs w:val="21"/>
              </w:rPr>
              <w:tab/>
            </w:r>
          </w:p>
          <w:p>
            <w:pPr>
              <w:keepNext w:val="0"/>
              <w:keepLines w:val="0"/>
              <w:suppressLineNumbers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开户行：中国工商银行股份有限公司贺州市西约支行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7</w:t>
            </w:r>
          </w:p>
        </w:tc>
        <w:tc>
          <w:tcPr>
            <w:tcW w:w="89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宋体" w:hAnsi="宋体" w:cs="宋体"/>
                <w:color w:val="auto"/>
                <w:szCs w:val="21"/>
              </w:rPr>
            </w:pPr>
            <w:r>
              <w:rPr>
                <w:rFonts w:hint="eastAsia" w:ascii="宋体" w:hAnsi="宋体" w:cs="宋体"/>
                <w:color w:val="auto"/>
                <w:szCs w:val="21"/>
              </w:rPr>
              <w:t>投标保证金退还（不计息）：</w:t>
            </w:r>
            <w:r>
              <w:rPr>
                <w:rFonts w:hint="eastAsia" w:ascii="宋体" w:hAnsi="宋体" w:cs="宋体"/>
                <w:color w:val="auto"/>
              </w:rPr>
              <w:t>除招标文件规定不予退还保证金的情形外，中</w:t>
            </w:r>
            <w:r>
              <w:rPr>
                <w:rFonts w:hint="eastAsia" w:ascii="宋体" w:hAnsi="宋体" w:cs="宋体"/>
                <w:color w:val="auto"/>
                <w:szCs w:val="21"/>
              </w:rPr>
              <w:t>标通知书发布后五个工作日内退还未中标投标人的投标保证金，</w:t>
            </w:r>
            <w:r>
              <w:rPr>
                <w:rFonts w:hint="eastAsia" w:ascii="宋体" w:hAnsi="宋体" w:cs="宋体"/>
                <w:b/>
                <w:color w:val="auto"/>
                <w:szCs w:val="21"/>
              </w:rPr>
              <w:t>自政府采购合同签订之日起五个工作日内（合同签订后须送达本代理机构）退还中标人的投标保证金</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8</w:t>
            </w:r>
          </w:p>
        </w:tc>
        <w:tc>
          <w:tcPr>
            <w:tcW w:w="89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宋体" w:hAnsi="宋体" w:cs="宋体"/>
                <w:color w:val="auto"/>
                <w:szCs w:val="21"/>
              </w:rPr>
            </w:pPr>
            <w:r>
              <w:rPr>
                <w:rFonts w:hint="eastAsia" w:ascii="宋体" w:hAnsi="宋体" w:cs="宋体"/>
                <w:color w:val="auto"/>
                <w:szCs w:val="21"/>
              </w:rPr>
              <w:t>投标文件组成：开标一览表</w:t>
            </w:r>
            <w:r>
              <w:rPr>
                <w:rFonts w:hint="eastAsia" w:ascii="宋体" w:hAnsi="宋体" w:cs="宋体"/>
                <w:color w:val="auto"/>
                <w:szCs w:val="21"/>
                <w:u w:val="single"/>
              </w:rPr>
              <w:t xml:space="preserve"> 壹 </w:t>
            </w:r>
            <w:r>
              <w:rPr>
                <w:rFonts w:hint="eastAsia" w:ascii="宋体" w:hAnsi="宋体" w:cs="宋体"/>
                <w:color w:val="auto"/>
                <w:szCs w:val="21"/>
              </w:rPr>
              <w:t>份；资格文件正本</w:t>
            </w:r>
            <w:r>
              <w:rPr>
                <w:rFonts w:hint="eastAsia" w:ascii="宋体" w:hAnsi="宋体" w:cs="宋体"/>
                <w:color w:val="auto"/>
                <w:szCs w:val="21"/>
                <w:u w:val="single"/>
              </w:rPr>
              <w:t xml:space="preserve"> 壹 </w:t>
            </w:r>
            <w:r>
              <w:rPr>
                <w:rFonts w:hint="eastAsia" w:ascii="宋体" w:hAnsi="宋体" w:cs="宋体"/>
                <w:color w:val="auto"/>
                <w:szCs w:val="21"/>
              </w:rPr>
              <w:t>份，副本</w:t>
            </w:r>
            <w:r>
              <w:rPr>
                <w:rFonts w:hint="eastAsia" w:ascii="宋体" w:hAnsi="宋体" w:cs="宋体"/>
                <w:color w:val="auto"/>
                <w:szCs w:val="21"/>
                <w:u w:val="single"/>
              </w:rPr>
              <w:t>肆</w:t>
            </w:r>
            <w:r>
              <w:rPr>
                <w:rFonts w:hint="eastAsia" w:ascii="宋体" w:hAnsi="宋体" w:cs="宋体"/>
                <w:color w:val="auto"/>
                <w:szCs w:val="21"/>
              </w:rPr>
              <w:t>份；报价/商务及技术文件正本</w:t>
            </w:r>
            <w:r>
              <w:rPr>
                <w:rFonts w:hint="eastAsia" w:ascii="宋体" w:hAnsi="宋体" w:cs="宋体"/>
                <w:color w:val="auto"/>
                <w:szCs w:val="21"/>
                <w:u w:val="single"/>
              </w:rPr>
              <w:t xml:space="preserve"> 壹 </w:t>
            </w:r>
            <w:r>
              <w:rPr>
                <w:rFonts w:hint="eastAsia" w:ascii="宋体" w:hAnsi="宋体" w:cs="宋体"/>
                <w:color w:val="auto"/>
                <w:szCs w:val="21"/>
              </w:rPr>
              <w:t>份，副本</w:t>
            </w:r>
            <w:r>
              <w:rPr>
                <w:rFonts w:hint="eastAsia" w:ascii="宋体" w:hAnsi="宋体" w:cs="宋体"/>
                <w:color w:val="auto"/>
                <w:szCs w:val="21"/>
                <w:u w:val="single"/>
              </w:rPr>
              <w:t xml:space="preserve"> 肆 </w:t>
            </w:r>
            <w:r>
              <w:rPr>
                <w:rFonts w:hint="eastAsia" w:ascii="宋体" w:hAnsi="宋体" w:cs="宋体"/>
                <w:color w:val="auto"/>
                <w:szCs w:val="21"/>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9</w:t>
            </w:r>
          </w:p>
        </w:tc>
        <w:tc>
          <w:tcPr>
            <w:tcW w:w="89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投标截止时间及地点：</w:t>
            </w:r>
            <w:r>
              <w:rPr>
                <w:rFonts w:hint="eastAsia" w:ascii="宋体" w:hAnsi="宋体" w:cs="宋体"/>
                <w:b/>
                <w:color w:val="auto"/>
                <w:u w:val="single"/>
              </w:rPr>
              <w:t>2020年</w:t>
            </w:r>
            <w:r>
              <w:rPr>
                <w:rFonts w:hint="eastAsia" w:ascii="宋体" w:hAnsi="宋体" w:cs="宋体"/>
                <w:b/>
                <w:color w:val="auto"/>
                <w:u w:val="single"/>
                <w:lang w:val="en-US" w:eastAsia="zh-CN"/>
              </w:rPr>
              <w:t xml:space="preserve">11月17  </w:t>
            </w:r>
            <w:r>
              <w:rPr>
                <w:rFonts w:hint="eastAsia" w:ascii="宋体" w:hAnsi="宋体" w:cs="宋体"/>
                <w:b/>
                <w:color w:val="auto"/>
                <w:u w:val="single"/>
              </w:rPr>
              <w:t>日</w:t>
            </w:r>
            <w:r>
              <w:rPr>
                <w:rFonts w:hint="eastAsia" w:ascii="宋体" w:hAnsi="宋体" w:cs="宋体"/>
                <w:b/>
                <w:color w:val="auto"/>
                <w:u w:val="single"/>
                <w:lang w:val="en-US" w:eastAsia="zh-CN"/>
              </w:rPr>
              <w:t xml:space="preserve"> 15</w:t>
            </w:r>
            <w:r>
              <w:rPr>
                <w:rFonts w:hint="eastAsia" w:ascii="宋体" w:hAnsi="宋体" w:cs="宋体"/>
                <w:b/>
                <w:color w:val="auto"/>
                <w:u w:val="single"/>
              </w:rPr>
              <w:t>时</w:t>
            </w:r>
            <w:r>
              <w:rPr>
                <w:rFonts w:hint="eastAsia" w:ascii="宋体" w:hAnsi="宋体" w:cs="宋体"/>
                <w:b/>
                <w:color w:val="auto"/>
                <w:u w:val="single"/>
                <w:lang w:val="en-US" w:eastAsia="zh-CN"/>
              </w:rPr>
              <w:t>30</w:t>
            </w:r>
            <w:r>
              <w:rPr>
                <w:rFonts w:hint="eastAsia" w:ascii="宋体" w:hAnsi="宋体" w:cs="宋体"/>
                <w:b/>
                <w:color w:val="auto"/>
                <w:u w:val="single"/>
              </w:rPr>
              <w:t>分</w:t>
            </w:r>
            <w:r>
              <w:rPr>
                <w:rFonts w:hint="eastAsia" w:ascii="宋体" w:hAnsi="宋体" w:cs="宋体"/>
                <w:color w:val="auto"/>
                <w:szCs w:val="21"/>
              </w:rPr>
              <w:t>，</w:t>
            </w:r>
            <w:r>
              <w:rPr>
                <w:rFonts w:hint="eastAsia" w:asciiTheme="minorEastAsia" w:hAnsiTheme="minorEastAsia" w:eastAsiaTheme="minorEastAsia" w:cstheme="minorEastAsia"/>
                <w:color w:val="000000" w:themeColor="text1"/>
                <w:szCs w:val="21"/>
              </w:rPr>
              <w:t>富川瑶族自治县建筑市场交易中心(富川瑶族自治县富阳镇凤凰路85号2楼会议室)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10</w:t>
            </w:r>
          </w:p>
        </w:tc>
        <w:tc>
          <w:tcPr>
            <w:tcW w:w="89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szCs w:val="21"/>
              </w:rPr>
              <w:t>开标时间及地点：</w:t>
            </w:r>
            <w:r>
              <w:rPr>
                <w:rFonts w:hint="eastAsia" w:ascii="宋体" w:hAnsi="宋体" w:cs="宋体"/>
                <w:b/>
                <w:color w:val="auto"/>
                <w:u w:val="single"/>
              </w:rPr>
              <w:t>2020年</w:t>
            </w:r>
            <w:r>
              <w:rPr>
                <w:rFonts w:hint="eastAsia" w:ascii="宋体" w:hAnsi="宋体" w:cs="宋体"/>
                <w:b/>
                <w:color w:val="auto"/>
                <w:u w:val="single"/>
                <w:lang w:val="en-US" w:eastAsia="zh-CN"/>
              </w:rPr>
              <w:t>11</w:t>
            </w:r>
            <w:r>
              <w:rPr>
                <w:rFonts w:hint="eastAsia" w:ascii="宋体" w:hAnsi="宋体" w:cs="宋体"/>
                <w:b/>
                <w:color w:val="auto"/>
                <w:u w:val="single"/>
              </w:rPr>
              <w:t>月</w:t>
            </w:r>
            <w:r>
              <w:rPr>
                <w:rFonts w:hint="eastAsia" w:ascii="宋体" w:hAnsi="宋体" w:cs="宋体"/>
                <w:b/>
                <w:color w:val="auto"/>
                <w:u w:val="single"/>
                <w:lang w:val="en-US" w:eastAsia="zh-CN"/>
              </w:rPr>
              <w:t>17</w:t>
            </w:r>
            <w:r>
              <w:rPr>
                <w:rFonts w:hint="eastAsia" w:ascii="宋体" w:hAnsi="宋体" w:cs="宋体"/>
                <w:b/>
                <w:color w:val="auto"/>
                <w:u w:val="single"/>
              </w:rPr>
              <w:t>日</w:t>
            </w:r>
            <w:r>
              <w:rPr>
                <w:rFonts w:hint="eastAsia" w:ascii="宋体" w:hAnsi="宋体" w:cs="宋体"/>
                <w:b/>
                <w:color w:val="auto"/>
                <w:u w:val="single"/>
                <w:lang w:val="en-US" w:eastAsia="zh-CN"/>
              </w:rPr>
              <w:t>15</w:t>
            </w:r>
            <w:r>
              <w:rPr>
                <w:rFonts w:hint="eastAsia" w:ascii="宋体" w:hAnsi="宋体" w:cs="宋体"/>
                <w:b/>
                <w:color w:val="auto"/>
                <w:u w:val="single"/>
              </w:rPr>
              <w:t>时</w:t>
            </w:r>
            <w:r>
              <w:rPr>
                <w:rFonts w:hint="eastAsia" w:ascii="宋体" w:hAnsi="宋体" w:cs="宋体"/>
                <w:b/>
                <w:color w:val="auto"/>
                <w:u w:val="single"/>
                <w:lang w:val="en-US" w:eastAsia="zh-CN"/>
              </w:rPr>
              <w:t>30</w:t>
            </w:r>
            <w:r>
              <w:rPr>
                <w:rFonts w:hint="eastAsia" w:ascii="宋体" w:hAnsi="宋体" w:cs="宋体"/>
                <w:b/>
                <w:color w:val="auto"/>
                <w:u w:val="single"/>
              </w:rPr>
              <w:t>分 ，</w:t>
            </w:r>
            <w:r>
              <w:rPr>
                <w:rFonts w:hint="eastAsia" w:asciiTheme="minorEastAsia" w:hAnsiTheme="minorEastAsia" w:eastAsiaTheme="minorEastAsia" w:cstheme="minorEastAsia"/>
                <w:color w:val="000000" w:themeColor="text1"/>
                <w:szCs w:val="21"/>
              </w:rPr>
              <w:t>富川瑶族自治县建筑市场交易中心(富川瑶族自治县富阳镇凤凰路85号2楼会议室)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11</w:t>
            </w:r>
          </w:p>
        </w:tc>
        <w:tc>
          <w:tcPr>
            <w:tcW w:w="89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宋体" w:hAnsi="宋体" w:cs="宋体"/>
                <w:color w:val="auto"/>
                <w:szCs w:val="21"/>
              </w:rPr>
            </w:pPr>
            <w:r>
              <w:rPr>
                <w:rFonts w:hint="eastAsia" w:ascii="宋体" w:hAnsi="宋体" w:cs="宋体"/>
                <w:color w:val="auto"/>
                <w:szCs w:val="21"/>
              </w:rPr>
              <w:t>评标方法及评定标准：综合评分法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12</w:t>
            </w:r>
          </w:p>
        </w:tc>
        <w:tc>
          <w:tcPr>
            <w:tcW w:w="89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宋体" w:hAnsi="宋体" w:cs="宋体"/>
                <w:color w:val="auto"/>
                <w:szCs w:val="21"/>
              </w:rPr>
            </w:pPr>
            <w:r>
              <w:rPr>
                <w:rFonts w:hint="eastAsia" w:ascii="宋体" w:hAnsi="宋体" w:cs="宋体"/>
                <w:color w:val="auto"/>
                <w:szCs w:val="21"/>
              </w:rPr>
              <w:t>是否授权评标委员会确定中标人：否，推荐三名中标候选人。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13</w:t>
            </w:r>
          </w:p>
        </w:tc>
        <w:tc>
          <w:tcPr>
            <w:tcW w:w="89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宋体" w:hAnsi="宋体" w:cs="宋体"/>
                <w:color w:val="auto"/>
                <w:szCs w:val="21"/>
              </w:rPr>
            </w:pPr>
            <w:r>
              <w:rPr>
                <w:rFonts w:hint="eastAsia" w:ascii="宋体" w:hAnsi="宋体" w:cs="宋体"/>
                <w:b/>
                <w:bCs/>
                <w:color w:val="auto"/>
                <w:szCs w:val="21"/>
              </w:rPr>
              <w:t>签订合同时间：</w:t>
            </w:r>
            <w:r>
              <w:rPr>
                <w:rFonts w:hint="eastAsia" w:ascii="宋体" w:hAnsi="宋体" w:cs="宋体"/>
                <w:b/>
                <w:bCs/>
                <w:color w:val="auto"/>
                <w:kern w:val="0"/>
                <w:szCs w:val="21"/>
              </w:rPr>
              <w:t>中标后7日内签订合同。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14</w:t>
            </w:r>
          </w:p>
        </w:tc>
        <w:tc>
          <w:tcPr>
            <w:tcW w:w="89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宋体" w:hAnsi="宋体" w:cs="宋体"/>
                <w:color w:val="auto"/>
                <w:szCs w:val="21"/>
              </w:rPr>
            </w:pPr>
            <w:r>
              <w:rPr>
                <w:rFonts w:hint="eastAsia" w:ascii="宋体" w:hAnsi="宋体" w:cs="宋体"/>
                <w:color w:val="auto"/>
                <w:szCs w:val="21"/>
              </w:rPr>
              <w:t>中标结果公告及中标通知书：本代理机构在招标单位依法确认中标人后2个工作日内发布中标结果公告和中标通知书，中标结果公告在媒体上发布（详细见招标公告中公布的网站）。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15</w:t>
            </w:r>
          </w:p>
        </w:tc>
        <w:tc>
          <w:tcPr>
            <w:tcW w:w="89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宋体" w:hAnsi="Courier New"/>
                <w:color w:val="auto"/>
                <w:szCs w:val="20"/>
              </w:rPr>
            </w:pPr>
            <w:r>
              <w:rPr>
                <w:rFonts w:hint="eastAsia" w:ascii="宋体" w:hAnsi="Courier New"/>
                <w:color w:val="auto"/>
                <w:szCs w:val="20"/>
              </w:rPr>
              <w:t>1、中标服务费：</w:t>
            </w:r>
          </w:p>
          <w:p>
            <w:pPr>
              <w:pStyle w:val="191"/>
              <w:keepNext w:val="0"/>
              <w:keepLines w:val="0"/>
              <w:suppressLineNumbers w:val="0"/>
              <w:spacing w:before="0" w:beforeAutospacing="0" w:after="0" w:afterAutospacing="0" w:line="400" w:lineRule="exact"/>
              <w:ind w:left="0" w:right="0"/>
              <w:rPr>
                <w:rFonts w:hint="default"/>
                <w:color w:val="auto"/>
              </w:rPr>
            </w:pPr>
            <w:r>
              <w:rPr>
                <w:rFonts w:hint="eastAsia"/>
                <w:color w:val="auto"/>
              </w:rPr>
              <w:t>根据国家发改委办公厅《关于采购代理服务收费有关问题的通知》（发改办价格[2003]857号文）的精神，采购代理服务费由中标人支付，收取标准按《采购代理服务收费管理暂行办法》（计价格[2002]1980号）规定计取。</w:t>
            </w:r>
          </w:p>
          <w:p>
            <w:pPr>
              <w:pStyle w:val="29"/>
              <w:keepNext w:val="0"/>
              <w:keepLines w:val="0"/>
              <w:suppressLineNumbers w:val="0"/>
              <w:spacing w:before="0" w:beforeAutospacing="0" w:after="0" w:afterAutospacing="0"/>
              <w:ind w:left="0" w:right="0"/>
              <w:rPr>
                <w:rFonts w:hint="default"/>
                <w:color w:val="auto"/>
              </w:rPr>
            </w:pPr>
            <w:r>
              <w:rPr>
                <w:rFonts w:hint="eastAsia"/>
                <w:color w:val="auto"/>
                <w:szCs w:val="20"/>
              </w:rPr>
              <w:t>2、有效合同备案：中标人在签订合同后2个工作日内须向本项目代理机构递交中标合同原件一份备案。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16</w:t>
            </w:r>
          </w:p>
        </w:tc>
        <w:tc>
          <w:tcPr>
            <w:tcW w:w="89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宋体" w:hAnsi="宋体" w:cs="宋体"/>
                <w:color w:val="auto"/>
                <w:szCs w:val="21"/>
              </w:rPr>
            </w:pPr>
            <w:r>
              <w:rPr>
                <w:rFonts w:hint="eastAsia" w:ascii="宋体" w:hAnsi="宋体" w:cs="宋体"/>
                <w:color w:val="auto"/>
                <w:szCs w:val="21"/>
              </w:rPr>
              <w:t>履约保证金：本项目不采用。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bCs/>
                <w:color w:val="auto"/>
              </w:rPr>
            </w:pPr>
            <w:r>
              <w:rPr>
                <w:rFonts w:hint="eastAsia" w:ascii="宋体" w:hAnsi="宋体" w:cs="宋体"/>
                <w:bCs/>
                <w:color w:val="auto"/>
              </w:rPr>
              <w:t>17</w:t>
            </w:r>
          </w:p>
        </w:tc>
        <w:tc>
          <w:tcPr>
            <w:tcW w:w="89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宋体"/>
                <w:bCs/>
                <w:color w:val="auto"/>
              </w:rPr>
            </w:pPr>
            <w:r>
              <w:rPr>
                <w:rFonts w:hint="eastAsia" w:ascii="宋体" w:hAnsi="宋体" w:cs="宋体"/>
                <w:color w:val="auto"/>
                <w:szCs w:val="21"/>
              </w:rPr>
              <w:t>现场勘查：无。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bCs/>
                <w:color w:val="auto"/>
              </w:rPr>
            </w:pPr>
            <w:r>
              <w:rPr>
                <w:rFonts w:hint="eastAsia" w:ascii="宋体" w:hAnsi="宋体" w:cs="宋体"/>
                <w:bCs/>
                <w:color w:val="auto"/>
              </w:rPr>
              <w:t>18</w:t>
            </w:r>
          </w:p>
        </w:tc>
        <w:tc>
          <w:tcPr>
            <w:tcW w:w="8931" w:type="dxa"/>
            <w:tcBorders>
              <w:top w:val="single" w:color="auto" w:sz="4" w:space="0"/>
              <w:left w:val="single" w:color="auto" w:sz="4" w:space="0"/>
              <w:bottom w:val="single" w:color="auto" w:sz="4" w:space="0"/>
              <w:right w:val="single" w:color="auto" w:sz="4" w:space="0"/>
            </w:tcBorders>
            <w:vAlign w:val="center"/>
          </w:tcPr>
          <w:p>
            <w:pPr>
              <w:pStyle w:val="191"/>
              <w:keepNext w:val="0"/>
              <w:keepLines w:val="0"/>
              <w:suppressLineNumbers w:val="0"/>
              <w:spacing w:before="0" w:beforeAutospacing="0" w:after="0" w:afterAutospacing="0" w:line="400" w:lineRule="exact"/>
              <w:ind w:left="0" w:right="0"/>
              <w:rPr>
                <w:rFonts w:hint="default" w:hAnsi="宋体" w:cs="宋体"/>
                <w:b/>
                <w:color w:val="auto"/>
              </w:rPr>
            </w:pPr>
            <w:r>
              <w:rPr>
                <w:rFonts w:hint="eastAsia" w:hAnsi="宋体" w:cs="宋体"/>
                <w:b/>
                <w:color w:val="auto"/>
              </w:rPr>
              <w:t>本项目的采购预算价：</w:t>
            </w:r>
            <w:r>
              <w:rPr>
                <w:rFonts w:hint="eastAsia" w:hAnsi="宋体" w:cs="宋体"/>
                <w:bCs/>
                <w:color w:val="auto"/>
                <w:szCs w:val="21"/>
              </w:rPr>
              <w:t>人民币</w:t>
            </w:r>
            <w:r>
              <w:rPr>
                <w:rFonts w:hint="eastAsia" w:hAnsi="宋体" w:cs="宋体"/>
                <w:b/>
                <w:color w:val="auto"/>
                <w:kern w:val="0"/>
                <w:szCs w:val="21"/>
                <w:u w:val="single"/>
                <w:lang w:val="en-US" w:eastAsia="zh-CN"/>
              </w:rPr>
              <w:t>114.9</w:t>
            </w:r>
            <w:r>
              <w:rPr>
                <w:rFonts w:hint="eastAsia" w:hAnsi="宋体" w:cs="宋体"/>
                <w:b/>
                <w:color w:val="auto"/>
                <w:u w:val="single"/>
              </w:rPr>
              <w:t>万元</w:t>
            </w:r>
            <w:r>
              <w:rPr>
                <w:rFonts w:hint="eastAsia" w:hAnsi="宋体" w:cs="宋体"/>
                <w:color w:val="auto"/>
              </w:rPr>
              <w:t>。</w:t>
            </w:r>
          </w:p>
          <w:p>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rPr>
              <w:t>投标总报价高于采购预算价的投标文件做无效投标处理。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19</w:t>
            </w:r>
          </w:p>
        </w:tc>
        <w:tc>
          <w:tcPr>
            <w:tcW w:w="89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rPr>
            </w:pPr>
            <w:r>
              <w:rPr>
                <w:rFonts w:hint="eastAsia" w:ascii="宋体" w:hAnsi="宋体" w:cs="宋体"/>
                <w:color w:val="auto"/>
              </w:rPr>
              <w:t>本招标文件解释权属本代理机构。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20</w:t>
            </w:r>
          </w:p>
        </w:tc>
        <w:tc>
          <w:tcPr>
            <w:tcW w:w="89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宋体"/>
                <w:color w:val="auto"/>
              </w:rPr>
            </w:pPr>
            <w:r>
              <w:rPr>
                <w:rFonts w:hint="eastAsia" w:ascii="宋体" w:hAnsi="宋体" w:cs="宋体"/>
                <w:color w:val="auto"/>
              </w:rPr>
              <w:t>本项目货物不接受进口产品投标（即通过中国海关报关验放进入中国境内且产自关境外的产品）。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21</w:t>
            </w:r>
          </w:p>
        </w:tc>
        <w:tc>
          <w:tcPr>
            <w:tcW w:w="8931"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snapToGrid w:val="0"/>
              <w:spacing w:before="0" w:beforeAutospacing="0" w:after="0" w:afterAutospacing="0" w:line="400" w:lineRule="exact"/>
              <w:ind w:left="0" w:right="0" w:rightChars="0"/>
              <w:rPr>
                <w:rFonts w:hint="eastAsia"/>
                <w:lang w:val="en-US" w:eastAsia="zh-CN"/>
              </w:rPr>
            </w:pPr>
            <w:r>
              <w:rPr>
                <w:rFonts w:hint="eastAsia"/>
                <w:lang w:val="en-US" w:eastAsia="zh-CN"/>
              </w:rPr>
              <w:t>1、在中标、成交通知书发出之日起7日内，最长不超过9日和中标、成交供应商签订政府采购合同。</w:t>
            </w:r>
          </w:p>
          <w:p>
            <w:pPr>
              <w:pStyle w:val="2"/>
              <w:keepNext w:val="0"/>
              <w:keepLines w:val="0"/>
              <w:numPr>
                <w:ilvl w:val="0"/>
                <w:numId w:val="0"/>
              </w:numPr>
              <w:suppressLineNumbers w:val="0"/>
              <w:spacing w:before="0" w:beforeAutospacing="0" w:after="0" w:afterAutospacing="0"/>
              <w:ind w:right="0"/>
              <w:rPr>
                <w:rFonts w:hint="default"/>
                <w:lang w:val="en-US" w:eastAsia="zh-CN"/>
              </w:rPr>
            </w:pPr>
            <w:r>
              <w:rPr>
                <w:rFonts w:hint="eastAsia"/>
                <w:lang w:val="en-US" w:eastAsia="zh-CN"/>
              </w:rPr>
              <w:t>2、采购单位自采购合同签订之日起在2个工作日内（争取1个工作日内），将政府采购合同通过委托的政府采购代理机构在财政部门指定的媒体上公告，但政府采购合同中涉及国家秘密、商业秘密的内容除外。</w:t>
            </w:r>
          </w:p>
        </w:tc>
      </w:tr>
    </w:tbl>
    <w:p>
      <w:pPr>
        <w:pStyle w:val="29"/>
        <w:spacing w:line="480" w:lineRule="auto"/>
        <w:rPr>
          <w:rFonts w:hAnsi="宋体" w:cs="宋体"/>
          <w:b/>
          <w:color w:val="auto"/>
          <w:sz w:val="32"/>
          <w:szCs w:val="32"/>
        </w:rPr>
      </w:pPr>
    </w:p>
    <w:p>
      <w:pPr>
        <w:pStyle w:val="29"/>
        <w:snapToGrid w:val="0"/>
        <w:spacing w:line="360" w:lineRule="exact"/>
        <w:jc w:val="center"/>
        <w:rPr>
          <w:rFonts w:hAnsi="宋体" w:cs="宋体"/>
          <w:b/>
          <w:color w:val="auto"/>
          <w:kern w:val="0"/>
          <w:sz w:val="32"/>
          <w:szCs w:val="32"/>
        </w:rPr>
      </w:pPr>
      <w:r>
        <w:rPr>
          <w:rFonts w:hint="eastAsia" w:hAnsi="宋体" w:cs="宋体"/>
          <w:b/>
          <w:color w:val="auto"/>
          <w:sz w:val="32"/>
          <w:szCs w:val="32"/>
        </w:rPr>
        <w:br w:type="page"/>
      </w:r>
      <w:bookmarkStart w:id="13" w:name="_Toc494352121"/>
      <w:r>
        <w:rPr>
          <w:rFonts w:hint="eastAsia" w:hAnsi="宋体" w:cs="宋体"/>
          <w:b/>
          <w:color w:val="auto"/>
          <w:kern w:val="0"/>
          <w:sz w:val="32"/>
          <w:szCs w:val="32"/>
        </w:rPr>
        <w:t>投标人须知</w:t>
      </w:r>
      <w:bookmarkEnd w:id="13"/>
    </w:p>
    <w:p>
      <w:pPr>
        <w:pStyle w:val="29"/>
        <w:ind w:firstLine="482" w:firstLineChars="200"/>
        <w:jc w:val="center"/>
        <w:rPr>
          <w:rFonts w:hAnsi="宋体" w:cs="宋体"/>
          <w:b/>
          <w:bCs/>
          <w:color w:val="auto"/>
          <w:kern w:val="0"/>
          <w:sz w:val="24"/>
          <w:szCs w:val="20"/>
        </w:rPr>
      </w:pPr>
    </w:p>
    <w:p>
      <w:pPr>
        <w:pStyle w:val="29"/>
        <w:ind w:firstLine="482" w:firstLineChars="200"/>
        <w:jc w:val="center"/>
        <w:rPr>
          <w:rFonts w:hAnsi="宋体" w:cs="宋体"/>
          <w:b/>
          <w:bCs/>
          <w:color w:val="auto"/>
          <w:kern w:val="0"/>
          <w:sz w:val="24"/>
          <w:szCs w:val="20"/>
        </w:rPr>
      </w:pPr>
    </w:p>
    <w:p>
      <w:pPr>
        <w:pStyle w:val="29"/>
        <w:jc w:val="center"/>
        <w:outlineLvl w:val="2"/>
        <w:rPr>
          <w:rFonts w:hAnsi="宋体" w:cs="宋体"/>
          <w:b/>
          <w:bCs/>
          <w:color w:val="auto"/>
          <w:kern w:val="0"/>
          <w:sz w:val="24"/>
          <w:szCs w:val="20"/>
        </w:rPr>
      </w:pPr>
      <w:bookmarkStart w:id="14" w:name="_Toc14666"/>
      <w:bookmarkStart w:id="15" w:name="_Toc494352122"/>
      <w:r>
        <w:rPr>
          <w:rFonts w:hint="eastAsia" w:hAnsi="宋体" w:cs="宋体"/>
          <w:b/>
          <w:bCs/>
          <w:color w:val="auto"/>
          <w:kern w:val="0"/>
          <w:sz w:val="24"/>
          <w:szCs w:val="20"/>
        </w:rPr>
        <w:t>（一）总则</w:t>
      </w:r>
      <w:bookmarkEnd w:id="14"/>
      <w:bookmarkEnd w:id="15"/>
    </w:p>
    <w:p>
      <w:pPr>
        <w:ind w:firstLine="422" w:firstLineChars="200"/>
        <w:rPr>
          <w:rFonts w:ascii="宋体" w:hAnsi="宋体" w:cs="宋体"/>
          <w:b/>
          <w:color w:val="auto"/>
          <w:szCs w:val="21"/>
        </w:rPr>
      </w:pPr>
      <w:bookmarkStart w:id="16" w:name="_Toc254970668"/>
      <w:bookmarkStart w:id="17" w:name="_Toc254970527"/>
    </w:p>
    <w:p>
      <w:pPr>
        <w:pStyle w:val="191"/>
        <w:spacing w:line="400" w:lineRule="exact"/>
        <w:outlineLvl w:val="3"/>
        <w:rPr>
          <w:rFonts w:hAnsi="宋体" w:cs="宋体"/>
          <w:b/>
          <w:color w:val="auto"/>
        </w:rPr>
      </w:pPr>
      <w:r>
        <w:rPr>
          <w:rFonts w:hint="eastAsia" w:hAnsi="宋体" w:cs="宋体"/>
          <w:b/>
          <w:color w:val="auto"/>
        </w:rPr>
        <w:t>1、适用范围</w:t>
      </w:r>
      <w:bookmarkEnd w:id="16"/>
      <w:bookmarkEnd w:id="17"/>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1.1本招标文件适用于本项目的招标、投标、评标、定标、验收、合同履约、付款等行为（法律、法规另有规定的，从其规定）。</w:t>
      </w:r>
    </w:p>
    <w:p>
      <w:pPr>
        <w:pStyle w:val="191"/>
        <w:spacing w:line="400" w:lineRule="exact"/>
        <w:outlineLvl w:val="3"/>
        <w:rPr>
          <w:rFonts w:hAnsi="宋体" w:cs="宋体"/>
          <w:b/>
          <w:color w:val="auto"/>
        </w:rPr>
      </w:pPr>
      <w:bookmarkStart w:id="18" w:name="_Toc254970669"/>
      <w:bookmarkStart w:id="19" w:name="_Toc254970528"/>
      <w:bookmarkStart w:id="20" w:name="_Toc254970548"/>
      <w:bookmarkStart w:id="21" w:name="_Toc254970689"/>
      <w:r>
        <w:rPr>
          <w:rFonts w:hint="eastAsia" w:hAnsi="宋体" w:cs="宋体"/>
          <w:b/>
          <w:color w:val="auto"/>
        </w:rPr>
        <w:t>2、定义</w:t>
      </w:r>
      <w:bookmarkEnd w:id="18"/>
      <w:bookmarkEnd w:id="19"/>
    </w:p>
    <w:p>
      <w:pPr>
        <w:snapToGrid w:val="0"/>
        <w:spacing w:line="400" w:lineRule="exact"/>
        <w:ind w:firstLine="420" w:firstLineChars="200"/>
        <w:jc w:val="left"/>
        <w:rPr>
          <w:rFonts w:ascii="宋体" w:hAnsi="宋体" w:cs="宋体"/>
          <w:color w:val="auto"/>
        </w:rPr>
      </w:pPr>
      <w:r>
        <w:rPr>
          <w:rFonts w:hint="eastAsia" w:ascii="宋体" w:hAnsi="宋体" w:cs="宋体"/>
          <w:color w:val="auto"/>
          <w:szCs w:val="21"/>
        </w:rPr>
        <w:t>2.1</w:t>
      </w:r>
      <w:r>
        <w:rPr>
          <w:rFonts w:hint="eastAsia" w:ascii="宋体" w:hAnsi="宋体" w:cs="宋体"/>
          <w:color w:val="auto"/>
        </w:rPr>
        <w:t xml:space="preserve"> “招标单位”系指组织本次招标的招标单位。</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2.2</w:t>
      </w:r>
      <w:r>
        <w:rPr>
          <w:rFonts w:hint="eastAsia" w:ascii="宋体" w:hAnsi="宋体" w:cs="宋体"/>
          <w:color w:val="auto"/>
        </w:rPr>
        <w:t xml:space="preserve"> “招标代理机构”系指</w:t>
      </w:r>
      <w:r>
        <w:rPr>
          <w:rFonts w:hint="eastAsia" w:ascii="宋体" w:hAnsi="宋体" w:cs="宋体"/>
          <w:color w:val="auto"/>
          <w:lang w:eastAsia="zh-CN"/>
        </w:rPr>
        <w:t xml:space="preserve"> 广西天立工程造价咨询有限公司</w:t>
      </w:r>
      <w:r>
        <w:rPr>
          <w:rFonts w:hint="eastAsia" w:ascii="宋体" w:hAnsi="宋体" w:cs="宋体"/>
          <w:color w:val="auto"/>
        </w:rPr>
        <w:t>（以下简称“本代理机构”）。</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2.3</w:t>
      </w:r>
      <w:r>
        <w:rPr>
          <w:rFonts w:hint="eastAsia" w:ascii="宋体" w:hAnsi="宋体" w:cs="宋体"/>
          <w:color w:val="auto"/>
        </w:rPr>
        <w:t>“投标人”系指响应招标、参加投标竞争的法人、其他组织或者自然人。</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2.4 “产品”系指供方按招标文件规定，须向招标单位提供的一切设备、保险、税金、备品备件、工具、手册及其它有关技术资料和材料。</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2.5“服务”系指招标文件规定投标人须承担的安装、调试、技术协助、校准、培训、技术指导以及其他类似的义务。</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2.6“项目”系指投标人按招标文件规定向招标单位提供的产品和服务。</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2.7“书面形式”包括信函、传真、电报等。</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2.8“▲”系指实质性要求条款。</w:t>
      </w:r>
    </w:p>
    <w:p>
      <w:pPr>
        <w:pStyle w:val="191"/>
        <w:spacing w:line="400" w:lineRule="exact"/>
        <w:outlineLvl w:val="3"/>
        <w:rPr>
          <w:rFonts w:hAnsi="宋体" w:cs="宋体"/>
          <w:b/>
          <w:color w:val="auto"/>
        </w:rPr>
      </w:pPr>
      <w:bookmarkStart w:id="22" w:name="_Toc254970529"/>
      <w:bookmarkStart w:id="23" w:name="_Toc254970670"/>
      <w:r>
        <w:rPr>
          <w:rFonts w:hint="eastAsia" w:hAnsi="宋体" w:cs="宋体"/>
          <w:b/>
          <w:color w:val="auto"/>
        </w:rPr>
        <w:t>3、招标方式</w:t>
      </w:r>
      <w:bookmarkEnd w:id="22"/>
      <w:bookmarkEnd w:id="23"/>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3.1公开招标方式。</w:t>
      </w:r>
    </w:p>
    <w:p>
      <w:pPr>
        <w:pStyle w:val="191"/>
        <w:spacing w:line="400" w:lineRule="exact"/>
        <w:outlineLvl w:val="3"/>
        <w:rPr>
          <w:rFonts w:hAnsi="宋体" w:cs="宋体"/>
          <w:b/>
          <w:color w:val="auto"/>
        </w:rPr>
      </w:pPr>
      <w:bookmarkStart w:id="24" w:name="_Toc254970671"/>
      <w:bookmarkStart w:id="25" w:name="_Toc254970530"/>
      <w:r>
        <w:rPr>
          <w:rFonts w:hint="eastAsia" w:hAnsi="宋体" w:cs="宋体"/>
          <w:b/>
          <w:color w:val="auto"/>
        </w:rPr>
        <w:t>4、投标委托</w:t>
      </w:r>
      <w:bookmarkEnd w:id="24"/>
      <w:bookmarkEnd w:id="25"/>
    </w:p>
    <w:p>
      <w:pPr>
        <w:pStyle w:val="22"/>
        <w:snapToGrid w:val="0"/>
        <w:spacing w:line="40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4.1投标人代表须携带有效身份证件。如投标人代表不是法定代表人，须有法定代表人出具的授权委托书（正本用原件，副本用复印件，格式见第五章《投标文件格式》）。</w:t>
      </w:r>
    </w:p>
    <w:p>
      <w:pPr>
        <w:pStyle w:val="191"/>
        <w:spacing w:line="400" w:lineRule="exact"/>
        <w:outlineLvl w:val="3"/>
        <w:rPr>
          <w:rFonts w:hAnsi="宋体" w:cs="宋体"/>
          <w:b/>
          <w:color w:val="auto"/>
        </w:rPr>
      </w:pPr>
      <w:bookmarkStart w:id="26" w:name="_Toc254970531"/>
      <w:bookmarkStart w:id="27" w:name="_Toc254970672"/>
      <w:r>
        <w:rPr>
          <w:rFonts w:hint="eastAsia" w:hAnsi="宋体" w:cs="宋体"/>
          <w:b/>
          <w:color w:val="auto"/>
        </w:rPr>
        <w:t>5、投标费用</w:t>
      </w:r>
      <w:bookmarkEnd w:id="26"/>
      <w:bookmarkEnd w:id="27"/>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5.1投标人均应自行承担所有与投标有关的全部费用（招标文件有相关的规定除外）。</w:t>
      </w:r>
    </w:p>
    <w:p>
      <w:pPr>
        <w:pStyle w:val="191"/>
        <w:spacing w:line="400" w:lineRule="exact"/>
        <w:outlineLvl w:val="3"/>
        <w:rPr>
          <w:rFonts w:hAnsi="宋体" w:cs="宋体"/>
          <w:b/>
          <w:color w:val="auto"/>
        </w:rPr>
      </w:pPr>
      <w:r>
        <w:rPr>
          <w:rFonts w:hint="eastAsia" w:hAnsi="宋体" w:cs="宋体"/>
          <w:b/>
          <w:color w:val="auto"/>
        </w:rPr>
        <w:t>6、联合体投标</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6.1本项目不接受联合体投标。</w:t>
      </w:r>
    </w:p>
    <w:p>
      <w:pPr>
        <w:pStyle w:val="191"/>
        <w:spacing w:line="400" w:lineRule="exact"/>
        <w:outlineLvl w:val="3"/>
        <w:rPr>
          <w:rFonts w:hAnsi="宋体" w:cs="宋体"/>
          <w:b/>
          <w:color w:val="auto"/>
        </w:rPr>
      </w:pPr>
      <w:r>
        <w:rPr>
          <w:rFonts w:hint="eastAsia" w:hAnsi="宋体" w:cs="宋体"/>
          <w:b/>
          <w:color w:val="auto"/>
        </w:rPr>
        <w:t xml:space="preserve">7、转包与分包             </w:t>
      </w:r>
    </w:p>
    <w:p>
      <w:pPr>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7.1本项目不允许转包。</w:t>
      </w:r>
    </w:p>
    <w:p>
      <w:pPr>
        <w:snapToGrid w:val="0"/>
        <w:spacing w:line="400" w:lineRule="exact"/>
        <w:ind w:firstLine="420" w:firstLineChars="200"/>
        <w:rPr>
          <w:rFonts w:ascii="宋体" w:hAnsi="宋体" w:cs="宋体"/>
          <w:color w:val="auto"/>
          <w:szCs w:val="21"/>
        </w:rPr>
      </w:pPr>
      <w:r>
        <w:rPr>
          <w:rFonts w:hint="eastAsia" w:ascii="宋体" w:hAnsi="宋体" w:cs="宋体"/>
          <w:color w:val="auto"/>
          <w:kern w:val="0"/>
          <w:szCs w:val="21"/>
        </w:rPr>
        <w:t>7.2本项目不可以分包。</w:t>
      </w:r>
    </w:p>
    <w:p>
      <w:pPr>
        <w:pStyle w:val="191"/>
        <w:spacing w:line="400" w:lineRule="exact"/>
        <w:outlineLvl w:val="3"/>
        <w:rPr>
          <w:rFonts w:hAnsi="宋体" w:cs="宋体"/>
          <w:b/>
          <w:color w:val="auto"/>
        </w:rPr>
      </w:pPr>
      <w:bookmarkStart w:id="28" w:name="_Toc254970532"/>
      <w:bookmarkStart w:id="29" w:name="_Toc254970673"/>
      <w:r>
        <w:rPr>
          <w:rFonts w:hint="eastAsia" w:hAnsi="宋体" w:cs="宋体"/>
          <w:b/>
          <w:color w:val="auto"/>
        </w:rPr>
        <w:t>8、特别说明</w:t>
      </w:r>
      <w:bookmarkEnd w:id="28"/>
      <w:bookmarkEnd w:id="29"/>
    </w:p>
    <w:p>
      <w:pPr>
        <w:snapToGrid w:val="0"/>
        <w:spacing w:line="400" w:lineRule="exact"/>
        <w:ind w:firstLine="420" w:firstLineChars="200"/>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8.1单位负责人为同一人或者存在直接控股、管理关系的不同供应商，不得参加同一合同项下的政府采购活动。</w:t>
      </w:r>
    </w:p>
    <w:p>
      <w:pPr>
        <w:snapToGrid w:val="0"/>
        <w:spacing w:line="400" w:lineRule="exact"/>
        <w:ind w:firstLine="420" w:firstLineChars="200"/>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8.2</w:t>
      </w:r>
      <w:r>
        <w:rPr>
          <w:rFonts w:hint="eastAsia" w:ascii="宋体" w:hAnsi="宋体" w:cs="宋体"/>
          <w:color w:val="auto"/>
        </w:rPr>
        <w:t>提供相同品牌产品且通过资格审查、符合性审查的不同投标人参加同一合同项下投标的，按一家投标人计算，评审后得分最高的同品牌投标人获得中标人推荐资格；评审得分相同的，由招标单位或者招标单位委托评标委员会按照《评标方法及评定标准》中的推荐原则确定一个投标人获得中标人推荐资格，其他同品牌投标人不作为中标候选人，其投标无效。</w:t>
      </w:r>
    </w:p>
    <w:p>
      <w:pPr>
        <w:snapToGrid w:val="0"/>
        <w:spacing w:line="400" w:lineRule="exact"/>
        <w:ind w:firstLine="420" w:firstLineChars="200"/>
        <w:rPr>
          <w:rFonts w:ascii="宋体" w:hAnsi="宋体" w:cs="宋体"/>
          <w:color w:val="auto"/>
        </w:rPr>
      </w:pPr>
      <w:r>
        <w:rPr>
          <w:rFonts w:hint="eastAsia" w:ascii="宋体" w:hAnsi="宋体" w:cs="宋体"/>
          <w:color w:val="auto"/>
        </w:rPr>
        <w:t>非单一产品采购项目，招标单位应当根据采购项目技术构成、产品价格比重等合理确定核心产品，并在招标文件中载明。多家投标人提供的核心产品品牌相同的，视为提供相同品牌产品。按前两款规定处理。核心产品的名称见本招标文件第三章“采购需求和说明”。</w:t>
      </w:r>
    </w:p>
    <w:p>
      <w:pPr>
        <w:snapToGrid w:val="0"/>
        <w:spacing w:line="400" w:lineRule="exact"/>
        <w:ind w:firstLine="420" w:firstLineChars="200"/>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8.3生产厂商授权给供应商后自己不得参加同一合同项下的政府采购活动；生产厂商对同一品牌同一型号的货物，仅能委托一个代理商参加投标。</w:t>
      </w:r>
    </w:p>
    <w:p>
      <w:pPr>
        <w:snapToGrid w:val="0"/>
        <w:spacing w:line="400" w:lineRule="exact"/>
        <w:ind w:firstLine="420" w:firstLineChars="200"/>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8.4投标人投标所使用的资格、信誉、荣誉、业绩与企业认证必须为本法人所拥有。投标人投标所使用的采购项目实施（指项目合同的履行）人员必须为本法人员工（或必须为本法人或控股公司正式员工）。</w:t>
      </w:r>
    </w:p>
    <w:p>
      <w:pPr>
        <w:snapToGrid w:val="0"/>
        <w:spacing w:line="400" w:lineRule="exact"/>
        <w:ind w:firstLine="420" w:firstLineChars="200"/>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8.5投标人应仔细阅读招标文件的所有内容，按照招标文件的要求提交投标文件，并对所提供的全部资料的真实性承担法律责任。</w:t>
      </w:r>
    </w:p>
    <w:p>
      <w:pPr>
        <w:snapToGrid w:val="0"/>
        <w:spacing w:line="400" w:lineRule="exact"/>
        <w:ind w:firstLine="420" w:firstLineChars="200"/>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8.6 投标人在投标活动中提供任何虚假材料、互相串通投标，其投标无效，并报监管部门查处。</w:t>
      </w:r>
    </w:p>
    <w:p>
      <w:pPr>
        <w:snapToGrid w:val="0"/>
        <w:spacing w:line="400" w:lineRule="exact"/>
        <w:ind w:firstLine="420" w:firstLineChars="200"/>
        <w:rPr>
          <w:rFonts w:ascii="宋体" w:hAnsi="宋体" w:cs="宋体"/>
          <w:color w:val="auto"/>
          <w:kern w:val="0"/>
        </w:rPr>
      </w:pPr>
      <w:bookmarkStart w:id="30" w:name="_Toc254970533"/>
      <w:bookmarkStart w:id="31" w:name="_Toc254970674"/>
      <w:r>
        <w:rPr>
          <w:rFonts w:hint="eastAsia" w:ascii="宋体" w:hAnsi="宋体" w:cs="宋体"/>
          <w:color w:val="auto"/>
          <w:szCs w:val="21"/>
        </w:rPr>
        <w:t>▲</w:t>
      </w:r>
      <w:r>
        <w:rPr>
          <w:rFonts w:hint="eastAsia" w:ascii="宋体" w:hAnsi="宋体" w:cs="宋体"/>
          <w:color w:val="auto"/>
          <w:kern w:val="0"/>
          <w:szCs w:val="21"/>
        </w:rPr>
        <w:t>8.7投标报名截止时间止，报名登记的供应商不足三家的，本代理机构将顺延报名时间和开标时间，</w:t>
      </w:r>
      <w:r>
        <w:rPr>
          <w:rFonts w:hint="eastAsia" w:ascii="宋体" w:hAnsi="宋体" w:cs="宋体"/>
          <w:color w:val="auto"/>
          <w:kern w:val="0"/>
        </w:rPr>
        <w:t>并通知已报名的供应商，并在发布招标公告同一网站上发布变更公告。</w:t>
      </w:r>
    </w:p>
    <w:bookmarkEnd w:id="30"/>
    <w:bookmarkEnd w:id="31"/>
    <w:p>
      <w:pPr>
        <w:pStyle w:val="191"/>
        <w:spacing w:line="400" w:lineRule="exact"/>
        <w:outlineLvl w:val="3"/>
        <w:rPr>
          <w:rFonts w:hAnsi="宋体" w:cs="宋体"/>
          <w:b/>
          <w:color w:val="auto"/>
        </w:rPr>
      </w:pPr>
      <w:r>
        <w:rPr>
          <w:rFonts w:hint="eastAsia" w:hAnsi="宋体" w:cs="宋体"/>
          <w:b/>
          <w:color w:val="auto"/>
        </w:rPr>
        <w:t>9、询问、质疑和投诉</w:t>
      </w:r>
    </w:p>
    <w:p>
      <w:pPr>
        <w:pStyle w:val="29"/>
        <w:snapToGrid w:val="0"/>
        <w:spacing w:line="400" w:lineRule="exact"/>
        <w:ind w:firstLine="420" w:firstLineChars="200"/>
        <w:rPr>
          <w:rFonts w:hAnsi="宋体" w:cs="宋体"/>
          <w:color w:val="auto"/>
        </w:rPr>
      </w:pPr>
      <w:r>
        <w:rPr>
          <w:rFonts w:hint="eastAsia" w:hAnsi="宋体" w:cs="宋体"/>
          <w:color w:val="auto"/>
        </w:rPr>
        <w:t>9.1投标人对政府采购活动事项有疑问的，可以向招标单位、招标代理机构提出询问。</w:t>
      </w:r>
    </w:p>
    <w:p>
      <w:pPr>
        <w:pStyle w:val="29"/>
        <w:snapToGrid w:val="0"/>
        <w:spacing w:line="400" w:lineRule="exact"/>
        <w:ind w:firstLine="420" w:firstLineChars="200"/>
        <w:rPr>
          <w:rFonts w:hAnsi="宋体" w:cs="宋体"/>
          <w:color w:val="auto"/>
        </w:rPr>
      </w:pPr>
      <w:r>
        <w:rPr>
          <w:rFonts w:hint="eastAsia" w:hAnsi="宋体" w:cs="宋体"/>
          <w:color w:val="auto"/>
        </w:rPr>
        <w:t>9.2投标人认为招标文件、招标过程或中标结果使自己的合法权益受到损害的，应当在知道或者应知其权益受到损害之日起七个工作日内，以书面形式向招标单位、招标代理机构提出质疑。具体计算时间如下：</w:t>
      </w:r>
    </w:p>
    <w:p>
      <w:pPr>
        <w:pStyle w:val="29"/>
        <w:snapToGrid w:val="0"/>
        <w:spacing w:line="400" w:lineRule="exact"/>
        <w:ind w:firstLine="420" w:firstLineChars="200"/>
        <w:rPr>
          <w:rFonts w:hAnsi="宋体" w:cs="宋体"/>
          <w:bCs/>
          <w:color w:val="auto"/>
        </w:rPr>
      </w:pPr>
      <w:r>
        <w:rPr>
          <w:rFonts w:hint="eastAsia" w:hAnsi="宋体" w:cs="宋体"/>
          <w:color w:val="auto"/>
        </w:rPr>
        <w:t>（1）对可以质疑的招标文件提出质疑的，为收到招标文件之日；</w:t>
      </w:r>
    </w:p>
    <w:p>
      <w:pPr>
        <w:widowControl/>
        <w:spacing w:line="400" w:lineRule="exact"/>
        <w:ind w:firstLine="420" w:firstLineChars="200"/>
        <w:jc w:val="left"/>
        <w:rPr>
          <w:rFonts w:ascii="宋体" w:hAnsi="宋体" w:cs="宋体"/>
          <w:color w:val="auto"/>
          <w:szCs w:val="21"/>
        </w:rPr>
      </w:pPr>
      <w:r>
        <w:rPr>
          <w:rFonts w:hint="eastAsia" w:ascii="宋体" w:hAnsi="宋体" w:cs="宋体"/>
          <w:color w:val="auto"/>
          <w:szCs w:val="21"/>
        </w:rPr>
        <w:t>（2）对招标过程提出质疑的，为各招标程序环节结束之日；</w:t>
      </w:r>
    </w:p>
    <w:p>
      <w:pPr>
        <w:widowControl/>
        <w:spacing w:line="400" w:lineRule="exact"/>
        <w:ind w:firstLine="420" w:firstLineChars="200"/>
        <w:jc w:val="left"/>
        <w:rPr>
          <w:rFonts w:ascii="宋体" w:hAnsi="宋体" w:cs="宋体"/>
          <w:color w:val="auto"/>
          <w:szCs w:val="21"/>
        </w:rPr>
      </w:pPr>
      <w:r>
        <w:rPr>
          <w:rFonts w:hint="eastAsia" w:ascii="宋体" w:hAnsi="宋体" w:cs="宋体"/>
          <w:color w:val="auto"/>
          <w:szCs w:val="21"/>
        </w:rPr>
        <w:t>（3）对中标结果提出质疑的，为中标结果公告期限届满之日。投标人对招标单位的质疑答复不满意或者招标单位未在规定时间内作出答复的，可以在答复期满后十五个工作日内向同级采购监管部门投诉。</w:t>
      </w:r>
    </w:p>
    <w:p>
      <w:pPr>
        <w:pStyle w:val="29"/>
        <w:snapToGrid w:val="0"/>
        <w:spacing w:line="400" w:lineRule="exact"/>
        <w:ind w:firstLine="420" w:firstLineChars="200"/>
        <w:rPr>
          <w:rFonts w:hAnsi="宋体" w:cs="宋体"/>
          <w:bCs/>
          <w:color w:val="auto"/>
        </w:rPr>
      </w:pPr>
      <w:r>
        <w:rPr>
          <w:rFonts w:hint="eastAsia" w:hAnsi="宋体" w:cs="宋体"/>
          <w:bCs/>
          <w:color w:val="auto"/>
        </w:rPr>
        <w:t>9.3质疑、投诉应当采用书面形式，质疑书、投诉书均应明确阐述招标文件、招标过程、中标结果中使自己合法权益受到损害的实质性内容，提供相关事实、明确的请求、必要的证明材料，便于有关单位调查、答复和处理。</w:t>
      </w:r>
    </w:p>
    <w:p>
      <w:pPr>
        <w:spacing w:line="360" w:lineRule="auto"/>
        <w:ind w:left="420"/>
        <w:rPr>
          <w:rFonts w:asciiTheme="minorEastAsia" w:hAnsiTheme="minorEastAsia" w:eastAsiaTheme="minorEastAsia" w:cstheme="minorEastAsia"/>
          <w:szCs w:val="21"/>
        </w:rPr>
      </w:pPr>
      <w:r>
        <w:rPr>
          <w:rFonts w:hint="eastAsia" w:hAnsi="宋体" w:cs="宋体"/>
          <w:bCs/>
          <w:color w:val="auto"/>
        </w:rPr>
        <w:t>投诉联系部门及电话为：</w:t>
      </w:r>
      <w:r>
        <w:rPr>
          <w:rFonts w:hint="eastAsia" w:asciiTheme="minorEastAsia" w:hAnsiTheme="minorEastAsia" w:eastAsiaTheme="minorEastAsia" w:cstheme="minorEastAsia"/>
          <w:szCs w:val="21"/>
        </w:rPr>
        <w:t>富川瑶族自治县财政局采购管理办公室    联系电话：0774-7882324</w:t>
      </w:r>
    </w:p>
    <w:p>
      <w:pPr>
        <w:pStyle w:val="29"/>
        <w:snapToGrid w:val="0"/>
        <w:spacing w:line="400" w:lineRule="exact"/>
        <w:ind w:firstLine="420" w:firstLineChars="200"/>
        <w:rPr>
          <w:rFonts w:hAnsi="宋体" w:cs="宋体"/>
          <w:bCs/>
          <w:color w:val="auto"/>
        </w:rPr>
      </w:pPr>
    </w:p>
    <w:p>
      <w:pPr>
        <w:pStyle w:val="29"/>
        <w:jc w:val="center"/>
        <w:outlineLvl w:val="2"/>
        <w:rPr>
          <w:rFonts w:hAnsi="宋体" w:cs="宋体"/>
          <w:b/>
          <w:bCs/>
          <w:color w:val="auto"/>
          <w:kern w:val="0"/>
          <w:sz w:val="24"/>
          <w:szCs w:val="20"/>
        </w:rPr>
      </w:pPr>
      <w:bookmarkStart w:id="32" w:name="_Toc1512"/>
      <w:bookmarkStart w:id="33" w:name="_Toc254970675"/>
      <w:bookmarkStart w:id="34" w:name="_Toc254970534"/>
      <w:bookmarkStart w:id="35" w:name="_Toc494352123"/>
      <w:r>
        <w:rPr>
          <w:rFonts w:hint="eastAsia" w:hAnsi="宋体" w:cs="宋体"/>
          <w:b/>
          <w:bCs/>
          <w:color w:val="auto"/>
          <w:kern w:val="0"/>
          <w:sz w:val="24"/>
          <w:szCs w:val="20"/>
        </w:rPr>
        <w:t>（二）招标文件</w:t>
      </w:r>
      <w:bookmarkEnd w:id="32"/>
      <w:bookmarkEnd w:id="33"/>
      <w:bookmarkEnd w:id="34"/>
      <w:bookmarkEnd w:id="35"/>
    </w:p>
    <w:p>
      <w:pPr>
        <w:pStyle w:val="29"/>
        <w:jc w:val="center"/>
        <w:rPr>
          <w:rFonts w:hAnsi="宋体" w:cs="宋体"/>
          <w:b/>
          <w:bCs/>
          <w:color w:val="auto"/>
          <w:kern w:val="0"/>
          <w:sz w:val="24"/>
          <w:szCs w:val="20"/>
        </w:rPr>
      </w:pPr>
    </w:p>
    <w:p>
      <w:pPr>
        <w:pStyle w:val="191"/>
        <w:spacing w:line="400" w:lineRule="exact"/>
        <w:outlineLvl w:val="3"/>
        <w:rPr>
          <w:rFonts w:hAnsi="宋体" w:cs="宋体"/>
          <w:b/>
          <w:color w:val="auto"/>
        </w:rPr>
      </w:pPr>
      <w:r>
        <w:rPr>
          <w:rFonts w:hint="eastAsia" w:hAnsi="宋体" w:cs="宋体"/>
          <w:b/>
          <w:color w:val="auto"/>
        </w:rPr>
        <w:t>10、招标文件的构成</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10.1公开招标公告；</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10.2投标人须知；</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10.3采购需求和说明；</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10.4政府采购合同书（格式）；</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10.5投标文件（格式）；</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10.6评标办法及评定标准。</w:t>
      </w:r>
    </w:p>
    <w:p>
      <w:pPr>
        <w:pStyle w:val="191"/>
        <w:spacing w:line="400" w:lineRule="exact"/>
        <w:outlineLvl w:val="3"/>
        <w:rPr>
          <w:rFonts w:hAnsi="宋体" w:cs="宋体"/>
          <w:b/>
          <w:color w:val="auto"/>
        </w:rPr>
      </w:pPr>
      <w:r>
        <w:rPr>
          <w:rFonts w:hint="eastAsia" w:hAnsi="宋体" w:cs="宋体"/>
          <w:b/>
          <w:color w:val="auto"/>
        </w:rPr>
        <w:t>11、投标人的风险</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11.1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rFonts w:hint="eastAsia" w:ascii="宋体" w:hAnsi="宋体" w:cs="宋体"/>
          <w:color w:val="auto"/>
          <w:szCs w:val="21"/>
        </w:rPr>
        <w:cr/>
      </w:r>
      <w:r>
        <w:rPr>
          <w:rFonts w:hint="eastAsia" w:ascii="宋体" w:hAnsi="宋体" w:cs="宋体"/>
          <w:color w:val="auto"/>
          <w:szCs w:val="21"/>
        </w:rPr>
        <w:t xml:space="preserve">    11.2对招标文件提出的实质性要求和条件作出明确响应是指投标人必须对招标文件中涉及招标项目的价格、采购货物的主要技术参数和性能配置、数量、交货时间、售后服务及其它要求、合同主要条款等内容作出明确响应。</w:t>
      </w:r>
    </w:p>
    <w:p>
      <w:pPr>
        <w:pStyle w:val="191"/>
        <w:spacing w:line="400" w:lineRule="exact"/>
        <w:outlineLvl w:val="3"/>
        <w:rPr>
          <w:rFonts w:hAnsi="宋体" w:cs="宋体"/>
          <w:b/>
          <w:color w:val="auto"/>
        </w:rPr>
      </w:pPr>
      <w:r>
        <w:rPr>
          <w:rFonts w:hint="eastAsia" w:hAnsi="宋体" w:cs="宋体"/>
          <w:b/>
          <w:color w:val="auto"/>
        </w:rPr>
        <w:t xml:space="preserve">12、招标文件的澄清与修改 </w:t>
      </w:r>
    </w:p>
    <w:p>
      <w:pPr>
        <w:pStyle w:val="29"/>
        <w:snapToGrid w:val="0"/>
        <w:spacing w:line="400" w:lineRule="exact"/>
        <w:ind w:firstLine="420" w:firstLineChars="200"/>
        <w:rPr>
          <w:rFonts w:hAnsi="宋体" w:cs="宋体"/>
          <w:color w:val="auto"/>
        </w:rPr>
      </w:pPr>
      <w:r>
        <w:rPr>
          <w:rFonts w:hint="eastAsia" w:hAnsi="宋体" w:cs="宋体"/>
          <w:color w:val="auto"/>
        </w:rPr>
        <w:t>12.1</w:t>
      </w:r>
      <w:r>
        <w:rPr>
          <w:rFonts w:hint="eastAsia" w:hAnsi="宋体" w:cs="宋体"/>
          <w:bCs/>
          <w:color w:val="auto"/>
        </w:rPr>
        <w:t>投标人应认真阅读本招标文件，发现其中有误或有不合理要求的，投标人</w:t>
      </w:r>
      <w:r>
        <w:rPr>
          <w:rFonts w:hint="eastAsia" w:hAnsi="宋体" w:cs="宋体"/>
          <w:color w:val="auto"/>
        </w:rPr>
        <w:t>应当在投标截止日期</w:t>
      </w:r>
      <w:r>
        <w:rPr>
          <w:rFonts w:hint="eastAsia" w:hAnsi="宋体" w:cs="宋体"/>
          <w:color w:val="auto"/>
          <w:u w:val="single"/>
        </w:rPr>
        <w:t>10</w:t>
      </w:r>
      <w:r>
        <w:rPr>
          <w:rFonts w:hint="eastAsia" w:hAnsi="宋体" w:cs="宋体"/>
          <w:color w:val="auto"/>
        </w:rPr>
        <w:t>天</w:t>
      </w:r>
      <w:r>
        <w:rPr>
          <w:rFonts w:hint="eastAsia" w:hAnsi="宋体" w:cs="宋体"/>
          <w:bCs/>
          <w:color w:val="auto"/>
        </w:rPr>
        <w:t>前以书面形式</w:t>
      </w:r>
      <w:r>
        <w:rPr>
          <w:rFonts w:hint="eastAsia" w:hAnsi="宋体" w:cs="宋体"/>
          <w:color w:val="auto"/>
        </w:rPr>
        <w:t>（包括信函、传真等可以有形地表现所载内容的形式，下同）</w:t>
      </w:r>
      <w:r>
        <w:rPr>
          <w:rFonts w:hint="eastAsia" w:hAnsi="宋体" w:cs="宋体"/>
          <w:bCs/>
          <w:color w:val="auto"/>
        </w:rPr>
        <w:t>要求招标单位</w:t>
      </w:r>
      <w:r>
        <w:rPr>
          <w:rFonts w:hint="eastAsia" w:hAnsi="宋体" w:cs="宋体"/>
          <w:color w:val="auto"/>
        </w:rPr>
        <w:t>答疑、澄清</w:t>
      </w:r>
      <w:r>
        <w:rPr>
          <w:rFonts w:hint="eastAsia" w:hAnsi="宋体" w:cs="宋体"/>
          <w:bCs/>
          <w:color w:val="auto"/>
        </w:rPr>
        <w:t>。招标单位或者本代理机构可以对已发出的招标文件进行必要的澄清或者修改，但不得改变采购标的和资格条件。本代理机构对已发出的招标文件进行必要澄清或者修改</w:t>
      </w:r>
      <w:r>
        <w:rPr>
          <w:rFonts w:hint="eastAsia" w:hAnsi="宋体" w:cs="宋体"/>
          <w:b/>
          <w:bCs/>
          <w:color w:val="auto"/>
        </w:rPr>
        <w:t>可能影响投标文件编制的</w:t>
      </w:r>
      <w:r>
        <w:rPr>
          <w:rFonts w:hint="eastAsia" w:hAnsi="宋体" w:cs="宋体"/>
          <w:bCs/>
          <w:color w:val="auto"/>
        </w:rPr>
        <w:t>，应当在招标文件要求提交投标文件截止时间</w:t>
      </w:r>
      <w:r>
        <w:rPr>
          <w:rFonts w:hint="eastAsia" w:hAnsi="宋体" w:cs="宋体"/>
          <w:bCs/>
          <w:color w:val="auto"/>
          <w:u w:val="single"/>
        </w:rPr>
        <w:t>15</w:t>
      </w:r>
      <w:r>
        <w:rPr>
          <w:rFonts w:hint="eastAsia" w:hAnsi="宋体" w:cs="宋体"/>
          <w:bCs/>
          <w:color w:val="auto"/>
        </w:rPr>
        <w:t>日前，在财政部门指定的政府采购信息发布媒体及本代理机构网站上发布更正公告，并以书面形式通知所有招标文件收受人。该澄清或者修改的内容为招标文件的组成部分</w:t>
      </w:r>
      <w:r>
        <w:rPr>
          <w:rFonts w:hint="eastAsia" w:hAnsi="宋体" w:cs="宋体"/>
          <w:color w:val="auto"/>
        </w:rPr>
        <w:t>。如果澄清</w:t>
      </w:r>
      <w:r>
        <w:rPr>
          <w:rFonts w:hint="eastAsia" w:hAnsi="宋体" w:cs="宋体"/>
          <w:bCs/>
          <w:color w:val="auto"/>
        </w:rPr>
        <w:t>或者修改通知</w:t>
      </w:r>
      <w:r>
        <w:rPr>
          <w:rFonts w:hint="eastAsia" w:hAnsi="宋体" w:cs="宋体"/>
          <w:color w:val="auto"/>
        </w:rPr>
        <w:t>发出时间距投标截止时间不足</w:t>
      </w:r>
      <w:r>
        <w:rPr>
          <w:rFonts w:hint="eastAsia" w:hAnsi="宋体" w:cs="宋体"/>
          <w:color w:val="auto"/>
          <w:u w:val="single"/>
        </w:rPr>
        <w:t>15</w:t>
      </w:r>
      <w:r>
        <w:rPr>
          <w:rFonts w:hint="eastAsia" w:hAnsi="宋体" w:cs="宋体"/>
          <w:color w:val="auto"/>
        </w:rPr>
        <w:t>天，相应延迟开标时间。</w:t>
      </w:r>
    </w:p>
    <w:p>
      <w:pPr>
        <w:pStyle w:val="29"/>
        <w:snapToGrid w:val="0"/>
        <w:spacing w:line="400" w:lineRule="exact"/>
        <w:ind w:firstLine="420" w:firstLineChars="200"/>
        <w:rPr>
          <w:rFonts w:hAnsi="宋体" w:cs="宋体"/>
          <w:color w:val="auto"/>
        </w:rPr>
      </w:pPr>
      <w:r>
        <w:rPr>
          <w:rFonts w:hint="eastAsia" w:hAnsi="宋体" w:cs="宋体"/>
          <w:color w:val="auto"/>
        </w:rPr>
        <w:t>12.2本代理机构以书面形式答复投标人要求澄清的问题，并将不包含问题来源的答复书面通知所有报名的投标人；除书面答复以外的其他澄清方式及澄清内容均无效。</w:t>
      </w:r>
    </w:p>
    <w:p>
      <w:pPr>
        <w:pStyle w:val="29"/>
        <w:snapToGrid w:val="0"/>
        <w:spacing w:line="400" w:lineRule="exact"/>
        <w:ind w:firstLine="420" w:firstLineChars="200"/>
        <w:rPr>
          <w:rFonts w:hAnsi="宋体" w:cs="宋体"/>
          <w:color w:val="auto"/>
        </w:rPr>
      </w:pPr>
      <w:r>
        <w:rPr>
          <w:rFonts w:hint="eastAsia" w:hAnsi="宋体" w:cs="宋体"/>
          <w:color w:val="auto"/>
        </w:rPr>
        <w:t>12.3招标文件的答疑、澄清、修改、补充的内容为招标文件的组成部分。当招标文件与招标文件的答疑、澄清、修改、补充通知就同一内容的表述不一致时，以最后发出的书面文件为准。</w:t>
      </w:r>
    </w:p>
    <w:p>
      <w:pPr>
        <w:pStyle w:val="29"/>
        <w:snapToGrid w:val="0"/>
        <w:spacing w:line="400" w:lineRule="exact"/>
        <w:ind w:firstLine="420" w:firstLineChars="200"/>
        <w:rPr>
          <w:rFonts w:hAnsi="宋体" w:cs="宋体"/>
          <w:color w:val="auto"/>
        </w:rPr>
      </w:pPr>
      <w:r>
        <w:rPr>
          <w:rFonts w:hint="eastAsia" w:hAnsi="宋体" w:cs="宋体"/>
          <w:color w:val="auto"/>
        </w:rPr>
        <w:t>12.4招标文件的答疑、澄清、修改、补充都应该通过本代理机构以法定形式发布，招标单位非通过本机构，不得擅自答疑、澄清、修改、补充招标文件。</w:t>
      </w:r>
    </w:p>
    <w:p>
      <w:pPr>
        <w:pStyle w:val="29"/>
        <w:snapToGrid w:val="0"/>
        <w:spacing w:line="400" w:lineRule="exact"/>
        <w:ind w:firstLine="420" w:firstLineChars="200"/>
        <w:rPr>
          <w:rFonts w:hAnsi="宋体" w:cs="宋体"/>
          <w:color w:val="auto"/>
        </w:rPr>
      </w:pPr>
      <w:r>
        <w:rPr>
          <w:rFonts w:hint="eastAsia" w:hAnsi="宋体" w:cs="宋体"/>
          <w:color w:val="auto"/>
        </w:rPr>
        <w:t>12.5本代理机构可以视采购具体情况，延长招标文件提供期限，并在发布招标公告的同一网站上发布公告。</w:t>
      </w:r>
    </w:p>
    <w:p>
      <w:pPr>
        <w:pStyle w:val="29"/>
        <w:snapToGrid w:val="0"/>
        <w:spacing w:line="400" w:lineRule="exact"/>
        <w:ind w:firstLine="420" w:firstLineChars="200"/>
        <w:rPr>
          <w:rFonts w:hAnsi="宋体" w:cs="宋体"/>
          <w:color w:val="auto"/>
        </w:rPr>
      </w:pPr>
    </w:p>
    <w:p>
      <w:pPr>
        <w:pStyle w:val="29"/>
        <w:jc w:val="center"/>
        <w:outlineLvl w:val="2"/>
        <w:rPr>
          <w:rFonts w:hAnsi="宋体" w:cs="宋体"/>
          <w:b/>
          <w:bCs/>
          <w:color w:val="auto"/>
          <w:kern w:val="0"/>
          <w:sz w:val="24"/>
          <w:szCs w:val="20"/>
        </w:rPr>
      </w:pPr>
      <w:bookmarkStart w:id="36" w:name="_Toc254970676"/>
      <w:bookmarkStart w:id="37" w:name="_Toc254970535"/>
      <w:bookmarkStart w:id="38" w:name="_Toc494352124"/>
      <w:bookmarkStart w:id="39" w:name="_Toc19387"/>
      <w:r>
        <w:rPr>
          <w:rFonts w:hint="eastAsia" w:hAnsi="宋体" w:cs="宋体"/>
          <w:b/>
          <w:bCs/>
          <w:color w:val="auto"/>
          <w:kern w:val="0"/>
          <w:sz w:val="24"/>
          <w:szCs w:val="20"/>
        </w:rPr>
        <w:t>（三）投标文件的编制</w:t>
      </w:r>
      <w:bookmarkEnd w:id="36"/>
      <w:bookmarkEnd w:id="37"/>
      <w:bookmarkEnd w:id="38"/>
      <w:bookmarkEnd w:id="39"/>
    </w:p>
    <w:p>
      <w:pPr>
        <w:pStyle w:val="29"/>
        <w:jc w:val="center"/>
        <w:rPr>
          <w:rFonts w:hAnsi="宋体" w:cs="宋体"/>
          <w:b/>
          <w:bCs/>
          <w:color w:val="auto"/>
          <w:kern w:val="0"/>
          <w:sz w:val="24"/>
          <w:szCs w:val="20"/>
        </w:rPr>
      </w:pPr>
    </w:p>
    <w:p>
      <w:pPr>
        <w:pStyle w:val="191"/>
        <w:spacing w:line="400" w:lineRule="exact"/>
        <w:outlineLvl w:val="3"/>
        <w:rPr>
          <w:rFonts w:hAnsi="宋体" w:cs="宋体"/>
          <w:b/>
          <w:color w:val="auto"/>
        </w:rPr>
      </w:pPr>
      <w:bookmarkStart w:id="40" w:name="_Toc254970536"/>
      <w:bookmarkStart w:id="41" w:name="_Toc254970677"/>
      <w:r>
        <w:rPr>
          <w:rFonts w:hint="eastAsia" w:hAnsi="宋体" w:cs="宋体"/>
          <w:b/>
          <w:color w:val="auto"/>
        </w:rPr>
        <w:t>13、投标文件的组成</w:t>
      </w:r>
      <w:bookmarkEnd w:id="40"/>
      <w:bookmarkEnd w:id="41"/>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投标文件由开标一览表、资格文件、报价/商务及技术文件三部份组成（格式见第五章）。</w:t>
      </w:r>
    </w:p>
    <w:p>
      <w:pPr>
        <w:snapToGrid w:val="0"/>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13.1开标一览表</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开标一览表</w:t>
      </w:r>
      <w:r>
        <w:rPr>
          <w:rFonts w:hint="eastAsia" w:ascii="宋体" w:hAnsi="宋体" w:cs="宋体"/>
          <w:b/>
          <w:color w:val="auto"/>
        </w:rPr>
        <w:t>（</w:t>
      </w:r>
      <w:r>
        <w:rPr>
          <w:rFonts w:hint="eastAsia" w:ascii="宋体" w:hAnsi="宋体" w:cs="宋体"/>
          <w:b/>
          <w:color w:val="auto"/>
          <w:u w:val="single"/>
        </w:rPr>
        <w:t>必须提供</w:t>
      </w:r>
      <w:r>
        <w:rPr>
          <w:rFonts w:hint="eastAsia" w:ascii="宋体" w:hAnsi="宋体" w:cs="宋体"/>
          <w:b/>
          <w:color w:val="auto"/>
        </w:rPr>
        <w:t>）</w:t>
      </w:r>
      <w:r>
        <w:rPr>
          <w:rFonts w:hint="eastAsia" w:ascii="宋体" w:hAnsi="宋体" w:cs="宋体"/>
          <w:color w:val="auto"/>
          <w:szCs w:val="21"/>
        </w:rPr>
        <w:t>。</w:t>
      </w:r>
    </w:p>
    <w:p>
      <w:pPr>
        <w:snapToGrid w:val="0"/>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13.2资格文件：</w:t>
      </w:r>
    </w:p>
    <w:p>
      <w:pPr>
        <w:snapToGrid w:val="0"/>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▲实质性要求的资格材料：</w:t>
      </w:r>
    </w:p>
    <w:p>
      <w:pPr>
        <w:snapToGrid w:val="0"/>
        <w:spacing w:line="400" w:lineRule="exact"/>
        <w:ind w:firstLine="420" w:firstLineChars="200"/>
        <w:jc w:val="left"/>
        <w:rPr>
          <w:rFonts w:ascii="宋体" w:hAnsi="宋体" w:cs="宋体"/>
          <w:b/>
          <w:color w:val="auto"/>
        </w:rPr>
      </w:pPr>
      <w:r>
        <w:rPr>
          <w:rFonts w:hint="eastAsia" w:ascii="宋体" w:hAnsi="宋体" w:cs="宋体"/>
          <w:color w:val="auto"/>
          <w:szCs w:val="21"/>
        </w:rPr>
        <w:t>（1）投标声明书</w:t>
      </w:r>
      <w:r>
        <w:rPr>
          <w:rFonts w:hint="eastAsia" w:ascii="宋体" w:hAnsi="宋体" w:cs="宋体"/>
          <w:b/>
          <w:color w:val="auto"/>
        </w:rPr>
        <w:t>（必须提供）；</w:t>
      </w:r>
    </w:p>
    <w:p>
      <w:pPr>
        <w:snapToGrid w:val="0"/>
        <w:spacing w:line="400" w:lineRule="exact"/>
        <w:ind w:firstLine="420" w:firstLineChars="200"/>
        <w:jc w:val="left"/>
        <w:rPr>
          <w:rFonts w:ascii="宋体" w:hAnsi="宋体" w:cs="宋体"/>
          <w:b/>
          <w:color w:val="auto"/>
        </w:rPr>
      </w:pPr>
      <w:r>
        <w:rPr>
          <w:rFonts w:hint="eastAsia" w:ascii="宋体" w:hAnsi="宋体" w:cs="宋体"/>
          <w:color w:val="auto"/>
          <w:szCs w:val="21"/>
        </w:rPr>
        <w:t>（2）</w:t>
      </w:r>
      <w:r>
        <w:rPr>
          <w:rFonts w:hint="eastAsia" w:ascii="宋体" w:hAnsi="宋体" w:cs="宋体"/>
          <w:bCs/>
          <w:color w:val="auto"/>
        </w:rPr>
        <w:t>有效的营业执照副本</w:t>
      </w:r>
      <w:r>
        <w:rPr>
          <w:rStyle w:val="62"/>
          <w:rFonts w:hint="eastAsia"/>
          <w:color w:val="auto"/>
          <w:kern w:val="0"/>
        </w:rPr>
        <w:t>等</w:t>
      </w:r>
      <w:r>
        <w:rPr>
          <w:rFonts w:hint="eastAsia" w:ascii="宋体" w:hAnsi="宋体" w:cs="宋体"/>
          <w:bCs/>
          <w:color w:val="auto"/>
        </w:rPr>
        <w:t>证明文件复印件，同时要加盖单位公章</w:t>
      </w:r>
      <w:r>
        <w:rPr>
          <w:rFonts w:hint="eastAsia" w:ascii="宋体" w:hAnsi="宋体" w:cs="宋体"/>
          <w:b/>
          <w:color w:val="auto"/>
        </w:rPr>
        <w:t>（必须提供）；</w:t>
      </w:r>
    </w:p>
    <w:p>
      <w:pPr>
        <w:snapToGrid w:val="0"/>
        <w:spacing w:line="400" w:lineRule="exact"/>
        <w:ind w:firstLine="420" w:firstLineChars="200"/>
        <w:jc w:val="left"/>
        <w:rPr>
          <w:rFonts w:ascii="宋体" w:hAnsi="宋体" w:cs="宋体"/>
          <w:bCs/>
          <w:color w:val="auto"/>
        </w:rPr>
      </w:pPr>
      <w:r>
        <w:rPr>
          <w:rFonts w:hint="eastAsia" w:ascii="宋体" w:hAnsi="宋体" w:cs="宋体"/>
          <w:bCs/>
          <w:color w:val="auto"/>
        </w:rPr>
        <w:t>（3）须具备有效的“医疗器械经营许可证”（或医疗器械生产许可证），同时要加盖单位公章</w:t>
      </w:r>
      <w:r>
        <w:rPr>
          <w:rFonts w:hint="eastAsia" w:ascii="宋体" w:hAnsi="宋体" w:cs="宋体"/>
          <w:b/>
          <w:color w:val="auto"/>
        </w:rPr>
        <w:t>（必须提供）</w:t>
      </w:r>
      <w:r>
        <w:rPr>
          <w:rFonts w:hint="eastAsia" w:ascii="宋体" w:hAnsi="宋体" w:cs="宋体"/>
          <w:bCs/>
          <w:color w:val="auto"/>
        </w:rPr>
        <w:t>；</w:t>
      </w:r>
    </w:p>
    <w:p>
      <w:pPr>
        <w:snapToGrid w:val="0"/>
        <w:spacing w:line="400" w:lineRule="exact"/>
        <w:ind w:firstLine="420" w:firstLineChars="200"/>
        <w:jc w:val="left"/>
        <w:rPr>
          <w:rFonts w:hint="eastAsia" w:ascii="宋体" w:hAnsi="宋体" w:cs="宋体"/>
          <w:b/>
          <w:color w:val="auto"/>
        </w:rPr>
      </w:pPr>
      <w:r>
        <w:rPr>
          <w:rFonts w:hint="eastAsia" w:ascii="宋体" w:hAnsi="宋体" w:cs="宋体"/>
          <w:bCs/>
          <w:color w:val="auto"/>
        </w:rPr>
        <w:t>（4）信用记录书面声明</w:t>
      </w:r>
      <w:r>
        <w:rPr>
          <w:rFonts w:hint="eastAsia" w:ascii="宋体" w:hAnsi="宋体" w:cs="宋体"/>
          <w:b/>
          <w:color w:val="auto"/>
        </w:rPr>
        <w:t>（必须提供）；</w:t>
      </w:r>
    </w:p>
    <w:p>
      <w:pPr>
        <w:pStyle w:val="2"/>
        <w:ind w:left="0" w:leftChars="0" w:firstLine="420" w:firstLineChars="200"/>
        <w:rPr>
          <w:rFonts w:hint="eastAsia"/>
        </w:rPr>
      </w:pPr>
      <w:r>
        <w:rPr>
          <w:rFonts w:hint="eastAsia"/>
          <w:lang w:eastAsia="zh-CN"/>
        </w:rPr>
        <w:t>（</w:t>
      </w:r>
      <w:r>
        <w:rPr>
          <w:rFonts w:hint="eastAsia"/>
          <w:lang w:val="en-US" w:eastAsia="zh-CN"/>
        </w:rPr>
        <w:t>5</w:t>
      </w:r>
      <w:r>
        <w:rPr>
          <w:rFonts w:hint="eastAsia"/>
          <w:lang w:eastAsia="zh-CN"/>
        </w:rPr>
        <w:t>）</w:t>
      </w:r>
      <w:r>
        <w:rPr>
          <w:rFonts w:hint="eastAsia"/>
        </w:rPr>
        <w:t>投标截止之日前半年内投标人连续三个月的依法缴纳税费或依法免缴税费的证明（格式自拟，复印件，</w:t>
      </w:r>
      <w:r>
        <w:rPr>
          <w:rFonts w:hint="eastAsia"/>
          <w:b/>
          <w:bCs/>
        </w:rPr>
        <w:t>必须提供</w:t>
      </w:r>
      <w:r>
        <w:rPr>
          <w:rFonts w:hint="eastAsia"/>
        </w:rPr>
        <w:t>）；无纳税记录的，应提供由投标人所在地的税务部门出具的《依法纳税或依法免税证明》（格式自拟，复印件）。</w:t>
      </w:r>
    </w:p>
    <w:p>
      <w:pPr>
        <w:pStyle w:val="2"/>
        <w:ind w:left="0" w:leftChars="0" w:firstLine="420" w:firstLineChars="200"/>
        <w:rPr>
          <w:rFonts w:hint="eastAsia"/>
        </w:rPr>
      </w:pPr>
      <w:r>
        <w:rPr>
          <w:rFonts w:hint="eastAsia"/>
        </w:rPr>
        <w:t>（</w:t>
      </w:r>
      <w:r>
        <w:rPr>
          <w:rFonts w:hint="eastAsia"/>
          <w:lang w:val="en-US" w:eastAsia="zh-CN"/>
        </w:rPr>
        <w:t>6</w:t>
      </w:r>
      <w:r>
        <w:rPr>
          <w:rFonts w:hint="eastAsia"/>
        </w:rPr>
        <w:t>）投标截止之日前半年内投标人连续三个月的依法缴纳社保费的缴费凭证（格式自拟，复印件，</w:t>
      </w:r>
      <w:r>
        <w:rPr>
          <w:rFonts w:hint="eastAsia"/>
          <w:b/>
          <w:bCs/>
        </w:rPr>
        <w:t>必须提供</w:t>
      </w:r>
      <w:r>
        <w:rPr>
          <w:rFonts w:hint="eastAsia"/>
        </w:rPr>
        <w:t>）；无缴费记录的，应提供由投标人所在地社保部门出具的《依法缴纳或依法免缴社保费证明》（格式自拟，复印件）。</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w:t>
      </w:r>
      <w:r>
        <w:rPr>
          <w:rFonts w:hint="eastAsia" w:ascii="宋体" w:hAnsi="宋体" w:cs="宋体"/>
          <w:bCs/>
          <w:color w:val="auto"/>
        </w:rPr>
        <w:t>具备法律、行政法规规定的其他条件的证明材料</w:t>
      </w:r>
      <w:r>
        <w:rPr>
          <w:rFonts w:hint="eastAsia" w:ascii="宋体" w:hAnsi="宋体" w:cs="宋体"/>
          <w:b/>
          <w:color w:val="auto"/>
        </w:rPr>
        <w:t>(如有规定，则必须提供)。</w:t>
      </w:r>
    </w:p>
    <w:p>
      <w:pPr>
        <w:snapToGrid w:val="0"/>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13.3报价/商务及技术文件：</w:t>
      </w:r>
    </w:p>
    <w:p>
      <w:pPr>
        <w:tabs>
          <w:tab w:val="left" w:pos="3870"/>
          <w:tab w:val="left" w:pos="4085"/>
        </w:tabs>
        <w:snapToGrid w:val="0"/>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（1）报价文件：</w:t>
      </w:r>
    </w:p>
    <w:p>
      <w:pPr>
        <w:tabs>
          <w:tab w:val="left" w:pos="3870"/>
          <w:tab w:val="left" w:pos="4085"/>
        </w:tabs>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1）投标函</w:t>
      </w:r>
      <w:r>
        <w:rPr>
          <w:rFonts w:hint="eastAsia" w:ascii="宋体" w:hAnsi="宋体" w:cs="宋体"/>
          <w:b/>
          <w:color w:val="auto"/>
          <w:szCs w:val="21"/>
        </w:rPr>
        <w:t>（</w:t>
      </w:r>
      <w:r>
        <w:rPr>
          <w:rFonts w:hint="eastAsia" w:ascii="宋体" w:hAnsi="宋体" w:cs="宋体"/>
          <w:b/>
          <w:color w:val="auto"/>
          <w:szCs w:val="21"/>
          <w:u w:val="single"/>
        </w:rPr>
        <w:t>必须提供</w:t>
      </w:r>
      <w:r>
        <w:rPr>
          <w:rFonts w:hint="eastAsia" w:ascii="宋体" w:hAnsi="宋体" w:cs="宋体"/>
          <w:color w:val="auto"/>
          <w:szCs w:val="21"/>
        </w:rPr>
        <w:t xml:space="preserve">）； </w:t>
      </w:r>
    </w:p>
    <w:p>
      <w:pPr>
        <w:tabs>
          <w:tab w:val="left" w:pos="3870"/>
          <w:tab w:val="left" w:pos="4085"/>
        </w:tabs>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2）投标报价明细表（</w:t>
      </w:r>
      <w:r>
        <w:rPr>
          <w:rFonts w:hint="eastAsia" w:ascii="宋体" w:hAnsi="宋体" w:cs="宋体"/>
          <w:b/>
          <w:color w:val="auto"/>
          <w:szCs w:val="21"/>
          <w:u w:val="single"/>
        </w:rPr>
        <w:t>必须提供</w:t>
      </w:r>
      <w:r>
        <w:rPr>
          <w:rFonts w:hint="eastAsia" w:ascii="宋体" w:hAnsi="宋体" w:cs="宋体"/>
          <w:color w:val="auto"/>
          <w:szCs w:val="21"/>
        </w:rPr>
        <w:t>）；</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3）投标人针对报价需要说明的其他文件和说明（格式自拟）；</w:t>
      </w:r>
    </w:p>
    <w:p>
      <w:pPr>
        <w:tabs>
          <w:tab w:val="left" w:pos="3870"/>
          <w:tab w:val="left" w:pos="4085"/>
        </w:tabs>
        <w:snapToGrid w:val="0"/>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（2）商务文件：</w:t>
      </w:r>
    </w:p>
    <w:p>
      <w:pPr>
        <w:tabs>
          <w:tab w:val="left" w:pos="3870"/>
          <w:tab w:val="left" w:pos="4085"/>
        </w:tabs>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1）投标保证金缴纳证明和基本账户开户许可证或基本存款账户信息表复印件（</w:t>
      </w:r>
      <w:r>
        <w:rPr>
          <w:rFonts w:hint="eastAsia" w:ascii="宋体" w:hAnsi="宋体" w:cs="宋体"/>
          <w:b/>
          <w:color w:val="auto"/>
          <w:szCs w:val="21"/>
          <w:u w:val="single"/>
        </w:rPr>
        <w:t>必须提供</w:t>
      </w:r>
      <w:r>
        <w:rPr>
          <w:rFonts w:hint="eastAsia" w:ascii="宋体" w:hAnsi="宋体" w:cs="宋体"/>
          <w:color w:val="auto"/>
          <w:szCs w:val="21"/>
        </w:rPr>
        <w:t>）；</w:t>
      </w:r>
    </w:p>
    <w:p>
      <w:pPr>
        <w:snapToGrid w:val="0"/>
        <w:spacing w:line="400" w:lineRule="exact"/>
        <w:ind w:firstLine="420" w:firstLineChars="200"/>
        <w:jc w:val="left"/>
        <w:rPr>
          <w:rFonts w:ascii="宋体" w:hAnsi="宋体" w:cs="宋体"/>
          <w:b/>
          <w:color w:val="auto"/>
          <w:szCs w:val="21"/>
        </w:rPr>
      </w:pPr>
      <w:r>
        <w:rPr>
          <w:rFonts w:hint="eastAsia" w:ascii="宋体" w:hAnsi="宋体" w:cs="宋体"/>
          <w:color w:val="auto"/>
          <w:szCs w:val="21"/>
        </w:rPr>
        <w:t>2）法定代表人身份证复印件，委托代理时还须提供法定代表人授权委托书原件及被授权人身份证复印件</w:t>
      </w:r>
      <w:r>
        <w:rPr>
          <w:rFonts w:hint="eastAsia" w:ascii="宋体" w:hAnsi="宋体" w:cs="宋体"/>
          <w:b/>
          <w:color w:val="auto"/>
          <w:szCs w:val="21"/>
        </w:rPr>
        <w:t>（</w:t>
      </w:r>
      <w:r>
        <w:rPr>
          <w:rFonts w:hint="eastAsia" w:ascii="宋体" w:hAnsi="宋体" w:cs="宋体"/>
          <w:b/>
          <w:color w:val="auto"/>
          <w:szCs w:val="21"/>
          <w:u w:val="single"/>
        </w:rPr>
        <w:t>必须提供</w:t>
      </w:r>
      <w:r>
        <w:rPr>
          <w:rFonts w:hint="eastAsia" w:ascii="宋体" w:hAnsi="宋体" w:cs="宋体"/>
          <w:b/>
          <w:color w:val="auto"/>
          <w:szCs w:val="21"/>
        </w:rPr>
        <w:t>）；</w:t>
      </w:r>
    </w:p>
    <w:p>
      <w:pPr>
        <w:snapToGrid w:val="0"/>
        <w:spacing w:line="400" w:lineRule="exact"/>
        <w:ind w:firstLine="420" w:firstLineChars="200"/>
        <w:jc w:val="left"/>
        <w:rPr>
          <w:rFonts w:ascii="宋体" w:hAnsi="宋体" w:cs="宋体"/>
          <w:b/>
          <w:color w:val="auto"/>
          <w:szCs w:val="21"/>
        </w:rPr>
      </w:pPr>
      <w:r>
        <w:rPr>
          <w:rFonts w:hint="eastAsia" w:ascii="宋体" w:hAnsi="宋体" w:cs="宋体"/>
          <w:color w:val="auto"/>
          <w:szCs w:val="21"/>
        </w:rPr>
        <w:t>3）</w:t>
      </w:r>
      <w:r>
        <w:rPr>
          <w:rFonts w:hint="eastAsia" w:ascii="宋体" w:hAnsi="宋体" w:cs="宋体"/>
          <w:bCs/>
          <w:color w:val="auto"/>
          <w:szCs w:val="21"/>
        </w:rPr>
        <w:t>商务响应表</w:t>
      </w:r>
      <w:r>
        <w:rPr>
          <w:rFonts w:hint="eastAsia" w:ascii="宋体" w:hAnsi="宋体" w:cs="宋体"/>
          <w:b/>
          <w:color w:val="auto"/>
          <w:szCs w:val="21"/>
        </w:rPr>
        <w:t>（</w:t>
      </w:r>
      <w:r>
        <w:rPr>
          <w:rFonts w:hint="eastAsia" w:ascii="宋体" w:hAnsi="宋体" w:cs="宋体"/>
          <w:b/>
          <w:color w:val="auto"/>
          <w:szCs w:val="21"/>
          <w:u w:val="single"/>
        </w:rPr>
        <w:t>必须提供</w:t>
      </w:r>
      <w:r>
        <w:rPr>
          <w:rFonts w:hint="eastAsia" w:ascii="宋体" w:hAnsi="宋体" w:cs="宋体"/>
          <w:b/>
          <w:color w:val="auto"/>
          <w:szCs w:val="21"/>
        </w:rPr>
        <w:t>）；</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4）2017年至今已完成的类似业绩材料（投标人同类项目合同复印件、用户验收报告、用户评价）；</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5）招标文件列明的其他证明文件（</w:t>
      </w:r>
      <w:r>
        <w:rPr>
          <w:rFonts w:hint="eastAsia"/>
          <w:color w:val="auto"/>
        </w:rPr>
        <w:t>采购需求中</w:t>
      </w:r>
      <w:r>
        <w:rPr>
          <w:rFonts w:hint="eastAsia" w:ascii="宋体" w:hAnsi="宋体" w:cs="宋体"/>
          <w:color w:val="auto"/>
          <w:szCs w:val="21"/>
        </w:rPr>
        <w:t>注明必须提供的必须提供，否则投标无效）；</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6）节能环保等方面的资质证书或文件；</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7）投标人的信誉、荣誉证书或文件；</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8）投标人质量管理和质量保证体系等方面的认证证书；</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9）投标人认为可以证明其能力或业绩的其他材料；</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10）投标人情况介绍；</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11）小型、微型企业声明函；</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12）监狱企业证明文件；</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13）残疾人福利性单位声明函；</w:t>
      </w:r>
    </w:p>
    <w:p>
      <w:pPr>
        <w:snapToGrid w:val="0"/>
        <w:spacing w:line="400" w:lineRule="exact"/>
        <w:ind w:firstLine="420" w:firstLineChars="200"/>
        <w:jc w:val="left"/>
        <w:rPr>
          <w:rFonts w:ascii="宋体" w:hAnsi="宋体" w:cs="宋体"/>
          <w:b/>
          <w:color w:val="auto"/>
          <w:szCs w:val="21"/>
        </w:rPr>
      </w:pPr>
      <w:r>
        <w:rPr>
          <w:rFonts w:hint="eastAsia" w:ascii="宋体" w:hAnsi="宋体" w:cs="宋体"/>
          <w:color w:val="auto"/>
          <w:szCs w:val="21"/>
        </w:rPr>
        <w:t>14）具备法律、行政法规规定的其他条件的证明材料</w:t>
      </w:r>
      <w:r>
        <w:rPr>
          <w:rFonts w:hint="eastAsia" w:ascii="宋体" w:hAnsi="宋体" w:cs="宋体"/>
          <w:b/>
          <w:color w:val="auto"/>
          <w:szCs w:val="21"/>
        </w:rPr>
        <w:t>(如有规定，则必须提供)。</w:t>
      </w:r>
    </w:p>
    <w:p>
      <w:pPr>
        <w:snapToGrid w:val="0"/>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（3）技术文件</w:t>
      </w:r>
    </w:p>
    <w:p>
      <w:pPr>
        <w:snapToGrid w:val="0"/>
        <w:spacing w:line="400" w:lineRule="exact"/>
        <w:ind w:firstLine="420" w:firstLineChars="200"/>
        <w:jc w:val="left"/>
        <w:rPr>
          <w:rFonts w:ascii="宋体" w:hAnsi="宋体" w:cs="宋体"/>
          <w:b/>
          <w:color w:val="auto"/>
          <w:szCs w:val="21"/>
        </w:rPr>
      </w:pPr>
      <w:r>
        <w:rPr>
          <w:rFonts w:hint="eastAsia" w:ascii="宋体" w:hAnsi="宋体" w:cs="宋体"/>
          <w:color w:val="auto"/>
          <w:szCs w:val="21"/>
        </w:rPr>
        <w:t>1）投标产品说明书或产品彩页</w:t>
      </w:r>
      <w:r>
        <w:rPr>
          <w:rFonts w:hint="eastAsia" w:ascii="宋体" w:hAnsi="宋体" w:cs="宋体"/>
          <w:b/>
          <w:color w:val="auto"/>
          <w:szCs w:val="21"/>
        </w:rPr>
        <w:t>；</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2）设备配置清单；</w:t>
      </w:r>
    </w:p>
    <w:p>
      <w:pPr>
        <w:snapToGrid w:val="0"/>
        <w:spacing w:line="400" w:lineRule="exact"/>
        <w:ind w:firstLine="420" w:firstLineChars="200"/>
        <w:jc w:val="left"/>
        <w:rPr>
          <w:rFonts w:ascii="宋体" w:hAnsi="宋体" w:cs="宋体"/>
          <w:b/>
          <w:color w:val="auto"/>
          <w:szCs w:val="21"/>
        </w:rPr>
      </w:pPr>
      <w:r>
        <w:rPr>
          <w:rFonts w:hint="eastAsia" w:ascii="宋体" w:hAnsi="宋体" w:cs="宋体"/>
          <w:color w:val="auto"/>
          <w:szCs w:val="21"/>
        </w:rPr>
        <w:t>3）</w:t>
      </w:r>
      <w:r>
        <w:rPr>
          <w:rFonts w:hint="eastAsia" w:ascii="宋体" w:hAnsi="宋体" w:cs="宋体"/>
          <w:b/>
          <w:color w:val="auto"/>
          <w:szCs w:val="21"/>
        </w:rPr>
        <w:t>技术响应表（</w:t>
      </w:r>
      <w:r>
        <w:rPr>
          <w:rFonts w:hint="eastAsia" w:ascii="宋体" w:hAnsi="宋体" w:cs="宋体"/>
          <w:b/>
          <w:color w:val="auto"/>
          <w:szCs w:val="21"/>
          <w:u w:val="single"/>
        </w:rPr>
        <w:t>必须提供</w:t>
      </w:r>
      <w:r>
        <w:rPr>
          <w:rFonts w:hint="eastAsia" w:ascii="宋体" w:hAnsi="宋体" w:cs="宋体"/>
          <w:b/>
          <w:color w:val="auto"/>
          <w:szCs w:val="21"/>
        </w:rPr>
        <w:t>）；</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4）技术服务、技术培训、售后服务的内容；</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5）优惠条件：投标人承诺给予招标单位的各种优惠条件，包括售后服务、备品备件、专用耗材等方面的优惠；</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6）投标人需要说明的其他文件和说明；</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▲7）</w:t>
      </w:r>
      <w:r>
        <w:rPr>
          <w:rFonts w:hint="eastAsia" w:ascii="宋体" w:hAnsi="宋体" w:cs="宋体"/>
          <w:b/>
          <w:color w:val="auto"/>
          <w:szCs w:val="21"/>
        </w:rPr>
        <w:t>第三章《采购需求和说明》中</w:t>
      </w:r>
      <w:r>
        <w:rPr>
          <w:rFonts w:hint="eastAsia" w:ascii="宋体" w:hAnsi="宋体" w:cs="宋体"/>
          <w:color w:val="auto"/>
          <w:szCs w:val="21"/>
        </w:rPr>
        <w:t>要求必须提供的材料</w:t>
      </w:r>
      <w:r>
        <w:rPr>
          <w:rFonts w:hint="eastAsia" w:ascii="宋体" w:hAnsi="宋体" w:cs="宋体"/>
          <w:b/>
          <w:color w:val="auto"/>
          <w:szCs w:val="21"/>
        </w:rPr>
        <w:t>(如有规定，则必须提供)</w:t>
      </w:r>
      <w:r>
        <w:rPr>
          <w:rFonts w:hint="eastAsia" w:ascii="宋体" w:hAnsi="宋体" w:cs="宋体"/>
          <w:color w:val="auto"/>
          <w:szCs w:val="21"/>
        </w:rPr>
        <w:t>。</w:t>
      </w:r>
    </w:p>
    <w:p>
      <w:pPr>
        <w:pStyle w:val="45"/>
        <w:spacing w:line="400" w:lineRule="exact"/>
        <w:ind w:firstLine="420" w:firstLineChars="200"/>
        <w:rPr>
          <w:rFonts w:ascii="宋体" w:hAnsi="宋体" w:cs="宋体"/>
          <w:color w:val="auto"/>
          <w:szCs w:val="21"/>
        </w:rPr>
      </w:pPr>
      <w:r>
        <w:rPr>
          <w:rFonts w:hint="eastAsia" w:ascii="宋体" w:hAnsi="宋体" w:cs="宋体"/>
          <w:color w:val="auto"/>
          <w:szCs w:val="21"/>
        </w:rPr>
        <w:t>▲</w:t>
      </w:r>
      <w:r>
        <w:rPr>
          <w:rFonts w:hint="eastAsia" w:ascii="宋体" w:hAnsi="宋体" w:cs="宋体"/>
          <w:b/>
          <w:bCs/>
          <w:color w:val="auto"/>
          <w:szCs w:val="21"/>
        </w:rPr>
        <w:t>注：法定代表人授权委托书必须由法定代表人和委托代理人签名（或签章）并加盖单位公章；投标声明书、投标函、开标一览表必须由法定代表人或委托代理人签名（或签章）并加盖单位公章。</w:t>
      </w:r>
    </w:p>
    <w:p>
      <w:pPr>
        <w:pStyle w:val="191"/>
        <w:spacing w:line="400" w:lineRule="exact"/>
        <w:outlineLvl w:val="3"/>
        <w:rPr>
          <w:rFonts w:hAnsi="宋体" w:cs="宋体"/>
          <w:b/>
          <w:color w:val="auto"/>
        </w:rPr>
      </w:pPr>
      <w:bookmarkStart w:id="42" w:name="_Toc254970678"/>
      <w:bookmarkStart w:id="43" w:name="_Toc254970537"/>
      <w:r>
        <w:rPr>
          <w:rFonts w:hint="eastAsia" w:hAnsi="宋体" w:cs="宋体"/>
          <w:b/>
          <w:color w:val="auto"/>
        </w:rPr>
        <w:t>14、投标文件的语言及计量</w:t>
      </w:r>
      <w:bookmarkEnd w:id="42"/>
      <w:bookmarkEnd w:id="43"/>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14.1投标文件以及投标方与招标方就有关投标事宜的所有来往函电，均应以中文汉语书写。除签名、盖章、专用名称等特殊情形外，以中文汉语以外的文字表述的投标文件视同未提供。</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14.2投标计量单位，招标文件已有明确规定的，使用招标文件规定的计量单位；招标文件没有规定的，应采用中华人民共和国法定计量单位（货币单位：人民币元），否则视同未响应。</w:t>
      </w:r>
    </w:p>
    <w:p>
      <w:pPr>
        <w:pStyle w:val="191"/>
        <w:spacing w:line="400" w:lineRule="exact"/>
        <w:outlineLvl w:val="3"/>
        <w:rPr>
          <w:rFonts w:hAnsi="宋体" w:cs="宋体"/>
          <w:b/>
          <w:color w:val="auto"/>
        </w:rPr>
      </w:pPr>
      <w:bookmarkStart w:id="44" w:name="_Toc254970538"/>
      <w:bookmarkStart w:id="45" w:name="_Toc254970679"/>
      <w:r>
        <w:rPr>
          <w:rFonts w:hint="eastAsia" w:hAnsi="宋体" w:cs="宋体"/>
          <w:b/>
          <w:color w:val="auto"/>
        </w:rPr>
        <w:t>15、投标报价</w:t>
      </w:r>
      <w:bookmarkEnd w:id="44"/>
      <w:bookmarkEnd w:id="45"/>
    </w:p>
    <w:p>
      <w:pPr>
        <w:pStyle w:val="29"/>
        <w:snapToGrid w:val="0"/>
        <w:spacing w:line="400" w:lineRule="exact"/>
        <w:ind w:firstLine="420" w:firstLineChars="200"/>
        <w:jc w:val="left"/>
        <w:rPr>
          <w:rFonts w:hAnsi="宋体" w:cs="宋体"/>
          <w:color w:val="auto"/>
        </w:rPr>
      </w:pPr>
      <w:r>
        <w:rPr>
          <w:rFonts w:hint="eastAsia" w:hAnsi="宋体" w:cs="宋体"/>
          <w:color w:val="auto"/>
        </w:rPr>
        <w:t>15.1投标报价应按招标文件中相关附表格式填写。投标人可就《采购需求和说明》中所有货物和服务内容作完整唯一报价</w:t>
      </w:r>
      <w:r>
        <w:rPr>
          <w:rStyle w:val="295"/>
          <w:rFonts w:hint="eastAsia" w:hAnsi="宋体" w:cs="宋体"/>
          <w:color w:val="auto"/>
        </w:rPr>
        <w:t>,也可就其中一分标内容作完整唯一报价。</w:t>
      </w:r>
    </w:p>
    <w:p>
      <w:pPr>
        <w:pStyle w:val="29"/>
        <w:snapToGrid w:val="0"/>
        <w:spacing w:line="400" w:lineRule="exact"/>
        <w:ind w:firstLine="420" w:firstLineChars="200"/>
        <w:jc w:val="left"/>
        <w:rPr>
          <w:rFonts w:hAnsi="宋体" w:cs="宋体"/>
          <w:color w:val="auto"/>
        </w:rPr>
      </w:pPr>
      <w:r>
        <w:rPr>
          <w:rFonts w:hint="eastAsia" w:hAnsi="宋体" w:cs="宋体"/>
          <w:color w:val="auto"/>
        </w:rPr>
        <w:t>15.2投标报价是履行合同的最终价格，应包括货款、标准附件、备品备件、专用工具、包装、运输、装卸、保险、税金、货到就位以及安装、调试、培训、保修等一切税金和费用。</w:t>
      </w:r>
    </w:p>
    <w:p>
      <w:pPr>
        <w:tabs>
          <w:tab w:val="left" w:pos="525"/>
        </w:tabs>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15.3投标文件只允许有一个报价，有选择的或有条件的报价将不予接受。</w:t>
      </w:r>
    </w:p>
    <w:p>
      <w:pPr>
        <w:pStyle w:val="191"/>
        <w:spacing w:line="400" w:lineRule="exact"/>
        <w:outlineLvl w:val="3"/>
        <w:rPr>
          <w:rFonts w:hAnsi="宋体" w:cs="宋体"/>
          <w:b/>
          <w:color w:val="auto"/>
        </w:rPr>
      </w:pPr>
      <w:r>
        <w:rPr>
          <w:rFonts w:hint="eastAsia" w:hAnsi="宋体" w:cs="宋体"/>
          <w:b/>
          <w:color w:val="auto"/>
        </w:rPr>
        <w:t>16、投标文件的有效期</w:t>
      </w:r>
    </w:p>
    <w:p>
      <w:pPr>
        <w:pStyle w:val="14"/>
        <w:widowControl w:val="0"/>
        <w:tabs>
          <w:tab w:val="clear" w:pos="454"/>
        </w:tabs>
        <w:snapToGrid w:val="0"/>
        <w:spacing w:afterLines="0" w:line="400" w:lineRule="exact"/>
        <w:ind w:left="0" w:firstLine="420" w:firstLineChars="200"/>
        <w:rPr>
          <w:rFonts w:ascii="宋体" w:hAnsi="宋体" w:cs="宋体"/>
          <w:color w:val="auto"/>
          <w:sz w:val="21"/>
          <w:szCs w:val="21"/>
        </w:rPr>
      </w:pPr>
      <w:r>
        <w:rPr>
          <w:rFonts w:hint="eastAsia" w:ascii="宋体" w:hAnsi="宋体" w:cs="宋体"/>
          <w:color w:val="auto"/>
          <w:sz w:val="21"/>
          <w:szCs w:val="21"/>
        </w:rPr>
        <w:t>16.1自投标截止日起</w:t>
      </w:r>
      <w:r>
        <w:rPr>
          <w:rFonts w:hint="eastAsia" w:ascii="宋体" w:hAnsi="宋体" w:cs="宋体"/>
          <w:color w:val="auto"/>
          <w:sz w:val="21"/>
          <w:szCs w:val="21"/>
          <w:u w:val="single"/>
        </w:rPr>
        <w:t>60</w:t>
      </w:r>
      <w:r>
        <w:rPr>
          <w:rFonts w:hint="eastAsia" w:ascii="宋体" w:hAnsi="宋体" w:cs="宋体"/>
          <w:color w:val="auto"/>
          <w:sz w:val="21"/>
          <w:szCs w:val="21"/>
        </w:rPr>
        <w:t>天投标文件应保持有效。有效期不足的投标文件将被拒绝。</w:t>
      </w:r>
    </w:p>
    <w:p>
      <w:pPr>
        <w:pStyle w:val="14"/>
        <w:widowControl w:val="0"/>
        <w:tabs>
          <w:tab w:val="clear" w:pos="454"/>
        </w:tabs>
        <w:snapToGrid w:val="0"/>
        <w:spacing w:afterLines="0" w:line="400" w:lineRule="exact"/>
        <w:ind w:left="0" w:firstLine="420" w:firstLineChars="200"/>
        <w:rPr>
          <w:rFonts w:ascii="宋体" w:hAnsi="宋体" w:cs="宋体"/>
          <w:color w:val="auto"/>
          <w:sz w:val="21"/>
          <w:szCs w:val="21"/>
        </w:rPr>
      </w:pPr>
      <w:r>
        <w:rPr>
          <w:rFonts w:hint="eastAsia" w:ascii="宋体" w:hAnsi="宋体" w:cs="宋体"/>
          <w:color w:val="auto"/>
          <w:sz w:val="21"/>
          <w:szCs w:val="21"/>
        </w:rPr>
        <w:t>16.2在特殊情况下，招标单位可与投标人协商延长投标书的有效期，这种要求和答复均以书面形式进行。</w:t>
      </w:r>
    </w:p>
    <w:p>
      <w:pPr>
        <w:pStyle w:val="14"/>
        <w:widowControl w:val="0"/>
        <w:tabs>
          <w:tab w:val="clear" w:pos="454"/>
        </w:tabs>
        <w:snapToGrid w:val="0"/>
        <w:spacing w:afterLines="0" w:line="400" w:lineRule="exact"/>
        <w:ind w:left="0" w:firstLine="420" w:firstLineChars="200"/>
        <w:rPr>
          <w:rFonts w:ascii="宋体" w:hAnsi="宋体" w:cs="宋体"/>
          <w:color w:val="auto"/>
          <w:sz w:val="21"/>
          <w:szCs w:val="21"/>
        </w:rPr>
      </w:pPr>
      <w:bookmarkStart w:id="46" w:name="_Toc254970539"/>
      <w:bookmarkStart w:id="47" w:name="_Toc254970680"/>
      <w:r>
        <w:rPr>
          <w:rFonts w:hint="eastAsia" w:ascii="宋体" w:hAnsi="宋体" w:cs="宋体"/>
          <w:color w:val="auto"/>
          <w:sz w:val="21"/>
          <w:szCs w:val="21"/>
        </w:rPr>
        <w:t>16.3投标人可拒绝接受延期要求而不会导致投标保证金被没收。同意延长有效期的投标人需要相应延长投标保证金的有效期，但不能修改投标文件。</w:t>
      </w:r>
      <w:bookmarkEnd w:id="46"/>
      <w:bookmarkEnd w:id="47"/>
    </w:p>
    <w:p>
      <w:pPr>
        <w:snapToGrid w:val="0"/>
        <w:spacing w:line="400" w:lineRule="exact"/>
        <w:ind w:firstLine="420" w:firstLineChars="200"/>
        <w:jc w:val="left"/>
        <w:rPr>
          <w:rFonts w:ascii="宋体" w:hAnsi="宋体" w:cs="宋体"/>
          <w:color w:val="auto"/>
          <w:szCs w:val="21"/>
        </w:rPr>
      </w:pPr>
      <w:bookmarkStart w:id="48" w:name="_Toc254970540"/>
      <w:bookmarkStart w:id="49" w:name="_Toc254970681"/>
      <w:r>
        <w:rPr>
          <w:rFonts w:hint="eastAsia" w:ascii="宋体" w:hAnsi="宋体" w:cs="宋体"/>
          <w:color w:val="auto"/>
          <w:szCs w:val="21"/>
        </w:rPr>
        <w:t>16.4中标人的投标文件自开标之日起至合同履行完毕止均应保持有效。</w:t>
      </w:r>
      <w:bookmarkEnd w:id="48"/>
      <w:bookmarkEnd w:id="49"/>
    </w:p>
    <w:p>
      <w:pPr>
        <w:pStyle w:val="191"/>
        <w:spacing w:line="400" w:lineRule="exact"/>
        <w:outlineLvl w:val="3"/>
        <w:rPr>
          <w:rFonts w:hAnsi="宋体" w:cs="宋体"/>
          <w:b/>
          <w:color w:val="auto"/>
        </w:rPr>
      </w:pPr>
      <w:bookmarkStart w:id="50" w:name="_Toc254970541"/>
      <w:bookmarkStart w:id="51" w:name="_Toc254970682"/>
      <w:r>
        <w:rPr>
          <w:rFonts w:hint="eastAsia" w:hAnsi="宋体" w:cs="宋体"/>
          <w:b/>
          <w:color w:val="auto"/>
        </w:rPr>
        <w:t>17、投标保证金</w:t>
      </w:r>
      <w:bookmarkEnd w:id="50"/>
      <w:bookmarkEnd w:id="51"/>
    </w:p>
    <w:p>
      <w:pPr>
        <w:pStyle w:val="29"/>
        <w:spacing w:line="400" w:lineRule="exact"/>
        <w:ind w:firstLine="420" w:firstLineChars="200"/>
        <w:rPr>
          <w:rFonts w:hAnsi="宋体" w:cs="宋体"/>
          <w:color w:val="auto"/>
        </w:rPr>
      </w:pPr>
      <w:r>
        <w:rPr>
          <w:rFonts w:hint="eastAsia" w:hAnsi="宋体" w:cs="宋体"/>
          <w:color w:val="auto"/>
        </w:rPr>
        <w:t>17.1投标保证金应用人民币，投标人须按规定提交投标保证金。否则，其投标将被拒绝。</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17.2保证金交纳形式：支票、汇票、本票、保函等非现金形式提交。</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17.3投标人应按本须知前附表及招标公告中所明确的开户名称、开户银行、账号，于投标截止前交到本代理机构账户上（投标人交纳投标保证金时应充分考虑保证金到达本代理机构账户上的清算时间）。</w:t>
      </w:r>
    </w:p>
    <w:p>
      <w:pPr>
        <w:pStyle w:val="29"/>
        <w:spacing w:line="400" w:lineRule="exact"/>
        <w:ind w:firstLine="420" w:firstLineChars="200"/>
        <w:rPr>
          <w:rFonts w:hAnsi="宋体" w:cs="宋体"/>
          <w:b w:val="0"/>
          <w:bCs/>
          <w:color w:val="auto"/>
        </w:rPr>
      </w:pPr>
      <w:r>
        <w:rPr>
          <w:rFonts w:hint="eastAsia" w:hAnsi="宋体" w:cs="宋体"/>
          <w:b w:val="0"/>
          <w:bCs/>
          <w:color w:val="auto"/>
        </w:rPr>
        <w:t>注：①办理投标保证金手续时，请务必在保证金凭据上注明或写明项目名称及项目编号，以免耽误投标。</w:t>
      </w:r>
    </w:p>
    <w:p>
      <w:pPr>
        <w:snapToGrid w:val="0"/>
        <w:spacing w:line="400" w:lineRule="exact"/>
        <w:ind w:firstLine="420" w:firstLineChars="200"/>
        <w:jc w:val="left"/>
        <w:rPr>
          <w:rFonts w:ascii="宋体" w:hAnsi="宋体" w:cs="宋体"/>
          <w:b w:val="0"/>
          <w:bCs/>
          <w:color w:val="auto"/>
          <w:szCs w:val="21"/>
        </w:rPr>
      </w:pPr>
      <w:r>
        <w:rPr>
          <w:rFonts w:hint="eastAsia" w:ascii="宋体" w:hAnsi="宋体" w:cs="宋体"/>
          <w:b w:val="0"/>
          <w:bCs/>
          <w:color w:val="auto"/>
          <w:szCs w:val="21"/>
        </w:rPr>
        <w:t>②未中标人的投标保证金在中标通知书发出后五个工作日内退还，不计利息。</w:t>
      </w:r>
    </w:p>
    <w:p>
      <w:pPr>
        <w:snapToGrid w:val="0"/>
        <w:spacing w:line="400" w:lineRule="exact"/>
        <w:ind w:firstLine="420" w:firstLineChars="200"/>
        <w:jc w:val="left"/>
        <w:rPr>
          <w:rFonts w:ascii="宋体" w:hAnsi="宋体" w:cs="宋体"/>
          <w:b w:val="0"/>
          <w:bCs/>
          <w:color w:val="auto"/>
          <w:szCs w:val="21"/>
        </w:rPr>
      </w:pPr>
      <w:r>
        <w:rPr>
          <w:rFonts w:hint="eastAsia" w:ascii="宋体" w:hAnsi="宋体" w:cs="宋体"/>
          <w:b w:val="0"/>
          <w:bCs/>
          <w:color w:val="auto"/>
          <w:szCs w:val="21"/>
        </w:rPr>
        <w:t>③中标人的投标保证金自政府采购合同签订之日起5个工作日内（合同签订后送达本代理机构)后退还，不计利息。</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17.4</w:t>
      </w:r>
      <w:r>
        <w:rPr>
          <w:rFonts w:hint="eastAsia" w:ascii="宋体" w:hAnsi="宋体" w:cs="宋体"/>
          <w:color w:val="auto"/>
          <w:kern w:val="0"/>
          <w:szCs w:val="21"/>
        </w:rPr>
        <w:t>中标人应在中标通知书发出之日起</w:t>
      </w:r>
      <w:r>
        <w:rPr>
          <w:rFonts w:hint="eastAsia" w:ascii="宋体" w:hAnsi="宋体" w:cs="宋体"/>
          <w:b/>
          <w:bCs/>
          <w:color w:val="auto"/>
          <w:szCs w:val="21"/>
          <w:u w:val="single"/>
        </w:rPr>
        <w:t>7</w:t>
      </w:r>
      <w:r>
        <w:rPr>
          <w:rFonts w:hint="eastAsia" w:ascii="宋体" w:hAnsi="宋体" w:cs="宋体"/>
          <w:b/>
          <w:bCs/>
          <w:color w:val="auto"/>
          <w:szCs w:val="21"/>
        </w:rPr>
        <w:t>日内</w:t>
      </w:r>
      <w:r>
        <w:rPr>
          <w:rFonts w:hint="eastAsia" w:ascii="宋体" w:hAnsi="宋体" w:cs="宋体"/>
          <w:color w:val="auto"/>
          <w:szCs w:val="21"/>
        </w:rPr>
        <w:t>与招标单位签订合同。</w:t>
      </w:r>
    </w:p>
    <w:p>
      <w:pPr>
        <w:pStyle w:val="29"/>
        <w:spacing w:line="400" w:lineRule="exact"/>
        <w:ind w:firstLine="420" w:firstLineChars="200"/>
        <w:rPr>
          <w:rFonts w:hAnsi="宋体" w:cs="宋体"/>
          <w:color w:val="auto"/>
        </w:rPr>
      </w:pPr>
      <w:r>
        <w:rPr>
          <w:rFonts w:hint="eastAsia" w:hAnsi="宋体" w:cs="宋体"/>
          <w:color w:val="auto"/>
        </w:rPr>
        <w:t>17.5投标保证金不计息。</w:t>
      </w:r>
    </w:p>
    <w:p>
      <w:pPr>
        <w:snapToGrid w:val="0"/>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17.6投标人有下列情形之一的，投标保证金将不予退还：</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（1）投标人在投标有效期内撤回投标文件的；</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（2）投标人在投标过程中弄虚作假，提供虚假材料的；</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（3）中标人无正当理由不与招标单位签订合同的；</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w:t>
      </w:r>
      <w:r>
        <w:rPr>
          <w:rFonts w:hint="eastAsia" w:ascii="宋体" w:hAnsi="宋体" w:cs="宋体"/>
          <w:bCs/>
          <w:color w:val="auto"/>
          <w:spacing w:val="-4"/>
          <w:szCs w:val="21"/>
        </w:rPr>
        <w:t>将中标项目转让给他人或者在投标文件中未说明且未经招标单位同意，将中标项目分包给他人的；</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（5）拒绝履行合同义务的；</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（6）其他严重扰乱招投标程序的。</w:t>
      </w:r>
    </w:p>
    <w:p>
      <w:pPr>
        <w:pStyle w:val="191"/>
        <w:spacing w:line="400" w:lineRule="exact"/>
        <w:outlineLvl w:val="3"/>
        <w:rPr>
          <w:rFonts w:hAnsi="宋体" w:cs="宋体"/>
          <w:b/>
          <w:color w:val="auto"/>
        </w:rPr>
      </w:pPr>
      <w:bookmarkStart w:id="52" w:name="_Toc254970683"/>
      <w:bookmarkStart w:id="53" w:name="_Toc254970542"/>
      <w:r>
        <w:rPr>
          <w:rFonts w:hint="eastAsia" w:hAnsi="宋体" w:cs="宋体"/>
          <w:b/>
          <w:color w:val="auto"/>
        </w:rPr>
        <w:t>18、投标文件的签署和份数</w:t>
      </w:r>
      <w:bookmarkEnd w:id="52"/>
      <w:bookmarkEnd w:id="53"/>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18.1投标人应按本招标文件规定的格式和顺序编制、装订投标文件并标注页码，投标文件内容不完整、编排混乱导致投标文件被误读、漏读或者查找不到相关内容的，属于投标人的责任。</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18.2投标人应按将投标文件装订成册，开标一览表</w:t>
      </w:r>
      <w:r>
        <w:rPr>
          <w:rFonts w:hint="eastAsia" w:ascii="宋体" w:hAnsi="宋体" w:cs="宋体"/>
          <w:color w:val="auto"/>
          <w:szCs w:val="21"/>
          <w:u w:val="single"/>
        </w:rPr>
        <w:t xml:space="preserve"> 壹 </w:t>
      </w:r>
      <w:r>
        <w:rPr>
          <w:rFonts w:hint="eastAsia" w:ascii="宋体" w:hAnsi="宋体" w:cs="宋体"/>
          <w:color w:val="auto"/>
          <w:szCs w:val="21"/>
        </w:rPr>
        <w:t xml:space="preserve">份；资格文件正本 </w:t>
      </w:r>
      <w:r>
        <w:rPr>
          <w:rFonts w:hint="eastAsia" w:ascii="宋体" w:hAnsi="宋体" w:cs="宋体"/>
          <w:color w:val="auto"/>
          <w:szCs w:val="21"/>
          <w:u w:val="single"/>
        </w:rPr>
        <w:t xml:space="preserve">壹 </w:t>
      </w:r>
      <w:r>
        <w:rPr>
          <w:rFonts w:hint="eastAsia" w:ascii="宋体" w:hAnsi="宋体" w:cs="宋体"/>
          <w:color w:val="auto"/>
          <w:szCs w:val="21"/>
        </w:rPr>
        <w:t>份，副本</w:t>
      </w:r>
      <w:r>
        <w:rPr>
          <w:rFonts w:hint="eastAsia" w:ascii="宋体" w:hAnsi="宋体" w:cs="宋体"/>
          <w:color w:val="auto"/>
          <w:szCs w:val="21"/>
          <w:u w:val="single"/>
        </w:rPr>
        <w:t xml:space="preserve"> 肆 份</w:t>
      </w:r>
      <w:r>
        <w:rPr>
          <w:rFonts w:hint="eastAsia" w:ascii="宋体" w:hAnsi="宋体" w:cs="宋体"/>
          <w:color w:val="auto"/>
          <w:szCs w:val="21"/>
        </w:rPr>
        <w:t xml:space="preserve">；报价/商务及技术文件正本 </w:t>
      </w:r>
      <w:r>
        <w:rPr>
          <w:rFonts w:hint="eastAsia" w:ascii="宋体" w:hAnsi="宋体" w:cs="宋体"/>
          <w:color w:val="auto"/>
          <w:szCs w:val="21"/>
          <w:u w:val="single"/>
        </w:rPr>
        <w:t xml:space="preserve">壹 </w:t>
      </w:r>
      <w:r>
        <w:rPr>
          <w:rFonts w:hint="eastAsia" w:ascii="宋体" w:hAnsi="宋体" w:cs="宋体"/>
          <w:color w:val="auto"/>
          <w:szCs w:val="21"/>
        </w:rPr>
        <w:t>份，副本</w:t>
      </w:r>
      <w:r>
        <w:rPr>
          <w:rFonts w:hint="eastAsia" w:ascii="宋体" w:hAnsi="宋体" w:cs="宋体"/>
          <w:color w:val="auto"/>
          <w:szCs w:val="21"/>
          <w:u w:val="single"/>
        </w:rPr>
        <w:t xml:space="preserve"> 肆 份</w:t>
      </w:r>
      <w:r>
        <w:rPr>
          <w:rFonts w:hint="eastAsia" w:ascii="宋体" w:hAnsi="宋体" w:cs="宋体"/>
          <w:color w:val="auto"/>
          <w:szCs w:val="21"/>
        </w:rPr>
        <w:t>。投标文件的封面应注明“正本”、“副本”字样。活页装订的投标文件将被拒绝。</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18.3投标文件的正本需打印或用不褪色的墨水填写，投标文件正本除本《投标人须知》中规定的可提供复印件外均须提供原件。副本为正本的复印件，</w:t>
      </w:r>
      <w:r>
        <w:rPr>
          <w:rFonts w:hint="eastAsia" w:ascii="宋体" w:hAnsi="宋体" w:cs="宋体"/>
          <w:color w:val="auto"/>
        </w:rPr>
        <w:t>一旦副本和正本不符，以正本为准。</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18.4投标文件须由投标人在规定位置盖章并由法定代表人或法定代表人的授权委托人签署，投标人应写全称。</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18.5投标文件不得涂改，若有修改错漏处，须加盖单位公章或者法定代表人或授权委托人签字或盖章。投标文件因字迹潦草或表达不清所引起的后果由投标人负责。</w:t>
      </w:r>
    </w:p>
    <w:p>
      <w:pPr>
        <w:pStyle w:val="191"/>
        <w:spacing w:line="400" w:lineRule="exact"/>
        <w:outlineLvl w:val="3"/>
        <w:rPr>
          <w:rFonts w:hAnsi="宋体" w:cs="宋体"/>
          <w:b/>
          <w:color w:val="auto"/>
        </w:rPr>
      </w:pPr>
      <w:r>
        <w:rPr>
          <w:rFonts w:hint="eastAsia" w:hAnsi="宋体" w:cs="宋体"/>
          <w:b/>
          <w:color w:val="auto"/>
        </w:rPr>
        <w:t>19、投标文件的包装、递交、修改和撤回</w:t>
      </w:r>
    </w:p>
    <w:p>
      <w:pPr>
        <w:snapToGrid w:val="0"/>
        <w:spacing w:line="400" w:lineRule="exact"/>
        <w:ind w:firstLine="420" w:firstLineChars="200"/>
        <w:jc w:val="left"/>
        <w:rPr>
          <w:rFonts w:ascii="宋体" w:hAnsi="宋体" w:cs="宋体"/>
          <w:color w:val="auto"/>
        </w:rPr>
      </w:pPr>
      <w:r>
        <w:rPr>
          <w:rFonts w:hint="eastAsia" w:ascii="宋体" w:hAnsi="宋体" w:cs="宋体"/>
          <w:color w:val="auto"/>
        </w:rPr>
        <w:t>19.1</w:t>
      </w:r>
      <w:r>
        <w:rPr>
          <w:rFonts w:hint="eastAsia" w:ascii="宋体" w:hAnsi="宋体" w:cs="宋体"/>
          <w:color w:val="auto"/>
          <w:szCs w:val="21"/>
        </w:rPr>
        <w:t>投标人应将投标文件装订成册，按开标一览表、资格文件、报价/商务及技术文件三个部分分别装到不同的文件袋中加以密封</w:t>
      </w:r>
      <w:r>
        <w:rPr>
          <w:rFonts w:hint="eastAsia" w:ascii="宋体" w:hAnsi="宋体" w:cs="宋体"/>
          <w:color w:val="auto"/>
          <w:spacing w:val="-2"/>
          <w:szCs w:val="21"/>
        </w:rPr>
        <w:t>（要求文件袋无明显缝隙露出袋内文件）。</w:t>
      </w:r>
      <w:r>
        <w:rPr>
          <w:rFonts w:hint="eastAsia" w:ascii="宋体" w:hAnsi="宋体" w:cs="宋体"/>
          <w:color w:val="auto"/>
          <w:szCs w:val="21"/>
        </w:rPr>
        <w:t>投标文件的正、副本的每一册（每一本）的包装封面上应注明投标人名称、投标人地址、投标文件名称（开标一览表；资格文件；报价/商务及技术文件）、投标项目名称、项目编号、并加盖投标人公章，并</w:t>
      </w:r>
      <w:r>
        <w:rPr>
          <w:rFonts w:hint="eastAsia" w:ascii="宋体" w:hAnsi="宋体" w:cs="宋体"/>
          <w:color w:val="auto"/>
        </w:rPr>
        <w:t>注明“开标时才能启封”。</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19.1.1开标一览表</w:t>
      </w:r>
      <w:r>
        <w:rPr>
          <w:rFonts w:hint="eastAsia" w:ascii="宋体" w:hAnsi="宋体" w:cs="宋体"/>
          <w:color w:val="auto"/>
          <w:szCs w:val="21"/>
          <w:u w:val="single"/>
        </w:rPr>
        <w:t xml:space="preserve"> 壹 </w:t>
      </w:r>
      <w:r>
        <w:rPr>
          <w:rFonts w:hint="eastAsia" w:ascii="宋体" w:hAnsi="宋体" w:cs="宋体"/>
          <w:color w:val="auto"/>
          <w:szCs w:val="21"/>
        </w:rPr>
        <w:t>份，单独包装、密封递交。</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 xml:space="preserve">19.1.2资格文件统一装订成册，正本 </w:t>
      </w:r>
      <w:r>
        <w:rPr>
          <w:rFonts w:hint="eastAsia" w:ascii="宋体" w:hAnsi="宋体" w:cs="宋体"/>
          <w:color w:val="auto"/>
          <w:szCs w:val="21"/>
          <w:u w:val="single"/>
        </w:rPr>
        <w:t xml:space="preserve">壹 </w:t>
      </w:r>
      <w:r>
        <w:rPr>
          <w:rFonts w:hint="eastAsia" w:ascii="宋体" w:hAnsi="宋体" w:cs="宋体"/>
          <w:color w:val="auto"/>
          <w:szCs w:val="21"/>
        </w:rPr>
        <w:t>份；副本</w:t>
      </w:r>
      <w:r>
        <w:rPr>
          <w:rFonts w:hint="eastAsia" w:ascii="宋体" w:hAnsi="宋体" w:cs="宋体"/>
          <w:color w:val="auto"/>
          <w:szCs w:val="21"/>
          <w:u w:val="single"/>
        </w:rPr>
        <w:t xml:space="preserve"> 肆 </w:t>
      </w:r>
      <w:r>
        <w:rPr>
          <w:rFonts w:hint="eastAsia" w:ascii="宋体" w:hAnsi="宋体" w:cs="宋体"/>
          <w:color w:val="auto"/>
          <w:szCs w:val="21"/>
        </w:rPr>
        <w:t>份，单独包装、密封递交。</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 xml:space="preserve">19.1.3报价/商务及技术文件统一装订成册，正本 </w:t>
      </w:r>
      <w:r>
        <w:rPr>
          <w:rFonts w:hint="eastAsia" w:ascii="宋体" w:hAnsi="宋体" w:cs="宋体"/>
          <w:color w:val="auto"/>
          <w:szCs w:val="21"/>
          <w:u w:val="single"/>
        </w:rPr>
        <w:t xml:space="preserve">壹 </w:t>
      </w:r>
      <w:r>
        <w:rPr>
          <w:rFonts w:hint="eastAsia" w:ascii="宋体" w:hAnsi="宋体" w:cs="宋体"/>
          <w:color w:val="auto"/>
          <w:szCs w:val="21"/>
        </w:rPr>
        <w:t>份；副本</w:t>
      </w:r>
      <w:r>
        <w:rPr>
          <w:rFonts w:hint="eastAsia" w:ascii="宋体" w:hAnsi="宋体" w:cs="宋体"/>
          <w:color w:val="auto"/>
          <w:szCs w:val="21"/>
          <w:u w:val="single"/>
        </w:rPr>
        <w:t xml:space="preserve"> 肆 </w:t>
      </w:r>
      <w:r>
        <w:rPr>
          <w:rFonts w:hint="eastAsia" w:ascii="宋体" w:hAnsi="宋体" w:cs="宋体"/>
          <w:color w:val="auto"/>
          <w:szCs w:val="21"/>
        </w:rPr>
        <w:t>份，单独包装、密封递交。</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19.2</w:t>
      </w:r>
      <w:r>
        <w:rPr>
          <w:rFonts w:hint="eastAsia" w:ascii="宋体" w:hAnsi="宋体" w:cs="宋体"/>
          <w:color w:val="auto"/>
        </w:rPr>
        <w:t>逾期送达或者未按照招标文件要求密封的投标文件将被拒绝，由此造成投标文件被误投或提前拆封的风险由投标人承担。</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19.3投标人在投标截止时间之前，可以对已提交的投标文件进行修改或撤回，并书面通知招标单位；投标截止时间后，投标人不得撤回、修改投标文件。修改后重新递交的投标文件应当按本招标文件的要求签署、盖章和密封。</w:t>
      </w:r>
    </w:p>
    <w:p>
      <w:pPr>
        <w:snapToGrid w:val="0"/>
        <w:spacing w:line="400" w:lineRule="exact"/>
        <w:ind w:firstLine="404" w:firstLineChars="200"/>
        <w:jc w:val="left"/>
        <w:rPr>
          <w:rFonts w:ascii="宋体" w:hAnsi="宋体" w:cs="宋体"/>
          <w:color w:val="auto"/>
          <w:spacing w:val="-4"/>
          <w:szCs w:val="21"/>
        </w:rPr>
      </w:pPr>
      <w:bookmarkStart w:id="54" w:name="_Toc254970684"/>
      <w:bookmarkStart w:id="55" w:name="_Toc254970543"/>
      <w:r>
        <w:rPr>
          <w:rFonts w:hint="eastAsia" w:ascii="宋体" w:hAnsi="宋体" w:cs="宋体"/>
          <w:color w:val="auto"/>
          <w:spacing w:val="-4"/>
          <w:szCs w:val="21"/>
        </w:rPr>
        <w:t>19.4投标人已经被推荐为第一中标候选供应商后撤销投标或放弃中标的，其投标保证金将不予退还，给招标单位造成损失的，还应当赔偿损失，并作为不良行为记录在案。</w:t>
      </w:r>
    </w:p>
    <w:bookmarkEnd w:id="54"/>
    <w:bookmarkEnd w:id="55"/>
    <w:p>
      <w:pPr>
        <w:pStyle w:val="191"/>
        <w:spacing w:line="400" w:lineRule="exact"/>
        <w:outlineLvl w:val="3"/>
        <w:rPr>
          <w:rFonts w:hAnsi="宋体" w:cs="宋体"/>
          <w:b/>
          <w:color w:val="auto"/>
        </w:rPr>
      </w:pPr>
      <w:r>
        <w:rPr>
          <w:rFonts w:hint="eastAsia" w:hAnsi="宋体" w:cs="宋体"/>
          <w:b/>
          <w:color w:val="auto"/>
        </w:rPr>
        <w:t>20、投标无效的情形</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20.1如发现下列情形之一的，投标文件将被视为无效：</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（1）超越了按照法律法规规定必须获得行政许可或者行政审批的经营范围的；</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（2）投标文件未按照招标文件要求签字、盖章的，或未提供法定代表人（负责人）授权委托书、投标声明书或者填写项目不齐全的；</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（3）投标代表人未能出具身份证明或与法定代表人（负责人）授权委托人身份不符的；</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（4）项目不齐全或者内容虚假的；</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（5）投标文件的实质性内容未使用中文表述、意思表述不明确、前后矛盾或者使用计量单位不符合投标文件要求的（经评标委员会认定并允许其当场更正的笔误除外）；</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（6）投标有效期、交付使用时间、质保期等商务条款不能满足招标文件要求的；</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（7）未实质性响应招标文件要求或者投标文件有招标单位不能接受的附加条件的；</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（8）未按招标文件的规定提交投标保证金的。</w:t>
      </w:r>
    </w:p>
    <w:p>
      <w:pPr>
        <w:snapToGrid w:val="0"/>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20.2在技术评审时，如发现下列情形之一的，投标文件将被视为无效：</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（1）未提供或未如实提供投标货物的技术参数，或者投标文件标明的响应或偏离与事实不符或虚假投标的；</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（2）明显不符合招标文件要求的规格型号、质量标准，或者与招标文件中的技术指标、主要功能项目发生实质性偏离的；</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（3）投标技术方案不明确，存在一个或一个以上备选（替换）投标方案的；</w:t>
      </w:r>
    </w:p>
    <w:p>
      <w:pPr>
        <w:snapToGrid w:val="0"/>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20.3在报价评审时，如发现下列情形之一的，投标文件将被视为无效：</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（1）未采用人民币报价或者未按照招标文件标明的币种报价的；</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（2）报价超出最高限价，或者超出采购预算金额，招标单位不能支付的；</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（3）投标报价具有选择性，或者开标价格与投标文件承诺的优惠（折扣）价格不一致的。</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（4）评标委员会认为投标人的报价明显低于其他通过符合性审查投标人的报价，有可能影响产品质量或者不能诚信履约，投标人不能证明其报价合理性的。</w:t>
      </w:r>
    </w:p>
    <w:p>
      <w:pPr>
        <w:snapToGrid w:val="0"/>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20.4有下列情形之一的视为投标人相互串通投标，投标文件将被视为无效：</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（1）不同投标人的投标文件由同一单位或者个人编制；或不同投标人报名的IP地址一致的；</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（2）不同投标人委托同一单位或者个人办理投标事宜；</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（3）不同投标人的投标文件载明的项目管理成员或者联系人员为同一人；</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（4）不同投标人的投标文件异常一致或投标报价呈规律性差异；</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（5）不同投标人的投标文件相互混装；</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（6）不同投标人的投标保证金从同一个单位或者个人账户转出。</w:t>
      </w:r>
    </w:p>
    <w:p>
      <w:pPr>
        <w:snapToGrid w:val="0"/>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20.5有下列情形之一的视为关联供应商参加同一合同项下政府采购活动，投标文件将被视为无效：</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（1）单位负责人为同一人或者存在直接控股、管理关系的不同供应商，参加同一合同项下的政府采购活动；</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（2）生产厂商授权给供应商后又参加同一合同项下的政府采购活动；生产厂商对同一品牌同一型号的货物委托多个代理商参加投标。</w:t>
      </w:r>
    </w:p>
    <w:p>
      <w:pPr>
        <w:snapToGrid w:val="0"/>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20.6被拒绝的投标文件为无效。</w:t>
      </w:r>
    </w:p>
    <w:p>
      <w:pPr>
        <w:pStyle w:val="29"/>
        <w:jc w:val="center"/>
        <w:outlineLvl w:val="2"/>
        <w:rPr>
          <w:rFonts w:hAnsi="宋体" w:cs="宋体"/>
          <w:b/>
          <w:bCs/>
          <w:color w:val="auto"/>
          <w:kern w:val="0"/>
          <w:sz w:val="24"/>
          <w:szCs w:val="20"/>
        </w:rPr>
      </w:pPr>
      <w:bookmarkStart w:id="56" w:name="_Toc494352125"/>
      <w:bookmarkStart w:id="57" w:name="_Toc254970685"/>
      <w:bookmarkStart w:id="58" w:name="_Toc4715"/>
      <w:bookmarkStart w:id="59" w:name="_Toc254970544"/>
      <w:r>
        <w:rPr>
          <w:rFonts w:hint="eastAsia" w:hAnsi="宋体" w:cs="宋体"/>
          <w:b/>
          <w:bCs/>
          <w:color w:val="auto"/>
          <w:kern w:val="0"/>
          <w:sz w:val="24"/>
          <w:szCs w:val="20"/>
        </w:rPr>
        <w:t>（四）开标</w:t>
      </w:r>
      <w:bookmarkEnd w:id="56"/>
      <w:bookmarkEnd w:id="57"/>
      <w:bookmarkEnd w:id="58"/>
      <w:bookmarkEnd w:id="59"/>
    </w:p>
    <w:p>
      <w:pPr>
        <w:pStyle w:val="29"/>
        <w:jc w:val="center"/>
        <w:rPr>
          <w:rFonts w:hAnsi="宋体" w:cs="宋体"/>
          <w:b/>
          <w:bCs/>
          <w:color w:val="auto"/>
          <w:kern w:val="0"/>
          <w:sz w:val="24"/>
          <w:szCs w:val="20"/>
        </w:rPr>
      </w:pPr>
    </w:p>
    <w:p>
      <w:pPr>
        <w:pStyle w:val="191"/>
        <w:spacing w:line="400" w:lineRule="exact"/>
        <w:outlineLvl w:val="3"/>
        <w:rPr>
          <w:rFonts w:hAnsi="宋体" w:cs="宋体"/>
          <w:b/>
          <w:color w:val="auto"/>
        </w:rPr>
      </w:pPr>
      <w:r>
        <w:rPr>
          <w:rFonts w:hint="eastAsia" w:hAnsi="宋体" w:cs="宋体"/>
          <w:b/>
          <w:color w:val="auto"/>
        </w:rPr>
        <w:t>21、开标准备</w:t>
      </w:r>
    </w:p>
    <w:p>
      <w:pPr>
        <w:pStyle w:val="29"/>
        <w:snapToGrid w:val="0"/>
        <w:spacing w:line="400" w:lineRule="exact"/>
        <w:ind w:firstLine="420" w:firstLineChars="200"/>
        <w:rPr>
          <w:rFonts w:hAnsi="宋体" w:cs="宋体"/>
          <w:bCs/>
          <w:color w:val="auto"/>
        </w:rPr>
      </w:pPr>
      <w:r>
        <w:rPr>
          <w:rFonts w:hint="eastAsia" w:hAnsi="宋体" w:cs="宋体"/>
          <w:bCs/>
          <w:color w:val="auto"/>
        </w:rPr>
        <w:t>21.1本代理机构将在规定的时间和地点进行开标，投标人的法定代表人或其授权代表应参加开标会并签到。</w:t>
      </w:r>
      <w:r>
        <w:rPr>
          <w:rFonts w:hint="eastAsia" w:hAnsi="宋体" w:cs="宋体"/>
          <w:b/>
          <w:bCs/>
          <w:color w:val="auto"/>
        </w:rPr>
        <w:t>必须提供（法定代表人持法定代表人身份证明书原件、本人有效身份证原件、投标保证金支票、汇票、本票、保函等非现金形式凭证、投标单位基本户开户许可证复印件或基本存款账户信息表；委托代理人持法定代表人授权委托书原件，本人有效身份证原件、投标保证金支票、汇票、本票、保函等非现金形式凭证、投标单位基本户开户许可证复印件或基本存款账户信息表)。投标人的法定代表人或委托代理人未按规定签到的，否则视同放弃投标，其投标文件不予接收。</w:t>
      </w:r>
      <w:r>
        <w:rPr>
          <w:rFonts w:hint="eastAsia" w:hAnsi="宋体" w:cs="宋体"/>
          <w:bCs/>
          <w:color w:val="auto"/>
        </w:rPr>
        <w:t>投标时间截止后，参加投标的投标人不足三家的，应予废标。</w:t>
      </w:r>
    </w:p>
    <w:p>
      <w:pPr>
        <w:pStyle w:val="29"/>
        <w:snapToGrid w:val="0"/>
        <w:spacing w:line="400" w:lineRule="exact"/>
        <w:ind w:firstLine="422" w:firstLineChars="200"/>
        <w:rPr>
          <w:rFonts w:hAnsi="宋体" w:cs="宋体"/>
          <w:b/>
          <w:color w:val="auto"/>
        </w:rPr>
      </w:pPr>
      <w:r>
        <w:rPr>
          <w:rFonts w:hint="eastAsia" w:hAnsi="宋体" w:cs="宋体"/>
          <w:b/>
          <w:color w:val="auto"/>
        </w:rPr>
        <w:t>22、开标程序</w:t>
      </w:r>
    </w:p>
    <w:p>
      <w:pPr>
        <w:pStyle w:val="29"/>
        <w:snapToGrid w:val="0"/>
        <w:spacing w:line="400" w:lineRule="exact"/>
        <w:ind w:firstLine="420" w:firstLineChars="200"/>
        <w:rPr>
          <w:rFonts w:hAnsi="宋体" w:cs="宋体"/>
          <w:color w:val="auto"/>
        </w:rPr>
      </w:pPr>
      <w:r>
        <w:rPr>
          <w:rFonts w:hint="eastAsia" w:hAnsi="宋体" w:cs="宋体"/>
          <w:color w:val="auto"/>
        </w:rPr>
        <w:t>22.1开标程序：</w:t>
      </w:r>
    </w:p>
    <w:p>
      <w:pPr>
        <w:spacing w:line="360" w:lineRule="exact"/>
        <w:ind w:firstLine="420" w:firstLineChars="200"/>
        <w:rPr>
          <w:rFonts w:ascii="宋体" w:hAnsi="宋体" w:cs="宋体"/>
          <w:color w:val="auto"/>
        </w:rPr>
      </w:pPr>
      <w:r>
        <w:rPr>
          <w:rFonts w:hint="eastAsia" w:ascii="宋体" w:hAnsi="宋体" w:cs="宋体"/>
          <w:color w:val="auto"/>
        </w:rPr>
        <w:t>主持人按下列程序进行开标：</w:t>
      </w:r>
    </w:p>
    <w:p>
      <w:pPr>
        <w:snapToGrid w:val="0"/>
        <w:spacing w:line="400" w:lineRule="exact"/>
        <w:ind w:firstLine="420" w:firstLineChars="200"/>
        <w:rPr>
          <w:rFonts w:ascii="宋体" w:hAnsi="宋体" w:cs="宋体"/>
          <w:color w:val="auto"/>
        </w:rPr>
      </w:pPr>
      <w:r>
        <w:rPr>
          <w:rFonts w:hint="eastAsia" w:ascii="宋体" w:hAnsi="宋体" w:cs="宋体"/>
          <w:color w:val="auto"/>
        </w:rPr>
        <w:t>（1）开标会由招标代理机构主持，主持人宣布开标会议开始；</w:t>
      </w:r>
    </w:p>
    <w:p>
      <w:pPr>
        <w:snapToGrid w:val="0"/>
        <w:spacing w:line="400" w:lineRule="exact"/>
        <w:ind w:firstLine="420" w:firstLineChars="200"/>
        <w:rPr>
          <w:rFonts w:ascii="宋体" w:hAnsi="宋体" w:cs="宋体"/>
          <w:color w:val="auto"/>
        </w:rPr>
      </w:pPr>
      <w:r>
        <w:rPr>
          <w:rFonts w:hint="eastAsia" w:ascii="宋体" w:hAnsi="宋体" w:cs="宋体"/>
          <w:color w:val="auto"/>
        </w:rPr>
        <w:t xml:space="preserve">（2）主持人介绍参加开标会的人员名单； </w:t>
      </w:r>
    </w:p>
    <w:p>
      <w:pPr>
        <w:snapToGrid w:val="0"/>
        <w:spacing w:line="400" w:lineRule="exact"/>
        <w:ind w:firstLine="420" w:firstLineChars="200"/>
        <w:rPr>
          <w:rFonts w:ascii="宋体" w:hAnsi="宋体" w:cs="宋体"/>
          <w:color w:val="auto"/>
        </w:rPr>
      </w:pPr>
      <w:r>
        <w:rPr>
          <w:rFonts w:hint="eastAsia" w:ascii="宋体" w:hAnsi="宋体" w:cs="宋体"/>
          <w:color w:val="auto"/>
        </w:rPr>
        <w:t>（3）主持人宣布评标期间的有关事项，并告知应当回避的情形,提请有关人员回避；</w:t>
      </w:r>
    </w:p>
    <w:p>
      <w:pPr>
        <w:snapToGrid w:val="0"/>
        <w:spacing w:line="400" w:lineRule="exact"/>
        <w:ind w:firstLine="420" w:firstLineChars="200"/>
        <w:rPr>
          <w:rFonts w:ascii="宋体" w:hAnsi="宋体" w:cs="宋体"/>
          <w:color w:val="auto"/>
        </w:rPr>
      </w:pPr>
      <w:r>
        <w:rPr>
          <w:rFonts w:hint="eastAsia" w:ascii="宋体" w:hAnsi="宋体" w:cs="宋体"/>
          <w:color w:val="auto"/>
        </w:rPr>
        <w:t>（4）招标人代表和监督部门监督人员一同检查出席开标会议的投标人代表的资格证件；</w:t>
      </w:r>
    </w:p>
    <w:p>
      <w:pPr>
        <w:snapToGrid w:val="0"/>
        <w:spacing w:line="400" w:lineRule="exact"/>
        <w:ind w:firstLine="420" w:firstLineChars="200"/>
        <w:rPr>
          <w:rFonts w:ascii="宋体" w:hAnsi="宋体" w:cs="宋体"/>
          <w:color w:val="auto"/>
        </w:rPr>
      </w:pPr>
      <w:r>
        <w:rPr>
          <w:rFonts w:hint="eastAsia" w:ascii="宋体" w:hAnsi="宋体" w:cs="宋体"/>
          <w:color w:val="auto"/>
        </w:rPr>
        <w:t>（5）投标人或其当场推荐的代表及监督人员一同检查投标文件密封的完整性并签字确认；</w:t>
      </w:r>
    </w:p>
    <w:p>
      <w:pPr>
        <w:snapToGrid w:val="0"/>
        <w:spacing w:line="400" w:lineRule="exact"/>
        <w:ind w:firstLine="420" w:firstLineChars="200"/>
        <w:rPr>
          <w:rFonts w:ascii="宋体" w:hAnsi="宋体" w:cs="宋体"/>
          <w:color w:val="auto"/>
        </w:rPr>
      </w:pPr>
      <w:r>
        <w:rPr>
          <w:rFonts w:hint="eastAsia" w:ascii="宋体" w:hAnsi="宋体" w:cs="宋体"/>
          <w:color w:val="auto"/>
        </w:rPr>
        <w:t>（6）启封《开标一览表》，唱标；</w:t>
      </w:r>
    </w:p>
    <w:p>
      <w:pPr>
        <w:snapToGrid w:val="0"/>
        <w:spacing w:line="400" w:lineRule="exact"/>
        <w:ind w:firstLine="420" w:firstLineChars="200"/>
        <w:rPr>
          <w:rFonts w:ascii="宋体" w:hAnsi="宋体" w:cs="宋体"/>
          <w:color w:val="auto"/>
        </w:rPr>
      </w:pPr>
      <w:r>
        <w:rPr>
          <w:rFonts w:hint="eastAsia" w:ascii="宋体" w:hAnsi="宋体" w:cs="宋体"/>
          <w:color w:val="auto"/>
        </w:rPr>
        <w:t>（7）按各投标人提交投标文件时间的先后顺序</w:t>
      </w:r>
      <w:r>
        <w:rPr>
          <w:rFonts w:hint="eastAsia" w:ascii="宋体" w:hAnsi="宋体" w:cs="宋体"/>
          <w:color w:val="auto"/>
          <w:szCs w:val="21"/>
        </w:rPr>
        <w:t>资格文件、价格/商务及技术文件</w:t>
      </w:r>
      <w:r>
        <w:rPr>
          <w:rFonts w:hint="eastAsia" w:ascii="宋体" w:hAnsi="宋体" w:cs="宋体"/>
          <w:color w:val="auto"/>
        </w:rPr>
        <w:t>外包装；</w:t>
      </w:r>
    </w:p>
    <w:p>
      <w:pPr>
        <w:snapToGrid w:val="0"/>
        <w:spacing w:line="400" w:lineRule="exact"/>
        <w:ind w:firstLine="420" w:firstLineChars="200"/>
        <w:rPr>
          <w:rFonts w:ascii="宋体" w:hAnsi="宋体" w:cs="宋体"/>
          <w:color w:val="auto"/>
        </w:rPr>
      </w:pPr>
      <w:r>
        <w:rPr>
          <w:rFonts w:hint="eastAsia" w:ascii="宋体" w:hAnsi="宋体" w:cs="宋体"/>
          <w:color w:val="auto"/>
        </w:rPr>
        <w:t>（8）招标代理机构做开标记录, 投标人代表对开标记录进行当场校核及勘误，并签字确认；同时由记录人、监督人当场签字确认。投标人代表拒绝签字确认的，不影响评标过程；</w:t>
      </w:r>
    </w:p>
    <w:p>
      <w:pPr>
        <w:snapToGrid w:val="0"/>
        <w:spacing w:line="400" w:lineRule="exact"/>
        <w:ind w:left="689" w:leftChars="228" w:hanging="210" w:hangingChars="100"/>
        <w:rPr>
          <w:rFonts w:ascii="宋体" w:hAnsi="宋体" w:cs="宋体"/>
          <w:color w:val="auto"/>
        </w:rPr>
      </w:pPr>
      <w:r>
        <w:rPr>
          <w:rFonts w:hint="eastAsia" w:ascii="宋体" w:hAnsi="宋体" w:cs="宋体"/>
          <w:color w:val="auto"/>
        </w:rPr>
        <w:t>（9）开标会议结束。</w:t>
      </w:r>
    </w:p>
    <w:p>
      <w:pPr>
        <w:pStyle w:val="29"/>
        <w:jc w:val="center"/>
        <w:outlineLvl w:val="2"/>
        <w:rPr>
          <w:rFonts w:hAnsi="宋体" w:cs="宋体"/>
          <w:b/>
          <w:bCs/>
          <w:color w:val="auto"/>
          <w:kern w:val="0"/>
          <w:sz w:val="24"/>
          <w:szCs w:val="20"/>
        </w:rPr>
      </w:pPr>
      <w:bookmarkStart w:id="60" w:name="_Toc494352126"/>
      <w:bookmarkStart w:id="61" w:name="_Toc25680"/>
      <w:bookmarkStart w:id="62" w:name="_Toc254970545"/>
      <w:bookmarkStart w:id="63" w:name="_Toc254970686"/>
      <w:r>
        <w:rPr>
          <w:rFonts w:hint="eastAsia" w:hAnsi="宋体" w:cs="宋体"/>
          <w:b/>
          <w:bCs/>
          <w:color w:val="auto"/>
          <w:kern w:val="0"/>
          <w:sz w:val="24"/>
          <w:szCs w:val="20"/>
        </w:rPr>
        <w:t>（五）资格审查</w:t>
      </w:r>
      <w:bookmarkEnd w:id="60"/>
      <w:bookmarkEnd w:id="61"/>
    </w:p>
    <w:p>
      <w:pPr>
        <w:pStyle w:val="29"/>
        <w:jc w:val="center"/>
        <w:rPr>
          <w:rFonts w:hAnsi="宋体" w:cs="宋体"/>
          <w:b/>
          <w:bCs/>
          <w:color w:val="auto"/>
          <w:kern w:val="0"/>
          <w:sz w:val="24"/>
          <w:szCs w:val="20"/>
        </w:rPr>
      </w:pPr>
    </w:p>
    <w:p>
      <w:pPr>
        <w:pStyle w:val="191"/>
        <w:spacing w:line="400" w:lineRule="exact"/>
        <w:outlineLvl w:val="3"/>
        <w:rPr>
          <w:rFonts w:hAnsi="宋体" w:cs="宋体"/>
          <w:b/>
          <w:color w:val="auto"/>
        </w:rPr>
      </w:pPr>
      <w:r>
        <w:rPr>
          <w:rFonts w:hint="eastAsia" w:hAnsi="宋体" w:cs="宋体"/>
          <w:b/>
          <w:color w:val="auto"/>
        </w:rPr>
        <w:t>23、资格审查</w:t>
      </w:r>
    </w:p>
    <w:p>
      <w:pPr>
        <w:pStyle w:val="29"/>
        <w:snapToGrid w:val="0"/>
        <w:spacing w:line="400" w:lineRule="exact"/>
        <w:ind w:firstLine="420" w:firstLineChars="200"/>
        <w:rPr>
          <w:rFonts w:hAnsi="宋体" w:cs="宋体"/>
          <w:color w:val="auto"/>
        </w:rPr>
      </w:pPr>
      <w:r>
        <w:rPr>
          <w:rFonts w:hint="eastAsia" w:hAnsi="宋体" w:cs="宋体"/>
          <w:color w:val="auto"/>
        </w:rPr>
        <w:t>23.1招标单位代表依法对投标人的资格进行审查。合格投标人不足3家的，不得继续评审。</w:t>
      </w:r>
    </w:p>
    <w:p>
      <w:pPr>
        <w:pStyle w:val="29"/>
        <w:jc w:val="center"/>
        <w:outlineLvl w:val="2"/>
        <w:rPr>
          <w:rFonts w:hAnsi="宋体" w:cs="宋体"/>
          <w:b/>
          <w:bCs/>
          <w:color w:val="auto"/>
          <w:kern w:val="0"/>
          <w:sz w:val="24"/>
          <w:szCs w:val="20"/>
        </w:rPr>
      </w:pPr>
      <w:bookmarkStart w:id="64" w:name="_Toc494352127"/>
    </w:p>
    <w:p>
      <w:pPr>
        <w:pStyle w:val="29"/>
        <w:jc w:val="center"/>
        <w:outlineLvl w:val="2"/>
        <w:rPr>
          <w:rFonts w:hAnsi="宋体" w:cs="宋体"/>
          <w:b/>
          <w:bCs/>
          <w:color w:val="auto"/>
          <w:kern w:val="0"/>
          <w:sz w:val="24"/>
          <w:szCs w:val="20"/>
        </w:rPr>
      </w:pPr>
      <w:bookmarkStart w:id="65" w:name="_Toc29042"/>
      <w:r>
        <w:rPr>
          <w:rFonts w:hint="eastAsia" w:hAnsi="宋体" w:cs="宋体"/>
          <w:b/>
          <w:bCs/>
          <w:color w:val="auto"/>
          <w:kern w:val="0"/>
          <w:sz w:val="24"/>
          <w:szCs w:val="20"/>
        </w:rPr>
        <w:t>（六）评标</w:t>
      </w:r>
      <w:bookmarkEnd w:id="62"/>
      <w:bookmarkEnd w:id="63"/>
      <w:bookmarkEnd w:id="64"/>
      <w:bookmarkEnd w:id="65"/>
    </w:p>
    <w:p>
      <w:pPr>
        <w:pStyle w:val="29"/>
        <w:jc w:val="center"/>
        <w:rPr>
          <w:rFonts w:hAnsi="宋体" w:cs="宋体"/>
          <w:b/>
          <w:bCs/>
          <w:color w:val="auto"/>
          <w:kern w:val="0"/>
          <w:sz w:val="24"/>
          <w:szCs w:val="20"/>
        </w:rPr>
      </w:pPr>
    </w:p>
    <w:p>
      <w:pPr>
        <w:pStyle w:val="191"/>
        <w:spacing w:line="400" w:lineRule="exact"/>
        <w:outlineLvl w:val="3"/>
        <w:rPr>
          <w:rFonts w:hAnsi="宋体" w:cs="宋体"/>
          <w:b/>
          <w:color w:val="auto"/>
        </w:rPr>
      </w:pPr>
      <w:r>
        <w:rPr>
          <w:rFonts w:hint="eastAsia" w:hAnsi="宋体" w:cs="宋体"/>
          <w:b/>
          <w:color w:val="auto"/>
        </w:rPr>
        <w:t>24、组建评标委员会</w:t>
      </w:r>
    </w:p>
    <w:p>
      <w:pPr>
        <w:pStyle w:val="29"/>
        <w:snapToGrid w:val="0"/>
        <w:spacing w:line="400" w:lineRule="exact"/>
        <w:ind w:firstLine="420" w:firstLineChars="200"/>
        <w:rPr>
          <w:rFonts w:hAnsi="宋体" w:cs="宋体"/>
          <w:color w:val="auto"/>
          <w:spacing w:val="-4"/>
        </w:rPr>
      </w:pPr>
      <w:r>
        <w:rPr>
          <w:rFonts w:hint="eastAsia" w:hAnsi="宋体" w:cs="宋体"/>
          <w:bCs/>
          <w:color w:val="auto"/>
        </w:rPr>
        <w:t>24.1本招标采购项目的</w:t>
      </w:r>
      <w:r>
        <w:rPr>
          <w:rFonts w:hint="eastAsia" w:hAnsi="宋体" w:cs="宋体"/>
          <w:color w:val="auto"/>
          <w:spacing w:val="-4"/>
        </w:rPr>
        <w:t>评标委员会由招标单位评审专家和在贺州市政采云评标专家库中随机抽取的评审专家组成，成员人数应当为5人</w:t>
      </w:r>
      <w:r>
        <w:rPr>
          <w:rFonts w:hint="eastAsia"/>
          <w:color w:val="auto"/>
        </w:rPr>
        <w:t>（含5人）</w:t>
      </w:r>
      <w:r>
        <w:rPr>
          <w:rFonts w:hint="eastAsia" w:hAnsi="宋体" w:cs="宋体"/>
          <w:color w:val="auto"/>
          <w:spacing w:val="-4"/>
        </w:rPr>
        <w:t>以上单数，其中评审专家不得少于成员总数的三分之二。</w:t>
      </w:r>
    </w:p>
    <w:p>
      <w:pPr>
        <w:pStyle w:val="191"/>
        <w:spacing w:line="400" w:lineRule="exact"/>
        <w:outlineLvl w:val="3"/>
        <w:rPr>
          <w:rFonts w:hAnsi="宋体" w:cs="宋体"/>
          <w:b/>
          <w:color w:val="auto"/>
        </w:rPr>
      </w:pPr>
      <w:r>
        <w:rPr>
          <w:rFonts w:hint="eastAsia" w:hAnsi="宋体" w:cs="宋体"/>
          <w:b/>
          <w:color w:val="auto"/>
        </w:rPr>
        <w:t>25、评标的方式</w:t>
      </w:r>
    </w:p>
    <w:p>
      <w:pPr>
        <w:pStyle w:val="29"/>
        <w:snapToGrid w:val="0"/>
        <w:spacing w:line="400" w:lineRule="exact"/>
        <w:ind w:firstLine="420" w:firstLineChars="200"/>
        <w:rPr>
          <w:rFonts w:hAnsi="宋体" w:cs="宋体"/>
          <w:color w:val="auto"/>
        </w:rPr>
      </w:pPr>
      <w:r>
        <w:rPr>
          <w:rFonts w:hint="eastAsia" w:hAnsi="宋体" w:cs="宋体"/>
          <w:color w:val="auto"/>
        </w:rPr>
        <w:t>25.1本项目采用不公开方式评标，评标的依据为招标文件和投标文件。</w:t>
      </w:r>
    </w:p>
    <w:p>
      <w:pPr>
        <w:pStyle w:val="191"/>
        <w:spacing w:line="400" w:lineRule="exact"/>
        <w:outlineLvl w:val="3"/>
        <w:rPr>
          <w:rFonts w:hAnsi="宋体" w:cs="宋体"/>
          <w:b/>
          <w:color w:val="auto"/>
        </w:rPr>
      </w:pPr>
      <w:r>
        <w:rPr>
          <w:rFonts w:hint="eastAsia" w:hAnsi="宋体" w:cs="宋体"/>
          <w:b/>
          <w:color w:val="auto"/>
        </w:rPr>
        <w:t>26、评标程序</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26.1评标程序</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（1）评标委员会审查、评价投标文件是否符合招标文件的商务、技术等实质性要求。</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评标委员会对投标文件进行比较和评价，如有疑问，将要求投标人对投标文件有关事项作出澄清或者说明。投标人向评标委员会澄清或者说明有关问题，并最终以书面形式进行答复。投标人代表未到场或者拒绝澄清或者澄清的内容改变了投标文件的实质性内容的，评标委员会有权视该投标文件无效。</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（3）各投标人的技术得分为所有评委的有效评分的算术平均数，由指定专人进行计算复核。</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（4）本代理机构工作人员协助评标委员会根据本项目的评分标准计算各投标人的商务报价得分。</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（5）评标委员会完成评标后，评委对各部分得分汇总，计算出本项目最终得分、评标价等。评标委员会按推荐原则推荐中标候选人同时起草评标报告。</w:t>
      </w:r>
    </w:p>
    <w:p>
      <w:pPr>
        <w:pStyle w:val="191"/>
        <w:spacing w:line="400" w:lineRule="exact"/>
        <w:outlineLvl w:val="3"/>
        <w:rPr>
          <w:rFonts w:hAnsi="宋体" w:cs="宋体"/>
          <w:b/>
          <w:color w:val="auto"/>
        </w:rPr>
      </w:pPr>
      <w:r>
        <w:rPr>
          <w:rFonts w:hint="eastAsia" w:hAnsi="宋体" w:cs="宋体"/>
          <w:b/>
          <w:color w:val="auto"/>
        </w:rPr>
        <w:t>27、澄清问题的形式</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27.1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191"/>
        <w:spacing w:line="400" w:lineRule="exact"/>
        <w:outlineLvl w:val="3"/>
        <w:rPr>
          <w:rFonts w:hAnsi="宋体" w:cs="宋体"/>
          <w:b/>
          <w:color w:val="auto"/>
        </w:rPr>
      </w:pPr>
      <w:r>
        <w:rPr>
          <w:rFonts w:hint="eastAsia" w:hAnsi="宋体" w:cs="宋体"/>
          <w:b/>
          <w:color w:val="auto"/>
        </w:rPr>
        <w:t>28、错误修正</w:t>
      </w:r>
    </w:p>
    <w:p>
      <w:pPr>
        <w:pStyle w:val="29"/>
        <w:snapToGrid w:val="0"/>
        <w:spacing w:line="400" w:lineRule="exact"/>
        <w:ind w:firstLine="420" w:firstLineChars="200"/>
        <w:rPr>
          <w:rFonts w:hAnsi="宋体" w:cs="宋体"/>
          <w:color w:val="auto"/>
        </w:rPr>
      </w:pPr>
      <w:r>
        <w:rPr>
          <w:rFonts w:hint="eastAsia" w:hAnsi="宋体" w:cs="宋体"/>
          <w:color w:val="auto"/>
        </w:rPr>
        <w:t>28.1投标文件如果出现计算或表达上的错误，修正错误的原则如下：</w:t>
      </w:r>
    </w:p>
    <w:p>
      <w:pPr>
        <w:pStyle w:val="29"/>
        <w:snapToGrid w:val="0"/>
        <w:spacing w:line="400" w:lineRule="exact"/>
        <w:ind w:firstLine="420" w:firstLineChars="200"/>
        <w:rPr>
          <w:rFonts w:hAnsi="宋体" w:cs="宋体"/>
          <w:color w:val="auto"/>
        </w:rPr>
      </w:pPr>
      <w:r>
        <w:rPr>
          <w:rFonts w:hint="eastAsia" w:hAnsi="宋体" w:cs="宋体"/>
          <w:color w:val="auto"/>
        </w:rPr>
        <w:t>（1）投标文件中开标一览表内容与投标文件中相应内容不一致的，以开标一览表为准；</w:t>
      </w:r>
    </w:p>
    <w:p>
      <w:pPr>
        <w:pStyle w:val="29"/>
        <w:snapToGrid w:val="0"/>
        <w:spacing w:line="400" w:lineRule="exact"/>
        <w:ind w:firstLine="420" w:firstLineChars="200"/>
        <w:rPr>
          <w:rFonts w:hAnsi="宋体" w:cs="宋体"/>
          <w:color w:val="auto"/>
        </w:rPr>
      </w:pPr>
      <w:r>
        <w:rPr>
          <w:rFonts w:hint="eastAsia" w:hAnsi="宋体" w:cs="宋体"/>
          <w:color w:val="auto"/>
        </w:rPr>
        <w:t>（2）大写金额和小写金额不一致的，以大写金额为准；</w:t>
      </w:r>
    </w:p>
    <w:p>
      <w:pPr>
        <w:pStyle w:val="29"/>
        <w:snapToGrid w:val="0"/>
        <w:spacing w:line="400" w:lineRule="exact"/>
        <w:ind w:firstLine="420" w:firstLineChars="200"/>
        <w:rPr>
          <w:rFonts w:hAnsi="宋体" w:cs="宋体"/>
          <w:color w:val="auto"/>
        </w:rPr>
      </w:pPr>
      <w:r>
        <w:rPr>
          <w:rFonts w:hint="eastAsia" w:hAnsi="宋体" w:cs="宋体"/>
          <w:color w:val="auto"/>
        </w:rPr>
        <w:t>（3）单价金额小数点或者百分比有明显错位的，以开标一览表的总价为准，并修改单价；</w:t>
      </w:r>
    </w:p>
    <w:p>
      <w:pPr>
        <w:pStyle w:val="29"/>
        <w:snapToGrid w:val="0"/>
        <w:spacing w:line="400" w:lineRule="exact"/>
        <w:ind w:firstLine="420" w:firstLineChars="200"/>
        <w:rPr>
          <w:rFonts w:hAnsi="宋体" w:cs="宋体"/>
          <w:color w:val="auto"/>
        </w:rPr>
      </w:pPr>
      <w:r>
        <w:rPr>
          <w:rFonts w:hint="eastAsia" w:hAnsi="宋体" w:cs="宋体"/>
          <w:color w:val="auto"/>
        </w:rPr>
        <w:t>（4）总价金额与按单价汇总金额不一致的，以单价金额计算结果为准。</w:t>
      </w:r>
    </w:p>
    <w:p>
      <w:pPr>
        <w:pStyle w:val="29"/>
        <w:snapToGrid w:val="0"/>
        <w:spacing w:line="400" w:lineRule="exact"/>
        <w:ind w:firstLine="420" w:firstLineChars="200"/>
        <w:rPr>
          <w:rFonts w:hAnsi="宋体" w:cs="宋体"/>
          <w:color w:val="auto"/>
        </w:rPr>
      </w:pPr>
      <w:r>
        <w:rPr>
          <w:rFonts w:hint="eastAsia" w:hAnsi="宋体" w:cs="宋体"/>
          <w:color w:val="auto"/>
        </w:rPr>
        <w:t>（5）对不同文字文本投标文件的解释发生异议的，以中文文本为准。</w:t>
      </w:r>
    </w:p>
    <w:p>
      <w:pPr>
        <w:pStyle w:val="29"/>
        <w:snapToGrid w:val="0"/>
        <w:spacing w:line="400" w:lineRule="exact"/>
        <w:ind w:firstLine="420" w:firstLineChars="200"/>
        <w:rPr>
          <w:rFonts w:hAnsi="宋体" w:cs="宋体"/>
          <w:color w:val="auto"/>
        </w:rPr>
      </w:pPr>
      <w:r>
        <w:rPr>
          <w:rFonts w:hint="eastAsia" w:hAnsi="宋体" w:cs="宋体"/>
          <w:color w:val="auto"/>
        </w:rPr>
        <w:t>（6）同时出现两种以上不一致的，按照前款规定的顺序修正。</w:t>
      </w:r>
    </w:p>
    <w:p>
      <w:pPr>
        <w:pStyle w:val="29"/>
        <w:snapToGrid w:val="0"/>
        <w:spacing w:line="400" w:lineRule="exact"/>
        <w:ind w:firstLine="422" w:firstLineChars="200"/>
        <w:rPr>
          <w:rFonts w:hAnsi="宋体" w:cs="宋体"/>
          <w:b/>
          <w:bCs/>
          <w:color w:val="auto"/>
        </w:rPr>
      </w:pPr>
      <w:r>
        <w:rPr>
          <w:rFonts w:hint="eastAsia" w:hAnsi="宋体" w:cs="宋体"/>
          <w:b/>
          <w:bCs/>
          <w:color w:val="auto"/>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191"/>
        <w:spacing w:line="400" w:lineRule="exact"/>
        <w:outlineLvl w:val="3"/>
        <w:rPr>
          <w:rFonts w:hAnsi="宋体" w:cs="宋体"/>
          <w:b/>
          <w:color w:val="auto"/>
        </w:rPr>
      </w:pPr>
      <w:r>
        <w:rPr>
          <w:rFonts w:hint="eastAsia" w:hAnsi="宋体" w:cs="宋体"/>
          <w:b/>
          <w:color w:val="auto"/>
        </w:rPr>
        <w:t>29、评标原则和评标办法</w:t>
      </w:r>
    </w:p>
    <w:p>
      <w:pPr>
        <w:pStyle w:val="29"/>
        <w:snapToGrid w:val="0"/>
        <w:spacing w:line="400" w:lineRule="exact"/>
        <w:ind w:firstLine="420" w:firstLineChars="200"/>
        <w:rPr>
          <w:rFonts w:hAnsi="宋体" w:cs="宋体"/>
          <w:color w:val="auto"/>
        </w:rPr>
      </w:pPr>
      <w:r>
        <w:rPr>
          <w:rFonts w:hint="eastAsia" w:hAnsi="宋体" w:cs="宋体"/>
          <w:color w:val="auto"/>
        </w:rPr>
        <w:t>29.1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9"/>
        <w:snapToGrid w:val="0"/>
        <w:spacing w:line="400" w:lineRule="exact"/>
        <w:ind w:firstLine="420" w:firstLineChars="200"/>
        <w:rPr>
          <w:rFonts w:hAnsi="宋体" w:cs="宋体"/>
          <w:color w:val="auto"/>
        </w:rPr>
      </w:pPr>
      <w:r>
        <w:rPr>
          <w:rFonts w:hint="eastAsia" w:hAnsi="宋体" w:cs="宋体"/>
          <w:color w:val="auto"/>
        </w:rPr>
        <w:t>29.2评标办法。本项目评标办法是</w:t>
      </w:r>
      <w:r>
        <w:rPr>
          <w:rFonts w:hint="eastAsia" w:hAnsi="宋体" w:cs="宋体"/>
          <w:b/>
          <w:color w:val="auto"/>
          <w:u w:val="single"/>
        </w:rPr>
        <w:t>综合评分法</w:t>
      </w:r>
      <w:r>
        <w:rPr>
          <w:rFonts w:hint="eastAsia" w:hAnsi="宋体" w:cs="宋体"/>
          <w:color w:val="auto"/>
        </w:rPr>
        <w:t>，具体评标内容及评分标准等详见第四章：评标方法及评定标准。</w:t>
      </w:r>
    </w:p>
    <w:p>
      <w:pPr>
        <w:pStyle w:val="29"/>
        <w:spacing w:line="400" w:lineRule="exact"/>
        <w:ind w:firstLine="420" w:firstLineChars="200"/>
        <w:rPr>
          <w:rFonts w:hAnsi="宋体" w:cs="宋体"/>
          <w:color w:val="auto"/>
        </w:rPr>
      </w:pPr>
      <w:r>
        <w:rPr>
          <w:rFonts w:hint="eastAsia" w:hAnsi="宋体" w:cs="宋体"/>
          <w:color w:val="auto"/>
        </w:rPr>
        <w:t>29.3在评标期间，</w:t>
      </w:r>
      <w:r>
        <w:rPr>
          <w:rFonts w:hint="eastAsia" w:hAnsi="宋体" w:cs="宋体"/>
          <w:b/>
          <w:color w:val="auto"/>
        </w:rPr>
        <w:t>出现符合专业条件的供应商或者对招标文件作出实质响应的供应商不足三家情形的，评标委员会应评定本项目废标。</w:t>
      </w:r>
    </w:p>
    <w:p>
      <w:pPr>
        <w:pStyle w:val="191"/>
        <w:spacing w:line="400" w:lineRule="exact"/>
        <w:outlineLvl w:val="3"/>
        <w:rPr>
          <w:rFonts w:hAnsi="宋体" w:cs="宋体"/>
          <w:b/>
          <w:color w:val="auto"/>
        </w:rPr>
      </w:pPr>
      <w:r>
        <w:rPr>
          <w:rFonts w:hint="eastAsia" w:hAnsi="宋体" w:cs="宋体"/>
          <w:b/>
          <w:color w:val="auto"/>
        </w:rPr>
        <w:t>30、评标过程的监控</w:t>
      </w:r>
    </w:p>
    <w:p>
      <w:pPr>
        <w:pStyle w:val="29"/>
        <w:snapToGrid w:val="0"/>
        <w:spacing w:line="400" w:lineRule="exact"/>
        <w:ind w:firstLine="420" w:firstLineChars="200"/>
        <w:rPr>
          <w:rFonts w:hAnsi="宋体" w:cs="宋体"/>
          <w:color w:val="auto"/>
        </w:rPr>
      </w:pPr>
      <w:r>
        <w:rPr>
          <w:rFonts w:hint="eastAsia" w:hAnsi="宋体" w:cs="宋体"/>
          <w:color w:val="auto"/>
        </w:rPr>
        <w:t>30.1本项目评标过程实行全程录音、录像监控，投标人在评标过程中所进行的试图影响评标结果的不公正活动，可能导致其投标被拒绝。</w:t>
      </w:r>
    </w:p>
    <w:p>
      <w:pPr>
        <w:pStyle w:val="29"/>
        <w:snapToGrid w:val="0"/>
        <w:spacing w:line="400" w:lineRule="exact"/>
        <w:ind w:firstLine="420" w:firstLineChars="200"/>
        <w:rPr>
          <w:rFonts w:hAnsi="宋体" w:cs="宋体"/>
          <w:color w:val="auto"/>
        </w:rPr>
      </w:pPr>
    </w:p>
    <w:p>
      <w:pPr>
        <w:pStyle w:val="29"/>
        <w:jc w:val="center"/>
        <w:outlineLvl w:val="2"/>
        <w:rPr>
          <w:rFonts w:hAnsi="宋体" w:cs="宋体"/>
          <w:b/>
          <w:bCs/>
          <w:color w:val="auto"/>
          <w:kern w:val="0"/>
          <w:sz w:val="24"/>
          <w:szCs w:val="20"/>
        </w:rPr>
      </w:pPr>
      <w:bookmarkStart w:id="66" w:name="_Toc9101"/>
      <w:bookmarkStart w:id="67" w:name="_Toc254970546"/>
      <w:bookmarkStart w:id="68" w:name="_Toc494352128"/>
      <w:bookmarkStart w:id="69" w:name="_Toc254970687"/>
      <w:r>
        <w:rPr>
          <w:rFonts w:hint="eastAsia" w:hAnsi="宋体" w:cs="宋体"/>
          <w:b/>
          <w:bCs/>
          <w:color w:val="auto"/>
          <w:kern w:val="0"/>
          <w:sz w:val="24"/>
          <w:szCs w:val="20"/>
        </w:rPr>
        <w:t>（七）评标结果</w:t>
      </w:r>
      <w:bookmarkEnd w:id="66"/>
      <w:bookmarkEnd w:id="67"/>
      <w:bookmarkEnd w:id="68"/>
      <w:bookmarkEnd w:id="69"/>
    </w:p>
    <w:p>
      <w:pPr>
        <w:pStyle w:val="29"/>
        <w:jc w:val="center"/>
        <w:rPr>
          <w:rFonts w:hAnsi="宋体" w:cs="宋体"/>
          <w:b/>
          <w:bCs/>
          <w:color w:val="auto"/>
          <w:kern w:val="0"/>
          <w:sz w:val="24"/>
          <w:szCs w:val="20"/>
        </w:rPr>
      </w:pPr>
    </w:p>
    <w:p>
      <w:pPr>
        <w:pStyle w:val="191"/>
        <w:spacing w:line="400" w:lineRule="exact"/>
        <w:outlineLvl w:val="3"/>
        <w:rPr>
          <w:rFonts w:hAnsi="宋体" w:cs="宋体"/>
          <w:b/>
          <w:color w:val="auto"/>
        </w:rPr>
      </w:pPr>
      <w:r>
        <w:rPr>
          <w:rFonts w:hint="eastAsia" w:hAnsi="宋体" w:cs="宋体"/>
          <w:b/>
          <w:color w:val="auto"/>
        </w:rPr>
        <w:t>31、评标结果及中标通知书的发出</w:t>
      </w:r>
    </w:p>
    <w:p>
      <w:pPr>
        <w:pStyle w:val="29"/>
        <w:spacing w:line="400" w:lineRule="exact"/>
        <w:ind w:firstLine="420" w:firstLineChars="200"/>
        <w:rPr>
          <w:rFonts w:hAnsi="宋体" w:cs="宋体"/>
          <w:bCs/>
          <w:color w:val="auto"/>
        </w:rPr>
      </w:pPr>
      <w:r>
        <w:rPr>
          <w:rFonts w:hint="eastAsia" w:hAnsi="宋体" w:cs="宋体"/>
          <w:bCs/>
          <w:color w:val="auto"/>
        </w:rPr>
        <w:t>31.1本代理机构将在评标结束后2个工作日内将评标报告送招标单位，招标单位在5个工作日内按照评标报告中推荐的中标候选供应商顺序确定中标人，也可授权评标委员会直接确定中标人。</w:t>
      </w:r>
    </w:p>
    <w:p>
      <w:pPr>
        <w:pStyle w:val="29"/>
        <w:spacing w:line="400" w:lineRule="exact"/>
        <w:ind w:firstLine="420" w:firstLineChars="200"/>
        <w:rPr>
          <w:rFonts w:hAnsi="宋体" w:cs="宋体"/>
          <w:color w:val="auto"/>
        </w:rPr>
      </w:pPr>
      <w:r>
        <w:rPr>
          <w:rFonts w:hint="eastAsia" w:hAnsi="宋体" w:cs="宋体"/>
          <w:color w:val="auto"/>
        </w:rPr>
        <w:t>31.2中标人确定后，本代理机构在发布招标公告的同一网站发布中标结果公告。</w:t>
      </w:r>
    </w:p>
    <w:p>
      <w:pPr>
        <w:pStyle w:val="29"/>
        <w:spacing w:line="400" w:lineRule="exact"/>
        <w:ind w:firstLine="420" w:firstLineChars="200"/>
        <w:rPr>
          <w:rFonts w:hAnsi="宋体" w:cs="宋体"/>
          <w:color w:val="auto"/>
        </w:rPr>
      </w:pPr>
      <w:r>
        <w:rPr>
          <w:rFonts w:hint="eastAsia" w:hAnsi="宋体" w:cs="宋体"/>
          <w:color w:val="auto"/>
        </w:rPr>
        <w:t>31.3在发布中标结果公告的同时，本代理机构向中标人发出中标通知书。</w:t>
      </w:r>
    </w:p>
    <w:p>
      <w:pPr>
        <w:pStyle w:val="29"/>
        <w:spacing w:line="400" w:lineRule="exact"/>
        <w:ind w:firstLine="420" w:firstLineChars="200"/>
        <w:rPr>
          <w:rFonts w:hAnsi="宋体" w:cs="宋体"/>
          <w:bCs/>
          <w:color w:val="auto"/>
        </w:rPr>
      </w:pPr>
      <w:r>
        <w:rPr>
          <w:rFonts w:hint="eastAsia" w:hAnsi="宋体" w:cs="宋体"/>
          <w:color w:val="auto"/>
        </w:rPr>
        <w:t>31.4</w:t>
      </w:r>
      <w:r>
        <w:rPr>
          <w:rFonts w:hint="eastAsia" w:hAnsi="宋体" w:cs="宋体"/>
          <w:bCs/>
          <w:color w:val="auto"/>
        </w:rPr>
        <w:t>投标人认为招标文件、招标过程和中标结果使自己的权益受到损害的，可以在知道或者应知其权益受到损害之日起七个工作日内，以书面形式向本代理机构提出质疑，并及时索要书面回执。</w:t>
      </w:r>
    </w:p>
    <w:p>
      <w:pPr>
        <w:pStyle w:val="29"/>
        <w:spacing w:line="400" w:lineRule="exact"/>
        <w:ind w:firstLine="420" w:firstLineChars="200"/>
        <w:rPr>
          <w:rFonts w:hAnsi="宋体" w:cs="宋体"/>
          <w:bCs/>
          <w:color w:val="auto"/>
        </w:rPr>
      </w:pPr>
      <w:r>
        <w:rPr>
          <w:rFonts w:hint="eastAsia" w:hAnsi="宋体" w:cs="宋体"/>
          <w:color w:val="auto"/>
        </w:rPr>
        <w:t>31.5</w:t>
      </w:r>
      <w:r>
        <w:rPr>
          <w:rFonts w:hint="eastAsia" w:hAnsi="宋体" w:cs="宋体"/>
          <w:bCs/>
          <w:color w:val="auto"/>
        </w:rPr>
        <w:t>本代理机构应当按照有关规定就招标单位委托授权范围内的事项在收到投标人的书面质疑后七个工作日内做出答复，但答复的内容不得涉及商业秘密。</w:t>
      </w:r>
    </w:p>
    <w:p>
      <w:pPr>
        <w:pStyle w:val="191"/>
        <w:spacing w:line="400" w:lineRule="exact"/>
        <w:outlineLvl w:val="3"/>
        <w:rPr>
          <w:rFonts w:hAnsi="宋体" w:cs="宋体"/>
          <w:b/>
          <w:color w:val="auto"/>
        </w:rPr>
      </w:pPr>
      <w:r>
        <w:rPr>
          <w:rFonts w:hint="eastAsia" w:hAnsi="宋体" w:cs="宋体"/>
          <w:b/>
          <w:color w:val="auto"/>
        </w:rPr>
        <w:t>32、中标服务费</w:t>
      </w:r>
    </w:p>
    <w:p>
      <w:pPr>
        <w:pStyle w:val="29"/>
        <w:spacing w:line="400" w:lineRule="exact"/>
        <w:ind w:firstLine="420" w:firstLineChars="200"/>
        <w:rPr>
          <w:rFonts w:hAnsi="宋体" w:cs="宋体"/>
          <w:color w:val="auto"/>
        </w:rPr>
      </w:pPr>
      <w:r>
        <w:rPr>
          <w:rFonts w:hint="eastAsia" w:hAnsi="宋体" w:cs="宋体"/>
          <w:color w:val="auto"/>
        </w:rPr>
        <w:t>32.1领取中标通知书前，中标人须向本代理机构一次付清中标服务费。中标服务费由中标人支付，收取标准按《采购代理服务收费管理暂行办法》（计价格[2002]1980号）规定计取，以差额定率累进法计算。本机构按中标人所中标的合同金额收取相应的中标服务费。（计费标准详见附件1）。</w:t>
      </w:r>
    </w:p>
    <w:p>
      <w:pPr>
        <w:pStyle w:val="29"/>
        <w:jc w:val="center"/>
        <w:outlineLvl w:val="2"/>
        <w:rPr>
          <w:rFonts w:hAnsi="宋体" w:cs="宋体"/>
          <w:b/>
          <w:bCs/>
          <w:color w:val="auto"/>
          <w:kern w:val="0"/>
          <w:sz w:val="24"/>
          <w:szCs w:val="20"/>
        </w:rPr>
      </w:pPr>
      <w:bookmarkStart w:id="70" w:name="_Toc494352129"/>
    </w:p>
    <w:p>
      <w:pPr>
        <w:pStyle w:val="29"/>
        <w:jc w:val="center"/>
        <w:outlineLvl w:val="2"/>
        <w:rPr>
          <w:rFonts w:hAnsi="宋体" w:cs="宋体"/>
          <w:b/>
          <w:bCs/>
          <w:color w:val="auto"/>
          <w:kern w:val="0"/>
          <w:sz w:val="24"/>
          <w:szCs w:val="20"/>
        </w:rPr>
      </w:pPr>
      <w:bookmarkStart w:id="71" w:name="_Toc6890"/>
      <w:r>
        <w:rPr>
          <w:rFonts w:hint="eastAsia" w:hAnsi="宋体" w:cs="宋体"/>
          <w:b/>
          <w:bCs/>
          <w:color w:val="auto"/>
          <w:kern w:val="0"/>
          <w:sz w:val="24"/>
          <w:szCs w:val="20"/>
        </w:rPr>
        <w:t>（八）签订合同</w:t>
      </w:r>
      <w:bookmarkEnd w:id="70"/>
      <w:bookmarkEnd w:id="71"/>
    </w:p>
    <w:p>
      <w:pPr>
        <w:pStyle w:val="29"/>
        <w:jc w:val="center"/>
        <w:rPr>
          <w:rFonts w:hAnsi="宋体" w:cs="宋体"/>
          <w:b/>
          <w:bCs/>
          <w:color w:val="auto"/>
          <w:kern w:val="0"/>
          <w:sz w:val="24"/>
          <w:szCs w:val="20"/>
        </w:rPr>
      </w:pPr>
    </w:p>
    <w:p>
      <w:pPr>
        <w:pStyle w:val="191"/>
        <w:spacing w:line="400" w:lineRule="exact"/>
        <w:outlineLvl w:val="3"/>
        <w:rPr>
          <w:rFonts w:hAnsi="宋体" w:cs="宋体"/>
          <w:b/>
          <w:color w:val="auto"/>
        </w:rPr>
      </w:pPr>
      <w:r>
        <w:rPr>
          <w:rFonts w:hint="eastAsia" w:hAnsi="宋体" w:cs="宋体"/>
          <w:b/>
          <w:color w:val="auto"/>
        </w:rPr>
        <w:t>33、合同授予标准</w:t>
      </w:r>
    </w:p>
    <w:p>
      <w:pPr>
        <w:pStyle w:val="29"/>
        <w:spacing w:line="400" w:lineRule="exact"/>
        <w:ind w:firstLine="420" w:firstLineChars="200"/>
        <w:rPr>
          <w:rFonts w:hAnsi="宋体" w:cs="宋体"/>
          <w:color w:val="auto"/>
        </w:rPr>
      </w:pPr>
      <w:r>
        <w:rPr>
          <w:rFonts w:hint="eastAsia" w:hAnsi="宋体" w:cs="宋体"/>
          <w:color w:val="auto"/>
        </w:rPr>
        <w:t>34.1合同将授予被确定投标文件满足招标文件全部实质性要求，具备履行合同能力，评审得分最高，综合评分排名第一的供应商。</w:t>
      </w:r>
    </w:p>
    <w:p>
      <w:pPr>
        <w:pStyle w:val="191"/>
        <w:spacing w:line="400" w:lineRule="exact"/>
        <w:outlineLvl w:val="3"/>
        <w:rPr>
          <w:rFonts w:hAnsi="宋体" w:cs="宋体"/>
          <w:b/>
          <w:color w:val="auto"/>
        </w:rPr>
      </w:pPr>
      <w:r>
        <w:rPr>
          <w:rFonts w:hint="eastAsia" w:hAnsi="宋体" w:cs="宋体"/>
          <w:b/>
          <w:color w:val="auto"/>
        </w:rPr>
        <w:t>34、履约保证金：无。</w:t>
      </w:r>
    </w:p>
    <w:p>
      <w:pPr>
        <w:pStyle w:val="191"/>
        <w:spacing w:line="400" w:lineRule="exact"/>
        <w:outlineLvl w:val="3"/>
        <w:rPr>
          <w:rFonts w:hAnsi="宋体" w:cs="宋体"/>
          <w:b/>
          <w:color w:val="auto"/>
        </w:rPr>
      </w:pPr>
      <w:r>
        <w:rPr>
          <w:rFonts w:hint="eastAsia" w:hAnsi="宋体" w:cs="宋体"/>
          <w:b/>
          <w:color w:val="auto"/>
        </w:rPr>
        <w:t>35、签订合同</w:t>
      </w:r>
    </w:p>
    <w:p>
      <w:pPr>
        <w:pStyle w:val="29"/>
        <w:spacing w:line="400" w:lineRule="exact"/>
        <w:ind w:firstLine="420" w:firstLineChars="200"/>
        <w:rPr>
          <w:rFonts w:hAnsi="宋体" w:cs="宋体"/>
          <w:color w:val="auto"/>
        </w:rPr>
      </w:pPr>
      <w:r>
        <w:rPr>
          <w:rFonts w:hint="eastAsia" w:hAnsi="宋体" w:cs="宋体"/>
          <w:color w:val="auto"/>
        </w:rPr>
        <w:t>35.1投标人接到中标通知书后，应按中标通知书规定的时间、地点与招标单位签订合同。中标人无正当理由不得放弃中标。</w:t>
      </w:r>
    </w:p>
    <w:p>
      <w:pPr>
        <w:pStyle w:val="29"/>
        <w:spacing w:line="400" w:lineRule="exact"/>
        <w:ind w:firstLine="420" w:firstLineChars="200"/>
        <w:rPr>
          <w:rFonts w:hAnsi="宋体" w:cs="宋体"/>
          <w:color w:val="auto"/>
        </w:rPr>
      </w:pPr>
      <w:r>
        <w:rPr>
          <w:rFonts w:hint="eastAsia" w:hAnsi="宋体" w:cs="宋体"/>
          <w:color w:val="auto"/>
        </w:rPr>
        <w:t>35.2如中标人不按中标通知书的规定签订合同，则按中标人违约处理，本代理机构将没收中标人投标的全部投标保证金。</w:t>
      </w:r>
    </w:p>
    <w:p>
      <w:pPr>
        <w:pStyle w:val="29"/>
        <w:spacing w:line="400" w:lineRule="exact"/>
        <w:ind w:firstLine="420" w:firstLineChars="200"/>
        <w:rPr>
          <w:rFonts w:hAnsi="宋体" w:cs="宋体"/>
          <w:color w:val="auto"/>
        </w:rPr>
      </w:pPr>
      <w:r>
        <w:rPr>
          <w:rFonts w:hint="eastAsia" w:hAnsi="宋体" w:cs="宋体"/>
          <w:color w:val="auto"/>
        </w:rPr>
        <w:t>35.3中标人</w:t>
      </w:r>
      <w:r>
        <w:rPr>
          <w:rFonts w:hint="eastAsia" w:hAnsi="宋体" w:cs="宋体"/>
          <w:b/>
          <w:color w:val="auto"/>
        </w:rPr>
        <w:t>拒绝与招标单位签订合同或</w:t>
      </w:r>
      <w:r>
        <w:rPr>
          <w:rFonts w:hint="eastAsia" w:hAnsi="宋体" w:cs="宋体"/>
          <w:color w:val="auto"/>
        </w:rPr>
        <w:t>因不可抗力或者自身原因不能履行采购合同的，招标单位可以与中标人之后排名第一的中标候选供应商签订采购合同，以此类推，也可以重新招标。中标人放弃中标项目，拒绝与招标单位签订合同的，其投标保证金将不予退还，并上缴国库，给招标单位造成损失的，还应当赔偿损失，并作为不良行为记录在案。</w:t>
      </w:r>
    </w:p>
    <w:p>
      <w:pPr>
        <w:pStyle w:val="191"/>
        <w:spacing w:line="400" w:lineRule="exact"/>
        <w:outlineLvl w:val="3"/>
        <w:rPr>
          <w:rFonts w:hAnsi="宋体" w:cs="宋体"/>
          <w:b/>
          <w:color w:val="auto"/>
        </w:rPr>
      </w:pPr>
      <w:r>
        <w:rPr>
          <w:rFonts w:hint="eastAsia" w:hAnsi="宋体" w:cs="宋体"/>
          <w:b/>
          <w:color w:val="auto"/>
        </w:rPr>
        <w:t>36、合同履行中的追加</w:t>
      </w:r>
    </w:p>
    <w:p>
      <w:pPr>
        <w:pStyle w:val="29"/>
        <w:spacing w:line="400" w:lineRule="exact"/>
        <w:ind w:firstLine="420"/>
        <w:rPr>
          <w:rFonts w:hAnsi="宋体" w:cs="宋体"/>
          <w:color w:val="auto"/>
        </w:rPr>
      </w:pPr>
      <w:r>
        <w:rPr>
          <w:rFonts w:hint="eastAsia" w:hAnsi="宋体" w:cs="宋体"/>
          <w:color w:val="auto"/>
        </w:rPr>
        <w:t>36.1政府采购合同履行中，招标单位需追加与合同标的相同的货物、工程和服务的，经</w:t>
      </w:r>
      <w:r>
        <w:rPr>
          <w:rFonts w:hint="eastAsia" w:asciiTheme="minorEastAsia" w:hAnsiTheme="minorEastAsia" w:eastAsiaTheme="minorEastAsia" w:cstheme="minorEastAsia"/>
          <w:szCs w:val="21"/>
        </w:rPr>
        <w:t>富川瑶族自治县财政局采购管理办公室</w:t>
      </w:r>
      <w:r>
        <w:rPr>
          <w:rFonts w:hint="eastAsia" w:hAnsi="宋体" w:cs="宋体"/>
          <w:color w:val="auto"/>
        </w:rPr>
        <w:t>同意，在不改变合同其他条款的前提下，可以与中标人协商签订补充的合同。但补充的合同涉及的采购金额不得超过原合同采购金额的10%。</w:t>
      </w:r>
    </w:p>
    <w:p>
      <w:pPr>
        <w:pStyle w:val="29"/>
        <w:spacing w:line="400" w:lineRule="exact"/>
        <w:ind w:firstLine="422" w:firstLineChars="200"/>
        <w:rPr>
          <w:rFonts w:hAnsi="宋体" w:cs="宋体"/>
          <w:b/>
          <w:color w:val="auto"/>
        </w:rPr>
      </w:pPr>
    </w:p>
    <w:p>
      <w:pPr>
        <w:pStyle w:val="29"/>
        <w:jc w:val="center"/>
        <w:outlineLvl w:val="2"/>
        <w:rPr>
          <w:rFonts w:hAnsi="宋体" w:cs="宋体"/>
          <w:b/>
          <w:bCs/>
          <w:color w:val="auto"/>
          <w:kern w:val="0"/>
          <w:sz w:val="24"/>
          <w:szCs w:val="20"/>
        </w:rPr>
      </w:pPr>
      <w:bookmarkStart w:id="72" w:name="_Toc32059"/>
      <w:bookmarkStart w:id="73" w:name="_Toc494352130"/>
      <w:r>
        <w:rPr>
          <w:rFonts w:hint="eastAsia" w:hAnsi="宋体" w:cs="宋体"/>
          <w:b/>
          <w:bCs/>
          <w:color w:val="auto"/>
          <w:kern w:val="0"/>
          <w:sz w:val="24"/>
          <w:szCs w:val="20"/>
        </w:rPr>
        <w:t>（九）其他事项</w:t>
      </w:r>
      <w:bookmarkEnd w:id="72"/>
      <w:bookmarkEnd w:id="73"/>
    </w:p>
    <w:p>
      <w:pPr>
        <w:pStyle w:val="29"/>
        <w:jc w:val="center"/>
        <w:rPr>
          <w:rFonts w:hAnsi="宋体" w:cs="宋体"/>
          <w:b/>
          <w:bCs/>
          <w:color w:val="auto"/>
          <w:kern w:val="0"/>
          <w:sz w:val="24"/>
          <w:szCs w:val="20"/>
        </w:rPr>
      </w:pPr>
    </w:p>
    <w:p>
      <w:pPr>
        <w:pStyle w:val="191"/>
        <w:spacing w:line="400" w:lineRule="exact"/>
        <w:outlineLvl w:val="3"/>
        <w:rPr>
          <w:rFonts w:hAnsi="宋体" w:cs="宋体"/>
          <w:b/>
          <w:color w:val="auto"/>
        </w:rPr>
      </w:pPr>
      <w:r>
        <w:rPr>
          <w:rFonts w:hint="eastAsia" w:hAnsi="宋体" w:cs="宋体"/>
          <w:b/>
          <w:color w:val="auto"/>
        </w:rPr>
        <w:t>37、解释权</w:t>
      </w:r>
    </w:p>
    <w:p>
      <w:pPr>
        <w:pStyle w:val="29"/>
        <w:spacing w:line="400" w:lineRule="exact"/>
        <w:ind w:firstLine="420" w:firstLineChars="200"/>
        <w:rPr>
          <w:rFonts w:hAnsi="宋体" w:cs="宋体"/>
          <w:color w:val="auto"/>
        </w:rPr>
      </w:pPr>
      <w:r>
        <w:rPr>
          <w:rFonts w:hint="eastAsia" w:hAnsi="宋体" w:cs="宋体"/>
          <w:color w:val="auto"/>
        </w:rPr>
        <w:t>37.1本招标文件是根据《中华人民共和国政府采购法》和政府采购管理有关规定和参照国际惯例编制，解释权属本招标代理机构。</w:t>
      </w:r>
    </w:p>
    <w:p>
      <w:pPr>
        <w:pStyle w:val="191"/>
        <w:spacing w:line="400" w:lineRule="exact"/>
        <w:outlineLvl w:val="3"/>
        <w:rPr>
          <w:rFonts w:hAnsi="宋体" w:cs="宋体"/>
          <w:b/>
          <w:color w:val="auto"/>
        </w:rPr>
      </w:pPr>
      <w:r>
        <w:rPr>
          <w:rFonts w:hint="eastAsia" w:hAnsi="宋体" w:cs="宋体"/>
          <w:b/>
          <w:color w:val="auto"/>
        </w:rPr>
        <w:t>38、有关事宜</w:t>
      </w:r>
    </w:p>
    <w:p>
      <w:pPr>
        <w:pStyle w:val="29"/>
        <w:spacing w:line="400" w:lineRule="exact"/>
        <w:ind w:firstLine="420" w:firstLineChars="200"/>
        <w:rPr>
          <w:rFonts w:hAnsi="宋体" w:cs="宋体"/>
          <w:color w:val="auto"/>
        </w:rPr>
      </w:pPr>
      <w:r>
        <w:rPr>
          <w:rFonts w:hint="eastAsia" w:hAnsi="宋体" w:cs="宋体"/>
          <w:color w:val="auto"/>
        </w:rPr>
        <w:t>38.1所有与本招标文件有关的函件请按下列通讯地址联系：</w:t>
      </w:r>
    </w:p>
    <w:bookmarkEnd w:id="20"/>
    <w:bookmarkEnd w:id="21"/>
    <w:p>
      <w:pPr>
        <w:pStyle w:val="29"/>
        <w:spacing w:line="400" w:lineRule="exact"/>
        <w:ind w:firstLine="420" w:firstLineChars="200"/>
        <w:rPr>
          <w:rFonts w:hint="eastAsia" w:hAnsi="宋体" w:eastAsia="宋体" w:cs="宋体"/>
          <w:color w:val="auto"/>
          <w:lang w:eastAsia="zh-CN"/>
        </w:rPr>
      </w:pPr>
      <w:r>
        <w:rPr>
          <w:rFonts w:hint="eastAsia" w:hAnsi="宋体" w:cs="宋体"/>
          <w:color w:val="auto"/>
        </w:rPr>
        <w:t>（1）招标代理机构：</w:t>
      </w:r>
      <w:r>
        <w:rPr>
          <w:rFonts w:hint="eastAsia" w:hAnsi="宋体" w:cs="宋体"/>
          <w:color w:val="auto"/>
          <w:lang w:eastAsia="zh-CN"/>
        </w:rPr>
        <w:t xml:space="preserve"> 广西天立工程造价咨询有限公司</w:t>
      </w:r>
    </w:p>
    <w:p>
      <w:pPr>
        <w:pStyle w:val="29"/>
        <w:spacing w:line="400" w:lineRule="exact"/>
        <w:ind w:firstLine="420" w:firstLineChars="200"/>
        <w:rPr>
          <w:rFonts w:hAnsi="宋体" w:cs="宋体"/>
          <w:color w:val="auto"/>
        </w:rPr>
      </w:pPr>
      <w:r>
        <w:rPr>
          <w:rFonts w:hint="eastAsia" w:hAnsi="宋体" w:cs="宋体"/>
          <w:color w:val="auto"/>
        </w:rPr>
        <w:t xml:space="preserve">邮政编码：542899                      </w:t>
      </w:r>
    </w:p>
    <w:p>
      <w:pPr>
        <w:pStyle w:val="29"/>
        <w:spacing w:line="400" w:lineRule="exact"/>
        <w:ind w:firstLine="420" w:firstLineChars="200"/>
        <w:rPr>
          <w:rFonts w:hint="eastAsia" w:hAnsi="宋体" w:cs="宋体"/>
          <w:color w:val="auto"/>
          <w:lang w:val="en-US" w:eastAsia="zh-CN"/>
        </w:rPr>
      </w:pPr>
      <w:r>
        <w:rPr>
          <w:rFonts w:hint="eastAsia" w:hAnsi="宋体" w:cs="宋体"/>
          <w:color w:val="auto"/>
        </w:rPr>
        <w:t>通讯地址：贺州市</w:t>
      </w:r>
      <w:r>
        <w:rPr>
          <w:rFonts w:hint="eastAsia" w:hAnsi="宋体" w:cs="宋体"/>
          <w:color w:val="auto"/>
          <w:lang w:val="en-US" w:eastAsia="zh-CN"/>
        </w:rPr>
        <w:t>新风街92号</w:t>
      </w:r>
    </w:p>
    <w:p>
      <w:pPr>
        <w:pStyle w:val="29"/>
        <w:spacing w:line="400" w:lineRule="exact"/>
        <w:ind w:firstLine="420" w:firstLineChars="200"/>
        <w:rPr>
          <w:rFonts w:hint="eastAsia" w:hAnsi="宋体" w:cs="宋体"/>
          <w:color w:val="auto"/>
          <w:lang w:val="en-US" w:eastAsia="zh-CN"/>
        </w:rPr>
      </w:pPr>
      <w:r>
        <w:rPr>
          <w:rFonts w:hint="eastAsia" w:hAnsi="宋体" w:cs="宋体"/>
          <w:color w:val="auto"/>
        </w:rPr>
        <w:t>电话/传真：0774-</w:t>
      </w:r>
      <w:r>
        <w:rPr>
          <w:rFonts w:hint="eastAsia" w:hAnsi="宋体" w:cs="宋体"/>
          <w:color w:val="auto"/>
          <w:lang w:val="en-US" w:eastAsia="zh-CN"/>
        </w:rPr>
        <w:t>5270990</w:t>
      </w:r>
    </w:p>
    <w:p>
      <w:pPr>
        <w:pStyle w:val="29"/>
        <w:spacing w:line="400" w:lineRule="exact"/>
        <w:ind w:firstLine="315" w:firstLineChars="150"/>
        <w:rPr>
          <w:rFonts w:hint="eastAsia" w:hAnsi="宋体" w:cs="宋体"/>
          <w:bCs/>
          <w:color w:val="auto"/>
        </w:rPr>
      </w:pPr>
      <w:r>
        <w:rPr>
          <w:rFonts w:hint="eastAsia" w:hAnsi="宋体" w:cs="宋体"/>
          <w:bCs/>
          <w:color w:val="auto"/>
        </w:rPr>
        <w:t>开户名：广西天立工程造价咨询有限公司贺州分公司</w:t>
      </w:r>
      <w:r>
        <w:rPr>
          <w:rFonts w:hint="eastAsia" w:hAnsi="宋体" w:cs="宋体"/>
          <w:bCs/>
          <w:color w:val="auto"/>
        </w:rPr>
        <w:tab/>
      </w:r>
    </w:p>
    <w:p>
      <w:pPr>
        <w:pStyle w:val="29"/>
        <w:spacing w:line="400" w:lineRule="exact"/>
        <w:ind w:firstLine="315" w:firstLineChars="150"/>
        <w:rPr>
          <w:rFonts w:hint="eastAsia" w:hAnsi="宋体" w:cs="宋体"/>
          <w:bCs/>
          <w:color w:val="auto"/>
        </w:rPr>
      </w:pPr>
      <w:r>
        <w:rPr>
          <w:rFonts w:hint="eastAsia" w:hAnsi="宋体" w:cs="宋体"/>
          <w:bCs/>
          <w:color w:val="auto"/>
        </w:rPr>
        <w:t>账  号：2109  3805  1910  0060  905</w:t>
      </w:r>
      <w:r>
        <w:rPr>
          <w:rFonts w:hint="eastAsia" w:hAnsi="宋体" w:cs="宋体"/>
          <w:bCs/>
          <w:color w:val="auto"/>
        </w:rPr>
        <w:tab/>
      </w:r>
    </w:p>
    <w:p>
      <w:pPr>
        <w:pStyle w:val="29"/>
        <w:spacing w:line="400" w:lineRule="exact"/>
        <w:ind w:firstLine="315" w:firstLineChars="150"/>
        <w:rPr>
          <w:rFonts w:hint="eastAsia" w:hAnsi="宋体" w:cs="宋体"/>
          <w:bCs/>
          <w:color w:val="auto"/>
        </w:rPr>
      </w:pPr>
      <w:r>
        <w:rPr>
          <w:rFonts w:hint="eastAsia" w:hAnsi="宋体" w:cs="宋体"/>
          <w:bCs/>
          <w:color w:val="auto"/>
        </w:rPr>
        <w:t>开户行：中国工商银行股份有限公司贺州市西约支行</w:t>
      </w:r>
    </w:p>
    <w:p>
      <w:pPr>
        <w:pStyle w:val="29"/>
        <w:spacing w:line="400" w:lineRule="exact"/>
        <w:ind w:firstLine="315" w:firstLineChars="150"/>
        <w:rPr>
          <w:rFonts w:hAnsi="宋体" w:cs="宋体"/>
          <w:bCs/>
          <w:color w:val="auto"/>
        </w:rPr>
      </w:pPr>
      <w:r>
        <w:rPr>
          <w:rFonts w:hint="eastAsia" w:hAnsi="宋体" w:cs="宋体"/>
          <w:bCs/>
          <w:color w:val="auto"/>
        </w:rPr>
        <w:t>（2）监督单位全称：</w:t>
      </w:r>
      <w:r>
        <w:rPr>
          <w:rFonts w:hint="eastAsia" w:asciiTheme="minorEastAsia" w:hAnsiTheme="minorEastAsia" w:eastAsiaTheme="minorEastAsia" w:cstheme="minorEastAsia"/>
          <w:szCs w:val="21"/>
        </w:rPr>
        <w:t>富川瑶族自治县财政局采购管理办公室</w:t>
      </w:r>
    </w:p>
    <w:p>
      <w:pPr>
        <w:pStyle w:val="29"/>
        <w:spacing w:line="420" w:lineRule="exact"/>
        <w:ind w:firstLine="420"/>
        <w:rPr>
          <w:rFonts w:hint="eastAsia" w:hAnsi="宋体" w:cs="宋体"/>
          <w:color w:val="auto"/>
        </w:rPr>
      </w:pPr>
      <w:r>
        <w:rPr>
          <w:rFonts w:hint="eastAsia" w:hAnsi="宋体" w:cs="宋体"/>
          <w:color w:val="auto"/>
        </w:rPr>
        <w:t>电    话：0774-7882324</w:t>
      </w:r>
    </w:p>
    <w:p>
      <w:pPr>
        <w:pStyle w:val="29"/>
        <w:spacing w:line="420" w:lineRule="exact"/>
        <w:ind w:firstLine="420"/>
        <w:rPr>
          <w:rFonts w:hAnsi="宋体" w:cs="宋体"/>
          <w:b/>
          <w:color w:val="auto"/>
          <w:sz w:val="24"/>
          <w:szCs w:val="24"/>
        </w:rPr>
      </w:pPr>
      <w:r>
        <w:rPr>
          <w:rFonts w:hint="eastAsia" w:hAnsi="宋体" w:cs="宋体"/>
          <w:b/>
          <w:color w:val="auto"/>
          <w:sz w:val="24"/>
          <w:szCs w:val="24"/>
        </w:rPr>
        <w:t>附件1：招标代理服务费收费标准：</w:t>
      </w:r>
    </w:p>
    <w:p>
      <w:pPr>
        <w:pStyle w:val="29"/>
        <w:spacing w:line="420" w:lineRule="exact"/>
        <w:rPr>
          <w:rFonts w:hAnsi="宋体" w:cs="宋体"/>
          <w:color w:val="auto"/>
          <w:sz w:val="24"/>
          <w:szCs w:val="24"/>
        </w:rPr>
      </w:pPr>
    </w:p>
    <w:tbl>
      <w:tblPr>
        <w:tblStyle w:val="53"/>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1923"/>
        <w:gridCol w:w="191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895" w:type="dxa"/>
          </w:tcPr>
          <w:p>
            <w:pPr>
              <w:keepNext w:val="0"/>
              <w:keepLines w:val="0"/>
              <w:suppressLineNumbers w:val="0"/>
              <w:spacing w:before="0" w:beforeAutospacing="0" w:after="0" w:afterAutospacing="0" w:line="380" w:lineRule="exact"/>
              <w:ind w:left="0" w:right="0"/>
              <w:rPr>
                <w:rFonts w:hint="default" w:ascii="宋体" w:hAnsi="宋体" w:cs="宋体"/>
                <w:color w:val="auto"/>
                <w:szCs w:val="21"/>
              </w:rPr>
            </w:pPr>
            <w:r>
              <w:rPr>
                <w:rFonts w:hint="default" w:ascii="宋体" w:hAnsi="宋体" w:cs="宋体"/>
                <w:color w:val="auto"/>
                <w:szCs w:val="21"/>
              </w:rPr>
              <w:pict>
                <v:line id="Line 3" o:spid="_x0000_s1027" o:spt="20" style="position:absolute;left:0pt;margin-left:-5.4pt;margin-top:-0.5pt;height:37.8pt;width:142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5iFwIAAC0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">
                  <v:path arrowok="t"/>
                  <v:fill focussize="0,0"/>
                  <v:stroke/>
                  <v:imagedata o:title=""/>
                  <o:lock v:ext="edit"/>
                </v:line>
              </w:pict>
            </w:r>
            <w:r>
              <w:rPr>
                <w:rFonts w:hint="eastAsia" w:ascii="宋体" w:hAnsi="宋体" w:cs="宋体"/>
                <w:color w:val="auto"/>
                <w:szCs w:val="21"/>
              </w:rPr>
              <w:t xml:space="preserve">          费率</w:t>
            </w:r>
          </w:p>
          <w:p>
            <w:pPr>
              <w:keepNext w:val="0"/>
              <w:keepLines w:val="0"/>
              <w:suppressLineNumbers w:val="0"/>
              <w:spacing w:before="0" w:beforeAutospacing="0" w:after="0" w:afterAutospacing="0" w:line="380" w:lineRule="exact"/>
              <w:ind w:left="0" w:right="0"/>
              <w:rPr>
                <w:rFonts w:hint="default" w:ascii="宋体" w:hAnsi="宋体" w:cs="宋体"/>
                <w:color w:val="auto"/>
                <w:szCs w:val="21"/>
              </w:rPr>
            </w:pPr>
            <w:r>
              <w:rPr>
                <w:rFonts w:hint="eastAsia" w:ascii="宋体" w:hAnsi="宋体" w:cs="宋体"/>
                <w:color w:val="auto"/>
                <w:szCs w:val="21"/>
              </w:rPr>
              <w:t>中标金额</w:t>
            </w:r>
          </w:p>
        </w:tc>
        <w:tc>
          <w:tcPr>
            <w:tcW w:w="1923" w:type="dxa"/>
            <w:vAlign w:val="center"/>
          </w:tcPr>
          <w:p>
            <w:pPr>
              <w:keepNext w:val="0"/>
              <w:keepLines w:val="0"/>
              <w:suppressLineNumbers w:val="0"/>
              <w:spacing w:before="0" w:beforeAutospacing="0" w:after="0" w:afterAutospacing="0" w:line="380" w:lineRule="exact"/>
              <w:ind w:left="0" w:right="0" w:firstLine="105" w:firstLineChars="50"/>
              <w:jc w:val="center"/>
              <w:rPr>
                <w:rFonts w:hint="default" w:ascii="宋体" w:hAnsi="宋体" w:cs="宋体"/>
                <w:color w:val="auto"/>
                <w:szCs w:val="21"/>
              </w:rPr>
            </w:pPr>
            <w:r>
              <w:rPr>
                <w:rFonts w:hint="eastAsia" w:ascii="宋体" w:hAnsi="宋体" w:cs="宋体"/>
                <w:color w:val="auto"/>
                <w:szCs w:val="21"/>
              </w:rPr>
              <w:t>货物招标</w:t>
            </w:r>
          </w:p>
        </w:tc>
        <w:tc>
          <w:tcPr>
            <w:tcW w:w="1912" w:type="dxa"/>
            <w:vAlign w:val="center"/>
          </w:tcPr>
          <w:p>
            <w:pPr>
              <w:keepNext w:val="0"/>
              <w:keepLines w:val="0"/>
              <w:suppressLineNumbers w:val="0"/>
              <w:spacing w:before="0" w:beforeAutospacing="0" w:after="0" w:afterAutospacing="0" w:line="380" w:lineRule="exact"/>
              <w:ind w:left="0" w:right="0"/>
              <w:jc w:val="center"/>
              <w:rPr>
                <w:rFonts w:hint="default" w:ascii="宋体" w:hAnsi="宋体" w:cs="宋体"/>
                <w:color w:val="auto"/>
                <w:szCs w:val="21"/>
              </w:rPr>
            </w:pPr>
            <w:r>
              <w:rPr>
                <w:rFonts w:hint="eastAsia" w:ascii="宋体" w:hAnsi="宋体" w:cs="宋体"/>
                <w:color w:val="auto"/>
                <w:szCs w:val="21"/>
              </w:rPr>
              <w:t>服务招标</w:t>
            </w:r>
          </w:p>
        </w:tc>
        <w:tc>
          <w:tcPr>
            <w:tcW w:w="1747" w:type="dxa"/>
            <w:vAlign w:val="center"/>
          </w:tcPr>
          <w:p>
            <w:pPr>
              <w:keepNext w:val="0"/>
              <w:keepLines w:val="0"/>
              <w:suppressLineNumbers w:val="0"/>
              <w:spacing w:before="0" w:beforeAutospacing="0" w:after="0" w:afterAutospacing="0" w:line="380" w:lineRule="exact"/>
              <w:ind w:left="0" w:right="0"/>
              <w:jc w:val="center"/>
              <w:rPr>
                <w:rFonts w:hint="default" w:ascii="宋体" w:hAnsi="宋体" w:cs="宋体"/>
                <w:color w:val="auto"/>
                <w:szCs w:val="21"/>
              </w:rPr>
            </w:pPr>
            <w:r>
              <w:rPr>
                <w:rFonts w:hint="eastAsia" w:ascii="宋体" w:hAnsi="宋体" w:cs="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keepNext w:val="0"/>
              <w:keepLines w:val="0"/>
              <w:suppressLineNumbers w:val="0"/>
              <w:spacing w:before="0" w:beforeAutospacing="0" w:after="0" w:afterAutospacing="0" w:line="380" w:lineRule="exact"/>
              <w:ind w:left="0" w:right="0"/>
              <w:rPr>
                <w:rFonts w:hint="default" w:ascii="宋体" w:hAnsi="宋体" w:cs="宋体"/>
                <w:color w:val="auto"/>
                <w:szCs w:val="21"/>
              </w:rPr>
            </w:pPr>
            <w:r>
              <w:rPr>
                <w:rFonts w:hint="eastAsia" w:ascii="宋体" w:hAnsi="宋体" w:cs="宋体"/>
                <w:color w:val="auto"/>
                <w:szCs w:val="21"/>
              </w:rPr>
              <w:t>100万元以下</w:t>
            </w:r>
          </w:p>
        </w:tc>
        <w:tc>
          <w:tcPr>
            <w:tcW w:w="1923" w:type="dxa"/>
            <w:vAlign w:val="center"/>
          </w:tcPr>
          <w:p>
            <w:pPr>
              <w:keepNext w:val="0"/>
              <w:keepLines w:val="0"/>
              <w:suppressLineNumbers w:val="0"/>
              <w:spacing w:before="0" w:beforeAutospacing="0" w:after="0" w:afterAutospacing="0" w:line="380" w:lineRule="exact"/>
              <w:ind w:left="0" w:right="0"/>
              <w:jc w:val="center"/>
              <w:rPr>
                <w:rFonts w:hint="default" w:ascii="宋体" w:hAnsi="宋体" w:cs="宋体"/>
                <w:color w:val="auto"/>
                <w:szCs w:val="21"/>
              </w:rPr>
            </w:pPr>
            <w:r>
              <w:rPr>
                <w:rFonts w:hint="eastAsia" w:ascii="宋体" w:hAnsi="宋体" w:cs="宋体"/>
                <w:color w:val="auto"/>
                <w:kern w:val="0"/>
                <w:szCs w:val="21"/>
              </w:rPr>
              <w:t>1.5%</w:t>
            </w:r>
          </w:p>
        </w:tc>
        <w:tc>
          <w:tcPr>
            <w:tcW w:w="1912" w:type="dxa"/>
            <w:vAlign w:val="center"/>
          </w:tcPr>
          <w:p>
            <w:pPr>
              <w:keepNext w:val="0"/>
              <w:keepLines w:val="0"/>
              <w:suppressLineNumbers w:val="0"/>
              <w:spacing w:before="0" w:beforeAutospacing="0" w:after="0" w:afterAutospacing="0" w:line="380" w:lineRule="exact"/>
              <w:ind w:left="0" w:right="0"/>
              <w:jc w:val="center"/>
              <w:rPr>
                <w:rFonts w:hint="default" w:ascii="宋体" w:hAnsi="宋体" w:cs="宋体"/>
                <w:color w:val="auto"/>
                <w:szCs w:val="21"/>
              </w:rPr>
            </w:pPr>
            <w:r>
              <w:rPr>
                <w:rFonts w:hint="eastAsia" w:ascii="宋体" w:hAnsi="宋体" w:cs="宋体"/>
                <w:color w:val="auto"/>
                <w:kern w:val="0"/>
                <w:szCs w:val="21"/>
              </w:rPr>
              <w:t>1.5%</w:t>
            </w:r>
          </w:p>
        </w:tc>
        <w:tc>
          <w:tcPr>
            <w:tcW w:w="1747" w:type="dxa"/>
            <w:vAlign w:val="center"/>
          </w:tcPr>
          <w:p>
            <w:pPr>
              <w:keepNext w:val="0"/>
              <w:keepLines w:val="0"/>
              <w:suppressLineNumbers w:val="0"/>
              <w:spacing w:before="0" w:beforeAutospacing="0" w:after="0" w:afterAutospacing="0" w:line="380" w:lineRule="exact"/>
              <w:ind w:left="0" w:right="0"/>
              <w:jc w:val="center"/>
              <w:rPr>
                <w:rFonts w:hint="default" w:ascii="宋体" w:hAnsi="宋体" w:cs="宋体"/>
                <w:color w:val="auto"/>
                <w:szCs w:val="21"/>
              </w:rPr>
            </w:pPr>
            <w:r>
              <w:rPr>
                <w:rFonts w:hint="eastAsia" w:ascii="宋体" w:hAnsi="宋体" w:cs="宋体"/>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keepNext w:val="0"/>
              <w:keepLines w:val="0"/>
              <w:suppressLineNumbers w:val="0"/>
              <w:spacing w:before="0" w:beforeAutospacing="0" w:after="0" w:afterAutospacing="0" w:line="380" w:lineRule="exact"/>
              <w:ind w:left="0" w:right="0"/>
              <w:rPr>
                <w:rFonts w:hint="default" w:ascii="宋体" w:hAnsi="宋体" w:cs="宋体"/>
                <w:color w:val="auto"/>
                <w:szCs w:val="21"/>
              </w:rPr>
            </w:pPr>
            <w:r>
              <w:rPr>
                <w:rFonts w:hint="eastAsia" w:ascii="宋体" w:hAnsi="宋体" w:cs="宋体"/>
                <w:color w:val="auto"/>
                <w:szCs w:val="21"/>
              </w:rPr>
              <w:t>100～500万元</w:t>
            </w:r>
          </w:p>
        </w:tc>
        <w:tc>
          <w:tcPr>
            <w:tcW w:w="1923" w:type="dxa"/>
            <w:vAlign w:val="center"/>
          </w:tcPr>
          <w:p>
            <w:pPr>
              <w:keepNext w:val="0"/>
              <w:keepLines w:val="0"/>
              <w:suppressLineNumbers w:val="0"/>
              <w:spacing w:before="0" w:beforeAutospacing="0" w:after="0" w:afterAutospacing="0" w:line="380" w:lineRule="exact"/>
              <w:ind w:left="0" w:right="0"/>
              <w:jc w:val="center"/>
              <w:rPr>
                <w:rFonts w:hint="default" w:ascii="宋体" w:hAnsi="宋体" w:cs="宋体"/>
                <w:color w:val="auto"/>
                <w:szCs w:val="21"/>
              </w:rPr>
            </w:pPr>
            <w:r>
              <w:rPr>
                <w:rFonts w:hint="eastAsia" w:ascii="宋体" w:hAnsi="宋体" w:cs="宋体"/>
                <w:color w:val="auto"/>
                <w:kern w:val="0"/>
                <w:szCs w:val="21"/>
              </w:rPr>
              <w:t>1.1%</w:t>
            </w:r>
          </w:p>
        </w:tc>
        <w:tc>
          <w:tcPr>
            <w:tcW w:w="1912" w:type="dxa"/>
            <w:vAlign w:val="center"/>
          </w:tcPr>
          <w:p>
            <w:pPr>
              <w:keepNext w:val="0"/>
              <w:keepLines w:val="0"/>
              <w:suppressLineNumbers w:val="0"/>
              <w:spacing w:before="0" w:beforeAutospacing="0" w:after="0" w:afterAutospacing="0" w:line="380" w:lineRule="exact"/>
              <w:ind w:left="0" w:right="0"/>
              <w:jc w:val="center"/>
              <w:rPr>
                <w:rFonts w:hint="default" w:ascii="宋体" w:hAnsi="宋体" w:cs="宋体"/>
                <w:color w:val="auto"/>
                <w:szCs w:val="21"/>
              </w:rPr>
            </w:pPr>
            <w:r>
              <w:rPr>
                <w:rFonts w:hint="eastAsia" w:ascii="宋体" w:hAnsi="宋体" w:cs="宋体"/>
                <w:color w:val="auto"/>
                <w:kern w:val="0"/>
                <w:szCs w:val="21"/>
              </w:rPr>
              <w:t>0.8%</w:t>
            </w:r>
          </w:p>
        </w:tc>
        <w:tc>
          <w:tcPr>
            <w:tcW w:w="1747" w:type="dxa"/>
            <w:vAlign w:val="center"/>
          </w:tcPr>
          <w:p>
            <w:pPr>
              <w:keepNext w:val="0"/>
              <w:keepLines w:val="0"/>
              <w:suppressLineNumbers w:val="0"/>
              <w:spacing w:before="0" w:beforeAutospacing="0" w:after="0" w:afterAutospacing="0" w:line="380" w:lineRule="exact"/>
              <w:ind w:left="0" w:right="0"/>
              <w:jc w:val="center"/>
              <w:rPr>
                <w:rFonts w:hint="default" w:ascii="宋体" w:hAnsi="宋体" w:cs="宋体"/>
                <w:color w:val="auto"/>
                <w:szCs w:val="21"/>
              </w:rPr>
            </w:pPr>
            <w:r>
              <w:rPr>
                <w:rFonts w:hint="eastAsia" w:ascii="宋体" w:hAnsi="宋体" w:cs="宋体"/>
                <w:color w:val="auto"/>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keepNext w:val="0"/>
              <w:keepLines w:val="0"/>
              <w:suppressLineNumbers w:val="0"/>
              <w:spacing w:before="0" w:beforeAutospacing="0" w:after="0" w:afterAutospacing="0" w:line="380" w:lineRule="exact"/>
              <w:ind w:left="0" w:right="0"/>
              <w:rPr>
                <w:rFonts w:hint="default" w:ascii="宋体" w:hAnsi="宋体" w:cs="宋体"/>
                <w:color w:val="auto"/>
                <w:szCs w:val="21"/>
              </w:rPr>
            </w:pPr>
            <w:r>
              <w:rPr>
                <w:rFonts w:hint="eastAsia" w:ascii="宋体" w:hAnsi="宋体" w:cs="宋体"/>
                <w:color w:val="auto"/>
                <w:szCs w:val="21"/>
              </w:rPr>
              <w:t>500～1000万元</w:t>
            </w:r>
          </w:p>
        </w:tc>
        <w:tc>
          <w:tcPr>
            <w:tcW w:w="1923" w:type="dxa"/>
            <w:vAlign w:val="center"/>
          </w:tcPr>
          <w:p>
            <w:pPr>
              <w:keepNext w:val="0"/>
              <w:keepLines w:val="0"/>
              <w:suppressLineNumbers w:val="0"/>
              <w:spacing w:before="0" w:beforeAutospacing="0" w:after="0" w:afterAutospacing="0" w:line="380" w:lineRule="exact"/>
              <w:ind w:left="0" w:right="0"/>
              <w:jc w:val="center"/>
              <w:rPr>
                <w:rFonts w:hint="default" w:ascii="宋体" w:hAnsi="宋体" w:cs="宋体"/>
                <w:color w:val="auto"/>
                <w:szCs w:val="21"/>
              </w:rPr>
            </w:pPr>
            <w:r>
              <w:rPr>
                <w:rFonts w:hint="eastAsia" w:ascii="宋体" w:hAnsi="宋体" w:cs="宋体"/>
                <w:color w:val="auto"/>
                <w:kern w:val="0"/>
                <w:szCs w:val="21"/>
              </w:rPr>
              <w:t>0.8%</w:t>
            </w:r>
          </w:p>
        </w:tc>
        <w:tc>
          <w:tcPr>
            <w:tcW w:w="1912" w:type="dxa"/>
            <w:vAlign w:val="center"/>
          </w:tcPr>
          <w:p>
            <w:pPr>
              <w:keepNext w:val="0"/>
              <w:keepLines w:val="0"/>
              <w:suppressLineNumbers w:val="0"/>
              <w:spacing w:before="0" w:beforeAutospacing="0" w:after="0" w:afterAutospacing="0" w:line="380" w:lineRule="exact"/>
              <w:ind w:left="0" w:right="0"/>
              <w:jc w:val="center"/>
              <w:rPr>
                <w:rFonts w:hint="default" w:ascii="宋体" w:hAnsi="宋体" w:cs="宋体"/>
                <w:color w:val="auto"/>
                <w:szCs w:val="21"/>
              </w:rPr>
            </w:pPr>
            <w:r>
              <w:rPr>
                <w:rFonts w:hint="eastAsia" w:ascii="宋体" w:hAnsi="宋体" w:cs="宋体"/>
                <w:color w:val="auto"/>
                <w:kern w:val="0"/>
                <w:szCs w:val="21"/>
              </w:rPr>
              <w:t>0.45%</w:t>
            </w:r>
          </w:p>
        </w:tc>
        <w:tc>
          <w:tcPr>
            <w:tcW w:w="1747" w:type="dxa"/>
            <w:vAlign w:val="center"/>
          </w:tcPr>
          <w:p>
            <w:pPr>
              <w:keepNext w:val="0"/>
              <w:keepLines w:val="0"/>
              <w:suppressLineNumbers w:val="0"/>
              <w:spacing w:before="0" w:beforeAutospacing="0" w:after="0" w:afterAutospacing="0" w:line="380" w:lineRule="exact"/>
              <w:ind w:left="0" w:right="0"/>
              <w:jc w:val="center"/>
              <w:rPr>
                <w:rFonts w:hint="default" w:ascii="宋体" w:hAnsi="宋体" w:cs="宋体"/>
                <w:color w:val="auto"/>
                <w:szCs w:val="21"/>
              </w:rPr>
            </w:pPr>
            <w:r>
              <w:rPr>
                <w:rFonts w:hint="eastAsia" w:ascii="宋体" w:hAnsi="宋体" w:cs="宋体"/>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keepNext w:val="0"/>
              <w:keepLines w:val="0"/>
              <w:suppressLineNumbers w:val="0"/>
              <w:spacing w:before="0" w:beforeAutospacing="0" w:after="0" w:afterAutospacing="0" w:line="380" w:lineRule="exact"/>
              <w:ind w:left="0" w:right="0"/>
              <w:rPr>
                <w:rFonts w:hint="default" w:ascii="宋体" w:hAnsi="宋体" w:cs="宋体"/>
                <w:color w:val="auto"/>
                <w:szCs w:val="21"/>
              </w:rPr>
            </w:pPr>
            <w:r>
              <w:rPr>
                <w:rFonts w:hint="eastAsia" w:ascii="宋体" w:hAnsi="宋体" w:cs="宋体"/>
                <w:color w:val="auto"/>
                <w:szCs w:val="21"/>
              </w:rPr>
              <w:t>1000～5000万元</w:t>
            </w:r>
          </w:p>
        </w:tc>
        <w:tc>
          <w:tcPr>
            <w:tcW w:w="1923" w:type="dxa"/>
            <w:vAlign w:val="center"/>
          </w:tcPr>
          <w:p>
            <w:pPr>
              <w:keepNext w:val="0"/>
              <w:keepLines w:val="0"/>
              <w:suppressLineNumbers w:val="0"/>
              <w:spacing w:before="0" w:beforeAutospacing="0" w:after="0" w:afterAutospacing="0" w:line="380" w:lineRule="exact"/>
              <w:ind w:left="0" w:right="0"/>
              <w:jc w:val="center"/>
              <w:rPr>
                <w:rFonts w:hint="default" w:ascii="宋体" w:hAnsi="宋体" w:cs="宋体"/>
                <w:color w:val="auto"/>
                <w:szCs w:val="21"/>
              </w:rPr>
            </w:pPr>
            <w:r>
              <w:rPr>
                <w:rFonts w:hint="eastAsia" w:ascii="宋体" w:hAnsi="宋体" w:cs="宋体"/>
                <w:color w:val="auto"/>
                <w:kern w:val="0"/>
                <w:szCs w:val="21"/>
              </w:rPr>
              <w:t>0.5%</w:t>
            </w:r>
          </w:p>
        </w:tc>
        <w:tc>
          <w:tcPr>
            <w:tcW w:w="1912" w:type="dxa"/>
            <w:vAlign w:val="center"/>
          </w:tcPr>
          <w:p>
            <w:pPr>
              <w:keepNext w:val="0"/>
              <w:keepLines w:val="0"/>
              <w:suppressLineNumbers w:val="0"/>
              <w:spacing w:before="0" w:beforeAutospacing="0" w:after="0" w:afterAutospacing="0" w:line="380" w:lineRule="exact"/>
              <w:ind w:left="0" w:right="0"/>
              <w:jc w:val="center"/>
              <w:rPr>
                <w:rFonts w:hint="default" w:ascii="宋体" w:hAnsi="宋体" w:cs="宋体"/>
                <w:color w:val="auto"/>
                <w:szCs w:val="21"/>
              </w:rPr>
            </w:pPr>
            <w:r>
              <w:rPr>
                <w:rFonts w:hint="eastAsia" w:ascii="宋体" w:hAnsi="宋体" w:cs="宋体"/>
                <w:color w:val="auto"/>
                <w:kern w:val="0"/>
                <w:szCs w:val="21"/>
              </w:rPr>
              <w:t>0.25%</w:t>
            </w:r>
          </w:p>
        </w:tc>
        <w:tc>
          <w:tcPr>
            <w:tcW w:w="1747" w:type="dxa"/>
            <w:vAlign w:val="center"/>
          </w:tcPr>
          <w:p>
            <w:pPr>
              <w:keepNext w:val="0"/>
              <w:keepLines w:val="0"/>
              <w:suppressLineNumbers w:val="0"/>
              <w:spacing w:before="0" w:beforeAutospacing="0" w:after="0" w:afterAutospacing="0" w:line="380" w:lineRule="exact"/>
              <w:ind w:left="0" w:right="0"/>
              <w:jc w:val="center"/>
              <w:rPr>
                <w:rFonts w:hint="default" w:ascii="宋体" w:hAnsi="宋体" w:cs="宋体"/>
                <w:color w:val="auto"/>
                <w:szCs w:val="21"/>
              </w:rPr>
            </w:pPr>
            <w:r>
              <w:rPr>
                <w:rFonts w:hint="eastAsia" w:ascii="宋体" w:hAnsi="宋体" w:cs="宋体"/>
                <w:color w:val="auto"/>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keepNext w:val="0"/>
              <w:keepLines w:val="0"/>
              <w:suppressLineNumbers w:val="0"/>
              <w:spacing w:before="0" w:beforeAutospacing="0" w:after="0" w:afterAutospacing="0" w:line="380" w:lineRule="exact"/>
              <w:ind w:left="0" w:right="0"/>
              <w:rPr>
                <w:rFonts w:hint="default" w:ascii="宋体" w:hAnsi="宋体" w:cs="宋体"/>
                <w:color w:val="auto"/>
                <w:szCs w:val="21"/>
              </w:rPr>
            </w:pPr>
            <w:r>
              <w:rPr>
                <w:rFonts w:hint="eastAsia" w:ascii="宋体" w:hAnsi="宋体" w:cs="宋体"/>
                <w:color w:val="auto"/>
                <w:szCs w:val="21"/>
              </w:rPr>
              <w:t>5000万元～1亿元</w:t>
            </w:r>
          </w:p>
        </w:tc>
        <w:tc>
          <w:tcPr>
            <w:tcW w:w="1923" w:type="dxa"/>
            <w:vAlign w:val="center"/>
          </w:tcPr>
          <w:p>
            <w:pPr>
              <w:keepNext w:val="0"/>
              <w:keepLines w:val="0"/>
              <w:suppressLineNumbers w:val="0"/>
              <w:spacing w:before="0" w:beforeAutospacing="0" w:after="0" w:afterAutospacing="0" w:line="380" w:lineRule="exact"/>
              <w:ind w:left="0" w:right="0"/>
              <w:jc w:val="center"/>
              <w:rPr>
                <w:rFonts w:hint="default" w:ascii="宋体" w:hAnsi="宋体" w:cs="宋体"/>
                <w:color w:val="auto"/>
                <w:szCs w:val="21"/>
              </w:rPr>
            </w:pPr>
            <w:r>
              <w:rPr>
                <w:rFonts w:hint="eastAsia" w:ascii="宋体" w:hAnsi="宋体" w:cs="宋体"/>
                <w:color w:val="auto"/>
                <w:kern w:val="0"/>
                <w:szCs w:val="21"/>
              </w:rPr>
              <w:t>0.25%</w:t>
            </w:r>
          </w:p>
        </w:tc>
        <w:tc>
          <w:tcPr>
            <w:tcW w:w="1912" w:type="dxa"/>
            <w:vAlign w:val="center"/>
          </w:tcPr>
          <w:p>
            <w:pPr>
              <w:keepNext w:val="0"/>
              <w:keepLines w:val="0"/>
              <w:suppressLineNumbers w:val="0"/>
              <w:spacing w:before="0" w:beforeAutospacing="0" w:after="0" w:afterAutospacing="0" w:line="380" w:lineRule="exact"/>
              <w:ind w:left="0" w:right="0"/>
              <w:jc w:val="center"/>
              <w:rPr>
                <w:rFonts w:hint="default" w:ascii="宋体" w:hAnsi="宋体" w:cs="宋体"/>
                <w:color w:val="auto"/>
                <w:szCs w:val="21"/>
              </w:rPr>
            </w:pPr>
            <w:r>
              <w:rPr>
                <w:rFonts w:hint="eastAsia" w:ascii="宋体" w:hAnsi="宋体" w:cs="宋体"/>
                <w:color w:val="auto"/>
                <w:kern w:val="0"/>
                <w:szCs w:val="21"/>
              </w:rPr>
              <w:t>0.1%</w:t>
            </w:r>
          </w:p>
        </w:tc>
        <w:tc>
          <w:tcPr>
            <w:tcW w:w="1747" w:type="dxa"/>
            <w:vAlign w:val="center"/>
          </w:tcPr>
          <w:p>
            <w:pPr>
              <w:keepNext w:val="0"/>
              <w:keepLines w:val="0"/>
              <w:suppressLineNumbers w:val="0"/>
              <w:spacing w:before="0" w:beforeAutospacing="0" w:after="0" w:afterAutospacing="0" w:line="380" w:lineRule="exact"/>
              <w:ind w:left="0" w:right="0"/>
              <w:jc w:val="center"/>
              <w:rPr>
                <w:rFonts w:hint="default" w:ascii="宋体" w:hAnsi="宋体" w:cs="宋体"/>
                <w:color w:val="auto"/>
                <w:szCs w:val="21"/>
              </w:rPr>
            </w:pPr>
            <w:r>
              <w:rPr>
                <w:rFonts w:hint="eastAsia" w:ascii="宋体" w:hAnsi="宋体" w:cs="宋体"/>
                <w:color w:val="auto"/>
                <w:kern w:val="0"/>
                <w:szCs w:val="21"/>
              </w:rPr>
              <w:t>0.2%</w:t>
            </w:r>
          </w:p>
        </w:tc>
      </w:tr>
    </w:tbl>
    <w:p>
      <w:pPr>
        <w:pStyle w:val="29"/>
        <w:spacing w:line="420" w:lineRule="exact"/>
        <w:ind w:firstLine="420"/>
        <w:rPr>
          <w:rFonts w:hAnsi="宋体" w:cs="宋体"/>
          <w:b/>
          <w:color w:val="auto"/>
        </w:rPr>
      </w:pPr>
      <w:r>
        <w:rPr>
          <w:rFonts w:hint="eastAsia" w:hAnsi="宋体" w:cs="宋体"/>
          <w:color w:val="auto"/>
        </w:rPr>
        <w:t>注：招标代理服务收费按差额定率累进法计算。</w:t>
      </w:r>
    </w:p>
    <w:p>
      <w:pPr>
        <w:pStyle w:val="29"/>
        <w:spacing w:line="480" w:lineRule="auto"/>
        <w:rPr>
          <w:rFonts w:hAnsi="宋体" w:cs="宋体"/>
          <w:b/>
          <w:bCs/>
          <w:color w:val="auto"/>
        </w:rPr>
      </w:pPr>
    </w:p>
    <w:p>
      <w:pPr>
        <w:pStyle w:val="29"/>
        <w:spacing w:line="480" w:lineRule="auto"/>
        <w:rPr>
          <w:rFonts w:hAnsi="宋体" w:cs="宋体"/>
          <w:b/>
          <w:bCs/>
          <w:color w:val="auto"/>
        </w:rPr>
      </w:pPr>
    </w:p>
    <w:p>
      <w:pPr>
        <w:pStyle w:val="29"/>
        <w:spacing w:line="480" w:lineRule="auto"/>
        <w:rPr>
          <w:rFonts w:hAnsi="宋体" w:cs="宋体"/>
          <w:b/>
          <w:bCs/>
          <w:color w:val="auto"/>
          <w:sz w:val="24"/>
        </w:rPr>
      </w:pPr>
      <w:r>
        <w:rPr>
          <w:rFonts w:hint="eastAsia" w:hAnsi="宋体" w:cs="宋体"/>
          <w:b/>
          <w:bCs/>
          <w:color w:val="auto"/>
          <w:sz w:val="24"/>
        </w:rPr>
        <w:t>附件2：有关法律法规对政府采购当事人应承担法律责任的规定</w:t>
      </w:r>
    </w:p>
    <w:p>
      <w:pPr>
        <w:spacing w:line="360" w:lineRule="exact"/>
        <w:rPr>
          <w:rFonts w:ascii="宋体" w:hAnsi="宋体" w:cs="宋体"/>
          <w:b/>
          <w:bCs/>
          <w:color w:val="auto"/>
        </w:rPr>
      </w:pPr>
    </w:p>
    <w:p>
      <w:pPr>
        <w:spacing w:line="400" w:lineRule="exact"/>
        <w:rPr>
          <w:rFonts w:ascii="宋体" w:hAnsi="宋体" w:cs="宋体"/>
          <w:b/>
          <w:bCs/>
          <w:color w:val="auto"/>
        </w:rPr>
      </w:pPr>
      <w:r>
        <w:rPr>
          <w:rFonts w:hint="eastAsia" w:ascii="宋体" w:hAnsi="宋体" w:cs="宋体"/>
          <w:b/>
          <w:bCs/>
          <w:color w:val="auto"/>
        </w:rPr>
        <w:t>《中华人民共和国政府采购法》有关规定：</w:t>
      </w:r>
    </w:p>
    <w:p>
      <w:pPr>
        <w:spacing w:line="400" w:lineRule="exact"/>
        <w:ind w:firstLine="420" w:firstLineChars="200"/>
        <w:rPr>
          <w:rFonts w:ascii="宋体" w:hAnsi="宋体" w:cs="宋体"/>
          <w:color w:val="auto"/>
        </w:rPr>
      </w:pPr>
      <w:r>
        <w:rPr>
          <w:rFonts w:hint="eastAsia" w:ascii="宋体" w:hAnsi="宋体" w:cs="宋体"/>
          <w:color w:val="auto"/>
        </w:rPr>
        <w:t xml:space="preserve">第三条 政府采购应当遵循公开透明原则、公平竞争原则、公正原则和诚实信用原则。 </w:t>
      </w:r>
    </w:p>
    <w:p>
      <w:pPr>
        <w:spacing w:line="400" w:lineRule="exact"/>
        <w:ind w:firstLine="420" w:firstLineChars="200"/>
        <w:rPr>
          <w:rFonts w:ascii="宋体" w:hAnsi="宋体" w:cs="宋体"/>
          <w:color w:val="auto"/>
        </w:rPr>
      </w:pPr>
      <w:r>
        <w:rPr>
          <w:rFonts w:hint="eastAsia" w:ascii="宋体" w:hAnsi="宋体" w:cs="宋体"/>
          <w:color w:val="auto"/>
        </w:rPr>
        <w:t>第二十二条 供应商参加政府采购活动应当具备下列条件：</w:t>
      </w:r>
    </w:p>
    <w:p>
      <w:pPr>
        <w:numPr>
          <w:ilvl w:val="0"/>
          <w:numId w:val="1"/>
        </w:numPr>
        <w:spacing w:line="400" w:lineRule="exact"/>
        <w:rPr>
          <w:rFonts w:ascii="宋体" w:hAnsi="宋体" w:cs="宋体"/>
          <w:color w:val="auto"/>
        </w:rPr>
      </w:pPr>
      <w:r>
        <w:rPr>
          <w:rFonts w:hint="eastAsia" w:ascii="宋体" w:hAnsi="宋体" w:cs="宋体"/>
          <w:color w:val="auto"/>
        </w:rPr>
        <w:t>具有独立承担民事责任的能力；</w:t>
      </w:r>
    </w:p>
    <w:p>
      <w:pPr>
        <w:numPr>
          <w:ilvl w:val="0"/>
          <w:numId w:val="1"/>
        </w:numPr>
        <w:spacing w:line="400" w:lineRule="exact"/>
        <w:rPr>
          <w:rFonts w:ascii="宋体" w:hAnsi="宋体" w:cs="宋体"/>
          <w:color w:val="auto"/>
        </w:rPr>
      </w:pPr>
      <w:r>
        <w:rPr>
          <w:rFonts w:hint="eastAsia" w:ascii="宋体" w:hAnsi="宋体" w:cs="宋体"/>
          <w:color w:val="auto"/>
        </w:rPr>
        <w:t>具有良好的商业信誉和健全的财务会计制度；</w:t>
      </w:r>
    </w:p>
    <w:p>
      <w:pPr>
        <w:numPr>
          <w:ilvl w:val="0"/>
          <w:numId w:val="1"/>
        </w:numPr>
        <w:spacing w:line="400" w:lineRule="exact"/>
        <w:rPr>
          <w:rFonts w:ascii="宋体" w:hAnsi="宋体" w:cs="宋体"/>
          <w:color w:val="auto"/>
        </w:rPr>
      </w:pPr>
      <w:r>
        <w:rPr>
          <w:rFonts w:hint="eastAsia" w:ascii="宋体" w:hAnsi="宋体" w:cs="宋体"/>
          <w:color w:val="auto"/>
        </w:rPr>
        <w:t>具有履行所必需的设备和专业技术能力；</w:t>
      </w:r>
    </w:p>
    <w:p>
      <w:pPr>
        <w:numPr>
          <w:ilvl w:val="0"/>
          <w:numId w:val="1"/>
        </w:numPr>
        <w:spacing w:line="400" w:lineRule="exact"/>
        <w:rPr>
          <w:rFonts w:ascii="宋体" w:hAnsi="宋体" w:cs="宋体"/>
          <w:color w:val="auto"/>
        </w:rPr>
      </w:pPr>
      <w:r>
        <w:rPr>
          <w:rFonts w:hint="eastAsia" w:ascii="宋体" w:hAnsi="宋体" w:cs="宋体"/>
          <w:color w:val="auto"/>
        </w:rPr>
        <w:t>有依法缴纳税收和社会保障资金的良好记录；</w:t>
      </w:r>
    </w:p>
    <w:p>
      <w:pPr>
        <w:numPr>
          <w:ilvl w:val="0"/>
          <w:numId w:val="1"/>
        </w:numPr>
        <w:spacing w:line="400" w:lineRule="exact"/>
        <w:rPr>
          <w:rFonts w:ascii="宋体" w:hAnsi="宋体" w:cs="宋体"/>
          <w:color w:val="auto"/>
        </w:rPr>
      </w:pPr>
      <w:r>
        <w:rPr>
          <w:rFonts w:hint="eastAsia" w:ascii="宋体" w:hAnsi="宋体" w:cs="宋体"/>
          <w:color w:val="auto"/>
        </w:rPr>
        <w:t>参加政府采购活动前三年内，在经营活动中没有重大违法记录；</w:t>
      </w:r>
    </w:p>
    <w:p>
      <w:pPr>
        <w:numPr>
          <w:ilvl w:val="0"/>
          <w:numId w:val="1"/>
        </w:numPr>
        <w:spacing w:line="400" w:lineRule="exact"/>
        <w:rPr>
          <w:rFonts w:ascii="宋体" w:hAnsi="宋体" w:cs="宋体"/>
          <w:color w:val="auto"/>
        </w:rPr>
      </w:pPr>
      <w:r>
        <w:rPr>
          <w:rFonts w:hint="eastAsia" w:ascii="宋体" w:hAnsi="宋体" w:cs="宋体"/>
          <w:color w:val="auto"/>
        </w:rPr>
        <w:t>法律、行政法规规定的其他条件。</w:t>
      </w:r>
    </w:p>
    <w:p>
      <w:pPr>
        <w:spacing w:line="400" w:lineRule="exact"/>
        <w:ind w:firstLine="420" w:firstLineChars="200"/>
        <w:rPr>
          <w:rFonts w:ascii="宋体" w:hAnsi="宋体" w:cs="宋体"/>
          <w:color w:val="auto"/>
        </w:rPr>
      </w:pPr>
      <w:r>
        <w:rPr>
          <w:rFonts w:hint="eastAsia" w:ascii="宋体" w:hAnsi="宋体" w:cs="宋体"/>
          <w:color w:val="auto"/>
        </w:rPr>
        <w:t xml:space="preserve">第四十六条 招标单位与中标、中标供应商应当在中标、中标通知书发出之日起三十日内，按照采购文件确定的事项签订政府采购合同。 </w:t>
      </w:r>
    </w:p>
    <w:p>
      <w:pPr>
        <w:spacing w:line="400" w:lineRule="exact"/>
        <w:ind w:firstLine="420" w:firstLineChars="200"/>
        <w:rPr>
          <w:rFonts w:ascii="宋体" w:hAnsi="宋体" w:cs="宋体"/>
          <w:color w:val="auto"/>
        </w:rPr>
      </w:pPr>
      <w:r>
        <w:rPr>
          <w:rFonts w:hint="eastAsia" w:ascii="宋体" w:hAnsi="宋体" w:cs="宋体"/>
          <w:color w:val="auto"/>
        </w:rPr>
        <w:t xml:space="preserve">中标、中标通知书对采购单位和中标、中标供应商均具有法律效力。中标、中标通知书发出后，采购单位改变中标、中标结果的，或者中标、中标供应商放弃中标、中标项目的，应当依法承担法律责任。 </w:t>
      </w:r>
    </w:p>
    <w:p>
      <w:pPr>
        <w:spacing w:line="400" w:lineRule="exact"/>
        <w:ind w:firstLine="420" w:firstLineChars="200"/>
        <w:rPr>
          <w:rFonts w:ascii="宋体" w:hAnsi="宋体" w:cs="宋体"/>
          <w:color w:val="auto"/>
        </w:rPr>
      </w:pPr>
      <w:r>
        <w:rPr>
          <w:rFonts w:hint="eastAsia" w:ascii="宋体" w:hAnsi="宋体" w:cs="宋体"/>
          <w:color w:val="auto"/>
        </w:rPr>
        <w:t xml:space="preserve">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中标的；（二）采取不正当手段诋毁、排挤其他供应商的；（三）与采购单位、其他供应商或者招标代理机构恶意串通的；（四）向采购人、采购代理机构行贿或者提供其他不正当利益的；（五）在招标采购过程中与采购人进行协商谈判的；（六）拒绝有关部门监督检查或者提供虚假情况的。 </w:t>
      </w:r>
    </w:p>
    <w:p>
      <w:pPr>
        <w:spacing w:line="400" w:lineRule="exact"/>
        <w:ind w:firstLine="420" w:firstLineChars="200"/>
        <w:rPr>
          <w:rFonts w:ascii="宋体" w:hAnsi="宋体" w:cs="宋体"/>
          <w:color w:val="auto"/>
        </w:rPr>
      </w:pPr>
      <w:r>
        <w:rPr>
          <w:rFonts w:hint="eastAsia" w:ascii="宋体" w:hAnsi="宋体" w:cs="宋体"/>
          <w:color w:val="auto"/>
        </w:rPr>
        <w:t xml:space="preserve">供应商有前款第（一）至（五）项情形之一的，中标、中标无效。 </w:t>
      </w:r>
    </w:p>
    <w:p>
      <w:pPr>
        <w:spacing w:line="400" w:lineRule="exact"/>
        <w:ind w:firstLine="420" w:firstLineChars="200"/>
        <w:rPr>
          <w:rFonts w:ascii="宋体" w:hAnsi="宋体" w:cs="宋体"/>
          <w:b/>
          <w:bCs/>
          <w:color w:val="auto"/>
        </w:rPr>
      </w:pPr>
      <w:r>
        <w:rPr>
          <w:rFonts w:hint="eastAsia" w:ascii="宋体" w:hAnsi="宋体" w:cs="宋体"/>
          <w:color w:val="auto"/>
        </w:rPr>
        <w:t xml:space="preserve">第七十九条  政府采购当事人有本法第七十一条、第七十二条、第七十七条违法行为之一，给他人造成损失的，并应依照有关民事法律规定承担民事责任。 </w:t>
      </w:r>
    </w:p>
    <w:p>
      <w:pPr>
        <w:spacing w:line="400" w:lineRule="exact"/>
        <w:rPr>
          <w:rFonts w:ascii="宋体" w:hAnsi="宋体" w:cs="宋体"/>
          <w:b/>
          <w:bCs/>
          <w:color w:val="auto"/>
        </w:rPr>
      </w:pPr>
    </w:p>
    <w:p>
      <w:pPr>
        <w:spacing w:line="400" w:lineRule="exact"/>
        <w:rPr>
          <w:rFonts w:ascii="宋体" w:hAnsi="宋体" w:cs="宋体"/>
          <w:b/>
          <w:bCs/>
          <w:color w:val="auto"/>
        </w:rPr>
      </w:pPr>
      <w:r>
        <w:rPr>
          <w:rFonts w:hint="eastAsia" w:ascii="宋体" w:hAnsi="宋体" w:cs="宋体"/>
          <w:b/>
          <w:bCs/>
          <w:color w:val="auto"/>
        </w:rPr>
        <w:t>《中华人民共和国合同法》有关规定：</w:t>
      </w:r>
    </w:p>
    <w:p>
      <w:pPr>
        <w:spacing w:line="400" w:lineRule="exact"/>
        <w:ind w:firstLine="420" w:firstLineChars="200"/>
        <w:rPr>
          <w:rFonts w:ascii="宋体" w:hAnsi="宋体" w:cs="宋体"/>
          <w:color w:val="auto"/>
        </w:rPr>
      </w:pPr>
      <w:r>
        <w:rPr>
          <w:rFonts w:hint="eastAsia" w:ascii="宋体" w:hAnsi="宋体" w:cs="宋体"/>
          <w:color w:val="auto"/>
        </w:rPr>
        <w:t>第四十二条：当事人在订立合同过程中有下列情形之一，给对方造成损失的，应当承担损害赔偿责任：</w:t>
      </w:r>
    </w:p>
    <w:p>
      <w:pPr>
        <w:spacing w:line="400" w:lineRule="exact"/>
        <w:ind w:firstLine="420" w:firstLineChars="200"/>
        <w:rPr>
          <w:rFonts w:ascii="宋体" w:hAnsi="宋体" w:cs="宋体"/>
          <w:color w:val="auto"/>
        </w:rPr>
      </w:pPr>
      <w:r>
        <w:rPr>
          <w:rFonts w:hint="eastAsia" w:ascii="宋体" w:hAnsi="宋体" w:cs="宋体"/>
          <w:color w:val="auto"/>
        </w:rPr>
        <w:t>（一）假借订立合同，恶意进行磋商；</w:t>
      </w:r>
    </w:p>
    <w:p>
      <w:pPr>
        <w:pStyle w:val="49"/>
        <w:ind w:firstLine="422"/>
        <w:rPr>
          <w:rFonts w:hAnsi="宋体" w:cs="宋体"/>
          <w:bCs/>
          <w:color w:val="auto"/>
          <w:szCs w:val="24"/>
        </w:rPr>
      </w:pPr>
      <w:r>
        <w:rPr>
          <w:rFonts w:hint="eastAsia" w:hAnsi="宋体" w:cs="宋体"/>
          <w:bCs/>
          <w:color w:val="auto"/>
          <w:szCs w:val="24"/>
        </w:rPr>
        <w:t>（二）故意隐瞒与订立合同有关的重要事实或者提供虚假情况；</w:t>
      </w:r>
    </w:p>
    <w:p>
      <w:pPr>
        <w:pStyle w:val="29"/>
        <w:spacing w:line="400" w:lineRule="exact"/>
        <w:ind w:firstLine="420" w:firstLineChars="200"/>
        <w:rPr>
          <w:rFonts w:hAnsi="宋体" w:cs="宋体"/>
          <w:b/>
          <w:bCs/>
          <w:color w:val="auto"/>
        </w:rPr>
      </w:pPr>
      <w:r>
        <w:rPr>
          <w:rFonts w:hint="eastAsia" w:hAnsi="宋体" w:cs="宋体"/>
          <w:color w:val="auto"/>
        </w:rPr>
        <w:t>（三）有其他违背诚实信用原则的行为。</w:t>
      </w:r>
    </w:p>
    <w:p>
      <w:pPr>
        <w:pStyle w:val="29"/>
        <w:spacing w:line="360" w:lineRule="exact"/>
        <w:ind w:firstLine="840"/>
        <w:rPr>
          <w:rFonts w:hAnsi="宋体" w:cs="宋体"/>
          <w:color w:val="auto"/>
          <w:u w:val="single"/>
        </w:rPr>
      </w:pPr>
    </w:p>
    <w:p>
      <w:pPr>
        <w:pStyle w:val="29"/>
        <w:snapToGrid w:val="0"/>
        <w:spacing w:line="360" w:lineRule="exact"/>
        <w:jc w:val="center"/>
        <w:rPr>
          <w:rFonts w:hAnsi="宋体" w:cs="宋体"/>
          <w:b/>
          <w:color w:val="auto"/>
          <w:sz w:val="32"/>
          <w:szCs w:val="32"/>
        </w:rPr>
      </w:pPr>
    </w:p>
    <w:p>
      <w:pPr>
        <w:snapToGrid w:val="0"/>
        <w:jc w:val="center"/>
        <w:rPr>
          <w:rFonts w:ascii="宋体" w:hAnsi="宋体" w:cs="宋体"/>
          <w:b/>
          <w:color w:val="auto"/>
          <w:sz w:val="44"/>
          <w:szCs w:val="44"/>
        </w:rPr>
      </w:pPr>
      <w:r>
        <w:rPr>
          <w:rFonts w:hint="eastAsia" w:ascii="宋体" w:hAnsi="宋体" w:cs="宋体"/>
          <w:b/>
          <w:color w:val="auto"/>
          <w:sz w:val="44"/>
          <w:szCs w:val="44"/>
        </w:rPr>
        <w:br w:type="page"/>
      </w:r>
    </w:p>
    <w:p>
      <w:pPr>
        <w:snapToGrid w:val="0"/>
        <w:jc w:val="center"/>
        <w:rPr>
          <w:rFonts w:ascii="宋体" w:hAnsi="宋体" w:cs="宋体"/>
          <w:b/>
          <w:color w:val="auto"/>
          <w:sz w:val="44"/>
          <w:szCs w:val="44"/>
        </w:rPr>
      </w:pPr>
    </w:p>
    <w:p>
      <w:pPr>
        <w:snapToGrid w:val="0"/>
        <w:jc w:val="center"/>
        <w:rPr>
          <w:rFonts w:ascii="宋体" w:hAnsi="宋体" w:cs="宋体"/>
          <w:b/>
          <w:color w:val="auto"/>
          <w:sz w:val="44"/>
          <w:szCs w:val="44"/>
        </w:rPr>
      </w:pPr>
    </w:p>
    <w:p>
      <w:pPr>
        <w:snapToGrid w:val="0"/>
        <w:jc w:val="center"/>
        <w:rPr>
          <w:rFonts w:ascii="宋体" w:hAnsi="宋体" w:cs="宋体"/>
          <w:b/>
          <w:color w:val="auto"/>
          <w:sz w:val="44"/>
          <w:szCs w:val="44"/>
        </w:rPr>
      </w:pPr>
    </w:p>
    <w:p>
      <w:pPr>
        <w:snapToGrid w:val="0"/>
        <w:jc w:val="center"/>
        <w:rPr>
          <w:rFonts w:ascii="宋体" w:hAnsi="宋体" w:cs="宋体"/>
          <w:b/>
          <w:color w:val="auto"/>
          <w:sz w:val="44"/>
          <w:szCs w:val="44"/>
        </w:rPr>
      </w:pPr>
    </w:p>
    <w:p>
      <w:pPr>
        <w:snapToGrid w:val="0"/>
        <w:jc w:val="center"/>
        <w:rPr>
          <w:rFonts w:ascii="宋体" w:hAnsi="宋体" w:cs="宋体"/>
          <w:b/>
          <w:color w:val="auto"/>
          <w:sz w:val="44"/>
          <w:szCs w:val="44"/>
        </w:rPr>
      </w:pPr>
    </w:p>
    <w:p>
      <w:pPr>
        <w:snapToGrid w:val="0"/>
        <w:jc w:val="center"/>
        <w:rPr>
          <w:rFonts w:ascii="宋体" w:hAnsi="宋体" w:cs="宋体"/>
          <w:b/>
          <w:color w:val="auto"/>
          <w:sz w:val="44"/>
          <w:szCs w:val="44"/>
        </w:rPr>
      </w:pPr>
    </w:p>
    <w:p>
      <w:pPr>
        <w:snapToGrid w:val="0"/>
        <w:jc w:val="center"/>
        <w:rPr>
          <w:rFonts w:ascii="宋体" w:hAnsi="宋体" w:cs="宋体"/>
          <w:b/>
          <w:color w:val="auto"/>
          <w:sz w:val="44"/>
          <w:szCs w:val="44"/>
        </w:rPr>
      </w:pPr>
    </w:p>
    <w:p>
      <w:pPr>
        <w:snapToGrid w:val="0"/>
        <w:jc w:val="center"/>
        <w:rPr>
          <w:rFonts w:ascii="宋体" w:hAnsi="宋体" w:cs="宋体"/>
          <w:b/>
          <w:color w:val="auto"/>
          <w:sz w:val="44"/>
          <w:szCs w:val="44"/>
        </w:rPr>
      </w:pPr>
    </w:p>
    <w:p>
      <w:pPr>
        <w:snapToGrid w:val="0"/>
        <w:jc w:val="center"/>
        <w:rPr>
          <w:rFonts w:ascii="宋体" w:hAnsi="宋体" w:cs="宋体"/>
          <w:b/>
          <w:color w:val="auto"/>
          <w:sz w:val="44"/>
          <w:szCs w:val="44"/>
        </w:rPr>
      </w:pPr>
    </w:p>
    <w:p>
      <w:pPr>
        <w:pStyle w:val="143"/>
        <w:widowControl w:val="0"/>
        <w:spacing w:afterLines="0"/>
        <w:ind w:firstLine="0" w:firstLineChars="0"/>
        <w:jc w:val="center"/>
        <w:outlineLvl w:val="0"/>
        <w:rPr>
          <w:rFonts w:ascii="宋体" w:hAnsi="宋体" w:cs="宋体"/>
          <w:b/>
          <w:color w:val="auto"/>
          <w:sz w:val="44"/>
          <w:szCs w:val="44"/>
        </w:rPr>
      </w:pPr>
      <w:bookmarkStart w:id="74" w:name="_Toc494352117"/>
      <w:bookmarkStart w:id="75" w:name="_Toc26818"/>
      <w:r>
        <w:rPr>
          <w:rFonts w:hint="eastAsia" w:ascii="宋体" w:hAnsi="宋体" w:cs="宋体"/>
          <w:b/>
          <w:color w:val="auto"/>
          <w:sz w:val="44"/>
          <w:szCs w:val="44"/>
        </w:rPr>
        <w:t>第三章  采购需求</w:t>
      </w:r>
      <w:bookmarkEnd w:id="74"/>
      <w:r>
        <w:rPr>
          <w:rFonts w:hint="eastAsia" w:ascii="宋体" w:hAnsi="宋体" w:cs="宋体"/>
          <w:b/>
          <w:color w:val="auto"/>
          <w:sz w:val="44"/>
          <w:szCs w:val="44"/>
        </w:rPr>
        <w:t>和说明</w:t>
      </w:r>
      <w:bookmarkEnd w:id="75"/>
    </w:p>
    <w:p>
      <w:pPr>
        <w:pStyle w:val="143"/>
        <w:widowControl w:val="0"/>
        <w:spacing w:afterLines="0"/>
        <w:ind w:firstLine="0" w:firstLineChars="0"/>
        <w:jc w:val="center"/>
        <w:rPr>
          <w:rFonts w:ascii="宋体" w:hAnsi="宋体" w:cs="宋体"/>
          <w:b/>
          <w:color w:val="auto"/>
          <w:sz w:val="44"/>
          <w:szCs w:val="44"/>
        </w:rPr>
        <w:sectPr>
          <w:headerReference r:id="rId8" w:type="default"/>
          <w:footerReference r:id="rId10" w:type="default"/>
          <w:headerReference r:id="rId9" w:type="even"/>
          <w:footerReference r:id="rId11" w:type="even"/>
          <w:type w:val="oddPage"/>
          <w:pgSz w:w="11906" w:h="16838"/>
          <w:pgMar w:top="1247" w:right="1247" w:bottom="1247" w:left="1247" w:header="851" w:footer="851" w:gutter="0"/>
          <w:pgNumType w:start="1"/>
          <w:cols w:space="720" w:num="1"/>
          <w:docGrid w:type="lines" w:linePitch="312" w:charSpace="0"/>
        </w:sectPr>
      </w:pPr>
    </w:p>
    <w:p>
      <w:pPr>
        <w:spacing w:line="400" w:lineRule="exact"/>
        <w:jc w:val="center"/>
        <w:outlineLvl w:val="1"/>
        <w:rPr>
          <w:rFonts w:ascii="宋体" w:hAnsi="宋体" w:cs="宋体"/>
          <w:b/>
          <w:color w:val="auto"/>
          <w:sz w:val="32"/>
        </w:rPr>
      </w:pPr>
      <w:bookmarkStart w:id="76" w:name="_Toc362716822"/>
      <w:bookmarkStart w:id="77" w:name="_Toc421533957"/>
      <w:bookmarkStart w:id="78" w:name="_Toc27564"/>
      <w:bookmarkStart w:id="79" w:name="_Toc462136099"/>
      <w:bookmarkStart w:id="80" w:name="_Toc497204249"/>
      <w:r>
        <w:rPr>
          <w:rFonts w:hint="eastAsia" w:ascii="宋体" w:hAnsi="宋体" w:cs="宋体"/>
          <w:b/>
          <w:color w:val="auto"/>
          <w:sz w:val="32"/>
        </w:rPr>
        <w:t>项目需求</w:t>
      </w:r>
      <w:bookmarkEnd w:id="76"/>
      <w:bookmarkEnd w:id="77"/>
      <w:r>
        <w:rPr>
          <w:rFonts w:hint="eastAsia" w:ascii="宋体" w:hAnsi="宋体" w:cs="宋体"/>
          <w:b/>
          <w:color w:val="auto"/>
          <w:sz w:val="32"/>
        </w:rPr>
        <w:t>一览表</w:t>
      </w:r>
      <w:bookmarkEnd w:id="78"/>
      <w:bookmarkEnd w:id="79"/>
      <w:bookmarkEnd w:id="80"/>
    </w:p>
    <w:p>
      <w:pPr>
        <w:pStyle w:val="29"/>
        <w:spacing w:line="360" w:lineRule="exact"/>
        <w:rPr>
          <w:rFonts w:hAnsi="宋体" w:cs="宋体"/>
          <w:b/>
          <w:color w:val="auto"/>
        </w:rPr>
      </w:pPr>
      <w:r>
        <w:rPr>
          <w:rFonts w:hint="eastAsia" w:hAnsi="宋体" w:cs="宋体"/>
          <w:b/>
          <w:color w:val="auto"/>
        </w:rPr>
        <w:t>一、采购说明：</w:t>
      </w:r>
    </w:p>
    <w:p>
      <w:pPr>
        <w:widowControl/>
        <w:spacing w:line="360" w:lineRule="exact"/>
        <w:ind w:firstLine="420"/>
        <w:jc w:val="left"/>
        <w:rPr>
          <w:rFonts w:ascii="宋体" w:hAnsi="宋体" w:cs="宋体"/>
          <w:b/>
          <w:bCs/>
          <w:color w:val="auto"/>
          <w:kern w:val="0"/>
          <w:szCs w:val="21"/>
        </w:rPr>
      </w:pPr>
      <w:r>
        <w:rPr>
          <w:rFonts w:hint="eastAsia" w:ascii="宋体" w:hAnsi="宋体" w:cs="宋体"/>
          <w:color w:val="auto"/>
          <w:kern w:val="0"/>
          <w:szCs w:val="21"/>
        </w:rPr>
        <w:t>1、本项目需求的货物品牌型号、技术参数及其性能（配置）仅起参考作用，投标单位可选用其他品牌型号替代，但这些替代的产品要实质上相当于或优于参考品牌型号及其技术参数性能（配置）要求；</w:t>
      </w:r>
      <w:r>
        <w:rPr>
          <w:rFonts w:hint="eastAsia" w:ascii="宋体" w:hAnsi="宋体" w:cs="宋体"/>
          <w:bCs/>
          <w:color w:val="auto"/>
          <w:kern w:val="0"/>
          <w:szCs w:val="21"/>
        </w:rPr>
        <w:t>参考品牌型号规格及技术参数不明确或有误的，或投标单位选用其他品牌型号替代的，请以详细、正确的品牌型号、技术参数（配置）同时填写投标报价表和技术规格偏离表</w:t>
      </w:r>
      <w:r>
        <w:rPr>
          <w:rFonts w:hint="eastAsia" w:ascii="宋体" w:hAnsi="宋体" w:cs="宋体"/>
          <w:b/>
          <w:bCs/>
          <w:color w:val="auto"/>
          <w:kern w:val="0"/>
          <w:szCs w:val="21"/>
        </w:rPr>
        <w:t>。</w:t>
      </w:r>
    </w:p>
    <w:p>
      <w:pPr>
        <w:widowControl/>
        <w:spacing w:line="360" w:lineRule="exact"/>
        <w:ind w:firstLine="420"/>
        <w:jc w:val="left"/>
        <w:rPr>
          <w:rFonts w:ascii="宋体" w:hAnsi="宋体" w:cs="宋体"/>
          <w:color w:val="auto"/>
          <w:kern w:val="0"/>
          <w:szCs w:val="21"/>
        </w:rPr>
      </w:pPr>
      <w:r>
        <w:rPr>
          <w:rFonts w:hint="eastAsia" w:ascii="宋体" w:hAnsi="宋体" w:cs="宋体"/>
          <w:bCs/>
          <w:color w:val="auto"/>
          <w:kern w:val="0"/>
          <w:szCs w:val="21"/>
        </w:rPr>
        <w:t>2、所报产品须注明品牌、型号或生产厂家，并附详细技术参数（配置）和有无技术规格偏离，否则作无效报价处理</w:t>
      </w:r>
      <w:r>
        <w:rPr>
          <w:rFonts w:hint="eastAsia" w:ascii="宋体" w:hAnsi="宋体" w:cs="宋体"/>
          <w:color w:val="auto"/>
          <w:kern w:val="0"/>
          <w:szCs w:val="21"/>
        </w:rPr>
        <w:t>。</w:t>
      </w:r>
    </w:p>
    <w:p>
      <w:pPr>
        <w:widowControl/>
        <w:spacing w:line="360" w:lineRule="exact"/>
        <w:ind w:firstLine="420"/>
        <w:jc w:val="left"/>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bCs/>
          <w:color w:val="auto"/>
          <w:kern w:val="0"/>
          <w:szCs w:val="21"/>
        </w:rPr>
        <w:t>评标时，若评标小组认为投标产品某个技术参数或要求为某一品牌所特有，则该参数将不作为实质性响应条件。投标单位应根据自身提供的货物和服务的真实情况填写技术偏离表，否则评标小组将做出对其不利的评判。</w:t>
      </w:r>
    </w:p>
    <w:p>
      <w:pPr>
        <w:widowControl/>
        <w:spacing w:line="360" w:lineRule="exact"/>
        <w:ind w:firstLine="315" w:firstLineChars="150"/>
        <w:rPr>
          <w:rFonts w:hint="eastAsia" w:ascii="宋体" w:hAnsi="宋体" w:cs="宋体"/>
          <w:color w:val="auto"/>
          <w:szCs w:val="21"/>
        </w:rPr>
      </w:pPr>
      <w:r>
        <w:rPr>
          <w:rFonts w:hint="eastAsia" w:ascii="宋体" w:hAnsi="宋体" w:cs="宋体"/>
          <w:color w:val="auto"/>
          <w:kern w:val="0"/>
          <w:szCs w:val="21"/>
        </w:rPr>
        <w:t>4、</w:t>
      </w:r>
      <w:r>
        <w:rPr>
          <w:rFonts w:hint="eastAsia" w:ascii="宋体" w:hAnsi="宋体" w:cs="宋体"/>
          <w:bCs/>
          <w:color w:val="auto"/>
          <w:kern w:val="0"/>
          <w:szCs w:val="21"/>
        </w:rPr>
        <w:t>对于技术指标和参数的应答，应按产品的实际品牌型号填写真实的技术参数值，不允许简单地复印招标文件的技术规格作为投标应答，或提供虚假技术参数，如在评标时发现这种情况将被作废标处理</w:t>
      </w:r>
      <w:r>
        <w:rPr>
          <w:rFonts w:hint="eastAsia" w:ascii="宋体" w:hAnsi="宋体" w:cs="宋体"/>
          <w:color w:val="auto"/>
          <w:szCs w:val="21"/>
        </w:rPr>
        <w:t>。</w:t>
      </w:r>
    </w:p>
    <w:p>
      <w:pPr>
        <w:pStyle w:val="2"/>
        <w:ind w:left="0" w:leftChars="0" w:firstLine="0" w:firstLineChars="0"/>
        <w:rPr>
          <w:rFonts w:hint="default" w:ascii="宋体" w:hAnsi="宋体" w:eastAsia="宋体" w:cs="宋体"/>
          <w:color w:val="auto"/>
          <w:szCs w:val="21"/>
          <w:lang w:val="en-US" w:eastAsia="zh-CN"/>
        </w:rPr>
      </w:pPr>
      <w:r>
        <w:rPr>
          <w:rFonts w:hint="eastAsia" w:hAnsi="宋体" w:cs="宋体"/>
          <w:color w:val="auto"/>
          <w:szCs w:val="21"/>
          <w:lang w:val="en-US" w:eastAsia="zh-CN"/>
        </w:rPr>
        <w:t xml:space="preserve">   5、本项目的核心产品为：</w:t>
      </w:r>
      <w:r>
        <w:rPr>
          <w:rFonts w:hint="eastAsia" w:ascii="宋体" w:hAnsi="宋体" w:eastAsia="宋体" w:cs="宋体"/>
          <w:kern w:val="0"/>
          <w:sz w:val="21"/>
          <w:szCs w:val="21"/>
          <w:lang w:val="en-US" w:eastAsia="zh-CN" w:bidi="ar"/>
        </w:rPr>
        <w:t>智能通络治疗仪</w:t>
      </w:r>
      <w:r>
        <w:rPr>
          <w:rFonts w:hint="eastAsia" w:hAnsi="宋体" w:cs="宋体"/>
          <w:kern w:val="0"/>
          <w:sz w:val="21"/>
          <w:szCs w:val="21"/>
          <w:lang w:val="en-US" w:eastAsia="zh-CN" w:bidi="ar"/>
        </w:rPr>
        <w:t>。</w:t>
      </w:r>
    </w:p>
    <w:p>
      <w:pPr>
        <w:pStyle w:val="2"/>
        <w:rPr>
          <w:rFonts w:hint="eastAsia" w:ascii="宋体" w:hAnsi="宋体" w:cs="宋体"/>
          <w:color w:val="auto"/>
          <w:szCs w:val="21"/>
        </w:rPr>
      </w:pPr>
    </w:p>
    <w:tbl>
      <w:tblPr>
        <w:tblStyle w:val="53"/>
        <w:tblW w:w="8607" w:type="dxa"/>
        <w:tblInd w:w="250" w:type="dxa"/>
        <w:shd w:val="clear" w:color="auto" w:fill="auto"/>
        <w:tblLayout w:type="fixed"/>
        <w:tblCellMar>
          <w:top w:w="0" w:type="dxa"/>
          <w:left w:w="108" w:type="dxa"/>
          <w:bottom w:w="0" w:type="dxa"/>
          <w:right w:w="108" w:type="dxa"/>
        </w:tblCellMar>
      </w:tblPr>
      <w:tblGrid>
        <w:gridCol w:w="537"/>
        <w:gridCol w:w="1388"/>
        <w:gridCol w:w="5236"/>
        <w:gridCol w:w="1446"/>
      </w:tblGrid>
      <w:tr>
        <w:tblPrEx>
          <w:shd w:val="clear" w:color="auto" w:fill="auto"/>
          <w:tblCellMar>
            <w:top w:w="0" w:type="dxa"/>
            <w:left w:w="108" w:type="dxa"/>
            <w:bottom w:w="0" w:type="dxa"/>
            <w:right w:w="108" w:type="dxa"/>
          </w:tblCellMar>
        </w:tblPrEx>
        <w:trPr>
          <w:trHeight w:val="810" w:hRule="atLeast"/>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序号</w:t>
            </w:r>
          </w:p>
        </w:tc>
        <w:tc>
          <w:tcPr>
            <w:tcW w:w="13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产品名称</w:t>
            </w:r>
          </w:p>
        </w:tc>
        <w:tc>
          <w:tcPr>
            <w:tcW w:w="52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技术参数要求</w:t>
            </w:r>
          </w:p>
        </w:tc>
        <w:tc>
          <w:tcPr>
            <w:tcW w:w="14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采购数量</w:t>
            </w:r>
          </w:p>
        </w:tc>
      </w:tr>
      <w:tr>
        <w:tblPrEx>
          <w:shd w:val="clear" w:color="auto" w:fill="auto"/>
          <w:tblCellMar>
            <w:top w:w="0" w:type="dxa"/>
            <w:left w:w="108" w:type="dxa"/>
            <w:bottom w:w="0" w:type="dxa"/>
            <w:right w:w="108" w:type="dxa"/>
          </w:tblCellMar>
        </w:tblPrEx>
        <w:trPr>
          <w:trHeight w:val="2340"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w:t>
            </w:r>
          </w:p>
        </w:tc>
        <w:tc>
          <w:tcPr>
            <w:tcW w:w="13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双摇豪华床</w:t>
            </w:r>
          </w:p>
        </w:tc>
        <w:tc>
          <w:tcPr>
            <w:tcW w:w="52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1、规格： 2080*980*500mm</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2、功能：背部升降0～85°，腿部升降0～45°，床头尾板可拆。</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3、材质及要求：床架、床板碳钢制造，并经二度磷化镀锌后静电抗菌粉体喷涂，ABS强化床头尾板，床面一次冲压成型，有透气长孔，铝合金护栏、前后侧伏，使用安全、便捷、牢固、不夹手、不积灰尘，手摇系统具有空转限位结构装置，延长手摇系统使用年限。</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4、标准配置：6公分双摇床垫1张，ABS床头尾板1对，手摇安全限位摇杆2支，4个5寸豪华双刹静音轮，输液架插孔4个，输液杆1支，铝合金护栏1付，引流挂钩2个，病号插卡1个，杂物架1个。</w:t>
            </w:r>
          </w:p>
        </w:tc>
        <w:tc>
          <w:tcPr>
            <w:tcW w:w="14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198</w:t>
            </w:r>
          </w:p>
        </w:tc>
      </w:tr>
      <w:tr>
        <w:tblPrEx>
          <w:shd w:val="clear" w:color="auto" w:fill="auto"/>
          <w:tblCellMar>
            <w:top w:w="0" w:type="dxa"/>
            <w:left w:w="108" w:type="dxa"/>
            <w:bottom w:w="0" w:type="dxa"/>
            <w:right w:w="108" w:type="dxa"/>
          </w:tblCellMar>
        </w:tblPrEx>
        <w:trPr>
          <w:trHeight w:val="1860"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w:t>
            </w:r>
          </w:p>
        </w:tc>
        <w:tc>
          <w:tcPr>
            <w:tcW w:w="13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床头柜</w:t>
            </w:r>
          </w:p>
        </w:tc>
        <w:tc>
          <w:tcPr>
            <w:tcW w:w="52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1、规格：480×460×820mm</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2、材质：采用进口ABS材料注塑而成。</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3、所有配件ABS注塑而成，装配采用锁扣方式紧密牢固，柜两侧有折叠毛巾挂架，餐板一块，脚轮4个、一个抽屉双开柜门， 柜内有层板，光泽、耐用，防水、防霉</w:t>
            </w:r>
          </w:p>
        </w:tc>
        <w:tc>
          <w:tcPr>
            <w:tcW w:w="14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200</w:t>
            </w:r>
          </w:p>
        </w:tc>
      </w:tr>
      <w:tr>
        <w:tblPrEx>
          <w:shd w:val="clear" w:color="auto" w:fill="auto"/>
          <w:tblCellMar>
            <w:top w:w="0" w:type="dxa"/>
            <w:left w:w="108" w:type="dxa"/>
            <w:bottom w:w="0" w:type="dxa"/>
            <w:right w:w="108" w:type="dxa"/>
          </w:tblCellMar>
        </w:tblPrEx>
        <w:trPr>
          <w:trHeight w:val="2610"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3</w:t>
            </w:r>
          </w:p>
        </w:tc>
        <w:tc>
          <w:tcPr>
            <w:tcW w:w="13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三摇升降骨科豪华床</w:t>
            </w:r>
          </w:p>
        </w:tc>
        <w:tc>
          <w:tcPr>
            <w:tcW w:w="52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1、规格： 2120*970*500/1860mm</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2、功能：背部升降0~85°，腿部升降0~45°，整体升降230mm， ABS床头尾板可拆。</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3、材质及要求：床架、床板碳钢制造，并经二度磷化镀锌后静电抗菌粉体喷涂，ABS强化床头尾板，床面一-次冲压成型，有透气长孔，铝合金护栏、前后侧伏，使用安全、便捷、牢固、不夹手、不积灰尘，手摇系统具有空转限位结构装置，延长手摇系统使用年限。</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4、标准配置： 骨科床垫1张，ABS床头尾板1对，铝合金护栏1对，手摇安全限位摇杆3支，输液架插孔4个，引流袋挂钩4个，5寸中控静音轮4个，中间刹车脚踏1套，杂物架1个，不锈钢多功能骨科牵引架1套。</w:t>
            </w:r>
          </w:p>
        </w:tc>
        <w:tc>
          <w:tcPr>
            <w:tcW w:w="14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w:t>
            </w:r>
          </w:p>
        </w:tc>
      </w:tr>
      <w:tr>
        <w:tblPrEx>
          <w:tblCellMar>
            <w:top w:w="0" w:type="dxa"/>
            <w:left w:w="108" w:type="dxa"/>
            <w:bottom w:w="0" w:type="dxa"/>
            <w:right w:w="108" w:type="dxa"/>
          </w:tblCellMar>
        </w:tblPrEx>
        <w:trPr>
          <w:trHeight w:val="4860"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4</w:t>
            </w:r>
          </w:p>
        </w:tc>
        <w:tc>
          <w:tcPr>
            <w:tcW w:w="13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智能通络治疗仪</w:t>
            </w:r>
          </w:p>
        </w:tc>
        <w:tc>
          <w:tcPr>
            <w:tcW w:w="5236" w:type="dxa"/>
            <w:tcBorders>
              <w:top w:val="nil"/>
              <w:left w:val="nil"/>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设备用途:设备可在中医科、神经内科、骨伤科、康复科等科室使用，以便开展整体辨证治疗技术。2、主要技术参数*2.1 中医辨证处方调制：2～9kHz &amp; 0～150Hz2.2 调制方式：连续调制/间歇调制/断续调制/变频调制*2.3 治疗深度调节：2～9分级可调2.4 调幅度：0～100﹪分段可调2.5 输出电流：≤110mA2.6 差频变化：差频范围0～96 Hz  变化周期1～10s2.7 存储容量：内存48个处方2.8 输出通道：四路输出可同步或异步工作*2.9 极板配置：吸附电极，具有拔罐和治疗双重作用</w:t>
            </w:r>
            <w:r>
              <w:rPr>
                <w:rFonts w:hint="eastAsia" w:ascii="宋体" w:hAnsi="宋体" w:cs="宋体"/>
                <w:kern w:val="0"/>
                <w:sz w:val="21"/>
                <w:szCs w:val="21"/>
                <w:lang w:val="en-US" w:eastAsia="zh-CN" w:bidi="ar"/>
              </w:rPr>
              <w:t xml:space="preserve"> 3.0</w:t>
            </w:r>
            <w:r>
              <w:rPr>
                <w:rFonts w:hint="eastAsia" w:ascii="宋体" w:hAnsi="宋体" w:eastAsia="宋体" w:cs="宋体"/>
                <w:kern w:val="0"/>
                <w:sz w:val="21"/>
                <w:szCs w:val="21"/>
                <w:lang w:val="en-US" w:eastAsia="zh-CN" w:bidi="ar"/>
              </w:rPr>
              <w:t>音频治疗频率1000~3000 Hz</w:t>
            </w:r>
            <w:r>
              <w:rPr>
                <w:rFonts w:hint="eastAsia" w:ascii="宋体" w:hAnsi="宋体" w:cs="宋体"/>
                <w:kern w:val="0"/>
                <w:sz w:val="21"/>
                <w:szCs w:val="21"/>
                <w:lang w:val="en-US" w:eastAsia="zh-CN" w:bidi="ar"/>
              </w:rPr>
              <w:t xml:space="preserve"> </w:t>
            </w:r>
            <w:r>
              <w:rPr>
                <w:rFonts w:hint="eastAsia" w:ascii="宋体" w:hAnsi="宋体" w:eastAsia="宋体" w:cs="宋体"/>
                <w:kern w:val="0"/>
                <w:sz w:val="21"/>
                <w:szCs w:val="21"/>
                <w:lang w:val="en-US" w:eastAsia="zh-CN" w:bidi="ar"/>
              </w:rPr>
              <w:t>3 主要技术特点*3.1 集合了中医治疗、西医治疗、音频电治疗、干扰电治3.2 治疗深度调节，治疗保持功能3.3 触摸式按键可同步或异步操作*3.4 “补泻”功能的处方应用突出辨证施治3.5 国家中医药管理局首批推荐产品</w:t>
            </w:r>
          </w:p>
        </w:tc>
        <w:tc>
          <w:tcPr>
            <w:tcW w:w="14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w:t>
            </w:r>
          </w:p>
        </w:tc>
      </w:tr>
      <w:tr>
        <w:tblPrEx>
          <w:shd w:val="clear" w:color="auto" w:fill="auto"/>
          <w:tblCellMar>
            <w:top w:w="0" w:type="dxa"/>
            <w:left w:w="108" w:type="dxa"/>
            <w:bottom w:w="0" w:type="dxa"/>
            <w:right w:w="108" w:type="dxa"/>
          </w:tblCellMar>
        </w:tblPrEx>
        <w:trPr>
          <w:trHeight w:val="4500"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5</w:t>
            </w:r>
          </w:p>
        </w:tc>
        <w:tc>
          <w:tcPr>
            <w:tcW w:w="13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湿热敷装置</w:t>
            </w:r>
          </w:p>
        </w:tc>
        <w:tc>
          <w:tcPr>
            <w:tcW w:w="52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 适用范围：适用于软组织扭挫伤恢复期，肢纤维组织炎，肩关节周围炎，慢性关节炎，关节纤维强直，坐骨神经痛等各种物理治疗和手法治疗前的预先治疗。</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 技术参数</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1.1 触摸控制面板，操作简单，显示直观；</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1.2 *恒温控制，温度设定范围50~95℃可调；</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1.3 加热温度实时显示；</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1.4 工作状态指示灯实时显示：加热、保温、故障。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1.5 *自动、手动两种模式可选择；</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自动模式：每天6时自动开机加热，17时自动关机停止加热；</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手动模式：闭合电源开关，仪器开始加热；断开电源开关，仪器停止加热；</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1.6 *加热水箱容积：70L；</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1.7 加热水箱功率：1200W；</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1.8 加热时间：从室温25℃加热到75℃不超过200min;</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1.9 冷却时间：室温下从75℃开始冷却到25℃不低于200min，高保温性能；</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1.10 *双重温度保护：设定温度恒温保护和超温断电保护；</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1.11 *低水位报警保护，保证装置安全运行。</w:t>
            </w:r>
          </w:p>
        </w:tc>
        <w:tc>
          <w:tcPr>
            <w:tcW w:w="14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w:t>
            </w:r>
          </w:p>
        </w:tc>
      </w:tr>
    </w:tbl>
    <w:p>
      <w:pPr>
        <w:spacing w:line="360" w:lineRule="exact"/>
        <w:rPr>
          <w:rFonts w:ascii="宋体" w:cs="宋体"/>
          <w:b/>
          <w:color w:val="auto"/>
          <w:sz w:val="28"/>
          <w:szCs w:val="28"/>
        </w:rPr>
      </w:pPr>
      <w:r>
        <w:rPr>
          <w:rFonts w:hint="eastAsia" w:ascii="宋体" w:hAnsi="宋体" w:cs="宋体"/>
          <w:b/>
          <w:color w:val="auto"/>
          <w:sz w:val="28"/>
          <w:szCs w:val="28"/>
        </w:rPr>
        <w:t>售后服务及其他要求：</w:t>
      </w:r>
    </w:p>
    <w:p>
      <w:pPr>
        <w:spacing w:line="360" w:lineRule="auto"/>
        <w:ind w:firstLine="240" w:firstLineChars="100"/>
        <w:rPr>
          <w:rFonts w:ascii="宋体" w:cs="宋体"/>
          <w:color w:val="auto"/>
          <w:sz w:val="24"/>
        </w:rPr>
      </w:pPr>
    </w:p>
    <w:p>
      <w:pPr>
        <w:spacing w:line="360" w:lineRule="auto"/>
        <w:ind w:firstLine="240" w:firstLineChars="100"/>
        <w:rPr>
          <w:rFonts w:ascii="宋体" w:cs="宋体"/>
          <w:color w:val="auto"/>
          <w:sz w:val="24"/>
        </w:rPr>
      </w:pPr>
      <w:r>
        <w:rPr>
          <w:rFonts w:hint="eastAsia" w:ascii="宋体" w:hAnsi="宋体" w:cs="宋体"/>
          <w:color w:val="auto"/>
          <w:sz w:val="24"/>
        </w:rPr>
        <w:t>（一）</w:t>
      </w:r>
      <w:r>
        <w:rPr>
          <w:rFonts w:hint="eastAsia" w:ascii="宋体" w:hAnsi="宋体" w:cs="宋体"/>
          <w:b/>
          <w:color w:val="auto"/>
          <w:sz w:val="24"/>
        </w:rPr>
        <w:t>售后服务要求：</w:t>
      </w:r>
    </w:p>
    <w:p>
      <w:pPr>
        <w:spacing w:line="360" w:lineRule="auto"/>
        <w:rPr>
          <w:rFonts w:ascii="宋体" w:cs="宋体"/>
          <w:b/>
          <w:color w:val="auto"/>
          <w:szCs w:val="21"/>
        </w:rPr>
      </w:pPr>
      <w:r>
        <w:rPr>
          <w:rFonts w:hint="eastAsia" w:ascii="宋体" w:hAnsi="宋体" w:cs="宋体"/>
          <w:b/>
          <w:color w:val="auto"/>
          <w:szCs w:val="21"/>
        </w:rPr>
        <w:t>第一服务要求：</w:t>
      </w:r>
    </w:p>
    <w:p>
      <w:pPr>
        <w:spacing w:line="360" w:lineRule="auto"/>
        <w:ind w:firstLine="315" w:firstLineChars="150"/>
        <w:rPr>
          <w:rFonts w:ascii="宋体" w:cs="宋体"/>
          <w:color w:val="auto"/>
          <w:szCs w:val="21"/>
        </w:rPr>
      </w:pPr>
      <w:r>
        <w:rPr>
          <w:rFonts w:ascii="宋体" w:hAnsi="宋体" w:cs="宋体"/>
          <w:color w:val="auto"/>
          <w:szCs w:val="21"/>
        </w:rPr>
        <w:t>1</w:t>
      </w:r>
      <w:r>
        <w:rPr>
          <w:rFonts w:hint="eastAsia" w:ascii="宋体" w:hAnsi="宋体" w:cs="宋体"/>
          <w:color w:val="auto"/>
          <w:szCs w:val="21"/>
        </w:rPr>
        <w:t>、中标方负责从设备及其配件到整套设备的交付使用。在交付使用期间，将会派专业技术服务人员到用户处进行指导。技术服务人员均经过厂家严格的技术培训及考核，并均持有相关产品厂家颁发的技术合格证书。设备在进行安装、调试运行等过程中损坏的或有缺陷的合同组件或零、部件可方便地得到修理和更换。</w:t>
      </w:r>
    </w:p>
    <w:p>
      <w:pPr>
        <w:spacing w:line="360" w:lineRule="auto"/>
        <w:ind w:firstLine="315" w:firstLineChars="150"/>
        <w:rPr>
          <w:rFonts w:ascii="宋体" w:cs="宋体"/>
          <w:color w:val="auto"/>
          <w:szCs w:val="21"/>
        </w:rPr>
      </w:pPr>
      <w:r>
        <w:rPr>
          <w:rFonts w:ascii="宋体" w:hAnsi="宋体" w:cs="宋体"/>
          <w:color w:val="auto"/>
          <w:szCs w:val="21"/>
        </w:rPr>
        <w:t>2</w:t>
      </w:r>
      <w:r>
        <w:rPr>
          <w:rFonts w:hint="eastAsia" w:ascii="宋体" w:hAnsi="宋体" w:cs="宋体"/>
          <w:color w:val="auto"/>
          <w:szCs w:val="21"/>
        </w:rPr>
        <w:t>、保修期：产品六个月内有故障如不能解决故障包换新机，整机免费保修根据招标参数中的保修期保修，包括硬件、软件、探头、接口配件、电路主板及其核心配件壹年免费保修，终身维修维护。</w:t>
      </w:r>
    </w:p>
    <w:p>
      <w:pPr>
        <w:spacing w:line="360" w:lineRule="auto"/>
        <w:rPr>
          <w:rFonts w:ascii="宋体" w:cs="宋体"/>
          <w:b/>
          <w:color w:val="auto"/>
          <w:szCs w:val="21"/>
        </w:rPr>
      </w:pPr>
      <w:r>
        <w:rPr>
          <w:rFonts w:hint="eastAsia" w:ascii="宋体" w:hAnsi="宋体" w:cs="宋体"/>
          <w:b/>
          <w:color w:val="auto"/>
          <w:szCs w:val="21"/>
        </w:rPr>
        <w:t>第二日常技术服务：</w:t>
      </w:r>
    </w:p>
    <w:p>
      <w:pPr>
        <w:spacing w:line="360" w:lineRule="auto"/>
        <w:rPr>
          <w:rFonts w:ascii="宋体" w:cs="宋体"/>
          <w:color w:val="auto"/>
          <w:szCs w:val="21"/>
        </w:rPr>
      </w:pPr>
      <w:r>
        <w:rPr>
          <w:rFonts w:ascii="宋体" w:hAnsi="宋体" w:cs="宋体"/>
          <w:color w:val="auto"/>
          <w:szCs w:val="21"/>
        </w:rPr>
        <w:t>1</w:t>
      </w:r>
      <w:r>
        <w:rPr>
          <w:rFonts w:hint="eastAsia" w:ascii="宋体" w:hAnsi="宋体" w:cs="宋体"/>
          <w:color w:val="auto"/>
          <w:szCs w:val="21"/>
        </w:rPr>
        <w:t>、系统设备使用期间，凡发生故障及质量问题，在接到报修电话后维修技术人员</w:t>
      </w:r>
      <w:r>
        <w:rPr>
          <w:rFonts w:ascii="宋体" w:hAnsi="宋体" w:cs="宋体"/>
          <w:color w:val="auto"/>
          <w:szCs w:val="21"/>
        </w:rPr>
        <w:t>1</w:t>
      </w:r>
      <w:r>
        <w:rPr>
          <w:rFonts w:hint="eastAsia" w:ascii="宋体" w:hAnsi="宋体" w:cs="宋体"/>
          <w:color w:val="auto"/>
          <w:szCs w:val="21"/>
        </w:rPr>
        <w:t>小时内响应，</w:t>
      </w:r>
      <w:r>
        <w:rPr>
          <w:rFonts w:ascii="宋体" w:hAnsi="宋体" w:cs="宋体"/>
          <w:color w:val="auto"/>
          <w:szCs w:val="21"/>
        </w:rPr>
        <w:t>6</w:t>
      </w:r>
      <w:r>
        <w:rPr>
          <w:rFonts w:hint="eastAsia" w:ascii="宋体" w:hAnsi="宋体" w:cs="宋体"/>
          <w:color w:val="auto"/>
          <w:szCs w:val="21"/>
        </w:rPr>
        <w:t>小时内做出反映并给出简单的诊断和解决方法，排除人为故障，必要时</w:t>
      </w:r>
      <w:r>
        <w:rPr>
          <w:rFonts w:ascii="宋体" w:hAnsi="宋体" w:cs="宋体"/>
          <w:color w:val="auto"/>
          <w:szCs w:val="21"/>
        </w:rPr>
        <w:t>24</w:t>
      </w:r>
      <w:r>
        <w:rPr>
          <w:rFonts w:hint="eastAsia" w:ascii="宋体" w:hAnsi="宋体" w:cs="宋体"/>
          <w:color w:val="auto"/>
          <w:szCs w:val="21"/>
        </w:rPr>
        <w:t>小时内维修工程师必须到达现场提供维修服务。</w:t>
      </w:r>
    </w:p>
    <w:p>
      <w:pPr>
        <w:spacing w:line="360" w:lineRule="auto"/>
        <w:rPr>
          <w:rFonts w:ascii="宋体" w:cs="宋体"/>
          <w:color w:val="auto"/>
          <w:szCs w:val="21"/>
        </w:rPr>
      </w:pPr>
      <w:r>
        <w:rPr>
          <w:rFonts w:ascii="宋体" w:hAnsi="宋体" w:cs="宋体"/>
          <w:color w:val="auto"/>
          <w:szCs w:val="21"/>
        </w:rPr>
        <w:t>2</w:t>
      </w:r>
      <w:r>
        <w:rPr>
          <w:rFonts w:hint="eastAsia" w:ascii="宋体" w:hAnsi="宋体" w:cs="宋体"/>
          <w:color w:val="auto"/>
          <w:szCs w:val="21"/>
        </w:rPr>
        <w:t>、质保期后</w:t>
      </w:r>
      <w:r>
        <w:rPr>
          <w:rFonts w:ascii="宋体" w:hAnsi="宋体" w:cs="宋体"/>
          <w:color w:val="auto"/>
          <w:szCs w:val="21"/>
        </w:rPr>
        <w:t>,</w:t>
      </w:r>
      <w:r>
        <w:rPr>
          <w:rFonts w:hint="eastAsia" w:ascii="宋体" w:hAnsi="宋体" w:cs="宋体"/>
          <w:color w:val="auto"/>
          <w:szCs w:val="21"/>
        </w:rPr>
        <w:t>对供应的产品提供有偿售后服务，根据客户实际情况制定维保方案。</w:t>
      </w:r>
    </w:p>
    <w:p>
      <w:pPr>
        <w:spacing w:line="360" w:lineRule="auto"/>
        <w:rPr>
          <w:rFonts w:ascii="宋体" w:cs="宋体"/>
          <w:color w:val="auto"/>
          <w:szCs w:val="21"/>
        </w:rPr>
      </w:pPr>
      <w:r>
        <w:rPr>
          <w:rFonts w:ascii="宋体" w:hAnsi="宋体" w:cs="宋体"/>
          <w:color w:val="auto"/>
          <w:szCs w:val="21"/>
        </w:rPr>
        <w:t>3</w:t>
      </w:r>
      <w:r>
        <w:rPr>
          <w:rFonts w:hint="eastAsia" w:ascii="宋体" w:hAnsi="宋体" w:cs="宋体"/>
          <w:color w:val="auto"/>
          <w:szCs w:val="21"/>
        </w:rPr>
        <w:t>、全面提供操作和维护技术培训，使用方人员如何正确使用和日常维护设备。</w:t>
      </w:r>
    </w:p>
    <w:p>
      <w:pPr>
        <w:spacing w:line="360" w:lineRule="auto"/>
        <w:rPr>
          <w:rFonts w:ascii="宋体" w:cs="宋体"/>
          <w:b/>
          <w:color w:val="auto"/>
          <w:szCs w:val="21"/>
        </w:rPr>
      </w:pPr>
      <w:r>
        <w:rPr>
          <w:rFonts w:hint="eastAsia" w:ascii="宋体" w:hAnsi="宋体" w:cs="宋体"/>
          <w:b/>
          <w:color w:val="auto"/>
          <w:szCs w:val="21"/>
        </w:rPr>
        <w:t>第三机器的安装、验收：</w:t>
      </w:r>
    </w:p>
    <w:p>
      <w:pPr>
        <w:spacing w:line="360" w:lineRule="auto"/>
        <w:rPr>
          <w:rFonts w:ascii="宋体" w:cs="宋体"/>
          <w:color w:val="auto"/>
          <w:szCs w:val="21"/>
        </w:rPr>
      </w:pPr>
      <w:r>
        <w:rPr>
          <w:rFonts w:ascii="宋体" w:hAnsi="宋体" w:cs="宋体"/>
          <w:color w:val="auto"/>
          <w:szCs w:val="21"/>
        </w:rPr>
        <w:t>1</w:t>
      </w:r>
      <w:r>
        <w:rPr>
          <w:rFonts w:hint="eastAsia" w:ascii="宋体" w:hAnsi="宋体" w:cs="宋体"/>
          <w:color w:val="auto"/>
          <w:szCs w:val="21"/>
        </w:rPr>
        <w:t>、采购方在合同签订后将会和用户协商到货时间和安装调试时间，由供方技术工程师到现场进行安装调试；</w:t>
      </w:r>
    </w:p>
    <w:p>
      <w:pPr>
        <w:pStyle w:val="208"/>
        <w:spacing w:before="156" w:line="360" w:lineRule="auto"/>
        <w:rPr>
          <w:rFonts w:ascii="宋体" w:hAnsi="宋体" w:eastAsia="宋体"/>
          <w:color w:val="auto"/>
          <w:sz w:val="21"/>
          <w:szCs w:val="21"/>
        </w:rPr>
      </w:pPr>
      <w:r>
        <w:rPr>
          <w:rFonts w:ascii="宋体" w:hAnsi="宋体" w:eastAsia="宋体"/>
          <w:color w:val="auto"/>
          <w:sz w:val="21"/>
          <w:szCs w:val="21"/>
        </w:rPr>
        <w:t>2</w:t>
      </w:r>
      <w:r>
        <w:rPr>
          <w:rFonts w:hint="eastAsia" w:ascii="宋体" w:hAnsi="宋体" w:eastAsia="宋体"/>
          <w:color w:val="auto"/>
          <w:sz w:val="21"/>
          <w:szCs w:val="21"/>
        </w:rPr>
        <w:t>、安装调试完毕后，采购方与中标方代表共同按设备说明书和双方认定的标准对设备的各项技术指标进行检验，合格后，填写《验收单》及《保修卡》，完善相关手续。</w:t>
      </w:r>
    </w:p>
    <w:p>
      <w:pPr>
        <w:spacing w:line="360" w:lineRule="auto"/>
        <w:rPr>
          <w:rFonts w:ascii="宋体" w:cs="宋体"/>
          <w:b/>
          <w:color w:val="auto"/>
          <w:szCs w:val="21"/>
        </w:rPr>
      </w:pPr>
      <w:r>
        <w:rPr>
          <w:rFonts w:hint="eastAsia" w:ascii="宋体" w:hAnsi="宋体" w:cs="宋体"/>
          <w:b/>
          <w:color w:val="auto"/>
          <w:szCs w:val="21"/>
        </w:rPr>
        <w:t>第四机器的培训：</w:t>
      </w:r>
    </w:p>
    <w:p>
      <w:pPr>
        <w:spacing w:line="360" w:lineRule="auto"/>
        <w:rPr>
          <w:rFonts w:ascii="宋体" w:cs="宋体"/>
          <w:color w:val="auto"/>
          <w:szCs w:val="21"/>
        </w:rPr>
      </w:pPr>
      <w:r>
        <w:rPr>
          <w:rFonts w:ascii="宋体" w:hAnsi="宋体" w:cs="宋体"/>
          <w:color w:val="auto"/>
          <w:szCs w:val="21"/>
        </w:rPr>
        <w:t>1</w:t>
      </w:r>
      <w:r>
        <w:rPr>
          <w:rFonts w:hint="eastAsia" w:ascii="宋体" w:hAnsi="宋体" w:cs="宋体"/>
          <w:color w:val="auto"/>
          <w:szCs w:val="21"/>
        </w:rPr>
        <w:t>、中标方专业技术人员通过完整的技术培训，保证用户完全掌握机器的性能及操作使用方法。</w:t>
      </w:r>
    </w:p>
    <w:p>
      <w:pPr>
        <w:spacing w:line="360" w:lineRule="auto"/>
        <w:rPr>
          <w:rFonts w:ascii="宋体" w:cs="宋体"/>
          <w:color w:val="auto"/>
          <w:szCs w:val="21"/>
        </w:rPr>
      </w:pPr>
      <w:r>
        <w:rPr>
          <w:rFonts w:ascii="宋体" w:hAnsi="宋体" w:cs="宋体"/>
          <w:color w:val="auto"/>
          <w:szCs w:val="21"/>
        </w:rPr>
        <w:t>2</w:t>
      </w:r>
      <w:r>
        <w:rPr>
          <w:rFonts w:hint="eastAsia" w:ascii="宋体" w:hAnsi="宋体" w:cs="宋体"/>
          <w:color w:val="auto"/>
          <w:szCs w:val="21"/>
        </w:rPr>
        <w:t>、技术培训所发生的费用全部由中标方承担。</w:t>
      </w:r>
    </w:p>
    <w:p>
      <w:pPr>
        <w:spacing w:line="360" w:lineRule="auto"/>
        <w:rPr>
          <w:rFonts w:ascii="宋体" w:cs="宋体"/>
          <w:color w:val="auto"/>
          <w:szCs w:val="21"/>
        </w:rPr>
      </w:pPr>
      <w:r>
        <w:rPr>
          <w:rFonts w:ascii="宋体" w:hAnsi="宋体" w:cs="宋体"/>
          <w:color w:val="auto"/>
          <w:szCs w:val="21"/>
        </w:rPr>
        <w:t>3</w:t>
      </w:r>
      <w:r>
        <w:rPr>
          <w:rFonts w:hint="eastAsia" w:ascii="宋体" w:hAnsi="宋体" w:cs="宋体"/>
          <w:color w:val="auto"/>
          <w:szCs w:val="21"/>
        </w:rPr>
        <w:t>、提供终身技术支持服务，免费维保期后能为买方提供有偿售后服务。</w:t>
      </w:r>
    </w:p>
    <w:p>
      <w:pPr>
        <w:spacing w:line="360" w:lineRule="auto"/>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、提供设备详细操作手册，维修手册和保养手册（一式两份，使用科室及设备科各一份）。</w:t>
      </w:r>
    </w:p>
    <w:p>
      <w:pPr>
        <w:spacing w:line="360" w:lineRule="auto"/>
        <w:rPr>
          <w:rFonts w:ascii="宋体" w:cs="宋体"/>
          <w:color w:val="auto"/>
          <w:szCs w:val="21"/>
        </w:rPr>
      </w:pPr>
      <w:r>
        <w:rPr>
          <w:rFonts w:ascii="宋体" w:hAnsi="宋体" w:cs="宋体"/>
          <w:color w:val="auto"/>
          <w:szCs w:val="21"/>
        </w:rPr>
        <w:t>5</w:t>
      </w:r>
      <w:r>
        <w:rPr>
          <w:rFonts w:hint="eastAsia" w:ascii="宋体" w:hAnsi="宋体" w:cs="宋体"/>
          <w:color w:val="auto"/>
          <w:szCs w:val="21"/>
        </w:rPr>
        <w:t>、提供机器操作规程卡各一张。</w:t>
      </w:r>
    </w:p>
    <w:p>
      <w:pPr>
        <w:spacing w:line="360" w:lineRule="auto"/>
        <w:ind w:left="420"/>
        <w:rPr>
          <w:rFonts w:ascii="宋体" w:cs="宋体"/>
          <w:b/>
          <w:color w:val="auto"/>
          <w:sz w:val="24"/>
        </w:rPr>
      </w:pPr>
      <w:r>
        <w:rPr>
          <w:rFonts w:hint="eastAsia" w:ascii="宋体" w:hAnsi="宋体" w:cs="宋体"/>
          <w:b/>
          <w:color w:val="auto"/>
          <w:sz w:val="24"/>
        </w:rPr>
        <w:t>（二）其他要求：</w:t>
      </w:r>
    </w:p>
    <w:p>
      <w:pPr>
        <w:spacing w:line="360" w:lineRule="auto"/>
        <w:jc w:val="left"/>
        <w:rPr>
          <w:rFonts w:ascii="宋体" w:cs="宋体"/>
          <w:color w:val="auto"/>
          <w:szCs w:val="21"/>
        </w:rPr>
      </w:pPr>
      <w:r>
        <w:rPr>
          <w:rFonts w:ascii="宋体" w:hAnsi="宋体" w:cs="宋体"/>
          <w:color w:val="auto"/>
          <w:szCs w:val="21"/>
        </w:rPr>
        <w:t>1</w:t>
      </w:r>
      <w:r>
        <w:rPr>
          <w:rFonts w:hint="eastAsia" w:ascii="宋体" w:hAnsi="宋体" w:cs="宋体"/>
          <w:color w:val="auto"/>
          <w:szCs w:val="21"/>
        </w:rPr>
        <w:t>、中标人所提供的软硬件不得包含有任何侵犯第三方权益的内容和行为，否则由中标人负全责，投标人中标后必须提供投标货物生产厂家或国内总代理针对本项目的投标产品售后服务承诺书。</w:t>
      </w:r>
    </w:p>
    <w:p>
      <w:pPr>
        <w:spacing w:line="360" w:lineRule="auto"/>
        <w:jc w:val="left"/>
        <w:rPr>
          <w:rFonts w:ascii="宋体" w:cs="宋体"/>
          <w:color w:val="auto"/>
          <w:szCs w:val="21"/>
        </w:rPr>
      </w:pPr>
      <w:r>
        <w:rPr>
          <w:rFonts w:ascii="宋体" w:hAnsi="宋体" w:cs="宋体"/>
          <w:color w:val="auto"/>
          <w:szCs w:val="21"/>
        </w:rPr>
        <w:t>2</w:t>
      </w:r>
      <w:r>
        <w:rPr>
          <w:rFonts w:hint="eastAsia" w:ascii="宋体" w:hAnsi="宋体" w:cs="宋体"/>
          <w:color w:val="auto"/>
          <w:szCs w:val="21"/>
        </w:rPr>
        <w:t>、采购的货物供应商所投产品属医疗器械管理范畴的，采购文件中必须按《医疗器械经营监督管理办法》（国家食品药品监督管理总局第</w:t>
      </w:r>
      <w:r>
        <w:rPr>
          <w:rFonts w:ascii="宋体" w:hAnsi="宋体" w:cs="宋体"/>
          <w:color w:val="auto"/>
          <w:szCs w:val="21"/>
        </w:rPr>
        <w:t xml:space="preserve"> 8 </w:t>
      </w:r>
      <w:r>
        <w:rPr>
          <w:rFonts w:hint="eastAsia" w:ascii="宋体" w:hAnsi="宋体" w:cs="宋体"/>
          <w:color w:val="auto"/>
          <w:szCs w:val="21"/>
        </w:rPr>
        <w:t>号令）医疗器械分类管理要求提供医疗器械经营备案凭证或许可证复印件加盖公章；如投标产品属第二、三类医疗器械产品的，须按《医疗器械注册管理办法》（国家食品药品监督管理总局令第</w:t>
      </w:r>
      <w:r>
        <w:rPr>
          <w:rFonts w:ascii="宋体" w:hAnsi="宋体" w:cs="宋体"/>
          <w:color w:val="auto"/>
          <w:szCs w:val="21"/>
        </w:rPr>
        <w:t xml:space="preserve"> 4 </w:t>
      </w:r>
      <w:r>
        <w:rPr>
          <w:rFonts w:hint="eastAsia" w:ascii="宋体" w:hAnsi="宋体" w:cs="宋体"/>
          <w:color w:val="auto"/>
          <w:szCs w:val="21"/>
        </w:rPr>
        <w:t>号）同时提供该设备有效的医疗器械注册证复印件加盖公章，确保投标产品供货使用时符合国家要求，否则其投标作否决投标处理。</w:t>
      </w:r>
    </w:p>
    <w:p>
      <w:pPr>
        <w:spacing w:line="360" w:lineRule="auto"/>
        <w:jc w:val="left"/>
        <w:rPr>
          <w:rFonts w:ascii="宋体" w:cs="宋体"/>
          <w:color w:val="auto"/>
          <w:szCs w:val="21"/>
        </w:rPr>
      </w:pPr>
      <w:r>
        <w:rPr>
          <w:rFonts w:ascii="宋体" w:hAnsi="宋体" w:cs="宋体"/>
          <w:color w:val="auto"/>
          <w:szCs w:val="21"/>
        </w:rPr>
        <w:t>3</w:t>
      </w:r>
      <w:r>
        <w:rPr>
          <w:rFonts w:hint="eastAsia" w:ascii="宋体" w:hAnsi="宋体" w:cs="宋体"/>
          <w:color w:val="auto"/>
          <w:szCs w:val="21"/>
        </w:rPr>
        <w:t>、合同签订期：自中标通知书发出之日起</w:t>
      </w:r>
      <w:r>
        <w:rPr>
          <w:rFonts w:hint="eastAsia" w:ascii="宋体" w:hAnsi="宋体" w:cs="宋体"/>
          <w:b/>
          <w:bCs/>
          <w:color w:val="auto"/>
          <w:szCs w:val="21"/>
          <w:u w:val="single"/>
        </w:rPr>
        <w:t>7</w:t>
      </w:r>
      <w:r>
        <w:rPr>
          <w:rFonts w:hint="eastAsia" w:ascii="宋体" w:hAnsi="宋体" w:cs="宋体"/>
          <w:color w:val="auto"/>
          <w:szCs w:val="21"/>
        </w:rPr>
        <w:t>日内签订。</w:t>
      </w:r>
    </w:p>
    <w:p>
      <w:pPr>
        <w:spacing w:line="360" w:lineRule="auto"/>
        <w:jc w:val="left"/>
        <w:rPr>
          <w:rFonts w:ascii="宋体" w:cs="宋体"/>
          <w:color w:val="auto"/>
          <w:kern w:val="0"/>
          <w:szCs w:val="21"/>
        </w:rPr>
      </w:pPr>
      <w:r>
        <w:rPr>
          <w:rFonts w:ascii="宋体" w:hAnsi="宋体" w:cs="宋体"/>
          <w:color w:val="auto"/>
          <w:szCs w:val="21"/>
        </w:rPr>
        <w:t>4</w:t>
      </w:r>
      <w:r>
        <w:rPr>
          <w:rFonts w:hint="eastAsia" w:ascii="宋体" w:hAnsi="宋体" w:cs="宋体"/>
          <w:color w:val="auto"/>
          <w:szCs w:val="21"/>
        </w:rPr>
        <w:t>、交货时间：</w:t>
      </w:r>
      <w:r>
        <w:rPr>
          <w:rFonts w:hint="eastAsia" w:ascii="宋体" w:hAnsi="宋体" w:cs="宋体"/>
          <w:color w:val="auto"/>
          <w:kern w:val="0"/>
          <w:szCs w:val="21"/>
        </w:rPr>
        <w:t>签订合同后</w:t>
      </w:r>
      <w:r>
        <w:rPr>
          <w:rFonts w:ascii="宋体" w:hAnsi="宋体" w:cs="宋体"/>
          <w:color w:val="auto"/>
          <w:kern w:val="0"/>
          <w:szCs w:val="21"/>
        </w:rPr>
        <w:t>30</w:t>
      </w:r>
      <w:r>
        <w:rPr>
          <w:rFonts w:hint="eastAsia" w:ascii="宋体" w:hAnsi="宋体" w:cs="宋体"/>
          <w:color w:val="auto"/>
          <w:kern w:val="0"/>
          <w:szCs w:val="21"/>
        </w:rPr>
        <w:t>天内交付所有货物并安装调试合格。</w:t>
      </w:r>
    </w:p>
    <w:p>
      <w:pPr>
        <w:spacing w:line="360" w:lineRule="auto"/>
        <w:jc w:val="left"/>
        <w:rPr>
          <w:rFonts w:ascii="宋体" w:cs="宋体"/>
          <w:color w:val="auto"/>
          <w:szCs w:val="21"/>
        </w:rPr>
      </w:pPr>
      <w:r>
        <w:rPr>
          <w:rFonts w:ascii="宋体" w:hAnsi="宋体" w:cs="宋体"/>
          <w:color w:val="auto"/>
          <w:szCs w:val="21"/>
        </w:rPr>
        <w:t>5</w:t>
      </w:r>
      <w:r>
        <w:rPr>
          <w:rFonts w:hint="eastAsia" w:ascii="宋体" w:hAnsi="宋体" w:cs="宋体"/>
          <w:color w:val="auto"/>
          <w:szCs w:val="21"/>
        </w:rPr>
        <w:t>、交货地点：</w:t>
      </w:r>
      <w:r>
        <w:rPr>
          <w:rFonts w:hint="eastAsia" w:ascii="宋体" w:hAnsi="宋体" w:cs="宋体"/>
          <w:color w:val="auto"/>
          <w:szCs w:val="21"/>
          <w:lang w:eastAsia="zh-CN"/>
        </w:rPr>
        <w:t xml:space="preserve"> 富川瑶族自治县民族医医院</w:t>
      </w:r>
      <w:r>
        <w:rPr>
          <w:rFonts w:hint="eastAsia" w:ascii="宋体" w:hAnsi="宋体" w:cs="宋体"/>
          <w:color w:val="auto"/>
          <w:szCs w:val="21"/>
        </w:rPr>
        <w:t>内，招标单位指定地点。</w:t>
      </w:r>
    </w:p>
    <w:p>
      <w:pPr>
        <w:spacing w:line="360" w:lineRule="auto"/>
        <w:ind w:left="420"/>
        <w:rPr>
          <w:rFonts w:ascii="宋体" w:hAnsi="宋体" w:cs="宋体"/>
          <w:b/>
          <w:color w:val="auto"/>
          <w:sz w:val="24"/>
        </w:rPr>
      </w:pPr>
      <w:r>
        <w:rPr>
          <w:rFonts w:hint="eastAsia" w:ascii="宋体" w:hAnsi="宋体" w:cs="宋体"/>
          <w:b/>
          <w:color w:val="auto"/>
          <w:sz w:val="24"/>
        </w:rPr>
        <w:t>（三）付款方式：</w:t>
      </w:r>
    </w:p>
    <w:p>
      <w:pPr>
        <w:spacing w:line="360" w:lineRule="auto"/>
        <w:jc w:val="left"/>
        <w:rPr>
          <w:rFonts w:hint="eastAsia" w:ascii="宋体" w:hAnsi="宋体" w:cs="宋体"/>
          <w:color w:val="auto"/>
          <w:kern w:val="0"/>
          <w:szCs w:val="21"/>
        </w:rPr>
      </w:pPr>
      <w:r>
        <w:rPr>
          <w:rFonts w:hint="eastAsia" w:ascii="宋体" w:hAnsi="宋体" w:cs="宋体"/>
          <w:color w:val="auto"/>
          <w:kern w:val="0"/>
          <w:szCs w:val="21"/>
        </w:rPr>
        <w:t>（1）合同签订后5个工作日内，甲方向支付乙方合同总价的30%，作为本项目的预付款；</w:t>
      </w:r>
    </w:p>
    <w:p>
      <w:pPr>
        <w:spacing w:line="360" w:lineRule="auto"/>
        <w:jc w:val="left"/>
        <w:rPr>
          <w:rFonts w:hint="eastAsia" w:ascii="宋体" w:hAnsi="宋体" w:cs="宋体"/>
          <w:color w:val="auto"/>
          <w:kern w:val="0"/>
          <w:szCs w:val="21"/>
        </w:rPr>
      </w:pPr>
      <w:r>
        <w:rPr>
          <w:rFonts w:hint="eastAsia" w:ascii="宋体" w:hAnsi="宋体" w:cs="宋体"/>
          <w:color w:val="auto"/>
          <w:kern w:val="0"/>
          <w:szCs w:val="21"/>
        </w:rPr>
        <w:t xml:space="preserve">（2）乙方在收到预付款后5 个工作日内，支付合同总价的10%到甲方指定账户，作为本项目质保金； </w:t>
      </w:r>
    </w:p>
    <w:p>
      <w:pPr>
        <w:spacing w:line="360" w:lineRule="auto"/>
        <w:jc w:val="left"/>
        <w:rPr>
          <w:rFonts w:hint="eastAsia" w:ascii="宋体" w:hAnsi="宋体" w:cs="宋体"/>
          <w:color w:val="auto"/>
          <w:kern w:val="0"/>
          <w:szCs w:val="21"/>
        </w:rPr>
      </w:pPr>
      <w:r>
        <w:rPr>
          <w:rFonts w:hint="eastAsia" w:ascii="宋体" w:hAnsi="宋体" w:cs="宋体"/>
          <w:color w:val="auto"/>
          <w:kern w:val="0"/>
          <w:szCs w:val="21"/>
        </w:rPr>
        <w:t>（3）设备安装调试完成并验收合格后5 个工作日内，甲方向乙方支付合同总价的70%；</w:t>
      </w:r>
    </w:p>
    <w:p>
      <w:pPr>
        <w:spacing w:line="360" w:lineRule="auto"/>
        <w:jc w:val="left"/>
        <w:rPr>
          <w:rFonts w:hint="eastAsia" w:ascii="宋体" w:hAnsi="宋体" w:cs="宋体"/>
          <w:color w:val="auto"/>
          <w:kern w:val="0"/>
          <w:szCs w:val="21"/>
        </w:rPr>
      </w:pPr>
      <w:r>
        <w:rPr>
          <w:rFonts w:hint="eastAsia" w:ascii="宋体" w:hAnsi="宋体" w:cs="宋体"/>
          <w:color w:val="auto"/>
          <w:kern w:val="0"/>
          <w:szCs w:val="21"/>
        </w:rPr>
        <w:t>（4）质保期满后，甲方退还质保金（无息）给乙方；</w:t>
      </w:r>
    </w:p>
    <w:p>
      <w:pPr>
        <w:spacing w:line="360" w:lineRule="auto"/>
        <w:jc w:val="left"/>
        <w:rPr>
          <w:rFonts w:ascii="宋体" w:hAnsi="宋体" w:cs="宋体"/>
          <w:color w:val="auto"/>
        </w:rPr>
      </w:pPr>
      <w:r>
        <w:rPr>
          <w:rFonts w:hint="eastAsia" w:ascii="宋体" w:hAnsi="宋体" w:cs="宋体"/>
          <w:color w:val="auto"/>
          <w:kern w:val="0"/>
          <w:szCs w:val="21"/>
        </w:rPr>
        <w:t>（5）如有其他情况，具体付款进度可根据采购人实际情况调整</w:t>
      </w: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pStyle w:val="3"/>
        <w:rPr>
          <w:rFonts w:ascii="宋体" w:hAnsi="宋体" w:cs="宋体"/>
          <w:color w:val="auto"/>
        </w:rPr>
      </w:pPr>
    </w:p>
    <w:p>
      <w:pPr>
        <w:rPr>
          <w:rFonts w:ascii="宋体" w:hAnsi="宋体" w:cs="宋体"/>
          <w:color w:val="auto"/>
        </w:rPr>
      </w:pPr>
    </w:p>
    <w:p>
      <w:pPr>
        <w:pStyle w:val="37"/>
        <w:rPr>
          <w:rFonts w:ascii="宋体" w:hAnsi="宋体" w:cs="宋体"/>
          <w:color w:val="auto"/>
        </w:rPr>
      </w:pPr>
    </w:p>
    <w:p>
      <w:pPr>
        <w:rPr>
          <w:rFonts w:ascii="宋体" w:hAnsi="宋体" w:cs="宋体"/>
          <w:color w:val="auto"/>
        </w:rPr>
      </w:pPr>
    </w:p>
    <w:p>
      <w:pPr>
        <w:pStyle w:val="37"/>
        <w:rPr>
          <w:rFonts w:ascii="宋体" w:hAnsi="宋体" w:cs="宋体"/>
          <w:color w:val="auto"/>
        </w:rPr>
      </w:pPr>
    </w:p>
    <w:p>
      <w:pPr>
        <w:rPr>
          <w:rFonts w:ascii="宋体" w:hAnsi="宋体" w:cs="宋体"/>
          <w:color w:val="auto"/>
        </w:rPr>
      </w:pPr>
    </w:p>
    <w:p>
      <w:pPr>
        <w:pStyle w:val="37"/>
        <w:rPr>
          <w:rFonts w:ascii="宋体" w:hAnsi="宋体" w:cs="宋体"/>
          <w:color w:val="auto"/>
        </w:rPr>
      </w:pPr>
    </w:p>
    <w:p>
      <w:pPr>
        <w:rPr>
          <w:rFonts w:ascii="宋体" w:hAnsi="宋体" w:cs="宋体"/>
          <w:color w:val="auto"/>
        </w:rPr>
      </w:pPr>
    </w:p>
    <w:p>
      <w:pPr>
        <w:pStyle w:val="37"/>
        <w:rPr>
          <w:rFonts w:ascii="宋体" w:hAnsi="宋体" w:cs="宋体"/>
          <w:color w:val="auto"/>
        </w:rPr>
      </w:pPr>
    </w:p>
    <w:p>
      <w:pPr>
        <w:rPr>
          <w:rFonts w:ascii="宋体" w:hAnsi="宋体" w:cs="宋体"/>
          <w:color w:val="auto"/>
        </w:rPr>
      </w:pPr>
    </w:p>
    <w:p>
      <w:pPr>
        <w:pStyle w:val="37"/>
        <w:rPr>
          <w:rFonts w:ascii="宋体" w:hAnsi="宋体" w:cs="宋体"/>
          <w:color w:val="auto"/>
        </w:rPr>
      </w:pPr>
    </w:p>
    <w:p>
      <w:pPr>
        <w:pStyle w:val="3"/>
        <w:jc w:val="center"/>
        <w:rPr>
          <w:rFonts w:ascii="宋体" w:hAnsi="宋体" w:cs="宋体"/>
          <w:color w:val="auto"/>
        </w:rPr>
      </w:pPr>
      <w:bookmarkStart w:id="81" w:name="_Toc23452"/>
      <w:r>
        <w:rPr>
          <w:rFonts w:hint="eastAsia" w:ascii="宋体" w:hAnsi="宋体" w:cs="宋体"/>
          <w:color w:val="auto"/>
        </w:rPr>
        <w:t>第四章  政府采购合同书（格式）</w:t>
      </w:r>
      <w:bookmarkEnd w:id="81"/>
    </w:p>
    <w:p>
      <w:pPr>
        <w:spacing w:line="400" w:lineRule="exact"/>
        <w:jc w:val="center"/>
        <w:rPr>
          <w:rFonts w:ascii="宋体" w:hAnsi="宋体" w:cs="宋体"/>
          <w:b/>
          <w:color w:val="auto"/>
          <w:sz w:val="32"/>
        </w:rPr>
      </w:pPr>
    </w:p>
    <w:p>
      <w:pPr>
        <w:spacing w:line="400" w:lineRule="exact"/>
        <w:jc w:val="center"/>
        <w:rPr>
          <w:rFonts w:ascii="宋体" w:hAnsi="宋体" w:cs="宋体"/>
          <w:b/>
          <w:color w:val="auto"/>
          <w:sz w:val="32"/>
        </w:rPr>
      </w:pPr>
    </w:p>
    <w:p>
      <w:pPr>
        <w:spacing w:line="400" w:lineRule="exact"/>
        <w:jc w:val="center"/>
        <w:rPr>
          <w:rFonts w:ascii="宋体" w:hAnsi="宋体" w:cs="宋体"/>
          <w:b/>
          <w:color w:val="auto"/>
          <w:sz w:val="32"/>
        </w:rPr>
      </w:pPr>
    </w:p>
    <w:p>
      <w:pPr>
        <w:spacing w:line="400" w:lineRule="exact"/>
        <w:jc w:val="center"/>
        <w:rPr>
          <w:rFonts w:ascii="宋体" w:hAnsi="宋体" w:cs="宋体"/>
          <w:b/>
          <w:color w:val="auto"/>
          <w:sz w:val="32"/>
        </w:rPr>
      </w:pPr>
    </w:p>
    <w:p>
      <w:pPr>
        <w:spacing w:line="400" w:lineRule="exact"/>
        <w:jc w:val="center"/>
        <w:rPr>
          <w:rFonts w:ascii="宋体" w:hAnsi="宋体" w:cs="宋体"/>
          <w:b/>
          <w:color w:val="auto"/>
          <w:sz w:val="32"/>
        </w:rPr>
      </w:pPr>
    </w:p>
    <w:p>
      <w:pPr>
        <w:pStyle w:val="29"/>
        <w:snapToGrid w:val="0"/>
        <w:spacing w:before="120" w:after="120"/>
        <w:jc w:val="center"/>
        <w:outlineLvl w:val="0"/>
        <w:rPr>
          <w:rFonts w:hAnsi="宋体" w:cs="宋体"/>
          <w:b/>
          <w:color w:val="auto"/>
          <w:sz w:val="24"/>
        </w:rPr>
      </w:pPr>
      <w:r>
        <w:rPr>
          <w:rFonts w:hint="eastAsia" w:hAnsi="宋体" w:cs="宋体"/>
          <w:b/>
          <w:color w:val="auto"/>
          <w:sz w:val="32"/>
        </w:rPr>
        <w:br w:type="page"/>
      </w:r>
      <w:bookmarkStart w:id="82" w:name="_Toc312711399"/>
      <w:bookmarkStart w:id="83" w:name="_Toc497204256"/>
      <w:bookmarkStart w:id="84" w:name="_Toc462136101"/>
      <w:bookmarkStart w:id="85" w:name="_Toc1586"/>
      <w:r>
        <w:rPr>
          <w:rFonts w:hint="eastAsia" w:hAnsi="宋体" w:cs="宋体"/>
          <w:b/>
          <w:color w:val="auto"/>
          <w:sz w:val="24"/>
        </w:rPr>
        <w:t>广西壮族自治区政府采购合同</w:t>
      </w:r>
      <w:bookmarkEnd w:id="82"/>
      <w:bookmarkEnd w:id="83"/>
      <w:bookmarkEnd w:id="84"/>
      <w:r>
        <w:rPr>
          <w:rFonts w:hint="eastAsia" w:hAnsi="宋体" w:cs="宋体"/>
          <w:b/>
          <w:color w:val="auto"/>
          <w:sz w:val="24"/>
        </w:rPr>
        <w:t>（格式）</w:t>
      </w:r>
      <w:bookmarkEnd w:id="85"/>
    </w:p>
    <w:p>
      <w:pPr>
        <w:pStyle w:val="29"/>
        <w:snapToGrid w:val="0"/>
        <w:spacing w:before="120" w:after="120"/>
        <w:ind w:right="420" w:firstLine="8100" w:firstLineChars="4500"/>
        <w:outlineLvl w:val="0"/>
        <w:rPr>
          <w:rFonts w:hAnsi="宋体" w:cs="宋体"/>
          <w:color w:val="auto"/>
          <w:sz w:val="18"/>
          <w:szCs w:val="18"/>
        </w:rPr>
      </w:pPr>
      <w:bookmarkStart w:id="86" w:name="_Toc462136102"/>
      <w:bookmarkStart w:id="87" w:name="_Toc312711400"/>
      <w:bookmarkStart w:id="88" w:name="_Toc497204257"/>
      <w:bookmarkStart w:id="89" w:name="_Toc10737"/>
      <w:r>
        <w:rPr>
          <w:rFonts w:hint="eastAsia" w:hAnsi="宋体" w:cs="宋体"/>
          <w:color w:val="auto"/>
          <w:sz w:val="18"/>
          <w:szCs w:val="18"/>
        </w:rPr>
        <w:t>合同编号：</w:t>
      </w:r>
      <w:bookmarkEnd w:id="86"/>
      <w:bookmarkEnd w:id="87"/>
      <w:bookmarkEnd w:id="88"/>
      <w:bookmarkEnd w:id="89"/>
    </w:p>
    <w:p>
      <w:pPr>
        <w:pStyle w:val="29"/>
        <w:snapToGrid w:val="0"/>
        <w:spacing w:before="120" w:after="120"/>
        <w:jc w:val="right"/>
        <w:outlineLvl w:val="0"/>
        <w:rPr>
          <w:rFonts w:hAnsi="宋体" w:cs="宋体"/>
          <w:color w:val="auto"/>
        </w:rPr>
      </w:pPr>
    </w:p>
    <w:p>
      <w:pPr>
        <w:pStyle w:val="29"/>
        <w:snapToGrid w:val="0"/>
        <w:spacing w:before="120" w:after="120"/>
        <w:outlineLvl w:val="0"/>
        <w:rPr>
          <w:rFonts w:hAnsi="宋体" w:cs="宋体"/>
          <w:color w:val="auto"/>
        </w:rPr>
      </w:pPr>
      <w:bookmarkStart w:id="90" w:name="_Toc497204258"/>
      <w:bookmarkStart w:id="91" w:name="_Toc462136103"/>
      <w:bookmarkStart w:id="92" w:name="_Toc312711401"/>
      <w:bookmarkStart w:id="93" w:name="_Toc23584"/>
      <w:r>
        <w:rPr>
          <w:rFonts w:hint="eastAsia" w:hAnsi="宋体" w:cs="宋体"/>
          <w:color w:val="auto"/>
        </w:rPr>
        <w:t>招标单位（甲方）： 采购计划号：</w:t>
      </w:r>
      <w:bookmarkEnd w:id="90"/>
      <w:bookmarkEnd w:id="91"/>
      <w:bookmarkEnd w:id="92"/>
      <w:bookmarkEnd w:id="93"/>
    </w:p>
    <w:p>
      <w:pPr>
        <w:pStyle w:val="29"/>
        <w:snapToGrid w:val="0"/>
        <w:spacing w:before="120" w:after="120"/>
        <w:outlineLvl w:val="0"/>
        <w:rPr>
          <w:rFonts w:hint="eastAsia" w:hAnsi="宋体" w:cs="宋体"/>
          <w:color w:val="auto"/>
        </w:rPr>
      </w:pPr>
      <w:bookmarkStart w:id="94" w:name="_Toc5501"/>
      <w:bookmarkStart w:id="95" w:name="_Toc462136104"/>
      <w:bookmarkStart w:id="96" w:name="_Toc312711402"/>
      <w:bookmarkStart w:id="97" w:name="_Toc497204259"/>
      <w:r>
        <w:rPr>
          <w:rFonts w:hint="eastAsia" w:hAnsi="宋体" w:cs="宋体"/>
          <w:color w:val="auto"/>
        </w:rPr>
        <w:t>供应商（乙方）：</w:t>
      </w:r>
      <w:bookmarkEnd w:id="94"/>
    </w:p>
    <w:p>
      <w:pPr>
        <w:pStyle w:val="29"/>
        <w:snapToGrid w:val="0"/>
        <w:spacing w:before="120" w:after="120"/>
        <w:outlineLvl w:val="0"/>
        <w:rPr>
          <w:rFonts w:hint="eastAsia" w:hAnsi="宋体" w:cs="宋体"/>
          <w:color w:val="auto"/>
        </w:rPr>
      </w:pPr>
      <w:bookmarkStart w:id="98" w:name="_Toc16661"/>
      <w:r>
        <w:rPr>
          <w:rFonts w:hint="eastAsia" w:hAnsi="宋体" w:cs="宋体"/>
          <w:color w:val="auto"/>
        </w:rPr>
        <w:t>项目名称、</w:t>
      </w:r>
      <w:bookmarkEnd w:id="98"/>
    </w:p>
    <w:p>
      <w:pPr>
        <w:pStyle w:val="29"/>
        <w:snapToGrid w:val="0"/>
        <w:spacing w:before="120" w:after="120"/>
        <w:outlineLvl w:val="0"/>
        <w:rPr>
          <w:rFonts w:hint="eastAsia" w:hAnsi="宋体" w:cs="宋体"/>
          <w:color w:val="auto"/>
        </w:rPr>
      </w:pPr>
      <w:bookmarkStart w:id="99" w:name="_Toc8433"/>
      <w:r>
        <w:rPr>
          <w:rFonts w:hint="eastAsia" w:hAnsi="宋体" w:cs="宋体"/>
          <w:color w:val="auto"/>
          <w:lang w:val="en-US" w:eastAsia="zh-CN"/>
        </w:rPr>
        <w:t>项目</w:t>
      </w:r>
      <w:r>
        <w:rPr>
          <w:rFonts w:hint="eastAsia" w:hAnsi="宋体" w:cs="宋体"/>
          <w:color w:val="auto"/>
        </w:rPr>
        <w:t>编号、</w:t>
      </w:r>
      <w:bookmarkEnd w:id="95"/>
      <w:bookmarkEnd w:id="96"/>
      <w:bookmarkEnd w:id="97"/>
      <w:bookmarkEnd w:id="99"/>
      <w:bookmarkStart w:id="100" w:name="_Toc462136105"/>
      <w:bookmarkStart w:id="101" w:name="_Toc497204260"/>
      <w:bookmarkStart w:id="102" w:name="_Toc312711403"/>
    </w:p>
    <w:p>
      <w:pPr>
        <w:pStyle w:val="29"/>
        <w:snapToGrid w:val="0"/>
        <w:spacing w:before="120" w:after="120"/>
        <w:outlineLvl w:val="0"/>
        <w:rPr>
          <w:rFonts w:hint="eastAsia" w:hAnsi="宋体" w:cs="宋体"/>
          <w:color w:val="auto"/>
        </w:rPr>
      </w:pPr>
      <w:bookmarkStart w:id="103" w:name="_Toc23649"/>
      <w:r>
        <w:rPr>
          <w:rFonts w:hint="eastAsia" w:hAnsi="宋体" w:cs="宋体"/>
          <w:color w:val="auto"/>
        </w:rPr>
        <w:t>签订地点：</w:t>
      </w:r>
      <w:bookmarkEnd w:id="103"/>
      <w:r>
        <w:rPr>
          <w:rFonts w:hint="eastAsia" w:hAnsi="宋体" w:cs="宋体"/>
          <w:color w:val="auto"/>
        </w:rPr>
        <w:t xml:space="preserve"> </w:t>
      </w:r>
    </w:p>
    <w:p>
      <w:pPr>
        <w:pStyle w:val="29"/>
        <w:snapToGrid w:val="0"/>
        <w:spacing w:before="120" w:after="120"/>
        <w:outlineLvl w:val="0"/>
        <w:rPr>
          <w:rFonts w:hAnsi="宋体" w:cs="宋体"/>
          <w:b/>
          <w:color w:val="auto"/>
        </w:rPr>
      </w:pPr>
      <w:bookmarkStart w:id="104" w:name="_Toc20533"/>
      <w:r>
        <w:rPr>
          <w:rFonts w:hint="eastAsia" w:hAnsi="宋体" w:cs="宋体"/>
          <w:color w:val="auto"/>
        </w:rPr>
        <w:t>签订时间：</w:t>
      </w:r>
      <w:bookmarkEnd w:id="100"/>
      <w:bookmarkEnd w:id="101"/>
      <w:bookmarkEnd w:id="102"/>
      <w:bookmarkEnd w:id="104"/>
    </w:p>
    <w:p>
      <w:pPr>
        <w:pStyle w:val="29"/>
        <w:snapToGrid w:val="0"/>
        <w:spacing w:before="120" w:after="120"/>
        <w:outlineLvl w:val="0"/>
        <w:rPr>
          <w:rFonts w:hAnsi="宋体" w:cs="宋体"/>
          <w:b/>
          <w:color w:val="auto"/>
        </w:rPr>
      </w:pPr>
    </w:p>
    <w:p>
      <w:pPr>
        <w:pStyle w:val="29"/>
        <w:snapToGrid w:val="0"/>
        <w:spacing w:before="120" w:after="120" w:line="360" w:lineRule="auto"/>
        <w:ind w:firstLine="420" w:firstLineChars="200"/>
        <w:outlineLvl w:val="0"/>
        <w:rPr>
          <w:rFonts w:hAnsi="宋体" w:cs="宋体"/>
          <w:color w:val="auto"/>
        </w:rPr>
      </w:pPr>
      <w:bookmarkStart w:id="105" w:name="_Toc497204261"/>
      <w:bookmarkStart w:id="106" w:name="_Toc7359"/>
      <w:bookmarkStart w:id="107" w:name="_Toc312711404"/>
      <w:bookmarkStart w:id="108" w:name="_Toc462136106"/>
      <w:r>
        <w:rPr>
          <w:rFonts w:hint="eastAsia" w:hAnsi="宋体" w:cs="宋体"/>
          <w:color w:val="auto"/>
        </w:rPr>
        <w:t>根据《中华人民共和国政府采购法》、《中华人民共和国合同法》等法律、法规规定，按照招标文件（采购文件）规定条款和中标（中标）供应商承诺，甲乙双方签订本合同。</w:t>
      </w:r>
      <w:bookmarkEnd w:id="105"/>
      <w:bookmarkEnd w:id="106"/>
      <w:bookmarkEnd w:id="107"/>
      <w:bookmarkEnd w:id="108"/>
    </w:p>
    <w:p>
      <w:pPr>
        <w:snapToGrid w:val="0"/>
        <w:spacing w:line="360" w:lineRule="exact"/>
        <w:ind w:firstLine="422" w:firstLineChars="200"/>
        <w:rPr>
          <w:rFonts w:ascii="宋体" w:hAnsi="宋体" w:cs="宋体"/>
          <w:b/>
          <w:color w:val="auto"/>
          <w:szCs w:val="21"/>
        </w:rPr>
      </w:pPr>
      <w:r>
        <w:rPr>
          <w:rFonts w:hint="eastAsia" w:ascii="宋体" w:hAnsi="宋体" w:cs="宋体"/>
          <w:b/>
          <w:color w:val="auto"/>
          <w:szCs w:val="21"/>
        </w:rPr>
        <w:t>第一条　合同标的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1、供货一览表</w:t>
      </w:r>
    </w:p>
    <w:tbl>
      <w:tblPr>
        <w:tblStyle w:val="53"/>
        <w:tblW w:w="96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99"/>
        <w:gridCol w:w="1200"/>
        <w:gridCol w:w="1200"/>
        <w:gridCol w:w="1199"/>
        <w:gridCol w:w="1005"/>
        <w:gridCol w:w="900"/>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7"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序号</w:t>
            </w:r>
          </w:p>
        </w:tc>
        <w:tc>
          <w:tcPr>
            <w:tcW w:w="1199"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产品名称</w:t>
            </w:r>
          </w:p>
        </w:tc>
        <w:tc>
          <w:tcPr>
            <w:tcW w:w="1200"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商标品牌</w:t>
            </w:r>
          </w:p>
        </w:tc>
        <w:tc>
          <w:tcPr>
            <w:tcW w:w="1200"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规格型号</w:t>
            </w:r>
          </w:p>
        </w:tc>
        <w:tc>
          <w:tcPr>
            <w:tcW w:w="1199"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生产厂家</w:t>
            </w:r>
          </w:p>
        </w:tc>
        <w:tc>
          <w:tcPr>
            <w:tcW w:w="1005"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数量</w:t>
            </w:r>
          </w:p>
        </w:tc>
        <w:tc>
          <w:tcPr>
            <w:tcW w:w="900"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单位</w:t>
            </w:r>
          </w:p>
        </w:tc>
        <w:tc>
          <w:tcPr>
            <w:tcW w:w="1200"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单价（元）</w:t>
            </w:r>
          </w:p>
        </w:tc>
        <w:tc>
          <w:tcPr>
            <w:tcW w:w="1200"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7"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1</w:t>
            </w:r>
          </w:p>
        </w:tc>
        <w:tc>
          <w:tcPr>
            <w:tcW w:w="1199"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200"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200"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199" w:type="dxa"/>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005" w:type="dxa"/>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900" w:type="dxa"/>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200"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200"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7"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2</w:t>
            </w:r>
          </w:p>
        </w:tc>
        <w:tc>
          <w:tcPr>
            <w:tcW w:w="1199"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200"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200"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199" w:type="dxa"/>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005" w:type="dxa"/>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900" w:type="dxa"/>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200"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200"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7"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3</w:t>
            </w:r>
          </w:p>
        </w:tc>
        <w:tc>
          <w:tcPr>
            <w:tcW w:w="1199"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200"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200"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199" w:type="dxa"/>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005" w:type="dxa"/>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900" w:type="dxa"/>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200"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200"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600" w:type="dxa"/>
            <w:gridSpan w:val="9"/>
            <w:vAlign w:val="center"/>
          </w:tcPr>
          <w:p>
            <w:pPr>
              <w:keepNext w:val="0"/>
              <w:keepLines w:val="0"/>
              <w:suppressLineNumbers w:val="0"/>
              <w:snapToGri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 xml:space="preserve">人民币合计金额（大写）                                  （小写）           </w:t>
            </w:r>
          </w:p>
        </w:tc>
      </w:tr>
    </w:tbl>
    <w:p>
      <w:pPr>
        <w:snapToGrid w:val="0"/>
        <w:spacing w:line="360" w:lineRule="auto"/>
        <w:ind w:right="420" w:firstLine="420" w:firstLineChars="200"/>
        <w:rPr>
          <w:rFonts w:ascii="宋体" w:hAnsi="宋体" w:cs="宋体"/>
          <w:color w:val="auto"/>
          <w:szCs w:val="21"/>
        </w:rPr>
      </w:pPr>
      <w:r>
        <w:rPr>
          <w:rFonts w:hint="eastAsia" w:ascii="宋体" w:hAnsi="宋体" w:cs="宋体"/>
          <w:color w:val="auto"/>
          <w:szCs w:val="21"/>
        </w:rPr>
        <w:t>2、合同合计金额包括货物价款，备件、专用工具、安装、调试、检验、技术培训及技术资料和包装、运输等全部费用。如招投标文件对其另有规定的，从其规定。</w:t>
      </w:r>
    </w:p>
    <w:p>
      <w:pPr>
        <w:snapToGrid w:val="0"/>
        <w:spacing w:line="360" w:lineRule="auto"/>
        <w:ind w:firstLine="422" w:firstLineChars="200"/>
        <w:rPr>
          <w:rFonts w:ascii="宋体" w:hAnsi="宋体" w:cs="宋体"/>
          <w:color w:val="auto"/>
          <w:szCs w:val="21"/>
        </w:rPr>
      </w:pPr>
      <w:r>
        <w:rPr>
          <w:rFonts w:hint="eastAsia" w:ascii="宋体" w:hAnsi="宋体" w:cs="宋体"/>
          <w:b/>
          <w:color w:val="auto"/>
          <w:szCs w:val="21"/>
        </w:rPr>
        <w:t>第二条　质量保证</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1、乙方所提供的货物型号、技术规格、技术参数等质量必须与招投标文件和承诺相一致。乙方提供的自主创新产品、节能和环保产品必须是列入政府采购清单的产品。</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2、乙方所提供的货物必须是全新、未使用的原装产品，且在正常安装、使用和保养条件下，其使用寿命期内各项指标均达到质量要求。</w:t>
      </w:r>
    </w:p>
    <w:p>
      <w:pPr>
        <w:snapToGrid w:val="0"/>
        <w:spacing w:line="360" w:lineRule="auto"/>
        <w:ind w:firstLine="422" w:firstLineChars="200"/>
        <w:rPr>
          <w:rFonts w:ascii="宋体" w:hAnsi="宋体" w:cs="宋体"/>
          <w:color w:val="auto"/>
          <w:szCs w:val="21"/>
        </w:rPr>
      </w:pPr>
      <w:r>
        <w:rPr>
          <w:rFonts w:hint="eastAsia" w:ascii="宋体" w:hAnsi="宋体" w:cs="宋体"/>
          <w:b/>
          <w:color w:val="auto"/>
          <w:szCs w:val="21"/>
        </w:rPr>
        <w:t>第三条　权利保证</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乙方应保证所提供货物在使用时不会侵犯任何第三方的专利权、商标权、工业设计权或其他权利。</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乙方应按招标文件规定的时间向甲方提供使用货物的有关技术资料。</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乙方保证所交付的货物的所有权完全属于乙方且无任何抵押、质押、查封等产权瑕疵。</w:t>
      </w:r>
    </w:p>
    <w:p>
      <w:pPr>
        <w:snapToGrid w:val="0"/>
        <w:spacing w:line="360" w:lineRule="auto"/>
        <w:ind w:firstLine="413" w:firstLineChars="196"/>
        <w:rPr>
          <w:rFonts w:ascii="宋体" w:hAnsi="宋体" w:cs="宋体"/>
          <w:b/>
          <w:color w:val="auto"/>
          <w:szCs w:val="21"/>
        </w:rPr>
      </w:pPr>
      <w:r>
        <w:rPr>
          <w:rFonts w:hint="eastAsia" w:ascii="宋体" w:hAnsi="宋体" w:cs="宋体"/>
          <w:b/>
          <w:color w:val="auto"/>
          <w:szCs w:val="21"/>
        </w:rPr>
        <w:t>第四条　包装和运输</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1、乙方提供的货物均应按招投标文件要求的包装材料、包装标准、包装方式进行包装，每一包装单元内应附详细的装箱单和质量合格证。</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2、货物的运输方式：。</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3、乙方负责货物运输，货物运输合理损耗及计算方法：。</w:t>
      </w:r>
    </w:p>
    <w:p>
      <w:pPr>
        <w:snapToGrid w:val="0"/>
        <w:spacing w:line="360" w:lineRule="auto"/>
        <w:ind w:firstLine="422" w:firstLineChars="200"/>
        <w:rPr>
          <w:rFonts w:ascii="宋体" w:hAnsi="宋体" w:cs="宋体"/>
          <w:color w:val="auto"/>
          <w:szCs w:val="21"/>
        </w:rPr>
      </w:pPr>
      <w:r>
        <w:rPr>
          <w:rFonts w:hint="eastAsia" w:ascii="宋体" w:hAnsi="宋体" w:cs="宋体"/>
          <w:b/>
          <w:color w:val="auto"/>
          <w:szCs w:val="21"/>
        </w:rPr>
        <w:t>第五条　交付和验收</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1、交货时间：、地点：。</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2、乙方提供不符合招投标文件和本合同规定的货物，甲方有权拒绝接受。</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3、乙方应将所提供货物的装箱清单、用户手册、原厂保修卡、随机资料、工具和备品、备件等交付给甲方，如有缺失应及时补齐，否则视为逾期交货。</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4、甲方应当在安装、调试、培训完后七个工作日内进行验收，逾期不验收的，乙方可视同验收合格。验收合格后由甲乙双方签署货物验收单并加盖招标单位公章，甲乙双方各执一份。</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招标单位委托招标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6、甲方对验收有异议的，在验收后五个工作日内以书面形式向乙方提出，乙方应自收到甲方书面异议后日内及时予以解决。</w:t>
      </w:r>
    </w:p>
    <w:p>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第六条　安装和培训</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1、甲方应提供必要安装条件（如场地、电源、水源等）。</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2、乙方负责甲方有关人员的培训。培训时间、地点：</w:t>
      </w:r>
      <w:r>
        <w:rPr>
          <w:rFonts w:hint="eastAsia" w:ascii="宋体" w:hAnsi="宋体" w:cs="宋体"/>
          <w:color w:val="auto"/>
          <w:szCs w:val="21"/>
          <w:u w:val="single"/>
        </w:rPr>
        <w:t xml:space="preserve">                   。</w:t>
      </w:r>
    </w:p>
    <w:p>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第七条  售后服务、保修期</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1、乙方应按照国家有关法律法规和“三包”规定以及招投标文件和本合同所附的《服务承诺》，为甲方提供售后服务。</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2、货物保修起止时间；。</w:t>
      </w:r>
    </w:p>
    <w:p>
      <w:pPr>
        <w:snapToGrid w:val="0"/>
        <w:spacing w:line="360" w:lineRule="auto"/>
        <w:ind w:firstLine="420" w:firstLineChars="200"/>
        <w:rPr>
          <w:rFonts w:ascii="宋体" w:hAnsi="宋体" w:cs="宋体"/>
          <w:b/>
          <w:color w:val="auto"/>
          <w:szCs w:val="21"/>
          <w:u w:val="single"/>
        </w:rPr>
      </w:pPr>
      <w:r>
        <w:rPr>
          <w:rFonts w:hint="eastAsia" w:ascii="宋体" w:hAnsi="宋体" w:cs="宋体"/>
          <w:color w:val="auto"/>
          <w:szCs w:val="21"/>
        </w:rPr>
        <w:t>3、乙方提供的服务承诺和售后服务及保修期责任等其它具体约定事项。（见合同附件）</w:t>
      </w:r>
    </w:p>
    <w:p>
      <w:pPr>
        <w:snapToGrid w:val="0"/>
        <w:spacing w:line="360" w:lineRule="exact"/>
        <w:ind w:firstLine="422" w:firstLineChars="200"/>
        <w:rPr>
          <w:rFonts w:ascii="宋体" w:hAnsi="宋体" w:cs="宋体"/>
          <w:color w:val="auto"/>
          <w:szCs w:val="21"/>
        </w:rPr>
      </w:pPr>
      <w:r>
        <w:rPr>
          <w:rFonts w:hint="eastAsia" w:ascii="宋体" w:hAnsi="宋体" w:cs="宋体"/>
          <w:b/>
          <w:color w:val="auto"/>
          <w:szCs w:val="21"/>
        </w:rPr>
        <w:t>第八条　</w:t>
      </w:r>
      <w:bookmarkStart w:id="155" w:name="_GoBack"/>
      <w:r>
        <w:rPr>
          <w:rFonts w:hint="eastAsia" w:ascii="宋体" w:hAnsi="宋体" w:cs="宋体"/>
          <w:b/>
          <w:color w:val="auto"/>
          <w:szCs w:val="21"/>
        </w:rPr>
        <w:t>付款方式</w:t>
      </w:r>
      <w:bookmarkEnd w:id="155"/>
      <w:r>
        <w:rPr>
          <w:rFonts w:hint="eastAsia" w:ascii="宋体" w:hAnsi="宋体" w:cs="宋体"/>
          <w:b/>
          <w:color w:val="auto"/>
          <w:szCs w:val="21"/>
        </w:rPr>
        <w:t>和保证金</w:t>
      </w:r>
    </w:p>
    <w:p>
      <w:pPr>
        <w:pStyle w:val="29"/>
        <w:snapToGrid w:val="0"/>
        <w:spacing w:line="360" w:lineRule="exact"/>
        <w:ind w:firstLine="420" w:firstLineChars="200"/>
        <w:rPr>
          <w:rFonts w:hAnsi="宋体" w:cs="宋体"/>
          <w:bCs/>
          <w:color w:val="auto"/>
        </w:rPr>
      </w:pPr>
      <w:r>
        <w:rPr>
          <w:rFonts w:hint="eastAsia" w:hAnsi="宋体" w:cs="宋体"/>
          <w:bCs/>
          <w:color w:val="auto"/>
        </w:rPr>
        <w:t>1、当采购数量与实际使用数量不一致时，乙方应根据实际使用量供货，合同的最终结算金额按实际使用量乘以中标单价进行计算。</w:t>
      </w:r>
    </w:p>
    <w:p>
      <w:pPr>
        <w:snapToGrid w:val="0"/>
        <w:spacing w:line="360" w:lineRule="exact"/>
        <w:ind w:firstLine="420" w:firstLineChars="200"/>
        <w:rPr>
          <w:rFonts w:ascii="宋体" w:hAnsi="宋体" w:cs="宋体"/>
          <w:color w:val="auto"/>
          <w:szCs w:val="21"/>
          <w:u w:val="single"/>
        </w:rPr>
      </w:pPr>
      <w:r>
        <w:rPr>
          <w:rFonts w:hint="eastAsia" w:ascii="宋体" w:hAnsi="宋体" w:cs="宋体"/>
          <w:bCs/>
          <w:color w:val="auto"/>
        </w:rPr>
        <w:t>2、</w:t>
      </w:r>
      <w:r>
        <w:rPr>
          <w:rFonts w:hint="eastAsia" w:ascii="宋体" w:hAnsi="宋体" w:cs="宋体"/>
          <w:color w:val="auto"/>
          <w:szCs w:val="21"/>
        </w:rPr>
        <w:t>资金性质；</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政府性</w:t>
      </w:r>
      <w:r>
        <w:rPr>
          <w:rFonts w:hint="eastAsia" w:ascii="宋体" w:hAnsi="宋体" w:cs="宋体"/>
          <w:color w:val="auto"/>
          <w:szCs w:val="21"/>
          <w:u w:val="single"/>
        </w:rPr>
        <w:t xml:space="preserve">资金          </w:t>
      </w:r>
      <w:r>
        <w:rPr>
          <w:rFonts w:hint="eastAsia" w:ascii="宋体" w:hAnsi="宋体" w:cs="宋体"/>
          <w:color w:val="auto"/>
          <w:szCs w:val="21"/>
        </w:rPr>
        <w:t>。</w:t>
      </w:r>
    </w:p>
    <w:p>
      <w:pPr>
        <w:rPr>
          <w:rFonts w:hint="eastAsia"/>
        </w:rPr>
      </w:pPr>
      <w:r>
        <w:rPr>
          <w:rFonts w:hint="eastAsia" w:ascii="宋体" w:hAnsi="宋体" w:cs="宋体"/>
          <w:color w:val="auto"/>
        </w:rPr>
        <w:t>3、付款</w:t>
      </w:r>
      <w:r>
        <w:rPr>
          <w:rFonts w:hint="eastAsia" w:ascii="宋体" w:hAnsi="宋体" w:cs="宋体"/>
          <w:color w:val="auto"/>
          <w:u w:val="single"/>
        </w:rPr>
        <w:t>方式：</w:t>
      </w:r>
      <w:r>
        <w:rPr>
          <w:rFonts w:hint="eastAsia"/>
        </w:rPr>
        <w:t>（1）合同签订后5个工作日内，甲方向支付乙方合同总价的30%，作为本项目的预付款；</w:t>
      </w:r>
    </w:p>
    <w:p>
      <w:pPr>
        <w:rPr>
          <w:rFonts w:hint="eastAsia"/>
        </w:rPr>
      </w:pPr>
      <w:r>
        <w:rPr>
          <w:rFonts w:hint="eastAsia"/>
        </w:rPr>
        <w:t xml:space="preserve">（2）乙方在收到预付款后5 个工作日内，支付合同总价的10%到甲方指定账户，作为本项目质保金； </w:t>
      </w:r>
    </w:p>
    <w:p>
      <w:pPr>
        <w:rPr>
          <w:rFonts w:ascii="宋体" w:hAnsi="宋体" w:cs="宋体"/>
          <w:color w:val="auto"/>
          <w:szCs w:val="21"/>
        </w:rPr>
      </w:pPr>
      <w:r>
        <w:rPr>
          <w:rFonts w:hint="eastAsia"/>
        </w:rPr>
        <w:t>（3）设备安装调试完成并验收合格后5 个工作日内，甲方向乙方支付合同总价的70%；（4）质保期满后，甲方退还质保金（无息）给乙方；（5）如有其他情况，具体付款进度可根据采购人实际情况调整</w:t>
      </w:r>
    </w:p>
    <w:p>
      <w:pPr>
        <w:spacing w:line="360" w:lineRule="auto"/>
        <w:ind w:firstLine="420" w:firstLineChars="200"/>
        <w:rPr>
          <w:rFonts w:ascii="宋体" w:hAnsi="宋体" w:cs="宋体"/>
          <w:color w:val="auto"/>
        </w:rPr>
      </w:pPr>
      <w:r>
        <w:rPr>
          <w:rFonts w:hint="eastAsia" w:ascii="宋体" w:hAnsi="宋体" w:cs="宋体"/>
          <w:color w:val="auto"/>
        </w:rPr>
        <w:t>第九条　质量保证金</w:t>
      </w:r>
    </w:p>
    <w:p>
      <w:pPr>
        <w:snapToGrid w:val="0"/>
        <w:spacing w:line="360" w:lineRule="auto"/>
        <w:ind w:left="-61" w:leftChars="-29" w:firstLine="514" w:firstLineChars="245"/>
        <w:rPr>
          <w:rFonts w:ascii="宋体" w:hAnsi="宋体" w:cs="宋体"/>
          <w:color w:val="auto"/>
          <w:szCs w:val="21"/>
        </w:rPr>
      </w:pPr>
      <w:r>
        <w:rPr>
          <w:rFonts w:hint="eastAsia" w:ascii="宋体" w:hAnsi="宋体" w:cs="宋体"/>
          <w:color w:val="auto"/>
          <w:szCs w:val="21"/>
        </w:rPr>
        <w:t>乙方应在货物验收合格无异议后五个工作日内按本合同合计金额比例向甲方提交质量保证金，质量保证期过后七个工作日内无息返还。</w:t>
      </w:r>
    </w:p>
    <w:p>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第十条　税费</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本合同执行中相关的一切税费均由乙方承担。</w:t>
      </w:r>
    </w:p>
    <w:p>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第十一条、质量保证及售后服务</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 乙方应按招标文件规定的货物性能、技术要求、质量标准向甲方提供未经使用的全新产品。</w:t>
      </w:r>
    </w:p>
    <w:p>
      <w:pPr>
        <w:pStyle w:val="29"/>
        <w:snapToGrid w:val="0"/>
        <w:spacing w:before="120" w:after="120" w:line="360" w:lineRule="auto"/>
        <w:rPr>
          <w:rFonts w:hAnsi="宋体" w:cs="宋体"/>
          <w:color w:val="auto"/>
        </w:rPr>
      </w:pPr>
      <w:r>
        <w:rPr>
          <w:rFonts w:hint="eastAsia" w:hAnsi="宋体" w:cs="宋体"/>
          <w:color w:val="auto"/>
        </w:rPr>
        <w:t>对达不到要求者，根据实际情况，经双方协商，可按以下办法处理：</w:t>
      </w:r>
    </w:p>
    <w:p>
      <w:pPr>
        <w:pStyle w:val="29"/>
        <w:snapToGrid w:val="0"/>
        <w:spacing w:before="120" w:after="120" w:line="360" w:lineRule="auto"/>
        <w:ind w:firstLine="420" w:firstLineChars="200"/>
        <w:rPr>
          <w:rFonts w:hAnsi="宋体" w:cs="宋体"/>
          <w:color w:val="auto"/>
        </w:rPr>
      </w:pPr>
      <w:r>
        <w:rPr>
          <w:rFonts w:hint="eastAsia" w:hAnsi="宋体" w:cs="宋体"/>
          <w:color w:val="auto"/>
        </w:rPr>
        <w:t>⑴更换：由乙方承担所发生的全部费用。</w:t>
      </w:r>
    </w:p>
    <w:p>
      <w:pPr>
        <w:pStyle w:val="29"/>
        <w:snapToGrid w:val="0"/>
        <w:spacing w:before="120" w:after="120" w:line="360" w:lineRule="auto"/>
        <w:ind w:firstLine="420"/>
        <w:rPr>
          <w:rFonts w:hAnsi="宋体" w:cs="宋体"/>
          <w:color w:val="auto"/>
        </w:rPr>
      </w:pPr>
      <w:r>
        <w:rPr>
          <w:rFonts w:hint="eastAsia" w:hAnsi="宋体" w:cs="宋体"/>
          <w:color w:val="auto"/>
        </w:rPr>
        <w:t>⑵贬值处理：由甲乙双方合议定价。</w:t>
      </w:r>
    </w:p>
    <w:p>
      <w:pPr>
        <w:pStyle w:val="29"/>
        <w:snapToGrid w:val="0"/>
        <w:spacing w:before="120" w:after="120" w:line="360" w:lineRule="auto"/>
        <w:ind w:left="420" w:leftChars="200"/>
        <w:rPr>
          <w:rFonts w:hAnsi="宋体" w:cs="宋体"/>
          <w:color w:val="auto"/>
        </w:rPr>
      </w:pPr>
      <w:r>
        <w:rPr>
          <w:rFonts w:hint="eastAsia" w:hAnsi="宋体" w:cs="宋体"/>
          <w:color w:val="auto"/>
        </w:rPr>
        <w:t>⑶退货处理：乙方应退还甲方支付的合同款，同时应承担该货物的直接费用（运输、保险、检验、</w:t>
      </w:r>
    </w:p>
    <w:p>
      <w:pPr>
        <w:pStyle w:val="29"/>
        <w:snapToGrid w:val="0"/>
        <w:spacing w:before="120" w:after="120" w:line="360" w:lineRule="auto"/>
        <w:rPr>
          <w:rFonts w:hAnsi="宋体" w:cs="宋体"/>
          <w:color w:val="auto"/>
        </w:rPr>
      </w:pPr>
      <w:r>
        <w:rPr>
          <w:rFonts w:hint="eastAsia" w:hAnsi="宋体" w:cs="宋体"/>
          <w:color w:val="auto"/>
        </w:rPr>
        <w:t>货款利息及银行手续费等）。</w:t>
      </w:r>
    </w:p>
    <w:p>
      <w:pPr>
        <w:pStyle w:val="29"/>
        <w:snapToGrid w:val="0"/>
        <w:spacing w:before="120" w:after="120" w:line="360" w:lineRule="auto"/>
        <w:ind w:firstLine="420" w:firstLineChars="200"/>
        <w:rPr>
          <w:rFonts w:hAnsi="宋体" w:cs="宋体"/>
          <w:color w:val="auto"/>
        </w:rPr>
      </w:pPr>
      <w:r>
        <w:rPr>
          <w:rFonts w:hint="eastAsia" w:hAnsi="宋体" w:cs="宋体"/>
          <w:color w:val="auto"/>
        </w:rPr>
        <w:t>2、如在使用过程中发生质量问题，乙方在接到甲方通知后在小时内到达甲方现场处理。</w:t>
      </w:r>
    </w:p>
    <w:p>
      <w:pPr>
        <w:pStyle w:val="29"/>
        <w:snapToGrid w:val="0"/>
        <w:spacing w:before="120" w:after="120" w:line="360" w:lineRule="auto"/>
        <w:ind w:firstLine="420" w:firstLineChars="200"/>
        <w:rPr>
          <w:rFonts w:hAnsi="宋体" w:cs="宋体"/>
          <w:color w:val="auto"/>
        </w:rPr>
      </w:pPr>
      <w:r>
        <w:rPr>
          <w:rFonts w:hint="eastAsia" w:hAnsi="宋体" w:cs="宋体"/>
          <w:color w:val="auto"/>
        </w:rPr>
        <w:t>3、在质保期内，乙方应对货物出现的质量及安全问题负责处理解决并承担一切费用。</w:t>
      </w:r>
    </w:p>
    <w:p>
      <w:pPr>
        <w:snapToGrid w:val="0"/>
        <w:spacing w:line="360" w:lineRule="auto"/>
        <w:ind w:firstLine="420" w:firstLineChars="200"/>
        <w:rPr>
          <w:rFonts w:ascii="宋体" w:hAnsi="宋体" w:cs="宋体"/>
          <w:color w:val="auto"/>
        </w:rPr>
      </w:pPr>
      <w:r>
        <w:rPr>
          <w:rFonts w:hint="eastAsia" w:ascii="宋体" w:hAnsi="宋体" w:cs="宋体"/>
          <w:color w:val="auto"/>
        </w:rPr>
        <w:t>4</w:t>
      </w:r>
      <w:r>
        <w:rPr>
          <w:rFonts w:hint="eastAsia" w:ascii="宋体" w:hAnsi="宋体" w:cs="宋体"/>
          <w:color w:val="auto"/>
          <w:szCs w:val="21"/>
        </w:rPr>
        <w:t>、</w:t>
      </w:r>
      <w:r>
        <w:rPr>
          <w:rFonts w:hint="eastAsia" w:ascii="宋体" w:hAnsi="宋体" w:cs="宋体"/>
          <w:color w:val="auto"/>
        </w:rPr>
        <w:t>上述的货物免费保修期为年，因人为因素出现的故障不在免费保修范围内。超过保修期的机器设备，终生维修，维修时只收部件成本费。</w:t>
      </w:r>
    </w:p>
    <w:p>
      <w:pPr>
        <w:pStyle w:val="29"/>
        <w:snapToGrid w:val="0"/>
        <w:spacing w:before="120" w:after="120" w:line="360" w:lineRule="auto"/>
        <w:ind w:firstLine="413" w:firstLineChars="196"/>
        <w:rPr>
          <w:rFonts w:hAnsi="宋体" w:cs="宋体"/>
          <w:b/>
          <w:color w:val="auto"/>
        </w:rPr>
      </w:pPr>
      <w:r>
        <w:rPr>
          <w:rFonts w:hint="eastAsia" w:hAnsi="宋体" w:cs="宋体"/>
          <w:b/>
          <w:color w:val="auto"/>
        </w:rPr>
        <w:t>第十二条、调试和验收</w:t>
      </w:r>
    </w:p>
    <w:p>
      <w:pPr>
        <w:pStyle w:val="29"/>
        <w:snapToGrid w:val="0"/>
        <w:spacing w:before="120" w:after="120" w:line="360" w:lineRule="auto"/>
        <w:ind w:firstLine="420" w:firstLineChars="200"/>
        <w:jc w:val="left"/>
        <w:rPr>
          <w:rFonts w:hAnsi="宋体" w:cs="宋体"/>
          <w:color w:val="auto"/>
        </w:rPr>
      </w:pPr>
      <w:r>
        <w:rPr>
          <w:rFonts w:hint="eastAsia" w:hAnsi="宋体" w:cs="宋体"/>
          <w:color w:val="auto"/>
        </w:rPr>
        <w:t>1、甲方对乙方提交的货物依据招标文件上的技术规格要求和国家有关质量标准进行现场初步验收，货物符合招标文件技术要求的，给予签收，初步验收不合格的不予签收。货到后，甲方应当在安装、调试、培训完后七个工作日内进行验收。</w:t>
      </w:r>
    </w:p>
    <w:p>
      <w:pPr>
        <w:pStyle w:val="29"/>
        <w:snapToGrid w:val="0"/>
        <w:spacing w:before="120" w:after="120" w:line="360" w:lineRule="auto"/>
        <w:ind w:firstLine="420" w:firstLineChars="200"/>
        <w:rPr>
          <w:rFonts w:hAnsi="宋体" w:cs="宋体"/>
          <w:color w:val="auto"/>
        </w:rPr>
      </w:pPr>
      <w:r>
        <w:rPr>
          <w:rFonts w:hint="eastAsia" w:hAnsi="宋体" w:cs="宋体"/>
          <w:color w:val="auto"/>
        </w:rPr>
        <w:t>2、乙方交货前应对产品作出全面检查和对验收文件进行整理，并列出清单，作为甲方收货验收和使用的技术条件依据，检验的结果应随货物交甲方。</w:t>
      </w:r>
    </w:p>
    <w:p>
      <w:pPr>
        <w:pStyle w:val="29"/>
        <w:snapToGrid w:val="0"/>
        <w:spacing w:before="120" w:after="120" w:line="360" w:lineRule="auto"/>
        <w:ind w:firstLine="420" w:firstLineChars="200"/>
        <w:rPr>
          <w:rFonts w:hAnsi="宋体" w:cs="宋体"/>
          <w:color w:val="auto"/>
          <w:u w:val="single"/>
        </w:rPr>
      </w:pPr>
      <w:r>
        <w:rPr>
          <w:rFonts w:hint="eastAsia" w:hAnsi="宋体" w:cs="宋体"/>
          <w:color w:val="auto"/>
        </w:rPr>
        <w:t>3、甲方对乙方提供的货物在使用前进行调试时，乙方需负责安装并培训甲方的使用操作人员，并协助甲方一起调试，直到符合技术要求，甲方才做最终验收。</w:t>
      </w:r>
    </w:p>
    <w:p>
      <w:pPr>
        <w:pStyle w:val="29"/>
        <w:spacing w:line="380" w:lineRule="exact"/>
        <w:ind w:firstLine="420"/>
        <w:rPr>
          <w:rFonts w:hAnsi="宋体" w:cs="宋体"/>
          <w:b/>
          <w:color w:val="auto"/>
        </w:rPr>
      </w:pPr>
      <w:r>
        <w:rPr>
          <w:rFonts w:hint="eastAsia" w:hAnsi="宋体" w:cs="宋体"/>
          <w:color w:val="auto"/>
        </w:rPr>
        <w:t>4、对技术复杂的货物，甲方应请国家认可的专业检测机构参与初步验收及最终验收，并由其出具质量检测报告。</w:t>
      </w:r>
      <w:r>
        <w:rPr>
          <w:rFonts w:hint="eastAsia" w:hAnsi="宋体" w:cs="宋体"/>
          <w:b/>
          <w:color w:val="auto"/>
        </w:rPr>
        <w:t>对需国家相关部门验收合格后方能投入正常使用的产品，乙方应提供相关部门检验合格的证件。</w:t>
      </w:r>
    </w:p>
    <w:p>
      <w:pPr>
        <w:snapToGrid w:val="0"/>
        <w:spacing w:line="360" w:lineRule="auto"/>
        <w:ind w:firstLine="420" w:firstLineChars="200"/>
        <w:rPr>
          <w:rFonts w:ascii="宋体" w:hAnsi="宋体" w:cs="宋体"/>
          <w:color w:val="auto"/>
        </w:rPr>
      </w:pPr>
      <w:r>
        <w:rPr>
          <w:rFonts w:hint="eastAsia" w:ascii="宋体" w:hAnsi="宋体" w:cs="宋体"/>
          <w:color w:val="auto"/>
        </w:rPr>
        <w:t>5</w:t>
      </w:r>
      <w:r>
        <w:rPr>
          <w:rFonts w:hint="eastAsia" w:ascii="宋体" w:hAnsi="宋体" w:cs="宋体"/>
          <w:color w:val="auto"/>
          <w:szCs w:val="21"/>
        </w:rPr>
        <w:t>、</w:t>
      </w:r>
      <w:r>
        <w:rPr>
          <w:rFonts w:hint="eastAsia" w:ascii="宋体" w:hAnsi="宋体" w:cs="宋体"/>
          <w:color w:val="auto"/>
        </w:rPr>
        <w:t>验收时乙方必须在现场，验收完毕后作出验收结果报告；验收费用由乙方负责。</w:t>
      </w:r>
    </w:p>
    <w:p>
      <w:pPr>
        <w:pStyle w:val="29"/>
        <w:snapToGrid w:val="0"/>
        <w:spacing w:before="120" w:after="120" w:line="360" w:lineRule="auto"/>
        <w:ind w:firstLine="413" w:firstLineChars="196"/>
        <w:rPr>
          <w:rFonts w:hAnsi="宋体" w:cs="宋体"/>
          <w:b/>
          <w:color w:val="auto"/>
        </w:rPr>
      </w:pPr>
      <w:r>
        <w:rPr>
          <w:rFonts w:hint="eastAsia" w:hAnsi="宋体" w:cs="宋体"/>
          <w:b/>
          <w:color w:val="auto"/>
        </w:rPr>
        <w:t>第十三条、货物包装、发运及运输</w:t>
      </w:r>
    </w:p>
    <w:p>
      <w:pPr>
        <w:pStyle w:val="29"/>
        <w:snapToGrid w:val="0"/>
        <w:spacing w:before="120" w:after="120" w:line="360" w:lineRule="auto"/>
        <w:ind w:firstLine="420" w:firstLineChars="200"/>
        <w:rPr>
          <w:rFonts w:hAnsi="宋体" w:cs="宋体"/>
          <w:color w:val="auto"/>
        </w:rPr>
      </w:pPr>
      <w:r>
        <w:rPr>
          <w:rFonts w:hint="eastAsia" w:hAnsi="宋体" w:cs="宋体"/>
          <w:color w:val="auto"/>
        </w:rPr>
        <w:t>1、乙方应在货物发运前对其进行满足运输距离、防潮、防震、防锈和防破损装卸等要求包装，以保证货物安全运达甲方指定地点。</w:t>
      </w:r>
    </w:p>
    <w:p>
      <w:pPr>
        <w:pStyle w:val="29"/>
        <w:snapToGrid w:val="0"/>
        <w:spacing w:before="120" w:after="120" w:line="360" w:lineRule="auto"/>
        <w:ind w:left="420" w:leftChars="200"/>
        <w:rPr>
          <w:rFonts w:hAnsi="宋体" w:cs="宋体"/>
          <w:color w:val="auto"/>
        </w:rPr>
      </w:pPr>
      <w:r>
        <w:rPr>
          <w:rFonts w:hint="eastAsia" w:hAnsi="宋体" w:cs="宋体"/>
          <w:color w:val="auto"/>
        </w:rPr>
        <w:t>2、使用说明书、质量检验证明书、随配附件和工具以及清单一并附于货物内。</w:t>
      </w:r>
    </w:p>
    <w:p>
      <w:pPr>
        <w:pStyle w:val="29"/>
        <w:snapToGrid w:val="0"/>
        <w:spacing w:before="120" w:after="120" w:line="360" w:lineRule="auto"/>
        <w:ind w:left="420" w:leftChars="200"/>
        <w:rPr>
          <w:rFonts w:hAnsi="宋体" w:cs="宋体"/>
          <w:color w:val="auto"/>
        </w:rPr>
      </w:pPr>
      <w:r>
        <w:rPr>
          <w:rFonts w:hint="eastAsia" w:hAnsi="宋体" w:cs="宋体"/>
          <w:color w:val="auto"/>
        </w:rPr>
        <w:t>3、乙方在货物发运手续办理完毕后二十四小时内或货到甲方四十八小时前通知甲方，以准备接货。</w:t>
      </w:r>
    </w:p>
    <w:p>
      <w:pPr>
        <w:pStyle w:val="29"/>
        <w:snapToGrid w:val="0"/>
        <w:spacing w:before="120" w:after="120" w:line="360" w:lineRule="auto"/>
        <w:ind w:left="420" w:leftChars="200"/>
        <w:rPr>
          <w:rFonts w:hAnsi="宋体" w:cs="宋体"/>
          <w:color w:val="auto"/>
        </w:rPr>
      </w:pPr>
      <w:r>
        <w:rPr>
          <w:rFonts w:hint="eastAsia" w:hAnsi="宋体" w:cs="宋体"/>
          <w:color w:val="auto"/>
        </w:rPr>
        <w:t>4、货物在交付甲方前发生的风险均由乙方负责。</w:t>
      </w:r>
    </w:p>
    <w:p>
      <w:pPr>
        <w:snapToGrid w:val="0"/>
        <w:spacing w:line="360" w:lineRule="auto"/>
        <w:ind w:firstLine="420" w:firstLineChars="200"/>
        <w:rPr>
          <w:rFonts w:ascii="宋体" w:hAnsi="宋体" w:cs="宋体"/>
          <w:color w:val="auto"/>
          <w:spacing w:val="-8"/>
        </w:rPr>
      </w:pPr>
      <w:r>
        <w:rPr>
          <w:rFonts w:hint="eastAsia" w:ascii="宋体" w:hAnsi="宋体" w:cs="宋体"/>
          <w:color w:val="auto"/>
        </w:rPr>
        <w:t>5</w:t>
      </w:r>
      <w:r>
        <w:rPr>
          <w:rFonts w:hint="eastAsia" w:ascii="宋体" w:hAnsi="宋体" w:cs="宋体"/>
          <w:color w:val="auto"/>
          <w:szCs w:val="21"/>
        </w:rPr>
        <w:t>、</w:t>
      </w:r>
      <w:r>
        <w:rPr>
          <w:rFonts w:hint="eastAsia" w:ascii="宋体" w:hAnsi="宋体" w:cs="宋体"/>
          <w:color w:val="auto"/>
        </w:rPr>
        <w:t>货</w:t>
      </w:r>
      <w:r>
        <w:rPr>
          <w:rFonts w:hint="eastAsia" w:ascii="宋体" w:hAnsi="宋体" w:cs="宋体"/>
          <w:color w:val="auto"/>
          <w:spacing w:val="-8"/>
        </w:rPr>
        <w:t>物在规定的交付期限内由乙方送达甲方指定的地点视为交付，乙方同时需通知甲方货物已送达。</w:t>
      </w:r>
    </w:p>
    <w:p>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第十四条　违约责任</w:t>
      </w:r>
    </w:p>
    <w:p>
      <w:pPr>
        <w:snapToGrid w:val="0"/>
        <w:spacing w:line="360" w:lineRule="auto"/>
        <w:ind w:firstLine="539" w:firstLineChars="257"/>
        <w:rPr>
          <w:rFonts w:ascii="宋体" w:hAnsi="宋体" w:cs="宋体"/>
          <w:color w:val="auto"/>
          <w:szCs w:val="21"/>
        </w:rPr>
      </w:pPr>
      <w:r>
        <w:rPr>
          <w:rFonts w:hint="eastAsia" w:ascii="宋体" w:hAnsi="宋体" w:cs="宋体"/>
          <w:color w:val="auto"/>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auto"/>
        <w:ind w:firstLine="472" w:firstLineChars="225"/>
        <w:rPr>
          <w:rFonts w:ascii="宋体" w:hAnsi="宋体" w:cs="宋体"/>
          <w:color w:val="auto"/>
          <w:szCs w:val="21"/>
        </w:rPr>
      </w:pPr>
      <w:r>
        <w:rPr>
          <w:rFonts w:hint="eastAsia" w:ascii="宋体" w:hAnsi="宋体" w:cs="宋体"/>
          <w:color w:val="auto"/>
          <w:szCs w:val="21"/>
        </w:rPr>
        <w:t>2、乙方提供的货物如侵犯了第三方合法权益而引发的任何纠纷或诉讼，均由乙方负责交涉并承担全部责任。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3、因包装、运输引起的货物损坏，按质量不合格处理。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4、甲方无故延期接收货物、乙方逾期交货的，每天向对方偿付违约货款额‰违约金，但违约金累计不得超过违约货款额</w:t>
      </w:r>
      <w:r>
        <w:rPr>
          <w:rFonts w:hint="eastAsia" w:ascii="宋体" w:hAnsi="宋体" w:cs="宋体"/>
          <w:color w:val="auto"/>
          <w:szCs w:val="21"/>
          <w:u w:val="single"/>
        </w:rPr>
        <w:t xml:space="preserve">   % </w:t>
      </w:r>
      <w:r>
        <w:rPr>
          <w:rFonts w:hint="eastAsia" w:ascii="宋体" w:hAnsi="宋体" w:cs="宋体"/>
          <w:color w:val="auto"/>
          <w:szCs w:val="21"/>
        </w:rPr>
        <w:t>，超过天对方有权解除合同，违约方承担因此给对方造成的经济损失；甲方延期付货款的，每天向乙方偿付延期货款额</w:t>
      </w:r>
      <w:r>
        <w:rPr>
          <w:rFonts w:hint="eastAsia" w:ascii="宋体" w:hAnsi="宋体" w:cs="宋体"/>
          <w:color w:val="auto"/>
          <w:szCs w:val="21"/>
          <w:u w:val="single"/>
        </w:rPr>
        <w:t xml:space="preserve">   ‰ </w:t>
      </w:r>
      <w:r>
        <w:rPr>
          <w:rFonts w:hint="eastAsia" w:ascii="宋体" w:hAnsi="宋体" w:cs="宋体"/>
          <w:color w:val="auto"/>
          <w:szCs w:val="21"/>
        </w:rPr>
        <w:t xml:space="preserve"> 滞纳金，但滞纳金累计不得超过延期货款额</w:t>
      </w:r>
      <w:r>
        <w:rPr>
          <w:rFonts w:hint="eastAsia" w:ascii="宋体" w:hAnsi="宋体" w:cs="宋体"/>
          <w:color w:val="auto"/>
          <w:szCs w:val="21"/>
          <w:u w:val="single"/>
        </w:rPr>
        <w:t xml:space="preserve">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5、乙方未按本合同和投标文件中规定的服务承诺提供售后服务的，乙方应按本合同合计金额</w:t>
      </w:r>
      <w:r>
        <w:rPr>
          <w:rFonts w:hint="eastAsia" w:ascii="宋体" w:hAnsi="宋体" w:cs="宋体"/>
          <w:color w:val="auto"/>
          <w:szCs w:val="21"/>
          <w:u w:val="single"/>
        </w:rPr>
        <w:t xml:space="preserve">   % </w:t>
      </w:r>
      <w:r>
        <w:rPr>
          <w:rFonts w:hint="eastAsia" w:ascii="宋体" w:hAnsi="宋体" w:cs="宋体"/>
          <w:color w:val="auto"/>
          <w:szCs w:val="21"/>
        </w:rPr>
        <w:t>向甲方支付违约金。</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6、乙方提供的货物在质量保证期内，因设计、工艺或材料的缺陷和其它质量原因造成的问题，由乙方负责，费用从质量保证金中扣除，不足另补。</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7、其它违约行为按违约货款额%收取违约金并赔偿经济损失。</w:t>
      </w:r>
    </w:p>
    <w:p>
      <w:pPr>
        <w:pStyle w:val="29"/>
        <w:snapToGrid w:val="0"/>
        <w:spacing w:before="120" w:after="120" w:line="360" w:lineRule="auto"/>
        <w:ind w:firstLine="413" w:firstLineChars="196"/>
        <w:rPr>
          <w:rFonts w:hAnsi="宋体" w:cs="宋体"/>
          <w:b/>
          <w:color w:val="auto"/>
        </w:rPr>
      </w:pPr>
      <w:r>
        <w:rPr>
          <w:rFonts w:hint="eastAsia" w:hAnsi="宋体" w:cs="宋体"/>
          <w:b/>
          <w:color w:val="auto"/>
        </w:rPr>
        <w:t>第十五条、不可抗力事件处理</w:t>
      </w:r>
    </w:p>
    <w:p>
      <w:pPr>
        <w:pStyle w:val="29"/>
        <w:snapToGrid w:val="0"/>
        <w:spacing w:before="120" w:after="120" w:line="360" w:lineRule="auto"/>
        <w:ind w:firstLine="420" w:firstLineChars="200"/>
        <w:rPr>
          <w:rFonts w:hAnsi="宋体" w:cs="宋体"/>
          <w:color w:val="auto"/>
        </w:rPr>
      </w:pPr>
      <w:r>
        <w:rPr>
          <w:rFonts w:hint="eastAsia" w:hAnsi="宋体" w:cs="宋体"/>
          <w:color w:val="auto"/>
        </w:rPr>
        <w:t>1、在合同有效期内，任何一方因不可抗力事件导致不能履行合同，则合同履行期可延长，其延长期与不可抗力影响期相同。</w:t>
      </w:r>
    </w:p>
    <w:p>
      <w:pPr>
        <w:pStyle w:val="29"/>
        <w:snapToGrid w:val="0"/>
        <w:spacing w:before="120" w:after="120" w:line="360" w:lineRule="auto"/>
        <w:ind w:firstLine="420" w:firstLineChars="200"/>
        <w:rPr>
          <w:rFonts w:hAnsi="宋体" w:cs="宋体"/>
          <w:color w:val="auto"/>
        </w:rPr>
      </w:pPr>
      <w:r>
        <w:rPr>
          <w:rFonts w:hint="eastAsia" w:hAnsi="宋体" w:cs="宋体"/>
          <w:color w:val="auto"/>
        </w:rPr>
        <w:t>2、不可抗力事件发生后，应立即通知对方，并寄送有关权威机构出具的证明。</w:t>
      </w:r>
    </w:p>
    <w:p>
      <w:pPr>
        <w:snapToGrid w:val="0"/>
        <w:spacing w:line="360" w:lineRule="auto"/>
        <w:ind w:firstLine="420" w:firstLineChars="200"/>
        <w:rPr>
          <w:rFonts w:ascii="宋体" w:hAnsi="宋体" w:cs="宋体"/>
          <w:color w:val="auto"/>
        </w:rPr>
      </w:pPr>
      <w:r>
        <w:rPr>
          <w:rFonts w:hint="eastAsia" w:ascii="宋体" w:hAnsi="宋体" w:cs="宋体"/>
          <w:color w:val="auto"/>
        </w:rPr>
        <w:t>3</w:t>
      </w:r>
      <w:r>
        <w:rPr>
          <w:rFonts w:hint="eastAsia" w:ascii="宋体" w:hAnsi="宋体" w:cs="宋体"/>
          <w:color w:val="auto"/>
          <w:szCs w:val="21"/>
        </w:rPr>
        <w:t>、</w:t>
      </w:r>
      <w:r>
        <w:rPr>
          <w:rFonts w:hint="eastAsia" w:ascii="宋体" w:hAnsi="宋体" w:cs="宋体"/>
          <w:color w:val="auto"/>
        </w:rPr>
        <w:t>不可抗力事件延续一百二十天以上，双方应通过友好协商，确定是否继续履行合同。</w:t>
      </w:r>
    </w:p>
    <w:p>
      <w:pPr>
        <w:snapToGrid w:val="0"/>
        <w:spacing w:line="360" w:lineRule="auto"/>
        <w:ind w:firstLine="422" w:firstLineChars="200"/>
        <w:rPr>
          <w:rFonts w:ascii="宋体" w:hAnsi="宋体" w:cs="宋体"/>
          <w:color w:val="auto"/>
          <w:szCs w:val="21"/>
        </w:rPr>
      </w:pPr>
      <w:r>
        <w:rPr>
          <w:rFonts w:hint="eastAsia" w:ascii="宋体" w:hAnsi="宋体" w:cs="宋体"/>
          <w:b/>
          <w:color w:val="auto"/>
          <w:szCs w:val="21"/>
        </w:rPr>
        <w:t>第十六条  合同争议解决</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1、因货物质量问题发生争议的，应邀请国家认可的质量检测机构对货物质量进行鉴定。货物符合标准的，鉴定费由甲方承担；货物不符合标准的，鉴定费由乙方承担。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2、因履行本合同引起的或与本合同有关的争议，甲乙双方应首先通过友好协商解决，如果协商不能解决，可向人民法院提起诉讼。</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3、诉讼期间，本合同继续履行。</w:t>
      </w:r>
    </w:p>
    <w:p>
      <w:pPr>
        <w:pStyle w:val="29"/>
        <w:snapToGrid w:val="0"/>
        <w:spacing w:before="120" w:after="120" w:line="360" w:lineRule="auto"/>
        <w:ind w:firstLine="413" w:firstLineChars="196"/>
        <w:rPr>
          <w:rFonts w:hAnsi="宋体" w:cs="宋体"/>
          <w:b/>
          <w:color w:val="auto"/>
        </w:rPr>
      </w:pPr>
      <w:r>
        <w:rPr>
          <w:rFonts w:hint="eastAsia" w:hAnsi="宋体" w:cs="宋体"/>
          <w:b/>
          <w:color w:val="auto"/>
        </w:rPr>
        <w:t>第十七条   诉讼</w:t>
      </w:r>
    </w:p>
    <w:p>
      <w:pPr>
        <w:pStyle w:val="29"/>
        <w:snapToGrid w:val="0"/>
        <w:spacing w:before="120" w:after="120" w:line="360" w:lineRule="auto"/>
        <w:ind w:firstLine="359" w:firstLineChars="171"/>
        <w:rPr>
          <w:rFonts w:hAnsi="宋体" w:cs="宋体"/>
          <w:color w:val="auto"/>
        </w:rPr>
      </w:pPr>
      <w:r>
        <w:rPr>
          <w:rFonts w:hint="eastAsia" w:hAnsi="宋体" w:cs="宋体"/>
          <w:color w:val="auto"/>
        </w:rPr>
        <w:t xml:space="preserve"> 双方在执行合同中所发生的一切争议，应通过协商解决。如协商不能解决，可向仲裁委员会申请仲裁或向人民法院提起诉讼。</w:t>
      </w:r>
    </w:p>
    <w:p>
      <w:pPr>
        <w:pStyle w:val="29"/>
        <w:snapToGrid w:val="0"/>
        <w:spacing w:before="120" w:after="120" w:line="360" w:lineRule="auto"/>
        <w:ind w:firstLine="413" w:firstLineChars="196"/>
        <w:rPr>
          <w:rFonts w:hAnsi="宋体" w:cs="宋体"/>
          <w:b/>
          <w:color w:val="auto"/>
        </w:rPr>
      </w:pPr>
      <w:r>
        <w:rPr>
          <w:rFonts w:hint="eastAsia" w:hAnsi="宋体" w:cs="宋体"/>
          <w:b/>
          <w:color w:val="auto"/>
        </w:rPr>
        <w:t>第十八条、合同生效及其它</w:t>
      </w:r>
    </w:p>
    <w:p>
      <w:pPr>
        <w:pStyle w:val="29"/>
        <w:snapToGrid w:val="0"/>
        <w:spacing w:before="120" w:after="120" w:line="360" w:lineRule="auto"/>
        <w:ind w:firstLine="422" w:firstLineChars="200"/>
        <w:rPr>
          <w:rFonts w:hAnsi="宋体" w:cs="宋体"/>
          <w:b/>
          <w:color w:val="auto"/>
        </w:rPr>
      </w:pPr>
      <w:r>
        <w:rPr>
          <w:rFonts w:hint="eastAsia" w:hAnsi="宋体" w:cs="宋体"/>
          <w:b/>
          <w:color w:val="auto"/>
        </w:rPr>
        <w:t>1、合同经双方法定代表人或授权代表签字并加盖单位公章后生效。</w:t>
      </w:r>
    </w:p>
    <w:p>
      <w:pPr>
        <w:pStyle w:val="29"/>
        <w:snapToGrid w:val="0"/>
        <w:spacing w:before="120" w:after="120" w:line="360" w:lineRule="auto"/>
        <w:ind w:firstLine="422" w:firstLineChars="200"/>
        <w:rPr>
          <w:rFonts w:hAnsi="宋体" w:cs="宋体"/>
          <w:b/>
          <w:color w:val="auto"/>
        </w:rPr>
      </w:pPr>
      <w:r>
        <w:rPr>
          <w:rFonts w:hint="eastAsia" w:hAnsi="宋体" w:cs="宋体"/>
          <w:b/>
          <w:color w:val="auto"/>
        </w:rPr>
        <w:t>2、合同执行中涉及采购资金和采购内容修改或补充的，须经财政部门审批，并签书面补充协议报财政部门备案，方可作为主合同不可分割的一部分。</w:t>
      </w:r>
    </w:p>
    <w:p>
      <w:pPr>
        <w:snapToGrid w:val="0"/>
        <w:spacing w:line="360" w:lineRule="auto"/>
        <w:ind w:firstLine="422" w:firstLineChars="200"/>
        <w:rPr>
          <w:rFonts w:ascii="宋体" w:hAnsi="宋体" w:cs="宋体"/>
          <w:b/>
          <w:color w:val="auto"/>
        </w:rPr>
      </w:pPr>
      <w:r>
        <w:rPr>
          <w:rFonts w:hint="eastAsia" w:ascii="宋体" w:hAnsi="宋体" w:cs="宋体"/>
          <w:b/>
          <w:color w:val="auto"/>
        </w:rPr>
        <w:t>3</w:t>
      </w:r>
      <w:r>
        <w:rPr>
          <w:rFonts w:hint="eastAsia" w:ascii="宋体" w:hAnsi="宋体" w:cs="宋体"/>
          <w:b/>
          <w:color w:val="auto"/>
          <w:szCs w:val="21"/>
        </w:rPr>
        <w:t>、</w:t>
      </w:r>
      <w:r>
        <w:rPr>
          <w:rFonts w:hint="eastAsia" w:ascii="宋体" w:hAnsi="宋体" w:cs="宋体"/>
          <w:b/>
          <w:color w:val="auto"/>
        </w:rPr>
        <w:t>本合同未尽事宜，遵照《合同法》有关条文执行。</w:t>
      </w:r>
    </w:p>
    <w:p>
      <w:pPr>
        <w:pStyle w:val="29"/>
        <w:snapToGrid w:val="0"/>
        <w:spacing w:before="120" w:after="120" w:line="360" w:lineRule="auto"/>
        <w:ind w:firstLine="413" w:firstLineChars="196"/>
        <w:rPr>
          <w:rFonts w:hAnsi="宋体" w:cs="宋体"/>
          <w:b/>
          <w:color w:val="auto"/>
        </w:rPr>
      </w:pPr>
      <w:r>
        <w:rPr>
          <w:rFonts w:hint="eastAsia" w:hAnsi="宋体" w:cs="宋体"/>
          <w:b/>
          <w:color w:val="auto"/>
        </w:rPr>
        <w:t>第十九条、合同的变更、终止与转让</w:t>
      </w:r>
    </w:p>
    <w:p>
      <w:pPr>
        <w:pStyle w:val="29"/>
        <w:snapToGrid w:val="0"/>
        <w:spacing w:before="120" w:after="120" w:line="360" w:lineRule="auto"/>
        <w:ind w:firstLine="420" w:firstLineChars="200"/>
        <w:rPr>
          <w:rFonts w:hAnsi="宋体" w:cs="宋体"/>
          <w:color w:val="auto"/>
        </w:rPr>
      </w:pPr>
      <w:r>
        <w:rPr>
          <w:rFonts w:hint="eastAsia" w:hAnsi="宋体" w:cs="宋体"/>
          <w:color w:val="auto"/>
        </w:rPr>
        <w:t>1、除《中华人民共和国政府采购法》第五十条规定的情形外，本合同一经签订，甲乙双方不得擅自变更、中止或终止。</w:t>
      </w:r>
    </w:p>
    <w:p>
      <w:pPr>
        <w:pStyle w:val="29"/>
        <w:snapToGrid w:val="0"/>
        <w:spacing w:before="120" w:after="120" w:line="360" w:lineRule="auto"/>
        <w:ind w:firstLine="420" w:firstLineChars="200"/>
        <w:rPr>
          <w:rFonts w:hAnsi="宋体" w:cs="宋体"/>
          <w:color w:val="auto"/>
        </w:rPr>
      </w:pPr>
      <w:r>
        <w:rPr>
          <w:rFonts w:hint="eastAsia" w:hAnsi="宋体" w:cs="宋体"/>
          <w:color w:val="auto"/>
        </w:rPr>
        <w:t>2、乙方不得擅自转让（无进口资格的供应商委托进口货物除外）其应履行的合同义务。</w:t>
      </w:r>
    </w:p>
    <w:p>
      <w:pPr>
        <w:snapToGrid w:val="0"/>
        <w:spacing w:line="360" w:lineRule="auto"/>
        <w:ind w:firstLine="420" w:firstLineChars="200"/>
        <w:rPr>
          <w:rFonts w:ascii="宋体" w:hAnsi="宋体" w:cs="宋体"/>
          <w:color w:val="auto"/>
        </w:rPr>
      </w:pPr>
      <w:r>
        <w:rPr>
          <w:rFonts w:hint="eastAsia" w:ascii="宋体" w:hAnsi="宋体" w:cs="宋体"/>
          <w:color w:val="auto"/>
        </w:rPr>
        <w:t>3</w:t>
      </w:r>
      <w:r>
        <w:rPr>
          <w:rFonts w:hint="eastAsia" w:ascii="宋体" w:hAnsi="宋体" w:cs="宋体"/>
          <w:color w:val="auto"/>
          <w:szCs w:val="21"/>
        </w:rPr>
        <w:t>、</w:t>
      </w:r>
      <w:r>
        <w:rPr>
          <w:rFonts w:hint="eastAsia" w:ascii="宋体" w:hAnsi="宋体" w:cs="宋体"/>
          <w:color w:val="auto"/>
        </w:rPr>
        <w:t>合同经双方法定代表人或授权代表签字并加盖单位公章后生效。</w:t>
      </w:r>
    </w:p>
    <w:p>
      <w:pPr>
        <w:pStyle w:val="29"/>
        <w:snapToGrid w:val="0"/>
        <w:spacing w:before="120" w:after="120" w:line="360" w:lineRule="auto"/>
        <w:ind w:firstLine="420" w:firstLineChars="200"/>
        <w:rPr>
          <w:rFonts w:hAnsi="宋体" w:cs="宋体"/>
          <w:color w:val="auto"/>
        </w:rPr>
      </w:pPr>
      <w:r>
        <w:rPr>
          <w:rFonts w:hint="eastAsia" w:hAnsi="宋体" w:cs="宋体"/>
          <w:color w:val="auto"/>
        </w:rPr>
        <w:t>4、合同执行中涉及采购资金和采购内容修改或补充的，须经财政部门审批，并签书面补充协议报财政部门备案，方可作为主合同不可分割的一部分。</w:t>
      </w:r>
    </w:p>
    <w:p>
      <w:pPr>
        <w:snapToGrid w:val="0"/>
        <w:spacing w:line="360" w:lineRule="auto"/>
        <w:ind w:firstLine="420" w:firstLineChars="200"/>
        <w:rPr>
          <w:rFonts w:ascii="宋体" w:hAnsi="宋体" w:cs="宋体"/>
          <w:color w:val="auto"/>
        </w:rPr>
      </w:pPr>
      <w:r>
        <w:rPr>
          <w:rFonts w:hint="eastAsia" w:ascii="宋体" w:hAnsi="宋体" w:cs="宋体"/>
          <w:color w:val="auto"/>
        </w:rPr>
        <w:t>5</w:t>
      </w:r>
      <w:r>
        <w:rPr>
          <w:rFonts w:hint="eastAsia" w:ascii="宋体" w:hAnsi="宋体" w:cs="宋体"/>
          <w:color w:val="auto"/>
          <w:szCs w:val="21"/>
        </w:rPr>
        <w:t>、</w:t>
      </w:r>
      <w:r>
        <w:rPr>
          <w:rFonts w:hint="eastAsia" w:ascii="宋体" w:hAnsi="宋体" w:cs="宋体"/>
          <w:color w:val="auto"/>
        </w:rPr>
        <w:t>本合同未尽事宜，遵照《合同法》有关条文执行。</w:t>
      </w:r>
    </w:p>
    <w:p>
      <w:pPr>
        <w:pStyle w:val="29"/>
        <w:snapToGrid w:val="0"/>
        <w:spacing w:before="120" w:after="120" w:line="360" w:lineRule="auto"/>
        <w:ind w:firstLine="413" w:firstLineChars="196"/>
        <w:rPr>
          <w:rFonts w:hAnsi="宋体" w:cs="宋体"/>
          <w:b/>
          <w:color w:val="auto"/>
        </w:rPr>
      </w:pPr>
      <w:r>
        <w:rPr>
          <w:rFonts w:hint="eastAsia" w:hAnsi="宋体" w:cs="宋体"/>
          <w:b/>
          <w:color w:val="auto"/>
        </w:rPr>
        <w:t>第二十条、签订本合同依据</w:t>
      </w:r>
    </w:p>
    <w:p>
      <w:pPr>
        <w:pStyle w:val="29"/>
        <w:snapToGrid w:val="0"/>
        <w:spacing w:before="120" w:after="120" w:line="360" w:lineRule="auto"/>
        <w:ind w:firstLine="420" w:firstLineChars="200"/>
        <w:rPr>
          <w:rFonts w:hAnsi="宋体" w:cs="宋体"/>
          <w:color w:val="auto"/>
        </w:rPr>
      </w:pPr>
      <w:r>
        <w:rPr>
          <w:rFonts w:hint="eastAsia" w:hAnsi="宋体" w:cs="宋体"/>
          <w:color w:val="auto"/>
        </w:rPr>
        <w:t>1、政府采购招标文件；</w:t>
      </w:r>
    </w:p>
    <w:p>
      <w:pPr>
        <w:pStyle w:val="29"/>
        <w:snapToGrid w:val="0"/>
        <w:spacing w:before="120" w:after="120" w:line="360" w:lineRule="auto"/>
        <w:ind w:firstLine="420" w:firstLineChars="200"/>
        <w:rPr>
          <w:rFonts w:hAnsi="宋体" w:cs="宋体"/>
          <w:color w:val="auto"/>
        </w:rPr>
      </w:pPr>
      <w:r>
        <w:rPr>
          <w:rFonts w:hint="eastAsia" w:hAnsi="宋体" w:cs="宋体"/>
          <w:color w:val="auto"/>
        </w:rPr>
        <w:t>2、乙方提供的采购投标（或应答）文件；</w:t>
      </w:r>
    </w:p>
    <w:p>
      <w:pPr>
        <w:snapToGrid w:val="0"/>
        <w:spacing w:line="360" w:lineRule="auto"/>
        <w:ind w:firstLine="420" w:firstLineChars="200"/>
        <w:rPr>
          <w:rFonts w:ascii="宋体" w:hAnsi="宋体" w:cs="宋体"/>
          <w:color w:val="auto"/>
        </w:rPr>
      </w:pPr>
      <w:r>
        <w:rPr>
          <w:rFonts w:hint="eastAsia" w:ascii="宋体" w:hAnsi="宋体" w:cs="宋体"/>
          <w:color w:val="auto"/>
        </w:rPr>
        <w:t>3</w:t>
      </w:r>
      <w:r>
        <w:rPr>
          <w:rFonts w:hint="eastAsia" w:ascii="宋体" w:hAnsi="宋体" w:cs="宋体"/>
          <w:color w:val="auto"/>
          <w:szCs w:val="21"/>
        </w:rPr>
        <w:t>、</w:t>
      </w:r>
      <w:r>
        <w:rPr>
          <w:rFonts w:hint="eastAsia" w:ascii="宋体" w:hAnsi="宋体" w:cs="宋体"/>
          <w:color w:val="auto"/>
        </w:rPr>
        <w:t>投标承诺书；</w:t>
      </w:r>
    </w:p>
    <w:p>
      <w:pPr>
        <w:snapToGrid w:val="0"/>
        <w:spacing w:line="360" w:lineRule="auto"/>
        <w:ind w:firstLine="420" w:firstLineChars="200"/>
        <w:rPr>
          <w:rFonts w:ascii="宋体" w:hAnsi="宋体" w:cs="宋体"/>
          <w:color w:val="auto"/>
        </w:rPr>
      </w:pPr>
      <w:r>
        <w:rPr>
          <w:rFonts w:hint="eastAsia" w:ascii="宋体" w:hAnsi="宋体" w:cs="宋体"/>
          <w:color w:val="auto"/>
        </w:rPr>
        <w:t>4、中标或中标通知书。</w:t>
      </w:r>
    </w:p>
    <w:p>
      <w:pPr>
        <w:snapToGrid w:val="0"/>
        <w:spacing w:line="360" w:lineRule="auto"/>
        <w:ind w:firstLine="422" w:firstLineChars="200"/>
        <w:rPr>
          <w:rFonts w:ascii="宋体" w:hAnsi="宋体" w:cs="宋体"/>
          <w:color w:val="auto"/>
        </w:rPr>
      </w:pPr>
      <w:r>
        <w:rPr>
          <w:rFonts w:hint="eastAsia" w:ascii="宋体" w:hAnsi="宋体" w:cs="宋体"/>
          <w:b/>
          <w:color w:val="auto"/>
        </w:rPr>
        <w:t xml:space="preserve">第二十一条  </w:t>
      </w:r>
      <w:r>
        <w:rPr>
          <w:rFonts w:hint="eastAsia" w:ascii="宋体" w:hAnsi="宋体" w:cs="宋体"/>
          <w:color w:val="auto"/>
        </w:rPr>
        <w:t>本合同一式六份，具有同等法律效力，财政部门（政府采购监管部门）、招标代理机构各一份，甲乙双方各一份（可根据需要另增加）。</w:t>
      </w:r>
    </w:p>
    <w:p>
      <w:pPr>
        <w:snapToGrid w:val="0"/>
        <w:spacing w:line="360" w:lineRule="auto"/>
        <w:ind w:firstLine="420" w:firstLineChars="200"/>
        <w:rPr>
          <w:rFonts w:ascii="宋体" w:hAnsi="宋体" w:cs="宋体"/>
          <w:color w:val="auto"/>
        </w:rPr>
      </w:pPr>
      <w:r>
        <w:rPr>
          <w:rFonts w:hint="eastAsia" w:ascii="宋体" w:hAnsi="宋体" w:cs="宋体"/>
          <w:color w:val="auto"/>
        </w:rPr>
        <w:t>本合同甲乙双方签字盖章后生效，自签订之日起七个工作日内，招标单位或招标代理机构应当将合同副本报同级财政部门备案。</w:t>
      </w:r>
    </w:p>
    <w:tbl>
      <w:tblPr>
        <w:tblStyle w:val="53"/>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 xml:space="preserve">甲方（章）           </w:t>
            </w:r>
          </w:p>
          <w:p>
            <w:pPr>
              <w:keepNext w:val="0"/>
              <w:keepLines w:val="0"/>
              <w:suppressLineNumbers w:val="0"/>
              <w:snapToGrid w:val="0"/>
              <w:spacing w:before="0" w:beforeAutospacing="0" w:after="0" w:afterAutospacing="0"/>
              <w:ind w:left="0" w:right="0" w:firstLine="945" w:firstLineChars="450"/>
              <w:jc w:val="right"/>
              <w:rPr>
                <w:rFonts w:hint="default" w:ascii="宋体" w:hAnsi="宋体" w:cs="宋体"/>
                <w:color w:val="auto"/>
                <w:szCs w:val="21"/>
              </w:rPr>
            </w:pPr>
            <w:r>
              <w:rPr>
                <w:rFonts w:hint="eastAsia" w:ascii="宋体" w:hAnsi="宋体" w:cs="宋体"/>
                <w:color w:val="auto"/>
                <w:szCs w:val="21"/>
              </w:rPr>
              <w:t>年   月   日</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 xml:space="preserve">乙方（章）              </w:t>
            </w:r>
          </w:p>
          <w:p>
            <w:pPr>
              <w:keepNext w:val="0"/>
              <w:keepLines w:val="0"/>
              <w:suppressLineNumbers w:val="0"/>
              <w:snapToGrid w:val="0"/>
              <w:spacing w:before="0" w:beforeAutospacing="0" w:after="0" w:afterAutospacing="0"/>
              <w:ind w:left="0" w:right="0"/>
              <w:jc w:val="right"/>
              <w:rPr>
                <w:rFonts w:hint="default" w:ascii="宋体" w:hAnsi="宋体" w:cs="宋体"/>
                <w:color w:val="auto"/>
                <w:szCs w:val="21"/>
              </w:rPr>
            </w:pPr>
            <w:r>
              <w:rPr>
                <w:rFonts w:hint="eastAsia" w:ascii="宋体" w:hAnsi="宋体" w:cs="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单位地址：</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法定代表人：</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委托代理人：</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电    话：</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电子邮箱：</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开户银行：</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账    号：</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邮政编码：</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9033" w:type="dxa"/>
            <w:gridSpan w:val="2"/>
          </w:tcPr>
          <w:p>
            <w:pPr>
              <w:keepNext w:val="0"/>
              <w:keepLines w:val="0"/>
              <w:suppressLineNumbers w:val="0"/>
              <w:snapToGrid w:val="0"/>
              <w:spacing w:before="0" w:beforeAutospacing="0" w:after="0" w:afterAutospacing="0"/>
              <w:ind w:left="2430" w:leftChars="1007" w:right="0" w:hanging="315" w:hangingChars="150"/>
              <w:rPr>
                <w:rFonts w:hint="default" w:ascii="宋体" w:hAnsi="宋体" w:cs="宋体"/>
                <w:color w:val="auto"/>
                <w:szCs w:val="21"/>
              </w:rPr>
            </w:pPr>
          </w:p>
          <w:p>
            <w:pPr>
              <w:keepNext w:val="0"/>
              <w:keepLines w:val="0"/>
              <w:suppressLineNumbers w:val="0"/>
              <w:snapToGrid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经办人：</w:t>
            </w:r>
          </w:p>
          <w:p>
            <w:pPr>
              <w:keepNext w:val="0"/>
              <w:keepLines w:val="0"/>
              <w:suppressLineNumbers w:val="0"/>
              <w:snapToGrid w:val="0"/>
              <w:spacing w:before="0" w:beforeAutospacing="0" w:after="0" w:afterAutospacing="0"/>
              <w:ind w:left="0" w:right="0" w:firstLine="630" w:firstLineChars="300"/>
              <w:jc w:val="right"/>
              <w:rPr>
                <w:rFonts w:hint="default" w:ascii="宋体" w:hAnsi="宋体" w:cs="宋体"/>
                <w:color w:val="auto"/>
                <w:szCs w:val="21"/>
              </w:rPr>
            </w:pPr>
            <w:r>
              <w:rPr>
                <w:rFonts w:hint="eastAsia" w:ascii="宋体" w:hAnsi="宋体" w:cs="宋体"/>
                <w:color w:val="auto"/>
                <w:szCs w:val="21"/>
              </w:rPr>
              <w:t>年    月    日</w:t>
            </w:r>
          </w:p>
        </w:tc>
      </w:tr>
    </w:tbl>
    <w:p>
      <w:pPr>
        <w:snapToGrid w:val="0"/>
        <w:spacing w:line="360" w:lineRule="auto"/>
        <w:rPr>
          <w:rFonts w:ascii="宋体" w:hAnsi="宋体" w:cs="宋体"/>
          <w:b/>
          <w:color w:val="auto"/>
          <w:sz w:val="28"/>
          <w:szCs w:val="28"/>
        </w:rPr>
      </w:pPr>
    </w:p>
    <w:p>
      <w:pPr>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合 同 附 件</w:t>
      </w:r>
    </w:p>
    <w:p>
      <w:pPr>
        <w:snapToGrid w:val="0"/>
        <w:rPr>
          <w:rFonts w:ascii="宋体" w:hAnsi="宋体" w:cs="宋体"/>
          <w:color w:val="auto"/>
          <w:szCs w:val="21"/>
        </w:rPr>
      </w:pPr>
    </w:p>
    <w:tbl>
      <w:tblPr>
        <w:tblStyle w:val="53"/>
        <w:tblW w:w="8928" w:type="dxa"/>
        <w:jc w:val="center"/>
        <w:tblLayout w:type="fixed"/>
        <w:tblCellMar>
          <w:top w:w="0" w:type="dxa"/>
          <w:left w:w="108" w:type="dxa"/>
          <w:bottom w:w="0" w:type="dxa"/>
          <w:right w:w="108" w:type="dxa"/>
        </w:tblCellMar>
      </w:tblPr>
      <w:tblGrid>
        <w:gridCol w:w="4248"/>
        <w:gridCol w:w="4680"/>
      </w:tblGrid>
      <w:tr>
        <w:tblPrEx>
          <w:tblCellMar>
            <w:top w:w="0" w:type="dxa"/>
            <w:left w:w="108" w:type="dxa"/>
            <w:bottom w:w="0" w:type="dxa"/>
            <w:right w:w="108" w:type="dxa"/>
          </w:tblCellMar>
        </w:tblPrEx>
        <w:trPr>
          <w:trHeight w:val="454" w:hRule="exact"/>
          <w:jc w:val="center"/>
        </w:trPr>
        <w:tc>
          <w:tcPr>
            <w:tcW w:w="8928" w:type="dxa"/>
            <w:gridSpan w:val="2"/>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firstLine="480" w:firstLineChars="200"/>
              <w:rPr>
                <w:rFonts w:hint="default" w:ascii="宋体" w:hAnsi="宋体" w:cs="宋体"/>
                <w:color w:val="auto"/>
                <w:sz w:val="24"/>
              </w:rPr>
            </w:pPr>
            <w:r>
              <w:rPr>
                <w:rFonts w:hint="eastAsia" w:ascii="宋体" w:hAnsi="宋体" w:cs="宋体"/>
                <w:color w:val="auto"/>
                <w:sz w:val="24"/>
              </w:rPr>
              <w:t>1、供应商承诺具体事项：</w:t>
            </w:r>
          </w:p>
        </w:tc>
      </w:tr>
      <w:tr>
        <w:tblPrEx>
          <w:tblCellMar>
            <w:top w:w="0" w:type="dxa"/>
            <w:left w:w="108" w:type="dxa"/>
            <w:bottom w:w="0" w:type="dxa"/>
            <w:right w:w="108" w:type="dxa"/>
          </w:tblCellMar>
        </w:tblPrEx>
        <w:trPr>
          <w:trHeight w:val="454" w:hRule="exact"/>
          <w:jc w:val="center"/>
        </w:trPr>
        <w:tc>
          <w:tcPr>
            <w:tcW w:w="8928" w:type="dxa"/>
            <w:gridSpan w:val="2"/>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firstLine="480" w:firstLineChars="200"/>
              <w:rPr>
                <w:rFonts w:hint="default" w:ascii="宋体" w:hAnsi="宋体" w:cs="宋体"/>
                <w:color w:val="auto"/>
                <w:sz w:val="24"/>
              </w:rPr>
            </w:pPr>
          </w:p>
        </w:tc>
      </w:tr>
      <w:tr>
        <w:tblPrEx>
          <w:tblCellMar>
            <w:top w:w="0" w:type="dxa"/>
            <w:left w:w="108" w:type="dxa"/>
            <w:bottom w:w="0" w:type="dxa"/>
            <w:right w:w="108" w:type="dxa"/>
          </w:tblCellMar>
        </w:tblPrEx>
        <w:trPr>
          <w:trHeight w:val="167" w:hRule="exact"/>
          <w:jc w:val="center"/>
        </w:trPr>
        <w:tc>
          <w:tcPr>
            <w:tcW w:w="8928" w:type="dxa"/>
            <w:gridSpan w:val="2"/>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宋体"/>
                <w:color w:val="auto"/>
                <w:sz w:val="24"/>
              </w:rPr>
            </w:pPr>
          </w:p>
        </w:tc>
      </w:tr>
      <w:tr>
        <w:tblPrEx>
          <w:tblCellMar>
            <w:top w:w="0" w:type="dxa"/>
            <w:left w:w="108" w:type="dxa"/>
            <w:bottom w:w="0" w:type="dxa"/>
            <w:right w:w="108" w:type="dxa"/>
          </w:tblCellMar>
        </w:tblPrEx>
        <w:trPr>
          <w:trHeight w:val="454" w:hRule="exact"/>
          <w:jc w:val="center"/>
        </w:trPr>
        <w:tc>
          <w:tcPr>
            <w:tcW w:w="8928" w:type="dxa"/>
            <w:gridSpan w:val="2"/>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firstLine="480" w:firstLineChars="200"/>
              <w:rPr>
                <w:rFonts w:hint="default" w:ascii="宋体" w:hAnsi="宋体" w:cs="宋体"/>
                <w:color w:val="auto"/>
                <w:sz w:val="24"/>
              </w:rPr>
            </w:pPr>
            <w:r>
              <w:rPr>
                <w:rFonts w:hint="eastAsia" w:ascii="宋体" w:hAnsi="宋体" w:cs="宋体"/>
                <w:color w:val="auto"/>
                <w:sz w:val="24"/>
              </w:rPr>
              <w:t>2、售后服务具体事项：</w:t>
            </w:r>
          </w:p>
        </w:tc>
      </w:tr>
      <w:tr>
        <w:tblPrEx>
          <w:tblCellMar>
            <w:top w:w="0" w:type="dxa"/>
            <w:left w:w="108" w:type="dxa"/>
            <w:bottom w:w="0" w:type="dxa"/>
            <w:right w:w="108" w:type="dxa"/>
          </w:tblCellMar>
        </w:tblPrEx>
        <w:trPr>
          <w:trHeight w:val="454" w:hRule="exact"/>
          <w:jc w:val="center"/>
        </w:trPr>
        <w:tc>
          <w:tcPr>
            <w:tcW w:w="8928" w:type="dxa"/>
            <w:gridSpan w:val="2"/>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firstLine="480" w:firstLineChars="200"/>
              <w:rPr>
                <w:rFonts w:hint="default" w:ascii="宋体" w:hAnsi="宋体" w:cs="宋体"/>
                <w:color w:val="auto"/>
                <w:sz w:val="24"/>
              </w:rPr>
            </w:pPr>
          </w:p>
        </w:tc>
      </w:tr>
      <w:tr>
        <w:tblPrEx>
          <w:tblCellMar>
            <w:top w:w="0" w:type="dxa"/>
            <w:left w:w="108" w:type="dxa"/>
            <w:bottom w:w="0" w:type="dxa"/>
            <w:right w:w="108" w:type="dxa"/>
          </w:tblCellMar>
        </w:tblPrEx>
        <w:trPr>
          <w:trHeight w:val="239" w:hRule="exact"/>
          <w:jc w:val="center"/>
        </w:trPr>
        <w:tc>
          <w:tcPr>
            <w:tcW w:w="8928" w:type="dxa"/>
            <w:gridSpan w:val="2"/>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firstLine="480" w:firstLineChars="200"/>
              <w:rPr>
                <w:rFonts w:hint="default" w:ascii="宋体" w:hAnsi="宋体" w:cs="宋体"/>
                <w:color w:val="auto"/>
                <w:sz w:val="24"/>
              </w:rPr>
            </w:pPr>
          </w:p>
        </w:tc>
      </w:tr>
      <w:tr>
        <w:tblPrEx>
          <w:tblCellMar>
            <w:top w:w="0" w:type="dxa"/>
            <w:left w:w="108" w:type="dxa"/>
            <w:bottom w:w="0" w:type="dxa"/>
            <w:right w:w="108" w:type="dxa"/>
          </w:tblCellMar>
        </w:tblPrEx>
        <w:trPr>
          <w:trHeight w:val="454" w:hRule="exact"/>
          <w:jc w:val="center"/>
        </w:trPr>
        <w:tc>
          <w:tcPr>
            <w:tcW w:w="8928" w:type="dxa"/>
            <w:gridSpan w:val="2"/>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firstLine="480" w:firstLineChars="200"/>
              <w:rPr>
                <w:rFonts w:hint="default" w:ascii="宋体" w:hAnsi="宋体" w:cs="宋体"/>
                <w:color w:val="auto"/>
                <w:sz w:val="24"/>
              </w:rPr>
            </w:pPr>
            <w:r>
              <w:rPr>
                <w:rFonts w:hint="eastAsia" w:ascii="宋体" w:hAnsi="宋体" w:cs="宋体"/>
                <w:color w:val="auto"/>
                <w:sz w:val="24"/>
              </w:rPr>
              <w:t>3、保修期责任：</w:t>
            </w:r>
          </w:p>
        </w:tc>
      </w:tr>
      <w:tr>
        <w:tblPrEx>
          <w:tblCellMar>
            <w:top w:w="0" w:type="dxa"/>
            <w:left w:w="108" w:type="dxa"/>
            <w:bottom w:w="0" w:type="dxa"/>
            <w:right w:w="108" w:type="dxa"/>
          </w:tblCellMar>
        </w:tblPrEx>
        <w:trPr>
          <w:trHeight w:val="454" w:hRule="exact"/>
          <w:jc w:val="center"/>
        </w:trPr>
        <w:tc>
          <w:tcPr>
            <w:tcW w:w="8928" w:type="dxa"/>
            <w:gridSpan w:val="2"/>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firstLine="480" w:firstLineChars="200"/>
              <w:rPr>
                <w:rFonts w:hint="default" w:ascii="宋体" w:hAnsi="宋体" w:cs="宋体"/>
                <w:color w:val="auto"/>
                <w:sz w:val="24"/>
              </w:rPr>
            </w:pPr>
          </w:p>
        </w:tc>
      </w:tr>
      <w:tr>
        <w:tblPrEx>
          <w:tblCellMar>
            <w:top w:w="0" w:type="dxa"/>
            <w:left w:w="108" w:type="dxa"/>
            <w:bottom w:w="0" w:type="dxa"/>
            <w:right w:w="108" w:type="dxa"/>
          </w:tblCellMar>
        </w:tblPrEx>
        <w:trPr>
          <w:trHeight w:val="213" w:hRule="exact"/>
          <w:jc w:val="center"/>
        </w:trPr>
        <w:tc>
          <w:tcPr>
            <w:tcW w:w="8928" w:type="dxa"/>
            <w:gridSpan w:val="2"/>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firstLine="480" w:firstLineChars="200"/>
              <w:rPr>
                <w:rFonts w:hint="default" w:ascii="宋体" w:hAnsi="宋体" w:cs="宋体"/>
                <w:color w:val="auto"/>
                <w:sz w:val="24"/>
              </w:rPr>
            </w:pPr>
          </w:p>
        </w:tc>
      </w:tr>
      <w:tr>
        <w:tblPrEx>
          <w:tblCellMar>
            <w:top w:w="0" w:type="dxa"/>
            <w:left w:w="108" w:type="dxa"/>
            <w:bottom w:w="0" w:type="dxa"/>
            <w:right w:w="108" w:type="dxa"/>
          </w:tblCellMar>
        </w:tblPrEx>
        <w:trPr>
          <w:trHeight w:val="454" w:hRule="exact"/>
          <w:jc w:val="center"/>
        </w:trPr>
        <w:tc>
          <w:tcPr>
            <w:tcW w:w="8928" w:type="dxa"/>
            <w:gridSpan w:val="2"/>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firstLine="480" w:firstLineChars="200"/>
              <w:rPr>
                <w:rFonts w:hint="default" w:ascii="宋体" w:hAnsi="宋体" w:cs="宋体"/>
                <w:color w:val="auto"/>
                <w:sz w:val="24"/>
              </w:rPr>
            </w:pPr>
            <w:r>
              <w:rPr>
                <w:rFonts w:hint="eastAsia" w:ascii="宋体" w:hAnsi="宋体" w:cs="宋体"/>
                <w:color w:val="auto"/>
                <w:sz w:val="24"/>
              </w:rPr>
              <w:t>4、其他具体事项：</w:t>
            </w:r>
          </w:p>
        </w:tc>
      </w:tr>
      <w:tr>
        <w:tblPrEx>
          <w:tblCellMar>
            <w:top w:w="0" w:type="dxa"/>
            <w:left w:w="108" w:type="dxa"/>
            <w:bottom w:w="0" w:type="dxa"/>
            <w:right w:w="108" w:type="dxa"/>
          </w:tblCellMar>
        </w:tblPrEx>
        <w:trPr>
          <w:trHeight w:val="454" w:hRule="exact"/>
          <w:jc w:val="center"/>
        </w:trPr>
        <w:tc>
          <w:tcPr>
            <w:tcW w:w="8928" w:type="dxa"/>
            <w:gridSpan w:val="2"/>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firstLine="482" w:firstLineChars="200"/>
              <w:rPr>
                <w:rFonts w:hint="default" w:ascii="宋体" w:hAnsi="宋体" w:cs="宋体"/>
                <w:b/>
                <w:color w:val="auto"/>
                <w:sz w:val="24"/>
              </w:rPr>
            </w:pPr>
          </w:p>
        </w:tc>
      </w:tr>
      <w:tr>
        <w:tblPrEx>
          <w:tblCellMar>
            <w:top w:w="0" w:type="dxa"/>
            <w:left w:w="108" w:type="dxa"/>
            <w:bottom w:w="0" w:type="dxa"/>
            <w:right w:w="108" w:type="dxa"/>
          </w:tblCellMar>
        </w:tblPrEx>
        <w:trPr>
          <w:trHeight w:val="1596" w:hRule="atLeast"/>
          <w:jc w:val="center"/>
        </w:trPr>
        <w:tc>
          <w:tcPr>
            <w:tcW w:w="42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firstLine="480" w:firstLineChars="200"/>
              <w:rPr>
                <w:rFonts w:hint="default" w:ascii="宋体" w:hAnsi="宋体" w:cs="宋体"/>
                <w:color w:val="auto"/>
                <w:sz w:val="24"/>
              </w:rPr>
            </w:pPr>
            <w:r>
              <w:rPr>
                <w:rFonts w:hint="eastAsia" w:ascii="宋体" w:hAnsi="宋体" w:cs="宋体"/>
                <w:color w:val="auto"/>
                <w:sz w:val="24"/>
              </w:rPr>
              <w:t>甲方（章）</w:t>
            </w:r>
          </w:p>
          <w:p>
            <w:pPr>
              <w:keepNext w:val="0"/>
              <w:keepLines w:val="0"/>
              <w:suppressLineNumbers w:val="0"/>
              <w:snapToGrid w:val="0"/>
              <w:spacing w:before="0" w:beforeAutospacing="0" w:after="0" w:afterAutospacing="0" w:line="400" w:lineRule="exact"/>
              <w:ind w:left="0" w:right="0" w:firstLine="480" w:firstLineChars="200"/>
              <w:rPr>
                <w:rFonts w:hint="default" w:ascii="宋体" w:hAnsi="宋体" w:cs="宋体"/>
                <w:color w:val="auto"/>
                <w:sz w:val="24"/>
              </w:rPr>
            </w:pPr>
          </w:p>
          <w:p>
            <w:pPr>
              <w:keepNext w:val="0"/>
              <w:keepLines w:val="0"/>
              <w:suppressLineNumbers w:val="0"/>
              <w:snapToGrid w:val="0"/>
              <w:spacing w:before="0" w:beforeAutospacing="0" w:after="0" w:afterAutospacing="0" w:line="400" w:lineRule="exact"/>
              <w:ind w:left="0" w:right="0" w:firstLine="480" w:firstLineChars="200"/>
              <w:rPr>
                <w:rFonts w:hint="default" w:ascii="宋体" w:hAnsi="宋体" w:cs="宋体"/>
                <w:color w:val="auto"/>
                <w:sz w:val="24"/>
              </w:rPr>
            </w:pPr>
          </w:p>
          <w:p>
            <w:pPr>
              <w:keepNext w:val="0"/>
              <w:keepLines w:val="0"/>
              <w:suppressLineNumbers w:val="0"/>
              <w:snapToGrid w:val="0"/>
              <w:spacing w:before="0" w:beforeAutospacing="0" w:after="0" w:afterAutospacing="0" w:line="400" w:lineRule="exact"/>
              <w:ind w:left="0" w:right="0" w:firstLine="480" w:firstLineChars="200"/>
              <w:rPr>
                <w:rFonts w:hint="default" w:ascii="宋体" w:hAnsi="宋体" w:cs="宋体"/>
                <w:color w:val="auto"/>
                <w:sz w:val="24"/>
              </w:rPr>
            </w:pPr>
            <w:r>
              <w:rPr>
                <w:rFonts w:hint="eastAsia" w:ascii="宋体" w:hAnsi="宋体" w:cs="宋体"/>
                <w:color w:val="auto"/>
                <w:sz w:val="24"/>
              </w:rPr>
              <w:t xml:space="preserve">                 年   月   日 </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firstLine="480" w:firstLineChars="200"/>
              <w:rPr>
                <w:rFonts w:hint="default" w:ascii="宋体" w:hAnsi="宋体" w:cs="宋体"/>
                <w:color w:val="auto"/>
                <w:sz w:val="24"/>
              </w:rPr>
            </w:pPr>
            <w:r>
              <w:rPr>
                <w:rFonts w:hint="eastAsia" w:ascii="宋体" w:hAnsi="宋体" w:cs="宋体"/>
                <w:color w:val="auto"/>
                <w:sz w:val="24"/>
              </w:rPr>
              <w:t>乙方（章）</w:t>
            </w:r>
          </w:p>
          <w:p>
            <w:pPr>
              <w:keepNext w:val="0"/>
              <w:keepLines w:val="0"/>
              <w:suppressLineNumbers w:val="0"/>
              <w:snapToGrid w:val="0"/>
              <w:spacing w:before="0" w:beforeAutospacing="0" w:after="0" w:afterAutospacing="0" w:line="400" w:lineRule="exact"/>
              <w:ind w:left="0" w:right="0" w:firstLine="480" w:firstLineChars="200"/>
              <w:rPr>
                <w:rFonts w:hint="default" w:ascii="宋体" w:hAnsi="宋体" w:cs="宋体"/>
                <w:color w:val="auto"/>
                <w:sz w:val="24"/>
              </w:rPr>
            </w:pPr>
          </w:p>
          <w:p>
            <w:pPr>
              <w:keepNext w:val="0"/>
              <w:keepLines w:val="0"/>
              <w:suppressLineNumbers w:val="0"/>
              <w:snapToGrid w:val="0"/>
              <w:spacing w:before="0" w:beforeAutospacing="0" w:after="0" w:afterAutospacing="0" w:line="400" w:lineRule="exact"/>
              <w:ind w:left="0" w:right="0" w:firstLine="480" w:firstLineChars="200"/>
              <w:rPr>
                <w:rFonts w:hint="default" w:ascii="宋体" w:hAnsi="宋体" w:cs="宋体"/>
                <w:color w:val="auto"/>
                <w:sz w:val="24"/>
              </w:rPr>
            </w:pPr>
          </w:p>
          <w:p>
            <w:pPr>
              <w:keepNext w:val="0"/>
              <w:keepLines w:val="0"/>
              <w:suppressLineNumbers w:val="0"/>
              <w:snapToGrid w:val="0"/>
              <w:spacing w:before="0" w:beforeAutospacing="0" w:after="0" w:afterAutospacing="0" w:line="400" w:lineRule="exact"/>
              <w:ind w:left="0" w:right="0" w:firstLine="480" w:firstLineChars="200"/>
              <w:rPr>
                <w:rFonts w:hint="default" w:ascii="宋体" w:hAnsi="宋体" w:cs="宋体"/>
                <w:color w:val="auto"/>
                <w:sz w:val="24"/>
              </w:rPr>
            </w:pPr>
            <w:r>
              <w:rPr>
                <w:rFonts w:hint="eastAsia" w:ascii="宋体" w:hAnsi="宋体" w:cs="宋体"/>
                <w:color w:val="auto"/>
                <w:sz w:val="24"/>
              </w:rPr>
              <w:t xml:space="preserve">                年   月   日</w:t>
            </w:r>
          </w:p>
        </w:tc>
      </w:tr>
    </w:tbl>
    <w:p>
      <w:pPr>
        <w:snapToGrid w:val="0"/>
        <w:rPr>
          <w:rFonts w:ascii="宋体" w:hAnsi="宋体" w:cs="宋体"/>
          <w:color w:val="auto"/>
          <w:szCs w:val="21"/>
        </w:rPr>
      </w:pPr>
      <w:r>
        <w:rPr>
          <w:rFonts w:hint="eastAsia" w:ascii="宋体" w:hAnsi="宋体" w:cs="宋体"/>
          <w:color w:val="auto"/>
          <w:szCs w:val="21"/>
        </w:rPr>
        <w:t>注：售后服务事项填不下时可另加附页</w:t>
      </w:r>
    </w:p>
    <w:p>
      <w:pPr>
        <w:snapToGrid w:val="0"/>
        <w:spacing w:line="360" w:lineRule="auto"/>
        <w:jc w:val="center"/>
        <w:rPr>
          <w:rFonts w:ascii="宋体" w:hAnsi="宋体" w:cs="宋体"/>
          <w:b/>
          <w:color w:val="auto"/>
          <w:sz w:val="44"/>
          <w:szCs w:val="44"/>
        </w:rPr>
      </w:pPr>
      <w:r>
        <w:rPr>
          <w:rFonts w:hint="eastAsia" w:ascii="宋体" w:hAnsi="宋体" w:cs="宋体"/>
          <w:color w:val="auto"/>
          <w:szCs w:val="21"/>
        </w:rPr>
        <w:br w:type="page"/>
      </w:r>
    </w:p>
    <w:p>
      <w:pPr>
        <w:pStyle w:val="29"/>
        <w:snapToGrid w:val="0"/>
        <w:jc w:val="center"/>
        <w:rPr>
          <w:rFonts w:hAnsi="宋体" w:cs="宋体"/>
          <w:b/>
          <w:color w:val="auto"/>
          <w:sz w:val="44"/>
          <w:szCs w:val="44"/>
        </w:rPr>
      </w:pPr>
    </w:p>
    <w:p>
      <w:pPr>
        <w:pStyle w:val="29"/>
        <w:snapToGrid w:val="0"/>
        <w:jc w:val="center"/>
        <w:rPr>
          <w:rFonts w:hAnsi="宋体" w:cs="宋体"/>
          <w:b/>
          <w:color w:val="auto"/>
          <w:sz w:val="44"/>
          <w:szCs w:val="44"/>
        </w:rPr>
      </w:pPr>
    </w:p>
    <w:p>
      <w:pPr>
        <w:pStyle w:val="29"/>
        <w:snapToGrid w:val="0"/>
        <w:jc w:val="center"/>
        <w:rPr>
          <w:rFonts w:hAnsi="宋体" w:cs="宋体"/>
          <w:b/>
          <w:color w:val="auto"/>
          <w:sz w:val="44"/>
          <w:szCs w:val="44"/>
        </w:rPr>
      </w:pPr>
    </w:p>
    <w:p>
      <w:pPr>
        <w:pStyle w:val="29"/>
        <w:snapToGrid w:val="0"/>
        <w:jc w:val="center"/>
        <w:rPr>
          <w:rFonts w:hAnsi="宋体" w:cs="宋体"/>
          <w:b/>
          <w:color w:val="auto"/>
          <w:sz w:val="44"/>
          <w:szCs w:val="44"/>
        </w:rPr>
      </w:pPr>
    </w:p>
    <w:p>
      <w:pPr>
        <w:pStyle w:val="29"/>
        <w:snapToGrid w:val="0"/>
        <w:jc w:val="center"/>
        <w:rPr>
          <w:rFonts w:hAnsi="宋体" w:cs="宋体"/>
          <w:b/>
          <w:color w:val="auto"/>
          <w:sz w:val="44"/>
          <w:szCs w:val="44"/>
        </w:rPr>
      </w:pPr>
    </w:p>
    <w:p>
      <w:pPr>
        <w:pStyle w:val="29"/>
        <w:snapToGrid w:val="0"/>
        <w:jc w:val="center"/>
        <w:rPr>
          <w:rFonts w:hAnsi="宋体" w:cs="宋体"/>
          <w:b/>
          <w:color w:val="auto"/>
          <w:sz w:val="44"/>
          <w:szCs w:val="44"/>
        </w:rPr>
      </w:pPr>
    </w:p>
    <w:p>
      <w:pPr>
        <w:pStyle w:val="29"/>
        <w:snapToGrid w:val="0"/>
        <w:jc w:val="center"/>
        <w:rPr>
          <w:rFonts w:hAnsi="宋体" w:cs="宋体"/>
          <w:b/>
          <w:color w:val="auto"/>
          <w:sz w:val="44"/>
          <w:szCs w:val="44"/>
        </w:rPr>
      </w:pPr>
    </w:p>
    <w:p>
      <w:pPr>
        <w:pStyle w:val="29"/>
        <w:snapToGrid w:val="0"/>
        <w:jc w:val="center"/>
        <w:rPr>
          <w:rFonts w:hAnsi="宋体" w:cs="宋体"/>
          <w:b/>
          <w:color w:val="auto"/>
          <w:sz w:val="44"/>
          <w:szCs w:val="44"/>
        </w:rPr>
      </w:pPr>
    </w:p>
    <w:p>
      <w:pPr>
        <w:pStyle w:val="29"/>
        <w:snapToGrid w:val="0"/>
        <w:jc w:val="center"/>
        <w:rPr>
          <w:rFonts w:hAnsi="宋体" w:cs="宋体"/>
          <w:b/>
          <w:color w:val="auto"/>
          <w:sz w:val="44"/>
          <w:szCs w:val="44"/>
        </w:rPr>
      </w:pPr>
    </w:p>
    <w:p>
      <w:pPr>
        <w:pStyle w:val="29"/>
        <w:snapToGrid w:val="0"/>
        <w:jc w:val="center"/>
        <w:rPr>
          <w:rFonts w:hAnsi="宋体" w:cs="宋体"/>
          <w:b/>
          <w:color w:val="auto"/>
          <w:sz w:val="44"/>
          <w:szCs w:val="44"/>
        </w:rPr>
      </w:pPr>
    </w:p>
    <w:p>
      <w:pPr>
        <w:pStyle w:val="143"/>
        <w:widowControl w:val="0"/>
        <w:spacing w:afterLines="0"/>
        <w:ind w:firstLine="0" w:firstLineChars="0"/>
        <w:jc w:val="center"/>
        <w:outlineLvl w:val="0"/>
        <w:rPr>
          <w:rFonts w:ascii="宋体" w:hAnsi="宋体" w:cs="宋体"/>
          <w:b/>
          <w:color w:val="auto"/>
          <w:sz w:val="44"/>
          <w:szCs w:val="44"/>
        </w:rPr>
      </w:pPr>
      <w:bookmarkStart w:id="109" w:name="_Toc494352138"/>
      <w:bookmarkStart w:id="110" w:name="_Toc12228"/>
      <w:r>
        <w:rPr>
          <w:rFonts w:hint="eastAsia" w:ascii="宋体" w:hAnsi="宋体" w:cs="宋体"/>
          <w:b/>
          <w:color w:val="auto"/>
          <w:sz w:val="44"/>
          <w:szCs w:val="44"/>
        </w:rPr>
        <w:t>第五章  投标文件（格式</w:t>
      </w:r>
      <w:bookmarkEnd w:id="109"/>
      <w:r>
        <w:rPr>
          <w:rFonts w:hint="eastAsia" w:ascii="宋体" w:hAnsi="宋体" w:cs="宋体"/>
          <w:b/>
          <w:color w:val="auto"/>
          <w:sz w:val="44"/>
          <w:szCs w:val="44"/>
        </w:rPr>
        <w:t>）</w:t>
      </w:r>
      <w:bookmarkEnd w:id="110"/>
    </w:p>
    <w:p>
      <w:pPr>
        <w:rPr>
          <w:rFonts w:ascii="宋体" w:hAnsi="宋体" w:cs="宋体"/>
          <w:color w:val="auto"/>
          <w:sz w:val="32"/>
          <w:szCs w:val="20"/>
        </w:rPr>
      </w:pPr>
    </w:p>
    <w:p>
      <w:pPr>
        <w:rPr>
          <w:rFonts w:ascii="宋体" w:hAnsi="宋体" w:cs="宋体"/>
          <w:b/>
          <w:bCs/>
          <w:color w:val="auto"/>
          <w:szCs w:val="21"/>
        </w:rPr>
      </w:pPr>
      <w:bookmarkStart w:id="111" w:name="_Toc254970697"/>
      <w:bookmarkStart w:id="112" w:name="_Toc254970556"/>
    </w:p>
    <w:p>
      <w:pPr>
        <w:rPr>
          <w:rFonts w:ascii="宋体" w:hAnsi="宋体" w:cs="宋体"/>
          <w:b/>
          <w:bCs/>
          <w:color w:val="auto"/>
          <w:szCs w:val="21"/>
        </w:rPr>
      </w:pPr>
    </w:p>
    <w:p>
      <w:pPr>
        <w:rPr>
          <w:rFonts w:ascii="宋体" w:hAnsi="宋体" w:cs="宋体"/>
          <w:b/>
          <w:bCs/>
          <w:color w:val="auto"/>
          <w:szCs w:val="21"/>
        </w:rPr>
      </w:pPr>
    </w:p>
    <w:p>
      <w:pPr>
        <w:rPr>
          <w:rFonts w:ascii="宋体" w:hAnsi="宋体" w:cs="宋体"/>
          <w:b/>
          <w:bCs/>
          <w:color w:val="auto"/>
          <w:szCs w:val="21"/>
        </w:rPr>
      </w:pPr>
    </w:p>
    <w:p>
      <w:pPr>
        <w:rPr>
          <w:rFonts w:ascii="宋体" w:hAnsi="宋体" w:cs="宋体"/>
          <w:b/>
          <w:bCs/>
          <w:color w:val="auto"/>
          <w:szCs w:val="21"/>
        </w:rPr>
      </w:pPr>
    </w:p>
    <w:p>
      <w:pPr>
        <w:rPr>
          <w:rFonts w:ascii="宋体" w:hAnsi="宋体" w:cs="宋体"/>
          <w:b/>
          <w:bCs/>
          <w:color w:val="auto"/>
          <w:szCs w:val="21"/>
        </w:rPr>
      </w:pPr>
    </w:p>
    <w:p>
      <w:pPr>
        <w:rPr>
          <w:rFonts w:ascii="宋体" w:hAnsi="宋体" w:cs="宋体"/>
          <w:b/>
          <w:bCs/>
          <w:color w:val="auto"/>
          <w:szCs w:val="21"/>
        </w:rPr>
      </w:pPr>
    </w:p>
    <w:p>
      <w:pPr>
        <w:rPr>
          <w:rFonts w:ascii="宋体" w:hAnsi="宋体" w:cs="宋体"/>
          <w:b/>
          <w:bCs/>
          <w:color w:val="auto"/>
          <w:szCs w:val="21"/>
        </w:rPr>
      </w:pPr>
    </w:p>
    <w:p>
      <w:pPr>
        <w:rPr>
          <w:rFonts w:ascii="宋体" w:hAnsi="宋体" w:cs="宋体"/>
          <w:b/>
          <w:bCs/>
          <w:color w:val="auto"/>
          <w:szCs w:val="21"/>
        </w:rPr>
      </w:pPr>
    </w:p>
    <w:p>
      <w:pPr>
        <w:rPr>
          <w:rFonts w:ascii="宋体" w:hAnsi="宋体" w:cs="宋体"/>
          <w:b/>
          <w:bCs/>
          <w:color w:val="auto"/>
          <w:szCs w:val="21"/>
        </w:rPr>
      </w:pPr>
    </w:p>
    <w:p>
      <w:pPr>
        <w:rPr>
          <w:rFonts w:ascii="宋体" w:hAnsi="宋体" w:cs="宋体"/>
          <w:b/>
          <w:bCs/>
          <w:color w:val="auto"/>
          <w:szCs w:val="21"/>
        </w:rPr>
      </w:pPr>
    </w:p>
    <w:bookmarkEnd w:id="111"/>
    <w:bookmarkEnd w:id="112"/>
    <w:p>
      <w:pPr>
        <w:rPr>
          <w:rFonts w:ascii="宋体" w:hAnsi="宋体" w:cs="宋体"/>
          <w:color w:val="auto"/>
        </w:rPr>
      </w:pPr>
      <w:r>
        <w:rPr>
          <w:rFonts w:hint="eastAsia" w:ascii="宋体" w:hAnsi="宋体" w:cs="宋体"/>
          <w:color w:val="auto"/>
        </w:rPr>
        <w:br w:type="page"/>
      </w:r>
    </w:p>
    <w:p>
      <w:pPr>
        <w:rPr>
          <w:rFonts w:ascii="宋体" w:hAnsi="宋体" w:cs="宋体"/>
          <w:color w:val="auto"/>
        </w:rPr>
      </w:pPr>
    </w:p>
    <w:p>
      <w:pPr>
        <w:rPr>
          <w:rFonts w:ascii="宋体" w:hAnsi="宋体" w:cs="宋体"/>
          <w:b/>
          <w:color w:val="auto"/>
        </w:rPr>
      </w:pPr>
      <w:r>
        <w:rPr>
          <w:rFonts w:hint="eastAsia" w:ascii="宋体" w:hAnsi="宋体" w:cs="宋体"/>
          <w:b/>
          <w:color w:val="auto"/>
        </w:rPr>
        <w:t>说明：</w:t>
      </w:r>
    </w:p>
    <w:p>
      <w:pPr>
        <w:snapToGrid w:val="0"/>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1、外包装要求：开标一览表、资格文件、报价/商务及技术文件均要求单独包装、密封递交。</w:t>
      </w:r>
    </w:p>
    <w:p>
      <w:pPr>
        <w:snapToGrid w:val="0"/>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2、投标文件装订要求：开标一览表</w:t>
      </w:r>
      <w:r>
        <w:rPr>
          <w:rFonts w:hint="eastAsia" w:ascii="宋体" w:hAnsi="宋体" w:cs="宋体"/>
          <w:b/>
          <w:color w:val="auto"/>
          <w:szCs w:val="21"/>
          <w:u w:val="single"/>
        </w:rPr>
        <w:t xml:space="preserve"> 壹 </w:t>
      </w:r>
      <w:r>
        <w:rPr>
          <w:rFonts w:hint="eastAsia" w:ascii="宋体" w:hAnsi="宋体" w:cs="宋体"/>
          <w:b/>
          <w:color w:val="auto"/>
          <w:szCs w:val="21"/>
        </w:rPr>
        <w:t xml:space="preserve">份，无须投标文件封面，独立装订；资格文件统一装订成册，正本 </w:t>
      </w:r>
      <w:r>
        <w:rPr>
          <w:rFonts w:hint="eastAsia" w:ascii="宋体" w:hAnsi="宋体" w:cs="宋体"/>
          <w:b/>
          <w:color w:val="auto"/>
          <w:szCs w:val="21"/>
          <w:u w:val="single"/>
        </w:rPr>
        <w:t xml:space="preserve">壹 </w:t>
      </w:r>
      <w:r>
        <w:rPr>
          <w:rFonts w:hint="eastAsia" w:ascii="宋体" w:hAnsi="宋体" w:cs="宋体"/>
          <w:b/>
          <w:color w:val="auto"/>
          <w:szCs w:val="21"/>
        </w:rPr>
        <w:t>份；副本</w:t>
      </w:r>
      <w:r>
        <w:rPr>
          <w:rFonts w:hint="eastAsia" w:ascii="宋体" w:hAnsi="宋体" w:cs="宋体"/>
          <w:b/>
          <w:color w:val="auto"/>
          <w:szCs w:val="21"/>
          <w:u w:val="single"/>
        </w:rPr>
        <w:t xml:space="preserve"> 肆 </w:t>
      </w:r>
      <w:r>
        <w:rPr>
          <w:rFonts w:hint="eastAsia" w:ascii="宋体" w:hAnsi="宋体" w:cs="宋体"/>
          <w:b/>
          <w:color w:val="auto"/>
          <w:szCs w:val="21"/>
        </w:rPr>
        <w:t xml:space="preserve">份；报价/商务及技术文件统一装订成册，正本 </w:t>
      </w:r>
      <w:r>
        <w:rPr>
          <w:rFonts w:hint="eastAsia" w:ascii="宋体" w:hAnsi="宋体" w:cs="宋体"/>
          <w:b/>
          <w:color w:val="auto"/>
          <w:szCs w:val="21"/>
          <w:u w:val="single"/>
        </w:rPr>
        <w:t xml:space="preserve">壹 </w:t>
      </w:r>
      <w:r>
        <w:rPr>
          <w:rFonts w:hint="eastAsia" w:ascii="宋体" w:hAnsi="宋体" w:cs="宋体"/>
          <w:b/>
          <w:color w:val="auto"/>
          <w:szCs w:val="21"/>
        </w:rPr>
        <w:t>份；副本</w:t>
      </w:r>
      <w:r>
        <w:rPr>
          <w:rFonts w:hint="eastAsia" w:ascii="宋体" w:hAnsi="宋体" w:cs="宋体"/>
          <w:b/>
          <w:color w:val="auto"/>
          <w:szCs w:val="21"/>
          <w:u w:val="single"/>
        </w:rPr>
        <w:t xml:space="preserve"> 肆 </w:t>
      </w:r>
      <w:r>
        <w:rPr>
          <w:rFonts w:hint="eastAsia" w:ascii="宋体" w:hAnsi="宋体" w:cs="宋体"/>
          <w:b/>
          <w:color w:val="auto"/>
          <w:szCs w:val="21"/>
        </w:rPr>
        <w:t>份。</w:t>
      </w:r>
    </w:p>
    <w:p>
      <w:pPr>
        <w:rPr>
          <w:rFonts w:ascii="宋体" w:hAnsi="宋体" w:cs="宋体"/>
          <w:color w:val="auto"/>
        </w:rPr>
      </w:pPr>
    </w:p>
    <w:p>
      <w:pPr>
        <w:rPr>
          <w:rFonts w:ascii="宋体" w:hAnsi="宋体" w:cs="宋体"/>
          <w:color w:val="auto"/>
        </w:rPr>
      </w:pPr>
    </w:p>
    <w:p>
      <w:pPr>
        <w:rPr>
          <w:rFonts w:ascii="宋体" w:hAnsi="宋体" w:cs="宋体"/>
          <w:b/>
          <w:bCs/>
          <w:color w:val="auto"/>
          <w:sz w:val="32"/>
          <w:szCs w:val="32"/>
        </w:rPr>
      </w:pPr>
    </w:p>
    <w:p>
      <w:pPr>
        <w:rPr>
          <w:rFonts w:ascii="宋体" w:hAnsi="宋体" w:cs="宋体"/>
          <w:b/>
          <w:bCs/>
          <w:color w:val="auto"/>
          <w:szCs w:val="21"/>
        </w:rPr>
      </w:pPr>
    </w:p>
    <w:p>
      <w:pPr>
        <w:pStyle w:val="29"/>
        <w:jc w:val="center"/>
        <w:outlineLvl w:val="1"/>
        <w:rPr>
          <w:rFonts w:hAnsi="宋体" w:cs="宋体"/>
          <w:b/>
          <w:bCs/>
          <w:color w:val="auto"/>
          <w:kern w:val="0"/>
          <w:sz w:val="24"/>
          <w:szCs w:val="20"/>
        </w:rPr>
      </w:pPr>
      <w:bookmarkStart w:id="113" w:name="_Toc31421"/>
      <w:r>
        <w:rPr>
          <w:rFonts w:hint="eastAsia" w:hAnsi="宋体" w:cs="宋体"/>
          <w:b/>
          <w:bCs/>
          <w:color w:val="auto"/>
          <w:kern w:val="0"/>
          <w:sz w:val="24"/>
          <w:szCs w:val="20"/>
        </w:rPr>
        <w:t>第一部分  开标一览表文件（格式）</w:t>
      </w:r>
      <w:bookmarkEnd w:id="113"/>
    </w:p>
    <w:p>
      <w:pPr>
        <w:snapToGrid w:val="0"/>
        <w:spacing w:line="360" w:lineRule="exact"/>
        <w:rPr>
          <w:rFonts w:ascii="宋体" w:hAnsi="宋体" w:cs="宋体"/>
          <w:b/>
          <w:color w:val="auto"/>
          <w:szCs w:val="21"/>
        </w:rPr>
      </w:pPr>
    </w:p>
    <w:p>
      <w:pPr>
        <w:pStyle w:val="191"/>
        <w:spacing w:line="400" w:lineRule="exact"/>
        <w:outlineLvl w:val="2"/>
        <w:rPr>
          <w:rFonts w:hAnsi="宋体" w:cs="宋体"/>
          <w:b/>
          <w:color w:val="auto"/>
        </w:rPr>
      </w:pPr>
      <w:bookmarkStart w:id="114" w:name="_Toc1002"/>
      <w:r>
        <w:rPr>
          <w:rFonts w:hint="eastAsia" w:hAnsi="宋体" w:cs="宋体"/>
          <w:b/>
          <w:color w:val="auto"/>
        </w:rPr>
        <w:t>（一）外包装封面（格式 ）</w:t>
      </w:r>
      <w:bookmarkEnd w:id="114"/>
    </w:p>
    <w:p>
      <w:pPr>
        <w:snapToGrid w:val="0"/>
        <w:spacing w:line="400" w:lineRule="exact"/>
        <w:rPr>
          <w:rFonts w:ascii="宋体" w:hAnsi="宋体" w:cs="宋体"/>
          <w:b/>
          <w:bCs/>
          <w:color w:val="auto"/>
          <w:sz w:val="32"/>
          <w:szCs w:val="32"/>
        </w:rPr>
      </w:pPr>
    </w:p>
    <w:p>
      <w:pPr>
        <w:rPr>
          <w:rFonts w:ascii="宋体" w:hAnsi="宋体" w:cs="宋体"/>
          <w:b/>
          <w:color w:val="auto"/>
          <w:szCs w:val="21"/>
        </w:rPr>
      </w:pPr>
    </w:p>
    <w:p>
      <w:pPr>
        <w:snapToGrid w:val="0"/>
        <w:spacing w:line="400" w:lineRule="exact"/>
        <w:jc w:val="center"/>
        <w:rPr>
          <w:rFonts w:ascii="宋体" w:hAnsi="宋体" w:cs="宋体"/>
          <w:b/>
          <w:bCs/>
          <w:color w:val="auto"/>
          <w:sz w:val="32"/>
          <w:szCs w:val="32"/>
        </w:rPr>
      </w:pPr>
      <w:r>
        <w:rPr>
          <w:rFonts w:hint="eastAsia" w:ascii="宋体" w:hAnsi="宋体" w:cs="宋体"/>
          <w:b/>
          <w:bCs/>
          <w:color w:val="auto"/>
          <w:sz w:val="32"/>
          <w:szCs w:val="32"/>
        </w:rPr>
        <w:t>开标一览表文件</w:t>
      </w:r>
    </w:p>
    <w:p>
      <w:pPr>
        <w:snapToGrid w:val="0"/>
        <w:spacing w:line="400" w:lineRule="exact"/>
        <w:ind w:firstLine="420" w:firstLineChars="200"/>
        <w:rPr>
          <w:rFonts w:ascii="宋体" w:hAnsi="宋体" w:cs="宋体"/>
          <w:bCs/>
          <w:color w:val="auto"/>
          <w:szCs w:val="21"/>
        </w:rPr>
      </w:pPr>
    </w:p>
    <w:p>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 xml:space="preserve">项目名称： </w:t>
      </w:r>
    </w:p>
    <w:p>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项目编号：</w:t>
      </w:r>
    </w:p>
    <w:p>
      <w:pPr>
        <w:snapToGrid w:val="0"/>
        <w:spacing w:line="400" w:lineRule="exact"/>
        <w:ind w:firstLine="420" w:firstLineChars="200"/>
        <w:rPr>
          <w:rFonts w:ascii="宋体" w:hAnsi="宋体" w:cs="宋体"/>
          <w:bCs/>
          <w:color w:val="auto"/>
          <w:szCs w:val="21"/>
        </w:rPr>
      </w:pPr>
      <w:r>
        <w:rPr>
          <w:rFonts w:hint="eastAsia"/>
          <w:color w:val="auto"/>
        </w:rPr>
        <w:t>分标号：</w:t>
      </w:r>
    </w:p>
    <w:p>
      <w:pPr>
        <w:pStyle w:val="8"/>
        <w:snapToGrid w:val="0"/>
        <w:spacing w:line="400" w:lineRule="exact"/>
        <w:ind w:firstLineChars="200"/>
        <w:rPr>
          <w:rFonts w:ascii="宋体" w:hAnsi="宋体" w:cs="宋体"/>
          <w:bCs/>
          <w:color w:val="auto"/>
          <w:szCs w:val="21"/>
        </w:rPr>
      </w:pPr>
      <w:r>
        <w:rPr>
          <w:rFonts w:hint="eastAsia" w:ascii="宋体" w:hAnsi="宋体" w:cs="宋体"/>
          <w:bCs/>
          <w:color w:val="auto"/>
          <w:szCs w:val="21"/>
        </w:rPr>
        <w:t>投标人名称：（盖章）</w:t>
      </w:r>
    </w:p>
    <w:p>
      <w:pPr>
        <w:pStyle w:val="8"/>
        <w:snapToGrid w:val="0"/>
        <w:spacing w:line="400" w:lineRule="exact"/>
        <w:ind w:firstLineChars="200"/>
        <w:rPr>
          <w:rFonts w:ascii="宋体" w:hAnsi="宋体" w:cs="宋体"/>
          <w:bCs/>
          <w:color w:val="auto"/>
          <w:szCs w:val="21"/>
        </w:rPr>
      </w:pPr>
      <w:r>
        <w:rPr>
          <w:rFonts w:hint="eastAsia" w:ascii="宋体" w:hAnsi="宋体" w:cs="宋体"/>
          <w:bCs/>
          <w:color w:val="auto"/>
          <w:szCs w:val="21"/>
        </w:rPr>
        <w:t xml:space="preserve">在  </w:t>
      </w:r>
      <w:r>
        <w:rPr>
          <w:rFonts w:hint="eastAsia" w:ascii="宋体" w:hAnsi="宋体" w:cs="宋体"/>
          <w:color w:val="auto"/>
          <w:szCs w:val="21"/>
        </w:rPr>
        <w:t>×年×月×日×时×分前</w:t>
      </w:r>
      <w:r>
        <w:rPr>
          <w:rFonts w:hint="eastAsia" w:ascii="宋体" w:hAnsi="宋体" w:cs="宋体"/>
          <w:bCs/>
          <w:color w:val="auto"/>
          <w:szCs w:val="21"/>
        </w:rPr>
        <w:t>不得启封（开标时才能启封）</w:t>
      </w:r>
    </w:p>
    <w:p>
      <w:pPr>
        <w:pStyle w:val="8"/>
        <w:snapToGrid w:val="0"/>
        <w:spacing w:line="400" w:lineRule="exact"/>
        <w:ind w:firstLineChars="200"/>
        <w:rPr>
          <w:rFonts w:ascii="宋体" w:hAnsi="宋体" w:cs="宋体"/>
          <w:bCs/>
          <w:color w:val="auto"/>
          <w:szCs w:val="21"/>
        </w:rPr>
      </w:pPr>
    </w:p>
    <w:p>
      <w:pPr>
        <w:pStyle w:val="8"/>
        <w:snapToGrid w:val="0"/>
        <w:spacing w:line="400" w:lineRule="exact"/>
        <w:ind w:firstLineChars="200"/>
        <w:rPr>
          <w:rFonts w:ascii="宋体" w:hAnsi="宋体" w:cs="宋体"/>
          <w:bCs/>
          <w:color w:val="auto"/>
          <w:szCs w:val="21"/>
        </w:rPr>
      </w:pPr>
      <w:r>
        <w:rPr>
          <w:rFonts w:hint="eastAsia" w:ascii="宋体" w:hAnsi="宋体" w:cs="宋体"/>
          <w:bCs/>
          <w:color w:val="auto"/>
          <w:szCs w:val="21"/>
        </w:rPr>
        <w:br w:type="page"/>
      </w:r>
    </w:p>
    <w:p>
      <w:pPr>
        <w:pStyle w:val="191"/>
        <w:spacing w:line="400" w:lineRule="exact"/>
        <w:outlineLvl w:val="2"/>
        <w:rPr>
          <w:rFonts w:hAnsi="宋体" w:cs="宋体"/>
          <w:b/>
          <w:color w:val="auto"/>
        </w:rPr>
      </w:pPr>
      <w:bookmarkStart w:id="115" w:name="_Toc1928"/>
      <w:r>
        <w:rPr>
          <w:rFonts w:hint="eastAsia" w:hAnsi="宋体" w:cs="宋体"/>
          <w:b/>
          <w:color w:val="auto"/>
        </w:rPr>
        <w:t>（二）投标文件（格式）</w:t>
      </w:r>
      <w:bookmarkEnd w:id="115"/>
    </w:p>
    <w:p>
      <w:pPr>
        <w:rPr>
          <w:rFonts w:ascii="宋体" w:hAnsi="宋体" w:cs="宋体"/>
          <w:b/>
          <w:color w:val="auto"/>
          <w:szCs w:val="21"/>
        </w:rPr>
      </w:pPr>
    </w:p>
    <w:p>
      <w:pPr>
        <w:rPr>
          <w:rFonts w:ascii="宋体" w:hAnsi="宋体" w:cs="宋体"/>
          <w:b/>
          <w:color w:val="auto"/>
          <w:szCs w:val="21"/>
        </w:rPr>
      </w:pPr>
    </w:p>
    <w:p>
      <w:pPr>
        <w:pStyle w:val="8"/>
        <w:snapToGrid w:val="0"/>
        <w:spacing w:line="400" w:lineRule="exact"/>
        <w:ind w:firstLine="723" w:firstLineChars="200"/>
        <w:jc w:val="center"/>
        <w:rPr>
          <w:rFonts w:ascii="宋体" w:hAnsi="宋体" w:cs="宋体"/>
          <w:bCs/>
          <w:color w:val="auto"/>
          <w:szCs w:val="21"/>
        </w:rPr>
      </w:pPr>
      <w:r>
        <w:rPr>
          <w:rFonts w:hint="eastAsia" w:ascii="宋体" w:hAnsi="宋体" w:cs="宋体"/>
          <w:b/>
          <w:color w:val="auto"/>
          <w:sz w:val="36"/>
          <w:szCs w:val="36"/>
        </w:rPr>
        <w:t>开标一览表（格式）</w:t>
      </w:r>
    </w:p>
    <w:p>
      <w:pPr>
        <w:pStyle w:val="29"/>
        <w:spacing w:line="360" w:lineRule="auto"/>
        <w:ind w:left="630" w:leftChars="200" w:hanging="210" w:hangingChars="100"/>
        <w:rPr>
          <w:rFonts w:hAnsi="宋体" w:cs="宋体"/>
          <w:color w:val="auto"/>
        </w:rPr>
      </w:pPr>
    </w:p>
    <w:p>
      <w:pPr>
        <w:pStyle w:val="29"/>
        <w:spacing w:line="360" w:lineRule="auto"/>
        <w:ind w:left="630" w:leftChars="200" w:hanging="210" w:hangingChars="100"/>
        <w:rPr>
          <w:rFonts w:hAnsi="宋体" w:cs="宋体"/>
          <w:color w:val="auto"/>
        </w:rPr>
      </w:pPr>
      <w:r>
        <w:rPr>
          <w:rFonts w:hint="eastAsia" w:hAnsi="宋体" w:cs="宋体"/>
          <w:color w:val="auto"/>
        </w:rPr>
        <w:t>项目名称：</w:t>
      </w:r>
      <w:r>
        <w:rPr>
          <w:rFonts w:hint="eastAsia" w:hAnsi="宋体" w:cs="宋体"/>
          <w:color w:val="auto"/>
          <w:u w:val="single"/>
        </w:rPr>
        <w:t xml:space="preserve">                                  （备注分标号）</w:t>
      </w:r>
    </w:p>
    <w:p>
      <w:pPr>
        <w:pStyle w:val="29"/>
        <w:spacing w:line="360" w:lineRule="auto"/>
        <w:ind w:left="630" w:leftChars="200" w:hanging="210" w:hangingChars="100"/>
        <w:rPr>
          <w:rFonts w:hAnsi="宋体" w:cs="宋体"/>
          <w:color w:val="auto"/>
          <w:u w:val="single"/>
        </w:rPr>
      </w:pPr>
      <w:r>
        <w:rPr>
          <w:rFonts w:hint="eastAsia" w:hAnsi="宋体" w:cs="宋体"/>
          <w:color w:val="auto"/>
        </w:rPr>
        <w:t>项目编号：</w:t>
      </w:r>
    </w:p>
    <w:tbl>
      <w:tblPr>
        <w:tblStyle w:val="53"/>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31"/>
        <w:gridCol w:w="442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828" w:type="dxa"/>
            <w:vAlign w:val="center"/>
          </w:tcPr>
          <w:p>
            <w:pPr>
              <w:keepNext w:val="0"/>
              <w:keepLines w:val="0"/>
              <w:suppressLineNumbers w:val="0"/>
              <w:spacing w:before="0" w:beforeAutospacing="0" w:after="0" w:afterAutospacing="0"/>
              <w:ind w:left="0" w:right="0"/>
              <w:rPr>
                <w:rFonts w:hint="default" w:ascii="宋体" w:hAnsi="宋体" w:cs="宋体"/>
                <w:b/>
                <w:color w:val="auto"/>
                <w:sz w:val="24"/>
              </w:rPr>
            </w:pPr>
            <w:r>
              <w:rPr>
                <w:rFonts w:hint="eastAsia" w:ascii="宋体" w:hAnsi="宋体" w:cs="宋体"/>
                <w:b/>
                <w:color w:val="auto"/>
                <w:sz w:val="24"/>
              </w:rPr>
              <w:t>序号</w:t>
            </w:r>
          </w:p>
        </w:tc>
        <w:tc>
          <w:tcPr>
            <w:tcW w:w="2731" w:type="dxa"/>
            <w:vAlign w:val="center"/>
          </w:tcPr>
          <w:p>
            <w:pPr>
              <w:keepNext w:val="0"/>
              <w:keepLines w:val="0"/>
              <w:suppressLineNumbers w:val="0"/>
              <w:spacing w:before="0" w:beforeAutospacing="0" w:after="0" w:afterAutospacing="0"/>
              <w:ind w:left="141" w:leftChars="67" w:right="0" w:firstLine="118" w:firstLineChars="49"/>
              <w:jc w:val="center"/>
              <w:rPr>
                <w:rFonts w:hint="default" w:ascii="宋体" w:hAnsi="宋体" w:cs="宋体"/>
                <w:b/>
                <w:color w:val="auto"/>
                <w:sz w:val="24"/>
              </w:rPr>
            </w:pPr>
            <w:r>
              <w:rPr>
                <w:rFonts w:hint="eastAsia" w:ascii="宋体" w:hAnsi="宋体" w:cs="宋体"/>
                <w:b/>
                <w:color w:val="auto"/>
                <w:sz w:val="24"/>
              </w:rPr>
              <w:t>项  目</w:t>
            </w:r>
          </w:p>
        </w:tc>
        <w:tc>
          <w:tcPr>
            <w:tcW w:w="4429" w:type="dxa"/>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24"/>
              </w:rPr>
            </w:pPr>
            <w:r>
              <w:rPr>
                <w:rFonts w:hint="eastAsia" w:ascii="宋体" w:hAnsi="宋体" w:cs="宋体"/>
                <w:b/>
                <w:color w:val="auto"/>
                <w:sz w:val="24"/>
              </w:rPr>
              <w:t>内  容</w:t>
            </w: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24"/>
              </w:rPr>
            </w:pPr>
            <w:r>
              <w:rPr>
                <w:rFonts w:hint="eastAsia" w:ascii="宋体" w:hAnsi="宋体" w:cs="宋体"/>
                <w:b/>
                <w:color w:val="auto"/>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28"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1</w:t>
            </w:r>
          </w:p>
        </w:tc>
        <w:tc>
          <w:tcPr>
            <w:tcW w:w="2731" w:type="dxa"/>
            <w:vAlign w:val="center"/>
          </w:tcPr>
          <w:p>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投标保证金</w:t>
            </w:r>
          </w:p>
        </w:tc>
        <w:tc>
          <w:tcPr>
            <w:tcW w:w="4429"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28"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2</w:t>
            </w:r>
          </w:p>
        </w:tc>
        <w:tc>
          <w:tcPr>
            <w:tcW w:w="2731" w:type="dxa"/>
            <w:vMerge w:val="restart"/>
            <w:vAlign w:val="center"/>
          </w:tcPr>
          <w:p>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投标总报价（元）</w:t>
            </w:r>
          </w:p>
        </w:tc>
        <w:tc>
          <w:tcPr>
            <w:tcW w:w="4429" w:type="dxa"/>
            <w:vAlign w:val="center"/>
          </w:tcPr>
          <w:p>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（大写）</w:t>
            </w: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28"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p>
        </w:tc>
        <w:tc>
          <w:tcPr>
            <w:tcW w:w="2731" w:type="dxa"/>
            <w:vMerge w:val="continue"/>
            <w:vAlign w:val="center"/>
          </w:tcPr>
          <w:p>
            <w:pPr>
              <w:keepNext w:val="0"/>
              <w:keepLines w:val="0"/>
              <w:suppressLineNumbers w:val="0"/>
              <w:spacing w:before="0" w:beforeAutospacing="0" w:after="0" w:afterAutospacing="0"/>
              <w:ind w:left="0" w:right="0"/>
              <w:rPr>
                <w:rFonts w:hint="default" w:ascii="宋体" w:hAnsi="宋体" w:cs="宋体"/>
                <w:color w:val="auto"/>
                <w:szCs w:val="21"/>
              </w:rPr>
            </w:pPr>
          </w:p>
        </w:tc>
        <w:tc>
          <w:tcPr>
            <w:tcW w:w="4429" w:type="dxa"/>
            <w:vAlign w:val="center"/>
          </w:tcPr>
          <w:p>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（￥元）</w:t>
            </w: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28"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3</w:t>
            </w:r>
          </w:p>
        </w:tc>
        <w:tc>
          <w:tcPr>
            <w:tcW w:w="2731" w:type="dxa"/>
            <w:vAlign w:val="center"/>
          </w:tcPr>
          <w:p>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交货时间</w:t>
            </w:r>
          </w:p>
        </w:tc>
        <w:tc>
          <w:tcPr>
            <w:tcW w:w="4429"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kern w:val="0"/>
                <w:szCs w:val="21"/>
              </w:rPr>
              <w:t>签订合同后天内交付所有货物并安装调试合格</w:t>
            </w:r>
          </w:p>
        </w:tc>
        <w:tc>
          <w:tcPr>
            <w:tcW w:w="1260" w:type="dxa"/>
            <w:vAlign w:val="center"/>
          </w:tcPr>
          <w:p>
            <w:pPr>
              <w:keepNext w:val="0"/>
              <w:keepLines w:val="0"/>
              <w:suppressLineNumbers w:val="0"/>
              <w:spacing w:before="0" w:beforeAutospacing="0" w:after="0" w:afterAutospacing="0"/>
              <w:ind w:left="0" w:right="0"/>
              <w:rPr>
                <w:rFonts w:hint="default" w:ascii="宋体" w:hAnsi="宋体" w:cs="宋体"/>
                <w:color w:val="auto"/>
                <w:sz w:val="24"/>
              </w:rPr>
            </w:pPr>
          </w:p>
        </w:tc>
      </w:tr>
    </w:tbl>
    <w:p>
      <w:pPr>
        <w:pStyle w:val="29"/>
        <w:rPr>
          <w:rFonts w:hAnsi="宋体" w:cs="宋体"/>
          <w:color w:val="auto"/>
        </w:rPr>
      </w:pPr>
    </w:p>
    <w:p>
      <w:pPr>
        <w:pStyle w:val="29"/>
        <w:rPr>
          <w:rFonts w:hAnsi="宋体" w:cs="宋体"/>
          <w:color w:val="auto"/>
        </w:rPr>
      </w:pPr>
    </w:p>
    <w:p>
      <w:pPr>
        <w:pStyle w:val="29"/>
        <w:ind w:firstLine="2520" w:firstLineChars="1200"/>
        <w:rPr>
          <w:rFonts w:hAnsi="宋体" w:cs="宋体"/>
          <w:color w:val="auto"/>
        </w:rPr>
      </w:pPr>
      <w:r>
        <w:rPr>
          <w:rFonts w:hint="eastAsia" w:hAnsi="宋体" w:cs="宋体"/>
          <w:color w:val="auto"/>
        </w:rPr>
        <w:t>投标人（公章）</w:t>
      </w:r>
    </w:p>
    <w:p>
      <w:pPr>
        <w:pStyle w:val="29"/>
        <w:rPr>
          <w:rFonts w:hAnsi="宋体" w:cs="宋体"/>
          <w:color w:val="auto"/>
        </w:rPr>
      </w:pPr>
    </w:p>
    <w:p>
      <w:pPr>
        <w:pStyle w:val="29"/>
        <w:ind w:firstLine="2520" w:firstLineChars="1200"/>
        <w:rPr>
          <w:rFonts w:hAnsi="宋体" w:cs="宋体"/>
          <w:color w:val="auto"/>
          <w:u w:val="single"/>
        </w:rPr>
      </w:pPr>
      <w:r>
        <w:rPr>
          <w:rFonts w:hint="eastAsia" w:hAnsi="宋体" w:cs="宋体"/>
          <w:color w:val="auto"/>
        </w:rPr>
        <w:t>法定代表人或委托代理人（签字或盖章）</w:t>
      </w:r>
    </w:p>
    <w:p>
      <w:pPr>
        <w:pStyle w:val="29"/>
        <w:rPr>
          <w:rFonts w:hAnsi="宋体" w:cs="宋体"/>
          <w:color w:val="auto"/>
          <w:u w:val="single"/>
        </w:rPr>
      </w:pPr>
    </w:p>
    <w:p>
      <w:pPr>
        <w:pStyle w:val="29"/>
        <w:ind w:firstLine="2520" w:firstLineChars="1200"/>
        <w:rPr>
          <w:rFonts w:hAnsi="宋体" w:cs="宋体"/>
          <w:color w:val="auto"/>
        </w:rPr>
      </w:pPr>
      <w:r>
        <w:rPr>
          <w:rFonts w:hint="eastAsia" w:hAnsi="宋体" w:cs="宋体"/>
          <w:color w:val="auto"/>
        </w:rPr>
        <w:t>投标日期：年月日</w:t>
      </w:r>
    </w:p>
    <w:p>
      <w:pPr>
        <w:pStyle w:val="29"/>
        <w:ind w:firstLine="2520" w:firstLineChars="1200"/>
        <w:rPr>
          <w:rFonts w:hAnsi="宋体" w:cs="宋体"/>
          <w:color w:val="auto"/>
        </w:rPr>
      </w:pPr>
    </w:p>
    <w:p>
      <w:pPr>
        <w:pStyle w:val="29"/>
        <w:ind w:firstLine="2520" w:firstLineChars="1200"/>
        <w:rPr>
          <w:rFonts w:hAnsi="宋体" w:cs="宋体"/>
          <w:color w:val="auto"/>
        </w:rPr>
      </w:pPr>
    </w:p>
    <w:p>
      <w:pPr>
        <w:pStyle w:val="29"/>
        <w:snapToGrid w:val="0"/>
        <w:spacing w:line="400" w:lineRule="exact"/>
        <w:ind w:firstLine="420" w:firstLineChars="200"/>
        <w:jc w:val="left"/>
        <w:rPr>
          <w:rFonts w:hAnsi="宋体" w:cs="宋体"/>
          <w:color w:val="auto"/>
        </w:rPr>
      </w:pPr>
      <w:r>
        <w:rPr>
          <w:rFonts w:hint="eastAsia" w:hAnsi="宋体" w:cs="宋体"/>
          <w:color w:val="auto"/>
        </w:rPr>
        <w:t>注： 1、投标报价是履行合同的最终价格，应包括货款、标准附件、备品备件、专用工具、包装、运输、装卸、保险、税金、货到就位以及安装、调试、培训、保修等一切税金和费用。</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2、开标一览表一经涂改，应在涂改处加盖单位公章或者由法定代表人或授权委托人签字或盖章，否则其投标作无效标处理。</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3、开标一览表报价应与“投标设备报价明细表”中的“投标总价”相一致。</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4、此表要求单独包装、密封、递交，信封封面请注明采购项目名称、采购项目编号、投标人名称及“开标一览表”字样。注明“开标时才能启封”。</w:t>
      </w:r>
    </w:p>
    <w:p>
      <w:pPr>
        <w:rPr>
          <w:rFonts w:ascii="宋体" w:hAnsi="宋体" w:cs="宋体"/>
          <w:b/>
          <w:color w:val="auto"/>
          <w:szCs w:val="21"/>
        </w:rPr>
      </w:pPr>
    </w:p>
    <w:p>
      <w:pPr>
        <w:rPr>
          <w:rFonts w:ascii="宋体" w:hAnsi="宋体" w:cs="宋体"/>
          <w:bCs/>
          <w:color w:val="auto"/>
          <w:sz w:val="24"/>
        </w:rPr>
      </w:pPr>
      <w:bookmarkStart w:id="116" w:name="_Toc254970698"/>
      <w:bookmarkStart w:id="117" w:name="_Toc254970557"/>
    </w:p>
    <w:p>
      <w:pPr>
        <w:rPr>
          <w:rFonts w:ascii="宋体" w:hAnsi="宋体" w:cs="宋体"/>
          <w:bCs/>
          <w:color w:val="auto"/>
          <w:sz w:val="32"/>
          <w:szCs w:val="32"/>
        </w:rPr>
      </w:pPr>
    </w:p>
    <w:bookmarkEnd w:id="116"/>
    <w:bookmarkEnd w:id="117"/>
    <w:p>
      <w:pPr>
        <w:pStyle w:val="45"/>
        <w:spacing w:line="400" w:lineRule="exact"/>
        <w:ind w:firstLine="420" w:firstLineChars="200"/>
        <w:rPr>
          <w:rFonts w:ascii="宋体" w:hAnsi="宋体" w:cs="宋体"/>
          <w:color w:val="auto"/>
          <w:szCs w:val="21"/>
        </w:rPr>
      </w:pPr>
      <w:r>
        <w:rPr>
          <w:rFonts w:hint="eastAsia" w:ascii="宋体" w:hAnsi="宋体" w:cs="宋体"/>
          <w:color w:val="auto"/>
          <w:szCs w:val="21"/>
        </w:rPr>
        <w:br w:type="page"/>
      </w:r>
    </w:p>
    <w:p>
      <w:pPr>
        <w:pStyle w:val="45"/>
        <w:spacing w:line="400" w:lineRule="exact"/>
        <w:ind w:firstLine="420" w:firstLineChars="200"/>
        <w:rPr>
          <w:rFonts w:ascii="宋体" w:hAnsi="宋体" w:cs="宋体"/>
          <w:color w:val="auto"/>
          <w:szCs w:val="21"/>
        </w:rPr>
      </w:pPr>
    </w:p>
    <w:p>
      <w:pPr>
        <w:pStyle w:val="29"/>
        <w:jc w:val="center"/>
        <w:outlineLvl w:val="1"/>
        <w:rPr>
          <w:rFonts w:hAnsi="宋体" w:cs="宋体"/>
          <w:b/>
          <w:bCs/>
          <w:color w:val="auto"/>
          <w:kern w:val="0"/>
          <w:sz w:val="24"/>
          <w:szCs w:val="20"/>
        </w:rPr>
      </w:pPr>
      <w:bookmarkStart w:id="118" w:name="_Toc494352142"/>
      <w:bookmarkStart w:id="119" w:name="_Toc18155"/>
      <w:r>
        <w:rPr>
          <w:rFonts w:hint="eastAsia" w:hAnsi="宋体" w:cs="宋体"/>
          <w:b/>
          <w:bCs/>
          <w:color w:val="auto"/>
          <w:kern w:val="0"/>
          <w:sz w:val="24"/>
          <w:szCs w:val="20"/>
        </w:rPr>
        <w:t>第二部分  资格文件（格式</w:t>
      </w:r>
      <w:bookmarkEnd w:id="118"/>
      <w:r>
        <w:rPr>
          <w:rFonts w:hint="eastAsia" w:hAnsi="宋体" w:cs="宋体"/>
          <w:b/>
          <w:bCs/>
          <w:color w:val="auto"/>
          <w:kern w:val="0"/>
          <w:sz w:val="24"/>
          <w:szCs w:val="20"/>
        </w:rPr>
        <w:t>）</w:t>
      </w:r>
      <w:bookmarkEnd w:id="119"/>
    </w:p>
    <w:p>
      <w:pPr>
        <w:rPr>
          <w:rFonts w:ascii="宋体" w:hAnsi="宋体" w:cs="宋体"/>
          <w:b/>
          <w:color w:val="auto"/>
          <w:szCs w:val="21"/>
        </w:rPr>
      </w:pPr>
    </w:p>
    <w:p>
      <w:pPr>
        <w:pStyle w:val="191"/>
        <w:spacing w:line="400" w:lineRule="exact"/>
        <w:outlineLvl w:val="2"/>
        <w:rPr>
          <w:rFonts w:hAnsi="宋体" w:cs="宋体"/>
          <w:b/>
          <w:color w:val="auto"/>
        </w:rPr>
      </w:pPr>
      <w:bookmarkStart w:id="120" w:name="_Toc29433"/>
      <w:r>
        <w:rPr>
          <w:rFonts w:hint="eastAsia" w:hAnsi="宋体" w:cs="宋体"/>
          <w:b/>
          <w:color w:val="auto"/>
        </w:rPr>
        <w:t>（一）外包装封面（格式 ）</w:t>
      </w:r>
      <w:bookmarkEnd w:id="120"/>
    </w:p>
    <w:p>
      <w:pPr>
        <w:rPr>
          <w:rFonts w:ascii="宋体" w:hAnsi="宋体" w:cs="宋体"/>
          <w:b/>
          <w:color w:val="auto"/>
          <w:szCs w:val="21"/>
        </w:rPr>
      </w:pPr>
    </w:p>
    <w:p>
      <w:pPr>
        <w:pStyle w:val="8"/>
        <w:snapToGrid w:val="0"/>
        <w:spacing w:line="400" w:lineRule="exact"/>
        <w:ind w:firstLineChars="200"/>
        <w:rPr>
          <w:rFonts w:ascii="宋体" w:hAnsi="宋体" w:cs="宋体"/>
          <w:bCs/>
          <w:color w:val="auto"/>
          <w:szCs w:val="21"/>
        </w:rPr>
      </w:pPr>
    </w:p>
    <w:p>
      <w:pPr>
        <w:snapToGrid w:val="0"/>
        <w:spacing w:line="400" w:lineRule="exact"/>
        <w:jc w:val="center"/>
        <w:rPr>
          <w:rFonts w:ascii="宋体" w:hAnsi="宋体" w:cs="宋体"/>
          <w:color w:val="auto"/>
          <w:szCs w:val="21"/>
        </w:rPr>
      </w:pPr>
      <w:r>
        <w:rPr>
          <w:rFonts w:hint="eastAsia" w:ascii="宋体" w:hAnsi="宋体" w:cs="宋体"/>
          <w:b/>
          <w:bCs/>
          <w:color w:val="auto"/>
          <w:sz w:val="32"/>
          <w:szCs w:val="32"/>
        </w:rPr>
        <w:t>投标文件</w:t>
      </w:r>
    </w:p>
    <w:p>
      <w:pPr>
        <w:pStyle w:val="8"/>
        <w:snapToGrid w:val="0"/>
        <w:spacing w:line="400" w:lineRule="exact"/>
        <w:ind w:firstLine="0"/>
        <w:jc w:val="center"/>
        <w:rPr>
          <w:rFonts w:ascii="宋体" w:hAnsi="宋体" w:cs="宋体"/>
          <w:b/>
          <w:bCs/>
          <w:color w:val="auto"/>
          <w:sz w:val="24"/>
          <w:szCs w:val="24"/>
        </w:rPr>
      </w:pPr>
    </w:p>
    <w:p>
      <w:pPr>
        <w:pStyle w:val="8"/>
        <w:snapToGrid w:val="0"/>
        <w:spacing w:line="400" w:lineRule="exact"/>
        <w:ind w:firstLine="0"/>
        <w:jc w:val="center"/>
        <w:rPr>
          <w:rFonts w:ascii="宋体" w:hAnsi="宋体" w:cs="宋体"/>
          <w:b/>
          <w:bCs/>
          <w:color w:val="auto"/>
          <w:sz w:val="24"/>
          <w:szCs w:val="24"/>
        </w:rPr>
      </w:pPr>
      <w:r>
        <w:rPr>
          <w:rFonts w:hint="eastAsia" w:ascii="宋体" w:hAnsi="宋体" w:cs="宋体"/>
          <w:b/>
          <w:bCs/>
          <w:color w:val="auto"/>
          <w:sz w:val="24"/>
          <w:szCs w:val="24"/>
        </w:rPr>
        <w:t>资格文件</w:t>
      </w:r>
    </w:p>
    <w:p>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 xml:space="preserve">项目名称： </w:t>
      </w:r>
    </w:p>
    <w:p>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项目编号：</w:t>
      </w:r>
    </w:p>
    <w:p>
      <w:pPr>
        <w:snapToGrid w:val="0"/>
        <w:spacing w:line="400" w:lineRule="exact"/>
        <w:ind w:firstLine="420" w:firstLineChars="200"/>
        <w:rPr>
          <w:rFonts w:ascii="宋体" w:hAnsi="宋体" w:cs="宋体"/>
          <w:bCs/>
          <w:color w:val="auto"/>
          <w:szCs w:val="21"/>
        </w:rPr>
      </w:pPr>
      <w:r>
        <w:rPr>
          <w:rStyle w:val="62"/>
          <w:rFonts w:hint="eastAsia"/>
          <w:color w:val="auto"/>
          <w:kern w:val="0"/>
        </w:rPr>
        <w:t>分标号：</w:t>
      </w:r>
    </w:p>
    <w:p>
      <w:pPr>
        <w:pStyle w:val="8"/>
        <w:snapToGrid w:val="0"/>
        <w:spacing w:line="400" w:lineRule="exact"/>
        <w:ind w:firstLineChars="200"/>
        <w:rPr>
          <w:rFonts w:ascii="宋体" w:hAnsi="宋体" w:cs="宋体"/>
          <w:bCs/>
          <w:color w:val="auto"/>
          <w:szCs w:val="21"/>
        </w:rPr>
      </w:pPr>
      <w:r>
        <w:rPr>
          <w:rFonts w:hint="eastAsia" w:ascii="宋体" w:hAnsi="宋体" w:cs="宋体"/>
          <w:bCs/>
          <w:color w:val="auto"/>
          <w:szCs w:val="21"/>
        </w:rPr>
        <w:t>投标人名称：（盖章）</w:t>
      </w:r>
    </w:p>
    <w:p>
      <w:pPr>
        <w:pStyle w:val="8"/>
        <w:snapToGrid w:val="0"/>
        <w:spacing w:line="400" w:lineRule="exact"/>
        <w:ind w:firstLineChars="200"/>
        <w:rPr>
          <w:rFonts w:ascii="宋体" w:hAnsi="宋体" w:cs="宋体"/>
          <w:bCs/>
          <w:color w:val="auto"/>
          <w:szCs w:val="21"/>
        </w:rPr>
      </w:pPr>
      <w:r>
        <w:rPr>
          <w:rFonts w:hint="eastAsia" w:ascii="宋体" w:hAnsi="宋体" w:cs="宋体"/>
          <w:bCs/>
          <w:color w:val="auto"/>
          <w:szCs w:val="21"/>
        </w:rPr>
        <w:t xml:space="preserve">在  </w:t>
      </w:r>
      <w:r>
        <w:rPr>
          <w:rFonts w:hint="eastAsia" w:ascii="宋体" w:hAnsi="宋体" w:cs="宋体"/>
          <w:color w:val="auto"/>
          <w:szCs w:val="21"/>
        </w:rPr>
        <w:t>×年×月×日×时×分前</w:t>
      </w:r>
      <w:r>
        <w:rPr>
          <w:rFonts w:hint="eastAsia" w:ascii="宋体" w:hAnsi="宋体" w:cs="宋体"/>
          <w:bCs/>
          <w:color w:val="auto"/>
          <w:szCs w:val="21"/>
        </w:rPr>
        <w:t>不得启封（开标时才能启封）</w:t>
      </w:r>
    </w:p>
    <w:p>
      <w:pPr>
        <w:snapToGrid w:val="0"/>
        <w:spacing w:line="400" w:lineRule="exact"/>
        <w:ind w:firstLine="420" w:firstLineChars="200"/>
        <w:rPr>
          <w:rFonts w:ascii="宋体" w:hAnsi="宋体" w:cs="宋体"/>
          <w:color w:val="auto"/>
          <w:szCs w:val="21"/>
        </w:rPr>
      </w:pPr>
    </w:p>
    <w:p>
      <w:pPr>
        <w:snapToGrid w:val="0"/>
        <w:spacing w:line="400" w:lineRule="exact"/>
        <w:ind w:firstLine="420" w:firstLineChars="200"/>
        <w:rPr>
          <w:rFonts w:ascii="宋体" w:hAnsi="宋体" w:cs="宋体"/>
          <w:color w:val="auto"/>
          <w:szCs w:val="21"/>
        </w:rPr>
      </w:pPr>
    </w:p>
    <w:p>
      <w:pPr>
        <w:snapToGrid w:val="0"/>
        <w:spacing w:line="400" w:lineRule="exact"/>
        <w:ind w:firstLine="420" w:firstLineChars="200"/>
        <w:rPr>
          <w:rFonts w:ascii="宋体" w:hAnsi="宋体" w:cs="宋体"/>
          <w:color w:val="auto"/>
          <w:szCs w:val="21"/>
        </w:rPr>
      </w:pPr>
    </w:p>
    <w:p>
      <w:pPr>
        <w:pStyle w:val="191"/>
        <w:spacing w:line="400" w:lineRule="exact"/>
        <w:outlineLvl w:val="2"/>
        <w:rPr>
          <w:rFonts w:hAnsi="宋体" w:cs="宋体"/>
          <w:b/>
          <w:color w:val="auto"/>
        </w:rPr>
      </w:pPr>
      <w:bookmarkStart w:id="121" w:name="_Toc5465"/>
      <w:r>
        <w:rPr>
          <w:rFonts w:hint="eastAsia" w:hAnsi="宋体" w:cs="宋体"/>
          <w:b/>
          <w:color w:val="auto"/>
        </w:rPr>
        <w:t>（二）投标文件封面（格式 ）</w:t>
      </w:r>
      <w:bookmarkEnd w:id="121"/>
    </w:p>
    <w:p>
      <w:pPr>
        <w:snapToGrid w:val="0"/>
        <w:spacing w:line="400" w:lineRule="exact"/>
        <w:ind w:firstLine="480" w:firstLineChars="200"/>
        <w:rPr>
          <w:rFonts w:ascii="宋体" w:hAnsi="宋体" w:cs="宋体"/>
          <w:color w:val="auto"/>
          <w:sz w:val="24"/>
        </w:rPr>
      </w:pPr>
    </w:p>
    <w:p>
      <w:pPr>
        <w:snapToGrid w:val="0"/>
        <w:spacing w:line="400" w:lineRule="exact"/>
        <w:ind w:firstLine="422" w:firstLineChars="200"/>
        <w:rPr>
          <w:rFonts w:ascii="宋体" w:hAnsi="宋体" w:cs="宋体"/>
          <w:bCs/>
          <w:color w:val="auto"/>
          <w:sz w:val="24"/>
        </w:rPr>
      </w:pPr>
      <w:r>
        <w:rPr>
          <w:rFonts w:hint="eastAsia" w:ascii="宋体" w:hAnsi="宋体" w:cs="宋体"/>
          <w:b/>
          <w:bCs/>
          <w:color w:val="auto"/>
          <w:szCs w:val="21"/>
        </w:rPr>
        <w:t>（正\副本）</w:t>
      </w:r>
    </w:p>
    <w:p>
      <w:pPr>
        <w:snapToGrid w:val="0"/>
        <w:spacing w:line="400" w:lineRule="exact"/>
        <w:jc w:val="center"/>
        <w:rPr>
          <w:rFonts w:ascii="宋体" w:hAnsi="宋体" w:cs="宋体"/>
          <w:b/>
          <w:bCs/>
          <w:color w:val="auto"/>
          <w:sz w:val="32"/>
          <w:szCs w:val="32"/>
        </w:rPr>
      </w:pPr>
      <w:r>
        <w:rPr>
          <w:rFonts w:hint="eastAsia" w:ascii="宋体" w:hAnsi="宋体" w:cs="宋体"/>
          <w:b/>
          <w:bCs/>
          <w:color w:val="auto"/>
          <w:sz w:val="32"/>
          <w:szCs w:val="32"/>
        </w:rPr>
        <w:t>投标文件</w:t>
      </w:r>
    </w:p>
    <w:p>
      <w:pPr>
        <w:pStyle w:val="8"/>
        <w:snapToGrid w:val="0"/>
        <w:spacing w:line="400" w:lineRule="exact"/>
        <w:ind w:firstLine="0"/>
        <w:jc w:val="center"/>
        <w:rPr>
          <w:rFonts w:ascii="宋体" w:hAnsi="宋体" w:cs="宋体"/>
          <w:b/>
          <w:bCs/>
          <w:color w:val="auto"/>
          <w:sz w:val="24"/>
          <w:szCs w:val="24"/>
        </w:rPr>
      </w:pPr>
    </w:p>
    <w:p>
      <w:pPr>
        <w:pStyle w:val="8"/>
        <w:snapToGrid w:val="0"/>
        <w:spacing w:line="400" w:lineRule="exact"/>
        <w:ind w:firstLine="0"/>
        <w:jc w:val="center"/>
        <w:rPr>
          <w:rFonts w:ascii="宋体" w:hAnsi="宋体" w:cs="宋体"/>
          <w:b/>
          <w:bCs/>
          <w:color w:val="auto"/>
          <w:sz w:val="24"/>
          <w:szCs w:val="24"/>
        </w:rPr>
      </w:pPr>
      <w:r>
        <w:rPr>
          <w:rFonts w:hint="eastAsia" w:ascii="宋体" w:hAnsi="宋体" w:cs="宋体"/>
          <w:b/>
          <w:bCs/>
          <w:color w:val="auto"/>
          <w:sz w:val="24"/>
          <w:szCs w:val="24"/>
        </w:rPr>
        <w:t>资格文件</w:t>
      </w:r>
    </w:p>
    <w:p>
      <w:pPr>
        <w:snapToGrid w:val="0"/>
        <w:spacing w:line="400" w:lineRule="exact"/>
        <w:ind w:firstLine="480" w:firstLineChars="200"/>
        <w:rPr>
          <w:rFonts w:ascii="宋体" w:hAnsi="宋体" w:cs="宋体"/>
          <w:bCs/>
          <w:color w:val="auto"/>
          <w:sz w:val="24"/>
        </w:rPr>
      </w:pPr>
    </w:p>
    <w:p>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 xml:space="preserve">项目名称： </w:t>
      </w:r>
    </w:p>
    <w:p>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 xml:space="preserve">项目编号： </w:t>
      </w:r>
    </w:p>
    <w:p>
      <w:pPr>
        <w:snapToGrid w:val="0"/>
        <w:spacing w:line="400" w:lineRule="exact"/>
        <w:ind w:firstLine="420" w:firstLineChars="200"/>
        <w:rPr>
          <w:rFonts w:ascii="宋体" w:hAnsi="宋体" w:cs="宋体"/>
          <w:bCs/>
          <w:color w:val="auto"/>
          <w:szCs w:val="21"/>
        </w:rPr>
      </w:pPr>
      <w:r>
        <w:rPr>
          <w:rStyle w:val="62"/>
          <w:rFonts w:hint="eastAsia"/>
          <w:color w:val="auto"/>
          <w:kern w:val="0"/>
        </w:rPr>
        <w:t>分标号：</w:t>
      </w:r>
    </w:p>
    <w:p>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投标人名称：（盖章）</w:t>
      </w:r>
    </w:p>
    <w:p>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投标人地址：</w:t>
      </w:r>
    </w:p>
    <w:p>
      <w:pPr>
        <w:rPr>
          <w:rFonts w:ascii="宋体" w:hAnsi="宋体" w:cs="宋体"/>
          <w:color w:val="auto"/>
          <w:szCs w:val="21"/>
        </w:rPr>
      </w:pPr>
      <w:r>
        <w:rPr>
          <w:rFonts w:hint="eastAsia" w:ascii="宋体" w:hAnsi="宋体" w:cs="宋体"/>
          <w:color w:val="auto"/>
          <w:sz w:val="24"/>
        </w:rPr>
        <w:t xml:space="preserve">                        年  月  日</w:t>
      </w:r>
    </w:p>
    <w:p>
      <w:pPr>
        <w:rPr>
          <w:rFonts w:ascii="宋体" w:hAnsi="宋体" w:cs="宋体"/>
          <w:bCs/>
          <w:color w:val="auto"/>
          <w:szCs w:val="21"/>
        </w:rPr>
      </w:pPr>
    </w:p>
    <w:p>
      <w:pPr>
        <w:rPr>
          <w:rFonts w:ascii="宋体" w:hAnsi="宋体" w:cs="宋体"/>
          <w:b/>
          <w:color w:val="auto"/>
          <w:szCs w:val="21"/>
        </w:rPr>
      </w:pPr>
    </w:p>
    <w:p>
      <w:pPr>
        <w:rPr>
          <w:rFonts w:ascii="宋体" w:hAnsi="宋体" w:cs="宋体"/>
          <w:b/>
          <w:color w:val="auto"/>
          <w:szCs w:val="21"/>
        </w:rPr>
      </w:pPr>
      <w:r>
        <w:rPr>
          <w:rFonts w:hint="eastAsia" w:ascii="宋体" w:hAnsi="宋体" w:cs="宋体"/>
          <w:b/>
          <w:color w:val="auto"/>
          <w:szCs w:val="21"/>
        </w:rPr>
        <w:br w:type="page"/>
      </w:r>
    </w:p>
    <w:p>
      <w:pPr>
        <w:pStyle w:val="191"/>
        <w:spacing w:line="400" w:lineRule="exact"/>
        <w:outlineLvl w:val="2"/>
        <w:rPr>
          <w:rFonts w:hAnsi="宋体" w:cs="宋体"/>
          <w:b/>
          <w:color w:val="auto"/>
        </w:rPr>
      </w:pPr>
      <w:bookmarkStart w:id="122" w:name="_Toc19214"/>
      <w:r>
        <w:rPr>
          <w:rFonts w:hint="eastAsia" w:hAnsi="宋体" w:cs="宋体"/>
          <w:b/>
          <w:color w:val="auto"/>
        </w:rPr>
        <w:t>（三）投标文件（格式）</w:t>
      </w:r>
      <w:bookmarkEnd w:id="122"/>
    </w:p>
    <w:p>
      <w:pPr>
        <w:snapToGrid w:val="0"/>
        <w:spacing w:line="400" w:lineRule="exact"/>
        <w:ind w:firstLine="420" w:firstLineChars="200"/>
        <w:jc w:val="left"/>
        <w:rPr>
          <w:rFonts w:ascii="宋体" w:hAnsi="宋体" w:cs="宋体"/>
          <w:b/>
          <w:color w:val="auto"/>
        </w:rPr>
      </w:pPr>
      <w:r>
        <w:rPr>
          <w:rFonts w:hint="eastAsia" w:ascii="宋体" w:hAnsi="宋体" w:cs="宋体"/>
          <w:color w:val="auto"/>
          <w:szCs w:val="21"/>
        </w:rPr>
        <w:t>（1）投标声明书</w:t>
      </w:r>
      <w:r>
        <w:rPr>
          <w:rFonts w:hint="eastAsia" w:ascii="宋体" w:hAnsi="宋体" w:cs="宋体"/>
          <w:b/>
          <w:color w:val="auto"/>
        </w:rPr>
        <w:t>（必须提供）；</w:t>
      </w:r>
    </w:p>
    <w:p>
      <w:pPr>
        <w:snapToGrid w:val="0"/>
        <w:spacing w:line="400" w:lineRule="exact"/>
        <w:ind w:firstLine="422" w:firstLineChars="200"/>
        <w:jc w:val="left"/>
        <w:rPr>
          <w:rFonts w:ascii="宋体" w:hAnsi="宋体" w:cs="宋体"/>
          <w:b/>
          <w:color w:val="auto"/>
        </w:rPr>
      </w:pPr>
    </w:p>
    <w:p>
      <w:pPr>
        <w:pStyle w:val="29"/>
        <w:rPr>
          <w:rFonts w:hAnsi="宋体" w:cs="宋体"/>
          <w:color w:val="auto"/>
        </w:rPr>
      </w:pPr>
    </w:p>
    <w:p>
      <w:pPr>
        <w:pStyle w:val="29"/>
        <w:rPr>
          <w:rFonts w:hAnsi="宋体" w:cs="宋体"/>
          <w:color w:val="auto"/>
        </w:rPr>
      </w:pPr>
    </w:p>
    <w:p>
      <w:pPr>
        <w:snapToGrid w:val="0"/>
        <w:spacing w:line="400" w:lineRule="exact"/>
        <w:jc w:val="center"/>
        <w:rPr>
          <w:rFonts w:ascii="宋体" w:hAnsi="宋体" w:cs="宋体"/>
          <w:b/>
          <w:color w:val="auto"/>
          <w:sz w:val="30"/>
          <w:szCs w:val="30"/>
        </w:rPr>
      </w:pPr>
      <w:r>
        <w:rPr>
          <w:rFonts w:hint="eastAsia" w:ascii="宋体" w:hAnsi="宋体" w:cs="宋体"/>
          <w:b/>
          <w:color w:val="auto"/>
          <w:sz w:val="30"/>
          <w:szCs w:val="30"/>
        </w:rPr>
        <w:t>投标声明书（格式）</w:t>
      </w:r>
    </w:p>
    <w:p>
      <w:pPr>
        <w:snapToGrid w:val="0"/>
        <w:spacing w:line="400" w:lineRule="exact"/>
        <w:ind w:firstLine="420" w:firstLineChars="200"/>
        <w:rPr>
          <w:rFonts w:ascii="宋体" w:hAnsi="宋体" w:cs="宋体"/>
          <w:color w:val="auto"/>
          <w:szCs w:val="21"/>
        </w:rPr>
      </w:pP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致：</w:t>
      </w:r>
      <w:r>
        <w:rPr>
          <w:rFonts w:hint="eastAsia" w:ascii="宋体" w:hAnsi="宋体" w:cs="宋体"/>
          <w:color w:val="auto"/>
          <w:u w:val="single"/>
          <w:lang w:eastAsia="zh-CN"/>
        </w:rPr>
        <w:t xml:space="preserve"> 广西天立工程造价咨询有限公司</w:t>
      </w:r>
      <w:r>
        <w:rPr>
          <w:rFonts w:hint="eastAsia" w:ascii="宋体" w:hAnsi="宋体" w:cs="宋体"/>
          <w:color w:val="auto"/>
          <w:szCs w:val="21"/>
        </w:rPr>
        <w:t>：</w:t>
      </w:r>
    </w:p>
    <w:p>
      <w:pPr>
        <w:snapToGrid w:val="0"/>
        <w:spacing w:beforeLines="50" w:after="50"/>
        <w:ind w:firstLine="630" w:firstLineChars="300"/>
        <w:rPr>
          <w:rFonts w:ascii="宋体" w:hAnsi="宋体" w:cs="宋体"/>
          <w:color w:val="auto"/>
          <w:szCs w:val="21"/>
        </w:rPr>
      </w:pPr>
      <w:r>
        <w:rPr>
          <w:rFonts w:hint="eastAsia" w:ascii="宋体" w:hAnsi="宋体" w:cs="宋体"/>
          <w:color w:val="auto"/>
          <w:szCs w:val="21"/>
        </w:rPr>
        <w:t>（投标人名称）系中华人民共和国合法企业，经营地址。</w:t>
      </w:r>
    </w:p>
    <w:p>
      <w:pPr>
        <w:snapToGrid w:val="0"/>
        <w:spacing w:beforeLines="50" w:after="50"/>
        <w:ind w:firstLine="645"/>
        <w:rPr>
          <w:rFonts w:ascii="宋体" w:hAnsi="宋体" w:cs="宋体"/>
          <w:color w:val="auto"/>
          <w:szCs w:val="21"/>
        </w:rPr>
      </w:pPr>
      <w:r>
        <w:rPr>
          <w:rFonts w:hint="eastAsia" w:ascii="宋体" w:hAnsi="宋体" w:cs="宋体"/>
          <w:color w:val="auto"/>
          <w:szCs w:val="21"/>
        </w:rPr>
        <w:t>我（姓名）系（投标人名称）的法定代表人，我方愿意参加贵方组织的 项目投标，为便于贵方公正、择优地确定中标人及其投标产品和服务，我方就本次投标有关事项郑重声明如下：</w:t>
      </w:r>
    </w:p>
    <w:p>
      <w:pPr>
        <w:snapToGrid w:val="0"/>
        <w:ind w:firstLine="420" w:firstLineChars="200"/>
        <w:rPr>
          <w:rFonts w:ascii="宋体" w:hAnsi="宋体" w:cs="宋体"/>
          <w:color w:val="auto"/>
          <w:szCs w:val="21"/>
        </w:rPr>
      </w:pPr>
      <w:r>
        <w:rPr>
          <w:rFonts w:hint="eastAsia" w:ascii="宋体" w:hAnsi="宋体" w:cs="宋体"/>
          <w:color w:val="auto"/>
          <w:szCs w:val="21"/>
        </w:rPr>
        <w:t>1.我方向贵方提交的所有投标文件、资料都是准确的和真实的。</w:t>
      </w:r>
    </w:p>
    <w:p>
      <w:pPr>
        <w:snapToGrid w:val="0"/>
        <w:spacing w:beforeLines="50"/>
        <w:ind w:firstLine="420" w:firstLineChars="200"/>
        <w:rPr>
          <w:rFonts w:ascii="宋体" w:hAnsi="宋体" w:cs="宋体"/>
          <w:color w:val="auto"/>
          <w:szCs w:val="21"/>
        </w:rPr>
      </w:pPr>
      <w:r>
        <w:rPr>
          <w:rFonts w:hint="eastAsia" w:ascii="宋体" w:hAnsi="宋体" w:cs="宋体"/>
          <w:color w:val="auto"/>
          <w:szCs w:val="21"/>
        </w:rPr>
        <w:t>2.我方不是招标单位的附属机构；在获知本项目采购信息后，与招标单位聘请的为此项目提供咨询服务的公司及其附属机构没有任何联系。</w:t>
      </w:r>
    </w:p>
    <w:p>
      <w:pPr>
        <w:snapToGrid w:val="0"/>
        <w:spacing w:beforeLines="50"/>
        <w:ind w:firstLine="420" w:firstLineChars="200"/>
        <w:rPr>
          <w:rFonts w:ascii="宋体" w:hAnsi="宋体" w:cs="宋体"/>
          <w:color w:val="auto"/>
          <w:szCs w:val="21"/>
        </w:rPr>
      </w:pPr>
      <w:r>
        <w:rPr>
          <w:rFonts w:hint="eastAsia" w:ascii="宋体" w:hAnsi="宋体" w:cs="宋体"/>
          <w:color w:val="auto"/>
          <w:szCs w:val="21"/>
        </w:rPr>
        <w:t>3.我方此次向贵方提供的产品名称为：；规格型号：；该型号产品我方有现货可供。</w:t>
      </w:r>
    </w:p>
    <w:p>
      <w:pPr>
        <w:snapToGrid w:val="0"/>
        <w:spacing w:beforeLines="50"/>
        <w:ind w:firstLine="420" w:firstLineChars="200"/>
        <w:rPr>
          <w:rFonts w:ascii="宋体" w:hAnsi="宋体" w:cs="宋体"/>
          <w:color w:val="auto"/>
          <w:szCs w:val="21"/>
        </w:rPr>
      </w:pPr>
      <w:r>
        <w:rPr>
          <w:rFonts w:hint="eastAsia" w:ascii="宋体" w:hAnsi="宋体" w:cs="宋体"/>
          <w:color w:val="auto"/>
          <w:szCs w:val="21"/>
        </w:rPr>
        <w:t>4.我方诚意提请贵方关注：近期有关该型号产品的生产、供货、售后服务以及性能等方面的重大决策和事项有：</w:t>
      </w:r>
      <w:r>
        <w:rPr>
          <w:rFonts w:hint="eastAsia" w:ascii="宋体" w:hAnsi="宋体" w:cs="宋体"/>
          <w:color w:val="auto"/>
          <w:szCs w:val="21"/>
          <w:u w:val="single"/>
        </w:rPr>
        <w:t>　　　　　　　　　　　　　　　　　　　　　　　　　　　　　　　　　　　　　　　　　　　　　　　　　　　　</w:t>
      </w:r>
    </w:p>
    <w:p>
      <w:pPr>
        <w:pStyle w:val="18"/>
        <w:snapToGrid w:val="0"/>
        <w:ind w:firstLine="420" w:firstLineChars="200"/>
        <w:rPr>
          <w:rFonts w:ascii="宋体" w:hAnsi="宋体" w:cs="宋体"/>
          <w:color w:val="auto"/>
          <w:sz w:val="21"/>
          <w:szCs w:val="21"/>
        </w:rPr>
      </w:pPr>
      <w:r>
        <w:rPr>
          <w:rFonts w:hint="eastAsia" w:ascii="宋体" w:hAnsi="宋体" w:cs="宋体"/>
          <w:color w:val="auto"/>
          <w:sz w:val="21"/>
          <w:szCs w:val="21"/>
        </w:rPr>
        <w:t>5.我方及由本人担任法定代表人的其他机构最近三年内被通报或者被处罚的违法行为有：</w:t>
      </w:r>
      <w:r>
        <w:rPr>
          <w:rFonts w:hint="eastAsia" w:ascii="宋体" w:hAnsi="宋体" w:cs="宋体"/>
          <w:color w:val="auto"/>
          <w:sz w:val="21"/>
          <w:szCs w:val="21"/>
          <w:u w:val="single"/>
        </w:rPr>
        <w:t>　　　　　　　　　　　　　　　　　　　　　　　　　　　</w:t>
      </w:r>
    </w:p>
    <w:p>
      <w:pPr>
        <w:snapToGrid w:val="0"/>
        <w:ind w:firstLine="420" w:firstLineChars="200"/>
        <w:rPr>
          <w:rFonts w:ascii="宋体" w:hAnsi="宋体" w:cs="宋体"/>
          <w:color w:val="auto"/>
          <w:szCs w:val="21"/>
        </w:rPr>
      </w:pPr>
      <w:r>
        <w:rPr>
          <w:rFonts w:hint="eastAsia" w:ascii="宋体" w:hAnsi="宋体" w:cs="宋体"/>
          <w:color w:val="auto"/>
          <w:szCs w:val="21"/>
        </w:rPr>
        <w:t>6.以上事项如有虚假或隐瞒，我方愿意承担一切后果，并不再寻求任何旨在减轻或免除法律责任的辩解。</w:t>
      </w:r>
    </w:p>
    <w:p>
      <w:pPr>
        <w:pStyle w:val="29"/>
        <w:rPr>
          <w:rFonts w:hAnsi="宋体" w:cs="宋体"/>
          <w:color w:val="auto"/>
        </w:rPr>
      </w:pPr>
    </w:p>
    <w:p>
      <w:pPr>
        <w:pStyle w:val="29"/>
        <w:rPr>
          <w:rFonts w:hAnsi="宋体" w:cs="宋体"/>
          <w:color w:val="auto"/>
        </w:rPr>
      </w:pPr>
    </w:p>
    <w:p>
      <w:pPr>
        <w:pStyle w:val="191"/>
        <w:spacing w:line="400" w:lineRule="exact"/>
        <w:outlineLvl w:val="4"/>
        <w:rPr>
          <w:rFonts w:hAnsi="宋体" w:cs="宋体"/>
          <w:color w:val="auto"/>
        </w:rPr>
      </w:pPr>
    </w:p>
    <w:p>
      <w:pPr>
        <w:pStyle w:val="191"/>
        <w:spacing w:line="400" w:lineRule="exact"/>
        <w:outlineLvl w:val="4"/>
        <w:rPr>
          <w:rFonts w:hAnsi="宋体" w:cs="宋体"/>
          <w:color w:val="auto"/>
        </w:rPr>
      </w:pPr>
    </w:p>
    <w:p>
      <w:pPr>
        <w:pStyle w:val="191"/>
        <w:spacing w:line="400" w:lineRule="exact"/>
        <w:outlineLvl w:val="4"/>
        <w:rPr>
          <w:rFonts w:hAnsi="宋体" w:cs="宋体"/>
          <w:color w:val="auto"/>
        </w:rPr>
      </w:pPr>
    </w:p>
    <w:p>
      <w:pPr>
        <w:pStyle w:val="29"/>
        <w:ind w:firstLine="2520" w:firstLineChars="1200"/>
        <w:rPr>
          <w:rFonts w:hAnsi="宋体" w:cs="宋体"/>
          <w:color w:val="auto"/>
        </w:rPr>
      </w:pPr>
      <w:r>
        <w:rPr>
          <w:rFonts w:hint="eastAsia" w:hAnsi="宋体" w:cs="宋体"/>
          <w:color w:val="auto"/>
        </w:rPr>
        <w:t>投标人（公章）</w:t>
      </w:r>
    </w:p>
    <w:p>
      <w:pPr>
        <w:pStyle w:val="29"/>
        <w:rPr>
          <w:rFonts w:hAnsi="宋体" w:cs="宋体"/>
          <w:color w:val="auto"/>
        </w:rPr>
      </w:pPr>
    </w:p>
    <w:p>
      <w:pPr>
        <w:pStyle w:val="29"/>
        <w:ind w:firstLine="2520" w:firstLineChars="1200"/>
        <w:rPr>
          <w:rFonts w:hAnsi="宋体" w:cs="宋体"/>
          <w:color w:val="auto"/>
          <w:u w:val="single"/>
        </w:rPr>
      </w:pPr>
      <w:r>
        <w:rPr>
          <w:rFonts w:hint="eastAsia" w:hAnsi="宋体" w:cs="宋体"/>
          <w:color w:val="auto"/>
        </w:rPr>
        <w:t>法定代表人或委托代理人（签字或盖章）</w:t>
      </w:r>
    </w:p>
    <w:p>
      <w:pPr>
        <w:pStyle w:val="29"/>
        <w:ind w:firstLine="2520" w:firstLineChars="1200"/>
        <w:rPr>
          <w:rFonts w:hAnsi="宋体" w:cs="宋体"/>
          <w:color w:val="auto"/>
          <w:u w:val="single"/>
        </w:rPr>
      </w:pPr>
    </w:p>
    <w:p>
      <w:pPr>
        <w:snapToGrid w:val="0"/>
        <w:spacing w:line="400" w:lineRule="exact"/>
        <w:ind w:firstLine="2520" w:firstLineChars="1200"/>
        <w:jc w:val="left"/>
        <w:rPr>
          <w:rFonts w:hAnsi="宋体" w:cs="宋体"/>
          <w:color w:val="auto"/>
        </w:rPr>
      </w:pPr>
      <w:r>
        <w:rPr>
          <w:rFonts w:hint="eastAsia" w:hAnsi="宋体" w:cs="宋体"/>
          <w:color w:val="auto"/>
        </w:rPr>
        <w:t>日期：</w:t>
      </w:r>
    </w:p>
    <w:p>
      <w:pPr>
        <w:snapToGrid w:val="0"/>
        <w:spacing w:line="400" w:lineRule="exact"/>
        <w:ind w:firstLine="2520" w:firstLineChars="1200"/>
        <w:jc w:val="left"/>
        <w:rPr>
          <w:rFonts w:hAnsi="宋体" w:cs="宋体"/>
          <w:color w:val="auto"/>
        </w:rPr>
      </w:pPr>
    </w:p>
    <w:p>
      <w:pPr>
        <w:snapToGrid w:val="0"/>
        <w:spacing w:line="400" w:lineRule="exact"/>
        <w:ind w:firstLine="2520" w:firstLineChars="1200"/>
        <w:jc w:val="left"/>
        <w:rPr>
          <w:rFonts w:hAnsi="宋体" w:cs="宋体"/>
          <w:color w:val="auto"/>
        </w:rPr>
      </w:pPr>
    </w:p>
    <w:p>
      <w:pPr>
        <w:snapToGrid w:val="0"/>
        <w:spacing w:line="400" w:lineRule="exact"/>
        <w:ind w:firstLine="2520" w:firstLineChars="1200"/>
        <w:jc w:val="left"/>
        <w:rPr>
          <w:rFonts w:hAnsi="宋体" w:cs="宋体"/>
          <w:color w:val="auto"/>
        </w:rPr>
      </w:pPr>
    </w:p>
    <w:p>
      <w:pPr>
        <w:snapToGrid w:val="0"/>
        <w:spacing w:line="400" w:lineRule="exact"/>
        <w:ind w:firstLine="2520" w:firstLineChars="1200"/>
        <w:jc w:val="left"/>
        <w:rPr>
          <w:rFonts w:hAnsi="宋体" w:cs="宋体"/>
          <w:color w:val="auto"/>
        </w:rPr>
      </w:pPr>
    </w:p>
    <w:p>
      <w:pPr>
        <w:snapToGrid w:val="0"/>
        <w:spacing w:line="400" w:lineRule="exact"/>
        <w:ind w:firstLine="2520" w:firstLineChars="1200"/>
        <w:jc w:val="left"/>
        <w:rPr>
          <w:rFonts w:hAnsi="宋体" w:cs="宋体"/>
          <w:color w:val="auto"/>
        </w:rPr>
      </w:pPr>
    </w:p>
    <w:p>
      <w:pPr>
        <w:snapToGrid w:val="0"/>
        <w:spacing w:line="400" w:lineRule="exact"/>
        <w:ind w:firstLine="2520" w:firstLineChars="1200"/>
        <w:jc w:val="left"/>
        <w:rPr>
          <w:rFonts w:hAnsi="宋体" w:cs="宋体"/>
          <w:color w:val="auto"/>
        </w:rPr>
      </w:pPr>
    </w:p>
    <w:p>
      <w:pPr>
        <w:rPr>
          <w:rFonts w:hint="eastAsia" w:ascii="宋体" w:hAnsi="宋体" w:cs="宋体"/>
          <w:color w:val="auto"/>
          <w:szCs w:val="21"/>
        </w:rPr>
      </w:pPr>
      <w:r>
        <w:rPr>
          <w:rFonts w:hint="eastAsia" w:ascii="宋体" w:hAnsi="宋体" w:cs="宋体"/>
          <w:color w:val="auto"/>
          <w:szCs w:val="21"/>
        </w:rPr>
        <w:br w:type="page"/>
      </w:r>
    </w:p>
    <w:p>
      <w:pPr>
        <w:snapToGrid w:val="0"/>
        <w:spacing w:line="400" w:lineRule="exact"/>
        <w:ind w:firstLine="420" w:firstLineChars="200"/>
        <w:jc w:val="left"/>
        <w:rPr>
          <w:rFonts w:ascii="宋体" w:hAnsi="宋体" w:cs="宋体"/>
          <w:b/>
          <w:color w:val="auto"/>
        </w:rPr>
      </w:pPr>
      <w:r>
        <w:rPr>
          <w:rFonts w:hint="eastAsia" w:ascii="宋体" w:hAnsi="宋体" w:cs="宋体"/>
          <w:color w:val="auto"/>
          <w:szCs w:val="21"/>
        </w:rPr>
        <w:t>（2）</w:t>
      </w:r>
      <w:r>
        <w:rPr>
          <w:rFonts w:hint="eastAsia" w:ascii="宋体" w:hAnsi="宋体" w:cs="宋体"/>
          <w:bCs/>
          <w:color w:val="auto"/>
        </w:rPr>
        <w:t>有效的营业执照副本等证明文件复印件，同时要加盖单位公章</w:t>
      </w:r>
      <w:r>
        <w:rPr>
          <w:rFonts w:hint="eastAsia" w:ascii="宋体" w:hAnsi="宋体" w:cs="宋体"/>
          <w:b/>
          <w:color w:val="auto"/>
        </w:rPr>
        <w:t>（必须提供）；</w:t>
      </w:r>
    </w:p>
    <w:p>
      <w:pPr>
        <w:snapToGrid w:val="0"/>
        <w:spacing w:line="400" w:lineRule="exact"/>
        <w:ind w:firstLine="420" w:firstLineChars="200"/>
        <w:jc w:val="left"/>
        <w:rPr>
          <w:rFonts w:ascii="宋体" w:hAnsi="宋体" w:cs="宋体"/>
          <w:bCs/>
          <w:color w:val="auto"/>
        </w:rPr>
      </w:pPr>
      <w:r>
        <w:rPr>
          <w:rFonts w:hint="eastAsia" w:ascii="宋体" w:hAnsi="宋体" w:cs="宋体"/>
          <w:bCs/>
          <w:color w:val="auto"/>
        </w:rPr>
        <w:t>（3）须具备有效的“医疗器械经营许可证”（或医疗器械生产许可证），同时要加盖单位公章</w:t>
      </w:r>
      <w:r>
        <w:rPr>
          <w:rFonts w:hint="eastAsia" w:ascii="宋体" w:hAnsi="宋体" w:cs="宋体"/>
          <w:b/>
          <w:color w:val="auto"/>
        </w:rPr>
        <w:t>（必须提供）</w:t>
      </w:r>
      <w:r>
        <w:rPr>
          <w:rFonts w:hint="eastAsia" w:ascii="宋体" w:hAnsi="宋体" w:cs="宋体"/>
          <w:bCs/>
          <w:color w:val="auto"/>
        </w:rPr>
        <w:t>；</w:t>
      </w:r>
    </w:p>
    <w:p>
      <w:pPr>
        <w:snapToGrid w:val="0"/>
        <w:spacing w:line="400" w:lineRule="exact"/>
        <w:ind w:firstLine="420" w:firstLineChars="200"/>
        <w:jc w:val="left"/>
        <w:rPr>
          <w:rFonts w:ascii="宋体" w:hAnsi="宋体" w:cs="宋体"/>
          <w:b/>
          <w:color w:val="auto"/>
        </w:rPr>
      </w:pPr>
      <w:r>
        <w:rPr>
          <w:rFonts w:hint="eastAsia" w:ascii="宋体" w:hAnsi="宋体" w:cs="宋体"/>
          <w:bCs/>
          <w:color w:val="auto"/>
        </w:rPr>
        <w:t>（4）信用记录书面声明</w:t>
      </w:r>
      <w:r>
        <w:rPr>
          <w:rFonts w:hint="eastAsia" w:ascii="宋体" w:hAnsi="宋体" w:cs="宋体"/>
          <w:b/>
          <w:color w:val="auto"/>
        </w:rPr>
        <w:t>（必须提供）；</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参加政府采购活动前三年内在经营活动中没有重大违法记录和不良信用记录的书面声明（</w:t>
      </w:r>
      <w:r>
        <w:rPr>
          <w:rFonts w:hint="eastAsia" w:ascii="宋体" w:hAnsi="宋体" w:cs="宋体"/>
          <w:b/>
          <w:color w:val="auto"/>
          <w:szCs w:val="21"/>
          <w:u w:val="single"/>
        </w:rPr>
        <w:t>格式如下，必须提供</w:t>
      </w:r>
      <w:r>
        <w:rPr>
          <w:rFonts w:hint="eastAsia" w:ascii="宋体" w:hAnsi="宋体" w:cs="宋体"/>
          <w:color w:val="auto"/>
          <w:szCs w:val="21"/>
        </w:rPr>
        <w:t>）；</w:t>
      </w:r>
    </w:p>
    <w:p>
      <w:pPr>
        <w:adjustRightInd w:val="0"/>
        <w:snapToGrid w:val="0"/>
        <w:spacing w:line="360" w:lineRule="exact"/>
        <w:jc w:val="center"/>
        <w:rPr>
          <w:rFonts w:ascii="宋体" w:hAnsi="宋体" w:cs="宋体"/>
          <w:b/>
          <w:bCs/>
          <w:color w:val="auto"/>
          <w:sz w:val="28"/>
          <w:szCs w:val="28"/>
        </w:rPr>
      </w:pPr>
    </w:p>
    <w:p>
      <w:pPr>
        <w:adjustRightInd w:val="0"/>
        <w:snapToGrid w:val="0"/>
        <w:spacing w:line="360" w:lineRule="exact"/>
        <w:jc w:val="center"/>
        <w:rPr>
          <w:rFonts w:ascii="宋体" w:hAnsi="宋体" w:cs="宋体"/>
          <w:b/>
          <w:bCs/>
          <w:color w:val="auto"/>
          <w:sz w:val="28"/>
          <w:szCs w:val="28"/>
        </w:rPr>
      </w:pPr>
      <w:r>
        <w:rPr>
          <w:rFonts w:hint="eastAsia" w:ascii="宋体" w:hAnsi="宋体" w:cs="宋体"/>
          <w:b/>
          <w:bCs/>
          <w:color w:val="auto"/>
          <w:sz w:val="28"/>
          <w:szCs w:val="28"/>
        </w:rPr>
        <w:t>近三年内在经营活动中没有重大违法记录和不良信用记录的声明函（格式）</w:t>
      </w:r>
    </w:p>
    <w:p>
      <w:pPr>
        <w:adjustRightInd w:val="0"/>
        <w:snapToGrid w:val="0"/>
        <w:spacing w:line="360" w:lineRule="exact"/>
        <w:jc w:val="center"/>
        <w:rPr>
          <w:rFonts w:ascii="宋体" w:hAnsi="宋体" w:cs="宋体"/>
          <w:b/>
          <w:color w:val="auto"/>
          <w:sz w:val="36"/>
          <w:szCs w:val="36"/>
        </w:rPr>
      </w:pPr>
    </w:p>
    <w:p>
      <w:pPr>
        <w:adjustRightInd w:val="0"/>
        <w:snapToGrid w:val="0"/>
        <w:spacing w:line="360" w:lineRule="exact"/>
        <w:rPr>
          <w:rFonts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 xml:space="preserve"> （本代理机构名称） </w:t>
      </w:r>
    </w:p>
    <w:p>
      <w:pPr>
        <w:adjustRightInd w:val="0"/>
        <w:snapToGrid w:val="0"/>
        <w:spacing w:line="360" w:lineRule="exact"/>
        <w:ind w:firstLine="315" w:firstLineChars="150"/>
        <w:jc w:val="left"/>
        <w:rPr>
          <w:rFonts w:ascii="宋体" w:hAnsi="宋体" w:cs="宋体"/>
          <w:color w:val="auto"/>
          <w:szCs w:val="21"/>
        </w:rPr>
      </w:pPr>
    </w:p>
    <w:p>
      <w:pPr>
        <w:snapToGrid w:val="0"/>
        <w:spacing w:line="400" w:lineRule="exact"/>
        <w:ind w:firstLine="420" w:firstLineChars="200"/>
        <w:jc w:val="left"/>
        <w:rPr>
          <w:rFonts w:ascii="宋体" w:hAnsi="宋体" w:cs="宋体"/>
          <w:bCs/>
          <w:color w:val="auto"/>
        </w:rPr>
      </w:pPr>
      <w:r>
        <w:rPr>
          <w:rFonts w:hint="eastAsia" w:ascii="宋体" w:hAnsi="宋体" w:cs="宋体"/>
          <w:bCs/>
          <w:color w:val="auto"/>
        </w:rPr>
        <w:t>我单位近三年在经营活动中没有重大违法记录和不良信用记录（包括：因违法经营受到刑事处罚或者责令停产停业，吊销许可证或者执照、较大数额罚款等行政处罚），特此声明。</w:t>
      </w:r>
    </w:p>
    <w:p>
      <w:pPr>
        <w:snapToGrid w:val="0"/>
        <w:spacing w:line="400" w:lineRule="exact"/>
        <w:ind w:firstLine="420" w:firstLineChars="200"/>
        <w:jc w:val="left"/>
        <w:rPr>
          <w:rFonts w:ascii="宋体" w:hAnsi="宋体" w:cs="宋体"/>
          <w:color w:val="auto"/>
          <w:szCs w:val="21"/>
        </w:rPr>
      </w:pPr>
      <w:r>
        <w:rPr>
          <w:rFonts w:hint="eastAsia" w:ascii="宋体" w:hAnsi="宋体" w:cs="宋体"/>
          <w:bCs/>
          <w:color w:val="auto"/>
        </w:rPr>
        <w:t>若招标单位在本项目采购过程中发现我单位近三年内在经营活动中有重大违法记录和不良信用记录，我单位将无条件地退出本项目的投标，并承担因此引起的一切后果。</w:t>
      </w:r>
    </w:p>
    <w:p>
      <w:pPr>
        <w:adjustRightInd w:val="0"/>
        <w:snapToGrid w:val="0"/>
        <w:spacing w:line="360" w:lineRule="exact"/>
        <w:ind w:firstLine="315" w:firstLineChars="150"/>
        <w:jc w:val="left"/>
        <w:rPr>
          <w:rFonts w:ascii="宋体" w:hAnsi="宋体" w:cs="宋体"/>
          <w:color w:val="auto"/>
          <w:szCs w:val="21"/>
        </w:rPr>
      </w:pPr>
    </w:p>
    <w:p>
      <w:pPr>
        <w:adjustRightInd w:val="0"/>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投标人（盖章）：</w:t>
      </w:r>
    </w:p>
    <w:p>
      <w:pPr>
        <w:adjustRightInd w:val="0"/>
        <w:snapToGri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法定代表人或委托代理人</w:t>
      </w:r>
      <w:r>
        <w:rPr>
          <w:rFonts w:hint="eastAsia" w:ascii="宋体" w:hAnsi="宋体" w:cs="宋体"/>
          <w:color w:val="auto"/>
        </w:rPr>
        <w:t>（签字或盖章）</w:t>
      </w:r>
      <w:r>
        <w:rPr>
          <w:rFonts w:hint="eastAsia" w:ascii="宋体" w:hAnsi="宋体" w:cs="宋体"/>
          <w:color w:val="auto"/>
          <w:szCs w:val="21"/>
        </w:rPr>
        <w:t>：</w:t>
      </w:r>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日期：年月日</w:t>
      </w:r>
    </w:p>
    <w:p>
      <w:pPr>
        <w:pStyle w:val="2"/>
        <w:rPr>
          <w:color w:val="auto"/>
        </w:rPr>
      </w:pPr>
    </w:p>
    <w:p>
      <w:pPr>
        <w:pStyle w:val="2"/>
        <w:ind w:left="0" w:leftChars="0" w:firstLine="420" w:firstLineChars="200"/>
        <w:rPr>
          <w:rFonts w:hint="eastAsia"/>
          <w:color w:val="auto"/>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color w:val="auto"/>
        </w:rPr>
        <w:t>投标截止之日前半年内投标人连续三个月的依法缴纳税费或依法免缴税费的证明（格式自拟，复印件，</w:t>
      </w:r>
      <w:r>
        <w:rPr>
          <w:rFonts w:hint="eastAsia"/>
          <w:b/>
          <w:bCs/>
          <w:color w:val="auto"/>
        </w:rPr>
        <w:t>必须提供</w:t>
      </w:r>
      <w:r>
        <w:rPr>
          <w:rFonts w:hint="eastAsia"/>
          <w:color w:val="auto"/>
        </w:rPr>
        <w:t>）；无纳税记录的，应提供由投标人所在地的税务部门出具的《依法纳税或依法免税证明》（格式自拟，复印件）。</w:t>
      </w:r>
    </w:p>
    <w:p>
      <w:pPr>
        <w:pStyle w:val="2"/>
        <w:ind w:left="0" w:leftChars="0" w:firstLine="420" w:firstLineChars="200"/>
        <w:rPr>
          <w:rFonts w:hint="eastAsia"/>
          <w:color w:val="auto"/>
        </w:rPr>
      </w:pPr>
      <w:r>
        <w:rPr>
          <w:rFonts w:hint="eastAsia"/>
          <w:color w:val="auto"/>
        </w:rPr>
        <w:t>（</w:t>
      </w:r>
      <w:r>
        <w:rPr>
          <w:rFonts w:hint="eastAsia"/>
          <w:color w:val="auto"/>
          <w:lang w:val="en-US" w:eastAsia="zh-CN"/>
        </w:rPr>
        <w:t>6</w:t>
      </w:r>
      <w:r>
        <w:rPr>
          <w:rFonts w:hint="eastAsia"/>
          <w:color w:val="auto"/>
        </w:rPr>
        <w:t>）投标截止之日前半年内投标人连续三个月的依法缴纳社保费的缴费凭证（格式自拟，复印件，</w:t>
      </w:r>
      <w:r>
        <w:rPr>
          <w:rFonts w:hint="eastAsia"/>
          <w:b/>
          <w:bCs/>
          <w:color w:val="auto"/>
        </w:rPr>
        <w:t>必须提供</w:t>
      </w:r>
      <w:r>
        <w:rPr>
          <w:rFonts w:hint="eastAsia"/>
          <w:color w:val="auto"/>
        </w:rPr>
        <w:t>）；无缴费记录的，应提供由投标人所在地社保部门出具的《依法缴纳或依法免缴社保费证明》（格式自拟，复印件）。</w:t>
      </w:r>
    </w:p>
    <w:p>
      <w:pPr>
        <w:snapToGrid w:val="0"/>
        <w:spacing w:line="400" w:lineRule="exact"/>
        <w:ind w:firstLine="422" w:firstLineChars="200"/>
        <w:jc w:val="left"/>
        <w:rPr>
          <w:rFonts w:ascii="宋体" w:hAnsi="宋体" w:cs="宋体"/>
          <w:b/>
          <w:color w:val="auto"/>
        </w:rPr>
      </w:pP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w:t>
      </w:r>
      <w:r>
        <w:rPr>
          <w:rFonts w:hint="eastAsia" w:ascii="宋体" w:hAnsi="宋体" w:cs="宋体"/>
          <w:bCs/>
          <w:color w:val="auto"/>
        </w:rPr>
        <w:t>具备法律、行政法规规定的其他条件的证明材料</w:t>
      </w:r>
      <w:r>
        <w:rPr>
          <w:rFonts w:hint="eastAsia" w:ascii="宋体" w:hAnsi="宋体" w:cs="宋体"/>
          <w:b/>
          <w:color w:val="auto"/>
        </w:rPr>
        <w:t>(如有规定，则必须提供)。</w:t>
      </w:r>
    </w:p>
    <w:p>
      <w:pPr>
        <w:rPr>
          <w:rFonts w:ascii="宋体" w:hAnsi="宋体" w:cs="宋体"/>
          <w:b/>
          <w:color w:val="auto"/>
          <w:szCs w:val="21"/>
        </w:rPr>
      </w:pPr>
    </w:p>
    <w:p>
      <w:pPr>
        <w:rPr>
          <w:rFonts w:ascii="宋体" w:hAnsi="宋体" w:cs="宋体"/>
          <w:b/>
          <w:color w:val="auto"/>
          <w:szCs w:val="21"/>
        </w:rPr>
      </w:pPr>
    </w:p>
    <w:p>
      <w:pPr>
        <w:rPr>
          <w:rFonts w:ascii="宋体" w:hAnsi="宋体" w:cs="宋体"/>
          <w:b/>
          <w:color w:val="auto"/>
          <w:szCs w:val="21"/>
        </w:rPr>
      </w:pPr>
      <w:r>
        <w:rPr>
          <w:rFonts w:hint="eastAsia" w:ascii="宋体" w:hAnsi="宋体" w:cs="宋体"/>
          <w:b/>
          <w:color w:val="auto"/>
          <w:szCs w:val="21"/>
        </w:rPr>
        <w:br w:type="page"/>
      </w:r>
    </w:p>
    <w:p>
      <w:pPr>
        <w:rPr>
          <w:rFonts w:ascii="宋体" w:hAnsi="宋体" w:cs="宋体"/>
          <w:b/>
          <w:color w:val="auto"/>
          <w:szCs w:val="21"/>
        </w:rPr>
      </w:pPr>
    </w:p>
    <w:p>
      <w:pPr>
        <w:pStyle w:val="29"/>
        <w:jc w:val="center"/>
        <w:outlineLvl w:val="1"/>
        <w:rPr>
          <w:rFonts w:hAnsi="宋体" w:cs="宋体"/>
          <w:b/>
          <w:bCs/>
          <w:color w:val="auto"/>
          <w:kern w:val="0"/>
          <w:sz w:val="24"/>
          <w:szCs w:val="20"/>
        </w:rPr>
      </w:pPr>
      <w:bookmarkStart w:id="123" w:name="_Toc25122"/>
      <w:r>
        <w:rPr>
          <w:rFonts w:hint="eastAsia" w:hAnsi="宋体" w:cs="宋体"/>
          <w:b/>
          <w:bCs/>
          <w:color w:val="auto"/>
          <w:kern w:val="0"/>
          <w:sz w:val="24"/>
          <w:szCs w:val="20"/>
        </w:rPr>
        <w:t>第三部分  报价/商务及技术文件（格式）</w:t>
      </w:r>
      <w:bookmarkEnd w:id="123"/>
    </w:p>
    <w:p>
      <w:pPr>
        <w:rPr>
          <w:rFonts w:ascii="宋体" w:hAnsi="宋体" w:cs="宋体"/>
          <w:b/>
          <w:color w:val="auto"/>
          <w:szCs w:val="21"/>
        </w:rPr>
      </w:pPr>
    </w:p>
    <w:p>
      <w:pPr>
        <w:rPr>
          <w:rFonts w:ascii="宋体" w:hAnsi="宋体" w:cs="宋体"/>
          <w:b/>
          <w:color w:val="auto"/>
          <w:szCs w:val="21"/>
        </w:rPr>
      </w:pPr>
    </w:p>
    <w:p>
      <w:pPr>
        <w:rPr>
          <w:rFonts w:ascii="宋体" w:hAnsi="宋体" w:cs="宋体"/>
          <w:b/>
          <w:color w:val="auto"/>
          <w:szCs w:val="21"/>
        </w:rPr>
      </w:pPr>
    </w:p>
    <w:p>
      <w:pPr>
        <w:pStyle w:val="191"/>
        <w:spacing w:line="400" w:lineRule="exact"/>
        <w:outlineLvl w:val="2"/>
        <w:rPr>
          <w:rFonts w:hAnsi="宋体" w:cs="宋体"/>
          <w:b/>
          <w:color w:val="auto"/>
        </w:rPr>
      </w:pPr>
      <w:bookmarkStart w:id="124" w:name="_Toc2107"/>
      <w:r>
        <w:rPr>
          <w:rFonts w:hint="eastAsia" w:hAnsi="宋体" w:cs="宋体"/>
          <w:b/>
          <w:color w:val="auto"/>
        </w:rPr>
        <w:t>（一）外包装封面（格式 ）</w:t>
      </w:r>
      <w:bookmarkEnd w:id="124"/>
    </w:p>
    <w:p>
      <w:pPr>
        <w:rPr>
          <w:rFonts w:ascii="宋体" w:hAnsi="宋体" w:cs="宋体"/>
          <w:b/>
          <w:color w:val="auto"/>
          <w:szCs w:val="21"/>
        </w:rPr>
      </w:pPr>
    </w:p>
    <w:p>
      <w:pPr>
        <w:snapToGrid w:val="0"/>
        <w:spacing w:line="400" w:lineRule="exact"/>
        <w:jc w:val="center"/>
        <w:rPr>
          <w:rFonts w:ascii="宋体" w:hAnsi="宋体" w:cs="宋体"/>
          <w:b/>
          <w:bCs/>
          <w:color w:val="auto"/>
          <w:sz w:val="32"/>
          <w:szCs w:val="32"/>
        </w:rPr>
      </w:pPr>
      <w:r>
        <w:rPr>
          <w:rFonts w:hint="eastAsia" w:ascii="宋体" w:hAnsi="宋体" w:cs="宋体"/>
          <w:b/>
          <w:bCs/>
          <w:color w:val="auto"/>
          <w:sz w:val="32"/>
          <w:szCs w:val="32"/>
        </w:rPr>
        <w:t>投标文件</w:t>
      </w:r>
    </w:p>
    <w:p>
      <w:pPr>
        <w:pStyle w:val="8"/>
        <w:snapToGrid w:val="0"/>
        <w:spacing w:line="400" w:lineRule="exact"/>
        <w:ind w:firstLine="0"/>
        <w:jc w:val="center"/>
        <w:rPr>
          <w:rFonts w:ascii="宋体" w:hAnsi="宋体" w:cs="宋体"/>
          <w:b/>
          <w:bCs/>
          <w:color w:val="auto"/>
          <w:sz w:val="24"/>
          <w:szCs w:val="24"/>
        </w:rPr>
      </w:pPr>
    </w:p>
    <w:p>
      <w:pPr>
        <w:pStyle w:val="8"/>
        <w:snapToGrid w:val="0"/>
        <w:spacing w:line="400" w:lineRule="exact"/>
        <w:ind w:firstLine="0"/>
        <w:jc w:val="center"/>
        <w:rPr>
          <w:rFonts w:ascii="宋体" w:hAnsi="宋体" w:cs="宋体"/>
          <w:b/>
          <w:bCs/>
          <w:color w:val="auto"/>
          <w:sz w:val="24"/>
          <w:szCs w:val="24"/>
        </w:rPr>
      </w:pPr>
      <w:r>
        <w:rPr>
          <w:rFonts w:hint="eastAsia" w:ascii="宋体" w:hAnsi="宋体" w:cs="宋体"/>
          <w:b/>
          <w:bCs/>
          <w:color w:val="auto"/>
          <w:sz w:val="24"/>
          <w:szCs w:val="24"/>
        </w:rPr>
        <w:t>报价/商务及技术文件</w:t>
      </w:r>
    </w:p>
    <w:p>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 xml:space="preserve">项目名称： </w:t>
      </w:r>
    </w:p>
    <w:p>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项目编号：</w:t>
      </w:r>
    </w:p>
    <w:p>
      <w:pPr>
        <w:snapToGrid w:val="0"/>
        <w:spacing w:line="400" w:lineRule="exact"/>
        <w:ind w:firstLine="420" w:firstLineChars="200"/>
        <w:rPr>
          <w:rFonts w:ascii="宋体" w:hAnsi="宋体" w:cs="宋体"/>
          <w:bCs/>
          <w:color w:val="auto"/>
          <w:szCs w:val="21"/>
        </w:rPr>
      </w:pPr>
      <w:r>
        <w:rPr>
          <w:rStyle w:val="62"/>
          <w:rFonts w:hint="eastAsia"/>
          <w:color w:val="auto"/>
          <w:kern w:val="0"/>
        </w:rPr>
        <w:t>分标号：</w:t>
      </w:r>
    </w:p>
    <w:p>
      <w:pPr>
        <w:pStyle w:val="8"/>
        <w:snapToGrid w:val="0"/>
        <w:spacing w:line="400" w:lineRule="exact"/>
        <w:ind w:firstLineChars="200"/>
        <w:rPr>
          <w:rFonts w:ascii="宋体" w:hAnsi="宋体" w:cs="宋体"/>
          <w:bCs/>
          <w:color w:val="auto"/>
          <w:szCs w:val="21"/>
        </w:rPr>
      </w:pPr>
      <w:r>
        <w:rPr>
          <w:rFonts w:hint="eastAsia" w:ascii="宋体" w:hAnsi="宋体" w:cs="宋体"/>
          <w:bCs/>
          <w:color w:val="auto"/>
          <w:szCs w:val="21"/>
        </w:rPr>
        <w:t>投标人名称：（盖章）</w:t>
      </w:r>
    </w:p>
    <w:p>
      <w:pPr>
        <w:pStyle w:val="8"/>
        <w:snapToGrid w:val="0"/>
        <w:spacing w:line="400" w:lineRule="exact"/>
        <w:ind w:firstLineChars="200"/>
        <w:rPr>
          <w:rFonts w:ascii="宋体" w:hAnsi="宋体" w:cs="宋体"/>
          <w:bCs/>
          <w:color w:val="auto"/>
          <w:szCs w:val="21"/>
        </w:rPr>
      </w:pPr>
      <w:r>
        <w:rPr>
          <w:rFonts w:hint="eastAsia" w:ascii="宋体" w:hAnsi="宋体" w:cs="宋体"/>
          <w:bCs/>
          <w:color w:val="auto"/>
          <w:szCs w:val="21"/>
        </w:rPr>
        <w:t xml:space="preserve">在  </w:t>
      </w:r>
      <w:r>
        <w:rPr>
          <w:rFonts w:hint="eastAsia" w:ascii="宋体" w:hAnsi="宋体" w:cs="宋体"/>
          <w:color w:val="auto"/>
          <w:szCs w:val="21"/>
        </w:rPr>
        <w:t>×年×月×日×时×分前</w:t>
      </w:r>
      <w:r>
        <w:rPr>
          <w:rFonts w:hint="eastAsia" w:ascii="宋体" w:hAnsi="宋体" w:cs="宋体"/>
          <w:bCs/>
          <w:color w:val="auto"/>
          <w:szCs w:val="21"/>
        </w:rPr>
        <w:t>不得启封（开标时才能启封）</w:t>
      </w:r>
    </w:p>
    <w:p>
      <w:pPr>
        <w:pStyle w:val="8"/>
        <w:snapToGrid w:val="0"/>
        <w:spacing w:line="400" w:lineRule="exact"/>
        <w:ind w:firstLineChars="200"/>
        <w:rPr>
          <w:rFonts w:ascii="宋体" w:hAnsi="宋体" w:cs="宋体"/>
          <w:bCs/>
          <w:color w:val="auto"/>
          <w:szCs w:val="21"/>
        </w:rPr>
      </w:pPr>
    </w:p>
    <w:p>
      <w:pPr>
        <w:rPr>
          <w:rFonts w:ascii="宋体" w:hAnsi="宋体" w:cs="宋体"/>
          <w:b/>
          <w:color w:val="auto"/>
          <w:szCs w:val="21"/>
        </w:rPr>
      </w:pPr>
    </w:p>
    <w:p>
      <w:pPr>
        <w:pStyle w:val="191"/>
        <w:spacing w:line="400" w:lineRule="exact"/>
        <w:outlineLvl w:val="2"/>
        <w:rPr>
          <w:rFonts w:hAnsi="宋体" w:cs="宋体"/>
          <w:b/>
          <w:color w:val="auto"/>
        </w:rPr>
      </w:pPr>
      <w:bookmarkStart w:id="125" w:name="_Toc22565"/>
      <w:r>
        <w:rPr>
          <w:rFonts w:hint="eastAsia" w:hAnsi="宋体" w:cs="宋体"/>
          <w:b/>
          <w:color w:val="auto"/>
        </w:rPr>
        <w:t>（二）投标文件封面（格式 ）</w:t>
      </w:r>
      <w:bookmarkEnd w:id="125"/>
    </w:p>
    <w:p>
      <w:pPr>
        <w:rPr>
          <w:rFonts w:ascii="宋体" w:hAnsi="宋体" w:cs="宋体"/>
          <w:b/>
          <w:color w:val="auto"/>
          <w:szCs w:val="21"/>
        </w:rPr>
      </w:pPr>
    </w:p>
    <w:p>
      <w:pPr>
        <w:rPr>
          <w:rFonts w:ascii="宋体" w:hAnsi="宋体" w:cs="宋体"/>
          <w:bCs/>
          <w:color w:val="auto"/>
          <w:szCs w:val="21"/>
        </w:rPr>
      </w:pPr>
    </w:p>
    <w:p>
      <w:pPr>
        <w:snapToGrid w:val="0"/>
        <w:spacing w:line="400" w:lineRule="exact"/>
        <w:rPr>
          <w:rFonts w:ascii="宋体" w:hAnsi="宋体" w:cs="宋体"/>
          <w:bCs/>
          <w:color w:val="auto"/>
          <w:sz w:val="24"/>
        </w:rPr>
      </w:pPr>
      <w:r>
        <w:rPr>
          <w:rFonts w:hint="eastAsia" w:ascii="宋体" w:hAnsi="宋体" w:cs="宋体"/>
          <w:b/>
          <w:bCs/>
          <w:color w:val="auto"/>
          <w:szCs w:val="21"/>
        </w:rPr>
        <w:t>（正\副本）</w:t>
      </w:r>
    </w:p>
    <w:p>
      <w:pPr>
        <w:snapToGrid w:val="0"/>
        <w:spacing w:line="400" w:lineRule="exact"/>
        <w:jc w:val="center"/>
        <w:rPr>
          <w:rFonts w:ascii="宋体" w:hAnsi="宋体" w:cs="宋体"/>
          <w:b/>
          <w:bCs/>
          <w:color w:val="auto"/>
          <w:sz w:val="32"/>
          <w:szCs w:val="32"/>
        </w:rPr>
      </w:pPr>
      <w:r>
        <w:rPr>
          <w:rFonts w:hint="eastAsia" w:ascii="宋体" w:hAnsi="宋体" w:cs="宋体"/>
          <w:b/>
          <w:bCs/>
          <w:color w:val="auto"/>
          <w:sz w:val="32"/>
          <w:szCs w:val="32"/>
        </w:rPr>
        <w:t>投标文件</w:t>
      </w:r>
    </w:p>
    <w:p>
      <w:pPr>
        <w:pStyle w:val="8"/>
        <w:snapToGrid w:val="0"/>
        <w:spacing w:line="400" w:lineRule="exact"/>
        <w:ind w:firstLine="0"/>
        <w:jc w:val="center"/>
        <w:rPr>
          <w:rFonts w:ascii="宋体" w:hAnsi="宋体" w:cs="宋体"/>
          <w:b/>
          <w:bCs/>
          <w:color w:val="auto"/>
          <w:sz w:val="24"/>
          <w:szCs w:val="24"/>
        </w:rPr>
      </w:pPr>
    </w:p>
    <w:p>
      <w:pPr>
        <w:pStyle w:val="8"/>
        <w:snapToGrid w:val="0"/>
        <w:spacing w:line="400" w:lineRule="exact"/>
        <w:ind w:firstLine="0"/>
        <w:jc w:val="center"/>
        <w:rPr>
          <w:rFonts w:ascii="宋体" w:hAnsi="宋体" w:cs="宋体"/>
          <w:b/>
          <w:bCs/>
          <w:color w:val="auto"/>
          <w:sz w:val="24"/>
          <w:szCs w:val="24"/>
        </w:rPr>
      </w:pPr>
      <w:r>
        <w:rPr>
          <w:rFonts w:hint="eastAsia" w:ascii="宋体" w:hAnsi="宋体" w:cs="宋体"/>
          <w:b/>
          <w:bCs/>
          <w:color w:val="auto"/>
          <w:sz w:val="24"/>
          <w:szCs w:val="24"/>
        </w:rPr>
        <w:t>报价/商务及技术文件</w:t>
      </w:r>
    </w:p>
    <w:p>
      <w:pPr>
        <w:snapToGrid w:val="0"/>
        <w:spacing w:line="400" w:lineRule="exact"/>
        <w:ind w:firstLine="480" w:firstLineChars="200"/>
        <w:rPr>
          <w:rFonts w:ascii="宋体" w:hAnsi="宋体" w:cs="宋体"/>
          <w:bCs/>
          <w:color w:val="auto"/>
          <w:sz w:val="24"/>
        </w:rPr>
      </w:pPr>
    </w:p>
    <w:p>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 xml:space="preserve">项目名称： </w:t>
      </w:r>
    </w:p>
    <w:p>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 xml:space="preserve">项目编号： </w:t>
      </w:r>
    </w:p>
    <w:p>
      <w:pPr>
        <w:snapToGrid w:val="0"/>
        <w:spacing w:line="400" w:lineRule="exact"/>
        <w:ind w:firstLine="420" w:firstLineChars="200"/>
        <w:rPr>
          <w:rFonts w:ascii="宋体" w:hAnsi="宋体" w:cs="宋体"/>
          <w:bCs/>
          <w:color w:val="auto"/>
          <w:szCs w:val="21"/>
        </w:rPr>
      </w:pPr>
      <w:r>
        <w:rPr>
          <w:rStyle w:val="62"/>
          <w:rFonts w:hint="eastAsia"/>
          <w:color w:val="auto"/>
          <w:kern w:val="0"/>
        </w:rPr>
        <w:t>分标号</w:t>
      </w:r>
    </w:p>
    <w:p>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投标人名称：（盖章）</w:t>
      </w:r>
    </w:p>
    <w:p>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投标人地址：</w:t>
      </w:r>
    </w:p>
    <w:p>
      <w:pPr>
        <w:rPr>
          <w:rFonts w:ascii="宋体" w:hAnsi="宋体" w:cs="宋体"/>
          <w:color w:val="auto"/>
          <w:szCs w:val="21"/>
        </w:rPr>
      </w:pPr>
      <w:r>
        <w:rPr>
          <w:rFonts w:hint="eastAsia" w:ascii="宋体" w:hAnsi="宋体" w:cs="宋体"/>
          <w:color w:val="auto"/>
          <w:sz w:val="24"/>
        </w:rPr>
        <w:t xml:space="preserve">                        年  月  日</w:t>
      </w:r>
    </w:p>
    <w:p>
      <w:pPr>
        <w:rPr>
          <w:rFonts w:ascii="宋体" w:hAnsi="宋体" w:cs="宋体"/>
          <w:bCs/>
          <w:color w:val="auto"/>
          <w:szCs w:val="21"/>
        </w:rPr>
      </w:pPr>
    </w:p>
    <w:p>
      <w:pPr>
        <w:rPr>
          <w:rFonts w:ascii="宋体" w:hAnsi="宋体" w:cs="宋体"/>
          <w:bCs/>
          <w:color w:val="auto"/>
          <w:szCs w:val="21"/>
        </w:rPr>
      </w:pPr>
    </w:p>
    <w:p>
      <w:pPr>
        <w:rPr>
          <w:rFonts w:ascii="宋体" w:hAnsi="宋体" w:cs="宋体"/>
          <w:b/>
          <w:color w:val="auto"/>
          <w:szCs w:val="21"/>
        </w:rPr>
      </w:pPr>
    </w:p>
    <w:p>
      <w:pPr>
        <w:rPr>
          <w:rFonts w:ascii="宋体" w:hAnsi="宋体" w:cs="宋体"/>
          <w:b/>
          <w:color w:val="auto"/>
          <w:szCs w:val="21"/>
        </w:rPr>
      </w:pPr>
    </w:p>
    <w:p>
      <w:pPr>
        <w:rPr>
          <w:rFonts w:ascii="宋体" w:hAnsi="宋体" w:cs="宋体"/>
          <w:b/>
          <w:color w:val="auto"/>
          <w:szCs w:val="21"/>
        </w:rPr>
      </w:pPr>
    </w:p>
    <w:p>
      <w:pPr>
        <w:rPr>
          <w:rFonts w:ascii="宋体" w:hAnsi="宋体" w:cs="宋体"/>
          <w:b/>
          <w:color w:val="auto"/>
          <w:szCs w:val="21"/>
        </w:rPr>
      </w:pPr>
    </w:p>
    <w:p>
      <w:pPr>
        <w:rPr>
          <w:rFonts w:ascii="宋体" w:hAnsi="宋体" w:cs="宋体"/>
          <w:b/>
          <w:color w:val="auto"/>
          <w:szCs w:val="21"/>
        </w:rPr>
      </w:pPr>
    </w:p>
    <w:p>
      <w:pPr>
        <w:rPr>
          <w:rFonts w:ascii="宋体" w:hAnsi="宋体" w:cs="宋体"/>
          <w:b/>
          <w:color w:val="auto"/>
          <w:szCs w:val="21"/>
        </w:rPr>
      </w:pPr>
      <w:r>
        <w:rPr>
          <w:rFonts w:hint="eastAsia" w:ascii="宋体" w:hAnsi="宋体" w:cs="宋体"/>
          <w:b/>
          <w:color w:val="auto"/>
          <w:szCs w:val="21"/>
        </w:rPr>
        <w:br w:type="page"/>
      </w:r>
    </w:p>
    <w:p>
      <w:pPr>
        <w:pStyle w:val="191"/>
        <w:spacing w:line="400" w:lineRule="exact"/>
        <w:outlineLvl w:val="2"/>
        <w:rPr>
          <w:rFonts w:hAnsi="宋体" w:cs="宋体"/>
          <w:b/>
          <w:color w:val="auto"/>
        </w:rPr>
      </w:pPr>
      <w:bookmarkStart w:id="126" w:name="_Toc21814"/>
      <w:r>
        <w:rPr>
          <w:rFonts w:hint="eastAsia" w:hAnsi="宋体" w:cs="宋体"/>
          <w:b/>
          <w:color w:val="auto"/>
        </w:rPr>
        <w:t>（三）投标文件（格式）</w:t>
      </w:r>
      <w:bookmarkEnd w:id="126"/>
    </w:p>
    <w:p>
      <w:pPr>
        <w:pStyle w:val="191"/>
        <w:spacing w:line="400" w:lineRule="exact"/>
        <w:rPr>
          <w:rFonts w:hAnsi="宋体" w:cs="宋体"/>
          <w:b/>
          <w:color w:val="auto"/>
        </w:rPr>
      </w:pPr>
    </w:p>
    <w:p>
      <w:pPr>
        <w:spacing w:line="400" w:lineRule="exact"/>
        <w:outlineLvl w:val="3"/>
        <w:rPr>
          <w:rFonts w:ascii="宋体" w:hAnsi="宋体" w:cs="宋体"/>
          <w:b/>
          <w:color w:val="auto"/>
          <w:szCs w:val="21"/>
        </w:rPr>
      </w:pPr>
      <w:r>
        <w:rPr>
          <w:rFonts w:hint="eastAsia" w:ascii="宋体" w:hAnsi="宋体" w:cs="宋体"/>
          <w:b/>
          <w:color w:val="auto"/>
          <w:szCs w:val="21"/>
        </w:rPr>
        <w:t>（1）报价文件部分</w:t>
      </w:r>
    </w:p>
    <w:p>
      <w:pPr>
        <w:pStyle w:val="191"/>
        <w:spacing w:line="400" w:lineRule="exact"/>
        <w:outlineLvl w:val="4"/>
        <w:rPr>
          <w:rFonts w:hAnsi="宋体" w:cs="宋体"/>
          <w:color w:val="auto"/>
        </w:rPr>
      </w:pPr>
      <w:r>
        <w:rPr>
          <w:rFonts w:hint="eastAsia" w:hAnsi="宋体" w:cs="宋体"/>
          <w:b/>
          <w:color w:val="auto"/>
        </w:rPr>
        <w:t>1）投标函</w:t>
      </w:r>
      <w:r>
        <w:rPr>
          <w:rFonts w:hint="eastAsia" w:hAnsi="宋体" w:cs="宋体"/>
          <w:b/>
          <w:color w:val="auto"/>
          <w:szCs w:val="21"/>
        </w:rPr>
        <w:t>（</w:t>
      </w:r>
      <w:r>
        <w:rPr>
          <w:rFonts w:hint="eastAsia" w:hAnsi="宋体" w:cs="宋体"/>
          <w:b/>
          <w:color w:val="auto"/>
          <w:szCs w:val="21"/>
          <w:u w:val="single"/>
        </w:rPr>
        <w:t>必须提供</w:t>
      </w:r>
      <w:r>
        <w:rPr>
          <w:rFonts w:hint="eastAsia" w:hAnsi="宋体" w:cs="宋体"/>
          <w:b/>
          <w:color w:val="auto"/>
          <w:szCs w:val="21"/>
        </w:rPr>
        <w:t>）</w:t>
      </w:r>
      <w:r>
        <w:rPr>
          <w:rFonts w:hint="eastAsia" w:hAnsi="宋体" w:cs="宋体"/>
          <w:color w:val="auto"/>
        </w:rPr>
        <w:t xml:space="preserve">； </w:t>
      </w:r>
    </w:p>
    <w:p>
      <w:pPr>
        <w:tabs>
          <w:tab w:val="left" w:pos="3870"/>
          <w:tab w:val="left" w:pos="4085"/>
        </w:tabs>
        <w:snapToGrid w:val="0"/>
        <w:spacing w:line="400" w:lineRule="exact"/>
        <w:ind w:firstLine="420" w:firstLineChars="200"/>
        <w:jc w:val="left"/>
        <w:rPr>
          <w:rFonts w:ascii="宋体" w:hAnsi="宋体" w:cs="宋体"/>
          <w:color w:val="auto"/>
          <w:szCs w:val="21"/>
        </w:rPr>
      </w:pPr>
    </w:p>
    <w:p>
      <w:pPr>
        <w:snapToGrid w:val="0"/>
        <w:spacing w:line="400" w:lineRule="exact"/>
        <w:jc w:val="center"/>
        <w:rPr>
          <w:rFonts w:ascii="宋体" w:hAnsi="宋体" w:cs="宋体"/>
          <w:b/>
          <w:color w:val="auto"/>
          <w:sz w:val="32"/>
          <w:szCs w:val="32"/>
        </w:rPr>
      </w:pPr>
      <w:r>
        <w:rPr>
          <w:rFonts w:hint="eastAsia" w:ascii="宋体" w:hAnsi="宋体" w:cs="宋体"/>
          <w:b/>
          <w:color w:val="auto"/>
          <w:sz w:val="32"/>
          <w:szCs w:val="32"/>
        </w:rPr>
        <w:t>投标函（格式）</w:t>
      </w:r>
    </w:p>
    <w:p>
      <w:pPr>
        <w:snapToGrid w:val="0"/>
        <w:spacing w:line="400" w:lineRule="exact"/>
        <w:ind w:firstLine="420" w:firstLineChars="200"/>
        <w:rPr>
          <w:rFonts w:ascii="宋体" w:hAnsi="宋体" w:cs="宋体"/>
          <w:color w:val="auto"/>
          <w:szCs w:val="21"/>
        </w:rPr>
      </w:pP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致：</w:t>
      </w:r>
      <w:r>
        <w:rPr>
          <w:rFonts w:hint="eastAsia" w:ascii="宋体" w:hAnsi="宋体" w:cs="宋体"/>
          <w:color w:val="auto"/>
          <w:u w:val="single"/>
          <w:lang w:eastAsia="zh-CN"/>
        </w:rPr>
        <w:t xml:space="preserve"> 广西天立工程造价咨询有限公司</w:t>
      </w:r>
      <w:r>
        <w:rPr>
          <w:rFonts w:hint="eastAsia" w:ascii="宋体" w:hAnsi="宋体" w:cs="宋体"/>
          <w:color w:val="auto"/>
          <w:szCs w:val="21"/>
        </w:rPr>
        <w:t>：</w:t>
      </w:r>
    </w:p>
    <w:p>
      <w:pPr>
        <w:snapToGrid w:val="0"/>
        <w:spacing w:line="400" w:lineRule="exact"/>
        <w:ind w:left="105" w:leftChars="50" w:firstLine="315" w:firstLineChars="150"/>
        <w:rPr>
          <w:rFonts w:ascii="宋体" w:hAnsi="宋体" w:cs="宋体"/>
          <w:color w:val="auto"/>
          <w:szCs w:val="21"/>
        </w:rPr>
      </w:pPr>
      <w:r>
        <w:rPr>
          <w:rFonts w:hint="eastAsia" w:ascii="宋体" w:hAnsi="宋体" w:cs="宋体"/>
          <w:color w:val="auto"/>
          <w:szCs w:val="21"/>
        </w:rPr>
        <w:t>根据贵方为项目的招标文件（项目编号：）分标， 签字代表（全名）经正式授权并代表投标人（投标人名称）提交投标文件(其中开标一览表</w:t>
      </w:r>
      <w:r>
        <w:rPr>
          <w:rFonts w:hint="eastAsia" w:ascii="宋体" w:hAnsi="宋体" w:cs="宋体"/>
          <w:color w:val="auto"/>
          <w:szCs w:val="21"/>
          <w:u w:val="single"/>
        </w:rPr>
        <w:t xml:space="preserve"> 壹 </w:t>
      </w:r>
      <w:r>
        <w:rPr>
          <w:rFonts w:hint="eastAsia" w:ascii="宋体" w:hAnsi="宋体" w:cs="宋体"/>
          <w:color w:val="auto"/>
          <w:szCs w:val="21"/>
        </w:rPr>
        <w:t xml:space="preserve">份；资格文件正本 </w:t>
      </w:r>
      <w:r>
        <w:rPr>
          <w:rFonts w:hint="eastAsia" w:ascii="宋体" w:hAnsi="宋体" w:cs="宋体"/>
          <w:color w:val="auto"/>
          <w:szCs w:val="21"/>
          <w:u w:val="single"/>
        </w:rPr>
        <w:t xml:space="preserve">壹 </w:t>
      </w:r>
      <w:r>
        <w:rPr>
          <w:rFonts w:hint="eastAsia" w:ascii="宋体" w:hAnsi="宋体" w:cs="宋体"/>
          <w:color w:val="auto"/>
          <w:szCs w:val="21"/>
        </w:rPr>
        <w:t>份；副本</w:t>
      </w:r>
      <w:r>
        <w:rPr>
          <w:rFonts w:hint="eastAsia" w:ascii="宋体" w:hAnsi="宋体" w:cs="宋体"/>
          <w:color w:val="auto"/>
          <w:szCs w:val="21"/>
          <w:u w:val="single"/>
        </w:rPr>
        <w:t xml:space="preserve"> 肆 </w:t>
      </w:r>
      <w:r>
        <w:rPr>
          <w:rFonts w:hint="eastAsia" w:ascii="宋体" w:hAnsi="宋体" w:cs="宋体"/>
          <w:color w:val="auto"/>
          <w:szCs w:val="21"/>
        </w:rPr>
        <w:t xml:space="preserve">份；报价/商务及技术文件正本 </w:t>
      </w:r>
      <w:r>
        <w:rPr>
          <w:rFonts w:hint="eastAsia" w:ascii="宋体" w:hAnsi="宋体" w:cs="宋体"/>
          <w:color w:val="auto"/>
          <w:szCs w:val="21"/>
          <w:u w:val="single"/>
        </w:rPr>
        <w:t xml:space="preserve">壹 </w:t>
      </w:r>
      <w:r>
        <w:rPr>
          <w:rFonts w:hint="eastAsia" w:ascii="宋体" w:hAnsi="宋体" w:cs="宋体"/>
          <w:color w:val="auto"/>
          <w:szCs w:val="21"/>
        </w:rPr>
        <w:t>份；副本</w:t>
      </w:r>
      <w:r>
        <w:rPr>
          <w:rFonts w:hint="eastAsia" w:ascii="宋体" w:hAnsi="宋体" w:cs="宋体"/>
          <w:color w:val="auto"/>
          <w:szCs w:val="21"/>
          <w:u w:val="single"/>
        </w:rPr>
        <w:t xml:space="preserve"> 肆 </w:t>
      </w:r>
      <w:r>
        <w:rPr>
          <w:rFonts w:hint="eastAsia" w:ascii="宋体" w:hAnsi="宋体" w:cs="宋体"/>
          <w:color w:val="auto"/>
          <w:szCs w:val="21"/>
        </w:rPr>
        <w:t>份)。</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据此函，签字代表宣布同意如下：</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2、投标人在投标之前已经与贵方进行了充分的沟通，完全理解并接受招标文件的各项规定和要求，对招标文件的合理性、合法性不再有异议。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3、本投标有效期自开标日起60日（自然日）。</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5、投标人同意按照贵方要求提供与投标有关的一切数据或资料。</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6、与本投标有关的一切正式往来信函请寄：</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地址：邮编：__________   电话：______________</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传真：______________投标人代表姓名 ___________  职务：_____________</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投标人名称(公章)：___________________</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开户银行：   银行帐号：</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法定代表人或委托代理人</w:t>
      </w:r>
      <w:r>
        <w:rPr>
          <w:rFonts w:hint="eastAsia" w:ascii="宋体" w:hAnsi="宋体" w:cs="宋体"/>
          <w:color w:val="auto"/>
        </w:rPr>
        <w:t>（签字或盖章）</w:t>
      </w:r>
      <w:r>
        <w:rPr>
          <w:rFonts w:hint="eastAsia" w:ascii="宋体" w:hAnsi="宋体" w:cs="宋体"/>
          <w:color w:val="auto"/>
          <w:szCs w:val="21"/>
        </w:rPr>
        <w:t xml:space="preserve">：___________             </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日期：_____年___月___日</w:t>
      </w:r>
    </w:p>
    <w:p>
      <w:pPr>
        <w:tabs>
          <w:tab w:val="left" w:pos="3870"/>
          <w:tab w:val="left" w:pos="4085"/>
        </w:tabs>
        <w:snapToGrid w:val="0"/>
        <w:spacing w:line="400" w:lineRule="exact"/>
        <w:ind w:firstLine="420" w:firstLineChars="200"/>
        <w:jc w:val="left"/>
        <w:rPr>
          <w:rFonts w:ascii="宋体" w:hAnsi="宋体" w:cs="宋体"/>
          <w:color w:val="auto"/>
          <w:szCs w:val="21"/>
        </w:rPr>
      </w:pPr>
    </w:p>
    <w:p>
      <w:pPr>
        <w:tabs>
          <w:tab w:val="left" w:pos="3870"/>
          <w:tab w:val="left" w:pos="4085"/>
        </w:tabs>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br w:type="page"/>
      </w:r>
    </w:p>
    <w:p>
      <w:pPr>
        <w:pStyle w:val="191"/>
        <w:spacing w:line="400" w:lineRule="exact"/>
        <w:outlineLvl w:val="4"/>
        <w:rPr>
          <w:rFonts w:hAnsi="宋体" w:cs="宋体"/>
          <w:b/>
          <w:color w:val="auto"/>
        </w:rPr>
      </w:pPr>
      <w:r>
        <w:rPr>
          <w:rFonts w:hint="eastAsia" w:hAnsi="宋体" w:cs="宋体"/>
          <w:b/>
          <w:color w:val="auto"/>
        </w:rPr>
        <w:t>2）投标报价明细表</w:t>
      </w:r>
      <w:r>
        <w:rPr>
          <w:rFonts w:hint="eastAsia" w:hAnsi="宋体" w:cs="宋体"/>
          <w:b/>
          <w:color w:val="auto"/>
          <w:szCs w:val="21"/>
        </w:rPr>
        <w:t>（</w:t>
      </w:r>
      <w:r>
        <w:rPr>
          <w:rFonts w:hint="eastAsia" w:hAnsi="宋体" w:cs="宋体"/>
          <w:b/>
          <w:color w:val="auto"/>
          <w:szCs w:val="21"/>
          <w:u w:val="single"/>
        </w:rPr>
        <w:t>必须提供</w:t>
      </w:r>
      <w:r>
        <w:rPr>
          <w:rFonts w:hint="eastAsia" w:hAnsi="宋体" w:cs="宋体"/>
          <w:b/>
          <w:color w:val="auto"/>
          <w:szCs w:val="21"/>
        </w:rPr>
        <w:t>）</w:t>
      </w:r>
      <w:r>
        <w:rPr>
          <w:rFonts w:hint="eastAsia" w:hAnsi="宋体" w:cs="宋体"/>
          <w:b/>
          <w:color w:val="auto"/>
        </w:rPr>
        <w:t>；</w:t>
      </w:r>
    </w:p>
    <w:p>
      <w:pPr>
        <w:pStyle w:val="29"/>
        <w:snapToGrid w:val="0"/>
        <w:spacing w:line="400" w:lineRule="exact"/>
        <w:ind w:firstLine="420" w:firstLineChars="200"/>
        <w:jc w:val="right"/>
        <w:rPr>
          <w:rFonts w:hAnsi="宋体" w:cs="宋体"/>
          <w:color w:val="auto"/>
        </w:rPr>
      </w:pPr>
    </w:p>
    <w:p>
      <w:pPr>
        <w:pStyle w:val="29"/>
        <w:snapToGrid w:val="0"/>
        <w:spacing w:line="400" w:lineRule="exact"/>
        <w:ind w:firstLine="420" w:firstLineChars="200"/>
        <w:jc w:val="right"/>
        <w:rPr>
          <w:rFonts w:hAnsi="宋体" w:cs="宋体"/>
          <w:color w:val="auto"/>
        </w:rPr>
      </w:pPr>
    </w:p>
    <w:p>
      <w:pPr>
        <w:pStyle w:val="29"/>
        <w:snapToGrid w:val="0"/>
        <w:spacing w:line="400" w:lineRule="exact"/>
        <w:ind w:firstLine="420" w:firstLineChars="200"/>
        <w:jc w:val="right"/>
        <w:rPr>
          <w:rFonts w:hAnsi="宋体" w:cs="宋体"/>
          <w:color w:val="auto"/>
        </w:rPr>
      </w:pPr>
    </w:p>
    <w:p>
      <w:pPr>
        <w:pStyle w:val="29"/>
        <w:snapToGrid w:val="0"/>
        <w:spacing w:line="400" w:lineRule="exact"/>
        <w:jc w:val="center"/>
        <w:rPr>
          <w:rFonts w:hAnsi="宋体" w:cs="宋体"/>
          <w:b/>
          <w:color w:val="auto"/>
          <w:sz w:val="28"/>
          <w:szCs w:val="28"/>
        </w:rPr>
      </w:pPr>
      <w:r>
        <w:rPr>
          <w:rFonts w:hint="eastAsia" w:hAnsi="宋体" w:cs="宋体"/>
          <w:b/>
          <w:color w:val="auto"/>
          <w:sz w:val="28"/>
          <w:szCs w:val="28"/>
        </w:rPr>
        <w:t>投标报价明细表（格式）</w:t>
      </w:r>
    </w:p>
    <w:p>
      <w:pPr>
        <w:pStyle w:val="29"/>
        <w:snapToGrid w:val="0"/>
        <w:spacing w:line="400" w:lineRule="exact"/>
        <w:ind w:firstLine="420" w:firstLineChars="200"/>
        <w:jc w:val="right"/>
        <w:rPr>
          <w:rFonts w:hAnsi="宋体" w:cs="宋体"/>
          <w:color w:val="auto"/>
        </w:rPr>
      </w:pPr>
      <w:r>
        <w:rPr>
          <w:rFonts w:hint="eastAsia" w:hAnsi="宋体" w:cs="宋体"/>
          <w:color w:val="auto"/>
        </w:rPr>
        <w:t xml:space="preserve">   金额单位：人民币（元）</w:t>
      </w:r>
    </w:p>
    <w:tbl>
      <w:tblPr>
        <w:tblStyle w:val="53"/>
        <w:tblW w:w="972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260"/>
        <w:gridCol w:w="1260"/>
        <w:gridCol w:w="1080"/>
        <w:gridCol w:w="1080"/>
        <w:gridCol w:w="1620"/>
        <w:gridCol w:w="90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pacing w:val="20"/>
                <w:szCs w:val="21"/>
              </w:rPr>
            </w:pPr>
            <w:r>
              <w:rPr>
                <w:rFonts w:hint="eastAsia" w:ascii="宋体" w:hAnsi="宋体" w:cs="宋体"/>
                <w:color w:val="auto"/>
                <w:szCs w:val="21"/>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设备名称</w:t>
            </w:r>
          </w:p>
        </w:tc>
        <w:tc>
          <w:tcPr>
            <w:tcW w:w="1260" w:type="dxa"/>
            <w:tcBorders>
              <w:top w:val="single" w:color="auto" w:sz="4" w:space="0"/>
              <w:left w:val="single" w:color="auto" w:sz="4" w:space="0"/>
              <w:bottom w:val="single" w:color="auto" w:sz="4" w:space="0"/>
              <w:right w:val="single" w:color="auto" w:sz="4" w:space="0"/>
            </w:tcBorders>
            <w:vAlign w:val="center"/>
          </w:tcPr>
          <w:p>
            <w:pPr>
              <w:pStyle w:val="114"/>
              <w:keepNext w:val="0"/>
              <w:keepLines w:val="0"/>
              <w:suppressLineNumbers w:val="0"/>
              <w:spacing w:before="0" w:beforeAutospacing="0" w:after="0" w:afterAutospacing="0" w:line="400" w:lineRule="exact"/>
              <w:ind w:left="0" w:right="0"/>
              <w:jc w:val="center"/>
              <w:rPr>
                <w:rFonts w:hint="default" w:cs="宋体"/>
                <w:b w:val="0"/>
                <w:color w:val="auto"/>
              </w:rPr>
            </w:pPr>
            <w:r>
              <w:rPr>
                <w:rFonts w:hint="eastAsia" w:cs="宋体"/>
                <w:b w:val="0"/>
                <w:color w:val="auto"/>
              </w:rPr>
              <w:t>品牌</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规格型号</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生产厂家</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单位及数量</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单价</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pacing w:val="20"/>
                <w:szCs w:val="21"/>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pacing w:val="20"/>
                <w:szCs w:val="21"/>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pacing w:val="20"/>
                <w:szCs w:val="21"/>
              </w:rPr>
            </w:pPr>
            <w:r>
              <w:rPr>
                <w:rFonts w:hint="eastAsia" w:ascii="宋体" w:hAnsi="宋体" w:cs="宋体"/>
                <w:color w:val="auto"/>
                <w:spacing w:val="20"/>
                <w:szCs w:val="21"/>
              </w:rPr>
              <w:t>……</w:t>
            </w: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pacing w:val="20"/>
                <w:szCs w:val="21"/>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00" w:type="dxa"/>
            <w:gridSpan w:val="7"/>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rPr>
                <w:rFonts w:hint="default" w:ascii="宋体" w:hAnsi="宋体" w:cs="宋体"/>
                <w:color w:val="auto"/>
                <w:spacing w:val="20"/>
                <w:szCs w:val="21"/>
              </w:rPr>
            </w:pPr>
            <w:r>
              <w:rPr>
                <w:rFonts w:hint="eastAsia" w:ascii="宋体" w:hAnsi="宋体" w:cs="宋体"/>
                <w:color w:val="auto"/>
                <w:szCs w:val="21"/>
              </w:rPr>
              <w:t xml:space="preserve">合计金额：大写                                             </w:t>
            </w: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rPr>
                <w:rFonts w:hint="default" w:ascii="宋体" w:hAnsi="宋体" w:cs="宋体"/>
                <w:color w:val="auto"/>
                <w:spacing w:val="20"/>
                <w:szCs w:val="21"/>
              </w:rPr>
            </w:pPr>
            <w:r>
              <w:rPr>
                <w:rFonts w:hint="eastAsia" w:ascii="宋体" w:hAnsi="宋体" w:cs="宋体"/>
                <w:color w:val="auto"/>
                <w:szCs w:val="21"/>
              </w:rPr>
              <w:t>￥</w:t>
            </w:r>
          </w:p>
        </w:tc>
      </w:tr>
    </w:tbl>
    <w:p>
      <w:pPr>
        <w:tabs>
          <w:tab w:val="left" w:pos="1418"/>
        </w:tabs>
        <w:snapToGrid w:val="0"/>
        <w:spacing w:line="400" w:lineRule="exact"/>
        <w:ind w:firstLine="500" w:firstLineChars="200"/>
        <w:jc w:val="center"/>
        <w:rPr>
          <w:rFonts w:ascii="宋体" w:hAnsi="宋体" w:cs="宋体"/>
          <w:color w:val="auto"/>
          <w:spacing w:val="20"/>
          <w:szCs w:val="21"/>
          <w:u w:val="single"/>
        </w:rPr>
      </w:pPr>
    </w:p>
    <w:p>
      <w:pPr>
        <w:pStyle w:val="29"/>
        <w:ind w:firstLine="2520" w:firstLineChars="1200"/>
        <w:rPr>
          <w:rFonts w:hAnsi="宋体" w:cs="宋体"/>
          <w:color w:val="auto"/>
        </w:rPr>
      </w:pPr>
      <w:r>
        <w:rPr>
          <w:rFonts w:hint="eastAsia" w:hAnsi="宋体" w:cs="宋体"/>
          <w:color w:val="auto"/>
        </w:rPr>
        <w:t>投标人（公章）</w:t>
      </w:r>
    </w:p>
    <w:p>
      <w:pPr>
        <w:pStyle w:val="29"/>
        <w:rPr>
          <w:rFonts w:hAnsi="宋体" w:cs="宋体"/>
          <w:color w:val="auto"/>
        </w:rPr>
      </w:pPr>
    </w:p>
    <w:p>
      <w:pPr>
        <w:pStyle w:val="29"/>
        <w:ind w:firstLine="2520" w:firstLineChars="1200"/>
        <w:rPr>
          <w:rFonts w:hAnsi="宋体" w:cs="宋体"/>
          <w:color w:val="auto"/>
          <w:u w:val="single"/>
        </w:rPr>
      </w:pPr>
      <w:r>
        <w:rPr>
          <w:rFonts w:hint="eastAsia" w:hAnsi="宋体" w:cs="宋体"/>
          <w:color w:val="auto"/>
        </w:rPr>
        <w:t>法定代表人或委托代理人（签字或盖章）</w:t>
      </w:r>
    </w:p>
    <w:p>
      <w:pPr>
        <w:pStyle w:val="29"/>
        <w:ind w:firstLine="2520" w:firstLineChars="1200"/>
        <w:rPr>
          <w:rFonts w:hAnsi="宋体" w:cs="宋体"/>
          <w:color w:val="auto"/>
          <w:u w:val="single"/>
        </w:rPr>
      </w:pPr>
    </w:p>
    <w:p>
      <w:pPr>
        <w:pStyle w:val="29"/>
        <w:ind w:firstLine="2520" w:firstLineChars="1200"/>
        <w:rPr>
          <w:rFonts w:hAnsi="宋体" w:cs="宋体"/>
          <w:color w:val="auto"/>
        </w:rPr>
      </w:pPr>
      <w:r>
        <w:rPr>
          <w:rFonts w:hint="eastAsia" w:hAnsi="宋体" w:cs="宋体"/>
          <w:color w:val="auto"/>
        </w:rPr>
        <w:t xml:space="preserve">日期： </w:t>
      </w:r>
    </w:p>
    <w:p>
      <w:pPr>
        <w:tabs>
          <w:tab w:val="left" w:pos="3870"/>
          <w:tab w:val="left" w:pos="4085"/>
        </w:tabs>
        <w:snapToGrid w:val="0"/>
        <w:spacing w:line="400" w:lineRule="exact"/>
        <w:ind w:firstLine="420" w:firstLineChars="200"/>
        <w:jc w:val="left"/>
        <w:rPr>
          <w:rFonts w:ascii="宋体" w:hAnsi="宋体" w:cs="宋体"/>
          <w:color w:val="auto"/>
          <w:szCs w:val="21"/>
        </w:rPr>
      </w:pPr>
    </w:p>
    <w:p>
      <w:pPr>
        <w:tabs>
          <w:tab w:val="left" w:pos="3870"/>
          <w:tab w:val="left" w:pos="4085"/>
        </w:tabs>
        <w:snapToGrid w:val="0"/>
        <w:spacing w:line="400" w:lineRule="exact"/>
        <w:ind w:firstLine="420" w:firstLineChars="200"/>
        <w:jc w:val="left"/>
        <w:rPr>
          <w:rFonts w:ascii="宋体" w:hAnsi="宋体" w:cs="宋体"/>
          <w:color w:val="auto"/>
          <w:szCs w:val="21"/>
        </w:rPr>
      </w:pPr>
    </w:p>
    <w:p>
      <w:pPr>
        <w:tabs>
          <w:tab w:val="left" w:pos="3870"/>
          <w:tab w:val="left" w:pos="4085"/>
        </w:tabs>
        <w:snapToGrid w:val="0"/>
        <w:spacing w:line="400" w:lineRule="exact"/>
        <w:ind w:firstLine="420" w:firstLineChars="200"/>
        <w:jc w:val="left"/>
        <w:rPr>
          <w:rFonts w:ascii="宋体" w:hAnsi="宋体" w:cs="宋体"/>
          <w:color w:val="auto"/>
          <w:szCs w:val="21"/>
        </w:rPr>
      </w:pPr>
    </w:p>
    <w:p>
      <w:pPr>
        <w:tabs>
          <w:tab w:val="left" w:pos="3870"/>
          <w:tab w:val="left" w:pos="4085"/>
        </w:tabs>
        <w:snapToGrid w:val="0"/>
        <w:spacing w:line="400" w:lineRule="exact"/>
        <w:ind w:firstLine="420" w:firstLineChars="200"/>
        <w:jc w:val="left"/>
        <w:rPr>
          <w:rFonts w:ascii="宋体" w:hAnsi="宋体" w:cs="宋体"/>
          <w:color w:val="auto"/>
          <w:szCs w:val="21"/>
        </w:rPr>
      </w:pPr>
    </w:p>
    <w:p>
      <w:pPr>
        <w:tabs>
          <w:tab w:val="left" w:pos="3870"/>
          <w:tab w:val="left" w:pos="4085"/>
        </w:tabs>
        <w:snapToGrid w:val="0"/>
        <w:spacing w:line="400" w:lineRule="exact"/>
        <w:ind w:firstLine="420" w:firstLineChars="200"/>
        <w:jc w:val="left"/>
        <w:rPr>
          <w:rFonts w:ascii="宋体" w:hAnsi="宋体" w:cs="宋体"/>
          <w:color w:val="auto"/>
          <w:szCs w:val="21"/>
        </w:rPr>
      </w:pPr>
    </w:p>
    <w:p>
      <w:pPr>
        <w:pStyle w:val="191"/>
        <w:spacing w:line="400" w:lineRule="exact"/>
        <w:outlineLvl w:val="4"/>
        <w:rPr>
          <w:rFonts w:hAnsi="宋体" w:cs="宋体"/>
          <w:b/>
          <w:color w:val="auto"/>
        </w:rPr>
      </w:pPr>
      <w:r>
        <w:rPr>
          <w:rFonts w:hint="eastAsia" w:hAnsi="宋体" w:cs="宋体"/>
          <w:b/>
          <w:color w:val="auto"/>
        </w:rPr>
        <w:t>3）投标人针对报价需要说明的其他文件和说明（格式自拟），如有请提供。</w:t>
      </w:r>
    </w:p>
    <w:p>
      <w:pPr>
        <w:tabs>
          <w:tab w:val="left" w:pos="3870"/>
          <w:tab w:val="left" w:pos="4085"/>
        </w:tabs>
        <w:snapToGrid w:val="0"/>
        <w:spacing w:line="400" w:lineRule="exact"/>
        <w:jc w:val="left"/>
        <w:rPr>
          <w:rFonts w:hAnsi="宋体" w:cs="宋体"/>
          <w:color w:val="auto"/>
        </w:rPr>
      </w:pPr>
    </w:p>
    <w:p>
      <w:pPr>
        <w:tabs>
          <w:tab w:val="left" w:pos="3870"/>
          <w:tab w:val="left" w:pos="4085"/>
        </w:tabs>
        <w:snapToGrid w:val="0"/>
        <w:spacing w:line="400" w:lineRule="exact"/>
        <w:ind w:firstLine="420" w:firstLineChars="200"/>
        <w:jc w:val="left"/>
        <w:rPr>
          <w:rFonts w:ascii="宋体" w:hAnsi="宋体" w:cs="宋体"/>
          <w:color w:val="auto"/>
          <w:szCs w:val="21"/>
        </w:rPr>
      </w:pPr>
    </w:p>
    <w:p>
      <w:pPr>
        <w:pStyle w:val="191"/>
        <w:numPr>
          <w:ilvl w:val="0"/>
          <w:numId w:val="3"/>
        </w:numPr>
        <w:spacing w:line="400" w:lineRule="exact"/>
        <w:outlineLvl w:val="4"/>
        <w:rPr>
          <w:rFonts w:hAnsi="宋体" w:cs="宋体"/>
          <w:b/>
          <w:bCs/>
          <w:color w:val="auto"/>
          <w:sz w:val="28"/>
          <w:szCs w:val="28"/>
        </w:rPr>
      </w:pPr>
      <w:r>
        <w:rPr>
          <w:rFonts w:hint="eastAsia" w:hAnsi="宋体" w:cs="宋体"/>
          <w:color w:val="auto"/>
        </w:rPr>
        <w:br w:type="page"/>
      </w:r>
      <w:r>
        <w:rPr>
          <w:rFonts w:hint="eastAsia" w:hAnsi="宋体" w:cs="宋体"/>
          <w:b/>
          <w:bCs/>
          <w:color w:val="auto"/>
          <w:sz w:val="28"/>
          <w:szCs w:val="28"/>
        </w:rPr>
        <w:t>商务文件</w:t>
      </w:r>
    </w:p>
    <w:p>
      <w:pPr>
        <w:pStyle w:val="29"/>
        <w:rPr>
          <w:color w:val="auto"/>
        </w:rPr>
      </w:pPr>
    </w:p>
    <w:p>
      <w:pPr>
        <w:pStyle w:val="29"/>
        <w:rPr>
          <w:color w:val="auto"/>
        </w:rPr>
      </w:pPr>
    </w:p>
    <w:p>
      <w:pPr>
        <w:tabs>
          <w:tab w:val="left" w:pos="3870"/>
          <w:tab w:val="left" w:pos="4085"/>
        </w:tabs>
        <w:snapToGrid w:val="0"/>
        <w:spacing w:line="400" w:lineRule="exact"/>
        <w:jc w:val="left"/>
        <w:rPr>
          <w:rFonts w:ascii="宋体" w:hAnsi="宋体" w:cs="宋体"/>
          <w:color w:val="auto"/>
          <w:szCs w:val="21"/>
        </w:rPr>
      </w:pPr>
      <w:r>
        <w:rPr>
          <w:rFonts w:hint="eastAsia" w:ascii="宋体" w:hAnsi="宋体" w:cs="宋体"/>
          <w:b/>
          <w:color w:val="auto"/>
          <w:szCs w:val="20"/>
        </w:rPr>
        <w:t>1）投标保证金缴纳证明和基本账户开户许可证复印件或基本存款帐户信息表复印件（</w:t>
      </w:r>
      <w:r>
        <w:rPr>
          <w:rFonts w:hint="eastAsia" w:ascii="宋体" w:hAnsi="宋体" w:cs="宋体"/>
          <w:b/>
          <w:color w:val="auto"/>
          <w:szCs w:val="21"/>
          <w:u w:val="single"/>
        </w:rPr>
        <w:t>必须提供</w:t>
      </w:r>
      <w:r>
        <w:rPr>
          <w:rFonts w:hint="eastAsia" w:ascii="宋体" w:hAnsi="宋体" w:cs="宋体"/>
          <w:color w:val="auto"/>
          <w:szCs w:val="21"/>
        </w:rPr>
        <w:t>）；</w:t>
      </w:r>
    </w:p>
    <w:p>
      <w:pPr>
        <w:tabs>
          <w:tab w:val="left" w:pos="3870"/>
          <w:tab w:val="left" w:pos="4085"/>
        </w:tabs>
        <w:snapToGrid w:val="0"/>
        <w:spacing w:line="400" w:lineRule="exact"/>
        <w:jc w:val="left"/>
        <w:rPr>
          <w:rFonts w:ascii="宋体" w:hAnsi="宋体" w:cs="宋体"/>
          <w:color w:val="auto"/>
          <w:szCs w:val="21"/>
        </w:rPr>
      </w:pPr>
    </w:p>
    <w:p>
      <w:pPr>
        <w:tabs>
          <w:tab w:val="left" w:pos="3870"/>
          <w:tab w:val="left" w:pos="4085"/>
        </w:tabs>
        <w:snapToGrid w:val="0"/>
        <w:spacing w:line="400" w:lineRule="exact"/>
        <w:jc w:val="left"/>
        <w:rPr>
          <w:rFonts w:ascii="宋体" w:hAnsi="宋体" w:cs="宋体"/>
          <w:color w:val="auto"/>
          <w:szCs w:val="21"/>
        </w:rPr>
      </w:pPr>
    </w:p>
    <w:p>
      <w:pPr>
        <w:pStyle w:val="191"/>
        <w:spacing w:line="400" w:lineRule="exact"/>
        <w:outlineLvl w:val="4"/>
        <w:rPr>
          <w:rFonts w:hAnsi="宋体" w:cs="宋体"/>
          <w:b/>
          <w:color w:val="auto"/>
        </w:rPr>
      </w:pPr>
      <w:r>
        <w:rPr>
          <w:rFonts w:hint="eastAsia" w:hAnsi="宋体" w:cs="宋体"/>
          <w:b/>
          <w:color w:val="auto"/>
        </w:rPr>
        <w:t>2）法定代表人授权委托书格式</w:t>
      </w:r>
    </w:p>
    <w:p>
      <w:pPr>
        <w:pStyle w:val="191"/>
        <w:spacing w:line="400" w:lineRule="exact"/>
        <w:outlineLvl w:val="4"/>
        <w:rPr>
          <w:rFonts w:hAnsi="宋体" w:cs="宋体"/>
          <w:color w:val="auto"/>
        </w:rPr>
      </w:pPr>
    </w:p>
    <w:p>
      <w:pPr>
        <w:snapToGrid w:val="0"/>
        <w:spacing w:line="400" w:lineRule="exact"/>
        <w:jc w:val="center"/>
        <w:rPr>
          <w:rFonts w:ascii="宋体" w:hAnsi="宋体" w:cs="宋体"/>
          <w:b/>
          <w:color w:val="auto"/>
          <w:sz w:val="30"/>
          <w:szCs w:val="30"/>
        </w:rPr>
      </w:pPr>
      <w:r>
        <w:rPr>
          <w:rFonts w:hint="eastAsia" w:ascii="宋体" w:hAnsi="宋体" w:cs="宋体"/>
          <w:b/>
          <w:color w:val="auto"/>
          <w:sz w:val="30"/>
          <w:szCs w:val="30"/>
        </w:rPr>
        <w:t>法定代表人授权委托书（格式）</w:t>
      </w:r>
    </w:p>
    <w:p>
      <w:pPr>
        <w:snapToGrid w:val="0"/>
        <w:spacing w:line="400" w:lineRule="exact"/>
        <w:ind w:firstLine="420" w:firstLineChars="200"/>
        <w:rPr>
          <w:rFonts w:ascii="宋体" w:hAnsi="宋体" w:cs="宋体"/>
          <w:bCs/>
          <w:color w:val="auto"/>
          <w:szCs w:val="21"/>
        </w:rPr>
      </w:pPr>
    </w:p>
    <w:p>
      <w:pPr>
        <w:snapToGrid w:val="0"/>
        <w:spacing w:line="400" w:lineRule="exact"/>
        <w:ind w:firstLine="420" w:firstLineChars="200"/>
        <w:rPr>
          <w:rFonts w:ascii="宋体" w:hAnsi="宋体" w:cs="宋体"/>
          <w:b/>
          <w:bCs/>
          <w:color w:val="auto"/>
          <w:szCs w:val="21"/>
        </w:rPr>
      </w:pPr>
      <w:r>
        <w:rPr>
          <w:rFonts w:hint="eastAsia" w:ascii="宋体" w:hAnsi="宋体" w:cs="宋体"/>
          <w:bCs/>
          <w:color w:val="auto"/>
          <w:szCs w:val="21"/>
        </w:rPr>
        <w:t>致：</w:t>
      </w:r>
      <w:r>
        <w:rPr>
          <w:rFonts w:hint="eastAsia" w:ascii="宋体" w:hAnsi="宋体" w:cs="宋体"/>
          <w:color w:val="auto"/>
          <w:u w:val="single"/>
          <w:lang w:eastAsia="zh-CN"/>
        </w:rPr>
        <w:t xml:space="preserve"> 富川瑶族自治县民族医医院</w:t>
      </w:r>
      <w:r>
        <w:rPr>
          <w:rFonts w:hint="eastAsia" w:ascii="宋体" w:hAnsi="宋体" w:cs="宋体"/>
          <w:color w:val="auto"/>
          <w:szCs w:val="21"/>
        </w:rPr>
        <w:t>：</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我（姓名）系（投标人名称）的法定代表人，现授权委托本单位在职职工 （姓名）以我方的名义参加项目的投标活动，并代表我方全权办理针对上述项目的投标、开标、评标、签约等具体事务和签署相关文件。</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我方对被授权人的签名事项负全部责任。</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u w:val="single"/>
        </w:rPr>
        <w:t>在撤销授权的书面通知以前，本授权书一直有效。</w:t>
      </w:r>
      <w:r>
        <w:rPr>
          <w:rFonts w:hint="eastAsia" w:ascii="宋体" w:hAnsi="宋体" w:cs="宋体"/>
          <w:color w:val="auto"/>
          <w:szCs w:val="21"/>
        </w:rPr>
        <w:t>被授权人在授权书有效期内签署的所有文件不因授权的撤销而失效。</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被授权人无转委托权，特此委托。</w:t>
      </w:r>
    </w:p>
    <w:p>
      <w:pPr>
        <w:snapToGrid w:val="0"/>
        <w:spacing w:line="400" w:lineRule="exact"/>
        <w:ind w:firstLine="420" w:firstLineChars="200"/>
        <w:rPr>
          <w:rFonts w:ascii="宋体" w:hAnsi="宋体" w:cs="宋体"/>
          <w:color w:val="auto"/>
          <w:szCs w:val="21"/>
          <w:u w:val="single"/>
        </w:rPr>
      </w:pPr>
      <w:r>
        <w:rPr>
          <w:rFonts w:hint="eastAsia" w:ascii="宋体" w:hAnsi="宋体" w:cs="宋体"/>
          <w:color w:val="auto"/>
          <w:szCs w:val="21"/>
        </w:rPr>
        <w:t>被授权人签名：                           法定代表人签字（或签章）：</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所在部门职务：        职务：</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被授权人身份证号码：</w:t>
      </w:r>
    </w:p>
    <w:p>
      <w:pPr>
        <w:snapToGrid w:val="0"/>
        <w:spacing w:line="400" w:lineRule="exact"/>
        <w:ind w:firstLine="420" w:firstLineChars="200"/>
        <w:rPr>
          <w:rFonts w:ascii="宋体" w:hAnsi="宋体" w:cs="宋体"/>
          <w:color w:val="auto"/>
          <w:szCs w:val="21"/>
        </w:rPr>
      </w:pPr>
    </w:p>
    <w:p>
      <w:pPr>
        <w:snapToGrid w:val="0"/>
        <w:spacing w:line="400" w:lineRule="exact"/>
        <w:ind w:firstLine="420" w:firstLineChars="200"/>
        <w:rPr>
          <w:rFonts w:ascii="宋体" w:hAnsi="宋体" w:cs="宋体"/>
          <w:color w:val="auto"/>
          <w:szCs w:val="21"/>
        </w:rPr>
      </w:pPr>
    </w:p>
    <w:p>
      <w:pPr>
        <w:snapToGrid w:val="0"/>
        <w:spacing w:line="400" w:lineRule="exact"/>
        <w:ind w:firstLine="5250" w:firstLineChars="2500"/>
        <w:rPr>
          <w:rFonts w:ascii="宋体" w:hAnsi="宋体" w:cs="宋体"/>
          <w:color w:val="auto"/>
          <w:szCs w:val="21"/>
        </w:rPr>
      </w:pPr>
      <w:r>
        <w:rPr>
          <w:rFonts w:hint="eastAsia" w:ascii="宋体" w:hAnsi="宋体" w:cs="宋体"/>
          <w:color w:val="auto"/>
          <w:szCs w:val="21"/>
        </w:rPr>
        <w:t>投标人（公章）：</w:t>
      </w:r>
    </w:p>
    <w:p>
      <w:pPr>
        <w:snapToGrid w:val="0"/>
        <w:spacing w:line="400" w:lineRule="exact"/>
        <w:ind w:firstLine="420" w:firstLineChars="200"/>
        <w:jc w:val="center"/>
        <w:rPr>
          <w:rFonts w:ascii="宋体" w:hAnsi="宋体" w:cs="宋体"/>
          <w:color w:val="auto"/>
          <w:szCs w:val="21"/>
        </w:rPr>
      </w:pPr>
      <w:r>
        <w:rPr>
          <w:rFonts w:hint="eastAsia" w:ascii="宋体" w:hAnsi="宋体" w:cs="宋体"/>
          <w:color w:val="auto"/>
          <w:szCs w:val="21"/>
        </w:rPr>
        <w:t xml:space="preserve">                                        年    月    日</w:t>
      </w:r>
    </w:p>
    <w:p>
      <w:pPr>
        <w:pStyle w:val="191"/>
        <w:spacing w:line="400" w:lineRule="exact"/>
        <w:outlineLvl w:val="4"/>
        <w:rPr>
          <w:rFonts w:hAnsi="宋体" w:cs="宋体"/>
          <w:color w:val="auto"/>
        </w:rPr>
      </w:pPr>
    </w:p>
    <w:p>
      <w:pPr>
        <w:pStyle w:val="191"/>
        <w:spacing w:line="400" w:lineRule="exact"/>
        <w:outlineLvl w:val="4"/>
        <w:rPr>
          <w:rFonts w:hAnsi="宋体" w:cs="宋体"/>
          <w:color w:val="auto"/>
        </w:rPr>
      </w:pPr>
    </w:p>
    <w:p>
      <w:pPr>
        <w:pStyle w:val="191"/>
        <w:spacing w:line="400" w:lineRule="exact"/>
        <w:outlineLvl w:val="4"/>
        <w:rPr>
          <w:rFonts w:hAnsi="宋体" w:cs="宋体"/>
          <w:color w:val="auto"/>
        </w:rPr>
      </w:pPr>
    </w:p>
    <w:p>
      <w:pPr>
        <w:pStyle w:val="191"/>
        <w:spacing w:line="400" w:lineRule="exact"/>
        <w:outlineLvl w:val="4"/>
        <w:rPr>
          <w:rFonts w:hAnsi="宋体" w:cs="宋体"/>
          <w:color w:val="auto"/>
        </w:rPr>
      </w:pPr>
    </w:p>
    <w:p>
      <w:pPr>
        <w:pStyle w:val="191"/>
        <w:spacing w:line="400" w:lineRule="exact"/>
        <w:outlineLvl w:val="4"/>
        <w:rPr>
          <w:rFonts w:hAnsi="宋体" w:cs="宋体"/>
          <w:color w:val="auto"/>
        </w:rPr>
      </w:pPr>
      <w:r>
        <w:rPr>
          <w:rFonts w:hint="eastAsia" w:hAnsi="宋体" w:cs="宋体"/>
          <w:color w:val="auto"/>
        </w:rPr>
        <w:t>附件：法定代表人及被授权人身份证复印件</w:t>
      </w:r>
    </w:p>
    <w:p>
      <w:pPr>
        <w:pStyle w:val="191"/>
        <w:spacing w:line="400" w:lineRule="exact"/>
        <w:outlineLvl w:val="4"/>
        <w:rPr>
          <w:rFonts w:hAnsi="宋体" w:cs="宋体"/>
          <w:color w:val="auto"/>
        </w:rPr>
      </w:pPr>
      <w:r>
        <w:rPr>
          <w:rFonts w:hint="eastAsia" w:hAnsi="宋体" w:cs="宋体"/>
          <w:color w:val="auto"/>
        </w:rPr>
        <w:t>一、法定代表人身份证复印件</w:t>
      </w:r>
    </w:p>
    <w:p>
      <w:pPr>
        <w:pStyle w:val="191"/>
        <w:spacing w:line="400" w:lineRule="exact"/>
        <w:outlineLvl w:val="4"/>
        <w:rPr>
          <w:rFonts w:hAnsi="宋体" w:cs="宋体"/>
          <w:color w:val="auto"/>
          <w:szCs w:val="21"/>
        </w:rPr>
      </w:pPr>
      <w:r>
        <w:rPr>
          <w:rFonts w:hint="eastAsia" w:hAnsi="宋体" w:cs="宋体"/>
          <w:color w:val="auto"/>
        </w:rPr>
        <w:t>二、被授权人身份证复印件</w:t>
      </w:r>
    </w:p>
    <w:p>
      <w:pPr>
        <w:snapToGrid w:val="0"/>
        <w:spacing w:line="400" w:lineRule="exact"/>
        <w:ind w:firstLine="420" w:firstLineChars="200"/>
        <w:jc w:val="left"/>
        <w:rPr>
          <w:rFonts w:ascii="宋体" w:hAnsi="宋体" w:cs="宋体"/>
          <w:color w:val="auto"/>
          <w:szCs w:val="21"/>
        </w:rPr>
      </w:pPr>
    </w:p>
    <w:p>
      <w:pPr>
        <w:snapToGrid w:val="0"/>
        <w:spacing w:line="400" w:lineRule="exact"/>
        <w:ind w:firstLine="420" w:firstLineChars="200"/>
        <w:jc w:val="left"/>
        <w:rPr>
          <w:rFonts w:ascii="宋体" w:hAnsi="宋体" w:cs="宋体"/>
          <w:color w:val="auto"/>
          <w:szCs w:val="21"/>
        </w:rPr>
      </w:pPr>
    </w:p>
    <w:p>
      <w:pPr>
        <w:snapToGrid w:val="0"/>
        <w:spacing w:line="400" w:lineRule="exact"/>
        <w:ind w:firstLine="420" w:firstLineChars="200"/>
        <w:jc w:val="left"/>
        <w:rPr>
          <w:rFonts w:ascii="宋体" w:hAnsi="宋体" w:cs="宋体"/>
          <w:color w:val="auto"/>
          <w:szCs w:val="21"/>
        </w:rPr>
      </w:pPr>
    </w:p>
    <w:p>
      <w:pPr>
        <w:pStyle w:val="29"/>
        <w:rPr>
          <w:rFonts w:hAnsi="宋体" w:cs="宋体"/>
          <w:color w:val="auto"/>
        </w:rPr>
      </w:pPr>
    </w:p>
    <w:p>
      <w:pPr>
        <w:pStyle w:val="191"/>
        <w:spacing w:line="400" w:lineRule="exact"/>
        <w:outlineLvl w:val="4"/>
        <w:rPr>
          <w:rFonts w:hAnsi="宋体" w:cs="宋体"/>
          <w:b/>
          <w:color w:val="auto"/>
        </w:rPr>
      </w:pPr>
      <w:r>
        <w:rPr>
          <w:rFonts w:hint="eastAsia" w:hAnsi="宋体" w:cs="宋体"/>
          <w:b/>
          <w:color w:val="auto"/>
        </w:rPr>
        <w:t>3）商务响应表</w:t>
      </w:r>
      <w:r>
        <w:rPr>
          <w:rFonts w:hint="eastAsia" w:hAnsi="宋体" w:cs="宋体"/>
          <w:b/>
          <w:color w:val="auto"/>
          <w:szCs w:val="21"/>
        </w:rPr>
        <w:t>（</w:t>
      </w:r>
      <w:r>
        <w:rPr>
          <w:rFonts w:hint="eastAsia" w:hAnsi="宋体" w:cs="宋体"/>
          <w:b/>
          <w:color w:val="auto"/>
          <w:szCs w:val="21"/>
          <w:u w:val="single"/>
        </w:rPr>
        <w:t>必须提供</w:t>
      </w:r>
      <w:r>
        <w:rPr>
          <w:rFonts w:hint="eastAsia" w:hAnsi="宋体" w:cs="宋体"/>
          <w:b/>
          <w:color w:val="auto"/>
          <w:szCs w:val="21"/>
        </w:rPr>
        <w:t>）</w:t>
      </w:r>
      <w:r>
        <w:rPr>
          <w:rFonts w:hint="eastAsia" w:hAnsi="宋体" w:cs="宋体"/>
          <w:b/>
          <w:color w:val="auto"/>
        </w:rPr>
        <w:t>；</w:t>
      </w:r>
    </w:p>
    <w:p>
      <w:pPr>
        <w:snapToGrid w:val="0"/>
        <w:spacing w:line="400" w:lineRule="exact"/>
        <w:jc w:val="center"/>
        <w:rPr>
          <w:rFonts w:ascii="宋体" w:hAnsi="宋体" w:cs="宋体"/>
          <w:b/>
          <w:color w:val="auto"/>
          <w:sz w:val="28"/>
          <w:szCs w:val="28"/>
        </w:rPr>
      </w:pPr>
    </w:p>
    <w:p>
      <w:pPr>
        <w:snapToGrid w:val="0"/>
        <w:spacing w:line="400" w:lineRule="exact"/>
        <w:jc w:val="center"/>
        <w:rPr>
          <w:rFonts w:ascii="宋体" w:hAnsi="宋体" w:cs="宋体"/>
          <w:color w:val="auto"/>
          <w:sz w:val="28"/>
          <w:szCs w:val="28"/>
          <w:u w:val="single"/>
        </w:rPr>
      </w:pPr>
      <w:r>
        <w:rPr>
          <w:rFonts w:hint="eastAsia" w:ascii="宋体" w:hAnsi="宋体" w:cs="宋体"/>
          <w:b/>
          <w:color w:val="auto"/>
          <w:sz w:val="28"/>
          <w:szCs w:val="28"/>
        </w:rPr>
        <w:t>商务响应表（格式）</w:t>
      </w:r>
    </w:p>
    <w:p>
      <w:pPr>
        <w:snapToGrid w:val="0"/>
        <w:spacing w:line="400" w:lineRule="exact"/>
        <w:ind w:firstLine="420" w:firstLineChars="200"/>
        <w:jc w:val="left"/>
        <w:rPr>
          <w:rFonts w:ascii="宋体" w:hAnsi="宋体" w:cs="宋体"/>
          <w:color w:val="auto"/>
          <w:szCs w:val="21"/>
          <w:u w:val="single"/>
        </w:rPr>
      </w:pPr>
    </w:p>
    <w:p>
      <w:pPr>
        <w:snapToGrid w:val="0"/>
        <w:spacing w:line="400" w:lineRule="exact"/>
        <w:ind w:firstLine="420" w:firstLineChars="200"/>
        <w:jc w:val="left"/>
        <w:rPr>
          <w:rFonts w:ascii="宋体" w:hAnsi="宋体" w:cs="宋体"/>
          <w:color w:val="auto"/>
          <w:szCs w:val="21"/>
          <w:u w:val="single"/>
        </w:rPr>
      </w:pPr>
    </w:p>
    <w:tbl>
      <w:tblPr>
        <w:tblStyle w:val="53"/>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955"/>
        <w:gridCol w:w="2625"/>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项号</w:t>
            </w:r>
          </w:p>
        </w:tc>
        <w:tc>
          <w:tcPr>
            <w:tcW w:w="295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招标文件要求</w:t>
            </w:r>
          </w:p>
        </w:tc>
        <w:tc>
          <w:tcPr>
            <w:tcW w:w="262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是否提供并响应</w:t>
            </w:r>
          </w:p>
        </w:tc>
        <w:tc>
          <w:tcPr>
            <w:tcW w:w="23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1</w:t>
            </w:r>
          </w:p>
        </w:tc>
        <w:tc>
          <w:tcPr>
            <w:tcW w:w="29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交货时间</w:t>
            </w:r>
            <w:r>
              <w:rPr>
                <w:rFonts w:hint="eastAsia" w:ascii="宋体" w:hAnsi="宋体" w:cs="宋体"/>
                <w:color w:val="auto"/>
                <w:kern w:val="0"/>
                <w:szCs w:val="21"/>
              </w:rPr>
              <w:t>：</w:t>
            </w:r>
            <w:r>
              <w:rPr>
                <w:rFonts w:hint="eastAsia" w:ascii="宋体" w:hAnsi="宋体" w:cs="宋体"/>
                <w:color w:val="auto"/>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kern w:val="0"/>
                <w:szCs w:val="21"/>
              </w:rPr>
            </w:pPr>
            <w:r>
              <w:rPr>
                <w:rFonts w:hint="eastAsia" w:ascii="宋体" w:hAnsi="宋体" w:cs="宋体"/>
                <w:color w:val="auto"/>
                <w:kern w:val="0"/>
                <w:szCs w:val="21"/>
              </w:rPr>
              <w:t>2</w:t>
            </w:r>
          </w:p>
        </w:tc>
        <w:tc>
          <w:tcPr>
            <w:tcW w:w="29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kern w:val="0"/>
                <w:szCs w:val="21"/>
              </w:rPr>
              <w:t>交货地点：</w:t>
            </w:r>
            <w:r>
              <w:rPr>
                <w:rFonts w:hint="eastAsia" w:ascii="宋体" w:hAnsi="宋体" w:cs="宋体"/>
                <w:color w:val="auto"/>
                <w:szCs w:val="21"/>
              </w:rPr>
              <w:t xml:space="preserve"> …</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kern w:val="0"/>
                <w:szCs w:val="21"/>
              </w:rPr>
            </w:pPr>
            <w:r>
              <w:rPr>
                <w:rFonts w:hint="eastAsia" w:ascii="宋体" w:hAnsi="宋体" w:cs="宋体"/>
                <w:color w:val="auto"/>
                <w:kern w:val="0"/>
                <w:szCs w:val="21"/>
              </w:rPr>
              <w:t>3</w:t>
            </w:r>
          </w:p>
        </w:tc>
        <w:tc>
          <w:tcPr>
            <w:tcW w:w="29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kern w:val="0"/>
                <w:szCs w:val="21"/>
              </w:rPr>
              <w:t>付款方式：</w:t>
            </w:r>
            <w:r>
              <w:rPr>
                <w:rFonts w:hint="eastAsia" w:ascii="宋体" w:hAnsi="宋体" w:cs="宋体"/>
                <w:color w:val="auto"/>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kern w:val="0"/>
                <w:szCs w:val="21"/>
              </w:rPr>
            </w:pPr>
            <w:r>
              <w:rPr>
                <w:rFonts w:hint="eastAsia" w:ascii="宋体" w:hAnsi="宋体" w:cs="宋体"/>
                <w:color w:val="auto"/>
                <w:kern w:val="0"/>
                <w:szCs w:val="21"/>
              </w:rPr>
              <w:t>4</w:t>
            </w:r>
          </w:p>
        </w:tc>
        <w:tc>
          <w:tcPr>
            <w:tcW w:w="29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kern w:val="0"/>
                <w:szCs w:val="21"/>
              </w:rPr>
              <w:t>质保期：</w:t>
            </w:r>
            <w:r>
              <w:rPr>
                <w:rFonts w:hint="eastAsia" w:ascii="宋体" w:hAnsi="宋体" w:cs="宋体"/>
                <w:color w:val="auto"/>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kern w:val="0"/>
                <w:szCs w:val="21"/>
              </w:rPr>
            </w:pPr>
            <w:r>
              <w:rPr>
                <w:rFonts w:hint="eastAsia" w:ascii="宋体" w:hAnsi="宋体" w:cs="宋体"/>
                <w:color w:val="auto"/>
                <w:kern w:val="0"/>
                <w:szCs w:val="21"/>
              </w:rPr>
              <w:t>5</w:t>
            </w:r>
          </w:p>
        </w:tc>
        <w:tc>
          <w:tcPr>
            <w:tcW w:w="29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kern w:val="0"/>
                <w:szCs w:val="21"/>
              </w:rPr>
              <w:t>投标保证金：</w:t>
            </w:r>
            <w:r>
              <w:rPr>
                <w:rFonts w:hint="eastAsia" w:ascii="宋体" w:hAnsi="宋体" w:cs="宋体"/>
                <w:color w:val="auto"/>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w:t>
            </w:r>
          </w:p>
        </w:tc>
        <w:tc>
          <w:tcPr>
            <w:tcW w:w="29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rPr>
            </w:pPr>
          </w:p>
        </w:tc>
      </w:tr>
    </w:tbl>
    <w:p>
      <w:pPr>
        <w:pStyle w:val="29"/>
        <w:ind w:firstLine="2520" w:firstLineChars="1200"/>
        <w:rPr>
          <w:rFonts w:hAnsi="宋体" w:cs="宋体"/>
          <w:color w:val="auto"/>
        </w:rPr>
      </w:pPr>
    </w:p>
    <w:p>
      <w:pPr>
        <w:pStyle w:val="29"/>
        <w:ind w:firstLine="2520" w:firstLineChars="1200"/>
        <w:rPr>
          <w:rFonts w:hAnsi="宋体" w:cs="宋体"/>
          <w:color w:val="auto"/>
        </w:rPr>
      </w:pPr>
    </w:p>
    <w:p>
      <w:pPr>
        <w:pStyle w:val="29"/>
        <w:ind w:firstLine="2520" w:firstLineChars="1200"/>
        <w:rPr>
          <w:rFonts w:hAnsi="宋体" w:cs="宋体"/>
          <w:color w:val="auto"/>
        </w:rPr>
      </w:pPr>
    </w:p>
    <w:p>
      <w:pPr>
        <w:pStyle w:val="29"/>
        <w:ind w:firstLine="2520" w:firstLineChars="1200"/>
        <w:rPr>
          <w:rFonts w:hAnsi="宋体" w:cs="宋体"/>
          <w:color w:val="auto"/>
        </w:rPr>
      </w:pPr>
      <w:r>
        <w:rPr>
          <w:rFonts w:hint="eastAsia" w:hAnsi="宋体" w:cs="宋体"/>
          <w:color w:val="auto"/>
        </w:rPr>
        <w:t>投标人（公章）：</w:t>
      </w:r>
    </w:p>
    <w:p>
      <w:pPr>
        <w:pStyle w:val="29"/>
        <w:rPr>
          <w:rFonts w:hAnsi="宋体" w:cs="宋体"/>
          <w:color w:val="auto"/>
        </w:rPr>
      </w:pPr>
    </w:p>
    <w:p>
      <w:pPr>
        <w:pStyle w:val="29"/>
        <w:ind w:firstLine="2520" w:firstLineChars="1200"/>
        <w:rPr>
          <w:rFonts w:hAnsi="宋体" w:cs="宋体"/>
          <w:color w:val="auto"/>
          <w:u w:val="single"/>
        </w:rPr>
      </w:pPr>
      <w:r>
        <w:rPr>
          <w:rFonts w:hint="eastAsia" w:hAnsi="宋体" w:cs="宋体"/>
          <w:color w:val="auto"/>
        </w:rPr>
        <w:t>法定代表人或委托代理人（签字或盖章）：</w:t>
      </w:r>
    </w:p>
    <w:p>
      <w:pPr>
        <w:pStyle w:val="29"/>
        <w:ind w:firstLine="2520" w:firstLineChars="1200"/>
        <w:rPr>
          <w:rFonts w:hAnsi="宋体" w:cs="宋体"/>
          <w:color w:val="auto"/>
          <w:u w:val="single"/>
        </w:rPr>
      </w:pPr>
    </w:p>
    <w:p>
      <w:pPr>
        <w:pStyle w:val="29"/>
        <w:ind w:firstLine="2520" w:firstLineChars="1200"/>
        <w:rPr>
          <w:rFonts w:hAnsi="宋体" w:cs="宋体"/>
          <w:color w:val="auto"/>
        </w:rPr>
      </w:pPr>
      <w:r>
        <w:rPr>
          <w:rFonts w:hint="eastAsia" w:hAnsi="宋体" w:cs="宋体"/>
          <w:color w:val="auto"/>
        </w:rPr>
        <w:t xml:space="preserve">日期： </w:t>
      </w:r>
    </w:p>
    <w:p>
      <w:pPr>
        <w:snapToGrid w:val="0"/>
        <w:spacing w:line="400" w:lineRule="exact"/>
        <w:rPr>
          <w:rFonts w:ascii="宋体" w:hAnsi="宋体" w:cs="宋体"/>
          <w:color w:val="auto"/>
          <w:spacing w:val="20"/>
          <w:szCs w:val="21"/>
        </w:rPr>
      </w:pPr>
    </w:p>
    <w:p>
      <w:pPr>
        <w:snapToGrid w:val="0"/>
        <w:spacing w:line="400" w:lineRule="exact"/>
        <w:rPr>
          <w:rFonts w:ascii="宋体" w:hAnsi="宋体" w:cs="宋体"/>
          <w:color w:val="auto"/>
          <w:spacing w:val="20"/>
          <w:szCs w:val="21"/>
        </w:rPr>
      </w:pPr>
    </w:p>
    <w:p>
      <w:pPr>
        <w:snapToGrid w:val="0"/>
        <w:spacing w:line="400" w:lineRule="exact"/>
        <w:rPr>
          <w:rFonts w:ascii="宋体" w:hAnsi="宋体" w:cs="宋体"/>
          <w:color w:val="auto"/>
          <w:spacing w:val="20"/>
          <w:szCs w:val="21"/>
        </w:rPr>
      </w:pPr>
    </w:p>
    <w:p>
      <w:pPr>
        <w:snapToGrid w:val="0"/>
        <w:spacing w:line="400" w:lineRule="exact"/>
        <w:rPr>
          <w:rFonts w:ascii="宋体" w:hAnsi="宋体" w:cs="宋体"/>
          <w:color w:val="auto"/>
          <w:spacing w:val="20"/>
          <w:szCs w:val="21"/>
        </w:rPr>
      </w:pPr>
    </w:p>
    <w:p>
      <w:pPr>
        <w:snapToGrid w:val="0"/>
        <w:spacing w:line="400" w:lineRule="exact"/>
        <w:rPr>
          <w:rFonts w:ascii="宋体" w:hAnsi="宋体" w:cs="宋体"/>
          <w:color w:val="auto"/>
          <w:spacing w:val="20"/>
          <w:szCs w:val="21"/>
        </w:rPr>
      </w:pPr>
    </w:p>
    <w:p>
      <w:pPr>
        <w:snapToGrid w:val="0"/>
        <w:spacing w:line="400" w:lineRule="exact"/>
        <w:rPr>
          <w:rFonts w:ascii="宋体" w:hAnsi="宋体" w:cs="宋体"/>
          <w:color w:val="auto"/>
          <w:spacing w:val="20"/>
          <w:szCs w:val="21"/>
        </w:rPr>
      </w:pPr>
    </w:p>
    <w:p>
      <w:pPr>
        <w:snapToGrid w:val="0"/>
        <w:spacing w:line="400" w:lineRule="exact"/>
        <w:rPr>
          <w:rFonts w:ascii="宋体" w:hAnsi="宋体" w:cs="宋体"/>
          <w:color w:val="auto"/>
          <w:spacing w:val="20"/>
          <w:szCs w:val="21"/>
        </w:rPr>
      </w:pPr>
    </w:p>
    <w:p>
      <w:pPr>
        <w:snapToGrid w:val="0"/>
        <w:spacing w:line="400" w:lineRule="exact"/>
        <w:rPr>
          <w:rFonts w:ascii="宋体" w:hAnsi="宋体" w:cs="宋体"/>
          <w:color w:val="auto"/>
          <w:spacing w:val="20"/>
          <w:szCs w:val="21"/>
        </w:rPr>
      </w:pPr>
    </w:p>
    <w:p>
      <w:pPr>
        <w:snapToGrid w:val="0"/>
        <w:spacing w:line="400" w:lineRule="exact"/>
        <w:rPr>
          <w:rFonts w:ascii="宋体" w:hAnsi="宋体" w:cs="宋体"/>
          <w:color w:val="auto"/>
          <w:spacing w:val="20"/>
          <w:szCs w:val="21"/>
        </w:rPr>
      </w:pPr>
    </w:p>
    <w:p>
      <w:pPr>
        <w:snapToGrid w:val="0"/>
        <w:spacing w:line="400" w:lineRule="exact"/>
        <w:rPr>
          <w:rFonts w:ascii="宋体" w:hAnsi="宋体" w:cs="宋体"/>
          <w:color w:val="auto"/>
          <w:spacing w:val="20"/>
          <w:szCs w:val="21"/>
        </w:rPr>
      </w:pPr>
    </w:p>
    <w:p>
      <w:pPr>
        <w:snapToGrid w:val="0"/>
        <w:spacing w:line="400" w:lineRule="exact"/>
        <w:jc w:val="left"/>
        <w:rPr>
          <w:rFonts w:ascii="宋体" w:hAnsi="宋体" w:cs="宋体"/>
          <w:b/>
          <w:color w:val="auto"/>
          <w:szCs w:val="21"/>
        </w:rPr>
      </w:pPr>
      <w:r>
        <w:rPr>
          <w:rFonts w:hint="eastAsia" w:ascii="宋体" w:hAnsi="宋体" w:cs="宋体"/>
          <w:b/>
          <w:color w:val="auto"/>
          <w:szCs w:val="21"/>
        </w:rPr>
        <w:t>4）2017年至今已完成的类似业绩材料；</w:t>
      </w:r>
    </w:p>
    <w:p>
      <w:pPr>
        <w:snapToGrid w:val="0"/>
        <w:spacing w:line="400" w:lineRule="exact"/>
        <w:jc w:val="left"/>
        <w:rPr>
          <w:rFonts w:ascii="宋体" w:hAnsi="宋体" w:cs="宋体"/>
          <w:b/>
          <w:color w:val="auto"/>
          <w:szCs w:val="21"/>
        </w:rPr>
      </w:pPr>
    </w:p>
    <w:p>
      <w:pPr>
        <w:pStyle w:val="39"/>
        <w:snapToGrid w:val="0"/>
        <w:ind w:left="420" w:hanging="420"/>
        <w:rPr>
          <w:rFonts w:ascii="宋体" w:hAnsi="宋体" w:cs="宋体"/>
          <w:color w:val="auto"/>
          <w:sz w:val="21"/>
          <w:szCs w:val="21"/>
        </w:rPr>
      </w:pPr>
      <w:r>
        <w:rPr>
          <w:rFonts w:hint="eastAsia" w:ascii="宋体" w:hAnsi="宋体" w:cs="宋体"/>
          <w:color w:val="auto"/>
          <w:sz w:val="21"/>
          <w:szCs w:val="21"/>
        </w:rPr>
        <w:t xml:space="preserve">投标人同类项目实施情况一览表格式： </w:t>
      </w:r>
    </w:p>
    <w:p>
      <w:pPr>
        <w:pStyle w:val="39"/>
        <w:snapToGrid w:val="0"/>
        <w:ind w:left="480" w:hanging="480"/>
        <w:rPr>
          <w:rFonts w:ascii="宋体" w:hAnsi="宋体" w:cs="宋体"/>
          <w:color w:val="auto"/>
          <w:sz w:val="24"/>
        </w:rPr>
      </w:pPr>
    </w:p>
    <w:tbl>
      <w:tblPr>
        <w:tblStyle w:val="53"/>
        <w:tblW w:w="96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866"/>
        <w:gridCol w:w="654"/>
        <w:gridCol w:w="720"/>
        <w:gridCol w:w="1080"/>
        <w:gridCol w:w="816"/>
        <w:gridCol w:w="720"/>
        <w:gridCol w:w="720"/>
        <w:gridCol w:w="1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cs="宋体"/>
                <w:color w:val="auto"/>
                <w:szCs w:val="21"/>
              </w:rPr>
            </w:pPr>
            <w:r>
              <w:rPr>
                <w:rFonts w:hint="eastAsia" w:ascii="宋体" w:hAnsi="宋体" w:cs="宋体"/>
                <w:color w:val="auto"/>
                <w:szCs w:val="21"/>
              </w:rPr>
              <w:t>招标单位名称</w:t>
            </w:r>
          </w:p>
        </w:tc>
        <w:tc>
          <w:tcPr>
            <w:tcW w:w="18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cs="宋体"/>
                <w:color w:val="auto"/>
                <w:szCs w:val="21"/>
              </w:rPr>
            </w:pPr>
            <w:r>
              <w:rPr>
                <w:rFonts w:hint="eastAsia" w:ascii="宋体" w:hAnsi="宋体" w:cs="宋体"/>
                <w:color w:val="auto"/>
                <w:szCs w:val="21"/>
              </w:rPr>
              <w:t>设备或项目名称</w:t>
            </w:r>
          </w:p>
        </w:tc>
        <w:tc>
          <w:tcPr>
            <w:tcW w:w="65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cs="宋体"/>
                <w:color w:val="auto"/>
                <w:szCs w:val="21"/>
              </w:rPr>
            </w:pPr>
            <w:r>
              <w:rPr>
                <w:rFonts w:hint="eastAsia" w:ascii="宋体" w:hAnsi="宋体" w:cs="宋体"/>
                <w:color w:val="auto"/>
                <w:szCs w:val="21"/>
              </w:rPr>
              <w:t>采购</w:t>
            </w:r>
          </w:p>
          <w:p>
            <w:pPr>
              <w:keepNext w:val="0"/>
              <w:keepLines w:val="0"/>
              <w:suppressLineNumbers w:val="0"/>
              <w:snapToGrid w:val="0"/>
              <w:spacing w:before="0" w:beforeAutospacing="0" w:after="0" w:afterAutospacing="0" w:line="240" w:lineRule="exact"/>
              <w:ind w:left="0" w:right="0"/>
              <w:jc w:val="center"/>
              <w:rPr>
                <w:rFonts w:hint="default" w:ascii="宋体" w:hAnsi="宋体" w:cs="宋体"/>
                <w:color w:val="auto"/>
                <w:szCs w:val="21"/>
              </w:rPr>
            </w:pPr>
            <w:r>
              <w:rPr>
                <w:rFonts w:hint="eastAsia" w:ascii="宋体" w:hAnsi="宋体" w:cs="宋体"/>
                <w:color w:val="auto"/>
                <w:szCs w:val="21"/>
              </w:rPr>
              <w:t>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cs="宋体"/>
                <w:color w:val="auto"/>
                <w:szCs w:val="21"/>
              </w:rPr>
            </w:pPr>
            <w:r>
              <w:rPr>
                <w:rFonts w:hint="eastAsia" w:ascii="宋体" w:hAnsi="宋体" w:cs="宋体"/>
                <w:color w:val="auto"/>
                <w:szCs w:val="21"/>
              </w:rPr>
              <w:t>单价</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cs="宋体"/>
                <w:color w:val="auto"/>
                <w:szCs w:val="21"/>
              </w:rPr>
            </w:pPr>
            <w:r>
              <w:rPr>
                <w:rFonts w:hint="eastAsia" w:ascii="宋体" w:hAnsi="宋体" w:cs="宋体"/>
                <w:color w:val="auto"/>
                <w:szCs w:val="21"/>
              </w:rPr>
              <w:t>合同</w:t>
            </w:r>
          </w:p>
          <w:p>
            <w:pPr>
              <w:keepNext w:val="0"/>
              <w:keepLines w:val="0"/>
              <w:suppressLineNumbers w:val="0"/>
              <w:snapToGrid w:val="0"/>
              <w:spacing w:before="0" w:beforeAutospacing="0" w:after="0" w:afterAutospacing="0" w:line="240" w:lineRule="exact"/>
              <w:ind w:left="0" w:right="0"/>
              <w:jc w:val="center"/>
              <w:rPr>
                <w:rFonts w:hint="default" w:ascii="宋体" w:hAnsi="宋体" w:cs="宋体"/>
                <w:color w:val="auto"/>
                <w:szCs w:val="21"/>
              </w:rPr>
            </w:pPr>
            <w:r>
              <w:rPr>
                <w:rFonts w:hint="eastAsia" w:ascii="宋体" w:hAnsi="宋体" w:cs="宋体"/>
                <w:color w:val="auto"/>
                <w:szCs w:val="21"/>
              </w:rPr>
              <w:t>金额</w:t>
            </w:r>
          </w:p>
          <w:p>
            <w:pPr>
              <w:keepNext w:val="0"/>
              <w:keepLines w:val="0"/>
              <w:suppressLineNumbers w:val="0"/>
              <w:snapToGrid w:val="0"/>
              <w:spacing w:before="0" w:beforeAutospacing="0" w:after="0" w:afterAutospacing="0" w:line="240" w:lineRule="exact"/>
              <w:ind w:left="0" w:right="0"/>
              <w:jc w:val="center"/>
              <w:rPr>
                <w:rFonts w:hint="default" w:ascii="宋体" w:hAnsi="宋体" w:cs="宋体"/>
                <w:color w:val="auto"/>
                <w:szCs w:val="21"/>
              </w:rPr>
            </w:pPr>
            <w:r>
              <w:rPr>
                <w:rFonts w:hint="eastAsia" w:ascii="宋体" w:hAnsi="宋体" w:cs="宋体"/>
                <w:color w:val="auto"/>
                <w:szCs w:val="21"/>
              </w:rPr>
              <w:t>（万元）</w:t>
            </w:r>
          </w:p>
        </w:tc>
        <w:tc>
          <w:tcPr>
            <w:tcW w:w="22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cs="宋体"/>
                <w:color w:val="auto"/>
                <w:szCs w:val="21"/>
              </w:rPr>
            </w:pPr>
            <w:r>
              <w:rPr>
                <w:rFonts w:hint="eastAsia" w:ascii="宋体" w:hAnsi="宋体" w:cs="宋体"/>
                <w:color w:val="auto"/>
                <w:szCs w:val="21"/>
              </w:rPr>
              <w:t>附件页码</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cs="宋体"/>
                <w:color w:val="auto"/>
                <w:szCs w:val="21"/>
              </w:rPr>
            </w:pPr>
            <w:r>
              <w:rPr>
                <w:rFonts w:hint="eastAsia" w:ascii="宋体" w:hAnsi="宋体" w:cs="宋体"/>
                <w:color w:val="auto"/>
                <w:szCs w:val="21"/>
              </w:rPr>
              <w:t>招标单位联系人及</w:t>
            </w:r>
          </w:p>
          <w:p>
            <w:pPr>
              <w:keepNext w:val="0"/>
              <w:keepLines w:val="0"/>
              <w:suppressLineNumbers w:val="0"/>
              <w:snapToGrid w:val="0"/>
              <w:spacing w:before="0" w:beforeAutospacing="0" w:after="0" w:afterAutospacing="0" w:line="240" w:lineRule="exact"/>
              <w:ind w:left="0" w:right="0"/>
              <w:jc w:val="center"/>
              <w:rPr>
                <w:rFonts w:hint="default" w:ascii="宋体" w:hAnsi="宋体" w:cs="宋体"/>
                <w:color w:val="auto"/>
                <w:sz w:val="18"/>
                <w:szCs w:val="20"/>
              </w:rPr>
            </w:pPr>
            <w:r>
              <w:rPr>
                <w:rFonts w:hint="eastAsia" w:ascii="宋体" w:hAnsi="宋体" w:cs="宋体"/>
                <w:color w:val="auto"/>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szCs w:val="21"/>
              </w:rPr>
            </w:pPr>
          </w:p>
        </w:tc>
        <w:tc>
          <w:tcPr>
            <w:tcW w:w="18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szCs w:val="21"/>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cs="宋体"/>
                <w:color w:val="auto"/>
                <w:szCs w:val="21"/>
              </w:rPr>
            </w:pPr>
            <w:r>
              <w:rPr>
                <w:rFonts w:hint="eastAsia" w:ascii="宋体" w:hAnsi="宋体" w:cs="宋体"/>
                <w:color w:val="auto"/>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cs="宋体"/>
                <w:color w:val="auto"/>
                <w:szCs w:val="21"/>
              </w:rPr>
            </w:pPr>
            <w:r>
              <w:rPr>
                <w:rFonts w:hint="eastAsia" w:ascii="宋体" w:hAnsi="宋体" w:cs="宋体"/>
                <w:color w:val="auto"/>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cs="宋体"/>
                <w:color w:val="auto"/>
                <w:szCs w:val="21"/>
              </w:rPr>
            </w:pPr>
            <w:r>
              <w:rPr>
                <w:rFonts w:hint="eastAsia" w:ascii="宋体" w:hAnsi="宋体" w:cs="宋体"/>
                <w:color w:val="auto"/>
                <w:szCs w:val="21"/>
              </w:rPr>
              <w:t>用户评价</w:t>
            </w: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72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c>
          <w:tcPr>
            <w:tcW w:w="186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c>
          <w:tcPr>
            <w:tcW w:w="65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c>
          <w:tcPr>
            <w:tcW w:w="81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c>
          <w:tcPr>
            <w:tcW w:w="134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72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c>
          <w:tcPr>
            <w:tcW w:w="186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c>
          <w:tcPr>
            <w:tcW w:w="65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c>
          <w:tcPr>
            <w:tcW w:w="81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c>
          <w:tcPr>
            <w:tcW w:w="134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72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c>
          <w:tcPr>
            <w:tcW w:w="186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c>
          <w:tcPr>
            <w:tcW w:w="65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c>
          <w:tcPr>
            <w:tcW w:w="81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c>
          <w:tcPr>
            <w:tcW w:w="134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cs="宋体"/>
                <w:color w:val="auto"/>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186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65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81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134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72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186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65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81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134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186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65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81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134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186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65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81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c>
          <w:tcPr>
            <w:tcW w:w="134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hint="default" w:ascii="宋体" w:hAnsi="宋体" w:cs="宋体"/>
                <w:color w:val="auto"/>
                <w:sz w:val="24"/>
                <w:szCs w:val="20"/>
              </w:rPr>
            </w:pPr>
          </w:p>
        </w:tc>
      </w:tr>
    </w:tbl>
    <w:p>
      <w:pPr>
        <w:pStyle w:val="15"/>
        <w:snapToGrid w:val="0"/>
        <w:rPr>
          <w:rFonts w:ascii="宋体" w:hAnsi="宋体" w:eastAsia="宋体" w:cs="宋体"/>
          <w:color w:val="auto"/>
          <w:sz w:val="21"/>
          <w:szCs w:val="21"/>
        </w:rPr>
      </w:pPr>
      <w:r>
        <w:rPr>
          <w:rFonts w:hint="eastAsia" w:ascii="宋体" w:hAnsi="宋体" w:eastAsia="宋体" w:cs="宋体"/>
          <w:color w:val="auto"/>
          <w:sz w:val="21"/>
          <w:szCs w:val="21"/>
        </w:rPr>
        <w:t>注：投标人同类项目合同复印件、用户验收报告、用户评价意见格式自拟</w:t>
      </w: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pStyle w:val="29"/>
        <w:rPr>
          <w:rFonts w:hAnsi="宋体" w:cs="宋体"/>
          <w:color w:val="auto"/>
        </w:rPr>
      </w:pPr>
      <w:r>
        <w:rPr>
          <w:rFonts w:hint="eastAsia" w:hAnsi="宋体" w:cs="宋体"/>
          <w:color w:val="auto"/>
        </w:rPr>
        <w:t>投标人（公章）：</w:t>
      </w:r>
    </w:p>
    <w:p>
      <w:pPr>
        <w:pStyle w:val="29"/>
        <w:rPr>
          <w:rFonts w:hAnsi="宋体" w:cs="宋体"/>
          <w:color w:val="auto"/>
        </w:rPr>
      </w:pPr>
    </w:p>
    <w:p>
      <w:pPr>
        <w:pStyle w:val="29"/>
        <w:rPr>
          <w:rFonts w:hAnsi="宋体" w:cs="宋体"/>
          <w:color w:val="auto"/>
          <w:u w:val="single"/>
        </w:rPr>
      </w:pPr>
      <w:r>
        <w:rPr>
          <w:rFonts w:hint="eastAsia" w:hAnsi="宋体" w:cs="宋体"/>
          <w:color w:val="auto"/>
        </w:rPr>
        <w:t>法定代表人或委托代理人（签字或盖章）：</w:t>
      </w:r>
    </w:p>
    <w:p>
      <w:pPr>
        <w:snapToGrid w:val="0"/>
        <w:spacing w:before="50" w:afterLines="50" w:line="440" w:lineRule="exact"/>
        <w:jc w:val="left"/>
        <w:rPr>
          <w:rFonts w:ascii="宋体" w:hAnsi="宋体" w:cs="宋体"/>
          <w:color w:val="auto"/>
          <w:sz w:val="28"/>
          <w:szCs w:val="28"/>
        </w:rPr>
      </w:pPr>
      <w:r>
        <w:rPr>
          <w:rFonts w:hint="eastAsia" w:hAnsi="宋体" w:cs="宋体"/>
          <w:color w:val="auto"/>
        </w:rPr>
        <w:t>日期：</w:t>
      </w: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r>
        <w:rPr>
          <w:rFonts w:hint="eastAsia" w:ascii="宋体" w:hAnsi="宋体" w:cs="宋体"/>
          <w:b/>
          <w:color w:val="auto"/>
          <w:szCs w:val="21"/>
        </w:rPr>
        <w:t>5）招标文件列明的其他证明文件（采购需求中注明必须提供的必须提供，否则投标无效）；</w:t>
      </w:r>
    </w:p>
    <w:p>
      <w:pPr>
        <w:snapToGrid w:val="0"/>
        <w:spacing w:line="400" w:lineRule="exact"/>
        <w:ind w:firstLine="422" w:firstLineChars="200"/>
        <w:jc w:val="left"/>
        <w:rPr>
          <w:rFonts w:ascii="宋体" w:hAnsi="宋体" w:cs="宋体"/>
          <w:b/>
          <w:color w:val="auto"/>
          <w:szCs w:val="21"/>
        </w:rPr>
      </w:pPr>
    </w:p>
    <w:p>
      <w:pPr>
        <w:snapToGrid w:val="0"/>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5.1）距招标单位最近或者能为本项目提供最优服务的网点情况表</w:t>
      </w:r>
    </w:p>
    <w:p>
      <w:pPr>
        <w:snapToGrid w:val="0"/>
        <w:spacing w:line="400" w:lineRule="exact"/>
        <w:ind w:firstLine="422" w:firstLineChars="200"/>
        <w:jc w:val="left"/>
        <w:rPr>
          <w:rFonts w:ascii="宋体" w:hAnsi="宋体" w:cs="宋体"/>
          <w:b/>
          <w:color w:val="auto"/>
          <w:szCs w:val="21"/>
        </w:rPr>
      </w:pPr>
    </w:p>
    <w:tbl>
      <w:tblPr>
        <w:tblStyle w:val="53"/>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1264"/>
        <w:gridCol w:w="191"/>
        <w:gridCol w:w="1440"/>
        <w:gridCol w:w="1425"/>
        <w:gridCol w:w="144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20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服务网点名称</w:t>
            </w:r>
          </w:p>
        </w:tc>
        <w:tc>
          <w:tcPr>
            <w:tcW w:w="5760" w:type="dxa"/>
            <w:gridSpan w:val="5"/>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p>
        </w:tc>
        <w:tc>
          <w:tcPr>
            <w:tcW w:w="1620" w:type="dxa"/>
            <w:vMerge w:val="restar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投标文件</w:t>
            </w:r>
          </w:p>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20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地址</w:t>
            </w:r>
          </w:p>
        </w:tc>
        <w:tc>
          <w:tcPr>
            <w:tcW w:w="5760" w:type="dxa"/>
            <w:gridSpan w:val="5"/>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注册资本金</w:t>
            </w:r>
          </w:p>
        </w:tc>
        <w:tc>
          <w:tcPr>
            <w:tcW w:w="126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p>
        </w:tc>
        <w:tc>
          <w:tcPr>
            <w:tcW w:w="3056"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其中：投标人出资比例</w:t>
            </w: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员工总人数</w:t>
            </w:r>
          </w:p>
        </w:tc>
        <w:tc>
          <w:tcPr>
            <w:tcW w:w="126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p>
        </w:tc>
        <w:tc>
          <w:tcPr>
            <w:tcW w:w="3056"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其中：技术人员数</w:t>
            </w: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经营期限</w:t>
            </w:r>
          </w:p>
        </w:tc>
        <w:tc>
          <w:tcPr>
            <w:tcW w:w="5760" w:type="dxa"/>
            <w:gridSpan w:val="5"/>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售后服务协议</w:t>
            </w:r>
          </w:p>
        </w:tc>
        <w:tc>
          <w:tcPr>
            <w:tcW w:w="5760" w:type="dxa"/>
            <w:gridSpan w:val="5"/>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售后服务内容</w:t>
            </w:r>
          </w:p>
        </w:tc>
        <w:tc>
          <w:tcPr>
            <w:tcW w:w="5760" w:type="dxa"/>
            <w:gridSpan w:val="5"/>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工作业绩</w:t>
            </w:r>
          </w:p>
        </w:tc>
        <w:tc>
          <w:tcPr>
            <w:tcW w:w="5760" w:type="dxa"/>
            <w:gridSpan w:val="5"/>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服务承诺</w:t>
            </w:r>
          </w:p>
        </w:tc>
        <w:tc>
          <w:tcPr>
            <w:tcW w:w="5760" w:type="dxa"/>
            <w:gridSpan w:val="5"/>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业务咨询电话</w:t>
            </w:r>
          </w:p>
        </w:tc>
        <w:tc>
          <w:tcPr>
            <w:tcW w:w="1455" w:type="dxa"/>
            <w:gridSpan w:val="2"/>
            <w:tcBorders>
              <w:top w:val="single" w:color="auto" w:sz="4" w:space="0"/>
              <w:left w:val="single" w:color="auto" w:sz="4" w:space="0"/>
              <w:bottom w:val="single" w:color="auto" w:sz="4" w:space="0"/>
              <w:right w:val="single" w:color="auto" w:sz="2"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p>
        </w:tc>
        <w:tc>
          <w:tcPr>
            <w:tcW w:w="1440" w:type="dxa"/>
            <w:tcBorders>
              <w:top w:val="single" w:color="auto" w:sz="4" w:space="0"/>
              <w:left w:val="single" w:color="auto" w:sz="2" w:space="0"/>
              <w:bottom w:val="single" w:color="auto" w:sz="4" w:space="0"/>
              <w:right w:val="single" w:color="auto" w:sz="2"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传 真</w:t>
            </w:r>
          </w:p>
        </w:tc>
        <w:tc>
          <w:tcPr>
            <w:tcW w:w="2865" w:type="dxa"/>
            <w:gridSpan w:val="2"/>
            <w:tcBorders>
              <w:top w:val="single" w:color="auto" w:sz="4" w:space="0"/>
              <w:left w:val="single" w:color="auto" w:sz="2" w:space="0"/>
              <w:bottom w:val="single" w:color="auto" w:sz="4" w:space="0"/>
              <w:right w:val="single" w:color="auto" w:sz="2"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p>
        </w:tc>
        <w:tc>
          <w:tcPr>
            <w:tcW w:w="1620" w:type="dxa"/>
            <w:tcBorders>
              <w:top w:val="single" w:color="auto" w:sz="4" w:space="0"/>
              <w:left w:val="single" w:color="auto" w:sz="2"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负责人</w:t>
            </w:r>
          </w:p>
        </w:tc>
        <w:tc>
          <w:tcPr>
            <w:tcW w:w="1455" w:type="dxa"/>
            <w:gridSpan w:val="2"/>
            <w:tcBorders>
              <w:top w:val="single" w:color="auto" w:sz="4" w:space="0"/>
              <w:left w:val="single" w:color="auto" w:sz="4" w:space="0"/>
              <w:bottom w:val="single" w:color="auto" w:sz="4" w:space="0"/>
              <w:right w:val="single" w:color="auto" w:sz="2"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p>
        </w:tc>
        <w:tc>
          <w:tcPr>
            <w:tcW w:w="1440" w:type="dxa"/>
            <w:tcBorders>
              <w:top w:val="single" w:color="auto" w:sz="4" w:space="0"/>
              <w:left w:val="single" w:color="auto" w:sz="2" w:space="0"/>
              <w:bottom w:val="single" w:color="auto" w:sz="4" w:space="0"/>
              <w:right w:val="single" w:color="auto" w:sz="2"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联系电话</w:t>
            </w:r>
          </w:p>
        </w:tc>
        <w:tc>
          <w:tcPr>
            <w:tcW w:w="2865" w:type="dxa"/>
            <w:gridSpan w:val="2"/>
            <w:tcBorders>
              <w:top w:val="single" w:color="auto" w:sz="4" w:space="0"/>
              <w:left w:val="single" w:color="auto" w:sz="2"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rPr>
            </w:pPr>
          </w:p>
        </w:tc>
      </w:tr>
    </w:tbl>
    <w:p>
      <w:pPr>
        <w:pStyle w:val="15"/>
        <w:snapToGrid w:val="0"/>
        <w:spacing w:line="400" w:lineRule="exact"/>
        <w:ind w:firstLine="400" w:firstLineChars="200"/>
        <w:rPr>
          <w:rFonts w:ascii="宋体" w:hAnsi="宋体" w:eastAsia="宋体" w:cs="宋体"/>
          <w:color w:val="auto"/>
          <w:szCs w:val="21"/>
        </w:rPr>
      </w:pPr>
    </w:p>
    <w:p>
      <w:pPr>
        <w:snapToGrid w:val="0"/>
        <w:spacing w:line="400" w:lineRule="exact"/>
        <w:ind w:firstLine="500" w:firstLineChars="200"/>
        <w:jc w:val="left"/>
        <w:rPr>
          <w:rFonts w:ascii="宋体" w:hAnsi="宋体" w:cs="宋体"/>
          <w:color w:val="auto"/>
          <w:spacing w:val="20"/>
          <w:szCs w:val="21"/>
        </w:rPr>
      </w:pPr>
      <w:r>
        <w:rPr>
          <w:rFonts w:hint="eastAsia" w:ascii="宋体" w:hAnsi="宋体" w:cs="宋体"/>
          <w:color w:val="auto"/>
          <w:spacing w:val="20"/>
          <w:szCs w:val="21"/>
        </w:rPr>
        <w:t>投标人（盖章）：</w:t>
      </w:r>
    </w:p>
    <w:p>
      <w:pPr>
        <w:snapToGrid w:val="0"/>
        <w:spacing w:line="400" w:lineRule="exact"/>
        <w:ind w:firstLine="525" w:firstLineChars="250"/>
        <w:jc w:val="left"/>
        <w:rPr>
          <w:rFonts w:ascii="宋体" w:hAnsi="宋体" w:cs="宋体"/>
          <w:color w:val="auto"/>
          <w:spacing w:val="20"/>
          <w:szCs w:val="21"/>
          <w:u w:val="single"/>
        </w:rPr>
      </w:pPr>
      <w:r>
        <w:rPr>
          <w:rFonts w:hint="eastAsia" w:ascii="宋体" w:hAnsi="宋体" w:cs="宋体"/>
          <w:color w:val="auto"/>
          <w:szCs w:val="21"/>
        </w:rPr>
        <w:t>法定代表人或委托代理人</w:t>
      </w:r>
      <w:r>
        <w:rPr>
          <w:rFonts w:hint="eastAsia" w:ascii="宋体" w:hAnsi="宋体" w:cs="宋体"/>
          <w:color w:val="auto"/>
        </w:rPr>
        <w:t>（签字或盖章）</w:t>
      </w:r>
      <w:r>
        <w:rPr>
          <w:rFonts w:hint="eastAsia" w:ascii="宋体" w:hAnsi="宋体" w:cs="宋体"/>
          <w:color w:val="auto"/>
          <w:spacing w:val="20"/>
          <w:szCs w:val="21"/>
        </w:rPr>
        <w:t>：</w:t>
      </w:r>
    </w:p>
    <w:p>
      <w:pPr>
        <w:snapToGrid w:val="0"/>
        <w:spacing w:line="400" w:lineRule="exact"/>
        <w:ind w:firstLine="500" w:firstLineChars="200"/>
        <w:jc w:val="left"/>
        <w:rPr>
          <w:rFonts w:ascii="宋体" w:hAnsi="宋体" w:cs="宋体"/>
          <w:color w:val="auto"/>
          <w:spacing w:val="20"/>
          <w:szCs w:val="21"/>
          <w:u w:val="single"/>
        </w:rPr>
      </w:pPr>
      <w:r>
        <w:rPr>
          <w:rFonts w:hint="eastAsia" w:ascii="宋体" w:hAnsi="宋体" w:cs="宋体"/>
          <w:color w:val="auto"/>
          <w:spacing w:val="20"/>
          <w:szCs w:val="21"/>
        </w:rPr>
        <w:t>日 期：</w:t>
      </w:r>
    </w:p>
    <w:p>
      <w:pPr>
        <w:snapToGrid w:val="0"/>
        <w:spacing w:line="400" w:lineRule="exact"/>
        <w:jc w:val="left"/>
        <w:rPr>
          <w:rFonts w:ascii="宋体" w:hAnsi="宋体" w:cs="宋体"/>
          <w:b/>
          <w:color w:val="auto"/>
          <w:szCs w:val="21"/>
        </w:rPr>
      </w:pPr>
    </w:p>
    <w:p>
      <w:pPr>
        <w:snapToGrid w:val="0"/>
        <w:spacing w:line="400" w:lineRule="exact"/>
        <w:ind w:firstLine="422" w:firstLineChars="200"/>
        <w:jc w:val="left"/>
        <w:rPr>
          <w:rFonts w:ascii="宋体" w:hAnsi="宋体" w:cs="宋体"/>
          <w:b/>
          <w:color w:val="auto"/>
          <w:szCs w:val="21"/>
        </w:rPr>
      </w:pPr>
    </w:p>
    <w:p>
      <w:pPr>
        <w:snapToGrid w:val="0"/>
        <w:spacing w:line="400" w:lineRule="exact"/>
        <w:ind w:firstLine="422" w:firstLineChars="200"/>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r>
        <w:rPr>
          <w:rFonts w:hint="eastAsia" w:ascii="宋体" w:hAnsi="宋体" w:cs="宋体"/>
          <w:b/>
          <w:color w:val="auto"/>
          <w:szCs w:val="21"/>
        </w:rPr>
        <w:t>6）节能环保等方面的资质证书或文件（复印件）</w:t>
      </w: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r>
        <w:rPr>
          <w:rFonts w:hint="eastAsia" w:ascii="宋体" w:hAnsi="宋体" w:cs="宋体"/>
          <w:b/>
          <w:color w:val="auto"/>
          <w:szCs w:val="21"/>
        </w:rPr>
        <w:t>7）投标人的信誉、荣誉证书或文件（复印件）</w:t>
      </w: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r>
        <w:rPr>
          <w:rFonts w:hint="eastAsia" w:ascii="宋体" w:hAnsi="宋体" w:cs="宋体"/>
          <w:b/>
          <w:color w:val="auto"/>
          <w:szCs w:val="21"/>
        </w:rPr>
        <w:t>8）投标人质量管理和环境认证体系等方面的认证证书（复印件）</w:t>
      </w: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r>
        <w:rPr>
          <w:rFonts w:hint="eastAsia" w:ascii="宋体" w:hAnsi="宋体" w:cs="宋体"/>
          <w:b/>
          <w:color w:val="auto"/>
          <w:szCs w:val="21"/>
        </w:rPr>
        <w:t>9）投标人认为可以证明其能力或业绩的其他材料（格式自拟）</w:t>
      </w: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r>
        <w:rPr>
          <w:rFonts w:hint="eastAsia" w:ascii="宋体" w:hAnsi="宋体" w:cs="宋体"/>
          <w:b/>
          <w:color w:val="auto"/>
          <w:szCs w:val="21"/>
        </w:rPr>
        <w:t>10）投标人情况介绍（主要产品、技术力量、生产规模、经营业绩等，格式自拟）</w:t>
      </w: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pStyle w:val="29"/>
        <w:jc w:val="center"/>
        <w:rPr>
          <w:rFonts w:hAnsi="宋体" w:cs="宋体"/>
          <w:b/>
          <w:color w:val="auto"/>
        </w:rPr>
      </w:pPr>
    </w:p>
    <w:p>
      <w:pPr>
        <w:pStyle w:val="29"/>
        <w:jc w:val="left"/>
        <w:rPr>
          <w:rFonts w:hAnsi="宋体" w:cs="宋体"/>
          <w:b/>
          <w:color w:val="auto"/>
        </w:rPr>
      </w:pPr>
      <w:r>
        <w:rPr>
          <w:rFonts w:hint="eastAsia" w:hAnsi="宋体" w:cs="宋体"/>
          <w:b/>
          <w:color w:val="auto"/>
        </w:rPr>
        <w:t>11）小型、微型企业声明函（格式）</w:t>
      </w:r>
    </w:p>
    <w:p>
      <w:pPr>
        <w:pStyle w:val="29"/>
        <w:jc w:val="center"/>
        <w:rPr>
          <w:rFonts w:hAnsi="宋体" w:cs="宋体"/>
          <w:b/>
          <w:color w:val="auto"/>
          <w:sz w:val="30"/>
          <w:szCs w:val="30"/>
        </w:rPr>
      </w:pPr>
      <w:r>
        <w:rPr>
          <w:rFonts w:hint="eastAsia" w:hAnsi="宋体" w:cs="宋体"/>
          <w:b/>
          <w:color w:val="auto"/>
          <w:sz w:val="30"/>
          <w:szCs w:val="30"/>
        </w:rPr>
        <w:t>小型、微型企业声明函（格式）</w:t>
      </w:r>
    </w:p>
    <w:p>
      <w:pPr>
        <w:pStyle w:val="29"/>
        <w:spacing w:line="400" w:lineRule="exact"/>
        <w:ind w:firstLine="420" w:firstLineChars="200"/>
        <w:rPr>
          <w:rFonts w:hAnsi="宋体" w:cs="宋体"/>
          <w:color w:val="auto"/>
        </w:rPr>
      </w:pPr>
      <w:r>
        <w:rPr>
          <w:rFonts w:hint="eastAsia" w:hAnsi="宋体" w:cs="宋体"/>
          <w:color w:val="auto"/>
        </w:rPr>
        <w:t>本公司郑重声明，根据《政府采购促进中小企业发展暂行办法》（财库〔2011〕181号）的规定，本公司为</w:t>
      </w:r>
      <w:r>
        <w:rPr>
          <w:rFonts w:hint="eastAsia" w:hAnsi="宋体" w:cs="宋体"/>
          <w:color w:val="auto"/>
          <w:u w:val="single"/>
        </w:rPr>
        <w:t xml:space="preserve"> （请填写：小型、微型） </w:t>
      </w:r>
      <w:r>
        <w:rPr>
          <w:rFonts w:hint="eastAsia" w:hAnsi="宋体" w:cs="宋体"/>
          <w:color w:val="auto"/>
        </w:rPr>
        <w:t>企业。即，本公司同时满足以下条件：</w:t>
      </w:r>
    </w:p>
    <w:p>
      <w:pPr>
        <w:pStyle w:val="29"/>
        <w:spacing w:line="400" w:lineRule="exact"/>
        <w:ind w:firstLine="420" w:firstLineChars="200"/>
        <w:rPr>
          <w:rFonts w:hAnsi="宋体" w:cs="宋体"/>
          <w:color w:val="auto"/>
        </w:rPr>
      </w:pPr>
      <w:r>
        <w:rPr>
          <w:rFonts w:hint="eastAsia" w:hAnsi="宋体" w:cs="宋体"/>
          <w:color w:val="auto"/>
        </w:rPr>
        <w:t>1．根据《工业和信息化部、国家统计局、国家发展和改革委员会、财政部关于印发中小企业划型标准规定的通知》（工信部联企业〔2011〕300号）规定的划分标准，本公司为</w:t>
      </w:r>
      <w:r>
        <w:rPr>
          <w:rFonts w:hint="eastAsia" w:hAnsi="宋体" w:cs="宋体"/>
          <w:color w:val="auto"/>
          <w:u w:val="single"/>
        </w:rPr>
        <w:t xml:space="preserve"> （请填写：小型、微型）</w:t>
      </w:r>
      <w:r>
        <w:rPr>
          <w:rFonts w:hint="eastAsia" w:hAnsi="宋体" w:cs="宋体"/>
          <w:color w:val="auto"/>
        </w:rPr>
        <w:t>企业。</w:t>
      </w:r>
    </w:p>
    <w:p>
      <w:pPr>
        <w:pStyle w:val="29"/>
        <w:spacing w:line="400" w:lineRule="exact"/>
        <w:ind w:firstLine="420" w:firstLineChars="200"/>
        <w:rPr>
          <w:rFonts w:hAnsi="宋体" w:cs="宋体"/>
          <w:color w:val="auto"/>
        </w:rPr>
      </w:pPr>
      <w:r>
        <w:rPr>
          <w:rFonts w:hint="eastAsia" w:hAnsi="宋体" w:cs="宋体"/>
          <w:color w:val="auto"/>
        </w:rPr>
        <w:t>2．本公司参加</w:t>
      </w:r>
      <w:r>
        <w:rPr>
          <w:rFonts w:hint="eastAsia" w:hAnsi="宋体" w:cs="宋体"/>
          <w:color w:val="auto"/>
          <w:spacing w:val="6"/>
          <w:u w:val="single"/>
        </w:rPr>
        <w:t xml:space="preserve">（招标单位名称）     </w:t>
      </w:r>
      <w:r>
        <w:rPr>
          <w:rFonts w:hint="eastAsia" w:hAnsi="宋体" w:cs="宋体"/>
          <w:color w:val="auto"/>
          <w:spacing w:val="6"/>
        </w:rPr>
        <w:t>的</w:t>
      </w:r>
      <w:r>
        <w:rPr>
          <w:rFonts w:hint="eastAsia" w:hAnsi="宋体" w:cs="宋体"/>
          <w:color w:val="auto"/>
          <w:spacing w:val="6"/>
          <w:u w:val="single"/>
        </w:rPr>
        <w:t xml:space="preserve">    （项目名称）</w:t>
      </w:r>
      <w:r>
        <w:rPr>
          <w:rFonts w:hint="eastAsia" w:hAnsi="宋体" w:cs="宋体"/>
          <w:color w:val="auto"/>
        </w:rPr>
        <w:t>采购活动提供本企业制造的货物，或者提供其他</w:t>
      </w:r>
      <w:r>
        <w:rPr>
          <w:rFonts w:hint="eastAsia" w:hAnsi="宋体" w:cs="宋体"/>
          <w:color w:val="auto"/>
          <w:u w:val="single"/>
        </w:rPr>
        <w:t xml:space="preserve"> （请填写：小型、微型） </w:t>
      </w:r>
      <w:r>
        <w:rPr>
          <w:rFonts w:hint="eastAsia" w:hAnsi="宋体" w:cs="宋体"/>
          <w:color w:val="auto"/>
        </w:rPr>
        <w:t>企业制造的货物。本条所称货物不包括使用大型、中型企业注册商标的货物。</w:t>
      </w:r>
    </w:p>
    <w:p>
      <w:pPr>
        <w:pStyle w:val="29"/>
        <w:spacing w:line="400" w:lineRule="exact"/>
        <w:ind w:firstLine="420" w:firstLineChars="200"/>
        <w:rPr>
          <w:rFonts w:hAnsi="宋体" w:cs="宋体"/>
          <w:color w:val="auto"/>
        </w:rPr>
      </w:pPr>
      <w:r>
        <w:rPr>
          <w:rFonts w:hint="eastAsia" w:hAnsi="宋体" w:cs="宋体"/>
          <w:color w:val="auto"/>
        </w:rPr>
        <w:t>本公司对上述声明的真实性负责。如有虚假，将依法承担相应责任。</w:t>
      </w:r>
    </w:p>
    <w:p>
      <w:pPr>
        <w:pStyle w:val="29"/>
        <w:spacing w:line="400" w:lineRule="exact"/>
        <w:ind w:firstLine="420" w:firstLineChars="200"/>
        <w:rPr>
          <w:rFonts w:hAnsi="宋体" w:cs="宋体"/>
          <w:color w:val="auto"/>
        </w:rPr>
      </w:pPr>
    </w:p>
    <w:p>
      <w:pPr>
        <w:pStyle w:val="29"/>
        <w:spacing w:line="400" w:lineRule="exact"/>
        <w:ind w:firstLine="2940" w:firstLineChars="1400"/>
        <w:rPr>
          <w:rFonts w:hAnsi="宋体" w:cs="宋体"/>
          <w:color w:val="auto"/>
          <w:u w:val="single"/>
        </w:rPr>
      </w:pPr>
      <w:r>
        <w:rPr>
          <w:rFonts w:hint="eastAsia" w:hAnsi="宋体" w:cs="宋体"/>
          <w:color w:val="auto"/>
        </w:rPr>
        <w:t>企业名称（盖章）：</w:t>
      </w:r>
    </w:p>
    <w:p>
      <w:pPr>
        <w:pStyle w:val="29"/>
        <w:spacing w:line="400" w:lineRule="exact"/>
        <w:rPr>
          <w:rFonts w:hAnsi="宋体" w:cs="宋体"/>
          <w:color w:val="auto"/>
          <w:u w:val="single"/>
        </w:rPr>
      </w:pPr>
    </w:p>
    <w:p>
      <w:pPr>
        <w:pStyle w:val="29"/>
        <w:spacing w:line="400" w:lineRule="exact"/>
        <w:ind w:left="1120" w:hanging="1120"/>
        <w:rPr>
          <w:rFonts w:hAnsi="宋体" w:cs="宋体"/>
          <w:b/>
          <w:bCs/>
          <w:color w:val="auto"/>
          <w:szCs w:val="28"/>
        </w:rPr>
      </w:pPr>
    </w:p>
    <w:p>
      <w:pPr>
        <w:pStyle w:val="22"/>
        <w:spacing w:line="400" w:lineRule="exact"/>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说明：</w:t>
      </w:r>
    </w:p>
    <w:p>
      <w:pPr>
        <w:pStyle w:val="22"/>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 xml:space="preserve">备注：本声明后须附加盖投标人单位公章的以下有效证明材料，未能提供或所提供材料不齐全的将不能获得 “小型、微型企业”的评标价格折算。 </w:t>
      </w:r>
    </w:p>
    <w:p>
      <w:pPr>
        <w:pStyle w:val="22"/>
        <w:spacing w:line="400" w:lineRule="exact"/>
        <w:ind w:firstLine="630" w:firstLineChars="300"/>
        <w:rPr>
          <w:rFonts w:ascii="宋体" w:hAnsi="宋体" w:eastAsia="宋体" w:cs="宋体"/>
          <w:color w:val="auto"/>
          <w:sz w:val="21"/>
        </w:rPr>
      </w:pPr>
      <w:r>
        <w:rPr>
          <w:rFonts w:hint="eastAsia" w:ascii="宋体" w:hAnsi="宋体" w:eastAsia="宋体" w:cs="宋体"/>
          <w:color w:val="auto"/>
          <w:sz w:val="21"/>
        </w:rPr>
        <w:t xml:space="preserve">1.相关部门（工信部门或工商部门或投标人所属行业协会）授予的投标人为“小型、微型企业”的证明材料 </w:t>
      </w:r>
      <w:r>
        <w:rPr>
          <w:rFonts w:hint="eastAsia" w:ascii="宋体" w:hAnsi="宋体" w:eastAsia="宋体" w:cs="宋体"/>
          <w:b/>
          <w:bCs/>
          <w:color w:val="auto"/>
          <w:sz w:val="21"/>
        </w:rPr>
        <w:t>（原件核查）</w:t>
      </w:r>
      <w:r>
        <w:rPr>
          <w:rFonts w:hint="eastAsia" w:ascii="宋体" w:hAnsi="宋体" w:eastAsia="宋体" w:cs="宋体"/>
          <w:color w:val="auto"/>
          <w:sz w:val="21"/>
        </w:rPr>
        <w:t>；</w:t>
      </w:r>
    </w:p>
    <w:p>
      <w:pPr>
        <w:pStyle w:val="22"/>
        <w:spacing w:line="400" w:lineRule="exact"/>
        <w:ind w:firstLine="420" w:firstLineChars="200"/>
        <w:rPr>
          <w:rFonts w:ascii="宋体" w:hAnsi="宋体" w:eastAsia="宋体" w:cs="宋体"/>
          <w:b/>
          <w:color w:val="auto"/>
          <w:sz w:val="21"/>
          <w:szCs w:val="21"/>
        </w:rPr>
      </w:pPr>
      <w:r>
        <w:rPr>
          <w:rFonts w:hint="eastAsia" w:ascii="宋体" w:hAnsi="宋体" w:eastAsia="宋体" w:cs="宋体"/>
          <w:color w:val="auto"/>
          <w:sz w:val="21"/>
        </w:rPr>
        <w:t xml:space="preserve">  2.投标人在小型、微型企业信用信息共享平台的所属“小型、微型企业”登记信息网页打印页面（须含有查 询网址信息和打印时间，打印时间须在本项目《招标文件》发售时间之后）。</w:t>
      </w:r>
    </w:p>
    <w:p>
      <w:pPr>
        <w:pStyle w:val="22"/>
        <w:spacing w:line="400" w:lineRule="exact"/>
        <w:ind w:firstLine="422" w:firstLineChars="200"/>
        <w:rPr>
          <w:rFonts w:ascii="宋体" w:hAnsi="宋体" w:eastAsia="宋体" w:cs="宋体"/>
          <w:b/>
          <w:color w:val="auto"/>
          <w:sz w:val="21"/>
          <w:szCs w:val="21"/>
        </w:rPr>
      </w:pPr>
    </w:p>
    <w:p>
      <w:pPr>
        <w:pStyle w:val="22"/>
        <w:spacing w:line="400" w:lineRule="exact"/>
        <w:ind w:firstLine="422" w:firstLineChars="200"/>
        <w:rPr>
          <w:rFonts w:ascii="宋体" w:hAnsi="宋体" w:eastAsia="宋体" w:cs="宋体"/>
          <w:b/>
          <w:color w:val="auto"/>
          <w:sz w:val="21"/>
          <w:szCs w:val="21"/>
        </w:rPr>
      </w:pPr>
    </w:p>
    <w:p>
      <w:pPr>
        <w:pStyle w:val="22"/>
        <w:spacing w:line="400" w:lineRule="exact"/>
        <w:ind w:firstLine="422" w:firstLineChars="200"/>
        <w:rPr>
          <w:rFonts w:ascii="宋体" w:hAnsi="宋体" w:eastAsia="宋体" w:cs="宋体"/>
          <w:b/>
          <w:color w:val="auto"/>
          <w:sz w:val="21"/>
          <w:szCs w:val="21"/>
        </w:rPr>
      </w:pPr>
    </w:p>
    <w:p>
      <w:pPr>
        <w:pStyle w:val="22"/>
        <w:numPr>
          <w:ilvl w:val="0"/>
          <w:numId w:val="4"/>
        </w:numPr>
        <w:spacing w:line="400" w:lineRule="exact"/>
        <w:ind w:firstLine="0" w:firstLineChars="0"/>
        <w:rPr>
          <w:rFonts w:ascii="宋体" w:hAnsi="宋体" w:eastAsia="宋体" w:cs="宋体"/>
          <w:b/>
          <w:color w:val="auto"/>
          <w:sz w:val="21"/>
          <w:szCs w:val="21"/>
        </w:rPr>
      </w:pPr>
      <w:r>
        <w:rPr>
          <w:rFonts w:hint="eastAsia" w:ascii="宋体" w:hAnsi="宋体" w:eastAsia="宋体" w:cs="宋体"/>
          <w:b/>
          <w:color w:val="auto"/>
          <w:sz w:val="21"/>
          <w:szCs w:val="21"/>
        </w:rPr>
        <w:t>监狱企业证明文件</w:t>
      </w:r>
    </w:p>
    <w:p>
      <w:pPr>
        <w:pStyle w:val="22"/>
        <w:spacing w:line="400" w:lineRule="exact"/>
        <w:ind w:firstLine="0" w:firstLineChars="0"/>
        <w:rPr>
          <w:rFonts w:ascii="宋体" w:hAnsi="宋体" w:eastAsia="宋体" w:cs="宋体"/>
          <w:b/>
          <w:color w:val="auto"/>
          <w:sz w:val="21"/>
          <w:szCs w:val="21"/>
        </w:rPr>
      </w:pPr>
      <w:r>
        <w:rPr>
          <w:rFonts w:hint="eastAsia" w:ascii="宋体" w:hAnsi="宋体" w:eastAsia="宋体" w:cs="宋体"/>
          <w:b/>
          <w:color w:val="auto"/>
          <w:sz w:val="21"/>
          <w:szCs w:val="21"/>
        </w:rPr>
        <w:t>说明：</w:t>
      </w:r>
    </w:p>
    <w:p>
      <w:pPr>
        <w:pStyle w:val="29"/>
        <w:spacing w:line="400" w:lineRule="exact"/>
        <w:rPr>
          <w:rFonts w:hAnsi="宋体" w:cs="宋体"/>
          <w:bCs/>
          <w:color w:val="auto"/>
        </w:rPr>
      </w:pPr>
      <w:bookmarkStart w:id="127" w:name="OLE_LINK13"/>
      <w:bookmarkStart w:id="128" w:name="OLE_LINK14"/>
      <w:r>
        <w:rPr>
          <w:rFonts w:hint="eastAsia" w:hAnsi="宋体" w:cs="宋体"/>
          <w:bCs/>
          <w:color w:val="auto"/>
        </w:rPr>
        <w:t>1、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与《小型、微型企业声明函》同时提供）。</w:t>
      </w:r>
    </w:p>
    <w:p>
      <w:pPr>
        <w:pStyle w:val="29"/>
        <w:spacing w:line="400" w:lineRule="exact"/>
        <w:rPr>
          <w:rFonts w:hAnsi="宋体" w:cs="宋体"/>
          <w:b/>
          <w:color w:val="auto"/>
        </w:rPr>
      </w:pPr>
    </w:p>
    <w:p>
      <w:pPr>
        <w:pStyle w:val="29"/>
        <w:spacing w:line="400" w:lineRule="exact"/>
        <w:rPr>
          <w:rFonts w:hAnsi="宋体" w:cs="宋体"/>
          <w:b/>
          <w:color w:val="auto"/>
        </w:rPr>
      </w:pPr>
    </w:p>
    <w:p>
      <w:pPr>
        <w:pStyle w:val="29"/>
        <w:spacing w:line="400" w:lineRule="exact"/>
        <w:rPr>
          <w:rFonts w:hAnsi="宋体" w:cs="宋体"/>
          <w:b/>
          <w:color w:val="auto"/>
        </w:rPr>
      </w:pPr>
    </w:p>
    <w:p>
      <w:pPr>
        <w:pStyle w:val="29"/>
        <w:spacing w:line="400" w:lineRule="exact"/>
        <w:rPr>
          <w:rFonts w:hAnsi="宋体" w:cs="宋体"/>
          <w:b/>
          <w:color w:val="auto"/>
        </w:rPr>
      </w:pPr>
    </w:p>
    <w:p>
      <w:pPr>
        <w:pStyle w:val="29"/>
        <w:spacing w:line="400" w:lineRule="exact"/>
        <w:rPr>
          <w:rFonts w:hAnsi="宋体" w:cs="宋体"/>
          <w:b/>
          <w:color w:val="auto"/>
        </w:rPr>
      </w:pPr>
      <w:r>
        <w:rPr>
          <w:rFonts w:hint="eastAsia" w:hAnsi="宋体" w:cs="宋体"/>
          <w:b/>
          <w:color w:val="auto"/>
        </w:rPr>
        <w:t>13）残疾人福利性单位声明函（格式）</w:t>
      </w:r>
    </w:p>
    <w:p>
      <w:pPr>
        <w:pStyle w:val="29"/>
        <w:spacing w:line="400" w:lineRule="exact"/>
        <w:rPr>
          <w:rFonts w:hAnsi="宋体" w:cs="宋体"/>
          <w:bCs/>
          <w:color w:val="auto"/>
          <w:sz w:val="30"/>
          <w:szCs w:val="30"/>
        </w:rPr>
      </w:pPr>
    </w:p>
    <w:p>
      <w:pPr>
        <w:pStyle w:val="29"/>
        <w:spacing w:line="400" w:lineRule="exact"/>
        <w:jc w:val="center"/>
        <w:rPr>
          <w:rFonts w:hAnsi="宋体" w:cs="宋体"/>
          <w:b/>
          <w:color w:val="auto"/>
          <w:sz w:val="30"/>
          <w:szCs w:val="30"/>
        </w:rPr>
      </w:pPr>
      <w:r>
        <w:rPr>
          <w:rFonts w:hint="eastAsia" w:hAnsi="宋体" w:cs="宋体"/>
          <w:b/>
          <w:color w:val="auto"/>
          <w:sz w:val="30"/>
          <w:szCs w:val="30"/>
        </w:rPr>
        <w:t>残疾人福利性单位声明函（格式）</w:t>
      </w:r>
    </w:p>
    <w:bookmarkEnd w:id="127"/>
    <w:bookmarkEnd w:id="128"/>
    <w:p>
      <w:pPr>
        <w:spacing w:line="400" w:lineRule="exact"/>
        <w:rPr>
          <w:rFonts w:ascii="宋体" w:hAnsi="宋体" w:cs="宋体"/>
          <w:b/>
          <w:color w:val="auto"/>
          <w:spacing w:val="6"/>
          <w:sz w:val="30"/>
          <w:szCs w:val="30"/>
        </w:rPr>
      </w:pP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本单位郑重声明，根据《财政部 民政部 中国残疾人联合会关于促进残疾人就业政府采购政策的通知》（财库</w:t>
      </w:r>
      <w:r>
        <w:rPr>
          <w:rFonts w:hint="eastAsia" w:ascii="宋体" w:hAnsi="宋体" w:cs="宋体"/>
          <w:color w:val="auto"/>
          <w:szCs w:val="21"/>
        </w:rPr>
        <w:t>〔2017〕 141</w:t>
      </w:r>
      <w:r>
        <w:rPr>
          <w:rFonts w:hint="eastAsia" w:ascii="宋体" w:hAnsi="宋体" w:cs="宋体"/>
          <w:color w:val="auto"/>
          <w:spacing w:val="6"/>
          <w:szCs w:val="21"/>
        </w:rPr>
        <w:t>号）的规定，本单位为符合条件的残疾人福利性单位，且本单位参加</w:t>
      </w:r>
      <w:r>
        <w:rPr>
          <w:rFonts w:hint="eastAsia" w:ascii="宋体" w:hAnsi="宋体" w:cs="宋体"/>
          <w:color w:val="auto"/>
          <w:spacing w:val="6"/>
          <w:szCs w:val="21"/>
          <w:u w:val="single"/>
        </w:rPr>
        <w:t xml:space="preserve">     （招标单位名称）     </w:t>
      </w:r>
      <w:r>
        <w:rPr>
          <w:rFonts w:hint="eastAsia" w:ascii="宋体" w:hAnsi="宋体" w:cs="宋体"/>
          <w:color w:val="auto"/>
          <w:spacing w:val="6"/>
          <w:szCs w:val="21"/>
        </w:rPr>
        <w:t>的</w:t>
      </w:r>
      <w:r>
        <w:rPr>
          <w:rFonts w:hint="eastAsia" w:ascii="宋体" w:hAnsi="宋体" w:cs="宋体"/>
          <w:color w:val="auto"/>
          <w:spacing w:val="6"/>
          <w:szCs w:val="21"/>
          <w:u w:val="single"/>
        </w:rPr>
        <w:t xml:space="preserve">    （项目名称）     </w:t>
      </w:r>
      <w:r>
        <w:rPr>
          <w:rFonts w:hint="eastAsia" w:ascii="宋体" w:hAnsi="宋体" w:cs="宋体"/>
          <w:color w:val="auto"/>
          <w:spacing w:val="6"/>
          <w:szCs w:val="21"/>
        </w:rPr>
        <w:t>采购活动提供本单位制造的货物，或者提供其他残疾人福利性单位制造的货物（不包括使用非残疾人福利性单位注册商标的货物）。</w:t>
      </w: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本单位对上述声明的真实性负责。如有虚假，将依法承担相应责任。</w:t>
      </w:r>
    </w:p>
    <w:p>
      <w:pPr>
        <w:spacing w:line="400" w:lineRule="exact"/>
        <w:ind w:firstLine="444" w:firstLineChars="200"/>
        <w:rPr>
          <w:rFonts w:ascii="宋体" w:hAnsi="宋体" w:cs="宋体"/>
          <w:color w:val="auto"/>
          <w:spacing w:val="6"/>
          <w:szCs w:val="21"/>
        </w:rPr>
      </w:pPr>
    </w:p>
    <w:p>
      <w:pPr>
        <w:spacing w:line="400" w:lineRule="exact"/>
        <w:ind w:firstLine="444" w:firstLineChars="200"/>
        <w:rPr>
          <w:rFonts w:ascii="宋体" w:hAnsi="宋体" w:cs="宋体"/>
          <w:color w:val="auto"/>
          <w:spacing w:val="6"/>
          <w:szCs w:val="21"/>
        </w:rPr>
      </w:pPr>
    </w:p>
    <w:p>
      <w:pPr>
        <w:pStyle w:val="29"/>
        <w:spacing w:line="400" w:lineRule="exact"/>
        <w:ind w:firstLine="2940" w:firstLineChars="1400"/>
        <w:rPr>
          <w:rFonts w:hAnsi="宋体" w:cs="宋体"/>
          <w:color w:val="auto"/>
          <w:u w:val="single"/>
        </w:rPr>
      </w:pPr>
      <w:r>
        <w:rPr>
          <w:rFonts w:hint="eastAsia" w:hAnsi="宋体" w:cs="宋体"/>
          <w:color w:val="auto"/>
        </w:rPr>
        <w:t>单位名称（盖公章）：</w:t>
      </w:r>
    </w:p>
    <w:p>
      <w:pPr>
        <w:pStyle w:val="29"/>
        <w:spacing w:line="400" w:lineRule="exact"/>
        <w:ind w:firstLine="2940" w:firstLineChars="1400"/>
        <w:rPr>
          <w:rFonts w:hAnsi="宋体" w:cs="宋体"/>
          <w:color w:val="auto"/>
          <w:u w:val="single"/>
        </w:rPr>
      </w:pPr>
    </w:p>
    <w:p>
      <w:pPr>
        <w:pStyle w:val="29"/>
        <w:spacing w:line="400" w:lineRule="exact"/>
        <w:ind w:firstLine="2940" w:firstLineChars="1400"/>
        <w:rPr>
          <w:rFonts w:hAnsi="宋体" w:cs="宋体"/>
          <w:color w:val="auto"/>
          <w:u w:val="single"/>
        </w:rPr>
      </w:pPr>
      <w:r>
        <w:rPr>
          <w:rFonts w:hint="eastAsia" w:hAnsi="宋体" w:cs="宋体"/>
          <w:color w:val="auto"/>
          <w:u w:val="single"/>
        </w:rPr>
        <w:t xml:space="preserve">日期：                                      </w:t>
      </w:r>
    </w:p>
    <w:p>
      <w:pPr>
        <w:pStyle w:val="29"/>
        <w:spacing w:line="400" w:lineRule="exact"/>
        <w:rPr>
          <w:rFonts w:hAnsi="宋体" w:cs="宋体"/>
          <w:color w:val="auto"/>
          <w:u w:val="single"/>
        </w:rPr>
      </w:pPr>
    </w:p>
    <w:p>
      <w:pPr>
        <w:pStyle w:val="22"/>
        <w:spacing w:line="400" w:lineRule="exact"/>
        <w:ind w:firstLine="0" w:firstLineChars="0"/>
        <w:rPr>
          <w:rFonts w:ascii="宋体" w:hAnsi="宋体" w:eastAsia="宋体" w:cs="宋体"/>
          <w:b/>
          <w:bCs/>
          <w:color w:val="auto"/>
          <w:sz w:val="21"/>
          <w:szCs w:val="21"/>
        </w:rPr>
      </w:pPr>
      <w:r>
        <w:rPr>
          <w:rFonts w:hint="eastAsia" w:ascii="宋体" w:hAnsi="宋体" w:eastAsia="宋体" w:cs="宋体"/>
          <w:b/>
          <w:bCs/>
          <w:color w:val="auto"/>
          <w:sz w:val="21"/>
          <w:szCs w:val="21"/>
        </w:rPr>
        <w:t>说明：</w:t>
      </w:r>
    </w:p>
    <w:p>
      <w:pPr>
        <w:snapToGrid w:val="0"/>
        <w:spacing w:line="400" w:lineRule="exact"/>
        <w:jc w:val="left"/>
        <w:rPr>
          <w:rFonts w:ascii="宋体" w:hAnsi="宋体" w:cs="宋体"/>
          <w:b/>
          <w:color w:val="auto"/>
          <w:szCs w:val="21"/>
        </w:rPr>
      </w:pPr>
      <w:r>
        <w:rPr>
          <w:rFonts w:hint="eastAsia" w:hAnsi="宋体" w:cs="宋体"/>
          <w:bCs/>
          <w:color w:val="auto"/>
        </w:rPr>
        <w:t>1、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与《小型、微型企业声明函》同时提供）。</w:t>
      </w: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r>
        <w:rPr>
          <w:rFonts w:hint="eastAsia" w:ascii="宋体" w:hAnsi="宋体" w:cs="宋体"/>
          <w:b/>
          <w:color w:val="auto"/>
          <w:szCs w:val="21"/>
        </w:rPr>
        <w:t>14）具备法律、行政法规规定的其他条件的证明材料</w:t>
      </w: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p>
    <w:p>
      <w:pPr>
        <w:snapToGrid w:val="0"/>
        <w:spacing w:line="400" w:lineRule="exact"/>
        <w:ind w:firstLine="420" w:firstLineChars="200"/>
        <w:jc w:val="left"/>
        <w:rPr>
          <w:rFonts w:ascii="宋体" w:hAnsi="宋体" w:cs="宋体"/>
          <w:color w:val="auto"/>
          <w:szCs w:val="21"/>
        </w:rPr>
      </w:pPr>
    </w:p>
    <w:p>
      <w:pPr>
        <w:snapToGrid w:val="0"/>
        <w:spacing w:line="400" w:lineRule="exact"/>
        <w:jc w:val="left"/>
        <w:rPr>
          <w:rFonts w:ascii="宋体" w:hAnsi="宋体" w:cs="宋体"/>
          <w:b/>
          <w:color w:val="auto"/>
          <w:szCs w:val="21"/>
        </w:rPr>
      </w:pPr>
    </w:p>
    <w:p>
      <w:pPr>
        <w:pStyle w:val="191"/>
        <w:spacing w:line="400" w:lineRule="exact"/>
        <w:outlineLvl w:val="4"/>
        <w:rPr>
          <w:rFonts w:hAnsi="宋体" w:cs="宋体"/>
          <w:color w:val="auto"/>
        </w:rPr>
      </w:pPr>
    </w:p>
    <w:p>
      <w:pPr>
        <w:pStyle w:val="191"/>
        <w:spacing w:line="400" w:lineRule="exact"/>
        <w:outlineLvl w:val="4"/>
        <w:rPr>
          <w:rFonts w:hAnsi="宋体" w:cs="宋体"/>
          <w:color w:val="auto"/>
        </w:rPr>
      </w:pPr>
    </w:p>
    <w:p>
      <w:pPr>
        <w:spacing w:line="400" w:lineRule="exact"/>
        <w:outlineLvl w:val="3"/>
        <w:rPr>
          <w:rFonts w:ascii="宋体" w:hAnsi="宋体" w:cs="宋体"/>
          <w:b/>
          <w:color w:val="auto"/>
          <w:szCs w:val="21"/>
        </w:rPr>
      </w:pPr>
      <w:r>
        <w:rPr>
          <w:rFonts w:hint="eastAsia" w:ascii="宋体" w:hAnsi="宋体" w:cs="宋体"/>
          <w:b/>
          <w:color w:val="auto"/>
          <w:szCs w:val="21"/>
        </w:rPr>
        <w:br w:type="page"/>
      </w:r>
      <w:r>
        <w:rPr>
          <w:rFonts w:hint="eastAsia" w:ascii="宋体" w:hAnsi="宋体" w:cs="宋体"/>
          <w:b/>
          <w:color w:val="auto"/>
          <w:szCs w:val="21"/>
        </w:rPr>
        <w:t>（3）技术文件部分</w:t>
      </w:r>
    </w:p>
    <w:p>
      <w:pPr>
        <w:snapToGrid w:val="0"/>
        <w:spacing w:line="400" w:lineRule="exact"/>
        <w:jc w:val="left"/>
        <w:rPr>
          <w:rFonts w:ascii="宋体" w:hAnsi="宋体" w:cs="宋体"/>
          <w:b/>
          <w:color w:val="auto"/>
          <w:szCs w:val="21"/>
        </w:rPr>
      </w:pPr>
    </w:p>
    <w:p>
      <w:pPr>
        <w:snapToGrid w:val="0"/>
        <w:spacing w:line="400" w:lineRule="exact"/>
        <w:jc w:val="left"/>
        <w:rPr>
          <w:rFonts w:ascii="宋体" w:hAnsi="宋体" w:cs="宋体"/>
          <w:b/>
          <w:color w:val="auto"/>
          <w:szCs w:val="21"/>
        </w:rPr>
      </w:pPr>
      <w:r>
        <w:rPr>
          <w:rFonts w:hint="eastAsia" w:ascii="宋体" w:hAnsi="宋体" w:cs="宋体"/>
          <w:bCs/>
          <w:color w:val="auto"/>
          <w:szCs w:val="21"/>
        </w:rPr>
        <w:t>1）</w:t>
      </w:r>
      <w:r>
        <w:rPr>
          <w:rFonts w:hint="eastAsia" w:ascii="宋体" w:hAnsi="宋体" w:cs="宋体"/>
          <w:color w:val="auto"/>
          <w:szCs w:val="21"/>
        </w:rPr>
        <w:t>投标产品说明书或产品彩页</w:t>
      </w:r>
      <w:r>
        <w:rPr>
          <w:rFonts w:hint="eastAsia" w:ascii="宋体" w:hAnsi="宋体" w:cs="宋体"/>
          <w:b/>
          <w:color w:val="auto"/>
          <w:szCs w:val="21"/>
        </w:rPr>
        <w:t>；</w:t>
      </w:r>
    </w:p>
    <w:p>
      <w:pPr>
        <w:snapToGrid w:val="0"/>
        <w:spacing w:line="400" w:lineRule="exact"/>
        <w:jc w:val="left"/>
        <w:rPr>
          <w:rFonts w:ascii="宋体" w:hAnsi="宋体" w:cs="宋体"/>
          <w:color w:val="auto"/>
          <w:szCs w:val="21"/>
        </w:rPr>
      </w:pPr>
    </w:p>
    <w:p>
      <w:pPr>
        <w:snapToGrid w:val="0"/>
        <w:spacing w:line="400" w:lineRule="exact"/>
        <w:jc w:val="left"/>
        <w:rPr>
          <w:rFonts w:ascii="宋体" w:hAnsi="宋体" w:cs="宋体"/>
          <w:color w:val="auto"/>
          <w:szCs w:val="21"/>
        </w:rPr>
      </w:pPr>
      <w:r>
        <w:rPr>
          <w:rFonts w:hint="eastAsia" w:ascii="宋体" w:hAnsi="宋体" w:cs="宋体"/>
          <w:color w:val="auto"/>
          <w:szCs w:val="21"/>
        </w:rPr>
        <w:t>2）设备配置清单；</w:t>
      </w:r>
    </w:p>
    <w:p>
      <w:pPr>
        <w:pStyle w:val="191"/>
        <w:spacing w:line="400" w:lineRule="exact"/>
        <w:outlineLvl w:val="4"/>
        <w:rPr>
          <w:rFonts w:hAnsi="宋体" w:cs="宋体"/>
          <w:color w:val="auto"/>
        </w:rPr>
      </w:pPr>
    </w:p>
    <w:p>
      <w:pPr>
        <w:pStyle w:val="191"/>
        <w:spacing w:line="400" w:lineRule="exact"/>
        <w:outlineLvl w:val="4"/>
        <w:rPr>
          <w:rFonts w:hAnsi="宋体" w:cs="宋体"/>
          <w:color w:val="auto"/>
        </w:rPr>
      </w:pPr>
      <w:r>
        <w:rPr>
          <w:rFonts w:hint="eastAsia" w:hAnsi="宋体" w:cs="宋体"/>
          <w:color w:val="auto"/>
        </w:rPr>
        <w:t>3）</w:t>
      </w:r>
      <w:r>
        <w:rPr>
          <w:rFonts w:hint="eastAsia" w:hAnsi="宋体" w:cs="宋体"/>
          <w:b/>
          <w:color w:val="auto"/>
        </w:rPr>
        <w:t>技术响应表（必须提供）</w:t>
      </w:r>
      <w:r>
        <w:rPr>
          <w:rFonts w:hint="eastAsia" w:hAnsi="宋体" w:cs="宋体"/>
          <w:color w:val="auto"/>
        </w:rPr>
        <w:t>；</w:t>
      </w:r>
    </w:p>
    <w:p>
      <w:pPr>
        <w:snapToGrid w:val="0"/>
        <w:spacing w:line="400" w:lineRule="exact"/>
        <w:jc w:val="center"/>
        <w:rPr>
          <w:rFonts w:ascii="宋体" w:hAnsi="宋体" w:cs="宋体"/>
          <w:b/>
          <w:color w:val="auto"/>
          <w:sz w:val="28"/>
          <w:szCs w:val="28"/>
        </w:rPr>
      </w:pPr>
    </w:p>
    <w:p>
      <w:pPr>
        <w:snapToGrid w:val="0"/>
        <w:spacing w:line="400" w:lineRule="exact"/>
        <w:jc w:val="center"/>
        <w:rPr>
          <w:rFonts w:ascii="宋体" w:hAnsi="宋体" w:cs="宋体"/>
          <w:color w:val="auto"/>
          <w:sz w:val="28"/>
          <w:szCs w:val="28"/>
          <w:u w:val="single"/>
        </w:rPr>
      </w:pPr>
      <w:r>
        <w:rPr>
          <w:rFonts w:hint="eastAsia" w:ascii="宋体" w:hAnsi="宋体" w:cs="宋体"/>
          <w:b/>
          <w:color w:val="auto"/>
          <w:sz w:val="28"/>
          <w:szCs w:val="28"/>
        </w:rPr>
        <w:t>技术响应表（格式）</w:t>
      </w:r>
    </w:p>
    <w:p>
      <w:pPr>
        <w:snapToGrid w:val="0"/>
        <w:spacing w:line="400" w:lineRule="exact"/>
        <w:ind w:firstLine="422" w:firstLineChars="200"/>
        <w:jc w:val="left"/>
        <w:rPr>
          <w:rFonts w:ascii="宋体" w:hAnsi="宋体" w:cs="宋体"/>
          <w:b/>
          <w:color w:val="auto"/>
          <w:szCs w:val="21"/>
        </w:rPr>
      </w:pPr>
    </w:p>
    <w:tbl>
      <w:tblPr>
        <w:tblStyle w:val="53"/>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00"/>
        <w:gridCol w:w="3600"/>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suppressLineNumbers w:val="0"/>
              <w:spacing w:before="0" w:beforeAutospacing="0" w:after="0" w:afterAutospacing="0" w:line="400" w:lineRule="exact"/>
              <w:ind w:left="0" w:right="0"/>
              <w:jc w:val="center"/>
              <w:rPr>
                <w:rFonts w:hint="default" w:hAnsi="宋体" w:cs="宋体"/>
                <w:color w:val="auto"/>
              </w:rPr>
            </w:pPr>
            <w:r>
              <w:rPr>
                <w:rFonts w:hint="eastAsia" w:hAnsi="宋体" w:cs="宋体"/>
                <w:color w:val="auto"/>
              </w:rPr>
              <w:t>项号</w:t>
            </w:r>
          </w:p>
        </w:tc>
        <w:tc>
          <w:tcPr>
            <w:tcW w:w="3600"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suppressLineNumbers w:val="0"/>
              <w:spacing w:before="0" w:beforeAutospacing="0" w:after="0" w:afterAutospacing="0" w:line="400" w:lineRule="exact"/>
              <w:ind w:left="0" w:right="0"/>
              <w:jc w:val="center"/>
              <w:rPr>
                <w:rFonts w:hint="default" w:hAnsi="宋体" w:cs="宋体"/>
                <w:color w:val="auto"/>
              </w:rPr>
            </w:pPr>
            <w:r>
              <w:rPr>
                <w:rFonts w:hint="eastAsia" w:hAnsi="宋体" w:cs="宋体"/>
                <w:color w:val="auto"/>
              </w:rPr>
              <w:t>招标要求</w:t>
            </w:r>
          </w:p>
        </w:tc>
        <w:tc>
          <w:tcPr>
            <w:tcW w:w="3600"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suppressLineNumbers w:val="0"/>
              <w:spacing w:before="0" w:beforeAutospacing="0" w:after="0" w:afterAutospacing="0" w:line="400" w:lineRule="exact"/>
              <w:ind w:left="0" w:right="0"/>
              <w:jc w:val="center"/>
              <w:rPr>
                <w:rFonts w:hint="default" w:hAnsi="宋体" w:cs="宋体"/>
                <w:color w:val="auto"/>
              </w:rPr>
            </w:pPr>
            <w:r>
              <w:rPr>
                <w:rFonts w:hint="eastAsia" w:hAnsi="宋体" w:cs="宋体"/>
                <w:color w:val="auto"/>
              </w:rPr>
              <w:t>应标情况</w:t>
            </w:r>
          </w:p>
        </w:tc>
        <w:tc>
          <w:tcPr>
            <w:tcW w:w="1573"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suppressLineNumbers w:val="0"/>
              <w:spacing w:before="0" w:beforeAutospacing="0" w:after="0" w:afterAutospacing="0" w:line="400" w:lineRule="exact"/>
              <w:ind w:left="0" w:right="0"/>
              <w:jc w:val="center"/>
              <w:rPr>
                <w:rFonts w:hint="default" w:hAnsi="宋体" w:cs="宋体"/>
                <w:color w:val="auto"/>
              </w:rPr>
            </w:pPr>
            <w:r>
              <w:rPr>
                <w:rFonts w:hint="eastAsia" w:hAnsi="宋体" w:cs="宋体"/>
                <w:color w:va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keepNext w:val="0"/>
              <w:keepLines w:val="0"/>
              <w:suppressLineNumbers w:val="0"/>
              <w:spacing w:before="0" w:beforeAutospacing="0" w:after="0" w:afterAutospacing="0" w:line="400" w:lineRule="exact"/>
              <w:ind w:left="0" w:right="0"/>
              <w:jc w:val="center"/>
              <w:rPr>
                <w:rFonts w:hint="default" w:hAnsi="宋体" w:cs="宋体"/>
                <w:color w:val="auto"/>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suppressLineNumbers w:val="0"/>
              <w:spacing w:before="0" w:beforeAutospacing="0" w:after="0" w:afterAutospacing="0" w:line="400" w:lineRule="exact"/>
              <w:ind w:left="0" w:right="0"/>
              <w:jc w:val="center"/>
              <w:rPr>
                <w:rFonts w:hint="default" w:hAnsi="宋体" w:cs="宋体"/>
                <w:color w:val="auto"/>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suppressLineNumbers w:val="0"/>
              <w:spacing w:before="0" w:beforeAutospacing="0" w:after="0" w:afterAutospacing="0" w:line="400" w:lineRule="exact"/>
              <w:ind w:left="0" w:right="0"/>
              <w:jc w:val="center"/>
              <w:rPr>
                <w:rFonts w:hint="default" w:hAnsi="宋体" w:cs="宋体"/>
                <w:color w:val="auto"/>
              </w:rPr>
            </w:pPr>
          </w:p>
        </w:tc>
        <w:tc>
          <w:tcPr>
            <w:tcW w:w="1573"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suppressLineNumbers w:val="0"/>
              <w:spacing w:before="0" w:beforeAutospacing="0" w:after="0" w:afterAutospacing="0" w:line="400" w:lineRule="exact"/>
              <w:ind w:left="0" w:right="0"/>
              <w:jc w:val="center"/>
              <w:rPr>
                <w:rFonts w:hint="default"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keepNext w:val="0"/>
              <w:keepLines w:val="0"/>
              <w:suppressLineNumbers w:val="0"/>
              <w:spacing w:before="0" w:beforeAutospacing="0" w:after="0" w:afterAutospacing="0" w:line="400" w:lineRule="exact"/>
              <w:ind w:left="0" w:right="0"/>
              <w:rPr>
                <w:rFonts w:hint="default" w:hAnsi="宋体" w:cs="宋体"/>
                <w:color w:val="auto"/>
              </w:rPr>
            </w:pPr>
          </w:p>
        </w:tc>
        <w:tc>
          <w:tcPr>
            <w:tcW w:w="3600" w:type="dxa"/>
            <w:tcBorders>
              <w:top w:val="single" w:color="auto" w:sz="4" w:space="0"/>
              <w:left w:val="single" w:color="auto" w:sz="4" w:space="0"/>
              <w:bottom w:val="single" w:color="auto" w:sz="4" w:space="0"/>
              <w:right w:val="single" w:color="auto" w:sz="4" w:space="0"/>
            </w:tcBorders>
          </w:tcPr>
          <w:p>
            <w:pPr>
              <w:pStyle w:val="29"/>
              <w:keepNext w:val="0"/>
              <w:keepLines w:val="0"/>
              <w:suppressLineNumbers w:val="0"/>
              <w:spacing w:before="0" w:beforeAutospacing="0" w:after="0" w:afterAutospacing="0" w:line="400" w:lineRule="exact"/>
              <w:ind w:left="0" w:right="0"/>
              <w:rPr>
                <w:rFonts w:hint="default" w:hAnsi="宋体" w:cs="宋体"/>
                <w:color w:val="auto"/>
              </w:rPr>
            </w:pPr>
          </w:p>
        </w:tc>
        <w:tc>
          <w:tcPr>
            <w:tcW w:w="3600" w:type="dxa"/>
            <w:tcBorders>
              <w:top w:val="single" w:color="auto" w:sz="4" w:space="0"/>
              <w:left w:val="single" w:color="auto" w:sz="4" w:space="0"/>
              <w:bottom w:val="single" w:color="auto" w:sz="4" w:space="0"/>
              <w:right w:val="single" w:color="auto" w:sz="4" w:space="0"/>
            </w:tcBorders>
          </w:tcPr>
          <w:p>
            <w:pPr>
              <w:pStyle w:val="29"/>
              <w:keepNext w:val="0"/>
              <w:keepLines w:val="0"/>
              <w:suppressLineNumbers w:val="0"/>
              <w:spacing w:before="0" w:beforeAutospacing="0" w:after="0" w:afterAutospacing="0" w:line="400" w:lineRule="exact"/>
              <w:ind w:left="0" w:right="0"/>
              <w:rPr>
                <w:rFonts w:hint="default" w:hAnsi="宋体" w:cs="宋体"/>
                <w:color w:val="auto"/>
              </w:rPr>
            </w:pPr>
          </w:p>
        </w:tc>
        <w:tc>
          <w:tcPr>
            <w:tcW w:w="1573" w:type="dxa"/>
            <w:tcBorders>
              <w:top w:val="single" w:color="auto" w:sz="4" w:space="0"/>
              <w:left w:val="single" w:color="auto" w:sz="4" w:space="0"/>
              <w:bottom w:val="single" w:color="auto" w:sz="4" w:space="0"/>
              <w:right w:val="single" w:color="auto" w:sz="4" w:space="0"/>
            </w:tcBorders>
          </w:tcPr>
          <w:p>
            <w:pPr>
              <w:pStyle w:val="29"/>
              <w:keepNext w:val="0"/>
              <w:keepLines w:val="0"/>
              <w:suppressLineNumbers w:val="0"/>
              <w:spacing w:before="0" w:beforeAutospacing="0" w:after="0" w:afterAutospacing="0" w:line="400" w:lineRule="exact"/>
              <w:ind w:left="0" w:right="0"/>
              <w:rPr>
                <w:rFonts w:hint="default"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keepNext w:val="0"/>
              <w:keepLines w:val="0"/>
              <w:suppressLineNumbers w:val="0"/>
              <w:spacing w:before="0" w:beforeAutospacing="0" w:after="0" w:afterAutospacing="0" w:line="400" w:lineRule="exact"/>
              <w:ind w:left="0" w:right="0"/>
              <w:rPr>
                <w:rFonts w:hint="default" w:hAnsi="宋体" w:cs="宋体"/>
                <w:color w:val="auto"/>
              </w:rPr>
            </w:pPr>
          </w:p>
        </w:tc>
        <w:tc>
          <w:tcPr>
            <w:tcW w:w="3600" w:type="dxa"/>
            <w:tcBorders>
              <w:top w:val="single" w:color="auto" w:sz="4" w:space="0"/>
              <w:left w:val="single" w:color="auto" w:sz="4" w:space="0"/>
              <w:bottom w:val="single" w:color="auto" w:sz="4" w:space="0"/>
              <w:right w:val="single" w:color="auto" w:sz="4" w:space="0"/>
            </w:tcBorders>
          </w:tcPr>
          <w:p>
            <w:pPr>
              <w:pStyle w:val="29"/>
              <w:keepNext w:val="0"/>
              <w:keepLines w:val="0"/>
              <w:suppressLineNumbers w:val="0"/>
              <w:spacing w:before="0" w:beforeAutospacing="0" w:after="0" w:afterAutospacing="0" w:line="400" w:lineRule="exact"/>
              <w:ind w:left="0" w:right="0"/>
              <w:rPr>
                <w:rFonts w:hint="default" w:hAnsi="宋体" w:cs="宋体"/>
                <w:color w:val="auto"/>
              </w:rPr>
            </w:pPr>
          </w:p>
        </w:tc>
        <w:tc>
          <w:tcPr>
            <w:tcW w:w="3600" w:type="dxa"/>
            <w:tcBorders>
              <w:top w:val="single" w:color="auto" w:sz="4" w:space="0"/>
              <w:left w:val="single" w:color="auto" w:sz="4" w:space="0"/>
              <w:bottom w:val="single" w:color="auto" w:sz="4" w:space="0"/>
              <w:right w:val="single" w:color="auto" w:sz="4" w:space="0"/>
            </w:tcBorders>
          </w:tcPr>
          <w:p>
            <w:pPr>
              <w:pStyle w:val="29"/>
              <w:keepNext w:val="0"/>
              <w:keepLines w:val="0"/>
              <w:suppressLineNumbers w:val="0"/>
              <w:spacing w:before="0" w:beforeAutospacing="0" w:after="0" w:afterAutospacing="0" w:line="400" w:lineRule="exact"/>
              <w:ind w:left="0" w:right="0"/>
              <w:rPr>
                <w:rFonts w:hint="default" w:hAnsi="宋体" w:cs="宋体"/>
                <w:color w:val="auto"/>
              </w:rPr>
            </w:pPr>
          </w:p>
        </w:tc>
        <w:tc>
          <w:tcPr>
            <w:tcW w:w="1573" w:type="dxa"/>
            <w:tcBorders>
              <w:top w:val="single" w:color="auto" w:sz="4" w:space="0"/>
              <w:left w:val="single" w:color="auto" w:sz="4" w:space="0"/>
              <w:bottom w:val="single" w:color="auto" w:sz="4" w:space="0"/>
              <w:right w:val="single" w:color="auto" w:sz="4" w:space="0"/>
            </w:tcBorders>
          </w:tcPr>
          <w:p>
            <w:pPr>
              <w:pStyle w:val="29"/>
              <w:keepNext w:val="0"/>
              <w:keepLines w:val="0"/>
              <w:suppressLineNumbers w:val="0"/>
              <w:spacing w:before="0" w:beforeAutospacing="0" w:after="0" w:afterAutospacing="0" w:line="400" w:lineRule="exact"/>
              <w:ind w:left="0" w:right="0"/>
              <w:rPr>
                <w:rFonts w:hint="default"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keepNext w:val="0"/>
              <w:keepLines w:val="0"/>
              <w:suppressLineNumbers w:val="0"/>
              <w:spacing w:before="0" w:beforeAutospacing="0" w:after="0" w:afterAutospacing="0" w:line="400" w:lineRule="exact"/>
              <w:ind w:left="0" w:right="0"/>
              <w:rPr>
                <w:rFonts w:hint="default" w:hAnsi="宋体" w:cs="宋体"/>
                <w:color w:val="auto"/>
              </w:rPr>
            </w:pPr>
          </w:p>
        </w:tc>
        <w:tc>
          <w:tcPr>
            <w:tcW w:w="3600" w:type="dxa"/>
            <w:tcBorders>
              <w:top w:val="single" w:color="auto" w:sz="4" w:space="0"/>
              <w:left w:val="single" w:color="auto" w:sz="4" w:space="0"/>
              <w:bottom w:val="single" w:color="auto" w:sz="4" w:space="0"/>
              <w:right w:val="single" w:color="auto" w:sz="4" w:space="0"/>
            </w:tcBorders>
          </w:tcPr>
          <w:p>
            <w:pPr>
              <w:pStyle w:val="29"/>
              <w:keepNext w:val="0"/>
              <w:keepLines w:val="0"/>
              <w:suppressLineNumbers w:val="0"/>
              <w:spacing w:before="0" w:beforeAutospacing="0" w:after="0" w:afterAutospacing="0" w:line="400" w:lineRule="exact"/>
              <w:ind w:left="0" w:right="0"/>
              <w:rPr>
                <w:rFonts w:hint="default" w:hAnsi="宋体" w:cs="宋体"/>
                <w:color w:val="auto"/>
              </w:rPr>
            </w:pPr>
          </w:p>
        </w:tc>
        <w:tc>
          <w:tcPr>
            <w:tcW w:w="3600" w:type="dxa"/>
            <w:tcBorders>
              <w:top w:val="single" w:color="auto" w:sz="4" w:space="0"/>
              <w:left w:val="single" w:color="auto" w:sz="4" w:space="0"/>
              <w:bottom w:val="single" w:color="auto" w:sz="4" w:space="0"/>
              <w:right w:val="single" w:color="auto" w:sz="4" w:space="0"/>
            </w:tcBorders>
          </w:tcPr>
          <w:p>
            <w:pPr>
              <w:pStyle w:val="29"/>
              <w:keepNext w:val="0"/>
              <w:keepLines w:val="0"/>
              <w:suppressLineNumbers w:val="0"/>
              <w:spacing w:before="0" w:beforeAutospacing="0" w:after="0" w:afterAutospacing="0" w:line="400" w:lineRule="exact"/>
              <w:ind w:left="0" w:right="0"/>
              <w:rPr>
                <w:rFonts w:hint="default" w:hAnsi="宋体" w:cs="宋体"/>
                <w:color w:val="auto"/>
              </w:rPr>
            </w:pPr>
          </w:p>
        </w:tc>
        <w:tc>
          <w:tcPr>
            <w:tcW w:w="1573" w:type="dxa"/>
            <w:tcBorders>
              <w:top w:val="single" w:color="auto" w:sz="4" w:space="0"/>
              <w:left w:val="single" w:color="auto" w:sz="4" w:space="0"/>
              <w:bottom w:val="single" w:color="auto" w:sz="4" w:space="0"/>
              <w:right w:val="single" w:color="auto" w:sz="4" w:space="0"/>
            </w:tcBorders>
          </w:tcPr>
          <w:p>
            <w:pPr>
              <w:pStyle w:val="29"/>
              <w:keepNext w:val="0"/>
              <w:keepLines w:val="0"/>
              <w:suppressLineNumbers w:val="0"/>
              <w:spacing w:before="0" w:beforeAutospacing="0" w:after="0" w:afterAutospacing="0" w:line="400" w:lineRule="exact"/>
              <w:ind w:left="0" w:right="0"/>
              <w:rPr>
                <w:rFonts w:hint="default"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keepNext w:val="0"/>
              <w:keepLines w:val="0"/>
              <w:suppressLineNumbers w:val="0"/>
              <w:spacing w:before="0" w:beforeAutospacing="0" w:after="0" w:afterAutospacing="0" w:line="400" w:lineRule="exact"/>
              <w:ind w:left="0" w:right="0"/>
              <w:rPr>
                <w:rFonts w:hint="default" w:hAnsi="宋体" w:cs="宋体"/>
                <w:color w:val="auto"/>
              </w:rPr>
            </w:pPr>
          </w:p>
        </w:tc>
        <w:tc>
          <w:tcPr>
            <w:tcW w:w="3600" w:type="dxa"/>
            <w:tcBorders>
              <w:top w:val="single" w:color="auto" w:sz="4" w:space="0"/>
              <w:left w:val="single" w:color="auto" w:sz="4" w:space="0"/>
              <w:bottom w:val="single" w:color="auto" w:sz="4" w:space="0"/>
              <w:right w:val="single" w:color="auto" w:sz="4" w:space="0"/>
            </w:tcBorders>
          </w:tcPr>
          <w:p>
            <w:pPr>
              <w:pStyle w:val="29"/>
              <w:keepNext w:val="0"/>
              <w:keepLines w:val="0"/>
              <w:suppressLineNumbers w:val="0"/>
              <w:spacing w:before="0" w:beforeAutospacing="0" w:after="0" w:afterAutospacing="0" w:line="400" w:lineRule="exact"/>
              <w:ind w:left="0" w:right="0"/>
              <w:rPr>
                <w:rFonts w:hint="default" w:hAnsi="宋体" w:cs="宋体"/>
                <w:color w:val="auto"/>
              </w:rPr>
            </w:pPr>
          </w:p>
        </w:tc>
        <w:tc>
          <w:tcPr>
            <w:tcW w:w="3600" w:type="dxa"/>
            <w:tcBorders>
              <w:top w:val="single" w:color="auto" w:sz="4" w:space="0"/>
              <w:left w:val="single" w:color="auto" w:sz="4" w:space="0"/>
              <w:bottom w:val="single" w:color="auto" w:sz="4" w:space="0"/>
              <w:right w:val="single" w:color="auto" w:sz="4" w:space="0"/>
            </w:tcBorders>
          </w:tcPr>
          <w:p>
            <w:pPr>
              <w:pStyle w:val="29"/>
              <w:keepNext w:val="0"/>
              <w:keepLines w:val="0"/>
              <w:suppressLineNumbers w:val="0"/>
              <w:spacing w:before="0" w:beforeAutospacing="0" w:after="0" w:afterAutospacing="0" w:line="400" w:lineRule="exact"/>
              <w:ind w:left="0" w:right="0"/>
              <w:rPr>
                <w:rFonts w:hint="default" w:hAnsi="宋体" w:cs="宋体"/>
                <w:color w:val="auto"/>
              </w:rPr>
            </w:pPr>
          </w:p>
        </w:tc>
        <w:tc>
          <w:tcPr>
            <w:tcW w:w="1573" w:type="dxa"/>
            <w:tcBorders>
              <w:top w:val="single" w:color="auto" w:sz="4" w:space="0"/>
              <w:left w:val="single" w:color="auto" w:sz="4" w:space="0"/>
              <w:bottom w:val="single" w:color="auto" w:sz="4" w:space="0"/>
              <w:right w:val="single" w:color="auto" w:sz="4" w:space="0"/>
            </w:tcBorders>
          </w:tcPr>
          <w:p>
            <w:pPr>
              <w:pStyle w:val="29"/>
              <w:keepNext w:val="0"/>
              <w:keepLines w:val="0"/>
              <w:suppressLineNumbers w:val="0"/>
              <w:spacing w:before="0" w:beforeAutospacing="0" w:after="0" w:afterAutospacing="0" w:line="400" w:lineRule="exact"/>
              <w:ind w:left="0" w:right="0"/>
              <w:rPr>
                <w:rFonts w:hint="default" w:hAnsi="宋体" w:cs="宋体"/>
                <w:color w:val="auto"/>
              </w:rPr>
            </w:pPr>
          </w:p>
        </w:tc>
      </w:tr>
    </w:tbl>
    <w:p>
      <w:pPr>
        <w:snapToGrid w:val="0"/>
        <w:spacing w:line="400" w:lineRule="exact"/>
        <w:ind w:firstLine="420" w:firstLineChars="200"/>
        <w:jc w:val="left"/>
        <w:rPr>
          <w:rFonts w:ascii="宋体" w:hAnsi="宋体" w:cs="宋体"/>
          <w:color w:val="auto"/>
          <w:szCs w:val="21"/>
          <w:u w:val="single"/>
        </w:rPr>
      </w:pPr>
    </w:p>
    <w:p>
      <w:pPr>
        <w:pStyle w:val="20"/>
        <w:spacing w:line="400" w:lineRule="exact"/>
        <w:ind w:firstLine="422" w:firstLineChars="200"/>
        <w:rPr>
          <w:rFonts w:ascii="宋体" w:hAnsi="宋体" w:cs="宋体"/>
          <w:color w:val="auto"/>
          <w:sz w:val="21"/>
          <w:szCs w:val="21"/>
        </w:rPr>
      </w:pPr>
      <w:r>
        <w:rPr>
          <w:rFonts w:hint="eastAsia" w:ascii="宋体" w:hAnsi="宋体" w:cs="宋体"/>
          <w:color w:val="auto"/>
          <w:sz w:val="21"/>
          <w:szCs w:val="21"/>
        </w:rPr>
        <w:t>注：投标人应根据投标设备的性能指标、对照招标文件要求在技术响应表中详细列明招标要求及投标设备技术规格的响应情况，并填写“</w:t>
      </w:r>
      <w:r>
        <w:rPr>
          <w:rFonts w:hint="eastAsia" w:ascii="宋体" w:hAnsi="宋体" w:cs="宋体"/>
          <w:color w:val="auto"/>
        </w:rPr>
        <w:t>偏离说明”。</w:t>
      </w:r>
      <w:r>
        <w:rPr>
          <w:rFonts w:hint="eastAsia" w:ascii="宋体" w:hAnsi="宋体" w:cs="宋体"/>
          <w:color w:val="auto"/>
          <w:sz w:val="21"/>
          <w:szCs w:val="21"/>
        </w:rPr>
        <w:t>“偏离说明”栏注明“正偏离”、“负偏离”或“无偏离”。投标技术规格与招标要求相同的为无偏离，投标技术规格高于招标要求的为正偏离，低于招标要求的为负偏离。</w:t>
      </w:r>
    </w:p>
    <w:p>
      <w:pPr>
        <w:snapToGrid w:val="0"/>
        <w:spacing w:line="400" w:lineRule="exact"/>
        <w:ind w:firstLine="500" w:firstLineChars="200"/>
        <w:rPr>
          <w:rFonts w:ascii="宋体" w:hAnsi="宋体" w:cs="宋体"/>
          <w:color w:val="auto"/>
          <w:spacing w:val="20"/>
          <w:szCs w:val="21"/>
        </w:rPr>
      </w:pPr>
    </w:p>
    <w:p>
      <w:pPr>
        <w:snapToGrid w:val="0"/>
        <w:spacing w:line="400" w:lineRule="exact"/>
        <w:ind w:firstLine="500" w:firstLineChars="200"/>
        <w:jc w:val="left"/>
        <w:rPr>
          <w:rFonts w:ascii="宋体" w:hAnsi="宋体" w:cs="宋体"/>
          <w:color w:val="auto"/>
          <w:spacing w:val="20"/>
          <w:szCs w:val="21"/>
        </w:rPr>
      </w:pPr>
      <w:r>
        <w:rPr>
          <w:rFonts w:hint="eastAsia" w:ascii="宋体" w:hAnsi="宋体" w:cs="宋体"/>
          <w:color w:val="auto"/>
          <w:spacing w:val="20"/>
          <w:szCs w:val="21"/>
        </w:rPr>
        <w:t>投标人（盖章）：</w:t>
      </w:r>
    </w:p>
    <w:p>
      <w:pPr>
        <w:snapToGrid w:val="0"/>
        <w:spacing w:line="400" w:lineRule="exact"/>
        <w:ind w:firstLine="525" w:firstLineChars="250"/>
        <w:jc w:val="left"/>
        <w:rPr>
          <w:rFonts w:ascii="宋体" w:hAnsi="宋体" w:cs="宋体"/>
          <w:color w:val="auto"/>
          <w:spacing w:val="20"/>
          <w:szCs w:val="21"/>
          <w:u w:val="single"/>
        </w:rPr>
      </w:pPr>
      <w:r>
        <w:rPr>
          <w:rFonts w:hint="eastAsia" w:ascii="宋体" w:hAnsi="宋体" w:cs="宋体"/>
          <w:color w:val="auto"/>
          <w:szCs w:val="21"/>
        </w:rPr>
        <w:t>法定代表人或委托代理人</w:t>
      </w:r>
      <w:r>
        <w:rPr>
          <w:rFonts w:hint="eastAsia" w:ascii="宋体" w:hAnsi="宋体" w:cs="宋体"/>
          <w:color w:val="auto"/>
        </w:rPr>
        <w:t>（签字或盖章）</w:t>
      </w:r>
      <w:r>
        <w:rPr>
          <w:rFonts w:hint="eastAsia" w:ascii="宋体" w:hAnsi="宋体" w:cs="宋体"/>
          <w:color w:val="auto"/>
          <w:spacing w:val="20"/>
          <w:szCs w:val="21"/>
        </w:rPr>
        <w:t>：</w:t>
      </w:r>
    </w:p>
    <w:p>
      <w:pPr>
        <w:snapToGrid w:val="0"/>
        <w:spacing w:line="400" w:lineRule="exact"/>
        <w:ind w:firstLine="500" w:firstLineChars="200"/>
        <w:jc w:val="left"/>
        <w:rPr>
          <w:rFonts w:ascii="宋体" w:hAnsi="宋体" w:cs="宋体"/>
          <w:color w:val="auto"/>
          <w:szCs w:val="21"/>
        </w:rPr>
      </w:pPr>
      <w:r>
        <w:rPr>
          <w:rFonts w:hint="eastAsia" w:ascii="宋体" w:hAnsi="宋体" w:cs="宋体"/>
          <w:color w:val="auto"/>
          <w:spacing w:val="20"/>
          <w:szCs w:val="21"/>
        </w:rPr>
        <w:t>日 期：</w:t>
      </w:r>
    </w:p>
    <w:p>
      <w:pPr>
        <w:snapToGrid w:val="0"/>
        <w:spacing w:line="400" w:lineRule="exact"/>
        <w:jc w:val="left"/>
        <w:rPr>
          <w:rFonts w:ascii="宋体" w:hAnsi="宋体" w:cs="宋体"/>
          <w:color w:val="auto"/>
          <w:szCs w:val="21"/>
        </w:rPr>
      </w:pPr>
    </w:p>
    <w:p>
      <w:pPr>
        <w:snapToGrid w:val="0"/>
        <w:spacing w:line="400" w:lineRule="exact"/>
        <w:ind w:firstLine="420" w:firstLineChars="200"/>
        <w:jc w:val="left"/>
        <w:rPr>
          <w:rFonts w:ascii="宋体" w:hAnsi="宋体" w:cs="宋体"/>
          <w:color w:val="auto"/>
          <w:szCs w:val="21"/>
        </w:rPr>
      </w:pPr>
    </w:p>
    <w:p>
      <w:pPr>
        <w:snapToGrid w:val="0"/>
        <w:spacing w:line="400" w:lineRule="exact"/>
        <w:ind w:firstLine="420" w:firstLineChars="200"/>
        <w:jc w:val="left"/>
        <w:rPr>
          <w:rFonts w:ascii="宋体" w:hAnsi="宋体" w:cs="宋体"/>
          <w:color w:val="auto"/>
          <w:szCs w:val="21"/>
        </w:rPr>
      </w:pPr>
    </w:p>
    <w:p>
      <w:pPr>
        <w:snapToGrid w:val="0"/>
        <w:spacing w:line="400" w:lineRule="exact"/>
        <w:ind w:firstLine="420" w:firstLineChars="200"/>
        <w:jc w:val="left"/>
        <w:rPr>
          <w:rFonts w:ascii="宋体" w:hAnsi="宋体" w:cs="宋体"/>
          <w:color w:val="auto"/>
          <w:szCs w:val="21"/>
        </w:rPr>
      </w:pPr>
    </w:p>
    <w:p>
      <w:pPr>
        <w:snapToGrid w:val="0"/>
        <w:spacing w:line="400" w:lineRule="exact"/>
        <w:ind w:firstLine="420" w:firstLineChars="200"/>
        <w:jc w:val="left"/>
        <w:rPr>
          <w:rFonts w:ascii="宋体" w:hAnsi="宋体" w:cs="宋体"/>
          <w:color w:val="auto"/>
          <w:szCs w:val="21"/>
        </w:rPr>
      </w:pPr>
    </w:p>
    <w:p>
      <w:pPr>
        <w:snapToGrid w:val="0"/>
        <w:spacing w:line="400" w:lineRule="exact"/>
        <w:ind w:firstLine="420" w:firstLineChars="200"/>
        <w:jc w:val="left"/>
        <w:rPr>
          <w:rFonts w:ascii="宋体" w:hAnsi="宋体" w:cs="宋体"/>
          <w:color w:val="auto"/>
          <w:szCs w:val="21"/>
        </w:rPr>
      </w:pPr>
    </w:p>
    <w:p>
      <w:pPr>
        <w:snapToGrid w:val="0"/>
        <w:spacing w:before="50" w:afterLines="50"/>
        <w:jc w:val="left"/>
        <w:rPr>
          <w:rFonts w:ascii="宋体" w:hAnsi="宋体" w:cs="宋体"/>
          <w:color w:val="auto"/>
          <w:szCs w:val="21"/>
        </w:rPr>
      </w:pPr>
      <w:r>
        <w:rPr>
          <w:rFonts w:hint="eastAsia" w:ascii="宋体" w:hAnsi="宋体" w:cs="宋体"/>
          <w:color w:val="auto"/>
          <w:szCs w:val="21"/>
        </w:rPr>
        <w:t>说明：若此表由多页构成，应组逐页加盖投标人公章或由法定代表人或授权代表签名。</w:t>
      </w:r>
    </w:p>
    <w:p>
      <w:pPr>
        <w:snapToGrid w:val="0"/>
        <w:spacing w:line="400" w:lineRule="exact"/>
        <w:jc w:val="left"/>
        <w:rPr>
          <w:rFonts w:ascii="宋体" w:hAnsi="宋体" w:cs="宋体"/>
          <w:color w:val="auto"/>
          <w:szCs w:val="21"/>
        </w:rPr>
      </w:pPr>
    </w:p>
    <w:p>
      <w:pPr>
        <w:snapToGrid w:val="0"/>
        <w:spacing w:line="400" w:lineRule="exact"/>
        <w:ind w:firstLine="420" w:firstLineChars="200"/>
        <w:jc w:val="left"/>
        <w:rPr>
          <w:rFonts w:ascii="宋体" w:hAnsi="宋体" w:cs="宋体"/>
          <w:color w:val="auto"/>
          <w:szCs w:val="21"/>
        </w:rPr>
      </w:pPr>
    </w:p>
    <w:p>
      <w:pPr>
        <w:pStyle w:val="29"/>
        <w:rPr>
          <w:rFonts w:hAnsi="宋体" w:cs="宋体"/>
          <w:color w:val="auto"/>
        </w:rPr>
      </w:pPr>
    </w:p>
    <w:p>
      <w:pPr>
        <w:pStyle w:val="29"/>
        <w:rPr>
          <w:rFonts w:hAnsi="宋体" w:cs="宋体"/>
          <w:color w:val="auto"/>
        </w:rPr>
      </w:pPr>
      <w:r>
        <w:rPr>
          <w:rFonts w:hint="eastAsia" w:hAnsi="宋体" w:cs="宋体"/>
          <w:color w:val="auto"/>
        </w:rPr>
        <w:t>4）技术服务、技术培训、售后服务的内容（格式自拟）</w:t>
      </w:r>
    </w:p>
    <w:p>
      <w:pPr>
        <w:pStyle w:val="29"/>
        <w:rPr>
          <w:rFonts w:hAnsi="宋体" w:cs="宋体"/>
          <w:color w:val="auto"/>
        </w:rPr>
      </w:pPr>
    </w:p>
    <w:p>
      <w:pPr>
        <w:pStyle w:val="29"/>
        <w:rPr>
          <w:rFonts w:hAnsi="宋体" w:cs="宋体"/>
          <w:color w:val="auto"/>
        </w:rPr>
      </w:pPr>
    </w:p>
    <w:p>
      <w:pPr>
        <w:pStyle w:val="191"/>
        <w:spacing w:line="400" w:lineRule="exact"/>
        <w:outlineLvl w:val="4"/>
        <w:rPr>
          <w:rFonts w:hAnsi="宋体" w:cs="宋体"/>
          <w:color w:val="auto"/>
        </w:rPr>
      </w:pPr>
    </w:p>
    <w:p>
      <w:pPr>
        <w:pStyle w:val="191"/>
        <w:spacing w:line="400" w:lineRule="exact"/>
        <w:outlineLvl w:val="4"/>
        <w:rPr>
          <w:rFonts w:hAnsi="宋体" w:cs="宋体"/>
          <w:color w:val="auto"/>
        </w:rPr>
      </w:pPr>
    </w:p>
    <w:p>
      <w:pPr>
        <w:pStyle w:val="191"/>
        <w:spacing w:line="400" w:lineRule="exact"/>
        <w:outlineLvl w:val="4"/>
        <w:rPr>
          <w:rFonts w:hAnsi="宋体" w:cs="宋体"/>
          <w:color w:val="auto"/>
        </w:rPr>
      </w:pPr>
      <w:r>
        <w:rPr>
          <w:rFonts w:hint="eastAsia" w:hAnsi="宋体" w:cs="宋体"/>
          <w:color w:val="auto"/>
        </w:rPr>
        <w:t>5）优惠条件；</w:t>
      </w:r>
    </w:p>
    <w:p>
      <w:pPr>
        <w:pStyle w:val="29"/>
        <w:rPr>
          <w:rFonts w:hAnsi="宋体" w:cs="宋体"/>
          <w:color w:val="auto"/>
        </w:rPr>
      </w:pPr>
    </w:p>
    <w:p>
      <w:pPr>
        <w:pStyle w:val="29"/>
        <w:rPr>
          <w:rFonts w:hAnsi="宋体" w:cs="宋体"/>
          <w:color w:val="auto"/>
        </w:rPr>
      </w:pPr>
    </w:p>
    <w:p>
      <w:pPr>
        <w:pStyle w:val="29"/>
        <w:rPr>
          <w:rFonts w:hAnsi="宋体" w:cs="宋体"/>
          <w:color w:val="auto"/>
        </w:rPr>
      </w:pPr>
    </w:p>
    <w:p>
      <w:pPr>
        <w:pStyle w:val="29"/>
        <w:rPr>
          <w:rFonts w:hAnsi="宋体" w:cs="宋体"/>
          <w:color w:val="auto"/>
        </w:rPr>
      </w:pPr>
    </w:p>
    <w:p>
      <w:pPr>
        <w:pStyle w:val="29"/>
        <w:rPr>
          <w:rFonts w:hAnsi="宋体" w:cs="宋体"/>
          <w:color w:val="auto"/>
        </w:rPr>
      </w:pPr>
    </w:p>
    <w:p>
      <w:pPr>
        <w:pStyle w:val="29"/>
        <w:rPr>
          <w:rFonts w:hAnsi="宋体" w:cs="宋体"/>
          <w:color w:val="auto"/>
        </w:rPr>
      </w:pPr>
    </w:p>
    <w:p>
      <w:pPr>
        <w:pStyle w:val="29"/>
        <w:rPr>
          <w:rFonts w:hAnsi="宋体" w:cs="宋体"/>
          <w:color w:val="auto"/>
        </w:rPr>
      </w:pPr>
    </w:p>
    <w:p>
      <w:pPr>
        <w:pStyle w:val="191"/>
        <w:spacing w:line="400" w:lineRule="exact"/>
        <w:outlineLvl w:val="4"/>
        <w:rPr>
          <w:rFonts w:hAnsi="宋体" w:cs="宋体"/>
          <w:color w:val="auto"/>
        </w:rPr>
      </w:pPr>
      <w:r>
        <w:rPr>
          <w:rFonts w:hint="eastAsia" w:hAnsi="宋体" w:cs="宋体"/>
          <w:color w:val="auto"/>
        </w:rPr>
        <w:t>6）投标人需要说明的其他文件和说明；</w:t>
      </w:r>
    </w:p>
    <w:p>
      <w:pPr>
        <w:pStyle w:val="29"/>
        <w:rPr>
          <w:rFonts w:hAnsi="宋体" w:cs="宋体"/>
          <w:color w:val="auto"/>
        </w:rPr>
      </w:pPr>
    </w:p>
    <w:p>
      <w:pPr>
        <w:pStyle w:val="29"/>
        <w:rPr>
          <w:rFonts w:hAnsi="宋体" w:cs="宋体"/>
          <w:color w:val="auto"/>
        </w:rPr>
      </w:pPr>
    </w:p>
    <w:p>
      <w:pPr>
        <w:pStyle w:val="29"/>
        <w:rPr>
          <w:rFonts w:hAnsi="宋体" w:cs="宋体"/>
          <w:color w:val="auto"/>
        </w:rPr>
      </w:pPr>
    </w:p>
    <w:p>
      <w:pPr>
        <w:pStyle w:val="29"/>
        <w:rPr>
          <w:rFonts w:hAnsi="宋体" w:cs="宋体"/>
          <w:color w:val="auto"/>
        </w:rPr>
      </w:pPr>
    </w:p>
    <w:p>
      <w:pPr>
        <w:pStyle w:val="29"/>
        <w:rPr>
          <w:rFonts w:hAnsi="宋体" w:cs="宋体"/>
          <w:color w:val="auto"/>
        </w:rPr>
      </w:pPr>
    </w:p>
    <w:p>
      <w:pPr>
        <w:pStyle w:val="29"/>
        <w:rPr>
          <w:rFonts w:hAnsi="宋体" w:cs="宋体"/>
          <w:color w:val="auto"/>
        </w:rPr>
      </w:pPr>
    </w:p>
    <w:p>
      <w:pPr>
        <w:pStyle w:val="29"/>
        <w:rPr>
          <w:rFonts w:hAnsi="宋体" w:cs="宋体"/>
          <w:color w:val="auto"/>
        </w:rPr>
      </w:pPr>
    </w:p>
    <w:p>
      <w:pPr>
        <w:pStyle w:val="191"/>
        <w:spacing w:line="400" w:lineRule="exact"/>
        <w:outlineLvl w:val="4"/>
        <w:rPr>
          <w:rFonts w:hAnsi="宋体" w:cs="宋体"/>
          <w:color w:val="auto"/>
        </w:rPr>
      </w:pPr>
      <w:r>
        <w:rPr>
          <w:rFonts w:hint="eastAsia" w:hAnsi="宋体" w:cs="宋体"/>
          <w:color w:val="auto"/>
        </w:rPr>
        <w:t>▲7）采购需求和说明中要求必须提供的材料(如有规定，则必须提供)。</w:t>
      </w:r>
    </w:p>
    <w:p>
      <w:pPr>
        <w:snapToGrid w:val="0"/>
        <w:spacing w:line="400" w:lineRule="exact"/>
        <w:ind w:firstLine="422" w:firstLineChars="200"/>
        <w:jc w:val="left"/>
        <w:rPr>
          <w:rFonts w:ascii="宋体" w:hAnsi="宋体" w:cs="宋体"/>
          <w:b/>
          <w:bCs/>
          <w:color w:val="auto"/>
          <w:szCs w:val="21"/>
        </w:rPr>
      </w:pPr>
    </w:p>
    <w:p>
      <w:pPr>
        <w:pStyle w:val="29"/>
        <w:rPr>
          <w:rFonts w:hAnsi="宋体" w:cs="宋体"/>
          <w:b/>
          <w:bCs/>
          <w:color w:val="auto"/>
        </w:rPr>
      </w:pPr>
    </w:p>
    <w:p>
      <w:pPr>
        <w:pStyle w:val="29"/>
        <w:spacing w:line="360" w:lineRule="auto"/>
        <w:ind w:left="1120" w:hanging="1120"/>
        <w:rPr>
          <w:rFonts w:hAnsi="宋体" w:cs="宋体"/>
          <w:b/>
          <w:bCs/>
          <w:color w:val="auto"/>
        </w:rPr>
      </w:pPr>
    </w:p>
    <w:p>
      <w:pPr>
        <w:pStyle w:val="29"/>
        <w:spacing w:line="360" w:lineRule="auto"/>
        <w:ind w:left="1120" w:hanging="1120"/>
        <w:rPr>
          <w:rFonts w:hAnsi="宋体" w:cs="宋体"/>
          <w:b/>
          <w:bCs/>
          <w:color w:val="auto"/>
        </w:rPr>
      </w:pPr>
    </w:p>
    <w:p>
      <w:pPr>
        <w:pStyle w:val="29"/>
        <w:spacing w:line="400" w:lineRule="exact"/>
        <w:ind w:left="1120" w:hanging="1120"/>
        <w:rPr>
          <w:rFonts w:hAnsi="宋体" w:cs="宋体"/>
          <w:b/>
          <w:bCs/>
          <w:color w:val="auto"/>
          <w:szCs w:val="28"/>
        </w:rPr>
      </w:pPr>
    </w:p>
    <w:p>
      <w:pPr>
        <w:pStyle w:val="29"/>
        <w:spacing w:line="400" w:lineRule="exact"/>
        <w:ind w:left="1120" w:hanging="1120"/>
        <w:rPr>
          <w:rFonts w:hAnsi="宋体" w:cs="宋体"/>
          <w:b/>
          <w:bCs/>
          <w:color w:val="auto"/>
          <w:szCs w:val="28"/>
        </w:rPr>
      </w:pPr>
    </w:p>
    <w:p>
      <w:pPr>
        <w:pStyle w:val="29"/>
        <w:spacing w:line="400" w:lineRule="exact"/>
        <w:ind w:left="1120" w:hanging="1120"/>
        <w:rPr>
          <w:rFonts w:hAnsi="宋体" w:cs="宋体"/>
          <w:b/>
          <w:bCs/>
          <w:color w:val="auto"/>
          <w:szCs w:val="28"/>
        </w:rPr>
      </w:pPr>
      <w:r>
        <w:rPr>
          <w:rFonts w:hint="eastAsia" w:hAnsi="宋体" w:cs="宋体"/>
          <w:b/>
          <w:bCs/>
          <w:color w:val="auto"/>
          <w:szCs w:val="28"/>
        </w:rPr>
        <w:br w:type="page"/>
      </w:r>
    </w:p>
    <w:p>
      <w:pPr>
        <w:pStyle w:val="29"/>
        <w:snapToGrid w:val="0"/>
        <w:jc w:val="center"/>
        <w:rPr>
          <w:rFonts w:hAnsi="宋体" w:cs="宋体"/>
          <w:b/>
          <w:color w:val="auto"/>
          <w:sz w:val="44"/>
          <w:szCs w:val="44"/>
        </w:rPr>
      </w:pPr>
    </w:p>
    <w:p>
      <w:pPr>
        <w:pStyle w:val="29"/>
        <w:snapToGrid w:val="0"/>
        <w:jc w:val="center"/>
        <w:rPr>
          <w:rFonts w:hAnsi="宋体" w:cs="宋体"/>
          <w:b/>
          <w:color w:val="auto"/>
          <w:sz w:val="44"/>
          <w:szCs w:val="44"/>
        </w:rPr>
      </w:pPr>
    </w:p>
    <w:p>
      <w:pPr>
        <w:pStyle w:val="29"/>
        <w:snapToGrid w:val="0"/>
        <w:jc w:val="center"/>
        <w:rPr>
          <w:rFonts w:hAnsi="宋体" w:cs="宋体"/>
          <w:b/>
          <w:color w:val="auto"/>
          <w:sz w:val="44"/>
          <w:szCs w:val="44"/>
        </w:rPr>
      </w:pPr>
    </w:p>
    <w:p>
      <w:pPr>
        <w:pStyle w:val="29"/>
        <w:snapToGrid w:val="0"/>
        <w:jc w:val="center"/>
        <w:rPr>
          <w:rFonts w:hAnsi="宋体" w:cs="宋体"/>
          <w:b/>
          <w:color w:val="auto"/>
          <w:sz w:val="44"/>
          <w:szCs w:val="44"/>
        </w:rPr>
      </w:pPr>
    </w:p>
    <w:p>
      <w:pPr>
        <w:pStyle w:val="29"/>
        <w:snapToGrid w:val="0"/>
        <w:jc w:val="center"/>
        <w:rPr>
          <w:rFonts w:hAnsi="宋体" w:cs="宋体"/>
          <w:b/>
          <w:color w:val="auto"/>
          <w:sz w:val="44"/>
          <w:szCs w:val="44"/>
        </w:rPr>
      </w:pPr>
    </w:p>
    <w:p>
      <w:pPr>
        <w:pStyle w:val="29"/>
        <w:snapToGrid w:val="0"/>
        <w:jc w:val="center"/>
        <w:rPr>
          <w:rFonts w:hAnsi="宋体" w:cs="宋体"/>
          <w:b/>
          <w:color w:val="auto"/>
          <w:sz w:val="44"/>
          <w:szCs w:val="44"/>
        </w:rPr>
      </w:pPr>
    </w:p>
    <w:p>
      <w:pPr>
        <w:pStyle w:val="29"/>
        <w:snapToGrid w:val="0"/>
        <w:jc w:val="center"/>
        <w:rPr>
          <w:rFonts w:hAnsi="宋体" w:cs="宋体"/>
          <w:b/>
          <w:color w:val="auto"/>
          <w:sz w:val="44"/>
          <w:szCs w:val="44"/>
        </w:rPr>
      </w:pPr>
    </w:p>
    <w:p>
      <w:pPr>
        <w:pStyle w:val="29"/>
        <w:snapToGrid w:val="0"/>
        <w:jc w:val="center"/>
        <w:rPr>
          <w:rFonts w:hAnsi="宋体" w:cs="宋体"/>
          <w:b/>
          <w:color w:val="auto"/>
          <w:sz w:val="44"/>
          <w:szCs w:val="44"/>
        </w:rPr>
      </w:pPr>
    </w:p>
    <w:p>
      <w:pPr>
        <w:pStyle w:val="29"/>
        <w:snapToGrid w:val="0"/>
        <w:jc w:val="center"/>
        <w:rPr>
          <w:rFonts w:hAnsi="宋体" w:cs="宋体"/>
          <w:b/>
          <w:color w:val="auto"/>
          <w:sz w:val="44"/>
          <w:szCs w:val="44"/>
        </w:rPr>
      </w:pPr>
    </w:p>
    <w:p>
      <w:pPr>
        <w:pStyle w:val="29"/>
        <w:snapToGrid w:val="0"/>
        <w:jc w:val="center"/>
        <w:rPr>
          <w:rFonts w:hAnsi="宋体" w:cs="宋体"/>
          <w:b/>
          <w:color w:val="auto"/>
          <w:sz w:val="44"/>
          <w:szCs w:val="44"/>
        </w:rPr>
      </w:pPr>
    </w:p>
    <w:p>
      <w:pPr>
        <w:pStyle w:val="29"/>
        <w:snapToGrid w:val="0"/>
        <w:jc w:val="center"/>
        <w:rPr>
          <w:rFonts w:hAnsi="宋体" w:cs="宋体"/>
          <w:b/>
          <w:color w:val="auto"/>
          <w:sz w:val="44"/>
          <w:szCs w:val="44"/>
        </w:rPr>
      </w:pPr>
    </w:p>
    <w:p>
      <w:pPr>
        <w:pStyle w:val="143"/>
        <w:widowControl w:val="0"/>
        <w:spacing w:afterLines="0"/>
        <w:ind w:firstLine="0" w:firstLineChars="0"/>
        <w:jc w:val="center"/>
        <w:outlineLvl w:val="0"/>
        <w:rPr>
          <w:rFonts w:ascii="宋体" w:hAnsi="宋体" w:cs="宋体"/>
          <w:b/>
          <w:color w:val="auto"/>
          <w:sz w:val="44"/>
          <w:szCs w:val="44"/>
        </w:rPr>
      </w:pPr>
      <w:bookmarkStart w:id="129" w:name="_Toc15690"/>
      <w:bookmarkStart w:id="130" w:name="_Toc494352131"/>
      <w:r>
        <w:rPr>
          <w:rFonts w:hint="eastAsia" w:ascii="宋体" w:hAnsi="宋体" w:cs="宋体"/>
          <w:b/>
          <w:color w:val="auto"/>
          <w:sz w:val="44"/>
          <w:szCs w:val="44"/>
        </w:rPr>
        <w:t>第六章  评标方法及评定标准</w:t>
      </w:r>
      <w:bookmarkEnd w:id="129"/>
      <w:bookmarkEnd w:id="130"/>
    </w:p>
    <w:p>
      <w:pPr>
        <w:pStyle w:val="29"/>
        <w:spacing w:line="360" w:lineRule="exact"/>
        <w:rPr>
          <w:rFonts w:hAnsi="宋体" w:cs="宋体"/>
          <w:b/>
          <w:bCs/>
          <w:color w:val="auto"/>
        </w:rPr>
      </w:pPr>
      <w:bookmarkStart w:id="131" w:name="_Toc254970549"/>
      <w:bookmarkStart w:id="132" w:name="_Toc254970690"/>
    </w:p>
    <w:p>
      <w:pPr>
        <w:pStyle w:val="29"/>
        <w:spacing w:line="360" w:lineRule="exact"/>
        <w:rPr>
          <w:rFonts w:hAnsi="宋体" w:cs="宋体"/>
          <w:b/>
          <w:bCs/>
          <w:color w:val="auto"/>
        </w:rPr>
      </w:pPr>
    </w:p>
    <w:p>
      <w:pPr>
        <w:pStyle w:val="29"/>
        <w:spacing w:line="360" w:lineRule="exact"/>
        <w:rPr>
          <w:rFonts w:hAnsi="宋体" w:cs="宋体"/>
          <w:b/>
          <w:bCs/>
          <w:color w:val="auto"/>
        </w:rPr>
      </w:pPr>
    </w:p>
    <w:p>
      <w:pPr>
        <w:pStyle w:val="29"/>
        <w:spacing w:line="360" w:lineRule="exact"/>
        <w:rPr>
          <w:rFonts w:hAnsi="宋体" w:cs="宋体"/>
          <w:b/>
          <w:bCs/>
          <w:color w:val="auto"/>
        </w:rPr>
      </w:pPr>
    </w:p>
    <w:p>
      <w:pPr>
        <w:pStyle w:val="29"/>
        <w:spacing w:line="360" w:lineRule="exact"/>
        <w:rPr>
          <w:rFonts w:hAnsi="宋体" w:cs="宋体"/>
          <w:b/>
          <w:bCs/>
          <w:color w:val="auto"/>
        </w:rPr>
      </w:pPr>
    </w:p>
    <w:p>
      <w:pPr>
        <w:pStyle w:val="29"/>
        <w:spacing w:line="360" w:lineRule="exact"/>
        <w:rPr>
          <w:rFonts w:hAnsi="宋体" w:cs="宋体"/>
          <w:b/>
          <w:bCs/>
          <w:color w:val="auto"/>
        </w:rPr>
      </w:pPr>
    </w:p>
    <w:p>
      <w:pPr>
        <w:pStyle w:val="29"/>
        <w:spacing w:line="360" w:lineRule="exact"/>
        <w:rPr>
          <w:rFonts w:hAnsi="宋体" w:cs="宋体"/>
          <w:b/>
          <w:bCs/>
          <w:color w:val="auto"/>
        </w:rPr>
      </w:pPr>
    </w:p>
    <w:p>
      <w:pPr>
        <w:pStyle w:val="29"/>
        <w:spacing w:line="360" w:lineRule="exact"/>
        <w:rPr>
          <w:rFonts w:hAnsi="宋体" w:cs="宋体"/>
          <w:b/>
          <w:bCs/>
          <w:color w:val="auto"/>
        </w:rPr>
      </w:pPr>
    </w:p>
    <w:p>
      <w:pPr>
        <w:pStyle w:val="29"/>
        <w:spacing w:line="360" w:lineRule="exact"/>
        <w:rPr>
          <w:rFonts w:hAnsi="宋体" w:cs="宋体"/>
          <w:b/>
          <w:bCs/>
          <w:color w:val="auto"/>
        </w:rPr>
      </w:pPr>
    </w:p>
    <w:p>
      <w:pPr>
        <w:pStyle w:val="29"/>
        <w:spacing w:line="360" w:lineRule="exact"/>
        <w:rPr>
          <w:rFonts w:hAnsi="宋体" w:cs="宋体"/>
          <w:b/>
          <w:bCs/>
          <w:color w:val="auto"/>
        </w:rPr>
      </w:pPr>
    </w:p>
    <w:p>
      <w:pPr>
        <w:pStyle w:val="29"/>
        <w:spacing w:line="360" w:lineRule="exact"/>
        <w:rPr>
          <w:rFonts w:hAnsi="宋体" w:cs="宋体"/>
          <w:b/>
          <w:bCs/>
          <w:color w:val="auto"/>
        </w:rPr>
      </w:pPr>
      <w:r>
        <w:rPr>
          <w:rFonts w:hint="eastAsia" w:hAnsi="宋体" w:cs="宋体"/>
          <w:b/>
          <w:bCs/>
          <w:color w:val="auto"/>
        </w:rPr>
        <w:br w:type="page"/>
      </w:r>
    </w:p>
    <w:bookmarkEnd w:id="131"/>
    <w:bookmarkEnd w:id="132"/>
    <w:p>
      <w:pPr>
        <w:pStyle w:val="29"/>
        <w:jc w:val="center"/>
        <w:outlineLvl w:val="1"/>
        <w:rPr>
          <w:rFonts w:hAnsi="宋体" w:cs="宋体"/>
          <w:b/>
          <w:color w:val="auto"/>
          <w:kern w:val="0"/>
          <w:sz w:val="32"/>
          <w:szCs w:val="32"/>
        </w:rPr>
      </w:pPr>
      <w:bookmarkStart w:id="133" w:name="_Toc494352132"/>
      <w:bookmarkStart w:id="134" w:name="_Toc13864"/>
      <w:r>
        <w:rPr>
          <w:rFonts w:hint="eastAsia" w:hAnsi="宋体" w:cs="宋体"/>
          <w:b/>
          <w:color w:val="auto"/>
          <w:kern w:val="0"/>
          <w:sz w:val="32"/>
          <w:szCs w:val="32"/>
        </w:rPr>
        <w:t>评标方法及评定标准</w:t>
      </w:r>
      <w:bookmarkEnd w:id="133"/>
      <w:bookmarkEnd w:id="134"/>
    </w:p>
    <w:p>
      <w:pPr>
        <w:spacing w:line="400" w:lineRule="exact"/>
        <w:ind w:firstLine="422" w:firstLineChars="200"/>
        <w:rPr>
          <w:rFonts w:ascii="宋体" w:hAnsi="宋体" w:cs="宋体"/>
          <w:b/>
          <w:color w:val="auto"/>
          <w:kern w:val="0"/>
          <w:szCs w:val="21"/>
        </w:rPr>
      </w:pPr>
    </w:p>
    <w:p>
      <w:pPr>
        <w:pStyle w:val="29"/>
        <w:outlineLvl w:val="2"/>
        <w:rPr>
          <w:rFonts w:hAnsi="宋体" w:cs="宋体"/>
          <w:b/>
          <w:bCs/>
          <w:color w:val="auto"/>
          <w:kern w:val="0"/>
        </w:rPr>
      </w:pPr>
      <w:bookmarkStart w:id="135" w:name="_Toc433187409"/>
      <w:bookmarkStart w:id="136" w:name="_Toc2926"/>
      <w:r>
        <w:rPr>
          <w:rFonts w:hint="eastAsia" w:hAnsi="宋体" w:cs="宋体"/>
          <w:b/>
          <w:bCs/>
          <w:color w:val="auto"/>
          <w:kern w:val="0"/>
        </w:rPr>
        <w:t>一、评标原则</w:t>
      </w:r>
      <w:bookmarkEnd w:id="135"/>
      <w:bookmarkEnd w:id="136"/>
    </w:p>
    <w:p>
      <w:pPr>
        <w:spacing w:line="400" w:lineRule="exact"/>
        <w:ind w:firstLine="420" w:firstLineChars="200"/>
        <w:rPr>
          <w:rFonts w:ascii="宋体" w:hAnsi="宋体" w:cs="宋体"/>
          <w:color w:val="auto"/>
          <w:szCs w:val="21"/>
        </w:rPr>
      </w:pPr>
      <w:r>
        <w:rPr>
          <w:rFonts w:hint="eastAsia" w:ascii="宋体" w:hAnsi="宋体" w:cs="宋体"/>
          <w:bCs/>
          <w:color w:val="auto"/>
        </w:rPr>
        <w:t>（一）</w:t>
      </w:r>
      <w:r>
        <w:rPr>
          <w:rFonts w:hint="eastAsia" w:ascii="宋体" w:hAnsi="宋体" w:cs="宋体"/>
          <w:color w:val="auto"/>
          <w:szCs w:val="21"/>
        </w:rPr>
        <w:t>评标分三个阶段进行：</w:t>
      </w:r>
      <w:r>
        <w:rPr>
          <w:rFonts w:hint="eastAsia" w:ascii="宋体" w:hAnsi="宋体" w:cs="宋体"/>
          <w:b/>
          <w:color w:val="auto"/>
          <w:szCs w:val="21"/>
        </w:rPr>
        <w:t>第一阶段为资格审查；第二阶段为符合性评审；第三阶段为详细评审，详细评审为综合评分法。</w:t>
      </w:r>
    </w:p>
    <w:p>
      <w:pPr>
        <w:pStyle w:val="29"/>
        <w:spacing w:line="400" w:lineRule="exact"/>
        <w:ind w:firstLine="424" w:firstLineChars="202"/>
        <w:rPr>
          <w:rFonts w:hAnsi="宋体" w:cs="宋体"/>
          <w:bCs/>
          <w:color w:val="auto"/>
        </w:rPr>
      </w:pPr>
      <w:r>
        <w:rPr>
          <w:rFonts w:hint="eastAsia" w:hAnsi="宋体" w:cs="宋体"/>
          <w:bCs/>
          <w:color w:val="auto"/>
        </w:rPr>
        <w:t>（二）评标依据：评委将以</w:t>
      </w:r>
      <w:r>
        <w:rPr>
          <w:rFonts w:hint="eastAsia" w:hAnsi="宋体" w:cs="宋体"/>
          <w:color w:val="auto"/>
        </w:rPr>
        <w:t>招标文件、投标文件</w:t>
      </w:r>
      <w:r>
        <w:rPr>
          <w:rFonts w:hint="eastAsia" w:hAnsi="宋体" w:cs="宋体"/>
          <w:bCs/>
          <w:color w:val="auto"/>
        </w:rPr>
        <w:t>为评标依据。</w:t>
      </w:r>
    </w:p>
    <w:p>
      <w:pPr>
        <w:pStyle w:val="29"/>
        <w:spacing w:line="400" w:lineRule="exact"/>
        <w:ind w:firstLine="424" w:firstLineChars="202"/>
        <w:rPr>
          <w:rFonts w:hAnsi="宋体" w:cs="宋体"/>
          <w:b/>
          <w:color w:val="auto"/>
        </w:rPr>
      </w:pPr>
      <w:r>
        <w:rPr>
          <w:rFonts w:hint="eastAsia" w:hAnsi="宋体" w:cs="宋体"/>
          <w:bCs/>
          <w:color w:val="auto"/>
        </w:rPr>
        <w:t>（三）</w:t>
      </w:r>
      <w:r>
        <w:rPr>
          <w:rFonts w:hint="eastAsia" w:hAnsi="宋体" w:cs="宋体"/>
          <w:b/>
          <w:color w:val="auto"/>
        </w:rPr>
        <w:t>第一阶段资格审查</w:t>
      </w:r>
      <w:r>
        <w:rPr>
          <w:rFonts w:hint="eastAsia" w:hAnsi="宋体" w:cs="宋体"/>
          <w:bCs/>
          <w:color w:val="auto"/>
        </w:rPr>
        <w:t>：</w:t>
      </w:r>
      <w:r>
        <w:rPr>
          <w:rFonts w:hint="eastAsia" w:hAnsi="宋体" w:cs="宋体"/>
          <w:b/>
          <w:color w:val="auto"/>
        </w:rPr>
        <w:t>招标单位代表依法对投标人的资格进行审查。不合格投标人，或合格投标人不足3家时，不得进入下一步评审。</w:t>
      </w:r>
    </w:p>
    <w:p>
      <w:pPr>
        <w:pStyle w:val="29"/>
        <w:spacing w:line="400" w:lineRule="exact"/>
        <w:ind w:firstLine="426" w:firstLineChars="202"/>
        <w:rPr>
          <w:rFonts w:hAnsi="宋体" w:cs="宋体"/>
          <w:b/>
          <w:color w:val="auto"/>
        </w:rPr>
      </w:pPr>
      <w:r>
        <w:rPr>
          <w:rFonts w:hint="eastAsia" w:hAnsi="宋体" w:cs="宋体"/>
          <w:b/>
          <w:color w:val="auto"/>
        </w:rPr>
        <w:t>第二阶段符合性评审：评标委员会依法对投标文件的符合性进行审查，投标文件未通过符合性审查的，不得进行详细评审。</w:t>
      </w:r>
    </w:p>
    <w:p>
      <w:pPr>
        <w:pStyle w:val="29"/>
        <w:spacing w:line="400" w:lineRule="exact"/>
        <w:ind w:firstLine="426" w:firstLineChars="202"/>
        <w:rPr>
          <w:rFonts w:hAnsi="宋体" w:cs="宋体"/>
          <w:bCs/>
          <w:color w:val="auto"/>
        </w:rPr>
      </w:pPr>
      <w:r>
        <w:rPr>
          <w:rFonts w:hint="eastAsia" w:hAnsi="宋体" w:cs="宋体"/>
          <w:b/>
          <w:color w:val="auto"/>
        </w:rPr>
        <w:t>第三阶段详细评审：评标委员会按照评标办法依法对投标文件进行详细评审。</w:t>
      </w:r>
    </w:p>
    <w:p>
      <w:pPr>
        <w:pStyle w:val="29"/>
        <w:spacing w:line="400" w:lineRule="exact"/>
        <w:ind w:firstLine="424" w:firstLineChars="202"/>
        <w:rPr>
          <w:rFonts w:hAnsi="宋体" w:cs="宋体"/>
          <w:b/>
          <w:bCs/>
          <w:color w:val="auto"/>
        </w:rPr>
      </w:pPr>
      <w:r>
        <w:rPr>
          <w:rFonts w:hint="eastAsia" w:hAnsi="宋体" w:cs="宋体"/>
          <w:bCs/>
          <w:color w:val="auto"/>
        </w:rPr>
        <w:t>（四）评标委员会构成：</w:t>
      </w:r>
      <w:r>
        <w:rPr>
          <w:rFonts w:hint="eastAsia" w:hAnsi="宋体" w:cs="宋体"/>
          <w:bCs/>
          <w:color w:val="auto"/>
          <w:u w:val="single"/>
        </w:rPr>
        <w:t xml:space="preserve"> 5  </w:t>
      </w:r>
      <w:r>
        <w:rPr>
          <w:rFonts w:hint="eastAsia" w:hAnsi="宋体" w:cs="宋体"/>
          <w:bCs/>
          <w:color w:val="auto"/>
        </w:rPr>
        <w:t xml:space="preserve">人，其中业主评委 </w:t>
      </w:r>
      <w:r>
        <w:rPr>
          <w:rFonts w:hint="eastAsia" w:hAnsi="宋体" w:cs="宋体"/>
          <w:bCs/>
          <w:color w:val="auto"/>
          <w:u w:val="single"/>
        </w:rPr>
        <w:t xml:space="preserve"> 1 </w:t>
      </w:r>
      <w:r>
        <w:rPr>
          <w:rFonts w:hint="eastAsia" w:hAnsi="宋体" w:cs="宋体"/>
          <w:bCs/>
          <w:color w:val="auto"/>
        </w:rPr>
        <w:t xml:space="preserve">人，专家  </w:t>
      </w:r>
      <w:r>
        <w:rPr>
          <w:rFonts w:hint="eastAsia" w:hAnsi="宋体" w:cs="宋体"/>
          <w:bCs/>
          <w:color w:val="auto"/>
          <w:u w:val="single"/>
        </w:rPr>
        <w:t xml:space="preserve">4 </w:t>
      </w:r>
      <w:r>
        <w:rPr>
          <w:rFonts w:hint="eastAsia" w:hAnsi="宋体" w:cs="宋体"/>
          <w:bCs/>
          <w:color w:val="auto"/>
        </w:rPr>
        <w:t>人；</w:t>
      </w:r>
    </w:p>
    <w:p>
      <w:pPr>
        <w:pStyle w:val="29"/>
        <w:spacing w:line="400" w:lineRule="exact"/>
        <w:ind w:firstLine="424" w:firstLineChars="202"/>
        <w:rPr>
          <w:rFonts w:hAnsi="宋体" w:cs="宋体"/>
          <w:color w:val="auto"/>
        </w:rPr>
      </w:pPr>
      <w:r>
        <w:rPr>
          <w:rFonts w:hint="eastAsia" w:hAnsi="宋体" w:cs="宋体"/>
          <w:color w:val="auto"/>
        </w:rPr>
        <w:t>（五）评标方式：以不公开方式进行。</w:t>
      </w:r>
    </w:p>
    <w:p>
      <w:pPr>
        <w:spacing w:line="400" w:lineRule="exact"/>
        <w:ind w:firstLine="420" w:firstLineChars="200"/>
        <w:rPr>
          <w:rFonts w:ascii="宋体" w:hAnsi="宋体" w:cs="宋体"/>
          <w:color w:val="auto"/>
          <w:szCs w:val="21"/>
        </w:rPr>
      </w:pPr>
    </w:p>
    <w:p>
      <w:pPr>
        <w:pStyle w:val="29"/>
        <w:outlineLvl w:val="2"/>
        <w:rPr>
          <w:rFonts w:hAnsi="宋体" w:cs="宋体"/>
          <w:b/>
          <w:bCs/>
          <w:color w:val="auto"/>
          <w:kern w:val="0"/>
        </w:rPr>
      </w:pPr>
      <w:bookmarkStart w:id="137" w:name="_Toc433187411"/>
      <w:bookmarkStart w:id="138" w:name="_Toc4717"/>
      <w:r>
        <w:rPr>
          <w:rFonts w:hint="eastAsia" w:hAnsi="宋体" w:cs="宋体"/>
          <w:b/>
          <w:bCs/>
          <w:color w:val="auto"/>
          <w:kern w:val="0"/>
        </w:rPr>
        <w:t>二、评标办法</w:t>
      </w:r>
      <w:bookmarkEnd w:id="137"/>
      <w:bookmarkEnd w:id="138"/>
    </w:p>
    <w:p>
      <w:pPr>
        <w:pStyle w:val="8"/>
        <w:tabs>
          <w:tab w:val="left" w:pos="1000"/>
        </w:tabs>
        <w:spacing w:line="400" w:lineRule="exact"/>
        <w:ind w:firstLine="0"/>
        <w:rPr>
          <w:rFonts w:ascii="宋体" w:hAnsi="宋体" w:cs="宋体"/>
          <w:b/>
          <w:color w:val="auto"/>
          <w:szCs w:val="21"/>
        </w:rPr>
      </w:pPr>
      <w:r>
        <w:rPr>
          <w:rFonts w:hint="eastAsia" w:ascii="宋体" w:hAnsi="宋体" w:cs="宋体"/>
          <w:b/>
          <w:color w:val="auto"/>
          <w:szCs w:val="21"/>
        </w:rPr>
        <w:t xml:space="preserve">    （一）资格审查标准</w:t>
      </w:r>
    </w:p>
    <w:p>
      <w:pPr>
        <w:snapToGrid w:val="0"/>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1、采用合格制审查方法，按第</w:t>
      </w:r>
      <w:r>
        <w:rPr>
          <w:rFonts w:hint="eastAsia" w:ascii="宋体" w:hAnsi="宋体" w:cs="宋体"/>
          <w:b/>
          <w:color w:val="auto"/>
          <w:szCs w:val="21"/>
          <w:lang w:eastAsia="zh-CN"/>
        </w:rPr>
        <w:t>三</w:t>
      </w:r>
      <w:r>
        <w:rPr>
          <w:rFonts w:hint="eastAsia" w:ascii="宋体" w:hAnsi="宋体" w:cs="宋体"/>
          <w:b/>
          <w:color w:val="auto"/>
          <w:szCs w:val="21"/>
        </w:rPr>
        <w:t>章投标人须知</w:t>
      </w:r>
      <w:r>
        <w:rPr>
          <w:rFonts w:hint="eastAsia" w:ascii="宋体" w:hAnsi="宋体" w:cs="宋体"/>
          <w:b/>
          <w:color w:val="auto"/>
          <w:szCs w:val="21"/>
          <w:lang w:eastAsia="zh-CN"/>
        </w:rPr>
        <w:t>资格审查文件</w:t>
      </w:r>
      <w:r>
        <w:rPr>
          <w:rFonts w:hint="eastAsia" w:ascii="宋体" w:hAnsi="宋体" w:cs="宋体"/>
          <w:b/>
          <w:color w:val="auto"/>
          <w:szCs w:val="21"/>
        </w:rPr>
        <w:t>相关内容进行审查。</w:t>
      </w:r>
    </w:p>
    <w:p>
      <w:pPr>
        <w:snapToGrid w:val="0"/>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2、通过资格审查的投标人方可进入符合性评审。</w:t>
      </w:r>
    </w:p>
    <w:p>
      <w:pPr>
        <w:pStyle w:val="8"/>
        <w:tabs>
          <w:tab w:val="left" w:pos="1000"/>
        </w:tabs>
        <w:spacing w:line="400" w:lineRule="exact"/>
        <w:ind w:firstLine="0"/>
        <w:rPr>
          <w:rFonts w:ascii="宋体" w:hAnsi="宋体" w:cs="宋体"/>
          <w:b/>
          <w:color w:val="auto"/>
          <w:szCs w:val="21"/>
        </w:rPr>
      </w:pPr>
      <w:r>
        <w:rPr>
          <w:rFonts w:hint="eastAsia" w:ascii="宋体" w:hAnsi="宋体" w:cs="宋体"/>
          <w:b/>
          <w:color w:val="auto"/>
          <w:szCs w:val="21"/>
        </w:rPr>
        <w:t xml:space="preserve">    （二）符合性评审标准</w:t>
      </w:r>
    </w:p>
    <w:p>
      <w:pPr>
        <w:snapToGrid w:val="0"/>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1、符合性评审按第二章投标人须知第13.3条、第20条及第五章商务和技术文件相关内容规定进行评审。</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2、通过符合性评审的投标人方可进入详细评审。</w:t>
      </w:r>
    </w:p>
    <w:p>
      <w:pPr>
        <w:pStyle w:val="8"/>
        <w:tabs>
          <w:tab w:val="left" w:pos="1000"/>
        </w:tabs>
        <w:spacing w:line="400" w:lineRule="exact"/>
        <w:ind w:firstLine="0"/>
        <w:rPr>
          <w:rFonts w:ascii="宋体" w:hAnsi="宋体" w:cs="宋体"/>
          <w:b/>
          <w:color w:val="auto"/>
          <w:szCs w:val="21"/>
        </w:rPr>
      </w:pPr>
      <w:r>
        <w:rPr>
          <w:rFonts w:hint="eastAsia" w:ascii="宋体" w:hAnsi="宋体" w:cs="宋体"/>
          <w:b/>
          <w:color w:val="auto"/>
          <w:szCs w:val="21"/>
        </w:rPr>
        <w:t xml:space="preserve">    （三）详细评审标准</w:t>
      </w:r>
    </w:p>
    <w:p>
      <w:pPr>
        <w:snapToGrid w:val="0"/>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对进入详评的，采用百分制综合评分法。计分办法（按四舍五入取至百分位）：</w:t>
      </w:r>
    </w:p>
    <w:p>
      <w:pPr>
        <w:pStyle w:val="29"/>
        <w:spacing w:line="400" w:lineRule="exact"/>
        <w:ind w:firstLine="422" w:firstLineChars="200"/>
        <w:rPr>
          <w:rFonts w:hAnsi="宋体" w:cs="宋体"/>
          <w:b/>
          <w:color w:val="auto"/>
        </w:rPr>
      </w:pPr>
      <w:r>
        <w:rPr>
          <w:rFonts w:hint="eastAsia" w:hAnsi="宋体" w:cs="宋体"/>
          <w:b/>
          <w:color w:val="auto"/>
        </w:rPr>
        <w:t>1、投标报价分………………………………………………………………………………………30分</w:t>
      </w:r>
    </w:p>
    <w:p>
      <w:pPr>
        <w:pStyle w:val="29"/>
        <w:spacing w:line="400" w:lineRule="exact"/>
        <w:ind w:firstLine="420" w:firstLineChars="200"/>
        <w:rPr>
          <w:rFonts w:hAnsi="宋体" w:cs="宋体"/>
          <w:color w:val="auto"/>
        </w:rPr>
      </w:pPr>
      <w:bookmarkStart w:id="139" w:name="_Toc497204279"/>
      <w:bookmarkStart w:id="140" w:name="_Toc462136124"/>
      <w:r>
        <w:rPr>
          <w:rFonts w:hint="eastAsia" w:hAnsi="宋体" w:cs="宋体"/>
          <w:color w:val="auto"/>
        </w:rPr>
        <w:t>（1）</w:t>
      </w:r>
      <w:r>
        <w:rPr>
          <w:rFonts w:hint="eastAsia"/>
          <w:color w:val="auto"/>
        </w:rPr>
        <w:t>根据</w:t>
      </w:r>
      <w:r>
        <w:rPr>
          <w:rFonts w:hint="eastAsia" w:hAnsi="宋体" w:cs="宋体"/>
          <w:color w:val="auto"/>
        </w:rPr>
        <w:t>所有投标产品为小型和微型企业提供的</w:t>
      </w:r>
      <w:r>
        <w:rPr>
          <w:rFonts w:hint="eastAsia"/>
          <w:color w:val="auto"/>
        </w:rPr>
        <w:t>声明函</w:t>
      </w:r>
      <w:r>
        <w:rPr>
          <w:rFonts w:hint="eastAsia" w:hAnsi="宋体" w:cs="宋体"/>
          <w:color w:val="auto"/>
        </w:rPr>
        <w:t>，对投标人的投标价给予</w:t>
      </w:r>
      <w:r>
        <w:rPr>
          <w:rFonts w:hint="eastAsia" w:hAnsi="宋体" w:cs="宋体"/>
          <w:color w:val="auto"/>
          <w:lang w:val="en-US" w:eastAsia="zh-CN"/>
        </w:rPr>
        <w:t>10</w:t>
      </w:r>
      <w:r>
        <w:rPr>
          <w:rFonts w:hint="eastAsia" w:hAnsi="宋体" w:cs="宋体"/>
          <w:color w:val="auto"/>
        </w:rPr>
        <w:t>%的扣除，扣除后的价格为评标价，即评标价=投标价×（1-</w:t>
      </w:r>
      <w:r>
        <w:rPr>
          <w:rFonts w:hint="eastAsia" w:hAnsi="宋体" w:cs="宋体"/>
          <w:color w:val="auto"/>
          <w:lang w:val="en-US" w:eastAsia="zh-CN"/>
        </w:rPr>
        <w:t>10</w:t>
      </w:r>
      <w:r>
        <w:rPr>
          <w:rFonts w:hint="eastAsia" w:hAnsi="宋体" w:cs="宋体"/>
          <w:color w:val="auto"/>
        </w:rPr>
        <w:t>%）；除上述情况外，评标价=投标价。</w:t>
      </w:r>
    </w:p>
    <w:p>
      <w:pPr>
        <w:pStyle w:val="22"/>
        <w:spacing w:line="40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投标产品需符合《工业和信息化部、国家统计局、国家发展和改革委员会、财政部关于印发中小企业划型标准规定的通知》（工信部联企业[2011]300号）规定应当提供该通知规定的《小型、微型企业声明函》。</w:t>
      </w:r>
    </w:p>
    <w:p>
      <w:pPr>
        <w:pStyle w:val="22"/>
        <w:spacing w:line="40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与《小型、微型企业声明函》同时提供）。</w:t>
      </w:r>
    </w:p>
    <w:p>
      <w:pPr>
        <w:pStyle w:val="29"/>
        <w:spacing w:line="400" w:lineRule="exact"/>
        <w:ind w:firstLine="420" w:firstLineChars="200"/>
        <w:rPr>
          <w:rFonts w:hAnsi="宋体" w:cs="宋体"/>
          <w:bCs/>
          <w:color w:val="auto"/>
        </w:rPr>
      </w:pPr>
      <w:r>
        <w:rPr>
          <w:rFonts w:hint="eastAsia" w:hAnsi="宋体" w:cs="宋体"/>
          <w:bCs/>
          <w:color w:val="auto"/>
        </w:rPr>
        <w:t>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与《小型、微型企业声明函》同时提供）。</w:t>
      </w:r>
    </w:p>
    <w:p>
      <w:pPr>
        <w:pStyle w:val="22"/>
        <w:spacing w:line="400" w:lineRule="exact"/>
        <w:ind w:firstLine="420" w:firstLineChars="200"/>
        <w:rPr>
          <w:rFonts w:ascii="宋体" w:hAnsi="宋体" w:eastAsia="宋体" w:cs="宋体"/>
          <w:bCs/>
          <w:color w:val="auto"/>
        </w:rPr>
      </w:pPr>
      <w:r>
        <w:rPr>
          <w:rFonts w:hint="eastAsia" w:ascii="宋体" w:hAnsi="宋体" w:eastAsia="宋体" w:cs="宋体"/>
          <w:bCs/>
          <w:color w:val="auto"/>
          <w:sz w:val="21"/>
          <w:szCs w:val="21"/>
        </w:rPr>
        <w:t>小型、微型企业提供大、中型企业制造的货物的，视同为非小型、微型企业。</w:t>
      </w:r>
    </w:p>
    <w:p>
      <w:pPr>
        <w:pStyle w:val="29"/>
        <w:spacing w:line="400" w:lineRule="exact"/>
        <w:ind w:firstLine="420" w:firstLineChars="200"/>
        <w:rPr>
          <w:rFonts w:hAnsi="宋体" w:cs="宋体"/>
          <w:color w:val="auto"/>
        </w:rPr>
      </w:pPr>
      <w:r>
        <w:rPr>
          <w:rFonts w:hint="eastAsia" w:hAnsi="宋体" w:cs="宋体"/>
          <w:color w:val="auto"/>
        </w:rPr>
        <w:t>（2）以进入评标的最低的评标价为30分。</w:t>
      </w:r>
    </w:p>
    <w:p>
      <w:pPr>
        <w:pStyle w:val="29"/>
        <w:spacing w:line="400" w:lineRule="exact"/>
        <w:ind w:firstLine="420" w:firstLineChars="200"/>
        <w:rPr>
          <w:rFonts w:hAnsi="宋体" w:cs="宋体"/>
          <w:color w:val="auto"/>
        </w:rPr>
      </w:pPr>
      <w:r>
        <w:rPr>
          <w:rFonts w:hint="eastAsia" w:hAnsi="宋体" w:cs="宋体"/>
          <w:bCs/>
          <w:color w:val="auto"/>
        </w:rPr>
        <w:t>某投标人价格分 = 投标人最低报价（金额）/某投标人报价（金额） ×30分</w:t>
      </w:r>
    </w:p>
    <w:p>
      <w:pPr>
        <w:pStyle w:val="29"/>
        <w:spacing w:line="400" w:lineRule="exact"/>
        <w:jc w:val="left"/>
        <w:rPr>
          <w:rFonts w:hAnsi="宋体" w:cs="宋体"/>
          <w:b/>
          <w:color w:val="auto"/>
        </w:rPr>
      </w:pPr>
      <w:r>
        <w:rPr>
          <w:rFonts w:hint="eastAsia" w:hAnsi="宋体" w:cs="宋体"/>
          <w:b/>
          <w:color w:val="auto"/>
        </w:rPr>
        <w:t>2、设备性能分……………………………………………………………………………………20分</w:t>
      </w:r>
    </w:p>
    <w:p>
      <w:pPr>
        <w:pStyle w:val="46"/>
        <w:spacing w:line="420" w:lineRule="exact"/>
        <w:ind w:left="0" w:leftChars="0" w:firstLine="411" w:firstLineChars="196"/>
        <w:rPr>
          <w:rFonts w:ascii="宋体" w:hAnsi="宋体" w:cs="宋体"/>
          <w:color w:val="auto"/>
        </w:rPr>
      </w:pPr>
      <w:r>
        <w:rPr>
          <w:rFonts w:hint="eastAsia" w:ascii="宋体" w:hAnsi="宋体" w:cs="宋体"/>
          <w:bCs/>
          <w:color w:val="auto"/>
          <w:szCs w:val="21"/>
        </w:rPr>
        <w:t>评标时，若评标委员会认为《项目需求一览表》及附件中某个技术参数为某唯一品牌所特有或其它限制性要求的，则该参数将不作为实质性响应条件，</w:t>
      </w:r>
      <w:r>
        <w:rPr>
          <w:rFonts w:hint="eastAsia" w:ascii="宋体" w:hAnsi="宋体" w:cs="宋体"/>
          <w:b/>
          <w:bCs/>
          <w:color w:val="auto"/>
          <w:szCs w:val="21"/>
        </w:rPr>
        <w:t>将不能扣分也不能作无效投标处理。</w:t>
      </w:r>
      <w:r>
        <w:rPr>
          <w:rFonts w:hint="eastAsia" w:ascii="宋体" w:hAnsi="宋体" w:cs="宋体"/>
          <w:color w:val="auto"/>
        </w:rPr>
        <w:t>由</w:t>
      </w:r>
      <w:r>
        <w:rPr>
          <w:rFonts w:hint="eastAsia" w:ascii="宋体" w:hAnsi="宋体" w:cs="宋体"/>
          <w:bCs/>
          <w:color w:val="auto"/>
          <w:szCs w:val="21"/>
        </w:rPr>
        <w:t>评标委员会</w:t>
      </w:r>
      <w:r>
        <w:rPr>
          <w:rFonts w:hint="eastAsia" w:ascii="宋体" w:hAnsi="宋体" w:cs="宋体"/>
          <w:color w:val="auto"/>
        </w:rPr>
        <w:t>根据各投标单位提供的产品配置清单按各个产品所注明的技术参数独立评定。</w:t>
      </w:r>
    </w:p>
    <w:bookmarkEnd w:id="139"/>
    <w:bookmarkEnd w:id="140"/>
    <w:p>
      <w:pPr>
        <w:spacing w:line="360" w:lineRule="exact"/>
        <w:ind w:firstLine="525" w:firstLineChars="250"/>
        <w:rPr>
          <w:rFonts w:ascii="宋体" w:hAnsi="宋体" w:cs="宋体"/>
          <w:color w:val="auto"/>
          <w:szCs w:val="21"/>
        </w:rPr>
      </w:pPr>
      <w:bookmarkStart w:id="141" w:name="_Toc494352135"/>
      <w:r>
        <w:rPr>
          <w:rFonts w:hint="eastAsia" w:ascii="宋体" w:hAnsi="宋体" w:cs="宋体"/>
          <w:color w:val="auto"/>
          <w:szCs w:val="21"/>
        </w:rPr>
        <w:t>（1）投标产品所有产品均满足技术参数要求的，得20分。</w:t>
      </w:r>
    </w:p>
    <w:p>
      <w:pPr>
        <w:spacing w:line="360" w:lineRule="exact"/>
        <w:ind w:firstLine="525" w:firstLineChars="250"/>
        <w:rPr>
          <w:rFonts w:hAnsi="宋体" w:cs="宋体"/>
          <w:bCs/>
          <w:color w:val="auto"/>
        </w:rPr>
      </w:pPr>
      <w:r>
        <w:rPr>
          <w:rFonts w:hint="eastAsia" w:ascii="宋体" w:hAnsi="宋体" w:cs="宋体"/>
          <w:color w:val="auto"/>
          <w:szCs w:val="21"/>
        </w:rPr>
        <w:t>（2）《采购需求和说明》中带“★”参数为本次采购重要参数，投标产品一项负偏离扣5分；</w:t>
      </w:r>
      <w:r>
        <w:rPr>
          <w:rFonts w:hint="eastAsia" w:hAnsi="宋体" w:cs="宋体"/>
          <w:bCs/>
          <w:color w:val="auto"/>
        </w:rPr>
        <w:t>不带“★”参数，投标产品每项负偏离扣2分。</w:t>
      </w:r>
    </w:p>
    <w:p>
      <w:pPr>
        <w:pStyle w:val="29"/>
        <w:spacing w:line="400" w:lineRule="exact"/>
        <w:ind w:firstLine="527" w:firstLineChars="250"/>
        <w:rPr>
          <w:rFonts w:hAnsi="宋体" w:cs="宋体"/>
          <w:b/>
          <w:color w:val="auto"/>
        </w:rPr>
      </w:pPr>
      <w:r>
        <w:rPr>
          <w:rFonts w:hint="eastAsia" w:hAnsi="宋体" w:cs="宋体"/>
          <w:b/>
          <w:color w:val="auto"/>
        </w:rPr>
        <w:t>注：投标产品带“★”参数负偏离不得超过两项，否则视为投标无效。</w:t>
      </w:r>
    </w:p>
    <w:p>
      <w:pPr>
        <w:pStyle w:val="29"/>
        <w:spacing w:line="400" w:lineRule="exact"/>
        <w:outlineLvl w:val="1"/>
        <w:rPr>
          <w:rFonts w:hAnsi="宋体" w:cs="宋体"/>
          <w:b/>
          <w:bCs/>
          <w:color w:val="auto"/>
        </w:rPr>
      </w:pPr>
      <w:bookmarkStart w:id="142" w:name="_Toc21927"/>
      <w:bookmarkStart w:id="143" w:name="_Toc14427958"/>
      <w:bookmarkStart w:id="144" w:name="_Toc523235718"/>
      <w:r>
        <w:rPr>
          <w:rFonts w:hAnsi="宋体" w:cs="宋体"/>
          <w:b/>
          <w:bCs/>
          <w:color w:val="auto"/>
        </w:rPr>
        <w:t>3</w:t>
      </w:r>
      <w:r>
        <w:rPr>
          <w:rFonts w:hint="eastAsia" w:hAnsi="宋体" w:cs="宋体"/>
          <w:b/>
          <w:bCs/>
          <w:color w:val="auto"/>
        </w:rPr>
        <w:t>、供货及安装分…………………………………………………………………………………</w:t>
      </w:r>
      <w:r>
        <w:rPr>
          <w:rFonts w:hAnsi="宋体" w:cs="宋体"/>
          <w:b/>
          <w:bCs/>
          <w:color w:val="auto"/>
        </w:rPr>
        <w:t>1</w:t>
      </w:r>
      <w:r>
        <w:rPr>
          <w:rFonts w:hint="eastAsia" w:hAnsi="宋体" w:cs="宋体"/>
          <w:b/>
          <w:bCs/>
          <w:color w:val="auto"/>
        </w:rPr>
        <w:t>5分</w:t>
      </w:r>
      <w:bookmarkEnd w:id="142"/>
      <w:bookmarkEnd w:id="143"/>
    </w:p>
    <w:p>
      <w:pPr>
        <w:pStyle w:val="29"/>
        <w:spacing w:line="400" w:lineRule="exact"/>
        <w:ind w:firstLine="420"/>
        <w:outlineLvl w:val="1"/>
        <w:rPr>
          <w:rFonts w:hAnsi="宋体" w:cs="宋体"/>
          <w:bCs/>
          <w:color w:val="auto"/>
        </w:rPr>
      </w:pPr>
      <w:bookmarkStart w:id="145" w:name="_Toc32073"/>
      <w:bookmarkStart w:id="146" w:name="_Toc14427959"/>
      <w:r>
        <w:rPr>
          <w:rFonts w:hint="eastAsia" w:hAnsi="宋体" w:cs="宋体"/>
          <w:b/>
          <w:color w:val="auto"/>
        </w:rPr>
        <w:t>一档5分</w:t>
      </w:r>
      <w:r>
        <w:rPr>
          <w:rFonts w:hint="eastAsia" w:hAnsi="宋体" w:cs="宋体"/>
          <w:bCs/>
          <w:color w:val="auto"/>
        </w:rPr>
        <w:t>：方案简单、基本可行；</w:t>
      </w:r>
      <w:bookmarkEnd w:id="145"/>
      <w:bookmarkEnd w:id="146"/>
    </w:p>
    <w:p>
      <w:pPr>
        <w:pStyle w:val="29"/>
        <w:spacing w:line="400" w:lineRule="exact"/>
        <w:ind w:firstLine="420"/>
        <w:outlineLvl w:val="1"/>
        <w:rPr>
          <w:rFonts w:hAnsi="宋体" w:cs="宋体"/>
          <w:bCs/>
          <w:color w:val="auto"/>
        </w:rPr>
      </w:pPr>
      <w:bookmarkStart w:id="147" w:name="_Toc14427960"/>
      <w:bookmarkStart w:id="148" w:name="_Toc1190"/>
      <w:r>
        <w:rPr>
          <w:rFonts w:hint="eastAsia" w:hAnsi="宋体" w:cs="宋体"/>
          <w:b/>
          <w:color w:val="auto"/>
        </w:rPr>
        <w:t>二档10分</w:t>
      </w:r>
      <w:r>
        <w:rPr>
          <w:rFonts w:hint="eastAsia" w:hAnsi="宋体" w:cs="宋体"/>
          <w:bCs/>
          <w:color w:val="auto"/>
        </w:rPr>
        <w:t>：供货及安装方案较详细、可行，实施组织机构健全、实施人员配备合理充足，实施进度计划合理，能满足项目实施要求；</w:t>
      </w:r>
      <w:bookmarkEnd w:id="147"/>
      <w:bookmarkEnd w:id="148"/>
    </w:p>
    <w:p>
      <w:pPr>
        <w:pStyle w:val="29"/>
        <w:spacing w:line="400" w:lineRule="exact"/>
        <w:ind w:firstLine="420"/>
        <w:outlineLvl w:val="1"/>
        <w:rPr>
          <w:rFonts w:hAnsi="宋体" w:cs="宋体"/>
          <w:bCs/>
          <w:color w:val="auto"/>
        </w:rPr>
      </w:pPr>
      <w:bookmarkStart w:id="149" w:name="_Toc14427961"/>
      <w:bookmarkStart w:id="150" w:name="_Toc15668"/>
      <w:r>
        <w:rPr>
          <w:rFonts w:hint="eastAsia" w:hAnsi="宋体" w:cs="宋体"/>
          <w:b/>
          <w:color w:val="auto"/>
        </w:rPr>
        <w:t>三档15分</w:t>
      </w:r>
      <w:r>
        <w:rPr>
          <w:rFonts w:hint="eastAsia" w:hAnsi="宋体" w:cs="宋体"/>
          <w:bCs/>
          <w:color w:val="auto"/>
        </w:rPr>
        <w:t>：供货及安装方案详细、先进，计划周密，实施组织机构健全、人员配备充足，进度有保障，施工进度有保障，质量控制、测试及验收描述详细、可行。</w:t>
      </w:r>
      <w:bookmarkEnd w:id="149"/>
      <w:bookmarkEnd w:id="150"/>
    </w:p>
    <w:p>
      <w:pPr>
        <w:pStyle w:val="29"/>
        <w:spacing w:line="400" w:lineRule="exact"/>
        <w:ind w:firstLine="420"/>
        <w:outlineLvl w:val="1"/>
        <w:rPr>
          <w:rFonts w:hAnsi="宋体" w:cs="宋体"/>
          <w:color w:val="auto"/>
        </w:rPr>
      </w:pPr>
      <w:bookmarkStart w:id="151" w:name="_Toc14427962"/>
      <w:bookmarkStart w:id="152" w:name="_Toc2891"/>
      <w:r>
        <w:rPr>
          <w:rFonts w:hint="eastAsia" w:hAnsi="宋体" w:cs="宋体"/>
          <w:bCs/>
          <w:color w:val="auto"/>
        </w:rPr>
        <w:t>由评标委员会集体确定所属档次后独立打分。</w:t>
      </w:r>
      <w:bookmarkEnd w:id="144"/>
      <w:bookmarkEnd w:id="151"/>
      <w:bookmarkEnd w:id="152"/>
    </w:p>
    <w:p>
      <w:pPr>
        <w:pStyle w:val="29"/>
        <w:spacing w:line="400" w:lineRule="exact"/>
        <w:jc w:val="left"/>
        <w:rPr>
          <w:rFonts w:hAnsi="宋体" w:cs="宋体"/>
          <w:b/>
          <w:color w:val="auto"/>
        </w:rPr>
      </w:pPr>
      <w:r>
        <w:rPr>
          <w:rFonts w:hAnsi="宋体" w:cs="宋体"/>
          <w:b/>
          <w:color w:val="auto"/>
        </w:rPr>
        <w:t>4</w:t>
      </w:r>
      <w:r>
        <w:rPr>
          <w:rFonts w:hint="eastAsia" w:hAnsi="宋体" w:cs="宋体"/>
          <w:b/>
          <w:color w:val="auto"/>
        </w:rPr>
        <w:t>、售后服务分……………………………………………………………………………………</w:t>
      </w:r>
      <w:r>
        <w:rPr>
          <w:rFonts w:hAnsi="宋体" w:cs="宋体"/>
          <w:b/>
          <w:color w:val="auto"/>
        </w:rPr>
        <w:t>2</w:t>
      </w:r>
      <w:r>
        <w:rPr>
          <w:rFonts w:hint="eastAsia" w:hAnsi="宋体" w:cs="宋体"/>
          <w:b/>
          <w:color w:val="auto"/>
        </w:rPr>
        <w:t>5分</w:t>
      </w:r>
    </w:p>
    <w:p>
      <w:pPr>
        <w:spacing w:line="400" w:lineRule="exact"/>
        <w:ind w:firstLine="420" w:firstLineChars="200"/>
        <w:rPr>
          <w:rFonts w:ascii="宋体" w:cs="宋体"/>
          <w:bCs/>
          <w:color w:val="auto"/>
        </w:rPr>
      </w:pPr>
      <w:r>
        <w:rPr>
          <w:rFonts w:hint="eastAsia" w:ascii="宋体" w:hAnsi="宋体" w:cs="宋体"/>
          <w:bCs/>
          <w:color w:val="auto"/>
        </w:rPr>
        <w:t>（</w:t>
      </w:r>
      <w:r>
        <w:rPr>
          <w:rFonts w:ascii="宋体" w:hAnsi="宋体" w:cs="宋体"/>
          <w:bCs/>
          <w:color w:val="auto"/>
        </w:rPr>
        <w:t>1</w:t>
      </w:r>
      <w:r>
        <w:rPr>
          <w:rFonts w:hint="eastAsia" w:ascii="宋体" w:hAnsi="宋体" w:cs="宋体"/>
          <w:bCs/>
          <w:color w:val="auto"/>
        </w:rPr>
        <w:t>）售后服务分。（满分20分）</w:t>
      </w:r>
    </w:p>
    <w:p>
      <w:pPr>
        <w:tabs>
          <w:tab w:val="left" w:pos="5760"/>
        </w:tabs>
        <w:spacing w:line="400" w:lineRule="exact"/>
        <w:ind w:firstLine="422" w:firstLineChars="200"/>
        <w:rPr>
          <w:rFonts w:ascii="宋体" w:cs="宋体"/>
          <w:bCs/>
          <w:color w:val="auto"/>
          <w:szCs w:val="21"/>
        </w:rPr>
      </w:pPr>
      <w:r>
        <w:rPr>
          <w:rFonts w:hint="eastAsia" w:ascii="宋体" w:hAnsi="宋体" w:cs="宋体"/>
          <w:b/>
          <w:bCs/>
          <w:color w:val="auto"/>
          <w:szCs w:val="21"/>
        </w:rPr>
        <w:t>一档8分</w:t>
      </w:r>
      <w:r>
        <w:rPr>
          <w:rFonts w:hint="eastAsia" w:ascii="宋体" w:hAnsi="宋体" w:cs="宋体"/>
          <w:color w:val="auto"/>
          <w:szCs w:val="21"/>
        </w:rPr>
        <w:t>：能基本满足采购文件要求，未作出更多的售后服务承诺。</w:t>
      </w:r>
    </w:p>
    <w:p>
      <w:pPr>
        <w:spacing w:line="400" w:lineRule="exact"/>
        <w:ind w:right="17" w:rightChars="8" w:firstLine="422" w:firstLineChars="200"/>
        <w:rPr>
          <w:rFonts w:ascii="宋体" w:cs="宋体"/>
          <w:color w:val="auto"/>
          <w:szCs w:val="21"/>
        </w:rPr>
      </w:pPr>
      <w:r>
        <w:rPr>
          <w:rFonts w:hint="eastAsia" w:ascii="宋体" w:hAnsi="宋体" w:cs="宋体"/>
          <w:b/>
          <w:bCs/>
          <w:color w:val="auto"/>
          <w:szCs w:val="21"/>
        </w:rPr>
        <w:t>二档16分</w:t>
      </w:r>
      <w:r>
        <w:rPr>
          <w:rFonts w:hint="eastAsia" w:ascii="宋体" w:hAnsi="宋体" w:cs="宋体"/>
          <w:color w:val="auto"/>
          <w:szCs w:val="21"/>
        </w:rPr>
        <w:t>：售后服务方案一般，有较详细的售后服务承诺，售后服务流程、应急预案、保障措施较好，故障响应时间优于采购文件的。</w:t>
      </w:r>
    </w:p>
    <w:p>
      <w:pPr>
        <w:spacing w:line="400" w:lineRule="exact"/>
        <w:ind w:right="17" w:rightChars="8" w:firstLine="422" w:firstLineChars="200"/>
        <w:rPr>
          <w:rFonts w:ascii="宋体" w:cs="宋体"/>
          <w:color w:val="auto"/>
          <w:szCs w:val="21"/>
        </w:rPr>
      </w:pPr>
      <w:r>
        <w:rPr>
          <w:rFonts w:hint="eastAsia" w:ascii="宋体" w:hAnsi="宋体" w:cs="宋体"/>
          <w:b/>
          <w:bCs/>
          <w:color w:val="auto"/>
          <w:szCs w:val="21"/>
        </w:rPr>
        <w:t>三档20分</w:t>
      </w:r>
      <w:r>
        <w:rPr>
          <w:rFonts w:hint="eastAsia" w:ascii="宋体" w:hAnsi="宋体" w:cs="宋体"/>
          <w:color w:val="auto"/>
          <w:szCs w:val="21"/>
        </w:rPr>
        <w:t>：</w:t>
      </w:r>
      <w:r>
        <w:rPr>
          <w:rFonts w:hint="eastAsia" w:ascii="宋体" w:hAnsi="宋体" w:cs="宋体"/>
          <w:color w:val="auto"/>
        </w:rPr>
        <w:t>售后服务方案较好，</w:t>
      </w:r>
      <w:r>
        <w:rPr>
          <w:rFonts w:hint="eastAsia" w:ascii="宋体" w:hAnsi="宋体" w:cs="宋体"/>
          <w:color w:val="auto"/>
          <w:szCs w:val="21"/>
        </w:rPr>
        <w:t>有该项目详细的系统建设的售后服务方案及培训计划，售后服务流程、应急预案、保障措施很好，故障响应时间快速的，设有固定的售后服务机构及售后服务人员（以相关证明为准）。</w:t>
      </w:r>
    </w:p>
    <w:p>
      <w:pPr>
        <w:spacing w:line="400" w:lineRule="exact"/>
        <w:ind w:right="17" w:rightChars="8" w:firstLine="420" w:firstLineChars="200"/>
        <w:rPr>
          <w:rFonts w:ascii="宋体" w:cs="宋体"/>
          <w:bCs/>
          <w:color w:val="auto"/>
        </w:rPr>
      </w:pPr>
      <w:r>
        <w:rPr>
          <w:rFonts w:hint="eastAsia" w:ascii="宋体" w:hAnsi="宋体" w:cs="宋体"/>
          <w:bCs/>
          <w:color w:val="auto"/>
        </w:rPr>
        <w:t>（</w:t>
      </w:r>
      <w:r>
        <w:rPr>
          <w:rFonts w:ascii="宋体" w:hAnsi="宋体" w:cs="宋体"/>
          <w:bCs/>
          <w:color w:val="auto"/>
        </w:rPr>
        <w:t>2</w:t>
      </w:r>
      <w:r>
        <w:rPr>
          <w:rFonts w:hint="eastAsia" w:ascii="宋体" w:hAnsi="宋体" w:cs="宋体"/>
          <w:bCs/>
          <w:color w:val="auto"/>
        </w:rPr>
        <w:t>）更长免费保修期得分。（满分</w:t>
      </w:r>
      <w:r>
        <w:rPr>
          <w:rFonts w:ascii="宋体" w:hAnsi="宋体" w:cs="宋体"/>
          <w:bCs/>
          <w:color w:val="auto"/>
        </w:rPr>
        <w:t>4</w:t>
      </w:r>
      <w:r>
        <w:rPr>
          <w:rFonts w:hint="eastAsia" w:ascii="宋体" w:hAnsi="宋体" w:cs="宋体"/>
          <w:bCs/>
          <w:color w:val="auto"/>
        </w:rPr>
        <w:t>分）</w:t>
      </w:r>
    </w:p>
    <w:p>
      <w:pPr>
        <w:spacing w:line="400" w:lineRule="exact"/>
        <w:ind w:firstLine="420" w:firstLineChars="200"/>
        <w:rPr>
          <w:rFonts w:ascii="宋体" w:cs="宋体"/>
          <w:bCs/>
          <w:color w:val="auto"/>
        </w:rPr>
      </w:pPr>
      <w:r>
        <w:rPr>
          <w:rFonts w:hint="eastAsia" w:ascii="宋体" w:hAnsi="宋体" w:cs="宋体"/>
          <w:bCs/>
          <w:color w:val="auto"/>
        </w:rPr>
        <w:t>承诺免费保修期长于采购文件要求的，每延长</w:t>
      </w:r>
      <w:r>
        <w:rPr>
          <w:rFonts w:ascii="宋体" w:hAnsi="宋体" w:cs="宋体"/>
          <w:bCs/>
          <w:color w:val="auto"/>
        </w:rPr>
        <w:t>1</w:t>
      </w:r>
      <w:r>
        <w:rPr>
          <w:rFonts w:hint="eastAsia" w:ascii="宋体" w:hAnsi="宋体" w:cs="宋体"/>
          <w:bCs/>
          <w:color w:val="auto"/>
        </w:rPr>
        <w:t>年加</w:t>
      </w:r>
      <w:r>
        <w:rPr>
          <w:rFonts w:ascii="宋体" w:hAnsi="宋体" w:cs="宋体"/>
          <w:bCs/>
          <w:color w:val="auto"/>
        </w:rPr>
        <w:t>2</w:t>
      </w:r>
      <w:r>
        <w:rPr>
          <w:rFonts w:hint="eastAsia" w:ascii="宋体" w:hAnsi="宋体" w:cs="宋体"/>
          <w:bCs/>
          <w:color w:val="auto"/>
        </w:rPr>
        <w:t>分，满分</w:t>
      </w:r>
      <w:r>
        <w:rPr>
          <w:rFonts w:ascii="宋体" w:hAnsi="宋体" w:cs="宋体"/>
          <w:bCs/>
          <w:color w:val="auto"/>
        </w:rPr>
        <w:t>4</w:t>
      </w:r>
      <w:r>
        <w:rPr>
          <w:rFonts w:hint="eastAsia" w:ascii="宋体" w:hAnsi="宋体" w:cs="宋体"/>
          <w:bCs/>
          <w:color w:val="auto"/>
        </w:rPr>
        <w:t>分。（必须加盖生产厂家或国内总代理商公章，否则不得分）</w:t>
      </w:r>
    </w:p>
    <w:p>
      <w:pPr>
        <w:spacing w:line="400" w:lineRule="exact"/>
        <w:ind w:firstLine="420" w:firstLineChars="200"/>
        <w:rPr>
          <w:rFonts w:ascii="宋体" w:cs="宋体"/>
          <w:bCs/>
          <w:color w:val="auto"/>
        </w:rPr>
      </w:pPr>
      <w:r>
        <w:rPr>
          <w:rFonts w:hint="eastAsia" w:ascii="宋体" w:hAnsi="宋体" w:cs="宋体"/>
          <w:bCs/>
          <w:color w:val="auto"/>
        </w:rPr>
        <w:t>（</w:t>
      </w:r>
      <w:r>
        <w:rPr>
          <w:rFonts w:ascii="宋体" w:hAnsi="宋体" w:cs="宋体"/>
          <w:bCs/>
          <w:color w:val="auto"/>
        </w:rPr>
        <w:t>3</w:t>
      </w:r>
      <w:r>
        <w:rPr>
          <w:rFonts w:hint="eastAsia" w:ascii="宋体" w:hAnsi="宋体" w:cs="宋体"/>
          <w:bCs/>
          <w:color w:val="auto"/>
        </w:rPr>
        <w:t>）更快的交货时间得分。（满分1分）</w:t>
      </w:r>
    </w:p>
    <w:p>
      <w:pPr>
        <w:pStyle w:val="29"/>
        <w:spacing w:line="400" w:lineRule="exact"/>
        <w:ind w:firstLine="420" w:firstLineChars="200"/>
        <w:rPr>
          <w:rFonts w:hAnsi="宋体" w:cs="宋体"/>
          <w:color w:val="auto"/>
        </w:rPr>
      </w:pPr>
      <w:r>
        <w:rPr>
          <w:rFonts w:hint="eastAsia" w:hAnsi="宋体" w:cs="宋体"/>
          <w:color w:val="auto"/>
        </w:rPr>
        <w:t>承诺交货期优于采购文件要求的，每提前</w:t>
      </w:r>
      <w:r>
        <w:rPr>
          <w:rFonts w:hAnsi="宋体" w:cs="宋体"/>
          <w:color w:val="auto"/>
        </w:rPr>
        <w:t>10</w:t>
      </w:r>
      <w:r>
        <w:rPr>
          <w:rFonts w:hint="eastAsia" w:hAnsi="宋体" w:cs="宋体"/>
          <w:color w:val="auto"/>
        </w:rPr>
        <w:t>天加0.5分，满分1分</w:t>
      </w:r>
    </w:p>
    <w:p>
      <w:pPr>
        <w:spacing w:line="380" w:lineRule="exact"/>
        <w:rPr>
          <w:rFonts w:ascii="宋体" w:cs="宋体"/>
          <w:color w:val="auto"/>
          <w:sz w:val="22"/>
          <w:szCs w:val="22"/>
        </w:rPr>
      </w:pPr>
      <w:r>
        <w:rPr>
          <w:rFonts w:ascii="宋体" w:hAnsi="宋体" w:cs="宋体"/>
          <w:b/>
          <w:color w:val="auto"/>
        </w:rPr>
        <w:t>5</w:t>
      </w:r>
      <w:r>
        <w:rPr>
          <w:rFonts w:hint="eastAsia" w:ascii="宋体" w:hAnsi="宋体" w:cs="宋体"/>
          <w:b/>
          <w:color w:val="auto"/>
        </w:rPr>
        <w:t>、信誉、业绩分………………………………………………………………………………………7分</w:t>
      </w:r>
    </w:p>
    <w:p>
      <w:pPr>
        <w:pStyle w:val="29"/>
        <w:spacing w:line="420" w:lineRule="exact"/>
        <w:jc w:val="left"/>
        <w:rPr>
          <w:rFonts w:hAnsi="宋体" w:cs="宋体"/>
          <w:color w:val="auto"/>
        </w:rPr>
      </w:pPr>
      <w:r>
        <w:rPr>
          <w:rFonts w:hint="eastAsia" w:hAnsi="宋体" w:cs="宋体"/>
          <w:color w:val="auto"/>
        </w:rPr>
        <w:t>（</w:t>
      </w:r>
      <w:r>
        <w:rPr>
          <w:rFonts w:hAnsi="宋体" w:cs="宋体"/>
          <w:color w:val="auto"/>
        </w:rPr>
        <w:t>1</w:t>
      </w:r>
      <w:r>
        <w:rPr>
          <w:rFonts w:hint="eastAsia" w:hAnsi="宋体" w:cs="宋体"/>
          <w:color w:val="auto"/>
        </w:rPr>
        <w:t>）投标人自</w:t>
      </w:r>
      <w:r>
        <w:rPr>
          <w:rFonts w:hAnsi="宋体" w:cs="宋体"/>
          <w:color w:val="auto"/>
        </w:rPr>
        <w:t>2017</w:t>
      </w:r>
      <w:r>
        <w:rPr>
          <w:rFonts w:hint="eastAsia" w:hAnsi="宋体" w:cs="宋体"/>
          <w:color w:val="auto"/>
        </w:rPr>
        <w:t>年以来获得省级及以上有关部门颁发的与企业生产经营相关的各种荣（信）誉奖项的，每项得0.5分。（满分1分）</w:t>
      </w:r>
    </w:p>
    <w:p>
      <w:pPr>
        <w:pStyle w:val="29"/>
        <w:spacing w:line="420" w:lineRule="exact"/>
        <w:jc w:val="left"/>
        <w:rPr>
          <w:rFonts w:hAnsi="宋体" w:cs="宋体"/>
          <w:color w:val="auto"/>
        </w:rPr>
      </w:pPr>
      <w:r>
        <w:rPr>
          <w:rFonts w:hint="eastAsia" w:hAnsi="宋体" w:cs="宋体"/>
          <w:color w:val="auto"/>
        </w:rPr>
        <w:t>（</w:t>
      </w:r>
      <w:r>
        <w:rPr>
          <w:rFonts w:hAnsi="宋体" w:cs="宋体"/>
          <w:color w:val="auto"/>
        </w:rPr>
        <w:t>2</w:t>
      </w:r>
      <w:r>
        <w:rPr>
          <w:rFonts w:hint="eastAsia" w:hAnsi="宋体" w:cs="宋体"/>
          <w:color w:val="auto"/>
        </w:rPr>
        <w:t>）投标人或投标产品生产厂家具有质量标准体系认证、环境管理体系认证、职业健康安全管理系统认证，每有一项得1分，提供认证证书复印件加盖公章。（满分3分）</w:t>
      </w:r>
    </w:p>
    <w:p>
      <w:pPr>
        <w:pStyle w:val="29"/>
        <w:spacing w:line="380" w:lineRule="exact"/>
        <w:outlineLvl w:val="0"/>
        <w:rPr>
          <w:rFonts w:hAnsi="宋体" w:cs="宋体"/>
          <w:bCs/>
          <w:color w:val="auto"/>
        </w:rPr>
      </w:pPr>
      <w:bookmarkStart w:id="153" w:name="_Toc20147"/>
      <w:r>
        <w:rPr>
          <w:rFonts w:hint="eastAsia" w:hAnsi="宋体" w:cs="宋体"/>
          <w:color w:val="auto"/>
        </w:rPr>
        <w:t>（</w:t>
      </w:r>
      <w:r>
        <w:rPr>
          <w:rFonts w:hAnsi="宋体" w:cs="宋体"/>
          <w:color w:val="auto"/>
        </w:rPr>
        <w:t>3</w:t>
      </w:r>
      <w:r>
        <w:rPr>
          <w:rFonts w:hint="eastAsia" w:hAnsi="宋体" w:cs="宋体"/>
          <w:color w:val="auto"/>
        </w:rPr>
        <w:t>）投标人自</w:t>
      </w:r>
      <w:r>
        <w:rPr>
          <w:rFonts w:hAnsi="宋体" w:cs="宋体"/>
          <w:color w:val="auto"/>
        </w:rPr>
        <w:t>2017</w:t>
      </w:r>
      <w:r>
        <w:rPr>
          <w:rFonts w:hint="eastAsia" w:hAnsi="宋体" w:cs="宋体"/>
          <w:color w:val="auto"/>
        </w:rPr>
        <w:t>年以来与此次采购货物为</w:t>
      </w:r>
      <w:r>
        <w:rPr>
          <w:rFonts w:hint="eastAsia" w:hAnsi="宋体" w:cs="宋体"/>
          <w:bCs/>
          <w:color w:val="auto"/>
        </w:rPr>
        <w:t>同类设备的业绩分，</w:t>
      </w:r>
      <w:r>
        <w:rPr>
          <w:rFonts w:hint="eastAsia" w:hAnsi="宋体" w:cs="宋体"/>
          <w:color w:val="auto"/>
        </w:rPr>
        <w:t>以合同或中标（成交）通知书复印件等证明资料为准，每有一项得</w:t>
      </w:r>
      <w:r>
        <w:rPr>
          <w:rFonts w:hAnsi="宋体" w:cs="宋体"/>
          <w:color w:val="auto"/>
        </w:rPr>
        <w:t>1</w:t>
      </w:r>
      <w:r>
        <w:rPr>
          <w:rFonts w:hint="eastAsia" w:hAnsi="宋体" w:cs="宋体"/>
          <w:color w:val="auto"/>
        </w:rPr>
        <w:t>分。(</w:t>
      </w:r>
      <w:r>
        <w:rPr>
          <w:rFonts w:hint="eastAsia" w:hAnsi="宋体" w:cs="宋体"/>
          <w:bCs/>
          <w:color w:val="auto"/>
        </w:rPr>
        <w:t>满分</w:t>
      </w:r>
      <w:r>
        <w:rPr>
          <w:rFonts w:hAnsi="宋体" w:cs="宋体"/>
          <w:bCs/>
          <w:color w:val="auto"/>
        </w:rPr>
        <w:t>3</w:t>
      </w:r>
      <w:r>
        <w:rPr>
          <w:rFonts w:hint="eastAsia" w:hAnsi="宋体" w:cs="宋体"/>
          <w:bCs/>
          <w:color w:val="auto"/>
        </w:rPr>
        <w:t>分)</w:t>
      </w:r>
      <w:bookmarkEnd w:id="153"/>
    </w:p>
    <w:p>
      <w:pPr>
        <w:pStyle w:val="29"/>
        <w:spacing w:line="400" w:lineRule="exact"/>
        <w:rPr>
          <w:rFonts w:hAnsi="宋体" w:cs="宋体"/>
          <w:b/>
          <w:color w:val="auto"/>
          <w:szCs w:val="24"/>
        </w:rPr>
      </w:pPr>
      <w:r>
        <w:rPr>
          <w:rFonts w:hint="eastAsia" w:hAnsi="宋体" w:cs="宋体"/>
          <w:b/>
          <w:color w:val="auto"/>
          <w:szCs w:val="24"/>
        </w:rPr>
        <w:t>6、产品特性政策分………………………………………………………………………………………3分</w:t>
      </w:r>
    </w:p>
    <w:p>
      <w:pPr>
        <w:pStyle w:val="29"/>
        <w:spacing w:line="420" w:lineRule="exact"/>
        <w:jc w:val="left"/>
        <w:rPr>
          <w:rFonts w:hAnsi="宋体" w:cs="宋体"/>
          <w:color w:val="auto"/>
        </w:rPr>
      </w:pPr>
      <w:r>
        <w:rPr>
          <w:rFonts w:hint="eastAsia" w:hAnsi="宋体" w:cs="宋体"/>
          <w:color w:val="auto"/>
        </w:rPr>
        <w:t>（1）投标的核心产品纳入最新一期节能产品政府采购清单的（适用于非强制采购节能产品，提供投标产品所属清单页），每有一项加0.5分，（满分1分）。</w:t>
      </w:r>
    </w:p>
    <w:p>
      <w:pPr>
        <w:pStyle w:val="29"/>
        <w:spacing w:line="420" w:lineRule="exact"/>
        <w:jc w:val="left"/>
        <w:rPr>
          <w:rFonts w:hAnsi="宋体" w:cs="宋体"/>
          <w:color w:val="auto"/>
        </w:rPr>
      </w:pPr>
      <w:r>
        <w:rPr>
          <w:rFonts w:hint="eastAsia" w:hAnsi="宋体" w:cs="宋体"/>
          <w:color w:val="auto"/>
        </w:rPr>
        <w:t>（2）投标的核心产品纳入最新一期环境标志产品政府采购清单的（提供投标产品所属清单页），每有一项加0.5分，（满分1分）。</w:t>
      </w:r>
    </w:p>
    <w:p>
      <w:pPr>
        <w:pStyle w:val="29"/>
        <w:spacing w:line="420" w:lineRule="exact"/>
        <w:jc w:val="left"/>
        <w:rPr>
          <w:rFonts w:hAnsi="宋体" w:cs="宋体"/>
          <w:color w:val="auto"/>
        </w:rPr>
      </w:pPr>
      <w:r>
        <w:rPr>
          <w:rFonts w:hint="eastAsia" w:hAnsi="宋体" w:cs="宋体"/>
          <w:color w:val="auto"/>
        </w:rPr>
        <w:t>（3）投标的产品属于广西区内的产品（注：本次投标供货范围中使用广西区内产品〈包括工业产品〉超过投标总金额的80%以上〈含〉，提供生产厂家营业执照及相关有效证明）得0.5分（满分1分）。</w:t>
      </w:r>
    </w:p>
    <w:p>
      <w:pPr>
        <w:pStyle w:val="29"/>
        <w:spacing w:line="380" w:lineRule="exact"/>
        <w:outlineLvl w:val="0"/>
        <w:rPr>
          <w:rFonts w:hAnsi="宋体" w:cs="宋体"/>
          <w:bCs/>
          <w:color w:val="auto"/>
        </w:rPr>
      </w:pPr>
    </w:p>
    <w:p>
      <w:pPr>
        <w:spacing w:line="380" w:lineRule="exact"/>
        <w:rPr>
          <w:rFonts w:ascii="宋体" w:hAnsi="宋体" w:cs="宋体"/>
          <w:b/>
          <w:color w:val="auto"/>
        </w:rPr>
      </w:pPr>
      <w:r>
        <w:rPr>
          <w:rFonts w:hint="eastAsia" w:ascii="宋体" w:hAnsi="宋体" w:cs="宋体"/>
          <w:b/>
          <w:color w:val="auto"/>
        </w:rPr>
        <w:t>（四）总得分</w:t>
      </w:r>
      <w:r>
        <w:rPr>
          <w:rFonts w:ascii="宋体" w:hAnsi="宋体" w:cs="宋体"/>
          <w:b/>
          <w:color w:val="auto"/>
        </w:rPr>
        <w:t xml:space="preserve"> = 1 + 2 + 3 + 4 + 5</w:t>
      </w:r>
      <w:r>
        <w:rPr>
          <w:rFonts w:hint="eastAsia" w:ascii="宋体" w:hAnsi="宋体" w:cs="宋体"/>
          <w:b/>
          <w:color w:val="auto"/>
        </w:rPr>
        <w:t xml:space="preserve"> + 6</w:t>
      </w:r>
    </w:p>
    <w:p>
      <w:pPr>
        <w:pStyle w:val="29"/>
        <w:outlineLvl w:val="2"/>
        <w:rPr>
          <w:rFonts w:hAnsi="宋体" w:cs="宋体"/>
          <w:b/>
          <w:bCs/>
          <w:color w:val="auto"/>
          <w:kern w:val="0"/>
        </w:rPr>
      </w:pPr>
    </w:p>
    <w:p>
      <w:pPr>
        <w:pStyle w:val="29"/>
        <w:outlineLvl w:val="2"/>
        <w:rPr>
          <w:rFonts w:hAnsi="宋体" w:cs="宋体"/>
          <w:b/>
          <w:bCs/>
          <w:color w:val="auto"/>
          <w:kern w:val="0"/>
        </w:rPr>
      </w:pPr>
      <w:bookmarkStart w:id="154" w:name="_Toc31904"/>
      <w:r>
        <w:rPr>
          <w:rFonts w:hint="eastAsia" w:hAnsi="宋体" w:cs="宋体"/>
          <w:b/>
          <w:bCs/>
          <w:color w:val="auto"/>
          <w:kern w:val="0"/>
        </w:rPr>
        <w:t>三、中标候选人推荐原则</w:t>
      </w:r>
      <w:bookmarkEnd w:id="141"/>
      <w:bookmarkEnd w:id="154"/>
    </w:p>
    <w:p>
      <w:pPr>
        <w:pStyle w:val="29"/>
        <w:spacing w:line="400" w:lineRule="exact"/>
        <w:ind w:firstLine="420" w:firstLineChars="200"/>
        <w:rPr>
          <w:rFonts w:hAnsi="宋体" w:cs="宋体"/>
          <w:b/>
          <w:bCs/>
          <w:color w:val="auto"/>
        </w:rPr>
      </w:pPr>
      <w:r>
        <w:rPr>
          <w:rFonts w:hint="eastAsia" w:hAnsi="宋体" w:cs="宋体"/>
          <w:bCs/>
          <w:color w:val="auto"/>
        </w:rPr>
        <w:t>（一）评标委员会将根据总得分由高到低排列次序并推荐每个标段前三名为该标段的中标候选供应商</w:t>
      </w:r>
      <w:r>
        <w:rPr>
          <w:rFonts w:hint="eastAsia" w:hAnsi="宋体" w:cs="宋体"/>
          <w:b/>
          <w:bCs/>
          <w:color w:val="auto"/>
        </w:rPr>
        <w:t>（总得分相同时，以投标报价分由高到低顺序排列；总得分相同且投标报价分相同的，按</w:t>
      </w:r>
      <w:r>
        <w:rPr>
          <w:rFonts w:hint="eastAsia" w:hAnsi="宋体" w:cs="宋体"/>
          <w:b/>
          <w:bCs/>
          <w:color w:val="auto"/>
          <w:spacing w:val="-12"/>
        </w:rPr>
        <w:t>设备性能及配置分</w:t>
      </w:r>
      <w:r>
        <w:rPr>
          <w:rFonts w:hint="eastAsia" w:hAnsi="宋体" w:cs="宋体"/>
          <w:b/>
          <w:bCs/>
          <w:color w:val="auto"/>
        </w:rPr>
        <w:t>由高到低顺序排列）</w:t>
      </w:r>
      <w:r>
        <w:rPr>
          <w:rFonts w:hint="eastAsia" w:hAnsi="宋体" w:cs="宋体"/>
          <w:bCs/>
          <w:color w:val="auto"/>
        </w:rPr>
        <w:t>。招标招标单位应当确定评审委员会推荐排名第一的中标候选人为中标人。排名第一的中标候选人放弃中标、因不可抗力提出不能履行合同，或者招标文件规定应当提交履约保证金而在规定的期限内未能提交的，招标单位可以确定排名第二的中标候选人为中标人。排名第二的中标候选人因前款规定的同样原因不能签订合同的，招标单位可以确定排名第三的中标候选人为中标人，其余以此类推</w:t>
      </w:r>
      <w:r>
        <w:rPr>
          <w:rFonts w:hint="eastAsia" w:hAnsi="宋体" w:cs="宋体"/>
          <w:b/>
          <w:bCs/>
          <w:color w:val="auto"/>
        </w:rPr>
        <w:t>。招标单位也可以决定重新采购。</w:t>
      </w:r>
    </w:p>
    <w:p>
      <w:pPr>
        <w:pStyle w:val="29"/>
        <w:spacing w:line="400" w:lineRule="exact"/>
        <w:ind w:firstLine="420" w:firstLineChars="200"/>
        <w:rPr>
          <w:rFonts w:hAnsi="宋体" w:cs="宋体"/>
          <w:color w:val="auto"/>
        </w:rPr>
      </w:pPr>
      <w:r>
        <w:rPr>
          <w:rFonts w:hint="eastAsia" w:hAnsi="宋体" w:cs="宋体"/>
          <w:bCs/>
          <w:color w:val="auto"/>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00" w:lineRule="exact"/>
        <w:ind w:firstLine="420" w:firstLineChars="200"/>
        <w:rPr>
          <w:rFonts w:ascii="宋体" w:hAnsi="宋体" w:cs="宋体"/>
          <w:color w:val="auto"/>
        </w:rPr>
      </w:pPr>
      <w:r>
        <w:rPr>
          <w:rFonts w:hint="eastAsia" w:ascii="宋体" w:hAnsi="宋体" w:cs="宋体"/>
          <w:color w:val="auto"/>
        </w:rPr>
        <w:t>（三）核心产品提供相同品牌产品且通过资格审查、符合性审查的不同投标人参加同一合同项下投标的，按一家投标人计算，评审后得分最高的同品牌投标人获得中标人推荐资格；评审得分相同的，由招标单位或者招标单位委托评标委员会按照《评标方法及评定标准》中的推荐原则确定一个投标人获得中标人推荐资格，其他同品牌投标人不作为中标候选人，其投标无效。</w:t>
      </w:r>
    </w:p>
    <w:p>
      <w:pPr>
        <w:pStyle w:val="29"/>
        <w:snapToGrid w:val="0"/>
        <w:jc w:val="center"/>
        <w:rPr>
          <w:rFonts w:hAnsi="宋体" w:cs="宋体"/>
          <w:b/>
          <w:color w:val="auto"/>
          <w:sz w:val="44"/>
          <w:szCs w:val="44"/>
        </w:rPr>
      </w:pPr>
    </w:p>
    <w:p>
      <w:pPr>
        <w:tabs>
          <w:tab w:val="left" w:pos="606"/>
        </w:tabs>
        <w:spacing w:line="400" w:lineRule="exact"/>
        <w:ind w:firstLine="420" w:firstLineChars="200"/>
        <w:rPr>
          <w:rFonts w:ascii="宋体" w:hAnsi="宋体" w:cs="宋体"/>
          <w:color w:val="auto"/>
        </w:rPr>
      </w:pPr>
    </w:p>
    <w:p>
      <w:pPr>
        <w:tabs>
          <w:tab w:val="left" w:pos="606"/>
        </w:tabs>
        <w:spacing w:line="400" w:lineRule="exact"/>
        <w:rPr>
          <w:rFonts w:ascii="宋体" w:hAnsi="宋体" w:cs="宋体"/>
          <w:color w:val="auto"/>
        </w:rPr>
      </w:pPr>
    </w:p>
    <w:sectPr>
      <w:type w:val="oddPage"/>
      <w:pgSz w:w="11906" w:h="16838"/>
      <w:pgMar w:top="1247" w:right="1247" w:bottom="1247" w:left="124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B04A80B2-5B5E-4381-9BFA-9A03C6E21C0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0" w:usb1="00000000" w:usb2="00000000" w:usb3="00000000" w:csb0="00000000" w:csb1="00000000"/>
    <w:embedRegular r:id="rId2" w:fontKey="{5F012736-E105-4DFF-815C-BFF013718B1E}"/>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创艺简黑体">
    <w:altName w:val="黑体"/>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方正中等线简体 Regular">
    <w:altName w:val="黑体"/>
    <w:panose1 w:val="00000000000000000000"/>
    <w:charset w:val="86"/>
    <w:family w:val="auto"/>
    <w:pitch w:val="default"/>
    <w:sig w:usb0="00000000" w:usb1="00000000" w:usb2="00000010" w:usb3="00000000" w:csb0="00040000" w:csb1="00000000"/>
  </w:font>
  <w:font w:name="汉仪大黑简 regular">
    <w:altName w:val="黑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Syntax">
    <w:altName w:val="Segoe Print"/>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left" w:pos="7950"/>
        <w:tab w:val="clear" w:pos="4153"/>
        <w:tab w:val="clear" w:pos="8306"/>
      </w:tabs>
      <w:ind w:right="45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19"/>
        <w:tab w:val="left" w:pos="7950"/>
        <w:tab w:val="right" w:pos="9638"/>
        <w:tab w:val="clear" w:pos="4153"/>
        <w:tab w:val="clear" w:pos="8306"/>
      </w:tabs>
      <w:wordWrap w:val="0"/>
      <w:jc w:val="right"/>
      <w:rPr>
        <w:rFonts w:ascii="宋体" w:hAnsi="宋体" w:cs="宋体"/>
      </w:rPr>
    </w:pPr>
    <w:r>
      <w:fldChar w:fldCharType="begin"/>
    </w:r>
    <w:r>
      <w:instrText xml:space="preserve"> PAGE   \* MERGEFORMAT </w:instrText>
    </w:r>
    <w:r>
      <w:fldChar w:fldCharType="separate"/>
    </w:r>
    <w:r>
      <w:rPr>
        <w:lang w:val="zh-CN"/>
      </w:rPr>
      <w:t>31</w:t>
    </w:r>
    <w:r>
      <w:fldChar w:fldCharType="end"/>
    </w:r>
    <w:r>
      <w:rPr>
        <w:rFonts w:hint="eastAsia" w:ascii="宋体" w:hAnsi="宋体" w:cs="宋体"/>
        <w:sz w:val="21"/>
        <w:szCs w:val="21"/>
        <w:lang w:eastAsia="zh-CN"/>
      </w:rPr>
      <w:t xml:space="preserve"> 广西天立工程造价咨询有限公司</w:t>
    </w:r>
    <w:r>
      <w:rPr>
        <w:rFonts w:hint="eastAsia" w:ascii="宋体" w:hAnsi="宋体" w:cs="宋体"/>
        <w:sz w:val="21"/>
        <w:szCs w:val="21"/>
      </w:rPr>
      <w:t>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19"/>
        <w:tab w:val="left" w:pos="7950"/>
        <w:tab w:val="right" w:pos="9638"/>
        <w:tab w:val="clear" w:pos="4153"/>
        <w:tab w:val="clear" w:pos="8306"/>
      </w:tabs>
      <w:rPr>
        <w:rFonts w:eastAsia="仿宋_GB2312"/>
      </w:rPr>
    </w:pPr>
    <w:r>
      <w:rPr>
        <w:rFonts w:hint="eastAsia" w:eastAsia="仿宋_GB2312"/>
        <w:lang w:eastAsia="zh-CN"/>
      </w:rPr>
      <w:t xml:space="preserve"> 广西天立工程造价咨询有限公司</w:t>
    </w:r>
    <w:r>
      <w:rPr>
        <w:rFonts w:hint="eastAsia" w:eastAsia="仿宋_GB2312"/>
      </w:rPr>
      <w:t>编制</w:t>
    </w:r>
    <w:r>
      <w:tab/>
    </w:r>
    <w:r>
      <w:fldChar w:fldCharType="begin"/>
    </w:r>
    <w:r>
      <w:instrText xml:space="preserve"> PAGE   \* MERGEFORMAT </w:instrText>
    </w:r>
    <w:r>
      <w:fldChar w:fldCharType="separate"/>
    </w:r>
    <w:r>
      <w:rPr>
        <w:lang w:val="zh-CN"/>
      </w:rPr>
      <w:t>-360710144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rPr>
        <w:rFonts w:hint="eastAsia" w:eastAsia="宋体"/>
        <w:lang w:eastAsia="zh-CN"/>
      </w:rPr>
    </w:pPr>
    <w:r>
      <w:rPr>
        <w:rFonts w:hint="eastAsia" w:ascii="宋体" w:hAnsi="宋体" w:cs="宋体"/>
        <w:color w:val="000000"/>
        <w:kern w:val="0"/>
        <w:sz w:val="21"/>
        <w:szCs w:val="21"/>
      </w:rPr>
      <w:t>项目名称：</w:t>
    </w:r>
    <w:r>
      <w:rPr>
        <w:rFonts w:hint="eastAsia" w:ascii="宋体" w:hAnsi="宋体" w:cs="宋体"/>
        <w:color w:val="000000"/>
        <w:kern w:val="0"/>
        <w:sz w:val="21"/>
        <w:szCs w:val="21"/>
        <w:lang w:eastAsia="zh-CN"/>
      </w:rPr>
      <w:t>富川瑶族自治县民族医医院整体搬迁建设项目-病床等设备采购</w:t>
    </w:r>
    <w:r>
      <w:rPr>
        <w:rFonts w:hint="eastAsia" w:ascii="宋体" w:hAnsi="宋体" w:cs="宋体"/>
        <w:color w:val="000000"/>
        <w:kern w:val="0"/>
        <w:sz w:val="21"/>
        <w:szCs w:val="21"/>
      </w:rPr>
      <w:t xml:space="preserve">   项目编号：</w:t>
    </w:r>
    <w:r>
      <w:rPr>
        <w:rFonts w:hint="eastAsia" w:ascii="宋体" w:hAnsi="宋体" w:cs="宋体"/>
        <w:color w:val="000000"/>
        <w:kern w:val="0"/>
        <w:sz w:val="21"/>
        <w:szCs w:val="21"/>
        <w:lang w:eastAsia="zh-CN"/>
      </w:rPr>
      <w:t xml:space="preserve"> FCZC2020-G1-230233-TLZJ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项目名称：</w:t>
    </w:r>
    <w:r>
      <w:rPr>
        <w:rFonts w:hint="eastAsia" w:ascii="宋体" w:hAnsi="宋体" w:cs="宋体"/>
        <w:color w:val="000000"/>
        <w:kern w:val="0"/>
        <w:sz w:val="21"/>
        <w:szCs w:val="21"/>
        <w:lang w:eastAsia="zh-CN"/>
      </w:rPr>
      <w:t>富川瑶族自治县民族医医院整体搬迁建设项目-病床等设备采购</w:t>
    </w:r>
    <w:r>
      <w:rPr>
        <w:rFonts w:hint="eastAsia" w:ascii="宋体" w:hAnsi="宋体" w:cs="宋体"/>
        <w:color w:val="000000"/>
        <w:kern w:val="0"/>
        <w:sz w:val="21"/>
        <w:szCs w:val="21"/>
      </w:rPr>
      <w:t xml:space="preserve">              项目编号：</w:t>
    </w:r>
    <w:r>
      <w:rPr>
        <w:rFonts w:hint="eastAsia" w:ascii="宋体" w:hAnsi="宋体" w:cs="宋体"/>
        <w:color w:val="000000"/>
        <w:kern w:val="0"/>
        <w:sz w:val="21"/>
        <w:szCs w:val="21"/>
        <w:lang w:eastAsia="zh-CN"/>
      </w:rPr>
      <w:t xml:space="preserve"> FCZC2020-G1-230233-TLZJ</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Fonts w:hAnsi="宋体" w:eastAsia="仿宋_GB2312"/>
        <w:color w:val="000000"/>
      </w:rPr>
      <w:t>项目</w:t>
    </w:r>
    <w:r>
      <w:rPr>
        <w:rFonts w:hAnsi="宋体" w:eastAsia="仿宋_GB2312"/>
      </w:rPr>
      <w:t>编号：</w:t>
    </w:r>
    <w:r>
      <w:rPr>
        <w:rFonts w:eastAsia="仿宋_GB2312"/>
        <w:color w:val="000000"/>
      </w:rPr>
      <w:t>HZZFCG2017</w:t>
    </w:r>
    <w:r>
      <w:rPr>
        <w:rFonts w:hint="eastAsia" w:hAnsi="宋体" w:eastAsia="仿宋_GB2312"/>
        <w:color w:val="000000"/>
      </w:rPr>
      <w:t>货</w:t>
    </w:r>
    <w:r>
      <w:rPr>
        <w:rFonts w:hAnsi="宋体" w:eastAsia="仿宋_GB2312"/>
        <w:color w:val="000000"/>
      </w:rPr>
      <w:t>字</w:t>
    </w:r>
    <w:r>
      <w:rPr>
        <w:rFonts w:hint="eastAsia" w:eastAsia="仿宋_GB2312"/>
        <w:color w:val="000000"/>
      </w:rPr>
      <w:t>XX</w:t>
    </w:r>
    <w:r>
      <w:rPr>
        <w:rFonts w:hAnsi="宋体" w:eastAsia="仿宋_GB2312"/>
        <w:color w:val="000000"/>
      </w:rPr>
      <w:t>号项目名称：</w:t>
    </w:r>
    <w:r>
      <w:rPr>
        <w:rFonts w:hint="eastAsia" w:eastAsia="仿宋_GB2312"/>
        <w:szCs w:val="21"/>
      </w:rPr>
      <w:t>贺州市XXX采购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E1CF12"/>
    <w:multiLevelType w:val="singleLevel"/>
    <w:tmpl w:val="FBE1CF12"/>
    <w:lvl w:ilvl="0" w:tentative="0">
      <w:start w:val="12"/>
      <w:numFmt w:val="decimal"/>
      <w:suff w:val="nothing"/>
      <w:lvlText w:val="%1）"/>
      <w:lvlJc w:val="left"/>
    </w:lvl>
  </w:abstractNum>
  <w:abstractNum w:abstractNumId="1">
    <w:nsid w:val="0000000B"/>
    <w:multiLevelType w:val="multilevel"/>
    <w:tmpl w:val="0000000B"/>
    <w:lvl w:ilvl="0" w:tentative="0">
      <w:start w:val="1"/>
      <w:numFmt w:val="japaneseCounting"/>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A13EB46"/>
    <w:multiLevelType w:val="singleLevel"/>
    <w:tmpl w:val="1A13EB46"/>
    <w:lvl w:ilvl="0" w:tentative="0">
      <w:start w:val="2"/>
      <w:numFmt w:val="decimal"/>
      <w:suff w:val="nothing"/>
      <w:lvlText w:val="（%1）"/>
      <w:lvlJc w:val="left"/>
    </w:lvl>
  </w:abstractNum>
  <w:abstractNum w:abstractNumId="3">
    <w:nsid w:val="4E649874"/>
    <w:multiLevelType w:val="singleLevel"/>
    <w:tmpl w:val="4E649874"/>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TrueTypeFonts/>
  <w:saveSubset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72A27"/>
    <w:rsid w:val="00000802"/>
    <w:rsid w:val="00001583"/>
    <w:rsid w:val="00001CED"/>
    <w:rsid w:val="00005FDD"/>
    <w:rsid w:val="00011AD2"/>
    <w:rsid w:val="00012772"/>
    <w:rsid w:val="00023147"/>
    <w:rsid w:val="000252E5"/>
    <w:rsid w:val="00025BA4"/>
    <w:rsid w:val="00026365"/>
    <w:rsid w:val="000264BF"/>
    <w:rsid w:val="00027888"/>
    <w:rsid w:val="000300FD"/>
    <w:rsid w:val="00030D19"/>
    <w:rsid w:val="00034A87"/>
    <w:rsid w:val="00036A22"/>
    <w:rsid w:val="00040090"/>
    <w:rsid w:val="00040C03"/>
    <w:rsid w:val="0004284C"/>
    <w:rsid w:val="00044DA1"/>
    <w:rsid w:val="00045C4F"/>
    <w:rsid w:val="00051BBE"/>
    <w:rsid w:val="00054A03"/>
    <w:rsid w:val="0006266F"/>
    <w:rsid w:val="000631CA"/>
    <w:rsid w:val="00063BB9"/>
    <w:rsid w:val="00064A98"/>
    <w:rsid w:val="0006551E"/>
    <w:rsid w:val="00070E1B"/>
    <w:rsid w:val="00081973"/>
    <w:rsid w:val="00082F25"/>
    <w:rsid w:val="000832D6"/>
    <w:rsid w:val="000843FC"/>
    <w:rsid w:val="000854EF"/>
    <w:rsid w:val="00086578"/>
    <w:rsid w:val="00087650"/>
    <w:rsid w:val="000878EE"/>
    <w:rsid w:val="00090BBD"/>
    <w:rsid w:val="000913D3"/>
    <w:rsid w:val="00091C8C"/>
    <w:rsid w:val="000923DF"/>
    <w:rsid w:val="000943A9"/>
    <w:rsid w:val="000948C7"/>
    <w:rsid w:val="00096214"/>
    <w:rsid w:val="000A2450"/>
    <w:rsid w:val="000A5EDB"/>
    <w:rsid w:val="000A6707"/>
    <w:rsid w:val="000A6819"/>
    <w:rsid w:val="000B48BD"/>
    <w:rsid w:val="000B566E"/>
    <w:rsid w:val="000B5BAB"/>
    <w:rsid w:val="000B6D12"/>
    <w:rsid w:val="000B71C7"/>
    <w:rsid w:val="000C2614"/>
    <w:rsid w:val="000C6DF3"/>
    <w:rsid w:val="000C6E32"/>
    <w:rsid w:val="000C7449"/>
    <w:rsid w:val="000D0652"/>
    <w:rsid w:val="000D09E9"/>
    <w:rsid w:val="000D152E"/>
    <w:rsid w:val="000D2F1D"/>
    <w:rsid w:val="000D458C"/>
    <w:rsid w:val="000D4886"/>
    <w:rsid w:val="000D6B15"/>
    <w:rsid w:val="000D7A1C"/>
    <w:rsid w:val="000E0261"/>
    <w:rsid w:val="000E57B3"/>
    <w:rsid w:val="000E68DB"/>
    <w:rsid w:val="000E6D41"/>
    <w:rsid w:val="000F1D0A"/>
    <w:rsid w:val="000F22D5"/>
    <w:rsid w:val="000F2305"/>
    <w:rsid w:val="000F34E6"/>
    <w:rsid w:val="000F4BC7"/>
    <w:rsid w:val="0010141F"/>
    <w:rsid w:val="00101B39"/>
    <w:rsid w:val="00105BDB"/>
    <w:rsid w:val="001061DF"/>
    <w:rsid w:val="00107C4B"/>
    <w:rsid w:val="00107FAF"/>
    <w:rsid w:val="001105F1"/>
    <w:rsid w:val="00116666"/>
    <w:rsid w:val="00120F06"/>
    <w:rsid w:val="0012193E"/>
    <w:rsid w:val="001242B5"/>
    <w:rsid w:val="00125159"/>
    <w:rsid w:val="00125E38"/>
    <w:rsid w:val="001309EB"/>
    <w:rsid w:val="0013168C"/>
    <w:rsid w:val="001402BC"/>
    <w:rsid w:val="001412BF"/>
    <w:rsid w:val="001420B6"/>
    <w:rsid w:val="00142DD5"/>
    <w:rsid w:val="00143070"/>
    <w:rsid w:val="00144528"/>
    <w:rsid w:val="00144A59"/>
    <w:rsid w:val="0015042D"/>
    <w:rsid w:val="00150E7A"/>
    <w:rsid w:val="00150F02"/>
    <w:rsid w:val="0015297C"/>
    <w:rsid w:val="00152FBF"/>
    <w:rsid w:val="00153351"/>
    <w:rsid w:val="00155418"/>
    <w:rsid w:val="0015650C"/>
    <w:rsid w:val="001568EC"/>
    <w:rsid w:val="00157B2B"/>
    <w:rsid w:val="00160919"/>
    <w:rsid w:val="00160D7A"/>
    <w:rsid w:val="00161F35"/>
    <w:rsid w:val="00161F92"/>
    <w:rsid w:val="00162C9F"/>
    <w:rsid w:val="00162F8D"/>
    <w:rsid w:val="001633EA"/>
    <w:rsid w:val="0016484E"/>
    <w:rsid w:val="00172A27"/>
    <w:rsid w:val="00172F6C"/>
    <w:rsid w:val="001736D1"/>
    <w:rsid w:val="00174632"/>
    <w:rsid w:val="00174C86"/>
    <w:rsid w:val="00174CE7"/>
    <w:rsid w:val="00175DC5"/>
    <w:rsid w:val="00176270"/>
    <w:rsid w:val="00180728"/>
    <w:rsid w:val="001831DB"/>
    <w:rsid w:val="00184B5D"/>
    <w:rsid w:val="0019033A"/>
    <w:rsid w:val="00190725"/>
    <w:rsid w:val="001908EA"/>
    <w:rsid w:val="001933F1"/>
    <w:rsid w:val="0019410B"/>
    <w:rsid w:val="00194BAE"/>
    <w:rsid w:val="001952FD"/>
    <w:rsid w:val="00195E86"/>
    <w:rsid w:val="00197C13"/>
    <w:rsid w:val="001A154D"/>
    <w:rsid w:val="001A5ED0"/>
    <w:rsid w:val="001B0987"/>
    <w:rsid w:val="001B2C94"/>
    <w:rsid w:val="001B3D38"/>
    <w:rsid w:val="001B3E57"/>
    <w:rsid w:val="001B4098"/>
    <w:rsid w:val="001B4360"/>
    <w:rsid w:val="001B51CA"/>
    <w:rsid w:val="001B5297"/>
    <w:rsid w:val="001B63C8"/>
    <w:rsid w:val="001C05B5"/>
    <w:rsid w:val="001C07E8"/>
    <w:rsid w:val="001C086A"/>
    <w:rsid w:val="001C11BA"/>
    <w:rsid w:val="001C1776"/>
    <w:rsid w:val="001C2BD6"/>
    <w:rsid w:val="001C322F"/>
    <w:rsid w:val="001C5A16"/>
    <w:rsid w:val="001D2633"/>
    <w:rsid w:val="001D31F5"/>
    <w:rsid w:val="001E1993"/>
    <w:rsid w:val="001E23B0"/>
    <w:rsid w:val="001E303D"/>
    <w:rsid w:val="001E4367"/>
    <w:rsid w:val="001E4956"/>
    <w:rsid w:val="001E4D60"/>
    <w:rsid w:val="001E5506"/>
    <w:rsid w:val="001E5E1C"/>
    <w:rsid w:val="001E7082"/>
    <w:rsid w:val="001E7AFA"/>
    <w:rsid w:val="001F18AE"/>
    <w:rsid w:val="001F1DEF"/>
    <w:rsid w:val="001F7D02"/>
    <w:rsid w:val="00202C46"/>
    <w:rsid w:val="0020364A"/>
    <w:rsid w:val="00207CB8"/>
    <w:rsid w:val="002100F7"/>
    <w:rsid w:val="002118B6"/>
    <w:rsid w:val="00215E6E"/>
    <w:rsid w:val="00220D27"/>
    <w:rsid w:val="0022105A"/>
    <w:rsid w:val="00221419"/>
    <w:rsid w:val="00222FDF"/>
    <w:rsid w:val="00223000"/>
    <w:rsid w:val="002246F2"/>
    <w:rsid w:val="0022764F"/>
    <w:rsid w:val="0023127E"/>
    <w:rsid w:val="002321E1"/>
    <w:rsid w:val="00233395"/>
    <w:rsid w:val="00234941"/>
    <w:rsid w:val="00234C9C"/>
    <w:rsid w:val="00234D0A"/>
    <w:rsid w:val="002358FF"/>
    <w:rsid w:val="002412FA"/>
    <w:rsid w:val="00241668"/>
    <w:rsid w:val="0024724C"/>
    <w:rsid w:val="0025150D"/>
    <w:rsid w:val="00252B44"/>
    <w:rsid w:val="00254465"/>
    <w:rsid w:val="00254ED6"/>
    <w:rsid w:val="002567AA"/>
    <w:rsid w:val="00260800"/>
    <w:rsid w:val="002611FC"/>
    <w:rsid w:val="00262E46"/>
    <w:rsid w:val="00263EEC"/>
    <w:rsid w:val="00263F04"/>
    <w:rsid w:val="002669E6"/>
    <w:rsid w:val="00270A57"/>
    <w:rsid w:val="00270E17"/>
    <w:rsid w:val="002713ED"/>
    <w:rsid w:val="00271C7D"/>
    <w:rsid w:val="00272BCA"/>
    <w:rsid w:val="002736AC"/>
    <w:rsid w:val="00274390"/>
    <w:rsid w:val="00275BA9"/>
    <w:rsid w:val="002768CD"/>
    <w:rsid w:val="00276EBA"/>
    <w:rsid w:val="00277F69"/>
    <w:rsid w:val="00280E24"/>
    <w:rsid w:val="00282526"/>
    <w:rsid w:val="00285822"/>
    <w:rsid w:val="00285F06"/>
    <w:rsid w:val="00287318"/>
    <w:rsid w:val="002938E9"/>
    <w:rsid w:val="002941E5"/>
    <w:rsid w:val="00294744"/>
    <w:rsid w:val="002950FF"/>
    <w:rsid w:val="002A1BE9"/>
    <w:rsid w:val="002A4757"/>
    <w:rsid w:val="002A6CD6"/>
    <w:rsid w:val="002B0191"/>
    <w:rsid w:val="002B0260"/>
    <w:rsid w:val="002B281A"/>
    <w:rsid w:val="002B452D"/>
    <w:rsid w:val="002B54F9"/>
    <w:rsid w:val="002B6227"/>
    <w:rsid w:val="002B62DA"/>
    <w:rsid w:val="002B79EF"/>
    <w:rsid w:val="002C0CAC"/>
    <w:rsid w:val="002C0F0C"/>
    <w:rsid w:val="002C225F"/>
    <w:rsid w:val="002C333C"/>
    <w:rsid w:val="002C4DB8"/>
    <w:rsid w:val="002C52D6"/>
    <w:rsid w:val="002C67EC"/>
    <w:rsid w:val="002C6F76"/>
    <w:rsid w:val="002C6FF7"/>
    <w:rsid w:val="002D372A"/>
    <w:rsid w:val="002D3FF1"/>
    <w:rsid w:val="002D5611"/>
    <w:rsid w:val="002D689D"/>
    <w:rsid w:val="002D7BE9"/>
    <w:rsid w:val="002E0650"/>
    <w:rsid w:val="002E255B"/>
    <w:rsid w:val="002E4B96"/>
    <w:rsid w:val="002E50CA"/>
    <w:rsid w:val="002F1020"/>
    <w:rsid w:val="002F3377"/>
    <w:rsid w:val="002F3CCF"/>
    <w:rsid w:val="002F46EB"/>
    <w:rsid w:val="002F496F"/>
    <w:rsid w:val="002F5B4B"/>
    <w:rsid w:val="002F7B3A"/>
    <w:rsid w:val="002F7DF8"/>
    <w:rsid w:val="003043DE"/>
    <w:rsid w:val="00304CEA"/>
    <w:rsid w:val="0030716A"/>
    <w:rsid w:val="003077B0"/>
    <w:rsid w:val="003078CC"/>
    <w:rsid w:val="003131EE"/>
    <w:rsid w:val="00315986"/>
    <w:rsid w:val="00316F75"/>
    <w:rsid w:val="00317D85"/>
    <w:rsid w:val="0032023C"/>
    <w:rsid w:val="00320534"/>
    <w:rsid w:val="00320C76"/>
    <w:rsid w:val="00323CC8"/>
    <w:rsid w:val="0032738B"/>
    <w:rsid w:val="0032790F"/>
    <w:rsid w:val="00335BAD"/>
    <w:rsid w:val="00336242"/>
    <w:rsid w:val="00337163"/>
    <w:rsid w:val="00337C8D"/>
    <w:rsid w:val="003418C9"/>
    <w:rsid w:val="00344220"/>
    <w:rsid w:val="00345DF7"/>
    <w:rsid w:val="003534A9"/>
    <w:rsid w:val="00355C89"/>
    <w:rsid w:val="00357E18"/>
    <w:rsid w:val="003623C2"/>
    <w:rsid w:val="003631A4"/>
    <w:rsid w:val="00366F17"/>
    <w:rsid w:val="00371327"/>
    <w:rsid w:val="00373C3E"/>
    <w:rsid w:val="00374904"/>
    <w:rsid w:val="00376E73"/>
    <w:rsid w:val="00377F0C"/>
    <w:rsid w:val="0038061E"/>
    <w:rsid w:val="00382BC8"/>
    <w:rsid w:val="00383227"/>
    <w:rsid w:val="00383537"/>
    <w:rsid w:val="0038491B"/>
    <w:rsid w:val="00387B16"/>
    <w:rsid w:val="003927B2"/>
    <w:rsid w:val="00392AF0"/>
    <w:rsid w:val="003941B2"/>
    <w:rsid w:val="0039445C"/>
    <w:rsid w:val="00394B79"/>
    <w:rsid w:val="00394E93"/>
    <w:rsid w:val="0039558D"/>
    <w:rsid w:val="0039595B"/>
    <w:rsid w:val="00395CD9"/>
    <w:rsid w:val="0039775F"/>
    <w:rsid w:val="00397A4E"/>
    <w:rsid w:val="003A3CA0"/>
    <w:rsid w:val="003A42DC"/>
    <w:rsid w:val="003A59F9"/>
    <w:rsid w:val="003A64C9"/>
    <w:rsid w:val="003A6ED4"/>
    <w:rsid w:val="003B3C6D"/>
    <w:rsid w:val="003B42DE"/>
    <w:rsid w:val="003B46E5"/>
    <w:rsid w:val="003B51D5"/>
    <w:rsid w:val="003B5C66"/>
    <w:rsid w:val="003B7BD6"/>
    <w:rsid w:val="003C3999"/>
    <w:rsid w:val="003C5294"/>
    <w:rsid w:val="003C557B"/>
    <w:rsid w:val="003C6713"/>
    <w:rsid w:val="003C6838"/>
    <w:rsid w:val="003C6DC0"/>
    <w:rsid w:val="003D108A"/>
    <w:rsid w:val="003D36A5"/>
    <w:rsid w:val="003D4C5B"/>
    <w:rsid w:val="003D5CCA"/>
    <w:rsid w:val="003D6217"/>
    <w:rsid w:val="003D6C01"/>
    <w:rsid w:val="003E16EA"/>
    <w:rsid w:val="003E34D4"/>
    <w:rsid w:val="003E439A"/>
    <w:rsid w:val="003E450D"/>
    <w:rsid w:val="003F0CF9"/>
    <w:rsid w:val="003F20E1"/>
    <w:rsid w:val="003F60DD"/>
    <w:rsid w:val="003F61A4"/>
    <w:rsid w:val="003F6F90"/>
    <w:rsid w:val="00401C1E"/>
    <w:rsid w:val="004111FB"/>
    <w:rsid w:val="004124CC"/>
    <w:rsid w:val="00413681"/>
    <w:rsid w:val="00413845"/>
    <w:rsid w:val="00417F49"/>
    <w:rsid w:val="004220CF"/>
    <w:rsid w:val="004228A8"/>
    <w:rsid w:val="00423128"/>
    <w:rsid w:val="00424E93"/>
    <w:rsid w:val="00425143"/>
    <w:rsid w:val="00425CD8"/>
    <w:rsid w:val="00426041"/>
    <w:rsid w:val="0042729D"/>
    <w:rsid w:val="00431284"/>
    <w:rsid w:val="00432415"/>
    <w:rsid w:val="00434ADA"/>
    <w:rsid w:val="00434F60"/>
    <w:rsid w:val="00437722"/>
    <w:rsid w:val="004419E0"/>
    <w:rsid w:val="0044459A"/>
    <w:rsid w:val="00444CF5"/>
    <w:rsid w:val="00445824"/>
    <w:rsid w:val="00446EE6"/>
    <w:rsid w:val="00450F72"/>
    <w:rsid w:val="00453C17"/>
    <w:rsid w:val="00456FE7"/>
    <w:rsid w:val="00457129"/>
    <w:rsid w:val="004574E8"/>
    <w:rsid w:val="00460266"/>
    <w:rsid w:val="00460C87"/>
    <w:rsid w:val="00461974"/>
    <w:rsid w:val="004619BD"/>
    <w:rsid w:val="00465C0C"/>
    <w:rsid w:val="00466DA0"/>
    <w:rsid w:val="0047001A"/>
    <w:rsid w:val="004724E6"/>
    <w:rsid w:val="00472BE5"/>
    <w:rsid w:val="00473CD1"/>
    <w:rsid w:val="00474512"/>
    <w:rsid w:val="004770D5"/>
    <w:rsid w:val="004779CE"/>
    <w:rsid w:val="00482611"/>
    <w:rsid w:val="004839CB"/>
    <w:rsid w:val="00483FB3"/>
    <w:rsid w:val="00487263"/>
    <w:rsid w:val="00490B38"/>
    <w:rsid w:val="00492497"/>
    <w:rsid w:val="00492AC4"/>
    <w:rsid w:val="004930F0"/>
    <w:rsid w:val="00497C6E"/>
    <w:rsid w:val="004A15ED"/>
    <w:rsid w:val="004B0C36"/>
    <w:rsid w:val="004B2058"/>
    <w:rsid w:val="004B3A15"/>
    <w:rsid w:val="004B712A"/>
    <w:rsid w:val="004C2F89"/>
    <w:rsid w:val="004C4ABB"/>
    <w:rsid w:val="004C4B84"/>
    <w:rsid w:val="004C5BC4"/>
    <w:rsid w:val="004D1251"/>
    <w:rsid w:val="004D2B77"/>
    <w:rsid w:val="004D4BF2"/>
    <w:rsid w:val="004D7DEE"/>
    <w:rsid w:val="004E07E7"/>
    <w:rsid w:val="004E3029"/>
    <w:rsid w:val="004E3E6B"/>
    <w:rsid w:val="004E586F"/>
    <w:rsid w:val="004E5D4B"/>
    <w:rsid w:val="004E6B1A"/>
    <w:rsid w:val="004F4D59"/>
    <w:rsid w:val="004F778B"/>
    <w:rsid w:val="004F7F03"/>
    <w:rsid w:val="00501A8B"/>
    <w:rsid w:val="00502B93"/>
    <w:rsid w:val="00504A90"/>
    <w:rsid w:val="00506D10"/>
    <w:rsid w:val="00510EBF"/>
    <w:rsid w:val="0051105E"/>
    <w:rsid w:val="00511497"/>
    <w:rsid w:val="0051462C"/>
    <w:rsid w:val="0051524C"/>
    <w:rsid w:val="00515479"/>
    <w:rsid w:val="00515F49"/>
    <w:rsid w:val="00516D56"/>
    <w:rsid w:val="00522106"/>
    <w:rsid w:val="005230EC"/>
    <w:rsid w:val="005236FB"/>
    <w:rsid w:val="00524392"/>
    <w:rsid w:val="00526FB3"/>
    <w:rsid w:val="005316DA"/>
    <w:rsid w:val="0053216D"/>
    <w:rsid w:val="00532B9F"/>
    <w:rsid w:val="00533784"/>
    <w:rsid w:val="00534CE9"/>
    <w:rsid w:val="005358A8"/>
    <w:rsid w:val="00537E89"/>
    <w:rsid w:val="005409A3"/>
    <w:rsid w:val="00542A4F"/>
    <w:rsid w:val="005441E2"/>
    <w:rsid w:val="005447E1"/>
    <w:rsid w:val="005448A2"/>
    <w:rsid w:val="00550C8D"/>
    <w:rsid w:val="005534B5"/>
    <w:rsid w:val="00553D8C"/>
    <w:rsid w:val="005549E2"/>
    <w:rsid w:val="005604FE"/>
    <w:rsid w:val="005607E9"/>
    <w:rsid w:val="005616AA"/>
    <w:rsid w:val="00561DEA"/>
    <w:rsid w:val="0056201B"/>
    <w:rsid w:val="005626A4"/>
    <w:rsid w:val="00562B93"/>
    <w:rsid w:val="00564CD4"/>
    <w:rsid w:val="005665C2"/>
    <w:rsid w:val="005667B3"/>
    <w:rsid w:val="00567E73"/>
    <w:rsid w:val="00571441"/>
    <w:rsid w:val="00574EE6"/>
    <w:rsid w:val="005754E9"/>
    <w:rsid w:val="00580097"/>
    <w:rsid w:val="00580A4C"/>
    <w:rsid w:val="00580F99"/>
    <w:rsid w:val="005810A0"/>
    <w:rsid w:val="00581672"/>
    <w:rsid w:val="0058478A"/>
    <w:rsid w:val="005851C3"/>
    <w:rsid w:val="005859A0"/>
    <w:rsid w:val="00585D60"/>
    <w:rsid w:val="00585F2B"/>
    <w:rsid w:val="00590C82"/>
    <w:rsid w:val="00591AAE"/>
    <w:rsid w:val="00593EDA"/>
    <w:rsid w:val="00596F3C"/>
    <w:rsid w:val="005A1718"/>
    <w:rsid w:val="005A28EA"/>
    <w:rsid w:val="005A4A49"/>
    <w:rsid w:val="005A7E22"/>
    <w:rsid w:val="005B1261"/>
    <w:rsid w:val="005B6C77"/>
    <w:rsid w:val="005C146C"/>
    <w:rsid w:val="005C31FF"/>
    <w:rsid w:val="005C4533"/>
    <w:rsid w:val="005C4740"/>
    <w:rsid w:val="005C5119"/>
    <w:rsid w:val="005C57E9"/>
    <w:rsid w:val="005C6EC4"/>
    <w:rsid w:val="005C701E"/>
    <w:rsid w:val="005D2225"/>
    <w:rsid w:val="005D3F09"/>
    <w:rsid w:val="005D73B3"/>
    <w:rsid w:val="005E3D56"/>
    <w:rsid w:val="005E51DE"/>
    <w:rsid w:val="005E7A78"/>
    <w:rsid w:val="005F2B01"/>
    <w:rsid w:val="005F37F4"/>
    <w:rsid w:val="005F391A"/>
    <w:rsid w:val="005F79B7"/>
    <w:rsid w:val="00601712"/>
    <w:rsid w:val="00603C01"/>
    <w:rsid w:val="00603CB8"/>
    <w:rsid w:val="00603DBD"/>
    <w:rsid w:val="00604293"/>
    <w:rsid w:val="00605147"/>
    <w:rsid w:val="0060694B"/>
    <w:rsid w:val="006103F4"/>
    <w:rsid w:val="0061057C"/>
    <w:rsid w:val="0062023C"/>
    <w:rsid w:val="0062075D"/>
    <w:rsid w:val="00620F47"/>
    <w:rsid w:val="0062135C"/>
    <w:rsid w:val="006214B9"/>
    <w:rsid w:val="00626A52"/>
    <w:rsid w:val="00631518"/>
    <w:rsid w:val="006316B5"/>
    <w:rsid w:val="0063242A"/>
    <w:rsid w:val="006344EB"/>
    <w:rsid w:val="00634CD7"/>
    <w:rsid w:val="0063507B"/>
    <w:rsid w:val="00637B56"/>
    <w:rsid w:val="00640FA7"/>
    <w:rsid w:val="00641A1B"/>
    <w:rsid w:val="00642A84"/>
    <w:rsid w:val="00642CD6"/>
    <w:rsid w:val="00643768"/>
    <w:rsid w:val="006470F3"/>
    <w:rsid w:val="00647AA2"/>
    <w:rsid w:val="00651ECB"/>
    <w:rsid w:val="00651F2A"/>
    <w:rsid w:val="00660BEB"/>
    <w:rsid w:val="00663D02"/>
    <w:rsid w:val="0066403C"/>
    <w:rsid w:val="00664B27"/>
    <w:rsid w:val="0066572D"/>
    <w:rsid w:val="00665DB0"/>
    <w:rsid w:val="00665F14"/>
    <w:rsid w:val="00667C4C"/>
    <w:rsid w:val="00667E50"/>
    <w:rsid w:val="00672555"/>
    <w:rsid w:val="00673C19"/>
    <w:rsid w:val="006742CE"/>
    <w:rsid w:val="00674634"/>
    <w:rsid w:val="006764EE"/>
    <w:rsid w:val="006809F6"/>
    <w:rsid w:val="00680D8A"/>
    <w:rsid w:val="0069036C"/>
    <w:rsid w:val="00692532"/>
    <w:rsid w:val="0069677A"/>
    <w:rsid w:val="00697296"/>
    <w:rsid w:val="006A18C7"/>
    <w:rsid w:val="006A1A46"/>
    <w:rsid w:val="006A7A82"/>
    <w:rsid w:val="006B51E2"/>
    <w:rsid w:val="006B57A3"/>
    <w:rsid w:val="006C1736"/>
    <w:rsid w:val="006C1D39"/>
    <w:rsid w:val="006C314B"/>
    <w:rsid w:val="006C36E2"/>
    <w:rsid w:val="006C4A51"/>
    <w:rsid w:val="006C6075"/>
    <w:rsid w:val="006C655C"/>
    <w:rsid w:val="006D0A5D"/>
    <w:rsid w:val="006D328D"/>
    <w:rsid w:val="006D4EE8"/>
    <w:rsid w:val="006D65C0"/>
    <w:rsid w:val="006D78BC"/>
    <w:rsid w:val="006E0DE1"/>
    <w:rsid w:val="006F0069"/>
    <w:rsid w:val="006F1A15"/>
    <w:rsid w:val="006F54D4"/>
    <w:rsid w:val="006F5528"/>
    <w:rsid w:val="00700806"/>
    <w:rsid w:val="00702071"/>
    <w:rsid w:val="00702EDB"/>
    <w:rsid w:val="007047B3"/>
    <w:rsid w:val="007049C8"/>
    <w:rsid w:val="007066CA"/>
    <w:rsid w:val="00707035"/>
    <w:rsid w:val="007117C3"/>
    <w:rsid w:val="00711F24"/>
    <w:rsid w:val="00712926"/>
    <w:rsid w:val="00715981"/>
    <w:rsid w:val="00716055"/>
    <w:rsid w:val="00717AF2"/>
    <w:rsid w:val="00721D44"/>
    <w:rsid w:val="00722EC3"/>
    <w:rsid w:val="00726DC0"/>
    <w:rsid w:val="00727A3A"/>
    <w:rsid w:val="00732F09"/>
    <w:rsid w:val="00734B73"/>
    <w:rsid w:val="0073655B"/>
    <w:rsid w:val="0074027C"/>
    <w:rsid w:val="0074265B"/>
    <w:rsid w:val="00743BB0"/>
    <w:rsid w:val="007456BF"/>
    <w:rsid w:val="00745761"/>
    <w:rsid w:val="007461B3"/>
    <w:rsid w:val="00746744"/>
    <w:rsid w:val="00746CB5"/>
    <w:rsid w:val="00747806"/>
    <w:rsid w:val="00747A2F"/>
    <w:rsid w:val="00747FEB"/>
    <w:rsid w:val="00750026"/>
    <w:rsid w:val="0075125E"/>
    <w:rsid w:val="00752343"/>
    <w:rsid w:val="00756EB7"/>
    <w:rsid w:val="00760B52"/>
    <w:rsid w:val="007610C1"/>
    <w:rsid w:val="00761983"/>
    <w:rsid w:val="00762C8A"/>
    <w:rsid w:val="007644F2"/>
    <w:rsid w:val="007653EF"/>
    <w:rsid w:val="007666B9"/>
    <w:rsid w:val="0076781B"/>
    <w:rsid w:val="00770C0E"/>
    <w:rsid w:val="00771A53"/>
    <w:rsid w:val="00777A91"/>
    <w:rsid w:val="00780017"/>
    <w:rsid w:val="00780785"/>
    <w:rsid w:val="007809C5"/>
    <w:rsid w:val="007809D5"/>
    <w:rsid w:val="0078149D"/>
    <w:rsid w:val="00782D46"/>
    <w:rsid w:val="00782EBC"/>
    <w:rsid w:val="00783108"/>
    <w:rsid w:val="00783158"/>
    <w:rsid w:val="00785425"/>
    <w:rsid w:val="00785458"/>
    <w:rsid w:val="007855DD"/>
    <w:rsid w:val="007907FE"/>
    <w:rsid w:val="00791E51"/>
    <w:rsid w:val="007A0474"/>
    <w:rsid w:val="007A4495"/>
    <w:rsid w:val="007A51E1"/>
    <w:rsid w:val="007A5C77"/>
    <w:rsid w:val="007A7572"/>
    <w:rsid w:val="007B25C6"/>
    <w:rsid w:val="007B3E0F"/>
    <w:rsid w:val="007B4DF9"/>
    <w:rsid w:val="007B6816"/>
    <w:rsid w:val="007B7D4B"/>
    <w:rsid w:val="007C22AD"/>
    <w:rsid w:val="007C44A8"/>
    <w:rsid w:val="007C4E02"/>
    <w:rsid w:val="007C6DFC"/>
    <w:rsid w:val="007D03BE"/>
    <w:rsid w:val="007D0566"/>
    <w:rsid w:val="007D2226"/>
    <w:rsid w:val="007D5D5E"/>
    <w:rsid w:val="007D75BB"/>
    <w:rsid w:val="007D784B"/>
    <w:rsid w:val="007D79CE"/>
    <w:rsid w:val="007E10E1"/>
    <w:rsid w:val="007E138C"/>
    <w:rsid w:val="007E13D4"/>
    <w:rsid w:val="007E2DDC"/>
    <w:rsid w:val="007E471C"/>
    <w:rsid w:val="007E4D75"/>
    <w:rsid w:val="007E60FA"/>
    <w:rsid w:val="007E680A"/>
    <w:rsid w:val="007F46E5"/>
    <w:rsid w:val="007F788E"/>
    <w:rsid w:val="008009A4"/>
    <w:rsid w:val="00801DAE"/>
    <w:rsid w:val="00803039"/>
    <w:rsid w:val="008039CB"/>
    <w:rsid w:val="00813100"/>
    <w:rsid w:val="008149D9"/>
    <w:rsid w:val="0081595A"/>
    <w:rsid w:val="00815DBB"/>
    <w:rsid w:val="008164AF"/>
    <w:rsid w:val="008175BC"/>
    <w:rsid w:val="008178DB"/>
    <w:rsid w:val="00820D6C"/>
    <w:rsid w:val="0082198C"/>
    <w:rsid w:val="00822A8B"/>
    <w:rsid w:val="008259C2"/>
    <w:rsid w:val="00825BA3"/>
    <w:rsid w:val="008260BD"/>
    <w:rsid w:val="00826C71"/>
    <w:rsid w:val="00831853"/>
    <w:rsid w:val="008326B6"/>
    <w:rsid w:val="0083394A"/>
    <w:rsid w:val="008340EC"/>
    <w:rsid w:val="00834B00"/>
    <w:rsid w:val="00835356"/>
    <w:rsid w:val="0083776C"/>
    <w:rsid w:val="00841D8A"/>
    <w:rsid w:val="00843095"/>
    <w:rsid w:val="0084575F"/>
    <w:rsid w:val="00845EB9"/>
    <w:rsid w:val="0085174C"/>
    <w:rsid w:val="00852467"/>
    <w:rsid w:val="00853609"/>
    <w:rsid w:val="00854C2A"/>
    <w:rsid w:val="008557AC"/>
    <w:rsid w:val="008574FE"/>
    <w:rsid w:val="00857C35"/>
    <w:rsid w:val="0086275C"/>
    <w:rsid w:val="00866604"/>
    <w:rsid w:val="00866A85"/>
    <w:rsid w:val="00867325"/>
    <w:rsid w:val="00867F20"/>
    <w:rsid w:val="008714CB"/>
    <w:rsid w:val="008719BD"/>
    <w:rsid w:val="00871D0B"/>
    <w:rsid w:val="008733ED"/>
    <w:rsid w:val="00876351"/>
    <w:rsid w:val="00882E34"/>
    <w:rsid w:val="008830E6"/>
    <w:rsid w:val="008856B7"/>
    <w:rsid w:val="00885D07"/>
    <w:rsid w:val="00885DB2"/>
    <w:rsid w:val="00885FEF"/>
    <w:rsid w:val="00891011"/>
    <w:rsid w:val="0089416F"/>
    <w:rsid w:val="00894F93"/>
    <w:rsid w:val="008951CB"/>
    <w:rsid w:val="008A346D"/>
    <w:rsid w:val="008A35C7"/>
    <w:rsid w:val="008A6C95"/>
    <w:rsid w:val="008B074C"/>
    <w:rsid w:val="008B2BB1"/>
    <w:rsid w:val="008B41C2"/>
    <w:rsid w:val="008B7FC5"/>
    <w:rsid w:val="008C0D22"/>
    <w:rsid w:val="008C14DD"/>
    <w:rsid w:val="008C262C"/>
    <w:rsid w:val="008C3C0A"/>
    <w:rsid w:val="008C4AC0"/>
    <w:rsid w:val="008C4F11"/>
    <w:rsid w:val="008D02B0"/>
    <w:rsid w:val="008D29EA"/>
    <w:rsid w:val="008D68F5"/>
    <w:rsid w:val="008D722F"/>
    <w:rsid w:val="008D74AF"/>
    <w:rsid w:val="008E0500"/>
    <w:rsid w:val="008E2CEA"/>
    <w:rsid w:val="008E2EAF"/>
    <w:rsid w:val="008E534E"/>
    <w:rsid w:val="008E6261"/>
    <w:rsid w:val="008F01D0"/>
    <w:rsid w:val="008F0C9D"/>
    <w:rsid w:val="008F17B2"/>
    <w:rsid w:val="008F3394"/>
    <w:rsid w:val="008F3CCF"/>
    <w:rsid w:val="008F3CD8"/>
    <w:rsid w:val="008F4B8A"/>
    <w:rsid w:val="008F4D02"/>
    <w:rsid w:val="008F61B9"/>
    <w:rsid w:val="00901429"/>
    <w:rsid w:val="00903F1C"/>
    <w:rsid w:val="00905359"/>
    <w:rsid w:val="00905466"/>
    <w:rsid w:val="0090610B"/>
    <w:rsid w:val="009101A6"/>
    <w:rsid w:val="0091104A"/>
    <w:rsid w:val="009110D4"/>
    <w:rsid w:val="0091126F"/>
    <w:rsid w:val="0091409C"/>
    <w:rsid w:val="00920A5A"/>
    <w:rsid w:val="00920F64"/>
    <w:rsid w:val="009234CB"/>
    <w:rsid w:val="009236B2"/>
    <w:rsid w:val="00925346"/>
    <w:rsid w:val="00925DC2"/>
    <w:rsid w:val="009273C4"/>
    <w:rsid w:val="0093005A"/>
    <w:rsid w:val="00932C92"/>
    <w:rsid w:val="00934E14"/>
    <w:rsid w:val="0093589C"/>
    <w:rsid w:val="00936B46"/>
    <w:rsid w:val="00941418"/>
    <w:rsid w:val="009420ED"/>
    <w:rsid w:val="00943252"/>
    <w:rsid w:val="009438BE"/>
    <w:rsid w:val="009460DB"/>
    <w:rsid w:val="00950771"/>
    <w:rsid w:val="0095078F"/>
    <w:rsid w:val="00950DAA"/>
    <w:rsid w:val="009515E9"/>
    <w:rsid w:val="009517B2"/>
    <w:rsid w:val="00951FE9"/>
    <w:rsid w:val="009534A5"/>
    <w:rsid w:val="0095452B"/>
    <w:rsid w:val="0096293F"/>
    <w:rsid w:val="009657D7"/>
    <w:rsid w:val="00965A7D"/>
    <w:rsid w:val="0096752F"/>
    <w:rsid w:val="0097059A"/>
    <w:rsid w:val="00972CBA"/>
    <w:rsid w:val="0097399D"/>
    <w:rsid w:val="00973C9F"/>
    <w:rsid w:val="00977EB1"/>
    <w:rsid w:val="0098149F"/>
    <w:rsid w:val="009826C7"/>
    <w:rsid w:val="009836E0"/>
    <w:rsid w:val="00984A1A"/>
    <w:rsid w:val="00984FED"/>
    <w:rsid w:val="0098522C"/>
    <w:rsid w:val="00985E2C"/>
    <w:rsid w:val="00987E14"/>
    <w:rsid w:val="009909EE"/>
    <w:rsid w:val="00996546"/>
    <w:rsid w:val="009A1206"/>
    <w:rsid w:val="009A16DA"/>
    <w:rsid w:val="009A193D"/>
    <w:rsid w:val="009A1B3C"/>
    <w:rsid w:val="009A410D"/>
    <w:rsid w:val="009A46B3"/>
    <w:rsid w:val="009B0890"/>
    <w:rsid w:val="009B47B7"/>
    <w:rsid w:val="009C0CFC"/>
    <w:rsid w:val="009C1692"/>
    <w:rsid w:val="009C16E8"/>
    <w:rsid w:val="009C52A0"/>
    <w:rsid w:val="009C5C1A"/>
    <w:rsid w:val="009C718D"/>
    <w:rsid w:val="009D014A"/>
    <w:rsid w:val="009D3763"/>
    <w:rsid w:val="009D7432"/>
    <w:rsid w:val="009E0FF2"/>
    <w:rsid w:val="009E17CA"/>
    <w:rsid w:val="009E347E"/>
    <w:rsid w:val="009E5258"/>
    <w:rsid w:val="009E57FE"/>
    <w:rsid w:val="009E6BD2"/>
    <w:rsid w:val="009E7955"/>
    <w:rsid w:val="009F0EB2"/>
    <w:rsid w:val="009F11E3"/>
    <w:rsid w:val="009F3D05"/>
    <w:rsid w:val="009F5476"/>
    <w:rsid w:val="009F669B"/>
    <w:rsid w:val="00A00CFB"/>
    <w:rsid w:val="00A02DD9"/>
    <w:rsid w:val="00A02E31"/>
    <w:rsid w:val="00A03234"/>
    <w:rsid w:val="00A0427B"/>
    <w:rsid w:val="00A04C22"/>
    <w:rsid w:val="00A0637D"/>
    <w:rsid w:val="00A06703"/>
    <w:rsid w:val="00A06D63"/>
    <w:rsid w:val="00A12D94"/>
    <w:rsid w:val="00A13BEC"/>
    <w:rsid w:val="00A14845"/>
    <w:rsid w:val="00A1521C"/>
    <w:rsid w:val="00A16EA5"/>
    <w:rsid w:val="00A21D80"/>
    <w:rsid w:val="00A237EA"/>
    <w:rsid w:val="00A239AA"/>
    <w:rsid w:val="00A25876"/>
    <w:rsid w:val="00A3032B"/>
    <w:rsid w:val="00A34490"/>
    <w:rsid w:val="00A34778"/>
    <w:rsid w:val="00A34C19"/>
    <w:rsid w:val="00A350D1"/>
    <w:rsid w:val="00A35C89"/>
    <w:rsid w:val="00A41B40"/>
    <w:rsid w:val="00A4422E"/>
    <w:rsid w:val="00A4432A"/>
    <w:rsid w:val="00A45FC6"/>
    <w:rsid w:val="00A50204"/>
    <w:rsid w:val="00A5050B"/>
    <w:rsid w:val="00A50B4E"/>
    <w:rsid w:val="00A56427"/>
    <w:rsid w:val="00A56995"/>
    <w:rsid w:val="00A613D2"/>
    <w:rsid w:val="00A664AD"/>
    <w:rsid w:val="00A66C4C"/>
    <w:rsid w:val="00A67723"/>
    <w:rsid w:val="00A67764"/>
    <w:rsid w:val="00A67B89"/>
    <w:rsid w:val="00A70466"/>
    <w:rsid w:val="00A70B29"/>
    <w:rsid w:val="00A711BB"/>
    <w:rsid w:val="00A7124C"/>
    <w:rsid w:val="00A732EA"/>
    <w:rsid w:val="00A74DDE"/>
    <w:rsid w:val="00A76164"/>
    <w:rsid w:val="00A76226"/>
    <w:rsid w:val="00A76B8E"/>
    <w:rsid w:val="00A81135"/>
    <w:rsid w:val="00A82789"/>
    <w:rsid w:val="00A8312C"/>
    <w:rsid w:val="00A84639"/>
    <w:rsid w:val="00A84780"/>
    <w:rsid w:val="00A84794"/>
    <w:rsid w:val="00A93EE8"/>
    <w:rsid w:val="00A95F36"/>
    <w:rsid w:val="00A97537"/>
    <w:rsid w:val="00A9777A"/>
    <w:rsid w:val="00A97C92"/>
    <w:rsid w:val="00AA24B8"/>
    <w:rsid w:val="00AA2752"/>
    <w:rsid w:val="00AA3154"/>
    <w:rsid w:val="00AA41B0"/>
    <w:rsid w:val="00AA4624"/>
    <w:rsid w:val="00AB0E37"/>
    <w:rsid w:val="00AB1067"/>
    <w:rsid w:val="00AB10D9"/>
    <w:rsid w:val="00AB20C5"/>
    <w:rsid w:val="00AB2B09"/>
    <w:rsid w:val="00AB2F7F"/>
    <w:rsid w:val="00AB3176"/>
    <w:rsid w:val="00AB487E"/>
    <w:rsid w:val="00AB5C63"/>
    <w:rsid w:val="00AB68D7"/>
    <w:rsid w:val="00AB6CAA"/>
    <w:rsid w:val="00AB735E"/>
    <w:rsid w:val="00AC0BC8"/>
    <w:rsid w:val="00AC0C11"/>
    <w:rsid w:val="00AC18AF"/>
    <w:rsid w:val="00AC1C81"/>
    <w:rsid w:val="00AC1FF9"/>
    <w:rsid w:val="00AC3264"/>
    <w:rsid w:val="00AC6426"/>
    <w:rsid w:val="00AC7EF6"/>
    <w:rsid w:val="00AD04FE"/>
    <w:rsid w:val="00AD1AF2"/>
    <w:rsid w:val="00AD31FD"/>
    <w:rsid w:val="00AD347B"/>
    <w:rsid w:val="00AD35EA"/>
    <w:rsid w:val="00AD54DB"/>
    <w:rsid w:val="00AE1491"/>
    <w:rsid w:val="00AE252C"/>
    <w:rsid w:val="00AE484D"/>
    <w:rsid w:val="00AE5C21"/>
    <w:rsid w:val="00AE76A9"/>
    <w:rsid w:val="00AF1ADB"/>
    <w:rsid w:val="00AF48FD"/>
    <w:rsid w:val="00AF6FA7"/>
    <w:rsid w:val="00B0134A"/>
    <w:rsid w:val="00B0470E"/>
    <w:rsid w:val="00B10252"/>
    <w:rsid w:val="00B10347"/>
    <w:rsid w:val="00B152E4"/>
    <w:rsid w:val="00B163F2"/>
    <w:rsid w:val="00B203E2"/>
    <w:rsid w:val="00B224F0"/>
    <w:rsid w:val="00B24628"/>
    <w:rsid w:val="00B2543C"/>
    <w:rsid w:val="00B27343"/>
    <w:rsid w:val="00B307B4"/>
    <w:rsid w:val="00B310F8"/>
    <w:rsid w:val="00B32401"/>
    <w:rsid w:val="00B35ED4"/>
    <w:rsid w:val="00B3616E"/>
    <w:rsid w:val="00B3654B"/>
    <w:rsid w:val="00B36F2E"/>
    <w:rsid w:val="00B406C2"/>
    <w:rsid w:val="00B42AC2"/>
    <w:rsid w:val="00B43E2E"/>
    <w:rsid w:val="00B4592B"/>
    <w:rsid w:val="00B45AB4"/>
    <w:rsid w:val="00B51DE7"/>
    <w:rsid w:val="00B52F52"/>
    <w:rsid w:val="00B56098"/>
    <w:rsid w:val="00B57C74"/>
    <w:rsid w:val="00B61157"/>
    <w:rsid w:val="00B62B95"/>
    <w:rsid w:val="00B63E26"/>
    <w:rsid w:val="00B64A7E"/>
    <w:rsid w:val="00B64B57"/>
    <w:rsid w:val="00B64D88"/>
    <w:rsid w:val="00B6617C"/>
    <w:rsid w:val="00B67E3D"/>
    <w:rsid w:val="00B71B26"/>
    <w:rsid w:val="00B71FB1"/>
    <w:rsid w:val="00B72E07"/>
    <w:rsid w:val="00B733CB"/>
    <w:rsid w:val="00B73470"/>
    <w:rsid w:val="00B73E48"/>
    <w:rsid w:val="00B7556F"/>
    <w:rsid w:val="00B766FD"/>
    <w:rsid w:val="00B8068C"/>
    <w:rsid w:val="00B80ABD"/>
    <w:rsid w:val="00B81A69"/>
    <w:rsid w:val="00B82290"/>
    <w:rsid w:val="00B855F6"/>
    <w:rsid w:val="00B869F5"/>
    <w:rsid w:val="00B9061C"/>
    <w:rsid w:val="00B91493"/>
    <w:rsid w:val="00B9179C"/>
    <w:rsid w:val="00B918EC"/>
    <w:rsid w:val="00B925F6"/>
    <w:rsid w:val="00B92D25"/>
    <w:rsid w:val="00B94E6E"/>
    <w:rsid w:val="00B96B1B"/>
    <w:rsid w:val="00B96F5E"/>
    <w:rsid w:val="00B974C9"/>
    <w:rsid w:val="00BA23FF"/>
    <w:rsid w:val="00BA2B50"/>
    <w:rsid w:val="00BA2DFD"/>
    <w:rsid w:val="00BA422D"/>
    <w:rsid w:val="00BA7B7F"/>
    <w:rsid w:val="00BB00B9"/>
    <w:rsid w:val="00BB082F"/>
    <w:rsid w:val="00BB2F96"/>
    <w:rsid w:val="00BB5F98"/>
    <w:rsid w:val="00BB6881"/>
    <w:rsid w:val="00BB6B61"/>
    <w:rsid w:val="00BC6106"/>
    <w:rsid w:val="00BC783E"/>
    <w:rsid w:val="00BC7AF5"/>
    <w:rsid w:val="00BD0434"/>
    <w:rsid w:val="00BD14B5"/>
    <w:rsid w:val="00BD3C16"/>
    <w:rsid w:val="00BD57E4"/>
    <w:rsid w:val="00BD6F57"/>
    <w:rsid w:val="00BD7A1D"/>
    <w:rsid w:val="00BD7E09"/>
    <w:rsid w:val="00BE0ACF"/>
    <w:rsid w:val="00BE1EE0"/>
    <w:rsid w:val="00BE2DF8"/>
    <w:rsid w:val="00BE32AD"/>
    <w:rsid w:val="00BE35A8"/>
    <w:rsid w:val="00BE37E4"/>
    <w:rsid w:val="00BE416F"/>
    <w:rsid w:val="00BE5DF5"/>
    <w:rsid w:val="00BE6B9D"/>
    <w:rsid w:val="00BF08CF"/>
    <w:rsid w:val="00BF2893"/>
    <w:rsid w:val="00BF3832"/>
    <w:rsid w:val="00BF3CD7"/>
    <w:rsid w:val="00BF4598"/>
    <w:rsid w:val="00BF4663"/>
    <w:rsid w:val="00BF4F38"/>
    <w:rsid w:val="00C023A4"/>
    <w:rsid w:val="00C030FF"/>
    <w:rsid w:val="00C04F80"/>
    <w:rsid w:val="00C055B6"/>
    <w:rsid w:val="00C06865"/>
    <w:rsid w:val="00C06AD5"/>
    <w:rsid w:val="00C07D19"/>
    <w:rsid w:val="00C13649"/>
    <w:rsid w:val="00C155BB"/>
    <w:rsid w:val="00C21F03"/>
    <w:rsid w:val="00C238D9"/>
    <w:rsid w:val="00C24713"/>
    <w:rsid w:val="00C25703"/>
    <w:rsid w:val="00C259E2"/>
    <w:rsid w:val="00C30974"/>
    <w:rsid w:val="00C30F12"/>
    <w:rsid w:val="00C36260"/>
    <w:rsid w:val="00C369A1"/>
    <w:rsid w:val="00C37135"/>
    <w:rsid w:val="00C402AE"/>
    <w:rsid w:val="00C40598"/>
    <w:rsid w:val="00C409B9"/>
    <w:rsid w:val="00C41130"/>
    <w:rsid w:val="00C43654"/>
    <w:rsid w:val="00C505AD"/>
    <w:rsid w:val="00C50765"/>
    <w:rsid w:val="00C52235"/>
    <w:rsid w:val="00C526A3"/>
    <w:rsid w:val="00C53DB1"/>
    <w:rsid w:val="00C54210"/>
    <w:rsid w:val="00C54C6A"/>
    <w:rsid w:val="00C56160"/>
    <w:rsid w:val="00C56782"/>
    <w:rsid w:val="00C56859"/>
    <w:rsid w:val="00C57049"/>
    <w:rsid w:val="00C570E9"/>
    <w:rsid w:val="00C633F9"/>
    <w:rsid w:val="00C64255"/>
    <w:rsid w:val="00C66AE9"/>
    <w:rsid w:val="00C70EFD"/>
    <w:rsid w:val="00C715B5"/>
    <w:rsid w:val="00C71A7B"/>
    <w:rsid w:val="00C71BF7"/>
    <w:rsid w:val="00C72D1C"/>
    <w:rsid w:val="00C7795E"/>
    <w:rsid w:val="00C84768"/>
    <w:rsid w:val="00C86B35"/>
    <w:rsid w:val="00C87746"/>
    <w:rsid w:val="00C87B96"/>
    <w:rsid w:val="00C87BE8"/>
    <w:rsid w:val="00C87E1E"/>
    <w:rsid w:val="00C87EAE"/>
    <w:rsid w:val="00C90F4E"/>
    <w:rsid w:val="00C91EA1"/>
    <w:rsid w:val="00C92DFA"/>
    <w:rsid w:val="00C93029"/>
    <w:rsid w:val="00C94E32"/>
    <w:rsid w:val="00C97B49"/>
    <w:rsid w:val="00CA0FC5"/>
    <w:rsid w:val="00CA1F87"/>
    <w:rsid w:val="00CA3211"/>
    <w:rsid w:val="00CA40E3"/>
    <w:rsid w:val="00CA41E5"/>
    <w:rsid w:val="00CA567F"/>
    <w:rsid w:val="00CA6597"/>
    <w:rsid w:val="00CB201F"/>
    <w:rsid w:val="00CB2E64"/>
    <w:rsid w:val="00CB337A"/>
    <w:rsid w:val="00CB6B58"/>
    <w:rsid w:val="00CC10E9"/>
    <w:rsid w:val="00CC2FB2"/>
    <w:rsid w:val="00CC69FB"/>
    <w:rsid w:val="00CC7B07"/>
    <w:rsid w:val="00CD034B"/>
    <w:rsid w:val="00CD04BE"/>
    <w:rsid w:val="00CD2DA2"/>
    <w:rsid w:val="00CD6E4E"/>
    <w:rsid w:val="00CE1A5C"/>
    <w:rsid w:val="00CE2B99"/>
    <w:rsid w:val="00CE5082"/>
    <w:rsid w:val="00CE51D5"/>
    <w:rsid w:val="00CF0816"/>
    <w:rsid w:val="00CF0C27"/>
    <w:rsid w:val="00CF1A73"/>
    <w:rsid w:val="00CF22E8"/>
    <w:rsid w:val="00CF4347"/>
    <w:rsid w:val="00CF509B"/>
    <w:rsid w:val="00CF5DCE"/>
    <w:rsid w:val="00CF760A"/>
    <w:rsid w:val="00CF7E19"/>
    <w:rsid w:val="00D02945"/>
    <w:rsid w:val="00D06481"/>
    <w:rsid w:val="00D07433"/>
    <w:rsid w:val="00D11686"/>
    <w:rsid w:val="00D11B22"/>
    <w:rsid w:val="00D1288F"/>
    <w:rsid w:val="00D15C51"/>
    <w:rsid w:val="00D16463"/>
    <w:rsid w:val="00D16A4B"/>
    <w:rsid w:val="00D178C3"/>
    <w:rsid w:val="00D21FB3"/>
    <w:rsid w:val="00D22EF8"/>
    <w:rsid w:val="00D23DBD"/>
    <w:rsid w:val="00D2518F"/>
    <w:rsid w:val="00D26D8C"/>
    <w:rsid w:val="00D3012D"/>
    <w:rsid w:val="00D318CE"/>
    <w:rsid w:val="00D3243A"/>
    <w:rsid w:val="00D32651"/>
    <w:rsid w:val="00D32B9A"/>
    <w:rsid w:val="00D32C27"/>
    <w:rsid w:val="00D33A7B"/>
    <w:rsid w:val="00D366AD"/>
    <w:rsid w:val="00D3769B"/>
    <w:rsid w:val="00D4069A"/>
    <w:rsid w:val="00D41C71"/>
    <w:rsid w:val="00D41D1C"/>
    <w:rsid w:val="00D4735E"/>
    <w:rsid w:val="00D474F6"/>
    <w:rsid w:val="00D510C6"/>
    <w:rsid w:val="00D516AC"/>
    <w:rsid w:val="00D51FD6"/>
    <w:rsid w:val="00D55BE3"/>
    <w:rsid w:val="00D60203"/>
    <w:rsid w:val="00D622E3"/>
    <w:rsid w:val="00D65737"/>
    <w:rsid w:val="00D66A45"/>
    <w:rsid w:val="00D70122"/>
    <w:rsid w:val="00D702F1"/>
    <w:rsid w:val="00D71594"/>
    <w:rsid w:val="00D7444D"/>
    <w:rsid w:val="00D805A1"/>
    <w:rsid w:val="00D80E0F"/>
    <w:rsid w:val="00D8218C"/>
    <w:rsid w:val="00D8310D"/>
    <w:rsid w:val="00D86422"/>
    <w:rsid w:val="00D86634"/>
    <w:rsid w:val="00D9434A"/>
    <w:rsid w:val="00D951E0"/>
    <w:rsid w:val="00D95437"/>
    <w:rsid w:val="00D9590D"/>
    <w:rsid w:val="00DA1D1D"/>
    <w:rsid w:val="00DA3D6F"/>
    <w:rsid w:val="00DA528D"/>
    <w:rsid w:val="00DA53CA"/>
    <w:rsid w:val="00DA6585"/>
    <w:rsid w:val="00DB0FBC"/>
    <w:rsid w:val="00DB17D3"/>
    <w:rsid w:val="00DB1A4B"/>
    <w:rsid w:val="00DB1C80"/>
    <w:rsid w:val="00DB4838"/>
    <w:rsid w:val="00DB58C3"/>
    <w:rsid w:val="00DB6EF8"/>
    <w:rsid w:val="00DC2F62"/>
    <w:rsid w:val="00DC4786"/>
    <w:rsid w:val="00DC55C5"/>
    <w:rsid w:val="00DC7324"/>
    <w:rsid w:val="00DC7CB5"/>
    <w:rsid w:val="00DD0F81"/>
    <w:rsid w:val="00DD1195"/>
    <w:rsid w:val="00DD15CA"/>
    <w:rsid w:val="00DD47C3"/>
    <w:rsid w:val="00DD5286"/>
    <w:rsid w:val="00DE1598"/>
    <w:rsid w:val="00DE1CA3"/>
    <w:rsid w:val="00DE30F1"/>
    <w:rsid w:val="00DE3B7B"/>
    <w:rsid w:val="00DE6D97"/>
    <w:rsid w:val="00DF2D3E"/>
    <w:rsid w:val="00DF3E98"/>
    <w:rsid w:val="00E01589"/>
    <w:rsid w:val="00E01A23"/>
    <w:rsid w:val="00E021DD"/>
    <w:rsid w:val="00E03166"/>
    <w:rsid w:val="00E06D47"/>
    <w:rsid w:val="00E12337"/>
    <w:rsid w:val="00E125CE"/>
    <w:rsid w:val="00E2133B"/>
    <w:rsid w:val="00E22BD2"/>
    <w:rsid w:val="00E25B13"/>
    <w:rsid w:val="00E262A8"/>
    <w:rsid w:val="00E267A7"/>
    <w:rsid w:val="00E30977"/>
    <w:rsid w:val="00E30CDC"/>
    <w:rsid w:val="00E33F74"/>
    <w:rsid w:val="00E358A4"/>
    <w:rsid w:val="00E420C4"/>
    <w:rsid w:val="00E434F3"/>
    <w:rsid w:val="00E447E3"/>
    <w:rsid w:val="00E44892"/>
    <w:rsid w:val="00E47CA3"/>
    <w:rsid w:val="00E50980"/>
    <w:rsid w:val="00E50AF4"/>
    <w:rsid w:val="00E51A56"/>
    <w:rsid w:val="00E525AB"/>
    <w:rsid w:val="00E526A0"/>
    <w:rsid w:val="00E53127"/>
    <w:rsid w:val="00E53717"/>
    <w:rsid w:val="00E600B1"/>
    <w:rsid w:val="00E61E82"/>
    <w:rsid w:val="00E668AD"/>
    <w:rsid w:val="00E70C9F"/>
    <w:rsid w:val="00E71466"/>
    <w:rsid w:val="00E71800"/>
    <w:rsid w:val="00E7280B"/>
    <w:rsid w:val="00E73D53"/>
    <w:rsid w:val="00E771DE"/>
    <w:rsid w:val="00E809D2"/>
    <w:rsid w:val="00E8320C"/>
    <w:rsid w:val="00E83D61"/>
    <w:rsid w:val="00E867E7"/>
    <w:rsid w:val="00E86E13"/>
    <w:rsid w:val="00E87FE2"/>
    <w:rsid w:val="00E9162D"/>
    <w:rsid w:val="00E93D52"/>
    <w:rsid w:val="00E94264"/>
    <w:rsid w:val="00E9667C"/>
    <w:rsid w:val="00E9787D"/>
    <w:rsid w:val="00EA0756"/>
    <w:rsid w:val="00EA219F"/>
    <w:rsid w:val="00EA236D"/>
    <w:rsid w:val="00EA2B7E"/>
    <w:rsid w:val="00EA3C1B"/>
    <w:rsid w:val="00EA69F5"/>
    <w:rsid w:val="00EA7E84"/>
    <w:rsid w:val="00EB2E32"/>
    <w:rsid w:val="00EB319B"/>
    <w:rsid w:val="00EB3B44"/>
    <w:rsid w:val="00EB4095"/>
    <w:rsid w:val="00EB48D3"/>
    <w:rsid w:val="00EB4B95"/>
    <w:rsid w:val="00EB7DFC"/>
    <w:rsid w:val="00EC07B8"/>
    <w:rsid w:val="00EC1A18"/>
    <w:rsid w:val="00EC23EB"/>
    <w:rsid w:val="00EC2514"/>
    <w:rsid w:val="00EC42E2"/>
    <w:rsid w:val="00EC5163"/>
    <w:rsid w:val="00EC7827"/>
    <w:rsid w:val="00ED03FB"/>
    <w:rsid w:val="00ED066A"/>
    <w:rsid w:val="00ED142D"/>
    <w:rsid w:val="00ED1D36"/>
    <w:rsid w:val="00ED605D"/>
    <w:rsid w:val="00ED74C8"/>
    <w:rsid w:val="00EE000F"/>
    <w:rsid w:val="00EE486C"/>
    <w:rsid w:val="00EE565A"/>
    <w:rsid w:val="00EE61C8"/>
    <w:rsid w:val="00EE6ED2"/>
    <w:rsid w:val="00EE764E"/>
    <w:rsid w:val="00EE7B4F"/>
    <w:rsid w:val="00EF4FA2"/>
    <w:rsid w:val="00EF7F27"/>
    <w:rsid w:val="00F02452"/>
    <w:rsid w:val="00F02AAA"/>
    <w:rsid w:val="00F03E08"/>
    <w:rsid w:val="00F0484F"/>
    <w:rsid w:val="00F04E07"/>
    <w:rsid w:val="00F05EC3"/>
    <w:rsid w:val="00F12BAE"/>
    <w:rsid w:val="00F131FA"/>
    <w:rsid w:val="00F13B09"/>
    <w:rsid w:val="00F13CBB"/>
    <w:rsid w:val="00F14ED4"/>
    <w:rsid w:val="00F156BA"/>
    <w:rsid w:val="00F163CA"/>
    <w:rsid w:val="00F20B20"/>
    <w:rsid w:val="00F21B20"/>
    <w:rsid w:val="00F24B62"/>
    <w:rsid w:val="00F24E3A"/>
    <w:rsid w:val="00F25268"/>
    <w:rsid w:val="00F25312"/>
    <w:rsid w:val="00F3288D"/>
    <w:rsid w:val="00F32B2C"/>
    <w:rsid w:val="00F33009"/>
    <w:rsid w:val="00F35AA5"/>
    <w:rsid w:val="00F35D4C"/>
    <w:rsid w:val="00F365A1"/>
    <w:rsid w:val="00F36F07"/>
    <w:rsid w:val="00F36F44"/>
    <w:rsid w:val="00F40BDE"/>
    <w:rsid w:val="00F412DB"/>
    <w:rsid w:val="00F41CC9"/>
    <w:rsid w:val="00F41DBF"/>
    <w:rsid w:val="00F446D7"/>
    <w:rsid w:val="00F44F25"/>
    <w:rsid w:val="00F47396"/>
    <w:rsid w:val="00F51379"/>
    <w:rsid w:val="00F530E9"/>
    <w:rsid w:val="00F57341"/>
    <w:rsid w:val="00F643ED"/>
    <w:rsid w:val="00F6514D"/>
    <w:rsid w:val="00F66339"/>
    <w:rsid w:val="00F66663"/>
    <w:rsid w:val="00F66EFF"/>
    <w:rsid w:val="00F66F30"/>
    <w:rsid w:val="00F67451"/>
    <w:rsid w:val="00F72420"/>
    <w:rsid w:val="00F72423"/>
    <w:rsid w:val="00F7449C"/>
    <w:rsid w:val="00F757F2"/>
    <w:rsid w:val="00F80122"/>
    <w:rsid w:val="00F80281"/>
    <w:rsid w:val="00F80809"/>
    <w:rsid w:val="00F8181D"/>
    <w:rsid w:val="00F82EF4"/>
    <w:rsid w:val="00F833D6"/>
    <w:rsid w:val="00F83D75"/>
    <w:rsid w:val="00F84FEE"/>
    <w:rsid w:val="00F90009"/>
    <w:rsid w:val="00F900FE"/>
    <w:rsid w:val="00F917F8"/>
    <w:rsid w:val="00F9269E"/>
    <w:rsid w:val="00F92857"/>
    <w:rsid w:val="00F92B84"/>
    <w:rsid w:val="00F9609A"/>
    <w:rsid w:val="00F96B5D"/>
    <w:rsid w:val="00F97E4B"/>
    <w:rsid w:val="00FA0BCA"/>
    <w:rsid w:val="00FA14B7"/>
    <w:rsid w:val="00FA2B97"/>
    <w:rsid w:val="00FA4A30"/>
    <w:rsid w:val="00FA744A"/>
    <w:rsid w:val="00FB08C2"/>
    <w:rsid w:val="00FB14E4"/>
    <w:rsid w:val="00FB1F7C"/>
    <w:rsid w:val="00FB226B"/>
    <w:rsid w:val="00FB2459"/>
    <w:rsid w:val="00FB26DE"/>
    <w:rsid w:val="00FB554F"/>
    <w:rsid w:val="00FC16F0"/>
    <w:rsid w:val="00FC750B"/>
    <w:rsid w:val="00FD0FEC"/>
    <w:rsid w:val="00FD4785"/>
    <w:rsid w:val="00FD4978"/>
    <w:rsid w:val="00FD7D25"/>
    <w:rsid w:val="00FE10AC"/>
    <w:rsid w:val="00FE4127"/>
    <w:rsid w:val="00FE6357"/>
    <w:rsid w:val="00FE653D"/>
    <w:rsid w:val="00FE698A"/>
    <w:rsid w:val="00FE7251"/>
    <w:rsid w:val="00FE7F3E"/>
    <w:rsid w:val="00FF198D"/>
    <w:rsid w:val="00FF50C9"/>
    <w:rsid w:val="00FF6AE5"/>
    <w:rsid w:val="01F620B0"/>
    <w:rsid w:val="02421BEB"/>
    <w:rsid w:val="024674A7"/>
    <w:rsid w:val="03956621"/>
    <w:rsid w:val="03A10AB7"/>
    <w:rsid w:val="04544762"/>
    <w:rsid w:val="05404D66"/>
    <w:rsid w:val="05C273AE"/>
    <w:rsid w:val="06EF50F3"/>
    <w:rsid w:val="07AC67F6"/>
    <w:rsid w:val="080B2CCA"/>
    <w:rsid w:val="082026D9"/>
    <w:rsid w:val="08E3595F"/>
    <w:rsid w:val="09221591"/>
    <w:rsid w:val="099854F1"/>
    <w:rsid w:val="0A2A5DB6"/>
    <w:rsid w:val="0AC13207"/>
    <w:rsid w:val="0B0C7C30"/>
    <w:rsid w:val="0B834141"/>
    <w:rsid w:val="0B8A3BF3"/>
    <w:rsid w:val="0B9723E7"/>
    <w:rsid w:val="0BF6224B"/>
    <w:rsid w:val="0BFC03B0"/>
    <w:rsid w:val="0D8F2D55"/>
    <w:rsid w:val="0DB967BF"/>
    <w:rsid w:val="0DD119C0"/>
    <w:rsid w:val="0E356E1C"/>
    <w:rsid w:val="0E921234"/>
    <w:rsid w:val="0F0A47CA"/>
    <w:rsid w:val="0F2C15E4"/>
    <w:rsid w:val="0F4F6487"/>
    <w:rsid w:val="0FC1214B"/>
    <w:rsid w:val="10473399"/>
    <w:rsid w:val="10FC4AD5"/>
    <w:rsid w:val="111D6B0D"/>
    <w:rsid w:val="112752D5"/>
    <w:rsid w:val="11286418"/>
    <w:rsid w:val="11292ECB"/>
    <w:rsid w:val="11D1367C"/>
    <w:rsid w:val="13AA5EEE"/>
    <w:rsid w:val="13DD1E18"/>
    <w:rsid w:val="13E02554"/>
    <w:rsid w:val="13FE065A"/>
    <w:rsid w:val="14642969"/>
    <w:rsid w:val="14AC114D"/>
    <w:rsid w:val="14B21D66"/>
    <w:rsid w:val="14E0492C"/>
    <w:rsid w:val="15373808"/>
    <w:rsid w:val="156267CB"/>
    <w:rsid w:val="1579629D"/>
    <w:rsid w:val="15E7702A"/>
    <w:rsid w:val="161A18A8"/>
    <w:rsid w:val="16933C3C"/>
    <w:rsid w:val="16EC0BFE"/>
    <w:rsid w:val="17146A14"/>
    <w:rsid w:val="17792AB5"/>
    <w:rsid w:val="18267EB1"/>
    <w:rsid w:val="18584E7B"/>
    <w:rsid w:val="187C6993"/>
    <w:rsid w:val="18C73BFF"/>
    <w:rsid w:val="191D0264"/>
    <w:rsid w:val="191F065C"/>
    <w:rsid w:val="193259DC"/>
    <w:rsid w:val="1A2B6D34"/>
    <w:rsid w:val="1A3E1671"/>
    <w:rsid w:val="1A5319EC"/>
    <w:rsid w:val="1A7B099D"/>
    <w:rsid w:val="1AB0600E"/>
    <w:rsid w:val="1AF4591A"/>
    <w:rsid w:val="1B072D64"/>
    <w:rsid w:val="1B450701"/>
    <w:rsid w:val="1C6F5381"/>
    <w:rsid w:val="1C7D68A5"/>
    <w:rsid w:val="1CB07AA1"/>
    <w:rsid w:val="1CEC3CE0"/>
    <w:rsid w:val="1D031111"/>
    <w:rsid w:val="1E133574"/>
    <w:rsid w:val="1EAD5683"/>
    <w:rsid w:val="1F1E064A"/>
    <w:rsid w:val="20353D26"/>
    <w:rsid w:val="211920DF"/>
    <w:rsid w:val="22117872"/>
    <w:rsid w:val="239C0B67"/>
    <w:rsid w:val="241008BA"/>
    <w:rsid w:val="244C0FC3"/>
    <w:rsid w:val="2491556A"/>
    <w:rsid w:val="24E96194"/>
    <w:rsid w:val="250D58AD"/>
    <w:rsid w:val="267869E6"/>
    <w:rsid w:val="27700503"/>
    <w:rsid w:val="2781730E"/>
    <w:rsid w:val="282770AD"/>
    <w:rsid w:val="282A7390"/>
    <w:rsid w:val="283B0BFF"/>
    <w:rsid w:val="285E457C"/>
    <w:rsid w:val="28DD01E3"/>
    <w:rsid w:val="28FE4280"/>
    <w:rsid w:val="2AB63555"/>
    <w:rsid w:val="2B570265"/>
    <w:rsid w:val="2B7200B3"/>
    <w:rsid w:val="2BAB1DAC"/>
    <w:rsid w:val="2BF43A08"/>
    <w:rsid w:val="2C420BFB"/>
    <w:rsid w:val="2CC42356"/>
    <w:rsid w:val="2CCD7ED2"/>
    <w:rsid w:val="2DA26205"/>
    <w:rsid w:val="2DB63F39"/>
    <w:rsid w:val="2DFF1B0A"/>
    <w:rsid w:val="2E433991"/>
    <w:rsid w:val="2E6120C3"/>
    <w:rsid w:val="2EE844DB"/>
    <w:rsid w:val="2F86014E"/>
    <w:rsid w:val="2FB31EC6"/>
    <w:rsid w:val="2FC90323"/>
    <w:rsid w:val="30020D32"/>
    <w:rsid w:val="303E3B17"/>
    <w:rsid w:val="30B10C19"/>
    <w:rsid w:val="31512761"/>
    <w:rsid w:val="31563565"/>
    <w:rsid w:val="32A71CA6"/>
    <w:rsid w:val="32C432D2"/>
    <w:rsid w:val="32F449A2"/>
    <w:rsid w:val="330D791C"/>
    <w:rsid w:val="339574E9"/>
    <w:rsid w:val="350C42FA"/>
    <w:rsid w:val="351340B8"/>
    <w:rsid w:val="353F21B8"/>
    <w:rsid w:val="356533BC"/>
    <w:rsid w:val="35BD6975"/>
    <w:rsid w:val="3653565A"/>
    <w:rsid w:val="371C6161"/>
    <w:rsid w:val="37241A53"/>
    <w:rsid w:val="37833D8E"/>
    <w:rsid w:val="386E1045"/>
    <w:rsid w:val="38780C0A"/>
    <w:rsid w:val="3AB876D6"/>
    <w:rsid w:val="3ADE0BB9"/>
    <w:rsid w:val="3B5D0030"/>
    <w:rsid w:val="3C0A0BD8"/>
    <w:rsid w:val="3C2376E0"/>
    <w:rsid w:val="3C887E00"/>
    <w:rsid w:val="3DAA4E4D"/>
    <w:rsid w:val="3E412C46"/>
    <w:rsid w:val="3E827E3C"/>
    <w:rsid w:val="3F4C6431"/>
    <w:rsid w:val="3FF625CC"/>
    <w:rsid w:val="400A595C"/>
    <w:rsid w:val="404041AC"/>
    <w:rsid w:val="40E34E64"/>
    <w:rsid w:val="411F7BB9"/>
    <w:rsid w:val="41DF74EE"/>
    <w:rsid w:val="424C3686"/>
    <w:rsid w:val="42A16DBD"/>
    <w:rsid w:val="42E44896"/>
    <w:rsid w:val="436C3A25"/>
    <w:rsid w:val="437F761C"/>
    <w:rsid w:val="44142995"/>
    <w:rsid w:val="443C1813"/>
    <w:rsid w:val="449A68BE"/>
    <w:rsid w:val="44AF3C4E"/>
    <w:rsid w:val="453C20FE"/>
    <w:rsid w:val="4646166F"/>
    <w:rsid w:val="465206DB"/>
    <w:rsid w:val="468F1BF2"/>
    <w:rsid w:val="46B95F45"/>
    <w:rsid w:val="474D66B7"/>
    <w:rsid w:val="47A2178D"/>
    <w:rsid w:val="47CD0A5B"/>
    <w:rsid w:val="484943ED"/>
    <w:rsid w:val="48A23697"/>
    <w:rsid w:val="490C025B"/>
    <w:rsid w:val="49920C72"/>
    <w:rsid w:val="49945C3A"/>
    <w:rsid w:val="49CA2677"/>
    <w:rsid w:val="4A5C4ADC"/>
    <w:rsid w:val="4AA568C0"/>
    <w:rsid w:val="4AD13741"/>
    <w:rsid w:val="4B6844DC"/>
    <w:rsid w:val="4BC34343"/>
    <w:rsid w:val="4C1A2744"/>
    <w:rsid w:val="4C240EB6"/>
    <w:rsid w:val="4C250F8D"/>
    <w:rsid w:val="4DC41B81"/>
    <w:rsid w:val="4E093DF7"/>
    <w:rsid w:val="4E12108B"/>
    <w:rsid w:val="4E4C0B1A"/>
    <w:rsid w:val="4E6A4AC9"/>
    <w:rsid w:val="4EA15AC2"/>
    <w:rsid w:val="5063285D"/>
    <w:rsid w:val="50905ED8"/>
    <w:rsid w:val="50B92061"/>
    <w:rsid w:val="50F25377"/>
    <w:rsid w:val="518850D7"/>
    <w:rsid w:val="518F4413"/>
    <w:rsid w:val="51A1008F"/>
    <w:rsid w:val="52DC6E23"/>
    <w:rsid w:val="52E572C1"/>
    <w:rsid w:val="53230E0D"/>
    <w:rsid w:val="544061E7"/>
    <w:rsid w:val="545F6AD9"/>
    <w:rsid w:val="548126D9"/>
    <w:rsid w:val="54BB5F28"/>
    <w:rsid w:val="556F1987"/>
    <w:rsid w:val="55935D52"/>
    <w:rsid w:val="566F2597"/>
    <w:rsid w:val="56E90E51"/>
    <w:rsid w:val="56F0729C"/>
    <w:rsid w:val="57E52233"/>
    <w:rsid w:val="57FE497E"/>
    <w:rsid w:val="587E77C4"/>
    <w:rsid w:val="58BB7B0E"/>
    <w:rsid w:val="58D16167"/>
    <w:rsid w:val="58D61B78"/>
    <w:rsid w:val="590D59A4"/>
    <w:rsid w:val="595D0C98"/>
    <w:rsid w:val="59BB0EE6"/>
    <w:rsid w:val="59CA4573"/>
    <w:rsid w:val="5AE570E4"/>
    <w:rsid w:val="5C5442C4"/>
    <w:rsid w:val="5CBC610E"/>
    <w:rsid w:val="5D0A23DE"/>
    <w:rsid w:val="5D1F2150"/>
    <w:rsid w:val="5D407C2C"/>
    <w:rsid w:val="5DEE737B"/>
    <w:rsid w:val="5E0E6FF2"/>
    <w:rsid w:val="5E5B7D1B"/>
    <w:rsid w:val="5EF008FB"/>
    <w:rsid w:val="5F216641"/>
    <w:rsid w:val="5F940C98"/>
    <w:rsid w:val="607271BF"/>
    <w:rsid w:val="609771C1"/>
    <w:rsid w:val="61E3066E"/>
    <w:rsid w:val="61E32A71"/>
    <w:rsid w:val="62477862"/>
    <w:rsid w:val="62F65555"/>
    <w:rsid w:val="637F6A6C"/>
    <w:rsid w:val="63937985"/>
    <w:rsid w:val="64102CC4"/>
    <w:rsid w:val="64C72901"/>
    <w:rsid w:val="64E70E96"/>
    <w:rsid w:val="65BD10C2"/>
    <w:rsid w:val="65CB2467"/>
    <w:rsid w:val="66974DA1"/>
    <w:rsid w:val="66CD7F2F"/>
    <w:rsid w:val="66DF788D"/>
    <w:rsid w:val="670E7EE1"/>
    <w:rsid w:val="6726690A"/>
    <w:rsid w:val="694742D5"/>
    <w:rsid w:val="69792311"/>
    <w:rsid w:val="69A4111B"/>
    <w:rsid w:val="6A50767A"/>
    <w:rsid w:val="6A514EBB"/>
    <w:rsid w:val="6B952785"/>
    <w:rsid w:val="6B990E80"/>
    <w:rsid w:val="6C2D1CD7"/>
    <w:rsid w:val="6C66133D"/>
    <w:rsid w:val="6C8D212C"/>
    <w:rsid w:val="6C9C56D8"/>
    <w:rsid w:val="6CF6137A"/>
    <w:rsid w:val="6D0045DF"/>
    <w:rsid w:val="6DAB299F"/>
    <w:rsid w:val="6DEB57AA"/>
    <w:rsid w:val="6EAE2F96"/>
    <w:rsid w:val="6F3E4D17"/>
    <w:rsid w:val="70D80CEF"/>
    <w:rsid w:val="71377B3C"/>
    <w:rsid w:val="715723DD"/>
    <w:rsid w:val="715A451A"/>
    <w:rsid w:val="716719D4"/>
    <w:rsid w:val="71BA7437"/>
    <w:rsid w:val="71D860E0"/>
    <w:rsid w:val="71F06B3A"/>
    <w:rsid w:val="725E5D9E"/>
    <w:rsid w:val="73345592"/>
    <w:rsid w:val="74393787"/>
    <w:rsid w:val="74A45D3A"/>
    <w:rsid w:val="74F55C06"/>
    <w:rsid w:val="75467F75"/>
    <w:rsid w:val="757A63D1"/>
    <w:rsid w:val="75D647AE"/>
    <w:rsid w:val="75ED6A48"/>
    <w:rsid w:val="76165C7B"/>
    <w:rsid w:val="765018DD"/>
    <w:rsid w:val="76FD7B19"/>
    <w:rsid w:val="777D4161"/>
    <w:rsid w:val="78844A42"/>
    <w:rsid w:val="79902601"/>
    <w:rsid w:val="79F452C0"/>
    <w:rsid w:val="79FD7D4E"/>
    <w:rsid w:val="7A442815"/>
    <w:rsid w:val="7A9A5099"/>
    <w:rsid w:val="7B2213E0"/>
    <w:rsid w:val="7C3956B3"/>
    <w:rsid w:val="7C772D35"/>
    <w:rsid w:val="7D375C99"/>
    <w:rsid w:val="7D70447D"/>
    <w:rsid w:val="7E37051E"/>
    <w:rsid w:val="7E600D9F"/>
    <w:rsid w:val="7EF6205C"/>
    <w:rsid w:val="7F374C6D"/>
    <w:rsid w:val="7FB402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7"/>
    <w:qFormat/>
    <w:uiPriority w:val="0"/>
    <w:pPr>
      <w:keepNext/>
      <w:keepLines/>
      <w:spacing w:line="578" w:lineRule="auto"/>
      <w:outlineLvl w:val="0"/>
    </w:pPr>
    <w:rPr>
      <w:rFonts w:ascii="Cambria" w:hAnsi="Cambria"/>
      <w:b/>
      <w:bCs/>
      <w:kern w:val="44"/>
      <w:sz w:val="44"/>
      <w:szCs w:val="44"/>
    </w:rPr>
  </w:style>
  <w:style w:type="paragraph" w:styleId="4">
    <w:name w:val="heading 2"/>
    <w:basedOn w:val="1"/>
    <w:next w:val="1"/>
    <w:link w:val="296"/>
    <w:qFormat/>
    <w:uiPriority w:val="0"/>
    <w:pPr>
      <w:keepNext/>
      <w:keepLines/>
      <w:spacing w:line="416" w:lineRule="auto"/>
      <w:outlineLvl w:val="1"/>
    </w:pPr>
    <w:rPr>
      <w:rFonts w:ascii="Arial" w:hAnsi="Arial" w:eastAsia="黑体"/>
      <w:b/>
      <w:bCs/>
      <w:kern w:val="0"/>
      <w:sz w:val="32"/>
      <w:szCs w:val="32"/>
    </w:rPr>
  </w:style>
  <w:style w:type="paragraph" w:styleId="5">
    <w:name w:val="heading 3"/>
    <w:basedOn w:val="1"/>
    <w:next w:val="1"/>
    <w:link w:val="223"/>
    <w:qFormat/>
    <w:uiPriority w:val="0"/>
    <w:pPr>
      <w:keepNext/>
      <w:keepLines/>
      <w:spacing w:line="416" w:lineRule="auto"/>
      <w:outlineLvl w:val="2"/>
    </w:pPr>
    <w:rPr>
      <w:rFonts w:ascii="Cambria" w:hAnsi="Cambria"/>
      <w:b/>
      <w:bCs/>
      <w:kern w:val="0"/>
      <w:sz w:val="32"/>
      <w:szCs w:val="32"/>
    </w:rPr>
  </w:style>
  <w:style w:type="paragraph" w:styleId="6">
    <w:name w:val="heading 4"/>
    <w:basedOn w:val="1"/>
    <w:next w:val="1"/>
    <w:link w:val="240"/>
    <w:qFormat/>
    <w:uiPriority w:val="0"/>
    <w:pPr>
      <w:keepNext/>
      <w:keepLines/>
      <w:widowControl/>
      <w:spacing w:line="360" w:lineRule="auto"/>
      <w:jc w:val="center"/>
      <w:outlineLvl w:val="3"/>
    </w:pPr>
    <w:rPr>
      <w:rFonts w:ascii="Arial" w:hAnsi="Arial" w:eastAsia="黑体"/>
      <w:kern w:val="0"/>
      <w:sz w:val="28"/>
      <w:szCs w:val="20"/>
    </w:rPr>
  </w:style>
  <w:style w:type="paragraph" w:styleId="7">
    <w:name w:val="heading 5"/>
    <w:basedOn w:val="1"/>
    <w:next w:val="8"/>
    <w:link w:val="267"/>
    <w:qFormat/>
    <w:uiPriority w:val="0"/>
    <w:pPr>
      <w:keepNext/>
      <w:keepLines/>
      <w:spacing w:line="376" w:lineRule="auto"/>
      <w:outlineLvl w:val="4"/>
    </w:pPr>
    <w:rPr>
      <w:rFonts w:ascii="Cambria" w:hAnsi="Cambria"/>
      <w:b/>
      <w:sz w:val="28"/>
    </w:rPr>
  </w:style>
  <w:style w:type="paragraph" w:styleId="9">
    <w:name w:val="heading 6"/>
    <w:basedOn w:val="1"/>
    <w:next w:val="8"/>
    <w:link w:val="255"/>
    <w:qFormat/>
    <w:uiPriority w:val="0"/>
    <w:pPr>
      <w:keepNext/>
      <w:keepLines/>
      <w:spacing w:line="320" w:lineRule="auto"/>
      <w:outlineLvl w:val="5"/>
    </w:pPr>
    <w:rPr>
      <w:rFonts w:ascii="Arial" w:hAnsi="Arial" w:eastAsia="黑体"/>
      <w:b/>
      <w:sz w:val="24"/>
    </w:rPr>
  </w:style>
  <w:style w:type="paragraph" w:styleId="10">
    <w:name w:val="heading 7"/>
    <w:basedOn w:val="1"/>
    <w:next w:val="8"/>
    <w:link w:val="264"/>
    <w:qFormat/>
    <w:uiPriority w:val="0"/>
    <w:pPr>
      <w:keepNext/>
      <w:keepLines/>
      <w:spacing w:line="320" w:lineRule="auto"/>
      <w:outlineLvl w:val="6"/>
    </w:pPr>
    <w:rPr>
      <w:rFonts w:ascii="Cambria" w:hAnsi="Cambria"/>
      <w:b/>
      <w:sz w:val="24"/>
    </w:rPr>
  </w:style>
  <w:style w:type="paragraph" w:styleId="11">
    <w:name w:val="heading 8"/>
    <w:basedOn w:val="1"/>
    <w:next w:val="8"/>
    <w:link w:val="236"/>
    <w:qFormat/>
    <w:uiPriority w:val="0"/>
    <w:pPr>
      <w:keepNext/>
      <w:keepLines/>
      <w:spacing w:line="320" w:lineRule="auto"/>
      <w:outlineLvl w:val="7"/>
    </w:pPr>
    <w:rPr>
      <w:rFonts w:ascii="Arial" w:hAnsi="Arial" w:eastAsia="黑体"/>
      <w:sz w:val="24"/>
    </w:rPr>
  </w:style>
  <w:style w:type="paragraph" w:styleId="12">
    <w:name w:val="heading 9"/>
    <w:basedOn w:val="1"/>
    <w:next w:val="8"/>
    <w:link w:val="315"/>
    <w:qFormat/>
    <w:uiPriority w:val="0"/>
    <w:pPr>
      <w:keepNext/>
      <w:keepLines/>
      <w:spacing w:line="320" w:lineRule="auto"/>
      <w:outlineLvl w:val="8"/>
    </w:pPr>
    <w:rPr>
      <w:rFonts w:ascii="Arial" w:hAnsi="Arial" w:eastAsia="黑体"/>
    </w:rPr>
  </w:style>
  <w:style w:type="character" w:default="1" w:styleId="55">
    <w:name w:val="Default Paragraph Font"/>
    <w:semiHidden/>
    <w:unhideWhenUsed/>
    <w:qFormat/>
    <w:uiPriority w:val="1"/>
  </w:style>
  <w:style w:type="table" w:default="1" w:styleId="5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customStyle="1" w:styleId="2">
    <w:name w:val="正文1"/>
    <w:basedOn w:val="1"/>
    <w:qFormat/>
    <w:uiPriority w:val="99"/>
    <w:pPr>
      <w:adjustRightInd w:val="0"/>
      <w:spacing w:line="318" w:lineRule="atLeast"/>
      <w:ind w:left="369" w:firstLine="369"/>
      <w:textAlignment w:val="baseline"/>
    </w:pPr>
    <w:rPr>
      <w:rFonts w:ascii="宋体"/>
      <w:szCs w:val="20"/>
    </w:rPr>
  </w:style>
  <w:style w:type="paragraph" w:styleId="8">
    <w:name w:val="Normal Indent"/>
    <w:basedOn w:val="1"/>
    <w:qFormat/>
    <w:uiPriority w:val="0"/>
    <w:pPr>
      <w:ind w:firstLine="420"/>
    </w:pPr>
    <w:rPr>
      <w:szCs w:val="20"/>
    </w:rPr>
  </w:style>
  <w:style w:type="paragraph" w:styleId="13">
    <w:name w:val="toc 7"/>
    <w:basedOn w:val="1"/>
    <w:next w:val="1"/>
    <w:qFormat/>
    <w:uiPriority w:val="39"/>
    <w:pPr>
      <w:ind w:left="1260"/>
      <w:jc w:val="left"/>
    </w:pPr>
    <w:rPr>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rPr>
      <w:rFonts w:ascii="Arial" w:hAnsi="Arial" w:eastAsia="黑体" w:cs="Arial"/>
      <w:sz w:val="20"/>
      <w:szCs w:val="20"/>
    </w:rPr>
  </w:style>
  <w:style w:type="paragraph" w:styleId="16">
    <w:name w:val="Document Map"/>
    <w:basedOn w:val="1"/>
    <w:link w:val="304"/>
    <w:qFormat/>
    <w:uiPriority w:val="0"/>
    <w:pPr>
      <w:shd w:val="clear" w:color="auto" w:fill="000080"/>
    </w:pPr>
    <w:rPr>
      <w:rFonts w:ascii="Cambria" w:hAnsi="Cambria"/>
    </w:rPr>
  </w:style>
  <w:style w:type="paragraph" w:styleId="17">
    <w:name w:val="toa heading"/>
    <w:basedOn w:val="1"/>
    <w:next w:val="1"/>
    <w:semiHidden/>
    <w:qFormat/>
    <w:uiPriority w:val="0"/>
    <w:pPr>
      <w:adjustRightInd w:val="0"/>
      <w:spacing w:before="120" w:line="312" w:lineRule="atLeast"/>
    </w:pPr>
    <w:rPr>
      <w:rFonts w:ascii="Arial" w:hAnsi="Arial"/>
      <w:b/>
      <w:kern w:val="0"/>
      <w:sz w:val="24"/>
    </w:rPr>
  </w:style>
  <w:style w:type="paragraph" w:styleId="18">
    <w:name w:val="annotation text"/>
    <w:basedOn w:val="1"/>
    <w:link w:val="285"/>
    <w:qFormat/>
    <w:uiPriority w:val="0"/>
    <w:pPr>
      <w:adjustRightInd w:val="0"/>
      <w:spacing w:line="360" w:lineRule="atLeast"/>
      <w:jc w:val="left"/>
      <w:textAlignment w:val="baseline"/>
    </w:pPr>
    <w:rPr>
      <w:rFonts w:ascii="Cambria" w:hAnsi="Cambria"/>
      <w:kern w:val="0"/>
      <w:sz w:val="24"/>
      <w:szCs w:val="20"/>
    </w:rPr>
  </w:style>
  <w:style w:type="paragraph" w:styleId="19">
    <w:name w:val="Salutation"/>
    <w:basedOn w:val="1"/>
    <w:next w:val="1"/>
    <w:qFormat/>
    <w:uiPriority w:val="0"/>
    <w:rPr>
      <w:sz w:val="28"/>
    </w:rPr>
  </w:style>
  <w:style w:type="paragraph" w:styleId="20">
    <w:name w:val="Body Text 3"/>
    <w:basedOn w:val="1"/>
    <w:link w:val="270"/>
    <w:qFormat/>
    <w:uiPriority w:val="0"/>
    <w:pPr>
      <w:spacing w:line="500" w:lineRule="exact"/>
    </w:pPr>
    <w:rPr>
      <w:rFonts w:ascii="Cambria" w:hAnsi="Cambria"/>
      <w:b/>
      <w:bCs/>
      <w:sz w:val="24"/>
    </w:rPr>
  </w:style>
  <w:style w:type="paragraph" w:styleId="21">
    <w:name w:val="Body Text"/>
    <w:basedOn w:val="1"/>
    <w:link w:val="291"/>
    <w:qFormat/>
    <w:uiPriority w:val="0"/>
    <w:pPr>
      <w:spacing w:line="380" w:lineRule="exact"/>
    </w:pPr>
    <w:rPr>
      <w:rFonts w:ascii="Cambria" w:hAnsi="Cambria"/>
      <w:sz w:val="24"/>
    </w:rPr>
  </w:style>
  <w:style w:type="paragraph" w:styleId="22">
    <w:name w:val="Body Text Indent"/>
    <w:basedOn w:val="1"/>
    <w:next w:val="23"/>
    <w:link w:val="272"/>
    <w:qFormat/>
    <w:uiPriority w:val="0"/>
    <w:pPr>
      <w:ind w:firstLine="830" w:firstLineChars="352"/>
    </w:pPr>
    <w:rPr>
      <w:rFonts w:ascii="仿宋_GB2312" w:hAnsi="Cambria" w:eastAsia="仿宋_GB2312"/>
      <w:sz w:val="32"/>
      <w:szCs w:val="20"/>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4">
    <w:name w:val="List Number 3"/>
    <w:basedOn w:val="1"/>
    <w:qFormat/>
    <w:uiPriority w:val="0"/>
    <w:pPr>
      <w:tabs>
        <w:tab w:val="left" w:pos="360"/>
      </w:tabs>
      <w:ind w:left="360" w:hanging="360"/>
    </w:pPr>
  </w:style>
  <w:style w:type="paragraph" w:styleId="25">
    <w:name w:val="List 2"/>
    <w:basedOn w:val="1"/>
    <w:qFormat/>
    <w:uiPriority w:val="0"/>
    <w:pPr>
      <w:ind w:left="100" w:leftChars="200" w:hanging="200" w:hangingChars="200"/>
    </w:pPr>
    <w:rPr>
      <w:sz w:val="28"/>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toc 5"/>
    <w:basedOn w:val="1"/>
    <w:next w:val="1"/>
    <w:qFormat/>
    <w:uiPriority w:val="39"/>
    <w:pPr>
      <w:ind w:left="840"/>
      <w:jc w:val="left"/>
    </w:pPr>
    <w:rPr>
      <w:sz w:val="18"/>
      <w:szCs w:val="18"/>
    </w:rPr>
  </w:style>
  <w:style w:type="paragraph" w:styleId="28">
    <w:name w:val="toc 3"/>
    <w:basedOn w:val="1"/>
    <w:next w:val="1"/>
    <w:qFormat/>
    <w:uiPriority w:val="39"/>
    <w:pPr>
      <w:ind w:left="420"/>
      <w:jc w:val="left"/>
    </w:pPr>
    <w:rPr>
      <w:i/>
      <w:iCs/>
      <w:sz w:val="20"/>
      <w:szCs w:val="20"/>
    </w:rPr>
  </w:style>
  <w:style w:type="paragraph" w:styleId="29">
    <w:name w:val="Plain Text"/>
    <w:basedOn w:val="1"/>
    <w:link w:val="271"/>
    <w:qFormat/>
    <w:uiPriority w:val="0"/>
    <w:rPr>
      <w:rFonts w:ascii="宋体" w:hAnsi="Courier New" w:cs="Courier New"/>
      <w:szCs w:val="21"/>
    </w:rPr>
  </w:style>
  <w:style w:type="paragraph" w:styleId="30">
    <w:name w:val="toc 8"/>
    <w:basedOn w:val="1"/>
    <w:next w:val="1"/>
    <w:qFormat/>
    <w:uiPriority w:val="39"/>
    <w:pPr>
      <w:ind w:left="1470"/>
      <w:jc w:val="left"/>
    </w:pPr>
    <w:rPr>
      <w:sz w:val="18"/>
      <w:szCs w:val="18"/>
    </w:rPr>
  </w:style>
  <w:style w:type="paragraph" w:styleId="31">
    <w:name w:val="Date"/>
    <w:basedOn w:val="1"/>
    <w:next w:val="1"/>
    <w:link w:val="269"/>
    <w:qFormat/>
    <w:uiPriority w:val="0"/>
    <w:pPr>
      <w:ind w:left="100" w:leftChars="2500"/>
    </w:pPr>
    <w:rPr>
      <w:rFonts w:ascii="宋体" w:hAnsi="Courier New" w:cs="Courier New"/>
      <w:szCs w:val="21"/>
    </w:rPr>
  </w:style>
  <w:style w:type="paragraph" w:styleId="32">
    <w:name w:val="Body Text Indent 2"/>
    <w:basedOn w:val="1"/>
    <w:link w:val="293"/>
    <w:qFormat/>
    <w:uiPriority w:val="0"/>
    <w:pPr>
      <w:ind w:firstLine="630"/>
    </w:pPr>
    <w:rPr>
      <w:rFonts w:ascii="Cambria" w:hAnsi="Cambria"/>
      <w:sz w:val="32"/>
      <w:szCs w:val="20"/>
    </w:rPr>
  </w:style>
  <w:style w:type="paragraph" w:styleId="33">
    <w:name w:val="endnote text"/>
    <w:basedOn w:val="1"/>
    <w:unhideWhenUsed/>
    <w:qFormat/>
    <w:uiPriority w:val="0"/>
    <w:pPr>
      <w:snapToGrid w:val="0"/>
      <w:jc w:val="left"/>
    </w:pPr>
    <w:rPr>
      <w:szCs w:val="22"/>
    </w:rPr>
  </w:style>
  <w:style w:type="paragraph" w:styleId="34">
    <w:name w:val="Balloon Text"/>
    <w:basedOn w:val="1"/>
    <w:link w:val="268"/>
    <w:qFormat/>
    <w:uiPriority w:val="0"/>
    <w:rPr>
      <w:rFonts w:ascii="Cambria" w:hAnsi="Cambria"/>
      <w:sz w:val="18"/>
      <w:szCs w:val="18"/>
    </w:rPr>
  </w:style>
  <w:style w:type="paragraph" w:styleId="35">
    <w:name w:val="footer"/>
    <w:basedOn w:val="1"/>
    <w:link w:val="258"/>
    <w:qFormat/>
    <w:uiPriority w:val="0"/>
    <w:pPr>
      <w:tabs>
        <w:tab w:val="center" w:pos="4153"/>
        <w:tab w:val="right" w:pos="8306"/>
      </w:tabs>
      <w:snapToGrid w:val="0"/>
      <w:jc w:val="left"/>
    </w:pPr>
    <w:rPr>
      <w:rFonts w:ascii="Cambria" w:hAnsi="Cambria"/>
      <w:sz w:val="18"/>
      <w:szCs w:val="18"/>
    </w:rPr>
  </w:style>
  <w:style w:type="paragraph" w:styleId="36">
    <w:name w:val="header"/>
    <w:basedOn w:val="1"/>
    <w:link w:val="312"/>
    <w:qFormat/>
    <w:uiPriority w:val="0"/>
    <w:pPr>
      <w:pBdr>
        <w:bottom w:val="single" w:color="auto" w:sz="6" w:space="1"/>
      </w:pBdr>
      <w:tabs>
        <w:tab w:val="center" w:pos="4153"/>
        <w:tab w:val="right" w:pos="8306"/>
      </w:tabs>
      <w:snapToGrid w:val="0"/>
      <w:jc w:val="center"/>
    </w:pPr>
    <w:rPr>
      <w:rFonts w:ascii="Cambria" w:hAnsi="Cambria"/>
      <w:sz w:val="18"/>
      <w:szCs w:val="18"/>
    </w:rPr>
  </w:style>
  <w:style w:type="paragraph" w:styleId="37">
    <w:name w:val="toc 1"/>
    <w:basedOn w:val="1"/>
    <w:next w:val="1"/>
    <w:qFormat/>
    <w:uiPriority w:val="39"/>
    <w:pPr>
      <w:spacing w:before="120" w:after="120"/>
      <w:jc w:val="left"/>
    </w:pPr>
    <w:rPr>
      <w:b/>
      <w:bCs/>
      <w:caps/>
      <w:sz w:val="20"/>
      <w:szCs w:val="20"/>
    </w:rPr>
  </w:style>
  <w:style w:type="paragraph" w:styleId="38">
    <w:name w:val="toc 4"/>
    <w:basedOn w:val="1"/>
    <w:next w:val="1"/>
    <w:qFormat/>
    <w:uiPriority w:val="39"/>
    <w:pPr>
      <w:ind w:left="630"/>
      <w:jc w:val="left"/>
    </w:pPr>
    <w:rPr>
      <w:sz w:val="18"/>
      <w:szCs w:val="18"/>
    </w:rPr>
  </w:style>
  <w:style w:type="paragraph" w:styleId="39">
    <w:name w:val="List"/>
    <w:basedOn w:val="1"/>
    <w:qFormat/>
    <w:uiPriority w:val="0"/>
    <w:pPr>
      <w:ind w:left="200" w:hanging="200" w:hangingChars="200"/>
    </w:pPr>
    <w:rPr>
      <w:sz w:val="28"/>
    </w:rPr>
  </w:style>
  <w:style w:type="paragraph" w:styleId="40">
    <w:name w:val="toc 6"/>
    <w:basedOn w:val="1"/>
    <w:next w:val="1"/>
    <w:qFormat/>
    <w:uiPriority w:val="39"/>
    <w:pPr>
      <w:ind w:left="1050"/>
      <w:jc w:val="left"/>
    </w:pPr>
    <w:rPr>
      <w:sz w:val="18"/>
      <w:szCs w:val="18"/>
    </w:rPr>
  </w:style>
  <w:style w:type="paragraph" w:styleId="41">
    <w:name w:val="List 5"/>
    <w:basedOn w:val="1"/>
    <w:qFormat/>
    <w:uiPriority w:val="0"/>
    <w:pPr>
      <w:ind w:left="2100" w:hanging="420"/>
    </w:pPr>
    <w:rPr>
      <w:szCs w:val="20"/>
    </w:rPr>
  </w:style>
  <w:style w:type="paragraph" w:styleId="42">
    <w:name w:val="Body Text Indent 3"/>
    <w:basedOn w:val="1"/>
    <w:link w:val="250"/>
    <w:qFormat/>
    <w:uiPriority w:val="0"/>
    <w:pPr>
      <w:ind w:left="420" w:leftChars="200"/>
    </w:pPr>
    <w:rPr>
      <w:rFonts w:ascii="Cambria" w:hAnsi="Cambria"/>
      <w:sz w:val="16"/>
      <w:szCs w:val="16"/>
    </w:rPr>
  </w:style>
  <w:style w:type="paragraph" w:styleId="43">
    <w:name w:val="toc 2"/>
    <w:basedOn w:val="1"/>
    <w:next w:val="1"/>
    <w:qFormat/>
    <w:uiPriority w:val="39"/>
    <w:pPr>
      <w:ind w:left="210"/>
      <w:jc w:val="left"/>
    </w:pPr>
    <w:rPr>
      <w:smallCaps/>
      <w:sz w:val="20"/>
      <w:szCs w:val="20"/>
    </w:rPr>
  </w:style>
  <w:style w:type="paragraph" w:styleId="44">
    <w:name w:val="toc 9"/>
    <w:basedOn w:val="1"/>
    <w:next w:val="1"/>
    <w:qFormat/>
    <w:uiPriority w:val="39"/>
    <w:pPr>
      <w:ind w:left="1680"/>
      <w:jc w:val="left"/>
    </w:pPr>
    <w:rPr>
      <w:sz w:val="18"/>
      <w:szCs w:val="18"/>
    </w:rPr>
  </w:style>
  <w:style w:type="paragraph" w:styleId="45">
    <w:name w:val="Body Text 2"/>
    <w:basedOn w:val="1"/>
    <w:link w:val="224"/>
    <w:qFormat/>
    <w:uiPriority w:val="0"/>
    <w:pPr>
      <w:spacing w:line="480" w:lineRule="auto"/>
    </w:pPr>
    <w:rPr>
      <w:rFonts w:ascii="Cambria" w:hAnsi="Cambria"/>
    </w:rPr>
  </w:style>
  <w:style w:type="paragraph" w:styleId="46">
    <w:name w:val="List 4"/>
    <w:basedOn w:val="1"/>
    <w:qFormat/>
    <w:uiPriority w:val="0"/>
    <w:pPr>
      <w:ind w:left="100" w:leftChars="600" w:hanging="200" w:hangingChars="200"/>
      <w:contextualSpacing/>
    </w:pPr>
  </w:style>
  <w:style w:type="paragraph" w:styleId="47">
    <w:name w:val="HTML Preformatted"/>
    <w:basedOn w:val="1"/>
    <w:link w:val="28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8">
    <w:name w:val="Normal (Web)"/>
    <w:basedOn w:val="1"/>
    <w:qFormat/>
    <w:uiPriority w:val="0"/>
    <w:pPr>
      <w:widowControl/>
      <w:spacing w:beforeAutospacing="1" w:afterAutospacing="1"/>
      <w:jc w:val="left"/>
    </w:pPr>
    <w:rPr>
      <w:rFonts w:ascii="宋体" w:hAnsi="宋体"/>
      <w:kern w:val="0"/>
      <w:sz w:val="24"/>
    </w:rPr>
  </w:style>
  <w:style w:type="paragraph" w:styleId="49">
    <w:name w:val="index 1"/>
    <w:basedOn w:val="1"/>
    <w:next w:val="1"/>
    <w:semiHidden/>
    <w:qFormat/>
    <w:uiPriority w:val="0"/>
    <w:pPr>
      <w:spacing w:line="400" w:lineRule="exact"/>
      <w:ind w:firstLine="420" w:firstLineChars="200"/>
    </w:pPr>
    <w:rPr>
      <w:rFonts w:ascii="宋体" w:hAnsi="Courier New"/>
      <w:b/>
      <w:szCs w:val="20"/>
    </w:rPr>
  </w:style>
  <w:style w:type="paragraph" w:styleId="50">
    <w:name w:val="Title"/>
    <w:basedOn w:val="1"/>
    <w:next w:val="1"/>
    <w:link w:val="278"/>
    <w:qFormat/>
    <w:uiPriority w:val="0"/>
    <w:pPr>
      <w:jc w:val="center"/>
      <w:outlineLvl w:val="0"/>
    </w:pPr>
    <w:rPr>
      <w:rFonts w:ascii="Arial" w:hAnsi="Arial"/>
      <w:b/>
      <w:bCs/>
      <w:sz w:val="32"/>
      <w:szCs w:val="32"/>
    </w:rPr>
  </w:style>
  <w:style w:type="paragraph" w:styleId="51">
    <w:name w:val="annotation subject"/>
    <w:basedOn w:val="18"/>
    <w:next w:val="18"/>
    <w:semiHidden/>
    <w:qFormat/>
    <w:uiPriority w:val="0"/>
    <w:pPr>
      <w:adjustRightInd/>
      <w:spacing w:line="240" w:lineRule="auto"/>
      <w:textAlignment w:val="auto"/>
    </w:pPr>
    <w:rPr>
      <w:b/>
      <w:bCs/>
      <w:kern w:val="2"/>
      <w:sz w:val="21"/>
      <w:szCs w:val="24"/>
    </w:rPr>
  </w:style>
  <w:style w:type="paragraph" w:styleId="52">
    <w:name w:val="Body Text First Indent 2"/>
    <w:basedOn w:val="22"/>
    <w:qFormat/>
    <w:uiPriority w:val="99"/>
    <w:pPr>
      <w:spacing w:after="120"/>
      <w:ind w:left="420" w:leftChars="200" w:firstLine="420" w:firstLineChars="200"/>
    </w:pPr>
    <w:rPr>
      <w:rFonts w:ascii="Times New Roman" w:hAnsi="Times New Roman"/>
      <w:sz w:val="21"/>
      <w:szCs w:val="24"/>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3B5998"/>
      <w:u w:val="none"/>
    </w:rPr>
  </w:style>
  <w:style w:type="character" w:styleId="59">
    <w:name w:val="Emphasis"/>
    <w:qFormat/>
    <w:uiPriority w:val="0"/>
    <w:rPr>
      <w:color w:val="CC0000"/>
    </w:rPr>
  </w:style>
  <w:style w:type="character" w:styleId="60">
    <w:name w:val="line number"/>
    <w:basedOn w:val="55"/>
    <w:qFormat/>
    <w:uiPriority w:val="0"/>
  </w:style>
  <w:style w:type="character" w:styleId="61">
    <w:name w:val="Hyperlink"/>
    <w:qFormat/>
    <w:uiPriority w:val="0"/>
    <w:rPr>
      <w:color w:val="3B5998"/>
      <w:u w:val="none"/>
    </w:rPr>
  </w:style>
  <w:style w:type="character" w:styleId="62">
    <w:name w:val="annotation reference"/>
    <w:semiHidden/>
    <w:qFormat/>
    <w:uiPriority w:val="0"/>
    <w:rPr>
      <w:sz w:val="21"/>
      <w:szCs w:val="21"/>
    </w:rPr>
  </w:style>
  <w:style w:type="paragraph" w:customStyle="1" w:styleId="63">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64">
    <w:name w:val="目录标题"/>
    <w:basedOn w:val="1"/>
    <w:next w:val="1"/>
    <w:qFormat/>
    <w:uiPriority w:val="0"/>
    <w:pPr>
      <w:widowControl/>
      <w:spacing w:line="566" w:lineRule="atLeast"/>
      <w:ind w:firstLine="419"/>
      <w:jc w:val="center"/>
      <w:textAlignment w:val="baseline"/>
    </w:pPr>
    <w:rPr>
      <w:rFonts w:ascii="Arial" w:eastAsia="黑体"/>
      <w:color w:val="000000"/>
      <w:spacing w:val="566"/>
      <w:kern w:val="0"/>
      <w:sz w:val="54"/>
      <w:szCs w:val="20"/>
      <w:u w:color="000000"/>
    </w:rPr>
  </w:style>
  <w:style w:type="paragraph" w:customStyle="1" w:styleId="65">
    <w:name w:val="font15"/>
    <w:basedOn w:val="1"/>
    <w:qFormat/>
    <w:uiPriority w:val="0"/>
    <w:pPr>
      <w:widowControl/>
      <w:spacing w:before="100" w:beforeAutospacing="1" w:after="100" w:afterAutospacing="1"/>
      <w:jc w:val="left"/>
    </w:pPr>
    <w:rPr>
      <w:b/>
      <w:bCs/>
      <w:color w:val="000000"/>
      <w:kern w:val="0"/>
      <w:sz w:val="20"/>
      <w:szCs w:val="20"/>
    </w:rPr>
  </w:style>
  <w:style w:type="paragraph" w:customStyle="1" w:styleId="66">
    <w:name w:val="Char2"/>
    <w:basedOn w:val="1"/>
    <w:qFormat/>
    <w:uiPriority w:val="0"/>
    <w:rPr>
      <w:szCs w:val="20"/>
    </w:rPr>
  </w:style>
  <w:style w:type="paragraph" w:customStyle="1" w:styleId="67">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0"/>
      <w:szCs w:val="20"/>
    </w:rPr>
  </w:style>
  <w:style w:type="paragraph" w:customStyle="1" w:styleId="68">
    <w:name w:val="无间隔1"/>
    <w:link w:val="286"/>
    <w:qFormat/>
    <w:uiPriority w:val="0"/>
    <w:rPr>
      <w:rFonts w:ascii="Cambria" w:hAnsi="Cambria" w:eastAsia="宋体" w:cs="Times New Roman"/>
      <w:sz w:val="22"/>
      <w:szCs w:val="22"/>
      <w:lang w:val="en-US" w:eastAsia="zh-CN" w:bidi="ar-SA"/>
    </w:rPr>
  </w:style>
  <w:style w:type="paragraph" w:customStyle="1" w:styleId="69">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7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71">
    <w:name w:val="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72">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73">
    <w:name w:val="font8"/>
    <w:basedOn w:val="1"/>
    <w:qFormat/>
    <w:uiPriority w:val="0"/>
    <w:pPr>
      <w:widowControl/>
      <w:spacing w:before="100" w:beforeAutospacing="1" w:after="100" w:afterAutospacing="1"/>
      <w:jc w:val="left"/>
    </w:pPr>
    <w:rPr>
      <w:rFonts w:hint="eastAsia" w:ascii="仿宋_GB2312" w:hAnsi="Arial Unicode MS" w:eastAsia="仿宋_GB2312"/>
      <w:kern w:val="0"/>
      <w:sz w:val="20"/>
      <w:szCs w:val="20"/>
    </w:rPr>
  </w:style>
  <w:style w:type="paragraph" w:customStyle="1" w:styleId="74">
    <w:name w:val="xl35"/>
    <w:basedOn w:val="1"/>
    <w:qFormat/>
    <w:uiPriority w:val="0"/>
    <w:pPr>
      <w:widowControl/>
      <w:pBdr>
        <w:top w:val="single" w:color="auto" w:sz="8" w:space="0"/>
        <w:left w:val="single" w:color="auto" w:sz="4" w:space="0"/>
        <w:right w:val="single" w:color="auto" w:sz="8" w:space="0"/>
      </w:pBdr>
      <w:shd w:val="clear" w:color="auto" w:fill="C0C0C0"/>
      <w:spacing w:before="100" w:beforeAutospacing="1" w:after="100" w:afterAutospacing="1"/>
      <w:jc w:val="center"/>
      <w:textAlignment w:val="center"/>
    </w:pPr>
    <w:rPr>
      <w:rFonts w:ascii="Arial Unicode MS" w:hAnsi="Arial Unicode MS" w:eastAsia="Arial Unicode MS" w:cs="Arial Unicode MS"/>
      <w:b/>
      <w:bCs/>
      <w:kern w:val="0"/>
      <w:sz w:val="28"/>
      <w:szCs w:val="28"/>
    </w:rPr>
  </w:style>
  <w:style w:type="paragraph" w:customStyle="1" w:styleId="75">
    <w:name w:val="xl52"/>
    <w:basedOn w:val="1"/>
    <w:qFormat/>
    <w:uiPriority w:val="0"/>
    <w:pPr>
      <w:widowControl/>
      <w:pBdr>
        <w:top w:val="single" w:color="auto" w:sz="8" w:space="0"/>
        <w:left w:val="single" w:color="auto" w:sz="4" w:space="0"/>
      </w:pBdr>
      <w:shd w:val="clear" w:color="auto" w:fill="C0C0C0"/>
      <w:spacing w:before="100" w:beforeAutospacing="1" w:after="100" w:afterAutospacing="1"/>
      <w:jc w:val="center"/>
      <w:textAlignment w:val="center"/>
    </w:pPr>
    <w:rPr>
      <w:rFonts w:ascii="Arial Unicode MS" w:hAnsi="Arial Unicode MS" w:eastAsia="Arial Unicode MS" w:cs="Arial Unicode MS"/>
      <w:b/>
      <w:bCs/>
      <w:kern w:val="0"/>
      <w:sz w:val="28"/>
      <w:szCs w:val="28"/>
    </w:rPr>
  </w:style>
  <w:style w:type="paragraph" w:customStyle="1" w:styleId="76">
    <w:name w:val="样式 标题 2 + (西文) 宋体 非加粗 居中"/>
    <w:basedOn w:val="4"/>
    <w:qFormat/>
    <w:uiPriority w:val="0"/>
    <w:pPr>
      <w:jc w:val="center"/>
    </w:pPr>
    <w:rPr>
      <w:rFonts w:ascii="宋体" w:hAnsi="宋体" w:cs="宋体"/>
      <w:b w:val="0"/>
      <w:bCs w:val="0"/>
      <w:spacing w:val="2"/>
      <w:sz w:val="28"/>
      <w:szCs w:val="20"/>
    </w:rPr>
  </w:style>
  <w:style w:type="paragraph" w:customStyle="1" w:styleId="77">
    <w:name w:val="xl54"/>
    <w:basedOn w:val="1"/>
    <w:qFormat/>
    <w:uiPriority w:val="0"/>
    <w:pPr>
      <w:widowControl/>
      <w:pBdr>
        <w:top w:val="single" w:color="auto" w:sz="8"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8">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0"/>
      <w:szCs w:val="20"/>
    </w:rPr>
  </w:style>
  <w:style w:type="paragraph" w:customStyle="1" w:styleId="79">
    <w:name w:val="font10"/>
    <w:basedOn w:val="1"/>
    <w:qFormat/>
    <w:uiPriority w:val="0"/>
    <w:pPr>
      <w:widowControl/>
      <w:spacing w:before="100" w:beforeAutospacing="1" w:after="100" w:afterAutospacing="1"/>
      <w:jc w:val="left"/>
    </w:pPr>
    <w:rPr>
      <w:color w:val="000000"/>
      <w:kern w:val="0"/>
      <w:sz w:val="24"/>
    </w:rPr>
  </w:style>
  <w:style w:type="paragraph" w:customStyle="1" w:styleId="80">
    <w:name w:val="style3"/>
    <w:basedOn w:val="1"/>
    <w:qFormat/>
    <w:uiPriority w:val="0"/>
    <w:pPr>
      <w:widowControl/>
      <w:spacing w:before="100" w:beforeAutospacing="1" w:after="100" w:afterAutospacing="1"/>
      <w:jc w:val="left"/>
    </w:pPr>
    <w:rPr>
      <w:rFonts w:ascii="宋体" w:hAnsi="宋体" w:cs="宋体"/>
      <w:b/>
      <w:bCs/>
      <w:color w:val="009933"/>
      <w:kern w:val="0"/>
      <w:sz w:val="24"/>
    </w:rPr>
  </w:style>
  <w:style w:type="paragraph" w:customStyle="1" w:styleId="81">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2">
    <w:name w:val="pa-12"/>
    <w:basedOn w:val="1"/>
    <w:qFormat/>
    <w:uiPriority w:val="0"/>
    <w:pPr>
      <w:widowControl/>
      <w:spacing w:before="169" w:after="169"/>
      <w:jc w:val="left"/>
    </w:pPr>
    <w:rPr>
      <w:rFonts w:ascii="宋体" w:hAnsi="宋体" w:cs="宋体"/>
      <w:kern w:val="0"/>
      <w:sz w:val="24"/>
    </w:rPr>
  </w:style>
  <w:style w:type="paragraph" w:customStyle="1" w:styleId="83">
    <w:name w:val="1ji"/>
    <w:basedOn w:val="3"/>
    <w:link w:val="232"/>
    <w:qFormat/>
    <w:uiPriority w:val="0"/>
    <w:pPr>
      <w:keepLines w:val="0"/>
      <w:widowControl/>
      <w:spacing w:line="240" w:lineRule="auto"/>
      <w:jc w:val="center"/>
    </w:pPr>
    <w:rPr>
      <w:rFonts w:ascii="宋体" w:hAnsi="宋体"/>
      <w:sz w:val="36"/>
    </w:rPr>
  </w:style>
  <w:style w:type="paragraph" w:customStyle="1" w:styleId="84">
    <w:name w:val="正文（雅黑四号）"/>
    <w:basedOn w:val="1"/>
    <w:link w:val="245"/>
    <w:qFormat/>
    <w:uiPriority w:val="0"/>
    <w:pPr>
      <w:autoSpaceDE w:val="0"/>
      <w:autoSpaceDN w:val="0"/>
      <w:adjustRightInd w:val="0"/>
      <w:spacing w:line="240" w:lineRule="atLeast"/>
      <w:ind w:firstLine="200" w:firstLineChars="200"/>
      <w:jc w:val="left"/>
    </w:pPr>
    <w:rPr>
      <w:rFonts w:ascii="微软雅黑" w:hAnsi="微软雅黑" w:eastAsia="微软雅黑"/>
      <w:kern w:val="0"/>
      <w:sz w:val="24"/>
      <w:szCs w:val="28"/>
    </w:rPr>
  </w:style>
  <w:style w:type="paragraph" w:customStyle="1" w:styleId="85">
    <w:name w:val="表格"/>
    <w:basedOn w:val="1"/>
    <w:qFormat/>
    <w:uiPriority w:val="0"/>
    <w:pPr>
      <w:spacing w:line="400" w:lineRule="exact"/>
    </w:pPr>
    <w:rPr>
      <w:sz w:val="24"/>
    </w:rPr>
  </w:style>
  <w:style w:type="paragraph" w:customStyle="1" w:styleId="86">
    <w:name w:val="font6"/>
    <w:basedOn w:val="1"/>
    <w:qFormat/>
    <w:uiPriority w:val="0"/>
    <w:pPr>
      <w:widowControl/>
      <w:spacing w:before="100" w:beforeAutospacing="1" w:after="100" w:afterAutospacing="1"/>
      <w:jc w:val="left"/>
    </w:pPr>
    <w:rPr>
      <w:rFonts w:hint="eastAsia" w:ascii="宋体" w:hAnsi="宋体" w:cs="Arial Unicode MS"/>
      <w:b/>
      <w:bCs/>
      <w:color w:val="000000"/>
      <w:kern w:val="0"/>
      <w:sz w:val="18"/>
      <w:szCs w:val="18"/>
    </w:rPr>
  </w:style>
  <w:style w:type="paragraph" w:customStyle="1" w:styleId="87">
    <w:name w:val="Char Char9 Char Char Char Char"/>
    <w:basedOn w:val="1"/>
    <w:qFormat/>
    <w:uiPriority w:val="0"/>
    <w:pPr>
      <w:widowControl/>
      <w:spacing w:after="160" w:line="240" w:lineRule="exact"/>
      <w:jc w:val="left"/>
    </w:pPr>
  </w:style>
  <w:style w:type="paragraph" w:customStyle="1" w:styleId="88">
    <w:name w:val="xl32"/>
    <w:basedOn w:val="1"/>
    <w:qFormat/>
    <w:uiPriority w:val="0"/>
    <w:pPr>
      <w:widowControl/>
      <w:shd w:val="clear" w:color="auto" w:fill="FFFFFF"/>
      <w:spacing w:before="100" w:beforeAutospacing="1" w:after="100" w:afterAutospacing="1"/>
      <w:jc w:val="center"/>
    </w:pPr>
    <w:rPr>
      <w:rFonts w:ascii="Arial Unicode MS" w:hAnsi="Arial Unicode MS"/>
      <w:kern w:val="0"/>
      <w:sz w:val="20"/>
      <w:szCs w:val="20"/>
    </w:rPr>
  </w:style>
  <w:style w:type="paragraph" w:customStyle="1" w:styleId="89">
    <w:name w:val="样式1"/>
    <w:basedOn w:val="1"/>
    <w:qFormat/>
    <w:uiPriority w:val="0"/>
    <w:pPr>
      <w:spacing w:line="300" w:lineRule="auto"/>
    </w:pPr>
    <w:rPr>
      <w:rFonts w:ascii="宋体" w:hAnsi="宋体"/>
      <w:b/>
      <w:sz w:val="24"/>
      <w:szCs w:val="20"/>
    </w:rPr>
  </w:style>
  <w:style w:type="paragraph" w:customStyle="1" w:styleId="90">
    <w:name w:val="pa-15"/>
    <w:basedOn w:val="1"/>
    <w:qFormat/>
    <w:uiPriority w:val="0"/>
    <w:pPr>
      <w:widowControl/>
      <w:spacing w:before="169" w:after="169"/>
      <w:jc w:val="left"/>
    </w:pPr>
    <w:rPr>
      <w:rFonts w:ascii="宋体" w:hAnsi="宋体" w:cs="宋体"/>
      <w:kern w:val="0"/>
      <w:sz w:val="24"/>
    </w:rPr>
  </w:style>
  <w:style w:type="paragraph" w:customStyle="1" w:styleId="91">
    <w:name w:val="标题1"/>
    <w:basedOn w:val="3"/>
    <w:qFormat/>
    <w:uiPriority w:val="0"/>
    <w:pPr>
      <w:keepLines w:val="0"/>
      <w:widowControl/>
      <w:pBdr>
        <w:bottom w:val="single" w:color="auto" w:sz="8" w:space="6"/>
      </w:pBdr>
      <w:tabs>
        <w:tab w:val="left" w:pos="0"/>
      </w:tabs>
      <w:spacing w:line="360" w:lineRule="auto"/>
      <w:ind w:left="567" w:hanging="567"/>
      <w:jc w:val="left"/>
    </w:pPr>
    <w:rPr>
      <w:rFonts w:ascii="宋体" w:hAnsi="宋体"/>
      <w:smallCaps/>
      <w:color w:val="000000"/>
      <w:spacing w:val="10"/>
      <w:kern w:val="20"/>
      <w:sz w:val="21"/>
      <w:szCs w:val="21"/>
    </w:rPr>
  </w:style>
  <w:style w:type="paragraph" w:customStyle="1" w:styleId="92">
    <w:name w:val="pa-14"/>
    <w:basedOn w:val="1"/>
    <w:qFormat/>
    <w:uiPriority w:val="0"/>
    <w:pPr>
      <w:widowControl/>
      <w:spacing w:before="169" w:after="169"/>
      <w:jc w:val="left"/>
    </w:pPr>
    <w:rPr>
      <w:rFonts w:ascii="宋体" w:hAnsi="宋体" w:cs="宋体"/>
      <w:kern w:val="0"/>
      <w:sz w:val="24"/>
    </w:rPr>
  </w:style>
  <w:style w:type="paragraph" w:customStyle="1" w:styleId="93">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94">
    <w:name w:val="xl4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95">
    <w:name w:val="font9"/>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96">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97">
    <w:name w:val="Char1"/>
    <w:basedOn w:val="1"/>
    <w:qFormat/>
    <w:uiPriority w:val="0"/>
    <w:rPr>
      <w:szCs w:val="21"/>
    </w:rPr>
  </w:style>
  <w:style w:type="paragraph" w:customStyle="1" w:styleId="98">
    <w:name w:val="font17"/>
    <w:basedOn w:val="1"/>
    <w:qFormat/>
    <w:uiPriority w:val="0"/>
    <w:pPr>
      <w:widowControl/>
      <w:spacing w:before="100" w:beforeAutospacing="1" w:after="100" w:afterAutospacing="1"/>
      <w:jc w:val="left"/>
    </w:pPr>
    <w:rPr>
      <w:rFonts w:ascii="Arial" w:hAnsi="Arial" w:cs="Arial"/>
      <w:color w:val="FF0000"/>
      <w:kern w:val="0"/>
      <w:sz w:val="20"/>
      <w:szCs w:val="20"/>
    </w:rPr>
  </w:style>
  <w:style w:type="paragraph" w:customStyle="1" w:styleId="99">
    <w:name w:val="pa-11"/>
    <w:basedOn w:val="1"/>
    <w:qFormat/>
    <w:uiPriority w:val="0"/>
    <w:pPr>
      <w:widowControl/>
      <w:spacing w:before="169" w:after="169"/>
      <w:jc w:val="left"/>
    </w:pPr>
    <w:rPr>
      <w:rFonts w:ascii="宋体" w:hAnsi="宋体" w:cs="宋体"/>
      <w:kern w:val="0"/>
      <w:sz w:val="24"/>
    </w:rPr>
  </w:style>
  <w:style w:type="paragraph" w:customStyle="1" w:styleId="100">
    <w:name w:val="7"/>
    <w:basedOn w:val="16"/>
    <w:qFormat/>
    <w:uiPriority w:val="0"/>
    <w:pPr>
      <w:widowControl/>
      <w:ind w:firstLine="454"/>
      <w:jc w:val="left"/>
    </w:pPr>
    <w:rPr>
      <w:rFonts w:ascii="Tahoma" w:hAnsi="Tahoma" w:cs="宋体"/>
      <w:kern w:val="0"/>
      <w:sz w:val="24"/>
      <w:szCs w:val="20"/>
    </w:rPr>
  </w:style>
  <w:style w:type="paragraph" w:customStyle="1" w:styleId="101">
    <w:name w:val="列出段落2"/>
    <w:basedOn w:val="1"/>
    <w:qFormat/>
    <w:uiPriority w:val="0"/>
    <w:pPr>
      <w:ind w:firstLine="420" w:firstLineChars="200"/>
    </w:pPr>
    <w:rPr>
      <w:sz w:val="24"/>
    </w:rPr>
  </w:style>
  <w:style w:type="paragraph" w:customStyle="1" w:styleId="102">
    <w:name w:val="xl4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04">
    <w:name w:val="默认段落字体 Para Char"/>
    <w:basedOn w:val="1"/>
    <w:qFormat/>
    <w:uiPriority w:val="0"/>
    <w:pPr>
      <w:adjustRightInd w:val="0"/>
      <w:spacing w:line="360" w:lineRule="auto"/>
    </w:pPr>
    <w:rPr>
      <w:szCs w:val="20"/>
    </w:rPr>
  </w:style>
  <w:style w:type="paragraph" w:customStyle="1" w:styleId="105">
    <w:name w:val="font18"/>
    <w:basedOn w:val="1"/>
    <w:qFormat/>
    <w:uiPriority w:val="0"/>
    <w:pPr>
      <w:widowControl/>
      <w:spacing w:before="100" w:beforeAutospacing="1" w:after="100" w:afterAutospacing="1"/>
      <w:jc w:val="left"/>
    </w:pPr>
    <w:rPr>
      <w:rFonts w:hint="eastAsia" w:ascii="仿宋_GB2312" w:hAnsi="Arial Unicode MS" w:eastAsia="仿宋_GB2312"/>
      <w:color w:val="FF0000"/>
      <w:kern w:val="0"/>
      <w:sz w:val="20"/>
      <w:szCs w:val="20"/>
    </w:rPr>
  </w:style>
  <w:style w:type="paragraph" w:customStyle="1" w:styleId="106">
    <w:name w:val="文章总标题"/>
    <w:basedOn w:val="1"/>
    <w:next w:val="107"/>
    <w:qFormat/>
    <w:uiPriority w:val="0"/>
    <w:pPr>
      <w:widowControl/>
      <w:spacing w:line="566" w:lineRule="atLeast"/>
      <w:jc w:val="center"/>
      <w:textAlignment w:val="baseline"/>
    </w:pPr>
    <w:rPr>
      <w:rFonts w:ascii="Arial" w:eastAsia="黑体"/>
      <w:color w:val="000000"/>
      <w:kern w:val="0"/>
      <w:sz w:val="54"/>
      <w:szCs w:val="20"/>
      <w:u w:color="000000"/>
    </w:rPr>
  </w:style>
  <w:style w:type="paragraph" w:customStyle="1" w:styleId="107">
    <w:name w:val="文章附标题"/>
    <w:basedOn w:val="1"/>
    <w:next w:val="3"/>
    <w:qFormat/>
    <w:uiPriority w:val="0"/>
    <w:pPr>
      <w:widowControl/>
      <w:spacing w:line="374" w:lineRule="atLeast"/>
      <w:jc w:val="center"/>
      <w:textAlignment w:val="baseline"/>
    </w:pPr>
    <w:rPr>
      <w:color w:val="000000"/>
      <w:kern w:val="0"/>
      <w:sz w:val="36"/>
      <w:szCs w:val="20"/>
      <w:u w:color="000000"/>
    </w:rPr>
  </w:style>
  <w:style w:type="paragraph" w:customStyle="1" w:styleId="108">
    <w:name w:val="Char"/>
    <w:basedOn w:val="16"/>
    <w:qFormat/>
    <w:uiPriority w:val="0"/>
    <w:pPr>
      <w:widowControl/>
      <w:ind w:firstLine="454"/>
      <w:jc w:val="left"/>
    </w:pPr>
    <w:rPr>
      <w:rFonts w:ascii="Tahoma" w:hAnsi="Tahoma" w:cs="宋体"/>
      <w:kern w:val="0"/>
      <w:sz w:val="24"/>
      <w:szCs w:val="20"/>
    </w:rPr>
  </w:style>
  <w:style w:type="paragraph" w:customStyle="1" w:styleId="109">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110">
    <w:name w:val="列出段落1"/>
    <w:basedOn w:val="1"/>
    <w:qFormat/>
    <w:uiPriority w:val="0"/>
    <w:pPr>
      <w:ind w:firstLine="420" w:firstLineChars="200"/>
    </w:pPr>
    <w:rPr>
      <w:szCs w:val="22"/>
    </w:rPr>
  </w:style>
  <w:style w:type="paragraph" w:customStyle="1" w:styleId="111">
    <w:name w:val="列出段落3"/>
    <w:basedOn w:val="1"/>
    <w:qFormat/>
    <w:uiPriority w:val="0"/>
    <w:pPr>
      <w:ind w:firstLine="420" w:firstLineChars="200"/>
    </w:pPr>
    <w:rPr>
      <w:rFonts w:ascii="Times New Roman" w:hAnsi="Times New Roman"/>
    </w:rPr>
  </w:style>
  <w:style w:type="paragraph" w:customStyle="1" w:styleId="112">
    <w:name w:val="xl40"/>
    <w:basedOn w:val="1"/>
    <w:qFormat/>
    <w:uiPriority w:val="0"/>
    <w:pPr>
      <w:widowControl/>
      <w:pBdr>
        <w:top w:val="single" w:color="auto" w:sz="8" w:space="0"/>
        <w:left w:val="single" w:color="auto" w:sz="8" w:space="0"/>
        <w:right w:val="single" w:color="auto" w:sz="4" w:space="0"/>
      </w:pBdr>
      <w:shd w:val="clear" w:color="auto" w:fill="C0C0C0"/>
      <w:spacing w:before="100" w:beforeAutospacing="1" w:after="100" w:afterAutospacing="1"/>
      <w:jc w:val="center"/>
      <w:textAlignment w:val="center"/>
    </w:pPr>
    <w:rPr>
      <w:rFonts w:ascii="Arial Unicode MS" w:hAnsi="Arial Unicode MS" w:eastAsia="Arial Unicode MS" w:cs="Arial Unicode MS"/>
      <w:b/>
      <w:bCs/>
      <w:kern w:val="0"/>
      <w:sz w:val="28"/>
      <w:szCs w:val="28"/>
    </w:rPr>
  </w:style>
  <w:style w:type="paragraph" w:customStyle="1" w:styleId="11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114">
    <w:name w:val="表内文字"/>
    <w:basedOn w:val="1"/>
    <w:qFormat/>
    <w:uiPriority w:val="0"/>
    <w:pPr>
      <w:snapToGrid w:val="0"/>
      <w:spacing w:line="360" w:lineRule="exact"/>
    </w:pPr>
    <w:rPr>
      <w:rFonts w:ascii="宋体" w:hAnsi="宋体"/>
      <w:b/>
      <w:color w:val="0000FF"/>
      <w:szCs w:val="21"/>
    </w:rPr>
  </w:style>
  <w:style w:type="paragraph" w:customStyle="1" w:styleId="115">
    <w:name w:val="样式 首行缩进:  2 字符"/>
    <w:basedOn w:val="1"/>
    <w:qFormat/>
    <w:uiPriority w:val="0"/>
    <w:pPr>
      <w:spacing w:line="400" w:lineRule="exact"/>
      <w:ind w:firstLine="200" w:firstLineChars="200"/>
    </w:pPr>
    <w:rPr>
      <w:rFonts w:cs="宋体"/>
      <w:sz w:val="24"/>
    </w:rPr>
  </w:style>
  <w:style w:type="paragraph" w:customStyle="1" w:styleId="116">
    <w:name w:val="节标题"/>
    <w:basedOn w:val="1"/>
    <w:next w:val="117"/>
    <w:qFormat/>
    <w:uiPriority w:val="0"/>
    <w:pPr>
      <w:widowControl/>
      <w:spacing w:line="289" w:lineRule="atLeast"/>
      <w:jc w:val="center"/>
      <w:textAlignment w:val="baseline"/>
    </w:pPr>
    <w:rPr>
      <w:color w:val="000000"/>
      <w:kern w:val="0"/>
      <w:sz w:val="28"/>
      <w:szCs w:val="20"/>
      <w:u w:color="000000"/>
    </w:rPr>
  </w:style>
  <w:style w:type="paragraph" w:customStyle="1" w:styleId="117">
    <w:name w:val="小节标题"/>
    <w:basedOn w:val="1"/>
    <w:next w:val="1"/>
    <w:qFormat/>
    <w:uiPriority w:val="0"/>
    <w:pPr>
      <w:widowControl/>
      <w:spacing w:line="351" w:lineRule="atLeast"/>
      <w:textAlignment w:val="baseline"/>
    </w:pPr>
    <w:rPr>
      <w:rFonts w:eastAsia="黑体"/>
      <w:color w:val="000000"/>
      <w:kern w:val="0"/>
      <w:szCs w:val="20"/>
      <w:u w:color="000000"/>
    </w:rPr>
  </w:style>
  <w:style w:type="paragraph" w:customStyle="1" w:styleId="118">
    <w:name w:val="xl3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9">
    <w:name w:val="标题3"/>
    <w:basedOn w:val="5"/>
    <w:qFormat/>
    <w:uiPriority w:val="0"/>
    <w:pPr>
      <w:keepLines w:val="0"/>
      <w:widowControl/>
      <w:tabs>
        <w:tab w:val="left" w:pos="1247"/>
      </w:tabs>
      <w:spacing w:line="360" w:lineRule="auto"/>
      <w:ind w:left="1247" w:hanging="1247"/>
      <w:jc w:val="left"/>
    </w:pPr>
    <w:rPr>
      <w:rFonts w:ascii="Arial" w:hAnsi="Arial"/>
      <w:sz w:val="52"/>
      <w:szCs w:val="52"/>
    </w:rPr>
  </w:style>
  <w:style w:type="paragraph" w:customStyle="1" w:styleId="120">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121">
    <w:name w:val="UP标题3"/>
    <w:basedOn w:val="1"/>
    <w:link w:val="254"/>
    <w:qFormat/>
    <w:uiPriority w:val="0"/>
    <w:pPr>
      <w:spacing w:line="360" w:lineRule="auto"/>
      <w:ind w:firstLine="149" w:firstLineChars="149"/>
    </w:pPr>
    <w:rPr>
      <w:rFonts w:ascii="黑体" w:hAnsi="Cambria" w:eastAsia="黑体"/>
      <w:kern w:val="0"/>
      <w:sz w:val="28"/>
      <w:szCs w:val="28"/>
    </w:rPr>
  </w:style>
  <w:style w:type="paragraph" w:customStyle="1" w:styleId="122">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sz w:val="24"/>
    </w:rPr>
  </w:style>
  <w:style w:type="paragraph" w:customStyle="1" w:styleId="123">
    <w:name w:val="正文首行缩进两字符"/>
    <w:basedOn w:val="1"/>
    <w:qFormat/>
    <w:uiPriority w:val="0"/>
    <w:pPr>
      <w:spacing w:line="360" w:lineRule="auto"/>
      <w:ind w:firstLine="200" w:firstLineChars="200"/>
    </w:pPr>
  </w:style>
  <w:style w:type="paragraph" w:customStyle="1" w:styleId="124">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paragraph" w:customStyle="1" w:styleId="125">
    <w:name w:val="正文2"/>
    <w:basedOn w:val="1"/>
    <w:link w:val="262"/>
    <w:qFormat/>
    <w:uiPriority w:val="0"/>
    <w:pPr>
      <w:spacing w:line="360" w:lineRule="auto"/>
      <w:ind w:firstLine="200" w:firstLineChars="200"/>
    </w:pPr>
    <w:rPr>
      <w:rFonts w:ascii="Cambria" w:hAnsi="Cambria"/>
      <w:sz w:val="28"/>
      <w:szCs w:val="22"/>
    </w:rPr>
  </w:style>
  <w:style w:type="paragraph" w:customStyle="1" w:styleId="126">
    <w:name w:val="_Style 35"/>
    <w:basedOn w:val="16"/>
    <w:qFormat/>
    <w:uiPriority w:val="0"/>
    <w:pPr>
      <w:widowControl/>
      <w:ind w:firstLine="454"/>
      <w:jc w:val="left"/>
    </w:pPr>
  </w:style>
  <w:style w:type="paragraph" w:customStyle="1" w:styleId="127">
    <w:name w:val="Char Char19 Char Char Char Char"/>
    <w:basedOn w:val="16"/>
    <w:qFormat/>
    <w:uiPriority w:val="0"/>
    <w:pPr>
      <w:widowControl/>
      <w:ind w:firstLine="454"/>
      <w:jc w:val="left"/>
    </w:pPr>
  </w:style>
  <w:style w:type="paragraph" w:customStyle="1" w:styleId="128">
    <w:name w:val="2-2ji"/>
    <w:basedOn w:val="4"/>
    <w:qFormat/>
    <w:uiPriority w:val="0"/>
    <w:pPr>
      <w:adjustRightInd w:val="0"/>
      <w:spacing w:line="360" w:lineRule="auto"/>
      <w:jc w:val="center"/>
      <w:textAlignment w:val="baseline"/>
    </w:pPr>
    <w:rPr>
      <w:rFonts w:ascii="宋体" w:hAnsi="宋体" w:eastAsia="宋体"/>
      <w:bCs w:val="0"/>
      <w:sz w:val="36"/>
    </w:rPr>
  </w:style>
  <w:style w:type="paragraph" w:customStyle="1" w:styleId="129">
    <w:name w:val="Default Paragraph Font Para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130">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paragraph" w:customStyle="1" w:styleId="131">
    <w:name w:val="Body 1"/>
    <w:qFormat/>
    <w:uiPriority w:val="0"/>
    <w:pPr>
      <w:outlineLvl w:val="0"/>
    </w:pPr>
    <w:rPr>
      <w:rFonts w:ascii="Calibri" w:hAnsi="Calibri" w:eastAsia="Arial Unicode MS" w:cs="Times New Roman"/>
      <w:color w:val="000000"/>
      <w:sz w:val="24"/>
      <w:szCs w:val="22"/>
      <w:u w:color="000000"/>
      <w:lang w:val="en-US" w:eastAsia="zh-CN" w:bidi="ar-SA"/>
    </w:rPr>
  </w:style>
  <w:style w:type="paragraph" w:customStyle="1" w:styleId="132">
    <w:name w:val="pa-4"/>
    <w:basedOn w:val="1"/>
    <w:qFormat/>
    <w:uiPriority w:val="0"/>
    <w:pPr>
      <w:widowControl/>
      <w:spacing w:before="169" w:after="169"/>
      <w:jc w:val="left"/>
    </w:pPr>
    <w:rPr>
      <w:rFonts w:ascii="宋体" w:hAnsi="宋体" w:cs="宋体"/>
      <w:kern w:val="0"/>
      <w:sz w:val="24"/>
    </w:rPr>
  </w:style>
  <w:style w:type="paragraph" w:customStyle="1" w:styleId="133">
    <w:name w:val="dash5217_51fa_6bb5_843d"/>
    <w:basedOn w:val="1"/>
    <w:qFormat/>
    <w:uiPriority w:val="0"/>
    <w:pPr>
      <w:widowControl/>
      <w:ind w:firstLine="420"/>
    </w:pPr>
    <w:rPr>
      <w:rFonts w:cs="Calibri"/>
      <w:kern w:val="0"/>
      <w:sz w:val="20"/>
      <w:szCs w:val="20"/>
    </w:rPr>
  </w:style>
  <w:style w:type="paragraph" w:customStyle="1" w:styleId="134">
    <w:name w:val="xl36"/>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35">
    <w:name w:val="Body"/>
    <w:basedOn w:val="1"/>
    <w:qFormat/>
    <w:uiPriority w:val="0"/>
    <w:pPr>
      <w:widowControl/>
      <w:tabs>
        <w:tab w:val="left" w:pos="1980"/>
      </w:tabs>
      <w:spacing w:line="360" w:lineRule="auto"/>
      <w:jc w:val="center"/>
    </w:pPr>
    <w:rPr>
      <w:szCs w:val="21"/>
    </w:rPr>
  </w:style>
  <w:style w:type="paragraph" w:customStyle="1" w:styleId="136">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7">
    <w:name w:val="目录3"/>
    <w:basedOn w:val="1"/>
    <w:next w:val="1"/>
    <w:qFormat/>
    <w:uiPriority w:val="0"/>
    <w:pPr>
      <w:widowControl/>
      <w:tabs>
        <w:tab w:val="left" w:leader="dot" w:pos="8503"/>
      </w:tabs>
      <w:spacing w:line="317" w:lineRule="atLeast"/>
      <w:ind w:firstLine="419"/>
      <w:textAlignment w:val="baseline"/>
    </w:pPr>
    <w:rPr>
      <w:color w:val="000000"/>
      <w:kern w:val="0"/>
      <w:szCs w:val="20"/>
      <w:u w:color="000000"/>
    </w:rPr>
  </w:style>
  <w:style w:type="paragraph" w:customStyle="1" w:styleId="138">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4"/>
    <w:basedOn w:val="1"/>
    <w:next w:val="32"/>
    <w:qFormat/>
    <w:uiPriority w:val="0"/>
    <w:pPr>
      <w:spacing w:line="420" w:lineRule="exact"/>
      <w:ind w:firstLine="409" w:firstLineChars="195"/>
    </w:pPr>
  </w:style>
  <w:style w:type="paragraph" w:customStyle="1" w:styleId="140">
    <w:name w:val="目录4"/>
    <w:basedOn w:val="1"/>
    <w:next w:val="1"/>
    <w:qFormat/>
    <w:uiPriority w:val="0"/>
    <w:pPr>
      <w:widowControl/>
      <w:tabs>
        <w:tab w:val="left" w:leader="dot" w:pos="8503"/>
      </w:tabs>
      <w:spacing w:line="317" w:lineRule="atLeast"/>
      <w:ind w:firstLine="629"/>
      <w:textAlignment w:val="baseline"/>
    </w:pPr>
    <w:rPr>
      <w:color w:val="000000"/>
      <w:kern w:val="0"/>
      <w:szCs w:val="20"/>
      <w:u w:color="000000"/>
    </w:rPr>
  </w:style>
  <w:style w:type="paragraph" w:customStyle="1" w:styleId="141">
    <w:name w:val="Char Char Char Char"/>
    <w:basedOn w:val="16"/>
    <w:qFormat/>
    <w:uiPriority w:val="0"/>
    <w:pPr>
      <w:adjustRightInd w:val="0"/>
      <w:snapToGrid w:val="0"/>
      <w:spacing w:line="360" w:lineRule="auto"/>
    </w:pPr>
    <w:rPr>
      <w:rFonts w:ascii="Tahoma" w:hAnsi="Tahoma"/>
      <w:sz w:val="24"/>
    </w:rPr>
  </w:style>
  <w:style w:type="paragraph" w:customStyle="1" w:styleId="142">
    <w:name w:val="Char Char1"/>
    <w:basedOn w:val="1"/>
    <w:qFormat/>
    <w:uiPriority w:val="0"/>
    <w:pPr>
      <w:widowControl/>
      <w:spacing w:line="240" w:lineRule="exact"/>
      <w:jc w:val="left"/>
    </w:pPr>
    <w:rPr>
      <w:rFonts w:ascii="Verdana" w:hAnsi="Verdana" w:eastAsia="楷体_GB2312" w:cs="宋体"/>
      <w:b/>
      <w:i/>
      <w:iCs/>
      <w:color w:val="000000"/>
      <w:kern w:val="0"/>
      <w:sz w:val="20"/>
      <w:lang w:eastAsia="en-US"/>
    </w:rPr>
  </w:style>
  <w:style w:type="paragraph" w:customStyle="1" w:styleId="143">
    <w:name w:val="正文段"/>
    <w:basedOn w:val="1"/>
    <w:qFormat/>
    <w:uiPriority w:val="0"/>
    <w:pPr>
      <w:widowControl/>
      <w:snapToGrid w:val="0"/>
      <w:spacing w:afterLines="50"/>
      <w:ind w:firstLine="200" w:firstLineChars="200"/>
    </w:pPr>
    <w:rPr>
      <w:kern w:val="0"/>
      <w:sz w:val="24"/>
      <w:szCs w:val="20"/>
    </w:rPr>
  </w:style>
  <w:style w:type="paragraph" w:customStyle="1" w:styleId="144">
    <w:name w:val="font19"/>
    <w:basedOn w:val="1"/>
    <w:qFormat/>
    <w:uiPriority w:val="0"/>
    <w:pPr>
      <w:widowControl/>
      <w:spacing w:before="100" w:beforeAutospacing="1" w:after="100" w:afterAutospacing="1"/>
      <w:jc w:val="left"/>
    </w:pPr>
    <w:rPr>
      <w:rFonts w:ascii="Helv" w:hAnsi="Helv"/>
      <w:color w:val="000000"/>
      <w:kern w:val="0"/>
      <w:sz w:val="20"/>
      <w:szCs w:val="20"/>
      <w:u w:val="single"/>
    </w:rPr>
  </w:style>
  <w:style w:type="paragraph" w:customStyle="1" w:styleId="145">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Arial Unicode MS" w:hAnsi="Arial Unicode MS"/>
      <w:kern w:val="0"/>
      <w:sz w:val="20"/>
      <w:szCs w:val="20"/>
    </w:rPr>
  </w:style>
  <w:style w:type="paragraph" w:customStyle="1" w:styleId="146">
    <w:name w:val="列出段落31"/>
    <w:basedOn w:val="1"/>
    <w:link w:val="237"/>
    <w:qFormat/>
    <w:uiPriority w:val="0"/>
    <w:pPr>
      <w:ind w:firstLine="420" w:firstLineChars="200"/>
    </w:pPr>
    <w:rPr>
      <w:szCs w:val="22"/>
    </w:rPr>
  </w:style>
  <w:style w:type="paragraph" w:customStyle="1" w:styleId="147">
    <w:name w:val="F2"/>
    <w:basedOn w:val="1"/>
    <w:qFormat/>
    <w:uiPriority w:val="0"/>
    <w:pPr>
      <w:autoSpaceDE w:val="0"/>
      <w:autoSpaceDN w:val="0"/>
      <w:adjustRightInd w:val="0"/>
      <w:ind w:firstLine="601"/>
    </w:pPr>
    <w:rPr>
      <w:kern w:val="0"/>
      <w:sz w:val="24"/>
      <w:szCs w:val="20"/>
    </w:rPr>
  </w:style>
  <w:style w:type="paragraph" w:customStyle="1" w:styleId="148">
    <w:name w:val="xl37"/>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9">
    <w:name w:val="Char Char1 Char Char Char Char"/>
    <w:basedOn w:val="16"/>
    <w:qFormat/>
    <w:uiPriority w:val="0"/>
    <w:rPr>
      <w:rFonts w:ascii="Tahoma" w:hAnsi="Tahoma"/>
      <w:sz w:val="24"/>
    </w:rPr>
  </w:style>
  <w:style w:type="paragraph" w:customStyle="1" w:styleId="15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51">
    <w:name w:val="xl55"/>
    <w:basedOn w:val="1"/>
    <w:qFormat/>
    <w:uiPriority w:val="0"/>
    <w:pPr>
      <w:widowControl/>
      <w:pBdr>
        <w:top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52">
    <w:name w:val="pa-6"/>
    <w:basedOn w:val="1"/>
    <w:qFormat/>
    <w:uiPriority w:val="0"/>
    <w:pPr>
      <w:widowControl/>
      <w:spacing w:before="169" w:after="169"/>
      <w:jc w:val="left"/>
    </w:pPr>
    <w:rPr>
      <w:rFonts w:ascii="宋体" w:hAnsi="宋体" w:cs="宋体"/>
      <w:kern w:val="0"/>
      <w:sz w:val="24"/>
    </w:rPr>
  </w:style>
  <w:style w:type="paragraph" w:customStyle="1" w:styleId="153">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4">
    <w:name w:val="xl50"/>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5">
    <w:name w:val="font14"/>
    <w:basedOn w:val="1"/>
    <w:qFormat/>
    <w:uiPriority w:val="0"/>
    <w:pPr>
      <w:widowControl/>
      <w:spacing w:before="100" w:beforeAutospacing="1" w:after="100" w:afterAutospacing="1"/>
      <w:jc w:val="left"/>
    </w:pPr>
    <w:rPr>
      <w:rFonts w:hint="eastAsia" w:ascii="宋体" w:hAnsi="宋体"/>
      <w:b/>
      <w:bCs/>
      <w:color w:val="000000"/>
      <w:kern w:val="0"/>
      <w:sz w:val="20"/>
      <w:szCs w:val="20"/>
    </w:rPr>
  </w:style>
  <w:style w:type="paragraph" w:customStyle="1" w:styleId="156">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157">
    <w:name w:val="标准正文"/>
    <w:basedOn w:val="1"/>
    <w:qFormat/>
    <w:uiPriority w:val="0"/>
    <w:pPr>
      <w:spacing w:before="60" w:after="60" w:line="360" w:lineRule="auto"/>
      <w:ind w:firstLine="482"/>
    </w:pPr>
    <w:rPr>
      <w:rFonts w:ascii="Arial" w:hAnsi="Arial"/>
      <w:color w:val="000000"/>
      <w:sz w:val="24"/>
      <w:szCs w:val="20"/>
    </w:rPr>
  </w:style>
  <w:style w:type="paragraph" w:customStyle="1" w:styleId="158">
    <w:name w:val="List Paragraph1"/>
    <w:basedOn w:val="1"/>
    <w:qFormat/>
    <w:uiPriority w:val="0"/>
    <w:pPr>
      <w:ind w:firstLine="420" w:firstLineChars="200"/>
    </w:pPr>
  </w:style>
  <w:style w:type="paragraph" w:customStyle="1" w:styleId="159">
    <w:name w:val="p15"/>
    <w:basedOn w:val="1"/>
    <w:qFormat/>
    <w:uiPriority w:val="0"/>
    <w:pPr>
      <w:widowControl/>
    </w:pPr>
    <w:rPr>
      <w:rFonts w:ascii="宋体" w:hAnsi="宋体" w:cs="宋体"/>
      <w:kern w:val="0"/>
      <w:szCs w:val="21"/>
    </w:rPr>
  </w:style>
  <w:style w:type="paragraph" w:customStyle="1" w:styleId="160">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61">
    <w:name w:val="xl45"/>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2">
    <w:name w:val="自定义标题一"/>
    <w:basedOn w:val="3"/>
    <w:link w:val="238"/>
    <w:qFormat/>
    <w:uiPriority w:val="0"/>
    <w:pPr>
      <w:pageBreakBefore/>
      <w:tabs>
        <w:tab w:val="left" w:pos="144"/>
      </w:tabs>
      <w:spacing w:line="360" w:lineRule="auto"/>
      <w:ind w:left="144" w:hanging="144"/>
      <w:jc w:val="center"/>
    </w:pPr>
    <w:rPr>
      <w:rFonts w:ascii="黑体" w:hAnsi="黑体" w:eastAsia="黑体"/>
    </w:rPr>
  </w:style>
  <w:style w:type="paragraph" w:customStyle="1" w:styleId="16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64">
    <w:name w:val="默认段落字体 Para Char Char Char Char Char Char Char Char Char1 Char Char Char Char"/>
    <w:basedOn w:val="1"/>
    <w:qFormat/>
    <w:uiPriority w:val="0"/>
    <w:rPr>
      <w:rFonts w:ascii="Tahoma" w:hAnsi="Tahoma"/>
      <w:sz w:val="24"/>
      <w:szCs w:val="20"/>
    </w:rPr>
  </w:style>
  <w:style w:type="paragraph" w:customStyle="1" w:styleId="165">
    <w:name w:val="xl26"/>
    <w:basedOn w:val="1"/>
    <w:qFormat/>
    <w:uiPriority w:val="0"/>
    <w:pPr>
      <w:widowControl/>
      <w:pBdr>
        <w:left w:val="single" w:color="auto" w:sz="4" w:space="0"/>
        <w:bottom w:val="single" w:color="auto" w:sz="4" w:space="0"/>
        <w:right w:val="single" w:color="auto" w:sz="4" w:space="0"/>
      </w:pBdr>
      <w:spacing w:beforeAutospacing="1" w:afterAutospacing="1"/>
      <w:textAlignment w:val="top"/>
    </w:pPr>
    <w:rPr>
      <w:kern w:val="0"/>
      <w:szCs w:val="21"/>
    </w:rPr>
  </w:style>
  <w:style w:type="paragraph" w:customStyle="1" w:styleId="166">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sz w:val="24"/>
    </w:rPr>
  </w:style>
  <w:style w:type="paragraph" w:customStyle="1" w:styleId="167">
    <w:name w:val="pa-7"/>
    <w:basedOn w:val="1"/>
    <w:qFormat/>
    <w:uiPriority w:val="0"/>
    <w:pPr>
      <w:widowControl/>
      <w:spacing w:before="169" w:after="169"/>
      <w:jc w:val="left"/>
    </w:pPr>
    <w:rPr>
      <w:rFonts w:ascii="宋体" w:hAnsi="宋体" w:cs="宋体"/>
      <w:kern w:val="0"/>
      <w:sz w:val="24"/>
    </w:rPr>
  </w:style>
  <w:style w:type="paragraph" w:customStyle="1" w:styleId="168">
    <w:name w:val="xl4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6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0">
    <w:name w:val="Char Char1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171">
    <w:name w:val="xl51"/>
    <w:basedOn w:val="1"/>
    <w:qFormat/>
    <w:uiPriority w:val="0"/>
    <w:pPr>
      <w:widowControl/>
      <w:pBdr>
        <w:top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sz w:val="24"/>
    </w:rPr>
  </w:style>
  <w:style w:type="paragraph" w:customStyle="1" w:styleId="172">
    <w:name w:val="Char Char1 Char Char Char Char1"/>
    <w:basedOn w:val="16"/>
    <w:qFormat/>
    <w:uiPriority w:val="0"/>
    <w:rPr>
      <w:rFonts w:ascii="Tahoma" w:hAnsi="Tahoma"/>
      <w:sz w:val="24"/>
    </w:rPr>
  </w:style>
  <w:style w:type="paragraph" w:customStyle="1" w:styleId="173">
    <w:name w:val="Char Char19 Char Char Char Char1"/>
    <w:basedOn w:val="16"/>
    <w:qFormat/>
    <w:uiPriority w:val="0"/>
    <w:pPr>
      <w:widowControl/>
      <w:ind w:firstLine="454"/>
      <w:jc w:val="left"/>
    </w:pPr>
  </w:style>
  <w:style w:type="paragraph" w:customStyle="1" w:styleId="174">
    <w:name w:val="Bullets"/>
    <w:basedOn w:val="1"/>
    <w:qFormat/>
    <w:uiPriority w:val="0"/>
    <w:pPr>
      <w:widowControl/>
      <w:adjustRightInd w:val="0"/>
      <w:snapToGrid w:val="0"/>
      <w:spacing w:before="60" w:after="60"/>
    </w:pPr>
    <w:rPr>
      <w:kern w:val="0"/>
      <w:sz w:val="24"/>
      <w:lang w:val="en-GB"/>
    </w:rPr>
  </w:style>
  <w:style w:type="paragraph" w:customStyle="1" w:styleId="175">
    <w:name w:val="xl30"/>
    <w:basedOn w:val="1"/>
    <w:qFormat/>
    <w:uiPriority w:val="0"/>
    <w:pPr>
      <w:widowControl/>
      <w:pBdr>
        <w:left w:val="single" w:color="auto" w:sz="4" w:space="0"/>
        <w:bottom w:val="single" w:color="auto" w:sz="4" w:space="0"/>
        <w:right w:val="single" w:color="auto" w:sz="4" w:space="0"/>
      </w:pBdr>
      <w:spacing w:beforeAutospacing="1" w:afterAutospacing="1"/>
      <w:jc w:val="center"/>
    </w:pPr>
    <w:rPr>
      <w:kern w:val="0"/>
      <w:szCs w:val="21"/>
    </w:rPr>
  </w:style>
  <w:style w:type="paragraph" w:customStyle="1" w:styleId="176">
    <w:name w:val="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7">
    <w:name w:val="我的正文"/>
    <w:basedOn w:val="1"/>
    <w:qFormat/>
    <w:uiPriority w:val="0"/>
    <w:pPr>
      <w:spacing w:line="520" w:lineRule="exact"/>
      <w:ind w:firstLine="192" w:firstLineChars="192"/>
    </w:pPr>
    <w:rPr>
      <w:sz w:val="28"/>
      <w:szCs w:val="28"/>
    </w:rPr>
  </w:style>
  <w:style w:type="paragraph" w:customStyle="1" w:styleId="178">
    <w:name w:val="Char Char9 Char Char Char Char1"/>
    <w:basedOn w:val="1"/>
    <w:qFormat/>
    <w:uiPriority w:val="0"/>
    <w:pPr>
      <w:widowControl/>
      <w:spacing w:after="160" w:line="240" w:lineRule="exact"/>
      <w:jc w:val="left"/>
    </w:pPr>
  </w:style>
  <w:style w:type="paragraph" w:customStyle="1" w:styleId="179">
    <w:name w:val="表-正文"/>
    <w:basedOn w:val="1"/>
    <w:qFormat/>
    <w:uiPriority w:val="0"/>
    <w:pPr>
      <w:autoSpaceDE w:val="0"/>
      <w:autoSpaceDN w:val="0"/>
      <w:adjustRightInd w:val="0"/>
      <w:spacing w:line="240" w:lineRule="atLeast"/>
      <w:jc w:val="center"/>
    </w:pPr>
    <w:rPr>
      <w:rFonts w:ascii="方正中等线简体 Regular" w:eastAsia="方正中等线简体 Regular" w:cs="方正中等线简体 Regular"/>
      <w:color w:val="000000"/>
      <w:kern w:val="0"/>
      <w:sz w:val="18"/>
      <w:szCs w:val="18"/>
      <w:lang w:val="zh-CN"/>
    </w:rPr>
  </w:style>
  <w:style w:type="paragraph" w:customStyle="1" w:styleId="180">
    <w:name w:val="Char Char Char1 Char Char Char Char Char Char Char Char Char Char Char Char Char Char Char"/>
    <w:basedOn w:val="1"/>
    <w:qFormat/>
    <w:uiPriority w:val="0"/>
    <w:pPr>
      <w:widowControl/>
      <w:adjustRightInd w:val="0"/>
      <w:spacing w:line="240" w:lineRule="exact"/>
      <w:jc w:val="left"/>
    </w:pPr>
    <w:rPr>
      <w:rFonts w:ascii="Verdana" w:hAnsi="Verdana"/>
      <w:kern w:val="0"/>
      <w:sz w:val="20"/>
      <w:szCs w:val="20"/>
      <w:lang w:eastAsia="en-US"/>
    </w:rPr>
  </w:style>
  <w:style w:type="paragraph" w:customStyle="1" w:styleId="181">
    <w:name w:val="表-标题"/>
    <w:basedOn w:val="1"/>
    <w:qFormat/>
    <w:uiPriority w:val="0"/>
    <w:pPr>
      <w:autoSpaceDE w:val="0"/>
      <w:autoSpaceDN w:val="0"/>
      <w:adjustRightInd w:val="0"/>
      <w:spacing w:line="288" w:lineRule="auto"/>
      <w:jc w:val="center"/>
    </w:pPr>
    <w:rPr>
      <w:rFonts w:ascii="汉仪大黑简 regular" w:eastAsia="汉仪大黑简 regular" w:cs="汉仪大黑简 regular"/>
      <w:color w:val="000000"/>
      <w:kern w:val="0"/>
      <w:sz w:val="16"/>
      <w:szCs w:val="16"/>
      <w:lang w:val="zh-CN"/>
    </w:rPr>
  </w:style>
  <w:style w:type="paragraph" w:customStyle="1" w:styleId="182">
    <w:name w:val="font12"/>
    <w:basedOn w:val="1"/>
    <w:qFormat/>
    <w:uiPriority w:val="0"/>
    <w:pPr>
      <w:widowControl/>
      <w:spacing w:before="100" w:beforeAutospacing="1" w:after="100" w:afterAutospacing="1"/>
      <w:jc w:val="left"/>
    </w:pPr>
    <w:rPr>
      <w:rFonts w:hint="eastAsia" w:ascii="宋体" w:hAnsi="宋体"/>
      <w:color w:val="333333"/>
      <w:kern w:val="0"/>
      <w:sz w:val="20"/>
      <w:szCs w:val="20"/>
    </w:rPr>
  </w:style>
  <w:style w:type="paragraph" w:customStyle="1" w:styleId="183">
    <w:name w:val="列出段落11"/>
    <w:qFormat/>
    <w:uiPriority w:val="0"/>
    <w:pPr>
      <w:ind w:firstLine="420" w:firstLineChars="200"/>
    </w:pPr>
    <w:rPr>
      <w:rFonts w:ascii="Calibri" w:hAnsi="Calibri" w:eastAsia="宋体" w:cs="Times New Roman"/>
      <w:szCs w:val="22"/>
      <w:lang w:val="en-US" w:eastAsia="zh-CN" w:bidi="ar-SA"/>
    </w:rPr>
  </w:style>
  <w:style w:type="paragraph" w:customStyle="1" w:styleId="184">
    <w:name w:val="Char21"/>
    <w:basedOn w:val="1"/>
    <w:qFormat/>
    <w:uiPriority w:val="0"/>
    <w:pPr>
      <w:widowControl/>
      <w:spacing w:line="240" w:lineRule="exact"/>
      <w:jc w:val="left"/>
    </w:pPr>
    <w:rPr>
      <w:rFonts w:ascii="Verdana" w:hAnsi="Verdana"/>
      <w:kern w:val="0"/>
      <w:szCs w:val="20"/>
      <w:lang w:eastAsia="en-US"/>
    </w:rPr>
  </w:style>
  <w:style w:type="paragraph" w:customStyle="1" w:styleId="185">
    <w:name w:val="标题A"/>
    <w:basedOn w:val="1"/>
    <w:qFormat/>
    <w:uiPriority w:val="0"/>
    <w:pPr>
      <w:autoSpaceDE w:val="0"/>
      <w:autoSpaceDN w:val="0"/>
      <w:adjustRightInd w:val="0"/>
      <w:ind w:left="720" w:right="-866"/>
      <w:jc w:val="left"/>
      <w:textAlignment w:val="baseline"/>
    </w:pPr>
    <w:rPr>
      <w:rFonts w:hAnsi="Arial" w:eastAsia="黑体"/>
      <w:i/>
      <w:kern w:val="0"/>
      <w:sz w:val="28"/>
      <w:szCs w:val="20"/>
    </w:rPr>
  </w:style>
  <w:style w:type="paragraph" w:customStyle="1" w:styleId="186">
    <w:name w:val="font7"/>
    <w:basedOn w:val="1"/>
    <w:qFormat/>
    <w:uiPriority w:val="0"/>
    <w:pPr>
      <w:widowControl/>
      <w:spacing w:before="100" w:beforeAutospacing="1" w:after="100" w:afterAutospacing="1"/>
      <w:jc w:val="left"/>
    </w:pPr>
    <w:rPr>
      <w:rFonts w:hint="eastAsia" w:ascii="宋体" w:hAnsi="宋体" w:cs="Arial Unicode MS"/>
      <w:color w:val="000000"/>
      <w:kern w:val="0"/>
      <w:sz w:val="18"/>
      <w:szCs w:val="18"/>
    </w:rPr>
  </w:style>
  <w:style w:type="paragraph" w:customStyle="1" w:styleId="187">
    <w:name w:val="xl44"/>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88">
    <w:name w:val="xl31"/>
    <w:basedOn w:val="1"/>
    <w:qFormat/>
    <w:uiPriority w:val="0"/>
    <w:pPr>
      <w:widowControl/>
      <w:pBdr>
        <w:bottom w:val="single" w:color="auto" w:sz="4" w:space="0"/>
        <w:right w:val="single" w:color="auto" w:sz="4" w:space="0"/>
      </w:pBdr>
      <w:spacing w:beforeAutospacing="1" w:afterAutospacing="1"/>
      <w:jc w:val="center"/>
    </w:pPr>
    <w:rPr>
      <w:rFonts w:ascii="宋体" w:hAnsi="宋体"/>
      <w:kern w:val="0"/>
      <w:szCs w:val="21"/>
    </w:rPr>
  </w:style>
  <w:style w:type="paragraph" w:customStyle="1" w:styleId="189">
    <w:name w:val="font16"/>
    <w:basedOn w:val="1"/>
    <w:qFormat/>
    <w:uiPriority w:val="0"/>
    <w:pPr>
      <w:widowControl/>
      <w:spacing w:before="100" w:beforeAutospacing="1" w:after="100" w:afterAutospacing="1"/>
      <w:jc w:val="left"/>
    </w:pPr>
    <w:rPr>
      <w:color w:val="FF0000"/>
      <w:kern w:val="0"/>
      <w:sz w:val="20"/>
      <w:szCs w:val="20"/>
    </w:rPr>
  </w:style>
  <w:style w:type="paragraph" w:customStyle="1" w:styleId="190">
    <w:name w:val="样式 正文文字 + 小四 段后: 0 磅 行距: 1.5 倍行距"/>
    <w:basedOn w:val="21"/>
    <w:qFormat/>
    <w:uiPriority w:val="0"/>
    <w:pPr>
      <w:spacing w:line="360" w:lineRule="auto"/>
      <w:ind w:firstLine="480" w:firstLineChars="200"/>
    </w:pPr>
    <w:rPr>
      <w:rFonts w:cs="宋体"/>
      <w:szCs w:val="20"/>
    </w:rPr>
  </w:style>
  <w:style w:type="paragraph" w:customStyle="1" w:styleId="191">
    <w:name w:val="1"/>
    <w:basedOn w:val="1"/>
    <w:next w:val="29"/>
    <w:link w:val="295"/>
    <w:qFormat/>
    <w:uiPriority w:val="0"/>
    <w:rPr>
      <w:rFonts w:ascii="宋体" w:hAnsi="Courier New"/>
      <w:szCs w:val="20"/>
    </w:rPr>
  </w:style>
  <w:style w:type="paragraph" w:customStyle="1" w:styleId="192">
    <w:name w:val="纯文本1"/>
    <w:basedOn w:val="1"/>
    <w:link w:val="233"/>
    <w:qFormat/>
    <w:uiPriority w:val="0"/>
    <w:rPr>
      <w:rFonts w:ascii="宋体" w:hAnsi="Courier New"/>
      <w:szCs w:val="20"/>
    </w:rPr>
  </w:style>
  <w:style w:type="paragraph" w:customStyle="1" w:styleId="193">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94">
    <w:name w:val="xl42"/>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95">
    <w:name w:val="Char Char18"/>
    <w:basedOn w:val="16"/>
    <w:qFormat/>
    <w:uiPriority w:val="0"/>
    <w:pPr>
      <w:widowControl/>
      <w:ind w:firstLine="454"/>
      <w:jc w:val="left"/>
    </w:pPr>
    <w:rPr>
      <w:rFonts w:ascii="Tahoma" w:hAnsi="Tahoma" w:cs="宋体"/>
      <w:kern w:val="0"/>
      <w:sz w:val="24"/>
      <w:szCs w:val="20"/>
    </w:rPr>
  </w:style>
  <w:style w:type="paragraph" w:customStyle="1" w:styleId="196">
    <w:name w:val="[基本段落]"/>
    <w:basedOn w:val="1"/>
    <w:qFormat/>
    <w:uiPriority w:val="0"/>
    <w:pPr>
      <w:autoSpaceDE w:val="0"/>
      <w:autoSpaceDN w:val="0"/>
      <w:adjustRightInd w:val="0"/>
      <w:spacing w:line="288" w:lineRule="auto"/>
    </w:pPr>
    <w:rPr>
      <w:rFonts w:ascii="汉仪大黑简 regular" w:eastAsia="汉仪大黑简 regular"/>
      <w:color w:val="000000"/>
      <w:kern w:val="0"/>
      <w:sz w:val="24"/>
      <w:lang w:val="zh-CN"/>
    </w:rPr>
  </w:style>
  <w:style w:type="paragraph" w:customStyle="1" w:styleId="197">
    <w:name w:val="xl34"/>
    <w:basedOn w:val="1"/>
    <w:qFormat/>
    <w:uiPriority w:val="0"/>
    <w:pPr>
      <w:widowControl/>
      <w:pBdr>
        <w:top w:val="single" w:color="auto" w:sz="8" w:space="0"/>
        <w:left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Arial Unicode MS" w:cs="Arial Unicode MS"/>
      <w:b/>
      <w:bCs/>
      <w:kern w:val="0"/>
      <w:sz w:val="28"/>
      <w:szCs w:val="28"/>
    </w:rPr>
  </w:style>
  <w:style w:type="paragraph" w:customStyle="1" w:styleId="198">
    <w:name w:val="xl4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99">
    <w:name w:val="444"/>
    <w:basedOn w:val="1"/>
    <w:qFormat/>
    <w:uiPriority w:val="0"/>
    <w:pPr>
      <w:adjustRightInd w:val="0"/>
      <w:spacing w:line="312" w:lineRule="atLeast"/>
      <w:jc w:val="center"/>
      <w:textAlignment w:val="baseline"/>
    </w:pPr>
    <w:rPr>
      <w:b/>
      <w:kern w:val="0"/>
      <w:sz w:val="36"/>
      <w:szCs w:val="36"/>
    </w:rPr>
  </w:style>
  <w:style w:type="paragraph" w:customStyle="1" w:styleId="200">
    <w:name w:val="目录2"/>
    <w:basedOn w:val="1"/>
    <w:next w:val="1"/>
    <w:qFormat/>
    <w:uiPriority w:val="0"/>
    <w:pPr>
      <w:widowControl/>
      <w:tabs>
        <w:tab w:val="left" w:leader="dot" w:pos="8503"/>
      </w:tabs>
      <w:spacing w:line="317" w:lineRule="atLeast"/>
      <w:ind w:firstLine="209"/>
      <w:textAlignment w:val="baseline"/>
    </w:pPr>
    <w:rPr>
      <w:color w:val="000000"/>
      <w:kern w:val="0"/>
      <w:szCs w:val="20"/>
      <w:u w:color="000000"/>
    </w:rPr>
  </w:style>
  <w:style w:type="paragraph" w:customStyle="1" w:styleId="201">
    <w:name w:val="彩色列表 - 强调文字颜色 11"/>
    <w:basedOn w:val="1"/>
    <w:link w:val="294"/>
    <w:qFormat/>
    <w:uiPriority w:val="0"/>
    <w:pPr>
      <w:ind w:firstLine="420" w:firstLineChars="200"/>
    </w:pPr>
    <w:rPr>
      <w:szCs w:val="22"/>
    </w:rPr>
  </w:style>
  <w:style w:type="paragraph" w:customStyle="1" w:styleId="202">
    <w:name w:val="p0"/>
    <w:basedOn w:val="1"/>
    <w:qFormat/>
    <w:uiPriority w:val="0"/>
    <w:pPr>
      <w:widowControl/>
    </w:pPr>
    <w:rPr>
      <w:kern w:val="0"/>
      <w:szCs w:val="21"/>
    </w:rPr>
  </w:style>
  <w:style w:type="paragraph" w:customStyle="1" w:styleId="203">
    <w:name w:val="msolistparagraph"/>
    <w:basedOn w:val="1"/>
    <w:qFormat/>
    <w:uiPriority w:val="0"/>
    <w:pPr>
      <w:ind w:firstLine="420" w:firstLineChars="200"/>
    </w:pPr>
    <w:rPr>
      <w:szCs w:val="22"/>
    </w:rPr>
  </w:style>
  <w:style w:type="paragraph" w:customStyle="1" w:styleId="204">
    <w:name w:val="正文文本缩进 Char Char Char Char"/>
    <w:basedOn w:val="1"/>
    <w:qFormat/>
    <w:uiPriority w:val="0"/>
    <w:pPr>
      <w:ind w:firstLine="540"/>
    </w:pPr>
    <w:rPr>
      <w:rFonts w:hint="eastAsia" w:ascii="宋体" w:hAnsi="Courier New"/>
      <w:szCs w:val="20"/>
    </w:rPr>
  </w:style>
  <w:style w:type="paragraph" w:customStyle="1" w:styleId="205">
    <w:name w:val="xl3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06">
    <w:name w:val="Char3"/>
    <w:basedOn w:val="16"/>
    <w:qFormat/>
    <w:uiPriority w:val="0"/>
    <w:pPr>
      <w:widowControl/>
      <w:ind w:firstLine="454"/>
      <w:jc w:val="left"/>
    </w:pPr>
    <w:rPr>
      <w:rFonts w:ascii="Tahoma" w:hAnsi="Tahoma" w:cs="宋体"/>
      <w:kern w:val="0"/>
      <w:sz w:val="24"/>
      <w:szCs w:val="20"/>
    </w:rPr>
  </w:style>
  <w:style w:type="paragraph" w:customStyle="1" w:styleId="207">
    <w:name w:val="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208">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paragraph" w:customStyle="1" w:styleId="209">
    <w:name w:val="pa-9"/>
    <w:basedOn w:val="1"/>
    <w:qFormat/>
    <w:uiPriority w:val="0"/>
    <w:pPr>
      <w:widowControl/>
      <w:spacing w:before="169" w:after="169"/>
      <w:jc w:val="left"/>
    </w:pPr>
    <w:rPr>
      <w:rFonts w:ascii="宋体" w:hAnsi="宋体" w:cs="宋体"/>
      <w:kern w:val="0"/>
      <w:sz w:val="24"/>
    </w:rPr>
  </w:style>
  <w:style w:type="paragraph" w:customStyle="1" w:styleId="210">
    <w:name w:val="Char Char Char1"/>
    <w:basedOn w:val="1"/>
    <w:qFormat/>
    <w:uiPriority w:val="0"/>
    <w:pPr>
      <w:widowControl/>
      <w:spacing w:line="240" w:lineRule="exact"/>
      <w:jc w:val="left"/>
    </w:pPr>
    <w:rPr>
      <w:rFonts w:ascii="Verdana" w:hAnsi="Verdana"/>
      <w:kern w:val="0"/>
      <w:sz w:val="20"/>
      <w:szCs w:val="20"/>
      <w:lang w:eastAsia="en-US"/>
    </w:rPr>
  </w:style>
  <w:style w:type="paragraph" w:customStyle="1" w:styleId="211">
    <w:name w:val="font13"/>
    <w:basedOn w:val="1"/>
    <w:qFormat/>
    <w:uiPriority w:val="0"/>
    <w:pPr>
      <w:widowControl/>
      <w:spacing w:before="100" w:beforeAutospacing="1" w:after="100" w:afterAutospacing="1"/>
      <w:jc w:val="left"/>
    </w:pPr>
    <w:rPr>
      <w:rFonts w:hint="eastAsia" w:ascii="宋体" w:hAnsi="宋体"/>
      <w:color w:val="FF0000"/>
      <w:kern w:val="0"/>
      <w:sz w:val="20"/>
      <w:szCs w:val="20"/>
    </w:rPr>
  </w:style>
  <w:style w:type="paragraph" w:customStyle="1" w:styleId="212">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3">
    <w:name w:val="Char Char Char Char Char Char Char Char Char"/>
    <w:basedOn w:val="1"/>
    <w:qFormat/>
    <w:uiPriority w:val="0"/>
    <w:pPr>
      <w:widowControl/>
      <w:spacing w:line="240" w:lineRule="exact"/>
      <w:jc w:val="left"/>
    </w:pPr>
    <w:rPr>
      <w:szCs w:val="20"/>
    </w:rPr>
  </w:style>
  <w:style w:type="paragraph" w:customStyle="1" w:styleId="214">
    <w:name w:val="pa-8"/>
    <w:basedOn w:val="1"/>
    <w:qFormat/>
    <w:uiPriority w:val="0"/>
    <w:pPr>
      <w:widowControl/>
      <w:spacing w:before="169" w:after="169"/>
      <w:jc w:val="left"/>
    </w:pPr>
    <w:rPr>
      <w:rFonts w:ascii="宋体" w:hAnsi="宋体" w:cs="宋体"/>
      <w:kern w:val="0"/>
      <w:sz w:val="24"/>
    </w:rPr>
  </w:style>
  <w:style w:type="paragraph" w:customStyle="1" w:styleId="215">
    <w:name w:val="style2"/>
    <w:basedOn w:val="1"/>
    <w:qFormat/>
    <w:uiPriority w:val="0"/>
    <w:pPr>
      <w:widowControl/>
      <w:spacing w:before="100" w:beforeAutospacing="1" w:after="100" w:afterAutospacing="1"/>
      <w:jc w:val="left"/>
    </w:pPr>
    <w:rPr>
      <w:rFonts w:ascii="宋体" w:hAnsi="宋体" w:cs="宋体"/>
      <w:b/>
      <w:bCs/>
      <w:color w:val="009900"/>
      <w:kern w:val="0"/>
      <w:sz w:val="24"/>
    </w:rPr>
  </w:style>
  <w:style w:type="paragraph" w:customStyle="1" w:styleId="216">
    <w:name w:val="2ji"/>
    <w:basedOn w:val="4"/>
    <w:qFormat/>
    <w:uiPriority w:val="0"/>
    <w:pPr>
      <w:adjustRightInd w:val="0"/>
      <w:spacing w:line="360" w:lineRule="auto"/>
      <w:textAlignment w:val="baseline"/>
    </w:pPr>
    <w:rPr>
      <w:rFonts w:ascii="宋体" w:hAnsi="宋体" w:eastAsia="宋体"/>
      <w:sz w:val="21"/>
      <w:szCs w:val="21"/>
    </w:rPr>
  </w:style>
  <w:style w:type="paragraph" w:customStyle="1" w:styleId="217">
    <w:name w:val="pa-10"/>
    <w:basedOn w:val="1"/>
    <w:qFormat/>
    <w:uiPriority w:val="0"/>
    <w:pPr>
      <w:widowControl/>
      <w:spacing w:before="169" w:after="169"/>
      <w:jc w:val="left"/>
    </w:pPr>
    <w:rPr>
      <w:rFonts w:ascii="宋体" w:hAnsi="宋体" w:cs="宋体"/>
      <w:kern w:val="0"/>
      <w:sz w:val="24"/>
    </w:rPr>
  </w:style>
  <w:style w:type="paragraph" w:customStyle="1" w:styleId="218">
    <w:name w:val="xl53"/>
    <w:basedOn w:val="1"/>
    <w:qFormat/>
    <w:uiPriority w:val="0"/>
    <w:pPr>
      <w:widowControl/>
      <w:pBdr>
        <w:top w:val="single" w:color="auto" w:sz="8" w:space="0"/>
        <w:right w:val="single" w:color="auto" w:sz="4" w:space="0"/>
      </w:pBdr>
      <w:shd w:val="clear" w:color="auto" w:fill="C0C0C0"/>
      <w:spacing w:before="100" w:beforeAutospacing="1" w:after="100" w:afterAutospacing="1"/>
      <w:jc w:val="center"/>
      <w:textAlignment w:val="center"/>
    </w:pPr>
    <w:rPr>
      <w:rFonts w:ascii="Arial Unicode MS" w:hAnsi="Arial Unicode MS" w:eastAsia="Arial Unicode MS" w:cs="Arial Unicode MS"/>
      <w:b/>
      <w:bCs/>
      <w:kern w:val="0"/>
      <w:sz w:val="28"/>
      <w:szCs w:val="28"/>
    </w:rPr>
  </w:style>
  <w:style w:type="paragraph" w:customStyle="1" w:styleId="219">
    <w:name w:val="正文 + 宋体"/>
    <w:basedOn w:val="32"/>
    <w:link w:val="279"/>
    <w:qFormat/>
    <w:uiPriority w:val="0"/>
    <w:pPr>
      <w:spacing w:after="120" w:line="480" w:lineRule="exact"/>
      <w:ind w:firstLine="0"/>
    </w:pPr>
    <w:rPr>
      <w:rFonts w:ascii="宋体" w:hAnsi="宋体"/>
      <w:b/>
      <w:sz w:val="24"/>
      <w:szCs w:val="24"/>
    </w:rPr>
  </w:style>
  <w:style w:type="paragraph" w:customStyle="1" w:styleId="220">
    <w:name w:val="目录1"/>
    <w:basedOn w:val="1"/>
    <w:next w:val="1"/>
    <w:qFormat/>
    <w:uiPriority w:val="0"/>
    <w:pPr>
      <w:widowControl/>
      <w:tabs>
        <w:tab w:val="left" w:leader="dot" w:pos="8503"/>
      </w:tabs>
      <w:spacing w:line="289" w:lineRule="atLeast"/>
      <w:jc w:val="left"/>
      <w:textAlignment w:val="baseline"/>
    </w:pPr>
    <w:rPr>
      <w:rFonts w:ascii="Arial" w:eastAsia="黑体"/>
      <w:color w:val="000000"/>
      <w:kern w:val="0"/>
      <w:sz w:val="28"/>
      <w:szCs w:val="20"/>
      <w:u w:color="000000"/>
    </w:rPr>
  </w:style>
  <w:style w:type="character" w:customStyle="1" w:styleId="221">
    <w:name w:val="H1 Char"/>
    <w:qFormat/>
    <w:uiPriority w:val="0"/>
    <w:rPr>
      <w:rFonts w:eastAsia="宋体"/>
      <w:b/>
      <w:bCs/>
      <w:kern w:val="44"/>
      <w:sz w:val="44"/>
      <w:szCs w:val="44"/>
      <w:lang w:val="en-US" w:eastAsia="zh-CN" w:bidi="ar-SA"/>
    </w:rPr>
  </w:style>
  <w:style w:type="character" w:customStyle="1" w:styleId="222">
    <w:name w:val="apple-style-span"/>
    <w:basedOn w:val="55"/>
    <w:qFormat/>
    <w:uiPriority w:val="0"/>
  </w:style>
  <w:style w:type="character" w:customStyle="1" w:styleId="223">
    <w:name w:val="标题 3 Char"/>
    <w:link w:val="5"/>
    <w:qFormat/>
    <w:uiPriority w:val="0"/>
    <w:rPr>
      <w:rFonts w:eastAsia="宋体"/>
      <w:b/>
      <w:bCs/>
      <w:sz w:val="32"/>
      <w:szCs w:val="32"/>
      <w:lang w:bidi="ar-SA"/>
    </w:rPr>
  </w:style>
  <w:style w:type="character" w:customStyle="1" w:styleId="224">
    <w:name w:val="正文文本 2 Char"/>
    <w:link w:val="45"/>
    <w:qFormat/>
    <w:uiPriority w:val="0"/>
    <w:rPr>
      <w:rFonts w:eastAsia="宋体"/>
      <w:kern w:val="2"/>
      <w:sz w:val="21"/>
      <w:szCs w:val="24"/>
      <w:lang w:val="en-US" w:eastAsia="zh-CN" w:bidi="ar-SA"/>
    </w:rPr>
  </w:style>
  <w:style w:type="character" w:customStyle="1" w:styleId="225">
    <w:name w:val="font91"/>
    <w:qFormat/>
    <w:uiPriority w:val="0"/>
    <w:rPr>
      <w:rFonts w:hint="eastAsia" w:ascii="仿宋_GB2312" w:eastAsia="仿宋_GB2312" w:cs="仿宋_GB2312"/>
      <w:color w:val="000000"/>
      <w:sz w:val="20"/>
      <w:szCs w:val="20"/>
      <w:u w:val="none"/>
    </w:rPr>
  </w:style>
  <w:style w:type="character" w:customStyle="1" w:styleId="226">
    <w:name w:val="ca-0"/>
    <w:qFormat/>
    <w:uiPriority w:val="0"/>
  </w:style>
  <w:style w:type="character" w:customStyle="1" w:styleId="227">
    <w:name w:val="font81"/>
    <w:qFormat/>
    <w:uiPriority w:val="0"/>
    <w:rPr>
      <w:rFonts w:hint="eastAsia" w:ascii="宋体" w:hAnsi="宋体" w:eastAsia="宋体" w:cs="宋体"/>
      <w:color w:val="000000"/>
      <w:sz w:val="21"/>
      <w:szCs w:val="21"/>
      <w:u w:val="none"/>
    </w:rPr>
  </w:style>
  <w:style w:type="character" w:customStyle="1" w:styleId="228">
    <w:name w:val="font101"/>
    <w:qFormat/>
    <w:uiPriority w:val="0"/>
    <w:rPr>
      <w:rFonts w:hint="default" w:ascii="Times New Roman" w:hAnsi="Times New Roman" w:cs="Times New Roman"/>
      <w:color w:val="FF0000"/>
      <w:sz w:val="24"/>
      <w:szCs w:val="24"/>
      <w:u w:val="none"/>
    </w:rPr>
  </w:style>
  <w:style w:type="character" w:customStyle="1" w:styleId="229">
    <w:name w:val="正文文本缩进 Char1"/>
    <w:semiHidden/>
    <w:qFormat/>
    <w:uiPriority w:val="0"/>
    <w:rPr>
      <w:kern w:val="2"/>
      <w:sz w:val="21"/>
      <w:szCs w:val="22"/>
    </w:rPr>
  </w:style>
  <w:style w:type="character" w:customStyle="1" w:styleId="230">
    <w:name w:val="普通文字 Char Char2"/>
    <w:qFormat/>
    <w:uiPriority w:val="0"/>
    <w:rPr>
      <w:rFonts w:ascii="宋体" w:hAnsi="Courier New" w:eastAsia="宋体"/>
      <w:kern w:val="2"/>
      <w:sz w:val="21"/>
      <w:lang w:val="en-US" w:eastAsia="zh-CN" w:bidi="ar-SA"/>
    </w:rPr>
  </w:style>
  <w:style w:type="character" w:customStyle="1" w:styleId="231">
    <w:name w:val="style1"/>
    <w:basedOn w:val="55"/>
    <w:qFormat/>
    <w:uiPriority w:val="0"/>
  </w:style>
  <w:style w:type="character" w:customStyle="1" w:styleId="232">
    <w:name w:val="1ji Char"/>
    <w:link w:val="83"/>
    <w:qFormat/>
    <w:uiPriority w:val="0"/>
    <w:rPr>
      <w:rFonts w:ascii="宋体" w:hAnsi="宋体" w:eastAsia="宋体"/>
      <w:b/>
      <w:bCs/>
      <w:kern w:val="44"/>
      <w:sz w:val="36"/>
      <w:szCs w:val="44"/>
      <w:lang w:val="en-US" w:eastAsia="zh-CN" w:bidi="ar-SA"/>
    </w:rPr>
  </w:style>
  <w:style w:type="character" w:customStyle="1" w:styleId="233">
    <w:name w:val="Plain Text Char"/>
    <w:link w:val="192"/>
    <w:qFormat/>
    <w:locked/>
    <w:uiPriority w:val="0"/>
    <w:rPr>
      <w:rFonts w:ascii="宋体" w:hAnsi="Courier New" w:eastAsia="宋体"/>
      <w:kern w:val="2"/>
      <w:sz w:val="21"/>
    </w:rPr>
  </w:style>
  <w:style w:type="character" w:customStyle="1" w:styleId="234">
    <w:name w:val="font01"/>
    <w:qFormat/>
    <w:uiPriority w:val="0"/>
    <w:rPr>
      <w:rFonts w:ascii="Calibri" w:hAnsi="Calibri" w:cs="Calibri"/>
      <w:color w:val="000000"/>
      <w:sz w:val="21"/>
      <w:szCs w:val="21"/>
      <w:u w:val="none"/>
    </w:rPr>
  </w:style>
  <w:style w:type="character" w:customStyle="1" w:styleId="235">
    <w:name w:val="dash5217_51fa_6bb5_843d__char1"/>
    <w:qFormat/>
    <w:uiPriority w:val="0"/>
    <w:rPr>
      <w:rFonts w:ascii="Calibri" w:hAnsi="Calibri" w:cs="Calibri"/>
      <w:sz w:val="20"/>
      <w:szCs w:val="20"/>
    </w:rPr>
  </w:style>
  <w:style w:type="character" w:customStyle="1" w:styleId="236">
    <w:name w:val="标题 8 Char"/>
    <w:link w:val="11"/>
    <w:qFormat/>
    <w:uiPriority w:val="0"/>
    <w:rPr>
      <w:rFonts w:ascii="Arial" w:hAnsi="Arial" w:eastAsia="黑体"/>
      <w:kern w:val="2"/>
      <w:sz w:val="24"/>
      <w:szCs w:val="24"/>
      <w:lang w:val="en-US" w:eastAsia="zh-CN" w:bidi="ar-SA"/>
    </w:rPr>
  </w:style>
  <w:style w:type="character" w:customStyle="1" w:styleId="237">
    <w:name w:val="列出段落 Char"/>
    <w:link w:val="146"/>
    <w:qFormat/>
    <w:uiPriority w:val="0"/>
    <w:rPr>
      <w:rFonts w:ascii="Calibri" w:hAnsi="Calibri" w:eastAsia="宋体"/>
      <w:kern w:val="2"/>
      <w:sz w:val="21"/>
      <w:szCs w:val="22"/>
      <w:lang w:val="en-US" w:eastAsia="zh-CN" w:bidi="ar-SA"/>
    </w:rPr>
  </w:style>
  <w:style w:type="character" w:customStyle="1" w:styleId="238">
    <w:name w:val="自定义标题一 Char"/>
    <w:link w:val="162"/>
    <w:qFormat/>
    <w:uiPriority w:val="0"/>
    <w:rPr>
      <w:rFonts w:ascii="黑体" w:hAnsi="黑体" w:eastAsia="黑体"/>
      <w:b/>
      <w:bCs/>
      <w:kern w:val="44"/>
      <w:sz w:val="44"/>
      <w:szCs w:val="44"/>
      <w:lang w:bidi="ar-SA"/>
    </w:rPr>
  </w:style>
  <w:style w:type="character" w:customStyle="1" w:styleId="239">
    <w:name w:val="标题 Char1"/>
    <w:qFormat/>
    <w:uiPriority w:val="0"/>
    <w:rPr>
      <w:rFonts w:hint="default" w:ascii="Cambria" w:hAnsi="Cambria" w:cs="Times New Roman"/>
      <w:b/>
      <w:bCs/>
      <w:kern w:val="2"/>
      <w:sz w:val="32"/>
      <w:szCs w:val="32"/>
    </w:rPr>
  </w:style>
  <w:style w:type="character" w:customStyle="1" w:styleId="240">
    <w:name w:val="标题 4 Char"/>
    <w:link w:val="6"/>
    <w:qFormat/>
    <w:uiPriority w:val="0"/>
    <w:rPr>
      <w:rFonts w:ascii="Arial" w:hAnsi="Arial" w:eastAsia="黑体"/>
      <w:sz w:val="28"/>
      <w:lang w:bidi="ar-SA"/>
    </w:rPr>
  </w:style>
  <w:style w:type="character" w:customStyle="1" w:styleId="241">
    <w:name w:val="Body Text Char"/>
    <w:qFormat/>
    <w:locked/>
    <w:uiPriority w:val="0"/>
    <w:rPr>
      <w:rFonts w:eastAsia="宋体"/>
      <w:kern w:val="2"/>
      <w:sz w:val="24"/>
      <w:szCs w:val="24"/>
      <w:lang w:val="en-US" w:eastAsia="zh-CN" w:bidi="ar-SA"/>
    </w:rPr>
  </w:style>
  <w:style w:type="character" w:customStyle="1" w:styleId="242">
    <w:name w:val="mark13"/>
    <w:basedOn w:val="55"/>
    <w:qFormat/>
    <w:uiPriority w:val="0"/>
  </w:style>
  <w:style w:type="character" w:customStyle="1" w:styleId="243">
    <w:name w:val="批注文字 Char1"/>
    <w:qFormat/>
    <w:uiPriority w:val="99"/>
    <w:rPr>
      <w:kern w:val="2"/>
      <w:sz w:val="21"/>
      <w:szCs w:val="24"/>
    </w:rPr>
  </w:style>
  <w:style w:type="character" w:customStyle="1" w:styleId="244">
    <w:name w:val="unnamed3"/>
    <w:basedOn w:val="55"/>
    <w:qFormat/>
    <w:uiPriority w:val="0"/>
  </w:style>
  <w:style w:type="character" w:customStyle="1" w:styleId="245">
    <w:name w:val="正文（雅黑四号） Char"/>
    <w:link w:val="84"/>
    <w:qFormat/>
    <w:uiPriority w:val="0"/>
    <w:rPr>
      <w:rFonts w:ascii="微软雅黑" w:hAnsi="微软雅黑" w:eastAsia="微软雅黑"/>
      <w:sz w:val="24"/>
      <w:szCs w:val="28"/>
    </w:rPr>
  </w:style>
  <w:style w:type="character" w:customStyle="1" w:styleId="246">
    <w:name w:val="普通文字 Char Char4"/>
    <w:qFormat/>
    <w:uiPriority w:val="0"/>
    <w:rPr>
      <w:rFonts w:ascii="宋体" w:hAnsi="Courier New" w:eastAsia="宋体" w:cs="Courier New"/>
      <w:kern w:val="2"/>
      <w:sz w:val="21"/>
      <w:szCs w:val="21"/>
      <w:lang w:val="en-US" w:eastAsia="zh-CN" w:bidi="ar-SA"/>
    </w:rPr>
  </w:style>
  <w:style w:type="character" w:customStyle="1" w:styleId="247">
    <w:name w:val="font"/>
    <w:basedOn w:val="55"/>
    <w:qFormat/>
    <w:uiPriority w:val="0"/>
  </w:style>
  <w:style w:type="character" w:customStyle="1" w:styleId="248">
    <w:name w:val="param"/>
    <w:basedOn w:val="55"/>
    <w:qFormat/>
    <w:uiPriority w:val="0"/>
  </w:style>
  <w:style w:type="character" w:customStyle="1" w:styleId="249">
    <w:name w:val="style161"/>
    <w:qFormat/>
    <w:uiPriority w:val="0"/>
    <w:rPr>
      <w:color w:val="666666"/>
    </w:rPr>
  </w:style>
  <w:style w:type="character" w:customStyle="1" w:styleId="250">
    <w:name w:val="正文文本缩进 3 Char"/>
    <w:link w:val="42"/>
    <w:qFormat/>
    <w:uiPriority w:val="0"/>
    <w:rPr>
      <w:rFonts w:eastAsia="宋体"/>
      <w:kern w:val="2"/>
      <w:sz w:val="16"/>
      <w:szCs w:val="16"/>
      <w:lang w:val="en-US" w:eastAsia="zh-CN" w:bidi="ar-SA"/>
    </w:rPr>
  </w:style>
  <w:style w:type="character" w:customStyle="1" w:styleId="251">
    <w:name w:val="Char Char3"/>
    <w:qFormat/>
    <w:locked/>
    <w:uiPriority w:val="0"/>
    <w:rPr>
      <w:rFonts w:ascii="宋体" w:hAnsi="Courier New" w:eastAsia="宋体" w:cs="Courier New"/>
      <w:kern w:val="2"/>
      <w:sz w:val="21"/>
      <w:szCs w:val="21"/>
      <w:lang w:val="en-US" w:eastAsia="zh-CN" w:bidi="ar-SA"/>
    </w:rPr>
  </w:style>
  <w:style w:type="character" w:customStyle="1" w:styleId="252">
    <w:name w:val="llyf92"/>
    <w:qFormat/>
    <w:uiPriority w:val="0"/>
    <w:rPr>
      <w:sz w:val="18"/>
      <w:szCs w:val="18"/>
    </w:rPr>
  </w:style>
  <w:style w:type="character" w:customStyle="1" w:styleId="253">
    <w:name w:val="style21"/>
    <w:qFormat/>
    <w:uiPriority w:val="0"/>
    <w:rPr>
      <w:sz w:val="18"/>
      <w:szCs w:val="18"/>
    </w:rPr>
  </w:style>
  <w:style w:type="character" w:customStyle="1" w:styleId="254">
    <w:name w:val="UP标题3 Char Char"/>
    <w:link w:val="121"/>
    <w:qFormat/>
    <w:locked/>
    <w:uiPriority w:val="0"/>
    <w:rPr>
      <w:rFonts w:ascii="黑体" w:eastAsia="黑体"/>
      <w:sz w:val="28"/>
      <w:szCs w:val="28"/>
      <w:lang w:bidi="ar-SA"/>
    </w:rPr>
  </w:style>
  <w:style w:type="character" w:customStyle="1" w:styleId="255">
    <w:name w:val="标题 6 Char"/>
    <w:link w:val="9"/>
    <w:qFormat/>
    <w:uiPriority w:val="0"/>
    <w:rPr>
      <w:rFonts w:ascii="Arial" w:hAnsi="Arial" w:eastAsia="黑体"/>
      <w:b/>
      <w:kern w:val="2"/>
      <w:sz w:val="24"/>
      <w:szCs w:val="24"/>
      <w:lang w:val="en-US" w:eastAsia="zh-CN" w:bidi="ar-SA"/>
    </w:rPr>
  </w:style>
  <w:style w:type="character" w:customStyle="1" w:styleId="256">
    <w:name w:val="font31"/>
    <w:qFormat/>
    <w:uiPriority w:val="0"/>
    <w:rPr>
      <w:rFonts w:hint="eastAsia" w:ascii="宋体" w:hAnsi="宋体" w:eastAsia="宋体" w:cs="宋体"/>
      <w:color w:val="000000"/>
      <w:sz w:val="16"/>
      <w:szCs w:val="16"/>
      <w:u w:val="none"/>
    </w:rPr>
  </w:style>
  <w:style w:type="character" w:customStyle="1" w:styleId="257">
    <w:name w:val="Char Char28"/>
    <w:qFormat/>
    <w:locked/>
    <w:uiPriority w:val="0"/>
    <w:rPr>
      <w:rFonts w:eastAsia="宋体"/>
      <w:b/>
      <w:bCs/>
      <w:kern w:val="44"/>
      <w:sz w:val="44"/>
      <w:szCs w:val="44"/>
      <w:lang w:val="en-US" w:eastAsia="zh-CN" w:bidi="ar-SA"/>
    </w:rPr>
  </w:style>
  <w:style w:type="character" w:customStyle="1" w:styleId="258">
    <w:name w:val="页脚 Char"/>
    <w:link w:val="35"/>
    <w:qFormat/>
    <w:uiPriority w:val="0"/>
    <w:rPr>
      <w:rFonts w:eastAsia="宋体"/>
      <w:kern w:val="2"/>
      <w:sz w:val="18"/>
      <w:szCs w:val="18"/>
      <w:lang w:val="en-US" w:eastAsia="zh-CN" w:bidi="ar-SA"/>
    </w:rPr>
  </w:style>
  <w:style w:type="character" w:customStyle="1" w:styleId="259">
    <w:name w:val="unnamed11"/>
    <w:qFormat/>
    <w:uiPriority w:val="0"/>
    <w:rPr>
      <w:sz w:val="20"/>
      <w:szCs w:val="20"/>
    </w:rPr>
  </w:style>
  <w:style w:type="character" w:customStyle="1" w:styleId="260">
    <w:name w:val="Char Char23"/>
    <w:qFormat/>
    <w:uiPriority w:val="0"/>
    <w:rPr>
      <w:rFonts w:ascii="Times New Roman" w:hAnsi="Times New Roman" w:eastAsia="宋体" w:cs="Times New Roman"/>
      <w:b/>
      <w:bCs/>
      <w:kern w:val="44"/>
      <w:sz w:val="44"/>
      <w:szCs w:val="44"/>
    </w:rPr>
  </w:style>
  <w:style w:type="character" w:customStyle="1" w:styleId="261">
    <w:name w:val="apple-converted-space"/>
    <w:qFormat/>
    <w:uiPriority w:val="0"/>
  </w:style>
  <w:style w:type="character" w:customStyle="1" w:styleId="262">
    <w:name w:val="正文2 Char Char"/>
    <w:link w:val="125"/>
    <w:qFormat/>
    <w:locked/>
    <w:uiPriority w:val="0"/>
    <w:rPr>
      <w:kern w:val="2"/>
      <w:sz w:val="28"/>
      <w:szCs w:val="22"/>
      <w:lang w:bidi="ar-SA"/>
    </w:rPr>
  </w:style>
  <w:style w:type="character" w:customStyle="1" w:styleId="263">
    <w:name w:val="Char Char14"/>
    <w:qFormat/>
    <w:uiPriority w:val="0"/>
    <w:rPr>
      <w:sz w:val="18"/>
      <w:szCs w:val="18"/>
    </w:rPr>
  </w:style>
  <w:style w:type="character" w:customStyle="1" w:styleId="264">
    <w:name w:val="标题 7 Char"/>
    <w:link w:val="10"/>
    <w:qFormat/>
    <w:uiPriority w:val="0"/>
    <w:rPr>
      <w:rFonts w:eastAsia="宋体"/>
      <w:b/>
      <w:kern w:val="2"/>
      <w:sz w:val="24"/>
      <w:szCs w:val="24"/>
      <w:lang w:val="en-US" w:eastAsia="zh-CN" w:bidi="ar-SA"/>
    </w:rPr>
  </w:style>
  <w:style w:type="character" w:customStyle="1" w:styleId="265">
    <w:name w:val="font21"/>
    <w:qFormat/>
    <w:uiPriority w:val="0"/>
    <w:rPr>
      <w:rFonts w:ascii="Calibri" w:hAnsi="Calibri" w:cs="Calibri"/>
      <w:color w:val="000000"/>
      <w:sz w:val="20"/>
      <w:szCs w:val="20"/>
      <w:u w:val="none"/>
    </w:rPr>
  </w:style>
  <w:style w:type="character" w:customStyle="1" w:styleId="266">
    <w:name w:val="1ji Char Char"/>
    <w:qFormat/>
    <w:locked/>
    <w:uiPriority w:val="0"/>
    <w:rPr>
      <w:rFonts w:ascii="宋体" w:hAnsi="宋体" w:eastAsia="宋体"/>
      <w:b/>
      <w:bCs/>
      <w:kern w:val="44"/>
      <w:sz w:val="36"/>
      <w:szCs w:val="44"/>
    </w:rPr>
  </w:style>
  <w:style w:type="character" w:customStyle="1" w:styleId="267">
    <w:name w:val="标题 5 Char"/>
    <w:link w:val="7"/>
    <w:qFormat/>
    <w:uiPriority w:val="0"/>
    <w:rPr>
      <w:rFonts w:eastAsia="宋体"/>
      <w:b/>
      <w:kern w:val="2"/>
      <w:sz w:val="28"/>
      <w:szCs w:val="24"/>
      <w:lang w:val="en-US" w:eastAsia="zh-CN" w:bidi="ar-SA"/>
    </w:rPr>
  </w:style>
  <w:style w:type="character" w:customStyle="1" w:styleId="268">
    <w:name w:val="批注框文本 Char"/>
    <w:link w:val="34"/>
    <w:qFormat/>
    <w:uiPriority w:val="0"/>
    <w:rPr>
      <w:rFonts w:eastAsia="宋体"/>
      <w:kern w:val="2"/>
      <w:sz w:val="18"/>
      <w:szCs w:val="18"/>
      <w:lang w:val="en-US" w:eastAsia="zh-CN" w:bidi="ar-SA"/>
    </w:rPr>
  </w:style>
  <w:style w:type="character" w:customStyle="1" w:styleId="269">
    <w:name w:val="日期 Char"/>
    <w:link w:val="31"/>
    <w:qFormat/>
    <w:uiPriority w:val="0"/>
    <w:rPr>
      <w:rFonts w:ascii="宋体" w:hAnsi="Courier New" w:eastAsia="宋体" w:cs="Courier New"/>
      <w:kern w:val="2"/>
      <w:sz w:val="21"/>
      <w:szCs w:val="21"/>
      <w:lang w:val="en-US" w:eastAsia="zh-CN" w:bidi="ar-SA"/>
    </w:rPr>
  </w:style>
  <w:style w:type="character" w:customStyle="1" w:styleId="270">
    <w:name w:val="正文文本 3 Char"/>
    <w:link w:val="20"/>
    <w:qFormat/>
    <w:uiPriority w:val="0"/>
    <w:rPr>
      <w:rFonts w:eastAsia="宋体"/>
      <w:b/>
      <w:bCs/>
      <w:kern w:val="2"/>
      <w:sz w:val="24"/>
      <w:szCs w:val="24"/>
      <w:lang w:val="en-US" w:eastAsia="zh-CN" w:bidi="ar-SA"/>
    </w:rPr>
  </w:style>
  <w:style w:type="character" w:customStyle="1" w:styleId="271">
    <w:name w:val="纯文本 Char2"/>
    <w:link w:val="29"/>
    <w:qFormat/>
    <w:uiPriority w:val="0"/>
    <w:rPr>
      <w:rFonts w:ascii="宋体" w:hAnsi="Courier New" w:eastAsia="宋体" w:cs="Courier New"/>
      <w:kern w:val="2"/>
      <w:sz w:val="21"/>
      <w:szCs w:val="21"/>
      <w:lang w:val="en-US" w:eastAsia="zh-CN" w:bidi="ar-SA"/>
    </w:rPr>
  </w:style>
  <w:style w:type="character" w:customStyle="1" w:styleId="272">
    <w:name w:val="正文文本缩进 Char"/>
    <w:link w:val="22"/>
    <w:qFormat/>
    <w:uiPriority w:val="0"/>
    <w:rPr>
      <w:rFonts w:ascii="仿宋_GB2312" w:eastAsia="仿宋_GB2312"/>
      <w:kern w:val="2"/>
      <w:sz w:val="32"/>
      <w:lang w:val="en-US" w:eastAsia="zh-CN" w:bidi="ar-SA"/>
    </w:rPr>
  </w:style>
  <w:style w:type="character" w:customStyle="1" w:styleId="273">
    <w:name w:val="Char Char6"/>
    <w:qFormat/>
    <w:locked/>
    <w:uiPriority w:val="0"/>
    <w:rPr>
      <w:rFonts w:ascii="宋体" w:hAnsi="Courier New" w:eastAsia="宋体" w:cs="Courier New"/>
      <w:kern w:val="2"/>
      <w:sz w:val="21"/>
      <w:szCs w:val="21"/>
      <w:lang w:val="en-US" w:eastAsia="zh-CN" w:bidi="ar-SA"/>
    </w:rPr>
  </w:style>
  <w:style w:type="character" w:customStyle="1" w:styleId="274">
    <w:name w:val="font71"/>
    <w:qFormat/>
    <w:uiPriority w:val="0"/>
    <w:rPr>
      <w:rFonts w:hint="eastAsia" w:ascii="宋体" w:hAnsi="宋体" w:eastAsia="宋体" w:cs="宋体"/>
      <w:color w:val="FF0000"/>
      <w:sz w:val="18"/>
      <w:szCs w:val="18"/>
      <w:u w:val="none"/>
    </w:rPr>
  </w:style>
  <w:style w:type="character" w:customStyle="1" w:styleId="275">
    <w:name w:val="Char Char10"/>
    <w:semiHidden/>
    <w:qFormat/>
    <w:uiPriority w:val="0"/>
    <w:rPr>
      <w:rFonts w:eastAsia="宋体"/>
      <w:kern w:val="2"/>
      <w:sz w:val="24"/>
      <w:szCs w:val="24"/>
      <w:lang w:val="en-US" w:eastAsia="zh-CN" w:bidi="ar-SA"/>
    </w:rPr>
  </w:style>
  <w:style w:type="character" w:customStyle="1" w:styleId="276">
    <w:name w:val="gray s"/>
    <w:basedOn w:val="55"/>
    <w:qFormat/>
    <w:uiPriority w:val="0"/>
  </w:style>
  <w:style w:type="character" w:customStyle="1" w:styleId="277">
    <w:name w:val="纯文本 Char"/>
    <w:qFormat/>
    <w:uiPriority w:val="0"/>
    <w:rPr>
      <w:rFonts w:ascii="宋体" w:hAnsi="Courier New" w:eastAsia="宋体"/>
      <w:kern w:val="2"/>
      <w:sz w:val="21"/>
      <w:lang w:val="en-US" w:eastAsia="zh-CN" w:bidi="ar-SA"/>
    </w:rPr>
  </w:style>
  <w:style w:type="character" w:customStyle="1" w:styleId="278">
    <w:name w:val="标题 Char"/>
    <w:link w:val="50"/>
    <w:qFormat/>
    <w:uiPriority w:val="0"/>
    <w:rPr>
      <w:rFonts w:ascii="Arial" w:hAnsi="Arial" w:eastAsia="宋体"/>
      <w:b/>
      <w:bCs/>
      <w:kern w:val="2"/>
      <w:sz w:val="32"/>
      <w:szCs w:val="32"/>
      <w:lang w:bidi="ar-SA"/>
    </w:rPr>
  </w:style>
  <w:style w:type="character" w:customStyle="1" w:styleId="279">
    <w:name w:val="正文 + 宋体 Char"/>
    <w:link w:val="219"/>
    <w:qFormat/>
    <w:uiPriority w:val="0"/>
    <w:rPr>
      <w:rFonts w:ascii="宋体" w:hAnsi="宋体"/>
      <w:b/>
      <w:kern w:val="2"/>
      <w:sz w:val="24"/>
      <w:szCs w:val="24"/>
    </w:rPr>
  </w:style>
  <w:style w:type="character" w:customStyle="1" w:styleId="280">
    <w:name w:val="HTML 预设格式 Char"/>
    <w:link w:val="47"/>
    <w:semiHidden/>
    <w:qFormat/>
    <w:uiPriority w:val="0"/>
    <w:rPr>
      <w:rFonts w:ascii="黑体" w:hAnsi="Courier New" w:eastAsia="黑体" w:cs="Courier New"/>
      <w:lang w:val="en-US" w:eastAsia="zh-CN" w:bidi="ar-SA"/>
    </w:rPr>
  </w:style>
  <w:style w:type="character" w:customStyle="1" w:styleId="281">
    <w:name w:val="纯文本 Char1"/>
    <w:qFormat/>
    <w:uiPriority w:val="0"/>
    <w:rPr>
      <w:rFonts w:ascii="宋体" w:hAnsi="Courier New" w:eastAsia="宋体" w:cs="Courier New"/>
      <w:kern w:val="2"/>
      <w:sz w:val="21"/>
      <w:szCs w:val="21"/>
      <w:lang w:val="en-US" w:eastAsia="zh-CN" w:bidi="ar-SA"/>
    </w:rPr>
  </w:style>
  <w:style w:type="character" w:customStyle="1" w:styleId="282">
    <w:name w:val="font61"/>
    <w:qFormat/>
    <w:uiPriority w:val="0"/>
    <w:rPr>
      <w:rFonts w:hint="eastAsia" w:ascii="宋体" w:hAnsi="宋体" w:eastAsia="宋体" w:cs="宋体"/>
      <w:color w:val="000000"/>
      <w:sz w:val="22"/>
      <w:szCs w:val="22"/>
      <w:u w:val="none"/>
    </w:rPr>
  </w:style>
  <w:style w:type="character" w:customStyle="1" w:styleId="283">
    <w:name w:val="u3"/>
    <w:basedOn w:val="55"/>
    <w:qFormat/>
    <w:uiPriority w:val="0"/>
  </w:style>
  <w:style w:type="character" w:customStyle="1" w:styleId="284">
    <w:name w:val="H1 Char2"/>
    <w:qFormat/>
    <w:uiPriority w:val="0"/>
    <w:rPr>
      <w:rFonts w:eastAsia="宋体"/>
      <w:b/>
      <w:bCs/>
      <w:kern w:val="44"/>
      <w:sz w:val="44"/>
      <w:szCs w:val="44"/>
      <w:lang w:val="en-US" w:eastAsia="zh-CN" w:bidi="ar-SA"/>
    </w:rPr>
  </w:style>
  <w:style w:type="character" w:customStyle="1" w:styleId="285">
    <w:name w:val="批注文字 Char"/>
    <w:link w:val="18"/>
    <w:qFormat/>
    <w:uiPriority w:val="0"/>
    <w:rPr>
      <w:rFonts w:eastAsia="宋体"/>
      <w:sz w:val="24"/>
      <w:lang w:bidi="ar-SA"/>
    </w:rPr>
  </w:style>
  <w:style w:type="character" w:customStyle="1" w:styleId="286">
    <w:name w:val="无间隔 Char"/>
    <w:link w:val="68"/>
    <w:qFormat/>
    <w:uiPriority w:val="0"/>
    <w:rPr>
      <w:sz w:val="22"/>
      <w:szCs w:val="22"/>
      <w:lang w:val="en-US" w:eastAsia="zh-CN" w:bidi="ar-SA"/>
    </w:rPr>
  </w:style>
  <w:style w:type="character" w:customStyle="1" w:styleId="287">
    <w:name w:val="标题 1 Char"/>
    <w:link w:val="3"/>
    <w:qFormat/>
    <w:uiPriority w:val="0"/>
    <w:rPr>
      <w:rFonts w:eastAsia="宋体"/>
      <w:b/>
      <w:bCs/>
      <w:kern w:val="44"/>
      <w:sz w:val="44"/>
      <w:szCs w:val="44"/>
      <w:lang w:val="en-US" w:eastAsia="zh-CN" w:bidi="ar-SA"/>
    </w:rPr>
  </w:style>
  <w:style w:type="character" w:customStyle="1" w:styleId="288">
    <w:name w:val="正文文字首行缩进 Char"/>
    <w:qFormat/>
    <w:locked/>
    <w:uiPriority w:val="0"/>
    <w:rPr>
      <w:rFonts w:ascii="仿宋_GB2312" w:eastAsia="仿宋_GB2312"/>
      <w:kern w:val="2"/>
      <w:sz w:val="32"/>
    </w:rPr>
  </w:style>
  <w:style w:type="character" w:customStyle="1" w:styleId="289">
    <w:name w:val="f141"/>
    <w:qFormat/>
    <w:uiPriority w:val="0"/>
    <w:rPr>
      <w:sz w:val="21"/>
      <w:szCs w:val="21"/>
    </w:rPr>
  </w:style>
  <w:style w:type="character" w:customStyle="1" w:styleId="290">
    <w:name w:val="style31"/>
    <w:qFormat/>
    <w:uiPriority w:val="0"/>
    <w:rPr>
      <w:sz w:val="18"/>
      <w:szCs w:val="18"/>
    </w:rPr>
  </w:style>
  <w:style w:type="character" w:customStyle="1" w:styleId="291">
    <w:name w:val="正文文本 Char"/>
    <w:link w:val="21"/>
    <w:qFormat/>
    <w:uiPriority w:val="0"/>
    <w:rPr>
      <w:rFonts w:eastAsia="宋体"/>
      <w:kern w:val="2"/>
      <w:sz w:val="24"/>
      <w:szCs w:val="24"/>
      <w:lang w:val="en-US" w:eastAsia="zh-CN" w:bidi="ar-SA"/>
    </w:rPr>
  </w:style>
  <w:style w:type="character" w:customStyle="1" w:styleId="292">
    <w:name w:val="font41"/>
    <w:qFormat/>
    <w:uiPriority w:val="0"/>
    <w:rPr>
      <w:rFonts w:hint="eastAsia" w:ascii="仿宋_GB2312" w:eastAsia="仿宋_GB2312" w:cs="仿宋_GB2312"/>
      <w:color w:val="000000"/>
      <w:sz w:val="20"/>
      <w:szCs w:val="20"/>
      <w:u w:val="none"/>
    </w:rPr>
  </w:style>
  <w:style w:type="character" w:customStyle="1" w:styleId="293">
    <w:name w:val="正文文本缩进 2 Char"/>
    <w:link w:val="32"/>
    <w:qFormat/>
    <w:uiPriority w:val="0"/>
    <w:rPr>
      <w:rFonts w:eastAsia="宋体"/>
      <w:kern w:val="2"/>
      <w:sz w:val="32"/>
      <w:lang w:val="en-US" w:eastAsia="zh-CN" w:bidi="ar-SA"/>
    </w:rPr>
  </w:style>
  <w:style w:type="character" w:customStyle="1" w:styleId="294">
    <w:name w:val="彩色列表 - 强调文字颜色 1 Char"/>
    <w:link w:val="201"/>
    <w:qFormat/>
    <w:uiPriority w:val="0"/>
    <w:rPr>
      <w:rFonts w:ascii="Calibri" w:hAnsi="Calibri" w:eastAsia="宋体"/>
      <w:kern w:val="2"/>
      <w:sz w:val="21"/>
      <w:szCs w:val="22"/>
      <w:lang w:val="en-US" w:eastAsia="zh-CN" w:bidi="ar-SA"/>
    </w:rPr>
  </w:style>
  <w:style w:type="character" w:customStyle="1" w:styleId="295">
    <w:name w:val="1 Char"/>
    <w:link w:val="191"/>
    <w:qFormat/>
    <w:uiPriority w:val="0"/>
    <w:rPr>
      <w:rFonts w:ascii="宋体" w:hAnsi="Courier New" w:eastAsia="宋体"/>
      <w:kern w:val="2"/>
      <w:sz w:val="21"/>
      <w:lang w:val="en-US" w:eastAsia="zh-CN" w:bidi="ar-SA"/>
    </w:rPr>
  </w:style>
  <w:style w:type="character" w:customStyle="1" w:styleId="296">
    <w:name w:val="标题 2 Char"/>
    <w:link w:val="4"/>
    <w:qFormat/>
    <w:uiPriority w:val="0"/>
    <w:rPr>
      <w:rFonts w:ascii="Arial" w:hAnsi="Arial" w:eastAsia="黑体"/>
      <w:b/>
      <w:bCs/>
      <w:sz w:val="32"/>
      <w:szCs w:val="32"/>
      <w:lang w:bidi="ar-SA"/>
    </w:rPr>
  </w:style>
  <w:style w:type="character" w:customStyle="1" w:styleId="297">
    <w:name w:val="p1"/>
    <w:basedOn w:val="55"/>
    <w:qFormat/>
    <w:uiPriority w:val="0"/>
  </w:style>
  <w:style w:type="character" w:customStyle="1" w:styleId="298">
    <w:name w:val="无间隔 Char Char"/>
    <w:qFormat/>
    <w:uiPriority w:val="0"/>
    <w:rPr>
      <w:rFonts w:ascii="Calibri" w:hAnsi="Calibri" w:eastAsia="宋体"/>
      <w:sz w:val="22"/>
      <w:szCs w:val="22"/>
      <w:lang w:val="en-US" w:eastAsia="zh-CN" w:bidi="ar-SA"/>
    </w:rPr>
  </w:style>
  <w:style w:type="character" w:customStyle="1" w:styleId="299">
    <w:name w:val="自定义标题一 Char Char"/>
    <w:qFormat/>
    <w:uiPriority w:val="0"/>
    <w:rPr>
      <w:rFonts w:ascii="黑体" w:hAnsi="黑体" w:eastAsia="黑体"/>
      <w:b/>
      <w:bCs/>
      <w:kern w:val="44"/>
      <w:sz w:val="44"/>
      <w:szCs w:val="44"/>
      <w:lang w:bidi="ar-SA"/>
    </w:rPr>
  </w:style>
  <w:style w:type="character" w:customStyle="1" w:styleId="300">
    <w:name w:val="H1 Char1"/>
    <w:qFormat/>
    <w:uiPriority w:val="0"/>
    <w:rPr>
      <w:rFonts w:eastAsia="宋体"/>
      <w:b/>
      <w:bCs/>
      <w:kern w:val="44"/>
      <w:sz w:val="44"/>
      <w:szCs w:val="44"/>
      <w:lang w:val="en-US" w:eastAsia="zh-CN" w:bidi="ar-SA"/>
    </w:rPr>
  </w:style>
  <w:style w:type="character" w:customStyle="1" w:styleId="301">
    <w:name w:val="blacktext"/>
    <w:basedOn w:val="55"/>
    <w:qFormat/>
    <w:uiPriority w:val="0"/>
  </w:style>
  <w:style w:type="character" w:customStyle="1" w:styleId="302">
    <w:name w:val="Char Char Char Char Char"/>
    <w:qFormat/>
    <w:uiPriority w:val="0"/>
    <w:rPr>
      <w:rFonts w:eastAsia="宋体"/>
      <w:b/>
      <w:bCs/>
      <w:kern w:val="44"/>
      <w:sz w:val="44"/>
      <w:szCs w:val="44"/>
      <w:lang w:val="en-US" w:eastAsia="zh-CN" w:bidi="ar-SA"/>
    </w:rPr>
  </w:style>
  <w:style w:type="character" w:customStyle="1" w:styleId="303">
    <w:name w:val="style141"/>
    <w:qFormat/>
    <w:uiPriority w:val="0"/>
    <w:rPr>
      <w:color w:val="76738E"/>
      <w:sz w:val="18"/>
      <w:szCs w:val="18"/>
    </w:rPr>
  </w:style>
  <w:style w:type="character" w:customStyle="1" w:styleId="304">
    <w:name w:val="文档结构图 Char"/>
    <w:link w:val="16"/>
    <w:qFormat/>
    <w:uiPriority w:val="0"/>
    <w:rPr>
      <w:rFonts w:eastAsia="宋体"/>
      <w:kern w:val="2"/>
      <w:sz w:val="21"/>
      <w:szCs w:val="24"/>
      <w:lang w:val="en-US" w:eastAsia="zh-CN" w:bidi="ar-SA"/>
    </w:rPr>
  </w:style>
  <w:style w:type="character" w:customStyle="1" w:styleId="305">
    <w:name w:val="Char Char111"/>
    <w:qFormat/>
    <w:uiPriority w:val="0"/>
    <w:rPr>
      <w:rFonts w:ascii="Times New Roman" w:hAnsi="Times New Roman" w:eastAsia="宋体" w:cs="Times New Roman"/>
      <w:sz w:val="30"/>
      <w:szCs w:val="24"/>
    </w:rPr>
  </w:style>
  <w:style w:type="character" w:customStyle="1" w:styleId="306">
    <w:name w:val="Anrede1IhrZeichen"/>
    <w:qFormat/>
    <w:uiPriority w:val="0"/>
    <w:rPr>
      <w:rFonts w:hint="default" w:ascii="Arial" w:hAnsi="Arial"/>
      <w:sz w:val="20"/>
    </w:rPr>
  </w:style>
  <w:style w:type="character" w:customStyle="1" w:styleId="307">
    <w:name w:val="wj1"/>
    <w:qFormat/>
    <w:uiPriority w:val="0"/>
    <w:rPr>
      <w:color w:val="000000"/>
      <w:sz w:val="18"/>
      <w:szCs w:val="18"/>
      <w:u w:val="none"/>
    </w:rPr>
  </w:style>
  <w:style w:type="character" w:customStyle="1" w:styleId="308">
    <w:name w:val="Char Char17"/>
    <w:qFormat/>
    <w:uiPriority w:val="0"/>
    <w:rPr>
      <w:rFonts w:hint="default" w:ascii="Times New Roman" w:hAnsi="Times New Roman" w:cs="Times New Roman"/>
      <w:b/>
      <w:bCs/>
      <w:kern w:val="2"/>
      <w:sz w:val="21"/>
      <w:szCs w:val="24"/>
    </w:rPr>
  </w:style>
  <w:style w:type="character" w:customStyle="1" w:styleId="309">
    <w:name w:val="font51"/>
    <w:qFormat/>
    <w:uiPriority w:val="0"/>
    <w:rPr>
      <w:rFonts w:hint="eastAsia" w:ascii="宋体" w:hAnsi="宋体" w:eastAsia="宋体" w:cs="宋体"/>
      <w:color w:val="FF0000"/>
      <w:sz w:val="18"/>
      <w:szCs w:val="18"/>
      <w:u w:val="none"/>
      <w:vertAlign w:val="superscript"/>
    </w:rPr>
  </w:style>
  <w:style w:type="character" w:customStyle="1" w:styleId="310">
    <w:name w:val="font11"/>
    <w:qFormat/>
    <w:uiPriority w:val="0"/>
    <w:rPr>
      <w:rFonts w:hint="eastAsia" w:ascii="宋体" w:hAnsi="宋体" w:eastAsia="宋体" w:cs="宋体"/>
      <w:color w:val="FF0000"/>
      <w:sz w:val="16"/>
      <w:szCs w:val="16"/>
      <w:u w:val="none"/>
    </w:rPr>
  </w:style>
  <w:style w:type="character" w:customStyle="1" w:styleId="311">
    <w:name w:val="int_huang_12_b1"/>
    <w:qFormat/>
    <w:uiPriority w:val="0"/>
    <w:rPr>
      <w:rFonts w:hint="default" w:ascii="Verdana" w:hAnsi="Verdana"/>
      <w:b/>
      <w:bCs/>
      <w:color w:val="EECC77"/>
      <w:sz w:val="18"/>
      <w:szCs w:val="18"/>
    </w:rPr>
  </w:style>
  <w:style w:type="character" w:customStyle="1" w:styleId="312">
    <w:name w:val="页眉 Char"/>
    <w:link w:val="36"/>
    <w:qFormat/>
    <w:uiPriority w:val="0"/>
    <w:rPr>
      <w:rFonts w:eastAsia="宋体"/>
      <w:kern w:val="2"/>
      <w:sz w:val="18"/>
      <w:szCs w:val="18"/>
      <w:lang w:val="en-US" w:eastAsia="zh-CN" w:bidi="ar-SA"/>
    </w:rPr>
  </w:style>
  <w:style w:type="character" w:customStyle="1" w:styleId="313">
    <w:name w:val="param-value"/>
    <w:qFormat/>
    <w:uiPriority w:val="0"/>
  </w:style>
  <w:style w:type="character" w:customStyle="1" w:styleId="314">
    <w:name w:val="bsharetext"/>
    <w:basedOn w:val="55"/>
    <w:qFormat/>
    <w:uiPriority w:val="0"/>
  </w:style>
  <w:style w:type="character" w:customStyle="1" w:styleId="315">
    <w:name w:val="标题 9 Char"/>
    <w:link w:val="12"/>
    <w:qFormat/>
    <w:uiPriority w:val="0"/>
    <w:rPr>
      <w:rFonts w:ascii="Arial" w:hAnsi="Arial" w:eastAsia="黑体"/>
      <w:kern w:val="2"/>
      <w:sz w:val="21"/>
      <w:szCs w:val="24"/>
      <w:lang w:val="en-US" w:eastAsia="zh-CN" w:bidi="ar-SA"/>
    </w:rPr>
  </w:style>
  <w:style w:type="character" w:customStyle="1" w:styleId="316">
    <w:name w:val="Char Char4"/>
    <w:qFormat/>
    <w:locked/>
    <w:uiPriority w:val="0"/>
    <w:rPr>
      <w:rFonts w:ascii="宋体" w:hAnsi="Courier New" w:eastAsia="宋体" w:cs="Courier New"/>
      <w:kern w:val="2"/>
      <w:sz w:val="21"/>
      <w:szCs w:val="21"/>
      <w:lang w:val="en-US" w:eastAsia="zh-CN" w:bidi="ar-SA"/>
    </w:rPr>
  </w:style>
  <w:style w:type="character" w:customStyle="1" w:styleId="317">
    <w:name w:val="Char Char15"/>
    <w:qFormat/>
    <w:uiPriority w:val="0"/>
    <w:rPr>
      <w:sz w:val="18"/>
      <w:szCs w:val="18"/>
    </w:rPr>
  </w:style>
  <w:style w:type="character" w:customStyle="1" w:styleId="318">
    <w:name w:val="cubane_hilight1"/>
    <w:qFormat/>
    <w:uiPriority w:val="0"/>
    <w:rPr>
      <w:color w:val="CC0000"/>
    </w:rPr>
  </w:style>
  <w:style w:type="character" w:customStyle="1" w:styleId="319">
    <w:name w:val="name"/>
    <w:basedOn w:val="55"/>
    <w:qFormat/>
    <w:uiPriority w:val="0"/>
  </w:style>
  <w:style w:type="character" w:customStyle="1" w:styleId="320">
    <w:name w:val="s-title8"/>
    <w:qFormat/>
    <w:uiPriority w:val="0"/>
  </w:style>
  <w:style w:type="character" w:customStyle="1" w:styleId="321">
    <w:name w:val="Char Char8"/>
    <w:qFormat/>
    <w:uiPriority w:val="0"/>
    <w:rPr>
      <w:rFonts w:hint="eastAsia" w:ascii="仿宋_GB2312" w:eastAsia="仿宋_GB2312"/>
      <w:kern w:val="2"/>
      <w:sz w:val="32"/>
      <w:lang w:val="en-US" w:eastAsia="zh-CN" w:bidi="ar-SA"/>
    </w:rPr>
  </w:style>
  <w:style w:type="paragraph" w:styleId="322">
    <w:name w:val="No Spacing"/>
    <w:qFormat/>
    <w:uiPriority w:val="1"/>
    <w:rPr>
      <w:rFonts w:ascii="Times New Roman" w:hAnsi="Times New Roman" w:eastAsia="宋体" w:cs="Times New Roman"/>
      <w:sz w:val="24"/>
      <w:szCs w:val="24"/>
      <w:lang w:val="en-US" w:eastAsia="zh-CN" w:bidi="ar-SA"/>
    </w:rPr>
  </w:style>
  <w:style w:type="paragraph" w:customStyle="1" w:styleId="323">
    <w:name w:val="10 f"/>
    <w:basedOn w:val="1"/>
    <w:qFormat/>
    <w:uiPriority w:val="0"/>
    <w:pPr>
      <w:widowControl/>
      <w:tabs>
        <w:tab w:val="left" w:pos="2835"/>
        <w:tab w:val="left" w:pos="3119"/>
        <w:tab w:val="left" w:pos="3402"/>
        <w:tab w:val="left" w:pos="3686"/>
        <w:tab w:val="left" w:pos="3969"/>
        <w:tab w:val="left" w:pos="4253"/>
      </w:tabs>
      <w:spacing w:after="120"/>
      <w:ind w:left="2552"/>
      <w:jc w:val="left"/>
    </w:pPr>
    <w:rPr>
      <w:rFonts w:ascii="Syntax" w:hAnsi="Syntax"/>
      <w:b/>
      <w:sz w:val="20"/>
      <w:lang w:val="de-DE" w:eastAsia="de-DE"/>
    </w:rPr>
  </w:style>
  <w:style w:type="paragraph" w:customStyle="1" w:styleId="324">
    <w:name w:val="Standard o abs"/>
    <w:basedOn w:val="1"/>
    <w:qFormat/>
    <w:uiPriority w:val="0"/>
    <w:pPr>
      <w:widowControl/>
      <w:tabs>
        <w:tab w:val="left" w:pos="2835"/>
        <w:tab w:val="left" w:pos="3119"/>
        <w:tab w:val="left" w:pos="3402"/>
        <w:tab w:val="left" w:pos="3686"/>
        <w:tab w:val="left" w:pos="3969"/>
        <w:tab w:val="left" w:pos="4253"/>
      </w:tabs>
      <w:ind w:left="2552"/>
      <w:jc w:val="left"/>
    </w:pPr>
    <w:rPr>
      <w:rFonts w:ascii="Syntax" w:hAnsi="Syntax"/>
      <w:sz w:val="20"/>
      <w:lang w:val="de-DE" w:eastAsia="de-DE"/>
    </w:rPr>
  </w:style>
  <w:style w:type="paragraph" w:customStyle="1" w:styleId="325">
    <w:name w:val="List Paragraph_f7e888ad-d4be-43ef-93cb-7e2db93387ad"/>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7240</Words>
  <Characters>41271</Characters>
  <Lines>343</Lines>
  <Paragraphs>96</Paragraphs>
  <TotalTime>26</TotalTime>
  <ScaleCrop>false</ScaleCrop>
  <LinksUpToDate>false</LinksUpToDate>
  <CharactersWithSpaces>48415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2020-09-10T03:00:00Z</dcterms:created>
  <dc:creator>贺州政采</dc:creator>
  <cp:lastModifiedBy>Administrator</cp:lastModifiedBy>
  <cp:lastPrinted>2020-10-26T04:17:00Z</cp:lastPrinted>
  <dcterms:modified xsi:type="dcterms:W3CDTF">2020-10-27T07:34:56Z</dcterms:modified>
  <dc:title>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