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0" w:rightChars="-124"/>
        <w:jc w:val="center"/>
        <w:rPr>
          <w:rFonts w:hAnsi="宋体" w:cs="宋体"/>
          <w:b/>
          <w:color w:val="000000" w:themeColor="text1"/>
          <w:sz w:val="72"/>
          <w:szCs w:val="72"/>
        </w:rPr>
      </w:pPr>
      <w:r>
        <w:rPr>
          <w:rFonts w:hint="eastAsia" w:ascii="宋体" w:hAnsi="宋体" w:cs="宋体"/>
          <w:b/>
          <w:color w:val="000000" w:themeColor="text1"/>
          <w:sz w:val="44"/>
          <w:szCs w:val="44"/>
        </w:rPr>
        <w:t>广西鑫磐工程项目管理有限责任公司</w:t>
      </w:r>
    </w:p>
    <w:p>
      <w:pPr>
        <w:pStyle w:val="24"/>
        <w:spacing w:line="2000" w:lineRule="exact"/>
        <w:jc w:val="center"/>
        <w:rPr>
          <w:rFonts w:hAnsi="宋体" w:cs="宋体"/>
          <w:b/>
          <w:color w:val="000000" w:themeColor="text1"/>
          <w:sz w:val="72"/>
          <w:szCs w:val="72"/>
        </w:rPr>
      </w:pPr>
      <w:r>
        <w:rPr>
          <w:rFonts w:hAnsi="宋体" w:cs="宋体"/>
          <w:color w:val="000000" w:themeColor="text1"/>
          <w:spacing w:val="60"/>
          <w:sz w:val="72"/>
          <w:szCs w:val="72"/>
        </w:rPr>
        <w:pict>
          <v:line id="_x0000_s1026" o:spid="_x0000_s1026" o:spt="20" style="position:absolute;left:0pt;flip:y;margin-left:17.5pt;margin-top:18.35pt;height:0pt;width:467.25pt;z-index:251689984;mso-width-relative:page;mso-height-relative:page;" coordsize="21600,21600" o:gfxdata="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iVTrSAAAABAEAAA8AAAAAAAAAAQAgAAAAIgAAAGRycy9kb3ducmV2&#10;LnhtbFBLAQIUABQAAAAIAIdO4kAXLRCEAgIAAPUDAAAOAAAAAAAAAAEAIAAAACEBAABkcnMvZTJv&#10;RG9jLnhtbFBLBQYAAAAABgAGAFkBAACVBQAAAAA=&#10;">
            <v:path arrowok="t"/>
            <v:fill focussize="0,0"/>
            <v:stroke weight="4.5pt" linestyle="thinThick"/>
            <v:imagedata o:title=""/>
            <o:lock v:ext="edit"/>
          </v:line>
        </w:pict>
      </w:r>
      <w:r>
        <w:rPr>
          <w:rFonts w:hint="eastAsia" w:hAnsi="宋体" w:cs="宋体"/>
          <w:b/>
          <w:color w:val="000000" w:themeColor="text1"/>
          <w:sz w:val="72"/>
          <w:szCs w:val="72"/>
        </w:rPr>
        <w:t>竞争性谈判条件书</w:t>
      </w:r>
    </w:p>
    <w:p>
      <w:pPr>
        <w:pStyle w:val="24"/>
        <w:jc w:val="center"/>
        <w:rPr>
          <w:rFonts w:hAnsi="宋体" w:cs="宋体"/>
          <w:color w:val="000000" w:themeColor="text1"/>
          <w:sz w:val="28"/>
        </w:rPr>
      </w:pPr>
    </w:p>
    <w:p>
      <w:pPr>
        <w:pStyle w:val="24"/>
        <w:jc w:val="center"/>
        <w:rPr>
          <w:rFonts w:hAnsi="宋体" w:cs="宋体"/>
          <w:color w:val="000000" w:themeColor="text1"/>
          <w:sz w:val="28"/>
        </w:rPr>
      </w:pPr>
    </w:p>
    <w:p>
      <w:pPr>
        <w:pStyle w:val="24"/>
        <w:jc w:val="center"/>
        <w:rPr>
          <w:rFonts w:hAnsi="宋体" w:cs="宋体"/>
          <w:color w:val="000000" w:themeColor="text1"/>
          <w:sz w:val="28"/>
        </w:rPr>
      </w:pPr>
    </w:p>
    <w:p>
      <w:pPr>
        <w:pStyle w:val="24"/>
        <w:jc w:val="center"/>
        <w:rPr>
          <w:rFonts w:hAnsi="宋体" w:cs="宋体"/>
          <w:color w:val="000000" w:themeColor="text1"/>
          <w:sz w:val="28"/>
        </w:rPr>
      </w:pPr>
    </w:p>
    <w:p>
      <w:pPr>
        <w:pStyle w:val="24"/>
        <w:jc w:val="center"/>
        <w:rPr>
          <w:rFonts w:hAnsi="宋体" w:cs="宋体"/>
          <w:color w:val="000000" w:themeColor="text1"/>
          <w:sz w:val="28"/>
        </w:rPr>
      </w:pPr>
    </w:p>
    <w:p>
      <w:pPr>
        <w:pStyle w:val="24"/>
        <w:jc w:val="center"/>
        <w:rPr>
          <w:rFonts w:hAnsi="宋体" w:cs="宋体"/>
          <w:color w:val="000000" w:themeColor="text1"/>
          <w:sz w:val="28"/>
        </w:rPr>
      </w:pPr>
    </w:p>
    <w:p>
      <w:pPr>
        <w:spacing w:line="360" w:lineRule="auto"/>
        <w:ind w:right="-260" w:rightChars="-124"/>
        <w:rPr>
          <w:rFonts w:ascii="宋体" w:hAnsi="宋体" w:cs="宋体"/>
          <w:b/>
          <w:color w:val="000000" w:themeColor="text1"/>
          <w:sz w:val="32"/>
          <w:szCs w:val="32"/>
        </w:rPr>
      </w:pPr>
    </w:p>
    <w:p>
      <w:pPr>
        <w:spacing w:line="360" w:lineRule="auto"/>
        <w:ind w:left="840" w:leftChars="400" w:right="-260" w:rightChars="-124"/>
        <w:rPr>
          <w:rFonts w:ascii="宋体" w:hAnsi="宋体" w:cs="宋体"/>
          <w:b/>
          <w:color w:val="000000" w:themeColor="text1"/>
          <w:sz w:val="32"/>
          <w:szCs w:val="32"/>
        </w:rPr>
      </w:pPr>
      <w:r>
        <w:rPr>
          <w:rFonts w:hint="eastAsia" w:ascii="宋体" w:hAnsi="宋体" w:cs="宋体"/>
          <w:b/>
          <w:color w:val="000000" w:themeColor="text1"/>
          <w:sz w:val="32"/>
          <w:szCs w:val="32"/>
        </w:rPr>
        <w:t>项目名称：物联网专业实训室设备采购</w:t>
      </w:r>
    </w:p>
    <w:p>
      <w:pPr>
        <w:jc w:val="center"/>
        <w:rPr>
          <w:rFonts w:ascii="宋体" w:hAnsi="宋体" w:cs="宋体"/>
          <w:b/>
          <w:color w:val="000000" w:themeColor="text1"/>
          <w:sz w:val="32"/>
          <w:szCs w:val="32"/>
        </w:rPr>
      </w:pPr>
    </w:p>
    <w:p>
      <w:pPr>
        <w:ind w:left="840" w:leftChars="400"/>
        <w:rPr>
          <w:rFonts w:ascii="宋体" w:hAnsi="宋体" w:cs="宋体"/>
          <w:color w:val="000000" w:themeColor="text1"/>
          <w:sz w:val="32"/>
          <w:szCs w:val="32"/>
        </w:rPr>
      </w:pPr>
      <w:r>
        <w:rPr>
          <w:rFonts w:hint="eastAsia" w:ascii="宋体" w:hAnsi="宋体" w:cs="宋体"/>
          <w:b/>
          <w:color w:val="000000" w:themeColor="text1"/>
          <w:sz w:val="32"/>
          <w:szCs w:val="32"/>
        </w:rPr>
        <w:t>项目编号：YLZC2020-J1-000805-GXXP</w:t>
      </w:r>
    </w:p>
    <w:p>
      <w:pPr>
        <w:ind w:firstLine="1751" w:firstLineChars="545"/>
        <w:rPr>
          <w:rFonts w:ascii="宋体" w:hAnsi="宋体" w:cs="宋体"/>
          <w:b/>
          <w:color w:val="000000" w:themeColor="text1"/>
          <w:sz w:val="32"/>
          <w:szCs w:val="32"/>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jc w:val="center"/>
        <w:rPr>
          <w:rFonts w:ascii="宋体" w:hAnsi="宋体" w:cs="宋体"/>
          <w:color w:val="000000" w:themeColor="text1"/>
          <w:sz w:val="36"/>
        </w:rPr>
      </w:pPr>
    </w:p>
    <w:p>
      <w:pPr>
        <w:rPr>
          <w:rFonts w:ascii="宋体" w:hAnsi="宋体" w:cs="宋体"/>
          <w:color w:val="000000" w:themeColor="text1"/>
          <w:sz w:val="36"/>
        </w:rPr>
      </w:pPr>
    </w:p>
    <w:p>
      <w:pPr>
        <w:spacing w:line="660" w:lineRule="exact"/>
        <w:rPr>
          <w:rFonts w:ascii="宋体" w:hAnsi="宋体" w:cs="宋体"/>
          <w:color w:val="000000" w:themeColor="text1"/>
          <w:sz w:val="36"/>
        </w:rPr>
      </w:pPr>
      <w:r>
        <w:rPr>
          <w:rFonts w:ascii="宋体" w:hAnsi="宋体" w:cs="宋体"/>
          <w:color w:val="000000" w:themeColor="text1"/>
          <w:sz w:val="32"/>
          <w:szCs w:val="32"/>
        </w:rPr>
        <w:pict>
          <v:line id="_x0000_s1028" o:spid="_x0000_s1028" o:spt="20" style="position:absolute;left:0pt;margin-left:-1.15pt;margin-top:29.85pt;height:0pt;width:462pt;z-index:251691008;mso-width-relative:page;mso-height-relative:page;" coordsize="21600,21600" o:gfxdata="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u8u1gAAAAgBAAAPAAAAAAAAAAEAIAAAACIAAABkcnMvZG93bnJldi54bWxQSwEC&#10;FAAUAAAACACHTuJA3bheUfYBAADlAwAADgAAAAAAAAABACAAAAAlAQAAZHJzL2Uyb0RvYy54bWxQ&#10;SwUGAAAAAAYABgBZAQAAjQUAAAAA&#10;">
            <v:path arrowok="t"/>
            <v:fill focussize="0,0"/>
            <v:stroke weight="1.5pt"/>
            <v:imagedata o:title=""/>
            <o:lock v:ext="edit"/>
          </v:line>
        </w:pict>
      </w:r>
    </w:p>
    <w:p>
      <w:pPr>
        <w:ind w:firstLine="803" w:firstLineChars="250"/>
        <w:rPr>
          <w:rFonts w:ascii="宋体" w:hAnsi="宋体" w:cs="宋体"/>
          <w:b/>
          <w:color w:val="000000" w:themeColor="text1"/>
          <w:sz w:val="32"/>
          <w:szCs w:val="32"/>
        </w:rPr>
      </w:pPr>
      <w:r>
        <w:rPr>
          <w:rFonts w:hint="eastAsia" w:ascii="宋体" w:hAnsi="宋体" w:cs="宋体"/>
          <w:b/>
          <w:color w:val="000000" w:themeColor="text1"/>
          <w:sz w:val="32"/>
          <w:szCs w:val="32"/>
        </w:rPr>
        <w:t>采   购   人：广西玉林技师学院</w:t>
      </w:r>
    </w:p>
    <w:p>
      <w:pPr>
        <w:spacing w:line="660" w:lineRule="exact"/>
        <w:ind w:firstLine="803" w:firstLineChars="250"/>
        <w:rPr>
          <w:rFonts w:ascii="宋体" w:hAnsi="宋体" w:cs="宋体"/>
          <w:b/>
          <w:color w:val="000000" w:themeColor="text1"/>
          <w:sz w:val="32"/>
          <w:szCs w:val="32"/>
        </w:rPr>
      </w:pPr>
      <w:r>
        <w:rPr>
          <w:rFonts w:hint="eastAsia" w:ascii="宋体" w:hAnsi="宋体" w:cs="宋体"/>
          <w:b/>
          <w:color w:val="000000" w:themeColor="text1"/>
          <w:sz w:val="32"/>
          <w:szCs w:val="32"/>
        </w:rPr>
        <w:t>采购代理机构：广西鑫磐工程项目管理有限责任公司</w:t>
      </w:r>
    </w:p>
    <w:p>
      <w:pPr>
        <w:spacing w:line="660" w:lineRule="exact"/>
        <w:jc w:val="center"/>
        <w:rPr>
          <w:rFonts w:hAnsi="宋体" w:cs="宋体"/>
          <w:b/>
          <w:color w:val="000000" w:themeColor="text1"/>
          <w:sz w:val="44"/>
        </w:rPr>
        <w:sectPr>
          <w:footerReference r:id="rId5" w:type="first"/>
          <w:headerReference r:id="rId3" w:type="default"/>
          <w:footerReference r:id="rId4" w:type="default"/>
          <w:pgSz w:w="11906" w:h="16838"/>
          <w:pgMar w:top="1440" w:right="1080" w:bottom="1440" w:left="1080" w:header="680" w:footer="680" w:gutter="0"/>
          <w:cols w:space="720" w:num="1"/>
          <w:docGrid w:linePitch="331" w:charSpace="0"/>
        </w:sectPr>
      </w:pPr>
      <w:r>
        <w:rPr>
          <w:rFonts w:hint="eastAsia" w:ascii="宋体" w:hAnsi="宋体" w:cs="宋体"/>
          <w:b/>
          <w:color w:val="000000" w:themeColor="text1"/>
          <w:sz w:val="32"/>
          <w:szCs w:val="32"/>
        </w:rPr>
        <w:t>2020年12月</w:t>
      </w:r>
    </w:p>
    <w:p>
      <w:pPr>
        <w:pStyle w:val="24"/>
        <w:spacing w:before="100" w:beforeAutospacing="1" w:after="100" w:afterAutospacing="1" w:line="560" w:lineRule="exact"/>
        <w:ind w:firstLine="3654" w:firstLineChars="700"/>
        <w:rPr>
          <w:rFonts w:hAnsi="宋体" w:cs="宋体"/>
          <w:bCs/>
          <w:color w:val="000000" w:themeColor="text1"/>
          <w:sz w:val="28"/>
          <w:szCs w:val="28"/>
        </w:rPr>
      </w:pPr>
      <w:r>
        <w:rPr>
          <w:rFonts w:hint="eastAsia" w:hAnsi="宋体" w:cs="宋体"/>
          <w:b/>
          <w:color w:val="000000" w:themeColor="text1"/>
          <w:sz w:val="52"/>
          <w:szCs w:val="52"/>
        </w:rPr>
        <w:t>目   录</w:t>
      </w:r>
      <w:bookmarkStart w:id="0" w:name="_Toc312878805"/>
      <w:bookmarkStart w:id="1" w:name="_Toc205001176"/>
      <w:bookmarkStart w:id="2" w:name="_Toc312922712"/>
    </w:p>
    <w:p>
      <w:pPr>
        <w:pStyle w:val="36"/>
        <w:tabs>
          <w:tab w:val="right" w:leader="dot" w:pos="9746"/>
        </w:tabs>
        <w:spacing w:line="700" w:lineRule="exact"/>
        <w:ind w:left="0" w:leftChars="0" w:firstLine="560" w:firstLineChars="200"/>
        <w:rPr>
          <w:rFonts w:ascii="宋体" w:hAnsi="宋体" w:cs="宋体"/>
          <w:color w:val="000000" w:themeColor="text1"/>
          <w:sz w:val="28"/>
          <w:szCs w:val="28"/>
        </w:rPr>
      </w:pPr>
      <w:r>
        <w:rPr>
          <w:rFonts w:hint="eastAsia" w:ascii="宋体" w:hAnsi="宋体" w:cs="宋体"/>
          <w:bCs/>
          <w:color w:val="000000" w:themeColor="text1"/>
          <w:sz w:val="28"/>
          <w:szCs w:val="28"/>
        </w:rPr>
        <w:fldChar w:fldCharType="begin"/>
      </w:r>
      <w:r>
        <w:rPr>
          <w:rFonts w:hint="eastAsia" w:ascii="宋体" w:hAnsi="宋体" w:cs="宋体"/>
          <w:bCs/>
          <w:color w:val="000000" w:themeColor="text1"/>
          <w:sz w:val="28"/>
          <w:szCs w:val="28"/>
        </w:rPr>
        <w:instrText xml:space="preserve"> TOC \o "1-3" \h \z \u </w:instrText>
      </w:r>
      <w:r>
        <w:rPr>
          <w:rFonts w:hint="eastAsia" w:ascii="宋体" w:hAnsi="宋体" w:cs="宋体"/>
          <w:bCs/>
          <w:color w:val="000000" w:themeColor="text1"/>
          <w:sz w:val="28"/>
          <w:szCs w:val="28"/>
        </w:rPr>
        <w:fldChar w:fldCharType="separate"/>
      </w:r>
      <w:r>
        <w:fldChar w:fldCharType="begin"/>
      </w:r>
      <w:r>
        <w:instrText xml:space="preserve"> HYPERLINK \l "_Toc26987" </w:instrText>
      </w:r>
      <w:r>
        <w:fldChar w:fldCharType="separate"/>
      </w:r>
      <w:r>
        <w:rPr>
          <w:rFonts w:hint="eastAsia" w:ascii="宋体" w:hAnsi="宋体" w:cs="宋体"/>
          <w:color w:val="000000" w:themeColor="text1"/>
          <w:sz w:val="28"/>
          <w:szCs w:val="28"/>
        </w:rPr>
        <w:t>第一章 竞争性谈判公告</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_Toc26987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2</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pPr>
        <w:pStyle w:val="31"/>
        <w:tabs>
          <w:tab w:val="right" w:leader="dot" w:pos="9746"/>
          <w:tab w:val="clear" w:pos="985"/>
          <w:tab w:val="clear" w:pos="9356"/>
        </w:tabs>
        <w:spacing w:before="24" w:after="24" w:line="700" w:lineRule="exact"/>
        <w:ind w:firstLine="562" w:firstLineChars="200"/>
        <w:rPr>
          <w:rFonts w:cs="宋体"/>
          <w:b w:val="0"/>
          <w:color w:val="000000" w:themeColor="text1"/>
        </w:rPr>
      </w:pPr>
      <w:r>
        <w:fldChar w:fldCharType="begin"/>
      </w:r>
      <w:r>
        <w:instrText xml:space="preserve"> HYPERLINK \l "_Toc9531" </w:instrText>
      </w:r>
      <w:r>
        <w:fldChar w:fldCharType="separate"/>
      </w:r>
      <w:r>
        <w:rPr>
          <w:rFonts w:hint="eastAsia" w:cs="宋体"/>
          <w:b w:val="0"/>
          <w:color w:val="000000" w:themeColor="text1"/>
        </w:rPr>
        <w:t>第二章谈判供应商须知及前附表</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_Toc9531 </w:instrText>
      </w:r>
      <w:r>
        <w:rPr>
          <w:rFonts w:hint="eastAsia" w:cs="宋体"/>
          <w:b w:val="0"/>
          <w:color w:val="000000" w:themeColor="text1"/>
        </w:rPr>
        <w:fldChar w:fldCharType="separate"/>
      </w:r>
      <w:r>
        <w:rPr>
          <w:rFonts w:hint="eastAsia" w:cs="宋体"/>
          <w:b w:val="0"/>
          <w:color w:val="000000" w:themeColor="text1"/>
        </w:rPr>
        <w:t>5</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"_Toc6120" </w:instrText>
      </w:r>
      <w:r>
        <w:fldChar w:fldCharType="separate"/>
      </w:r>
      <w:r>
        <w:rPr>
          <w:rFonts w:hint="eastAsia" w:cs="宋体"/>
          <w:b w:val="0"/>
          <w:color w:val="000000" w:themeColor="text1"/>
        </w:rPr>
        <w:t>一 、总  则</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_Toc6120 </w:instrText>
      </w:r>
      <w:r>
        <w:rPr>
          <w:rFonts w:hint="eastAsia" w:cs="宋体"/>
          <w:b w:val="0"/>
          <w:color w:val="000000" w:themeColor="text1"/>
        </w:rPr>
        <w:fldChar w:fldCharType="separate"/>
      </w:r>
      <w:r>
        <w:rPr>
          <w:rFonts w:hint="eastAsia" w:cs="宋体"/>
          <w:b w:val="0"/>
          <w:color w:val="000000" w:themeColor="text1"/>
        </w:rPr>
        <w:t>8</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"_Toc30069" </w:instrText>
      </w:r>
      <w:r>
        <w:fldChar w:fldCharType="separate"/>
      </w:r>
      <w:r>
        <w:rPr>
          <w:rFonts w:hint="eastAsia" w:cs="宋体"/>
          <w:b w:val="0"/>
          <w:color w:val="000000" w:themeColor="text1"/>
        </w:rPr>
        <w:t>二 、竞争性谈判文件（简称采购文件）</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_Toc30069 </w:instrText>
      </w:r>
      <w:r>
        <w:rPr>
          <w:rFonts w:hint="eastAsia" w:cs="宋体"/>
          <w:b w:val="0"/>
          <w:color w:val="000000" w:themeColor="text1"/>
        </w:rPr>
        <w:fldChar w:fldCharType="separate"/>
      </w:r>
      <w:r>
        <w:rPr>
          <w:rFonts w:hint="eastAsia" w:cs="宋体"/>
          <w:b w:val="0"/>
          <w:color w:val="000000" w:themeColor="text1"/>
        </w:rPr>
        <w:t>8</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"_Toc9346" </w:instrText>
      </w:r>
      <w:r>
        <w:fldChar w:fldCharType="separate"/>
      </w:r>
      <w:r>
        <w:rPr>
          <w:rFonts w:hint="eastAsia" w:cs="宋体"/>
          <w:b w:val="0"/>
          <w:color w:val="000000" w:themeColor="text1"/>
        </w:rPr>
        <w:t>三 、竞争性谈判响应文件的编制格式</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_Toc9346 </w:instrText>
      </w:r>
      <w:r>
        <w:rPr>
          <w:rFonts w:hint="eastAsia" w:cs="宋体"/>
          <w:b w:val="0"/>
          <w:color w:val="000000" w:themeColor="text1"/>
        </w:rPr>
        <w:fldChar w:fldCharType="separate"/>
      </w:r>
      <w:r>
        <w:rPr>
          <w:rFonts w:hint="eastAsia" w:cs="宋体"/>
          <w:b w:val="0"/>
          <w:color w:val="000000" w:themeColor="text1"/>
        </w:rPr>
        <w:t>9</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"_Toc13549" </w:instrText>
      </w:r>
      <w:r>
        <w:fldChar w:fldCharType="separate"/>
      </w:r>
      <w:r>
        <w:rPr>
          <w:rFonts w:hint="eastAsia" w:cs="宋体"/>
          <w:b w:val="0"/>
          <w:color w:val="000000" w:themeColor="text1"/>
        </w:rPr>
        <w:t>四 、竞争性谈判响应文件的递交</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_Toc13549 </w:instrText>
      </w:r>
      <w:r>
        <w:rPr>
          <w:rFonts w:hint="eastAsia" w:cs="宋体"/>
          <w:b w:val="0"/>
          <w:color w:val="000000" w:themeColor="text1"/>
        </w:rPr>
        <w:fldChar w:fldCharType="separate"/>
      </w:r>
      <w:r>
        <w:rPr>
          <w:rFonts w:hint="eastAsia" w:cs="宋体"/>
          <w:b w:val="0"/>
          <w:color w:val="000000" w:themeColor="text1"/>
        </w:rPr>
        <w:t>11</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"_Toc3309" </w:instrText>
      </w:r>
      <w:r>
        <w:fldChar w:fldCharType="separate"/>
      </w:r>
      <w:r>
        <w:rPr>
          <w:rFonts w:hint="eastAsia" w:cs="宋体"/>
          <w:b w:val="0"/>
          <w:color w:val="000000" w:themeColor="text1"/>
        </w:rPr>
        <w:t>五 、竞争性谈判（简称谈判）与评标</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_Toc3309 </w:instrText>
      </w:r>
      <w:r>
        <w:rPr>
          <w:rFonts w:hint="eastAsia" w:cs="宋体"/>
          <w:b w:val="0"/>
          <w:color w:val="000000" w:themeColor="text1"/>
        </w:rPr>
        <w:fldChar w:fldCharType="separate"/>
      </w:r>
      <w:r>
        <w:rPr>
          <w:rFonts w:hint="eastAsia" w:cs="宋体"/>
          <w:b w:val="0"/>
          <w:color w:val="000000" w:themeColor="text1"/>
        </w:rPr>
        <w:t>12</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"_Toc858" </w:instrText>
      </w:r>
      <w:r>
        <w:fldChar w:fldCharType="separate"/>
      </w:r>
      <w:r>
        <w:rPr>
          <w:rFonts w:hint="eastAsia" w:cs="宋体"/>
          <w:b w:val="0"/>
          <w:color w:val="000000" w:themeColor="text1"/>
        </w:rPr>
        <w:t>六、 签订合同</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_Toc858 </w:instrText>
      </w:r>
      <w:r>
        <w:rPr>
          <w:rFonts w:hint="eastAsia" w:cs="宋体"/>
          <w:b w:val="0"/>
          <w:color w:val="000000" w:themeColor="text1"/>
        </w:rPr>
        <w:fldChar w:fldCharType="separate"/>
      </w:r>
      <w:r>
        <w:rPr>
          <w:rFonts w:hint="eastAsia" w:cs="宋体"/>
          <w:b w:val="0"/>
          <w:color w:val="000000" w:themeColor="text1"/>
        </w:rPr>
        <w:t>15</w:t>
      </w:r>
      <w:r>
        <w:rPr>
          <w:rFonts w:hint="eastAsia" w:cs="宋体"/>
          <w:b w:val="0"/>
          <w:color w:val="000000" w:themeColor="text1"/>
        </w:rPr>
        <w:fldChar w:fldCharType="end"/>
      </w:r>
      <w:r>
        <w:rPr>
          <w:rFonts w:hint="eastAsia" w:cs="宋体"/>
          <w:b w:val="0"/>
          <w:color w:val="000000" w:themeColor="text1"/>
        </w:rPr>
        <w:fldChar w:fldCharType="end"/>
      </w:r>
    </w:p>
    <w:p>
      <w:pPr>
        <w:pStyle w:val="23"/>
        <w:tabs>
          <w:tab w:val="right" w:leader="dot" w:pos="9746"/>
          <w:tab w:val="clear" w:pos="9356"/>
        </w:tabs>
        <w:spacing w:before="24" w:after="24" w:line="700" w:lineRule="exact"/>
        <w:ind w:firstLine="562" w:firstLineChars="200"/>
        <w:rPr>
          <w:rFonts w:cs="宋体"/>
          <w:b w:val="0"/>
          <w:color w:val="000000" w:themeColor="text1"/>
        </w:rPr>
      </w:pPr>
      <w:r>
        <w:fldChar w:fldCharType="begin"/>
      </w:r>
      <w:r>
        <w:instrText xml:space="preserve"> HYPERLINK \l "_Toc5690" </w:instrText>
      </w:r>
      <w:r>
        <w:fldChar w:fldCharType="separate"/>
      </w:r>
      <w:r>
        <w:rPr>
          <w:rFonts w:hint="eastAsia" w:cs="宋体"/>
          <w:b w:val="0"/>
          <w:color w:val="000000" w:themeColor="text1"/>
        </w:rPr>
        <w:t>七 、其他事项</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_Toc5690 </w:instrText>
      </w:r>
      <w:r>
        <w:rPr>
          <w:rFonts w:hint="eastAsia" w:cs="宋体"/>
          <w:b w:val="0"/>
          <w:color w:val="000000" w:themeColor="text1"/>
        </w:rPr>
        <w:fldChar w:fldCharType="separate"/>
      </w:r>
      <w:r>
        <w:rPr>
          <w:rFonts w:hint="eastAsia" w:cs="宋体"/>
          <w:b w:val="0"/>
          <w:color w:val="000000" w:themeColor="text1"/>
        </w:rPr>
        <w:t>16</w:t>
      </w:r>
      <w:r>
        <w:rPr>
          <w:rFonts w:hint="eastAsia" w:cs="宋体"/>
          <w:b w:val="0"/>
          <w:color w:val="000000" w:themeColor="text1"/>
        </w:rPr>
        <w:fldChar w:fldCharType="end"/>
      </w:r>
      <w:r>
        <w:rPr>
          <w:rFonts w:hint="eastAsia" w:cs="宋体"/>
          <w:b w:val="0"/>
          <w:color w:val="000000" w:themeColor="text1"/>
        </w:rPr>
        <w:fldChar w:fldCharType="end"/>
      </w:r>
    </w:p>
    <w:p>
      <w:pPr>
        <w:pStyle w:val="31"/>
        <w:tabs>
          <w:tab w:val="right" w:leader="dot" w:pos="9746"/>
          <w:tab w:val="clear" w:pos="985"/>
          <w:tab w:val="clear" w:pos="9356"/>
        </w:tabs>
        <w:spacing w:before="24" w:after="24" w:line="700" w:lineRule="exact"/>
        <w:ind w:firstLine="562" w:firstLineChars="200"/>
        <w:rPr>
          <w:rFonts w:cs="宋体"/>
          <w:b w:val="0"/>
          <w:color w:val="000000" w:themeColor="text1"/>
        </w:rPr>
      </w:pPr>
      <w:r>
        <w:fldChar w:fldCharType="begin"/>
      </w:r>
      <w:r>
        <w:instrText xml:space="preserve"> HYPERLINK \l "_Toc22083" </w:instrText>
      </w:r>
      <w:r>
        <w:fldChar w:fldCharType="separate"/>
      </w:r>
      <w:r>
        <w:rPr>
          <w:rFonts w:hint="eastAsia" w:cs="宋体"/>
          <w:b w:val="0"/>
          <w:color w:val="000000" w:themeColor="text1"/>
        </w:rPr>
        <w:t>第三章项目需求</w:t>
      </w:r>
      <w:r>
        <w:rPr>
          <w:rFonts w:hint="eastAsia" w:cs="宋体"/>
          <w:b w:val="0"/>
          <w:color w:val="000000" w:themeColor="text1"/>
        </w:rPr>
        <w:tab/>
      </w:r>
      <w:r>
        <w:rPr>
          <w:rFonts w:hint="eastAsia" w:cs="宋体"/>
          <w:b w:val="0"/>
          <w:color w:val="000000" w:themeColor="text1"/>
        </w:rPr>
        <w:fldChar w:fldCharType="end"/>
      </w:r>
      <w:r>
        <w:rPr>
          <w:rFonts w:hint="eastAsia" w:cs="宋体"/>
          <w:b w:val="0"/>
          <w:color w:val="000000" w:themeColor="text1"/>
        </w:rPr>
        <w:t>17</w:t>
      </w:r>
    </w:p>
    <w:p>
      <w:pPr>
        <w:pStyle w:val="31"/>
        <w:tabs>
          <w:tab w:val="right" w:leader="dot" w:pos="9746"/>
          <w:tab w:val="clear" w:pos="985"/>
          <w:tab w:val="clear" w:pos="9356"/>
        </w:tabs>
        <w:spacing w:before="24" w:after="24" w:line="700" w:lineRule="exact"/>
        <w:ind w:firstLine="562" w:firstLineChars="200"/>
        <w:rPr>
          <w:rFonts w:cs="宋体"/>
          <w:b w:val="0"/>
          <w:color w:val="000000" w:themeColor="text1"/>
        </w:rPr>
      </w:pPr>
      <w:r>
        <w:fldChar w:fldCharType="begin"/>
      </w:r>
      <w:r>
        <w:instrText xml:space="preserve"> HYPERLINK \l "_Toc11622" </w:instrText>
      </w:r>
      <w:r>
        <w:fldChar w:fldCharType="separate"/>
      </w:r>
      <w:r>
        <w:rPr>
          <w:rFonts w:hint="eastAsia" w:cs="宋体"/>
          <w:b w:val="0"/>
          <w:color w:val="000000" w:themeColor="text1"/>
        </w:rPr>
        <w:t>第四章评标办法</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_Toc11622 </w:instrText>
      </w:r>
      <w:r>
        <w:rPr>
          <w:rFonts w:hint="eastAsia" w:cs="宋体"/>
          <w:b w:val="0"/>
          <w:color w:val="000000" w:themeColor="text1"/>
        </w:rPr>
        <w:fldChar w:fldCharType="separate"/>
      </w:r>
      <w:r>
        <w:rPr>
          <w:rFonts w:hint="eastAsia" w:cs="宋体"/>
          <w:b w:val="0"/>
          <w:color w:val="000000" w:themeColor="text1"/>
        </w:rPr>
        <w:t>18</w:t>
      </w:r>
      <w:r>
        <w:rPr>
          <w:rFonts w:hint="eastAsia" w:cs="宋体"/>
          <w:b w:val="0"/>
          <w:color w:val="000000" w:themeColor="text1"/>
        </w:rPr>
        <w:fldChar w:fldCharType="end"/>
      </w:r>
      <w:r>
        <w:rPr>
          <w:rFonts w:hint="eastAsia" w:cs="宋体"/>
          <w:b w:val="0"/>
          <w:color w:val="000000" w:themeColor="text1"/>
        </w:rPr>
        <w:fldChar w:fldCharType="end"/>
      </w:r>
    </w:p>
    <w:p>
      <w:pPr>
        <w:pStyle w:val="31"/>
        <w:tabs>
          <w:tab w:val="right" w:leader="dot" w:pos="9746"/>
          <w:tab w:val="clear" w:pos="985"/>
          <w:tab w:val="clear" w:pos="9356"/>
        </w:tabs>
        <w:spacing w:before="24" w:after="24" w:line="700" w:lineRule="exact"/>
        <w:ind w:firstLine="562" w:firstLineChars="200"/>
        <w:rPr>
          <w:rFonts w:cs="宋体"/>
          <w:b w:val="0"/>
          <w:color w:val="000000" w:themeColor="text1"/>
        </w:rPr>
      </w:pPr>
      <w:r>
        <w:fldChar w:fldCharType="begin"/>
      </w:r>
      <w:r>
        <w:instrText xml:space="preserve"> HYPERLINK \l "_Toc7202" </w:instrText>
      </w:r>
      <w:r>
        <w:fldChar w:fldCharType="separate"/>
      </w:r>
      <w:r>
        <w:rPr>
          <w:rFonts w:hint="eastAsia" w:cs="宋体"/>
          <w:b w:val="0"/>
          <w:color w:val="000000" w:themeColor="text1"/>
        </w:rPr>
        <w:t>第一章 合同主要条款格式</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_Toc7202 </w:instrText>
      </w:r>
      <w:r>
        <w:rPr>
          <w:rFonts w:hint="eastAsia" w:cs="宋体"/>
          <w:b w:val="0"/>
          <w:color w:val="000000" w:themeColor="text1"/>
        </w:rPr>
        <w:fldChar w:fldCharType="separate"/>
      </w:r>
      <w:r>
        <w:rPr>
          <w:rFonts w:hint="eastAsia" w:cs="宋体"/>
          <w:b w:val="0"/>
          <w:color w:val="000000" w:themeColor="text1"/>
        </w:rPr>
        <w:t>20</w:t>
      </w:r>
      <w:r>
        <w:rPr>
          <w:rFonts w:hint="eastAsia" w:cs="宋体"/>
          <w:b w:val="0"/>
          <w:color w:val="000000" w:themeColor="text1"/>
        </w:rPr>
        <w:fldChar w:fldCharType="end"/>
      </w:r>
      <w:r>
        <w:rPr>
          <w:rFonts w:hint="eastAsia" w:cs="宋体"/>
          <w:b w:val="0"/>
          <w:color w:val="000000" w:themeColor="text1"/>
        </w:rPr>
        <w:fldChar w:fldCharType="end"/>
      </w:r>
    </w:p>
    <w:p>
      <w:pPr>
        <w:pStyle w:val="31"/>
        <w:tabs>
          <w:tab w:val="right" w:leader="dot" w:pos="9746"/>
          <w:tab w:val="clear" w:pos="985"/>
          <w:tab w:val="clear" w:pos="9356"/>
        </w:tabs>
        <w:spacing w:before="24" w:after="24" w:line="700" w:lineRule="exact"/>
        <w:ind w:firstLine="562" w:firstLineChars="200"/>
        <w:rPr>
          <w:color w:val="000000" w:themeColor="text1"/>
        </w:rPr>
      </w:pPr>
      <w:r>
        <w:fldChar w:fldCharType="begin"/>
      </w:r>
      <w:r>
        <w:instrText xml:space="preserve"> HYPERLINK \l "_Toc1584" </w:instrText>
      </w:r>
      <w:r>
        <w:fldChar w:fldCharType="separate"/>
      </w:r>
      <w:r>
        <w:rPr>
          <w:rFonts w:hint="eastAsia" w:cs="宋体"/>
          <w:b w:val="0"/>
          <w:color w:val="000000" w:themeColor="text1"/>
        </w:rPr>
        <w:t>第五章竞争性谈判响应文件（格式）</w:t>
      </w:r>
      <w:r>
        <w:rPr>
          <w:rFonts w:hint="eastAsia" w:cs="宋体"/>
          <w:b w:val="0"/>
          <w:color w:val="000000" w:themeColor="text1"/>
        </w:rPr>
        <w:tab/>
      </w:r>
      <w:r>
        <w:rPr>
          <w:rFonts w:hint="eastAsia" w:cs="宋体"/>
          <w:b w:val="0"/>
          <w:color w:val="000000" w:themeColor="text1"/>
        </w:rPr>
        <w:fldChar w:fldCharType="begin"/>
      </w:r>
      <w:r>
        <w:rPr>
          <w:rFonts w:hint="eastAsia" w:cs="宋体"/>
          <w:b w:val="0"/>
          <w:color w:val="000000" w:themeColor="text1"/>
        </w:rPr>
        <w:instrText xml:space="preserve"> PAGEREF _Toc1584 </w:instrText>
      </w:r>
      <w:r>
        <w:rPr>
          <w:rFonts w:hint="eastAsia" w:cs="宋体"/>
          <w:b w:val="0"/>
          <w:color w:val="000000" w:themeColor="text1"/>
        </w:rPr>
        <w:fldChar w:fldCharType="separate"/>
      </w:r>
      <w:r>
        <w:rPr>
          <w:rFonts w:hint="eastAsia" w:cs="宋体"/>
          <w:b w:val="0"/>
          <w:color w:val="000000" w:themeColor="text1"/>
        </w:rPr>
        <w:t>24</w:t>
      </w:r>
      <w:r>
        <w:rPr>
          <w:rFonts w:hint="eastAsia" w:cs="宋体"/>
          <w:b w:val="0"/>
          <w:color w:val="000000" w:themeColor="text1"/>
        </w:rPr>
        <w:fldChar w:fldCharType="end"/>
      </w:r>
      <w:r>
        <w:rPr>
          <w:rFonts w:hint="eastAsia" w:cs="宋体"/>
          <w:b w:val="0"/>
          <w:color w:val="000000" w:themeColor="text1"/>
        </w:rPr>
        <w:fldChar w:fldCharType="end"/>
      </w:r>
    </w:p>
    <w:p>
      <w:pPr>
        <w:pStyle w:val="31"/>
        <w:spacing w:before="24" w:after="24" w:line="720" w:lineRule="auto"/>
        <w:rPr>
          <w:rFonts w:cs="宋体"/>
          <w:color w:val="000000" w:themeColor="text1"/>
        </w:rPr>
      </w:pPr>
      <w:r>
        <w:rPr>
          <w:rFonts w:hint="eastAsia" w:cs="宋体"/>
          <w:bCs/>
          <w:color w:val="000000" w:themeColor="text1"/>
        </w:rPr>
        <w:fldChar w:fldCharType="end"/>
      </w:r>
      <w:bookmarkEnd w:id="0"/>
      <w:bookmarkEnd w:id="1"/>
      <w:bookmarkEnd w:id="2"/>
      <w:bookmarkStart w:id="3" w:name="_Toc181594899"/>
      <w:bookmarkStart w:id="4" w:name="_Toc181594747"/>
      <w:bookmarkStart w:id="5" w:name="_Toc181594748"/>
      <w:bookmarkStart w:id="6" w:name="_Toc205001179"/>
      <w:bookmarkStart w:id="7" w:name="_Toc181594900"/>
      <w:bookmarkStart w:id="8" w:name="_Toc312878808"/>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pStyle w:val="4"/>
        <w:spacing w:line="460" w:lineRule="exact"/>
        <w:jc w:val="center"/>
        <w:rPr>
          <w:rFonts w:ascii="宋体" w:hAnsi="宋体" w:eastAsia="宋体" w:cs="宋体"/>
          <w:color w:val="000000" w:themeColor="text1"/>
        </w:rPr>
      </w:pPr>
      <w:bookmarkStart w:id="9" w:name="_Toc26987"/>
      <w:bookmarkStart w:id="10" w:name="_Toc44229877"/>
      <w:bookmarkStart w:id="11" w:name="_Hlk37430271"/>
      <w:bookmarkStart w:id="12" w:name="_Toc342313041"/>
      <w:r>
        <w:rPr>
          <w:rFonts w:hint="eastAsia" w:ascii="宋体" w:hAnsi="宋体" w:eastAsia="宋体" w:cs="宋体"/>
          <w:color w:val="000000" w:themeColor="text1"/>
        </w:rPr>
        <w:br w:type="column"/>
      </w:r>
      <w:r>
        <w:rPr>
          <w:rFonts w:hint="eastAsia" w:ascii="宋体" w:hAnsi="宋体" w:eastAsia="宋体" w:cs="宋体"/>
          <w:color w:val="000000" w:themeColor="text1"/>
        </w:rPr>
        <w:t>第一章 竞争性谈判公告</w:t>
      </w:r>
      <w:bookmarkEnd w:id="9"/>
      <w:bookmarkEnd w:id="10"/>
    </w:p>
    <w:bookmarkEnd w:id="11"/>
    <w:p>
      <w:pPr>
        <w:widowControl/>
        <w:shd w:val="clear" w:color="auto" w:fill="FFFFFF"/>
        <w:spacing w:line="465" w:lineRule="atLeast"/>
        <w:ind w:firstLine="420"/>
        <w:jc w:val="left"/>
        <w:rPr>
          <w:rFonts w:hint="eastAsia" w:ascii="仿宋" w:hAnsi="仿宋" w:eastAsia="微软雅黑" w:cs="宋体"/>
          <w:kern w:val="0"/>
          <w:szCs w:val="21"/>
        </w:rPr>
      </w:pPr>
      <w:r>
        <w:rPr>
          <w:rFonts w:hint="eastAsia" w:ascii="宋体" w:hAnsi="宋体" w:cs="宋体"/>
          <w:kern w:val="0"/>
          <w:sz w:val="27"/>
          <w:szCs w:val="27"/>
        </w:rPr>
        <w:t>项目概况</w:t>
      </w:r>
    </w:p>
    <w:p>
      <w:pPr>
        <w:widowControl/>
        <w:shd w:val="clear" w:color="auto" w:fill="FFFFFF"/>
        <w:jc w:val="left"/>
        <w:rPr>
          <w:rFonts w:hint="eastAsia" w:ascii="仿宋" w:hAnsi="仿宋" w:eastAsia="微软雅黑" w:cs="宋体"/>
          <w:kern w:val="0"/>
          <w:szCs w:val="21"/>
        </w:rPr>
      </w:pPr>
      <w:r>
        <w:rPr>
          <w:rFonts w:hint="eastAsia" w:ascii="宋体" w:hAnsi="宋体" w:cs="宋体"/>
          <w:kern w:val="0"/>
          <w:sz w:val="27"/>
          <w:szCs w:val="27"/>
        </w:rPr>
        <w:t>物联网专业实训室设备采购项目的潜在供应商应在政采云平台获取竞争性谈判文件，并于2020年12月16日15时30分（北京时间）前提交响应文件。</w:t>
      </w:r>
    </w:p>
    <w:p>
      <w:pPr>
        <w:widowControl/>
        <w:shd w:val="clear" w:color="auto" w:fill="FFFFFF"/>
        <w:spacing w:before="255" w:after="255" w:line="450" w:lineRule="atLeast"/>
        <w:jc w:val="left"/>
        <w:rPr>
          <w:rFonts w:ascii="黑体" w:hAnsi="黑体" w:eastAsia="黑体" w:cs="宋体"/>
          <w:kern w:val="0"/>
          <w:sz w:val="32"/>
          <w:szCs w:val="32"/>
        </w:rPr>
      </w:pPr>
      <w:r>
        <w:rPr>
          <w:rFonts w:hint="eastAsia" w:ascii="宋体" w:hAnsi="宋体" w:cs="宋体"/>
          <w:b/>
          <w:bCs/>
          <w:kern w:val="0"/>
          <w:sz w:val="27"/>
        </w:rPr>
        <w:t>一、项目基本情况</w:t>
      </w:r>
      <w:r>
        <w:rPr>
          <w:rFonts w:hint="eastAsia" w:ascii="宋体" w:hAnsi="宋体" w:cs="宋体"/>
          <w:kern w:val="0"/>
          <w:sz w:val="27"/>
          <w:szCs w:val="27"/>
        </w:rPr>
        <w:t> </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   1.项目编号：YLZC2020-J1-000805-GXXP</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2.项目名称：物联网专业实训室设备采购</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3.采购计划文号：YLZC2020-J1-11968-（001至011）</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4.采购方式：竞争性谈判</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5.预算金额：人民币陆拾伍万柒仟柒佰伍拾元整（¥657750.00元）</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6.采购需求：包括但不限于以下参数</w:t>
      </w:r>
    </w:p>
    <w:tbl>
      <w:tblPr>
        <w:tblStyle w:val="44"/>
        <w:tblW w:w="9603" w:type="dxa"/>
        <w:tblInd w:w="0" w:type="dxa"/>
        <w:tblLayout w:type="autofit"/>
        <w:tblCellMar>
          <w:top w:w="0" w:type="dxa"/>
          <w:left w:w="0" w:type="dxa"/>
          <w:bottom w:w="0" w:type="dxa"/>
          <w:right w:w="0" w:type="dxa"/>
        </w:tblCellMar>
      </w:tblPr>
      <w:tblGrid>
        <w:gridCol w:w="956"/>
        <w:gridCol w:w="3685"/>
        <w:gridCol w:w="2694"/>
        <w:gridCol w:w="992"/>
        <w:gridCol w:w="1276"/>
      </w:tblGrid>
      <w:tr>
        <w:tblPrEx>
          <w:tblCellMar>
            <w:top w:w="0" w:type="dxa"/>
            <w:left w:w="0" w:type="dxa"/>
            <w:bottom w:w="0" w:type="dxa"/>
            <w:right w:w="0" w:type="dxa"/>
          </w:tblCellMar>
        </w:tblPrEx>
        <w:trPr>
          <w:trHeight w:val="465" w:hRule="atLeast"/>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序号</w:t>
            </w:r>
          </w:p>
        </w:tc>
        <w:tc>
          <w:tcPr>
            <w:tcW w:w="36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名称</w:t>
            </w:r>
          </w:p>
        </w:tc>
        <w:tc>
          <w:tcPr>
            <w:tcW w:w="269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技术参数</w:t>
            </w:r>
          </w:p>
        </w:tc>
        <w:tc>
          <w:tcPr>
            <w:tcW w:w="9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单位</w:t>
            </w:r>
          </w:p>
        </w:tc>
        <w:tc>
          <w:tcPr>
            <w:tcW w:w="127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数量</w:t>
            </w:r>
          </w:p>
        </w:tc>
      </w:tr>
      <w:tr>
        <w:tblPrEx>
          <w:tblCellMar>
            <w:top w:w="0" w:type="dxa"/>
            <w:left w:w="0" w:type="dxa"/>
            <w:bottom w:w="0" w:type="dxa"/>
            <w:right w:w="0" w:type="dxa"/>
          </w:tblCellMar>
        </w:tblPrEx>
        <w:trPr>
          <w:trHeight w:val="61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1</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NEWLab实验平台</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详见附件1共2页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660"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2</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传感器系列套件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详见附件2共5页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2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3</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通讯系列套件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详见附件3共1页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61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4</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NB-iot、LoRa通讯套件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详见附件4共1页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8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5</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自动识别套件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详见附件5共1页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8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6</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单片机套件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详见附件6共1页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2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7</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ARM系列套件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详见附件7共2页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70"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NLE-PTS500物联网智慧生活实训平台</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详见附件8共20页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1</w:t>
            </w:r>
          </w:p>
        </w:tc>
      </w:tr>
      <w:tr>
        <w:tblPrEx>
          <w:tblCellMar>
            <w:top w:w="0" w:type="dxa"/>
            <w:left w:w="0" w:type="dxa"/>
            <w:bottom w:w="0" w:type="dxa"/>
            <w:right w:w="0" w:type="dxa"/>
          </w:tblCellMar>
        </w:tblPrEx>
        <w:trPr>
          <w:trHeight w:val="52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9</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物联网应用开发终端</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详见附件9共1页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585"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10</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执行器系列套件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详见附件10共1页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r>
        <w:tblPrEx>
          <w:tblCellMar>
            <w:top w:w="0" w:type="dxa"/>
            <w:left w:w="0" w:type="dxa"/>
            <w:bottom w:w="0" w:type="dxa"/>
            <w:right w:w="0" w:type="dxa"/>
          </w:tblCellMar>
        </w:tblPrEx>
        <w:trPr>
          <w:trHeight w:val="600" w:hRule="atLeast"/>
        </w:trPr>
        <w:tc>
          <w:tcPr>
            <w:tcW w:w="95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11</w:t>
            </w: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嵌入式开发套件</w:t>
            </w:r>
          </w:p>
        </w:tc>
        <w:tc>
          <w:tcPr>
            <w:tcW w:w="26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详见附件11共1页</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套</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65" w:lineRule="atLeast"/>
              <w:jc w:val="center"/>
              <w:rPr>
                <w:rFonts w:ascii="宋体" w:hAnsi="宋体" w:cs="宋体"/>
                <w:kern w:val="0"/>
                <w:sz w:val="24"/>
              </w:rPr>
            </w:pPr>
            <w:r>
              <w:rPr>
                <w:rFonts w:hint="eastAsia" w:ascii="宋体" w:hAnsi="宋体" w:cs="宋体"/>
                <w:kern w:val="0"/>
                <w:sz w:val="27"/>
                <w:szCs w:val="27"/>
              </w:rPr>
              <w:t>8</w:t>
            </w:r>
          </w:p>
        </w:tc>
      </w:tr>
    </w:tbl>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7.交货期：自签订合同之日起20天内完成交货，并于交货后10天内完成设备安装调试。</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8.本项目不接受联合体。</w:t>
      </w:r>
    </w:p>
    <w:p>
      <w:pPr>
        <w:widowControl/>
        <w:shd w:val="clear" w:color="auto" w:fill="FFFFFF"/>
        <w:spacing w:before="255" w:after="255" w:line="450" w:lineRule="atLeast"/>
        <w:rPr>
          <w:rFonts w:ascii="黑体" w:hAnsi="黑体" w:eastAsia="黑体" w:cs="宋体"/>
          <w:kern w:val="0"/>
          <w:sz w:val="27"/>
          <w:szCs w:val="27"/>
        </w:rPr>
      </w:pPr>
      <w:r>
        <w:rPr>
          <w:rFonts w:hint="eastAsia" w:ascii="宋体" w:hAnsi="宋体" w:cs="宋体"/>
          <w:b/>
          <w:bCs/>
          <w:kern w:val="0"/>
          <w:sz w:val="27"/>
        </w:rPr>
        <w:t>二、申请人的资格要求：</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 1.满足《中华人民共和国政府采购法》第二十二条规定，国内注册（指按国家有关规定要求注册的）具有独立法人资格，生产或经营本次竞标采购货物，具备合法资格的供应商；</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2.落实政府采购政策需满足的资格要求：无</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3.本项目的特定资格要求：无</w:t>
      </w:r>
    </w:p>
    <w:p>
      <w:pPr>
        <w:widowControl/>
        <w:shd w:val="clear" w:color="auto" w:fill="FFFFFF"/>
        <w:spacing w:line="465" w:lineRule="atLeast"/>
        <w:ind w:firstLine="420"/>
        <w:jc w:val="left"/>
        <w:rPr>
          <w:rFonts w:hint="eastAsia" w:ascii="仿宋" w:hAnsi="仿宋" w:cs="宋体"/>
          <w:kern w:val="0"/>
          <w:szCs w:val="21"/>
        </w:rPr>
      </w:pPr>
      <w:r>
        <w:rPr>
          <w:rFonts w:hint="eastAsia" w:ascii="宋体" w:hAnsi="宋体" w:cs="宋体"/>
          <w:kern w:val="0"/>
          <w:sz w:val="27"/>
          <w:szCs w:val="27"/>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hd w:val="clear" w:color="auto" w:fill="FFFFFF"/>
        <w:spacing w:line="300" w:lineRule="atLeast"/>
        <w:jc w:val="left"/>
        <w:rPr>
          <w:rFonts w:ascii="黑体" w:hAnsi="黑体" w:eastAsia="黑体" w:cs="宋体"/>
          <w:kern w:val="0"/>
          <w:sz w:val="27"/>
          <w:szCs w:val="27"/>
        </w:rPr>
      </w:pPr>
      <w:r>
        <w:rPr>
          <w:rFonts w:hint="eastAsia" w:ascii="宋体" w:hAnsi="宋体" w:cs="宋体"/>
          <w:kern w:val="0"/>
          <w:sz w:val="27"/>
          <w:szCs w:val="27"/>
        </w:rPr>
        <w:t> </w:t>
      </w:r>
      <w:r>
        <w:rPr>
          <w:rFonts w:hint="eastAsia" w:ascii="宋体" w:hAnsi="宋体" w:cs="宋体"/>
          <w:b/>
          <w:bCs/>
          <w:kern w:val="0"/>
          <w:sz w:val="27"/>
        </w:rPr>
        <w:t>三、获取采购文件</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   1.时间：自竞争性谈判公告发出之时起至2020年12月11日18:00</w:t>
      </w:r>
    </w:p>
    <w:p>
      <w:pPr>
        <w:widowControl/>
        <w:shd w:val="clear" w:color="auto" w:fill="FFFFFF"/>
        <w:spacing w:line="300" w:lineRule="atLeast"/>
        <w:jc w:val="left"/>
        <w:rPr>
          <w:rFonts w:hint="eastAsia" w:ascii="仿宋" w:hAnsi="仿宋" w:cs="宋体"/>
          <w:kern w:val="0"/>
          <w:szCs w:val="21"/>
        </w:rPr>
      </w:pPr>
      <w:r>
        <w:rPr>
          <w:rFonts w:hint="eastAsia" w:ascii="宋体" w:hAnsi="宋体" w:cs="宋体"/>
          <w:kern w:val="0"/>
          <w:sz w:val="27"/>
          <w:szCs w:val="27"/>
        </w:rPr>
        <w:t>2.方式：供应商须登录政采云平台（https://www.zcygov.cn/）在线办理报名并自行下载竞争性谈判文件；未注册的供应商可在政采云平台完成注册后再进行报名再下载。如在操作过程中遇到问题或需技术支持，请致电政采云客服热线：400-881-7190。已获取竞争性谈判文件的供应商不等于符合本项目的供应商资格条件。供应商未按规定获取本项目竞争性谈判文件的，代理机构将拒绝该响应文件</w:t>
      </w:r>
    </w:p>
    <w:p>
      <w:pPr>
        <w:widowControl/>
        <w:shd w:val="clear" w:color="auto" w:fill="FFFFFF"/>
        <w:spacing w:before="255" w:after="255" w:line="450" w:lineRule="atLeast"/>
        <w:rPr>
          <w:rFonts w:ascii="黑体" w:hAnsi="黑体" w:eastAsia="黑体" w:cs="宋体"/>
          <w:kern w:val="0"/>
          <w:sz w:val="27"/>
          <w:szCs w:val="27"/>
        </w:rPr>
      </w:pPr>
      <w:r>
        <w:rPr>
          <w:rFonts w:hint="eastAsia" w:ascii="宋体" w:hAnsi="宋体" w:cs="宋体"/>
          <w:b/>
          <w:bCs/>
          <w:kern w:val="0"/>
          <w:sz w:val="27"/>
        </w:rPr>
        <w:t>四、响应文件提交</w:t>
      </w:r>
    </w:p>
    <w:p>
      <w:pPr>
        <w:widowControl/>
        <w:shd w:val="clear" w:color="auto" w:fill="FFFFFF"/>
        <w:spacing w:line="300" w:lineRule="atLeast"/>
        <w:jc w:val="left"/>
        <w:rPr>
          <w:rFonts w:hint="eastAsia" w:ascii="仿宋" w:hAnsi="仿宋" w:cs="宋体"/>
          <w:kern w:val="0"/>
          <w:sz w:val="27"/>
          <w:szCs w:val="27"/>
        </w:rPr>
      </w:pPr>
      <w:r>
        <w:rPr>
          <w:rFonts w:hint="eastAsia" w:ascii="宋体" w:hAnsi="宋体" w:cs="宋体"/>
          <w:kern w:val="0"/>
          <w:sz w:val="27"/>
          <w:szCs w:val="27"/>
        </w:rPr>
        <w:t>   1、递交响应文件截止时间（响应截止时间）：2020年12月16日15时30分</w:t>
      </w:r>
    </w:p>
    <w:p>
      <w:pPr>
        <w:widowControl/>
        <w:shd w:val="clear" w:color="auto" w:fill="FFFFFF"/>
        <w:spacing w:line="465" w:lineRule="atLeast"/>
        <w:ind w:firstLine="420"/>
        <w:jc w:val="left"/>
        <w:rPr>
          <w:rFonts w:hint="eastAsia" w:ascii="仿宋" w:hAnsi="仿宋" w:cs="宋体"/>
          <w:kern w:val="0"/>
          <w:sz w:val="27"/>
          <w:szCs w:val="27"/>
        </w:rPr>
      </w:pPr>
      <w:r>
        <w:rPr>
          <w:rFonts w:hint="eastAsia" w:ascii="宋体" w:hAnsi="宋体" w:cs="宋体"/>
          <w:kern w:val="0"/>
          <w:sz w:val="27"/>
          <w:szCs w:val="27"/>
        </w:rPr>
        <w:t>2、递交响应文件地点：玉林市公共资源交易中心（玉林市玉东新区秀水路2号玉林市政务服务中心办公楼五楼）</w:t>
      </w:r>
    </w:p>
    <w:p>
      <w:pPr>
        <w:widowControl/>
        <w:shd w:val="clear" w:color="auto" w:fill="FFFFFF"/>
        <w:spacing w:line="465" w:lineRule="atLeast"/>
        <w:ind w:firstLine="420"/>
        <w:jc w:val="left"/>
        <w:rPr>
          <w:rFonts w:hint="eastAsia" w:ascii="仿宋" w:hAnsi="仿宋" w:cs="宋体"/>
          <w:kern w:val="0"/>
          <w:sz w:val="27"/>
          <w:szCs w:val="27"/>
        </w:rPr>
      </w:pPr>
      <w:r>
        <w:rPr>
          <w:rFonts w:hint="eastAsia" w:ascii="宋体" w:hAnsi="宋体" w:cs="宋体"/>
          <w:kern w:val="0"/>
          <w:sz w:val="27"/>
          <w:szCs w:val="27"/>
        </w:rPr>
        <w:t>3、供应商的法定代表人或委托代理人必须持证件提交响应文件并签到出席截标会。</w:t>
      </w:r>
    </w:p>
    <w:p>
      <w:pPr>
        <w:widowControl/>
        <w:shd w:val="clear" w:color="auto" w:fill="FFFFFF"/>
        <w:spacing w:line="300" w:lineRule="atLeast"/>
        <w:jc w:val="left"/>
        <w:rPr>
          <w:rFonts w:hint="eastAsia" w:ascii="仿宋" w:hAnsi="仿宋" w:cs="宋体"/>
          <w:kern w:val="0"/>
          <w:sz w:val="27"/>
          <w:szCs w:val="27"/>
        </w:rPr>
      </w:pPr>
      <w:r>
        <w:rPr>
          <w:rFonts w:hint="eastAsia" w:ascii="宋体" w:hAnsi="宋体" w:cs="宋体"/>
          <w:kern w:val="0"/>
          <w:sz w:val="27"/>
          <w:szCs w:val="27"/>
        </w:rPr>
        <w:t>4、逾期送达或未按采购文件要求封装标记的响应文件，将不予受理。</w:t>
      </w:r>
    </w:p>
    <w:p>
      <w:pPr>
        <w:widowControl/>
        <w:shd w:val="clear" w:color="auto" w:fill="FFFFFF"/>
        <w:spacing w:line="300" w:lineRule="atLeast"/>
        <w:jc w:val="left"/>
        <w:rPr>
          <w:rFonts w:ascii="黑体" w:hAnsi="黑体" w:eastAsia="黑体" w:cs="宋体"/>
          <w:kern w:val="0"/>
          <w:sz w:val="27"/>
          <w:szCs w:val="27"/>
        </w:rPr>
      </w:pPr>
      <w:r>
        <w:rPr>
          <w:rFonts w:hint="eastAsia" w:ascii="宋体" w:hAnsi="宋体" w:cs="宋体"/>
          <w:kern w:val="0"/>
          <w:sz w:val="27"/>
          <w:szCs w:val="27"/>
        </w:rPr>
        <w:t> </w:t>
      </w:r>
      <w:r>
        <w:rPr>
          <w:rFonts w:hint="eastAsia" w:ascii="宋体" w:hAnsi="宋体" w:cs="宋体"/>
          <w:b/>
          <w:bCs/>
          <w:kern w:val="0"/>
          <w:sz w:val="27"/>
        </w:rPr>
        <w:t>五、响应文件开启</w:t>
      </w:r>
      <w:r>
        <w:rPr>
          <w:rFonts w:hint="eastAsia" w:ascii="宋体" w:hAnsi="宋体" w:cs="宋体"/>
          <w:kern w:val="0"/>
          <w:sz w:val="27"/>
          <w:szCs w:val="27"/>
        </w:rPr>
        <w:t> </w:t>
      </w:r>
    </w:p>
    <w:p>
      <w:pPr>
        <w:widowControl/>
        <w:shd w:val="clear" w:color="auto" w:fill="FFFFFF"/>
        <w:spacing w:line="300" w:lineRule="atLeast"/>
        <w:jc w:val="left"/>
        <w:rPr>
          <w:rFonts w:hint="eastAsia" w:ascii="仿宋" w:hAnsi="仿宋" w:cs="宋体"/>
          <w:kern w:val="0"/>
          <w:sz w:val="27"/>
          <w:szCs w:val="27"/>
        </w:rPr>
      </w:pPr>
      <w:r>
        <w:rPr>
          <w:rFonts w:hint="eastAsia" w:ascii="宋体" w:hAnsi="宋体" w:cs="宋体"/>
          <w:kern w:val="0"/>
          <w:sz w:val="27"/>
          <w:szCs w:val="27"/>
        </w:rPr>
        <w:t>    开启时间：2020年12月16日 15:30（北京时间）</w:t>
      </w:r>
    </w:p>
    <w:p>
      <w:pPr>
        <w:widowControl/>
        <w:shd w:val="clear" w:color="auto" w:fill="FFFFFF"/>
        <w:spacing w:line="300" w:lineRule="atLeast"/>
        <w:jc w:val="left"/>
        <w:rPr>
          <w:rFonts w:hint="eastAsia" w:ascii="仿宋" w:hAnsi="仿宋" w:cs="宋体"/>
          <w:kern w:val="0"/>
          <w:sz w:val="27"/>
          <w:szCs w:val="27"/>
        </w:rPr>
      </w:pPr>
      <w:r>
        <w:rPr>
          <w:rFonts w:hint="eastAsia" w:ascii="宋体" w:hAnsi="宋体" w:cs="宋体"/>
          <w:kern w:val="0"/>
          <w:sz w:val="27"/>
          <w:szCs w:val="27"/>
        </w:rPr>
        <w:t>    地点：玉林市公共资源交易中心（玉林市玉东新区秀水路2号玉林市政务服务中心办公楼五楼） </w:t>
      </w:r>
    </w:p>
    <w:p>
      <w:pPr>
        <w:widowControl/>
        <w:shd w:val="clear" w:color="auto" w:fill="FFFFFF"/>
        <w:spacing w:before="255" w:after="255" w:line="450" w:lineRule="atLeast"/>
        <w:rPr>
          <w:rFonts w:ascii="黑体" w:hAnsi="黑体" w:eastAsia="黑体" w:cs="宋体"/>
          <w:kern w:val="0"/>
          <w:sz w:val="32"/>
          <w:szCs w:val="32"/>
        </w:rPr>
      </w:pPr>
      <w:r>
        <w:rPr>
          <w:rFonts w:hint="eastAsia" w:ascii="宋体" w:hAnsi="宋体" w:cs="宋体"/>
          <w:b/>
          <w:bCs/>
          <w:kern w:val="0"/>
          <w:sz w:val="27"/>
        </w:rPr>
        <w:t>六、公告期限</w:t>
      </w:r>
      <w:r>
        <w:rPr>
          <w:rFonts w:hint="eastAsia" w:ascii="宋体" w:hAnsi="宋体" w:cs="宋体"/>
          <w:kern w:val="0"/>
          <w:sz w:val="27"/>
          <w:szCs w:val="27"/>
        </w:rPr>
        <w:t> </w:t>
      </w:r>
    </w:p>
    <w:p>
      <w:pPr>
        <w:widowControl/>
        <w:shd w:val="clear" w:color="auto" w:fill="FFFFFF"/>
        <w:jc w:val="left"/>
        <w:rPr>
          <w:rFonts w:ascii="微软雅黑" w:hAnsi="微软雅黑" w:eastAsia="微软雅黑" w:cs="宋体"/>
          <w:kern w:val="0"/>
          <w:szCs w:val="21"/>
        </w:rPr>
      </w:pPr>
      <w:r>
        <w:rPr>
          <w:rFonts w:hint="eastAsia" w:ascii="宋体" w:hAnsi="宋体" w:cs="宋体"/>
          <w:kern w:val="0"/>
          <w:sz w:val="27"/>
          <w:szCs w:val="27"/>
        </w:rPr>
        <w:t>    自本公告发布之日起3个工作日。</w:t>
      </w:r>
    </w:p>
    <w:p>
      <w:pPr>
        <w:widowControl/>
        <w:shd w:val="clear" w:color="auto" w:fill="FFFFFF"/>
        <w:spacing w:before="255" w:after="255" w:line="450" w:lineRule="atLeast"/>
        <w:rPr>
          <w:rFonts w:ascii="黑体" w:hAnsi="黑体" w:eastAsia="黑体" w:cs="宋体"/>
          <w:kern w:val="0"/>
          <w:sz w:val="27"/>
          <w:szCs w:val="27"/>
        </w:rPr>
      </w:pPr>
      <w:r>
        <w:rPr>
          <w:rFonts w:hint="eastAsia" w:ascii="宋体" w:hAnsi="宋体" w:cs="宋体"/>
          <w:b/>
          <w:bCs/>
          <w:kern w:val="0"/>
          <w:sz w:val="27"/>
        </w:rPr>
        <w:t>七、其他补充事宜</w:t>
      </w:r>
      <w:r>
        <w:rPr>
          <w:rFonts w:hint="eastAsia" w:ascii="宋体" w:hAnsi="宋体" w:cs="宋体"/>
          <w:kern w:val="0"/>
          <w:sz w:val="27"/>
          <w:szCs w:val="27"/>
        </w:rPr>
        <w:t> </w:t>
      </w:r>
    </w:p>
    <w:p>
      <w:pPr>
        <w:widowControl/>
        <w:shd w:val="clear" w:color="auto" w:fill="FFFFFF"/>
        <w:spacing w:line="360" w:lineRule="atLeast"/>
        <w:jc w:val="left"/>
        <w:rPr>
          <w:rFonts w:ascii="微软雅黑" w:hAnsi="微软雅黑" w:eastAsia="微软雅黑" w:cs="宋体"/>
          <w:kern w:val="0"/>
          <w:szCs w:val="21"/>
        </w:rPr>
      </w:pPr>
      <w:r>
        <w:rPr>
          <w:rFonts w:hint="eastAsia" w:ascii="宋体" w:hAnsi="宋体" w:cs="宋体"/>
          <w:kern w:val="0"/>
          <w:sz w:val="27"/>
          <w:szCs w:val="27"/>
        </w:rPr>
        <w:t>   1.网上查询地址：广西壮族自治区政府采购网（www.gxzfcg.gov.cn）、广西玉林市人民政府门户网站(http://www.yulin.gov.cn/)、玉林市公共资源交易平台（http://ggzy.yulin.gov.cn/）。 2.本项目需要落实的政府采购政策 （1）政府采购促进中小企业发展。 （2）政府采购促进残疾人就业政策。 （3）政府采购支持监狱企业发展。   </w:t>
      </w:r>
    </w:p>
    <w:p>
      <w:pPr>
        <w:widowControl/>
        <w:shd w:val="clear" w:color="auto" w:fill="FFFFFF"/>
        <w:spacing w:before="255" w:after="255" w:line="480" w:lineRule="atLeast"/>
        <w:rPr>
          <w:rFonts w:ascii="黑体" w:hAnsi="黑体" w:eastAsia="黑体" w:cs="宋体"/>
          <w:kern w:val="0"/>
          <w:sz w:val="32"/>
          <w:szCs w:val="32"/>
        </w:rPr>
      </w:pPr>
      <w:r>
        <w:rPr>
          <w:rFonts w:hint="eastAsia" w:ascii="宋体" w:hAnsi="宋体" w:cs="宋体"/>
          <w:b/>
          <w:bCs/>
          <w:kern w:val="0"/>
          <w:sz w:val="27"/>
        </w:rPr>
        <w:t>八、凡对本次招标提出询问，请按以下方式联系</w:t>
      </w:r>
    </w:p>
    <w:p>
      <w:pPr>
        <w:widowControl/>
        <w:shd w:val="clear" w:color="auto" w:fill="FFFFFF"/>
        <w:jc w:val="left"/>
        <w:rPr>
          <w:rFonts w:hint="eastAsia" w:ascii="仿宋" w:hAnsi="仿宋" w:cs="宋体"/>
          <w:kern w:val="0"/>
          <w:szCs w:val="21"/>
        </w:rPr>
      </w:pPr>
      <w:r>
        <w:rPr>
          <w:rFonts w:hint="eastAsia" w:ascii="宋体" w:hAnsi="宋体" w:cs="宋体"/>
          <w:kern w:val="0"/>
          <w:sz w:val="27"/>
          <w:szCs w:val="27"/>
        </w:rPr>
        <w:t>   1.采购人信息</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名 称：广西玉林技师学院</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地 址：广西玉林市玉人民东路东155号</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联系方式：0775-2633104</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联系人：甘梓坚</w:t>
      </w:r>
    </w:p>
    <w:p>
      <w:pPr>
        <w:widowControl/>
        <w:shd w:val="clear" w:color="auto" w:fill="FFFFFF"/>
        <w:spacing w:line="405" w:lineRule="atLeast"/>
        <w:ind w:firstLine="420"/>
        <w:jc w:val="left"/>
        <w:rPr>
          <w:rFonts w:hint="eastAsia" w:ascii="仿宋" w:hAnsi="仿宋" w:cs="宋体"/>
          <w:kern w:val="0"/>
          <w:szCs w:val="21"/>
        </w:rPr>
      </w:pPr>
      <w:r>
        <w:rPr>
          <w:rFonts w:hint="eastAsia" w:ascii="宋体" w:hAnsi="宋体" w:cs="宋体"/>
          <w:kern w:val="0"/>
          <w:sz w:val="27"/>
          <w:szCs w:val="27"/>
        </w:rPr>
        <w:t>2.采购代理机构信息</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名 称：广西鑫磐工程项目管理有限责任公司</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地 址：玉林市玉州区建安街30号</w:t>
      </w:r>
    </w:p>
    <w:p>
      <w:pPr>
        <w:widowControl/>
        <w:shd w:val="clear" w:color="auto" w:fill="FFFFFF"/>
        <w:spacing w:line="405" w:lineRule="atLeast"/>
        <w:ind w:firstLine="630"/>
        <w:jc w:val="left"/>
        <w:rPr>
          <w:rFonts w:hint="eastAsia" w:ascii="仿宋" w:hAnsi="仿宋" w:cs="宋体"/>
          <w:kern w:val="0"/>
          <w:szCs w:val="21"/>
        </w:rPr>
      </w:pPr>
      <w:r>
        <w:rPr>
          <w:rFonts w:hint="eastAsia" w:ascii="宋体" w:hAnsi="宋体" w:cs="宋体"/>
          <w:kern w:val="0"/>
          <w:sz w:val="27"/>
          <w:szCs w:val="27"/>
        </w:rPr>
        <w:t>联系方式：0775-2265339</w:t>
      </w:r>
    </w:p>
    <w:p>
      <w:pPr>
        <w:widowControl/>
        <w:shd w:val="clear" w:color="auto" w:fill="FFFFFF"/>
        <w:spacing w:line="405" w:lineRule="atLeast"/>
        <w:ind w:firstLine="420"/>
        <w:jc w:val="left"/>
        <w:rPr>
          <w:rFonts w:hint="eastAsia" w:ascii="仿宋" w:hAnsi="仿宋" w:eastAsia="宋体" w:cs="宋体"/>
          <w:kern w:val="0"/>
          <w:szCs w:val="21"/>
          <w:lang w:eastAsia="zh-CN"/>
        </w:rPr>
      </w:pPr>
      <w:r>
        <w:rPr>
          <w:rFonts w:hint="eastAsia" w:ascii="宋体" w:hAnsi="宋体" w:cs="宋体"/>
          <w:kern w:val="0"/>
          <w:sz w:val="27"/>
          <w:szCs w:val="27"/>
        </w:rPr>
        <w:t>联系人：陈</w:t>
      </w:r>
      <w:r>
        <w:rPr>
          <w:rFonts w:hint="eastAsia" w:ascii="宋体" w:hAnsi="宋体" w:cs="宋体"/>
          <w:kern w:val="0"/>
          <w:sz w:val="27"/>
          <w:szCs w:val="27"/>
          <w:lang w:eastAsia="zh-CN"/>
        </w:rPr>
        <w:t>玲</w:t>
      </w:r>
      <w:bookmarkStart w:id="115" w:name="_GoBack"/>
      <w:bookmarkEnd w:id="115"/>
    </w:p>
    <w:p>
      <w:pPr>
        <w:widowControl/>
        <w:shd w:val="clear" w:color="auto" w:fill="FFFFFF"/>
        <w:spacing w:before="120" w:after="120" w:line="450" w:lineRule="atLeast"/>
        <w:ind w:firstLine="420"/>
        <w:jc w:val="left"/>
        <w:rPr>
          <w:rFonts w:hint="eastAsia" w:ascii="仿宋" w:hAnsi="仿宋" w:cs="宋体"/>
          <w:kern w:val="0"/>
          <w:szCs w:val="21"/>
        </w:rPr>
      </w:pPr>
      <w:r>
        <w:rPr>
          <w:rFonts w:hint="eastAsia" w:ascii="宋体" w:hAnsi="宋体" w:cs="宋体"/>
          <w:kern w:val="0"/>
          <w:sz w:val="27"/>
          <w:szCs w:val="27"/>
        </w:rPr>
        <w:t>3.监督部门: 玉林市财政局</w:t>
      </w:r>
    </w:p>
    <w:p>
      <w:pPr>
        <w:widowControl/>
        <w:shd w:val="clear" w:color="auto" w:fill="FFFFFF"/>
        <w:spacing w:line="450" w:lineRule="atLeast"/>
        <w:ind w:firstLine="540" w:firstLineChars="200"/>
        <w:jc w:val="left"/>
        <w:rPr>
          <w:rFonts w:hint="eastAsia" w:ascii="仿宋" w:hAnsi="仿宋" w:cs="宋体"/>
          <w:kern w:val="0"/>
          <w:szCs w:val="21"/>
        </w:rPr>
      </w:pPr>
      <w:r>
        <w:rPr>
          <w:rFonts w:hint="eastAsia" w:ascii="宋体" w:hAnsi="宋体" w:cs="宋体"/>
          <w:kern w:val="0"/>
          <w:sz w:val="27"/>
          <w:szCs w:val="27"/>
        </w:rPr>
        <w:t>电话:0775-2265339</w:t>
      </w:r>
    </w:p>
    <w:p>
      <w:pPr>
        <w:widowControl/>
        <w:shd w:val="clear" w:color="auto" w:fill="FFFFFF"/>
        <w:spacing w:line="465" w:lineRule="atLeast"/>
        <w:ind w:firstLine="630"/>
        <w:jc w:val="center"/>
        <w:rPr>
          <w:rFonts w:ascii="宋体" w:hAnsi="宋体" w:cs="宋体"/>
          <w:kern w:val="0"/>
          <w:sz w:val="27"/>
          <w:szCs w:val="27"/>
        </w:rPr>
      </w:pPr>
      <w:r>
        <w:rPr>
          <w:rFonts w:hint="eastAsia" w:ascii="宋体" w:hAnsi="宋体" w:cs="宋体"/>
          <w:kern w:val="0"/>
          <w:sz w:val="27"/>
          <w:szCs w:val="27"/>
          <w:lang w:val="en-US" w:eastAsia="zh-CN"/>
        </w:rPr>
        <w:t xml:space="preserve">                      </w:t>
      </w:r>
      <w:r>
        <w:rPr>
          <w:rFonts w:hint="eastAsia" w:ascii="宋体" w:hAnsi="宋体" w:cs="宋体"/>
          <w:kern w:val="0"/>
          <w:sz w:val="27"/>
          <w:szCs w:val="27"/>
        </w:rPr>
        <w:t>广西鑫磐工程项目管理有限责任公司</w:t>
      </w:r>
    </w:p>
    <w:p>
      <w:pPr>
        <w:ind w:firstLine="5940" w:firstLineChars="2200"/>
        <w:jc w:val="left"/>
        <w:rPr>
          <w:color w:val="000000" w:themeColor="text1"/>
        </w:rPr>
      </w:pPr>
      <w:r>
        <w:rPr>
          <w:rFonts w:hint="eastAsia" w:ascii="宋体" w:hAnsi="宋体" w:cs="宋体"/>
          <w:kern w:val="0"/>
          <w:sz w:val="27"/>
          <w:szCs w:val="27"/>
        </w:rPr>
        <w:t>2020年12月08日</w:t>
      </w:r>
    </w:p>
    <w:p>
      <w:pPr>
        <w:pStyle w:val="3"/>
        <w:spacing w:beforeLines="50" w:afterLines="50" w:line="440" w:lineRule="exact"/>
        <w:jc w:val="center"/>
        <w:rPr>
          <w:rFonts w:ascii="宋体" w:hAnsi="宋体" w:cs="宋体"/>
          <w:color w:val="000000" w:themeColor="text1"/>
          <w:sz w:val="36"/>
          <w:szCs w:val="36"/>
        </w:rPr>
      </w:pPr>
      <w:bookmarkStart w:id="13" w:name="_Toc9531"/>
    </w:p>
    <w:p>
      <w:pPr>
        <w:pStyle w:val="3"/>
        <w:spacing w:beforeLines="50" w:afterLines="50" w:line="440" w:lineRule="exact"/>
        <w:jc w:val="center"/>
        <w:rPr>
          <w:rFonts w:ascii="宋体" w:hAnsi="宋体" w:cs="宋体"/>
          <w:color w:val="000000" w:themeColor="text1"/>
          <w:sz w:val="36"/>
          <w:szCs w:val="36"/>
        </w:rPr>
      </w:pPr>
    </w:p>
    <w:p>
      <w:pPr>
        <w:rPr>
          <w:rFonts w:hAnsi="宋体" w:cs="宋体"/>
          <w:b/>
          <w:color w:val="000000" w:themeColor="text1"/>
          <w:sz w:val="36"/>
          <w:szCs w:val="36"/>
        </w:rPr>
      </w:pPr>
      <w:r>
        <w:rPr>
          <w:rFonts w:ascii="宋体" w:hAnsi="宋体" w:cs="宋体"/>
          <w:color w:val="000000" w:themeColor="text1"/>
          <w:sz w:val="36"/>
          <w:szCs w:val="36"/>
        </w:rPr>
        <w:br w:type="page"/>
      </w:r>
      <w:bookmarkEnd w:id="3"/>
      <w:bookmarkEnd w:id="4"/>
      <w:bookmarkEnd w:id="5"/>
      <w:bookmarkEnd w:id="6"/>
      <w:bookmarkEnd w:id="7"/>
      <w:bookmarkEnd w:id="8"/>
      <w:bookmarkEnd w:id="12"/>
      <w:bookmarkEnd w:id="13"/>
    </w:p>
    <w:p>
      <w:pPr>
        <w:pStyle w:val="30"/>
        <w:jc w:val="both"/>
        <w:rPr>
          <w:color w:val="000000" w:themeColor="text1"/>
        </w:rPr>
      </w:pPr>
    </w:p>
    <w:p>
      <w:pPr>
        <w:pStyle w:val="30"/>
        <w:spacing w:line="480" w:lineRule="auto"/>
        <w:rPr>
          <w:b/>
          <w:color w:val="000000" w:themeColor="text1"/>
          <w:sz w:val="32"/>
        </w:rPr>
      </w:pPr>
      <w:r>
        <w:rPr>
          <w:rFonts w:hint="eastAsia"/>
          <w:b/>
          <w:color w:val="000000" w:themeColor="text1"/>
          <w:sz w:val="32"/>
        </w:rPr>
        <w:t>第二章谈判供应商须知及前附表</w:t>
      </w:r>
    </w:p>
    <w:p>
      <w:pPr>
        <w:pStyle w:val="30"/>
        <w:spacing w:line="480" w:lineRule="auto"/>
        <w:rPr>
          <w:color w:val="000000" w:themeColor="text1"/>
          <w:sz w:val="32"/>
        </w:rPr>
      </w:pPr>
      <w:bookmarkStart w:id="14" w:name="_Toc1041"/>
      <w:bookmarkStart w:id="15" w:name="_Toc475431131"/>
      <w:bookmarkStart w:id="16" w:name="_Toc342312889"/>
      <w:bookmarkStart w:id="17" w:name="_Toc21910"/>
      <w:bookmarkStart w:id="18" w:name="_Toc342313042"/>
      <w:bookmarkStart w:id="19" w:name="_Toc2956489"/>
      <w:bookmarkStart w:id="20" w:name="_Toc2956543"/>
      <w:r>
        <w:rPr>
          <w:rFonts w:hint="eastAsia"/>
          <w:color w:val="000000" w:themeColor="text1"/>
          <w:sz w:val="32"/>
        </w:rPr>
        <w:t>谈判供应商须知前附表</w:t>
      </w:r>
      <w:bookmarkEnd w:id="14"/>
      <w:bookmarkEnd w:id="15"/>
      <w:bookmarkEnd w:id="16"/>
      <w:bookmarkEnd w:id="17"/>
      <w:bookmarkEnd w:id="18"/>
      <w:bookmarkEnd w:id="19"/>
      <w:bookmarkEnd w:id="20"/>
    </w:p>
    <w:tbl>
      <w:tblPr>
        <w:tblStyle w:val="44"/>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11"/>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序号</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条款号</w:t>
            </w:r>
          </w:p>
        </w:tc>
        <w:tc>
          <w:tcPr>
            <w:tcW w:w="7904"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w:t>
            </w:r>
          </w:p>
        </w:tc>
        <w:tc>
          <w:tcPr>
            <w:tcW w:w="7904" w:type="dxa"/>
          </w:tcPr>
          <w:p>
            <w:pPr>
              <w:widowControl/>
              <w:spacing w:beforeLines="5" w:afterLines="5" w:line="440" w:lineRule="exact"/>
              <w:jc w:val="left"/>
              <w:rPr>
                <w:rFonts w:ascii="宋体" w:hAnsi="宋体" w:cs="宋体"/>
                <w:color w:val="000000" w:themeColor="text1"/>
                <w:szCs w:val="21"/>
              </w:rPr>
            </w:pPr>
            <w:r>
              <w:rPr>
                <w:rFonts w:hint="eastAsia" w:ascii="宋体" w:hAnsi="宋体" w:cs="宋体"/>
                <w:color w:val="000000" w:themeColor="text1"/>
              </w:rPr>
              <w:t>项目名称：</w:t>
            </w:r>
            <w:r>
              <w:rPr>
                <w:rFonts w:hint="eastAsia" w:ascii="宋体" w:hAnsi="宋体" w:cs="宋体"/>
                <w:color w:val="000000" w:themeColor="text1"/>
                <w:szCs w:val="21"/>
              </w:rPr>
              <w:t>物联网专业实训室设备采购</w:t>
            </w:r>
          </w:p>
          <w:p>
            <w:pPr>
              <w:pStyle w:val="24"/>
              <w:spacing w:beforeLines="5" w:afterLines="5" w:line="440" w:lineRule="exact"/>
              <w:rPr>
                <w:rFonts w:hAnsi="宋体" w:cs="宋体"/>
                <w:color w:val="000000" w:themeColor="text1"/>
                <w:kern w:val="0"/>
                <w:szCs w:val="21"/>
              </w:rPr>
            </w:pPr>
            <w:r>
              <w:rPr>
                <w:rFonts w:hint="eastAsia" w:hAnsi="宋体" w:cs="宋体"/>
                <w:color w:val="000000" w:themeColor="text1"/>
                <w:szCs w:val="21"/>
              </w:rPr>
              <w:t>项目编号：YLZC2020-J1-000805-GXXP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9"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2</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2.1</w:t>
            </w:r>
          </w:p>
        </w:tc>
        <w:tc>
          <w:tcPr>
            <w:tcW w:w="7904" w:type="dxa"/>
            <w:vAlign w:val="center"/>
          </w:tcPr>
          <w:p>
            <w:pPr>
              <w:spacing w:beforeLines="5" w:afterLines="5" w:line="440" w:lineRule="exact"/>
              <w:rPr>
                <w:rFonts w:ascii="宋体" w:hAnsi="宋体" w:cs="宋体"/>
                <w:color w:val="000000" w:themeColor="text1"/>
                <w:szCs w:val="21"/>
              </w:rPr>
            </w:pPr>
            <w:r>
              <w:rPr>
                <w:rFonts w:hint="eastAsia" w:ascii="宋体" w:hAnsi="宋体" w:cs="宋体"/>
                <w:color w:val="000000" w:themeColor="text1"/>
                <w:szCs w:val="21"/>
              </w:rPr>
              <w:t>谈判供应商资格：</w:t>
            </w:r>
          </w:p>
          <w:p>
            <w:pPr>
              <w:spacing w:line="4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1.满足《中华人民共和国政府采购法》第二十二条规定；</w:t>
            </w:r>
          </w:p>
          <w:p>
            <w:pPr>
              <w:spacing w:line="4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2.落实政府采购政策需满足的资格要求：</w:t>
            </w:r>
            <w:r>
              <w:rPr>
                <w:rFonts w:hint="eastAsia" w:ascii="宋体" w:hAnsi="宋体" w:cs="宋体"/>
                <w:color w:val="000000" w:themeColor="text1"/>
              </w:rPr>
              <w:t>无</w:t>
            </w:r>
          </w:p>
          <w:p>
            <w:pPr>
              <w:spacing w:line="46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3.本项目的特定资格要求：无</w:t>
            </w:r>
          </w:p>
          <w:p>
            <w:pPr>
              <w:spacing w:line="4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3</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10.1</w:t>
            </w: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谈判报价：谈判供应商须就《项目需求》作出完整唯一报价。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4</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13.1</w:t>
            </w: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谈判有效期：谈判截止日期起60天（日历天）。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5</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14.4</w:t>
            </w: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竞争性谈判响应文件：一份正本，三份副本，共四份。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6</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15.1</w:t>
            </w: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谈判保证金（人民币）：</w:t>
            </w:r>
            <w:r>
              <w:rPr>
                <w:rFonts w:hint="eastAsia" w:hAnsi="宋体" w:cs="宋体"/>
                <w:color w:val="000000" w:themeColor="text1"/>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7</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17</w:t>
            </w:r>
          </w:p>
        </w:tc>
        <w:tc>
          <w:tcPr>
            <w:tcW w:w="7904" w:type="dxa"/>
            <w:vAlign w:val="center"/>
          </w:tcPr>
          <w:p>
            <w:pPr>
              <w:pStyle w:val="24"/>
              <w:spacing w:beforeLines="5" w:afterLines="5" w:line="440" w:lineRule="exact"/>
              <w:rPr>
                <w:rFonts w:hAnsi="宋体" w:cs="宋体"/>
                <w:color w:val="000000" w:themeColor="text1"/>
                <w:kern w:val="0"/>
                <w:szCs w:val="21"/>
              </w:rPr>
            </w:pPr>
            <w:r>
              <w:rPr>
                <w:rFonts w:hint="eastAsia" w:hAnsi="宋体" w:cs="宋体"/>
                <w:color w:val="000000" w:themeColor="text1"/>
                <w:szCs w:val="21"/>
              </w:rPr>
              <w:t>竞争性谈判响应文件递交截止时间：2020年12月16日15时30分</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地址：玉林市公共资源交易中心（玉林市玉东新区秀水路2号玉林市政务服务中心办公楼五楼）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8</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18.1</w:t>
            </w:r>
          </w:p>
        </w:tc>
        <w:tc>
          <w:tcPr>
            <w:tcW w:w="7904" w:type="dxa"/>
            <w:vAlign w:val="center"/>
          </w:tcPr>
          <w:p>
            <w:pPr>
              <w:pStyle w:val="86"/>
              <w:spacing w:beforeLines="5" w:afterLines="5" w:line="440" w:lineRule="exact"/>
              <w:rPr>
                <w:rFonts w:hAnsi="宋体" w:cs="宋体"/>
                <w:color w:val="000000" w:themeColor="text1"/>
                <w:kern w:val="0"/>
                <w:szCs w:val="21"/>
              </w:rPr>
            </w:pPr>
            <w:r>
              <w:rPr>
                <w:rFonts w:hint="eastAsia" w:hAnsi="宋体" w:cs="宋体"/>
                <w:color w:val="000000" w:themeColor="text1"/>
                <w:szCs w:val="21"/>
              </w:rPr>
              <w:t>谈判时间：2020年12月16日1</w:t>
            </w:r>
            <w:r>
              <w:rPr>
                <w:rFonts w:hint="eastAsia" w:hAnsi="宋体" w:cs="宋体"/>
                <w:bCs/>
                <w:color w:val="000000" w:themeColor="text1"/>
                <w:szCs w:val="21"/>
              </w:rPr>
              <w:t>5时30分</w:t>
            </w:r>
            <w:r>
              <w:rPr>
                <w:rFonts w:hint="eastAsia" w:hAnsi="宋体" w:cs="宋体"/>
                <w:color w:val="000000" w:themeColor="text1"/>
                <w:szCs w:val="21"/>
              </w:rPr>
              <w:t>截标后（</w:t>
            </w:r>
            <w:r>
              <w:rPr>
                <w:rFonts w:hint="eastAsia" w:hAnsi="宋体" w:cs="宋体"/>
                <w:color w:val="000000" w:themeColor="text1"/>
                <w:kern w:val="0"/>
                <w:szCs w:val="21"/>
              </w:rPr>
              <w:t>具体时间由采购代理机构）另行通知</w:t>
            </w:r>
            <w:r>
              <w:rPr>
                <w:rFonts w:hint="eastAsia" w:hAnsi="宋体" w:cs="宋体"/>
                <w:color w:val="000000" w:themeColor="text1"/>
                <w:szCs w:val="21"/>
              </w:rPr>
              <w:t>。</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谈判地点：</w:t>
            </w:r>
            <w:r>
              <w:rPr>
                <w:rFonts w:hint="eastAsia" w:hAnsi="宋体" w:cs="宋体"/>
                <w:color w:val="000000" w:themeColor="text1"/>
                <w:kern w:val="0"/>
                <w:szCs w:val="21"/>
              </w:rPr>
              <w:t>玉林市公共资源交易中心（玉林市玉东新区秀水路2号玉林市政务服务中心办公楼五楼）</w:t>
            </w:r>
            <w:r>
              <w:rPr>
                <w:rFonts w:hint="eastAsia" w:hAnsi="宋体" w:cs="宋体"/>
                <w:color w:val="000000" w:themeColor="text1"/>
                <w:szCs w:val="21"/>
              </w:rPr>
              <w:t>，参加谈判的法定代表人（负责人）或委托代理人必须</w:t>
            </w:r>
            <w:r>
              <w:rPr>
                <w:rFonts w:hint="eastAsia" w:hAnsi="宋体" w:cs="宋体"/>
                <w:color w:val="000000" w:themeColor="text1"/>
                <w:kern w:val="0"/>
                <w:szCs w:val="21"/>
              </w:rPr>
              <w:t>持有效证件[法定代表人(负责人)凭身份证</w:t>
            </w:r>
            <w:r>
              <w:rPr>
                <w:rFonts w:hint="eastAsia" w:hAnsi="宋体" w:cs="宋体"/>
                <w:color w:val="000000" w:themeColor="text1"/>
                <w:szCs w:val="21"/>
              </w:rPr>
              <w:t>原件</w:t>
            </w:r>
            <w:r>
              <w:rPr>
                <w:rFonts w:hint="eastAsia" w:hAnsi="宋体" w:cs="宋体"/>
                <w:color w:val="000000" w:themeColor="text1"/>
                <w:kern w:val="0"/>
                <w:szCs w:val="21"/>
              </w:rPr>
              <w:t>及营业执照副本复印件或委托代理人凭</w:t>
            </w:r>
            <w:r>
              <w:rPr>
                <w:rFonts w:hint="eastAsia" w:hAnsi="宋体" w:cs="宋体"/>
                <w:color w:val="000000" w:themeColor="text1"/>
                <w:szCs w:val="21"/>
              </w:rPr>
              <w:t>身份证原件、</w:t>
            </w:r>
            <w:r>
              <w:rPr>
                <w:rFonts w:hint="eastAsia" w:hAnsi="宋体" w:cs="宋体"/>
                <w:color w:val="000000" w:themeColor="text1"/>
                <w:kern w:val="0"/>
                <w:szCs w:val="21"/>
              </w:rPr>
              <w:t>营业执照副本复印件</w:t>
            </w:r>
            <w:r>
              <w:rPr>
                <w:rFonts w:hint="eastAsia" w:hAnsi="宋体" w:cs="宋体"/>
                <w:color w:val="000000" w:themeColor="text1"/>
                <w:szCs w:val="21"/>
              </w:rPr>
              <w:t>和授权委托书原件</w:t>
            </w:r>
            <w:r>
              <w:rPr>
                <w:rFonts w:hint="eastAsia" w:hAnsi="宋体" w:cs="宋体"/>
                <w:color w:val="000000" w:themeColor="text1"/>
                <w:kern w:val="0"/>
                <w:szCs w:val="21"/>
              </w:rPr>
              <w:t>]</w:t>
            </w:r>
            <w:r>
              <w:rPr>
                <w:rFonts w:hint="eastAsia" w:hAnsi="宋体" w:cs="宋体"/>
                <w:color w:val="000000" w:themeColor="text1"/>
                <w:szCs w:val="21"/>
              </w:rPr>
              <w:t xml:space="preserve">依时到达指定地点等候当面谈判。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9</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25</w:t>
            </w: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 xml:space="preserve">成交评审办法: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10</w:t>
            </w:r>
          </w:p>
        </w:tc>
        <w:tc>
          <w:tcPr>
            <w:tcW w:w="1011"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33</w:t>
            </w:r>
          </w:p>
        </w:tc>
        <w:tc>
          <w:tcPr>
            <w:tcW w:w="7904" w:type="dxa"/>
            <w:vAlign w:val="center"/>
          </w:tcPr>
          <w:p>
            <w:pPr>
              <w:pStyle w:val="24"/>
              <w:snapToGrid w:val="0"/>
              <w:spacing w:beforeLines="5" w:afterLines="5" w:line="440" w:lineRule="exact"/>
              <w:outlineLvl w:val="1"/>
              <w:rPr>
                <w:rFonts w:hAnsi="宋体" w:cs="宋体"/>
                <w:color w:val="000000" w:themeColor="text1"/>
                <w:szCs w:val="21"/>
              </w:rPr>
            </w:pPr>
            <w:bookmarkStart w:id="21" w:name="_Toc475431132"/>
            <w:bookmarkStart w:id="22" w:name="_Toc2956490"/>
            <w:bookmarkStart w:id="23" w:name="_Toc2956544"/>
            <w:bookmarkStart w:id="24" w:name="_Toc32147"/>
            <w:bookmarkStart w:id="25" w:name="_Toc28063"/>
            <w:r>
              <w:rPr>
                <w:rFonts w:hint="eastAsia" w:hAnsi="宋体" w:cs="宋体"/>
                <w:color w:val="000000" w:themeColor="text1"/>
                <w:szCs w:val="21"/>
              </w:rPr>
              <w:t>成交服务费：本项目成交服务费经双方商定按成交总金额的</w:t>
            </w:r>
            <w:r>
              <w:rPr>
                <w:rFonts w:hint="eastAsia" w:hAnsi="宋体" w:cs="宋体"/>
                <w:color w:val="000000" w:themeColor="text1"/>
                <w:szCs w:val="21"/>
                <w:u w:val="single"/>
              </w:rPr>
              <w:t>1.5%</w:t>
            </w:r>
            <w:r>
              <w:rPr>
                <w:rFonts w:hint="eastAsia" w:hAnsi="宋体" w:cs="宋体"/>
                <w:color w:val="000000" w:themeColor="text1"/>
                <w:szCs w:val="21"/>
              </w:rPr>
              <w:t>向成交供应商收取。</w:t>
            </w:r>
            <w:bookmarkEnd w:id="21"/>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11</w:t>
            </w:r>
          </w:p>
        </w:tc>
        <w:tc>
          <w:tcPr>
            <w:tcW w:w="1011" w:type="dxa"/>
            <w:vAlign w:val="center"/>
          </w:tcPr>
          <w:p>
            <w:pPr>
              <w:pStyle w:val="86"/>
              <w:spacing w:beforeLines="5" w:afterLines="5" w:line="440" w:lineRule="exact"/>
              <w:jc w:val="center"/>
              <w:rPr>
                <w:rFonts w:hAnsi="宋体" w:cs="宋体"/>
                <w:color w:val="000000" w:themeColor="text1"/>
                <w:szCs w:val="21"/>
              </w:rPr>
            </w:pPr>
          </w:p>
        </w:tc>
        <w:tc>
          <w:tcPr>
            <w:tcW w:w="7904" w:type="dxa"/>
            <w:vAlign w:val="center"/>
          </w:tcPr>
          <w:p>
            <w:pPr>
              <w:autoSpaceDE w:val="0"/>
              <w:autoSpaceDN w:val="0"/>
              <w:snapToGrid w:val="0"/>
              <w:spacing w:line="350" w:lineRule="atLeast"/>
              <w:textAlignment w:val="bottom"/>
              <w:rPr>
                <w:rFonts w:ascii="宋体" w:hAnsi="宋体" w:cs="宋体"/>
                <w:color w:val="000000" w:themeColor="text1"/>
                <w:szCs w:val="21"/>
              </w:rPr>
            </w:pPr>
            <w:r>
              <w:rPr>
                <w:rFonts w:hint="eastAsia" w:ascii="宋体" w:hAnsi="宋体" w:cs="宋体"/>
                <w:color w:val="000000" w:themeColor="text1"/>
                <w:szCs w:val="21"/>
              </w:rPr>
              <w:t>采购人或采购代理机构在对供应商资格审查时进行信用查询：</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000000" w:themeColor="text1"/>
                <w:szCs w:val="21"/>
                <w:u w:val="none"/>
              </w:rPr>
              <w:t>www.ccgp.gov.cn</w:t>
            </w:r>
            <w:r>
              <w:rPr>
                <w:rStyle w:val="54"/>
                <w:rFonts w:hint="eastAsia" w:ascii="宋体" w:hAnsi="宋体" w:cs="宋体"/>
                <w:color w:val="000000" w:themeColor="text1"/>
                <w:szCs w:val="21"/>
                <w:u w:val="none"/>
              </w:rPr>
              <w:fldChar w:fldCharType="end"/>
            </w:r>
            <w:r>
              <w:rPr>
                <w:rFonts w:hint="eastAsia" w:ascii="宋体" w:hAnsi="宋体" w:cs="宋体"/>
                <w:color w:val="000000" w:themeColor="text1"/>
                <w:szCs w:val="21"/>
              </w:rPr>
              <w:t>)等；</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查询起止时间：</w:t>
            </w:r>
            <w:r>
              <w:rPr>
                <w:rFonts w:hint="eastAsia" w:ascii="宋体" w:hAnsi="宋体" w:cs="宋体"/>
                <w:color w:val="000000" w:themeColor="text1"/>
              </w:rPr>
              <w:t>自谈判公告发布之日起至响应文件递交截止时间</w:t>
            </w:r>
          </w:p>
          <w:p>
            <w:pPr>
              <w:spacing w:line="400" w:lineRule="exact"/>
              <w:ind w:firstLine="420" w:firstLineChars="200"/>
              <w:rPr>
                <w:rFonts w:ascii="宋体" w:hAnsi="宋体" w:cs="宋体"/>
                <w:b/>
                <w:color w:val="000000" w:themeColor="text1"/>
                <w:szCs w:val="21"/>
              </w:rPr>
            </w:pPr>
            <w:r>
              <w:rPr>
                <w:rFonts w:hint="eastAsia" w:ascii="宋体" w:hAnsi="宋体" w:cs="宋体"/>
                <w:color w:val="000000" w:themeColor="text1"/>
                <w:szCs w:val="21"/>
              </w:rPr>
              <w:t>查询记录和证据留存方式：在查询网站中直接打印查询记录，打印材料作为评审资料保存。</w:t>
            </w:r>
          </w:p>
          <w:p>
            <w:pPr>
              <w:pStyle w:val="86"/>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12</w:t>
            </w:r>
          </w:p>
        </w:tc>
        <w:tc>
          <w:tcPr>
            <w:tcW w:w="1011" w:type="dxa"/>
            <w:vAlign w:val="center"/>
          </w:tcPr>
          <w:p>
            <w:pPr>
              <w:pStyle w:val="86"/>
              <w:spacing w:beforeLines="5" w:afterLines="5" w:line="440" w:lineRule="exact"/>
              <w:jc w:val="center"/>
              <w:rPr>
                <w:rFonts w:hAnsi="宋体" w:cs="宋体"/>
                <w:color w:val="000000" w:themeColor="text1"/>
                <w:szCs w:val="21"/>
              </w:rPr>
            </w:pPr>
          </w:p>
        </w:tc>
        <w:tc>
          <w:tcPr>
            <w:tcW w:w="7904" w:type="dxa"/>
            <w:vAlign w:val="center"/>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Style w:val="86"/>
              <w:spacing w:beforeLines="5" w:afterLines="5" w:line="440" w:lineRule="exact"/>
              <w:rPr>
                <w:rFonts w:hAnsi="宋体" w:cs="宋体"/>
                <w:color w:val="000000" w:themeColor="text1"/>
                <w:szCs w:val="21"/>
              </w:rPr>
            </w:pPr>
            <w:r>
              <w:rPr>
                <w:rFonts w:hint="eastAsia" w:hAnsi="宋体" w:cs="宋体"/>
                <w:color w:val="000000" w:themeColor="text1"/>
                <w:szCs w:val="21"/>
              </w:rPr>
              <w:t>2、本文件中描述供应商的“签字”是指供应商的法定代表人或被授权人亲自在文件规定签署处亲笔写上个人的名字的行为，私章、签字章、印鉴、影印等其它形式均不能代替亲笔签字。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56" w:type="dxa"/>
            <w:vAlign w:val="center"/>
          </w:tcPr>
          <w:p>
            <w:pPr>
              <w:pStyle w:val="86"/>
              <w:spacing w:beforeLines="5" w:afterLines="5" w:line="440" w:lineRule="exact"/>
              <w:jc w:val="center"/>
              <w:rPr>
                <w:rFonts w:hAnsi="宋体" w:cs="宋体"/>
                <w:color w:val="000000" w:themeColor="text1"/>
                <w:szCs w:val="21"/>
              </w:rPr>
            </w:pPr>
            <w:r>
              <w:rPr>
                <w:rFonts w:hint="eastAsia" w:hAnsi="宋体" w:cs="宋体"/>
                <w:color w:val="000000" w:themeColor="text1"/>
                <w:szCs w:val="21"/>
              </w:rPr>
              <w:t>13</w:t>
            </w:r>
          </w:p>
        </w:tc>
        <w:tc>
          <w:tcPr>
            <w:tcW w:w="1011" w:type="dxa"/>
            <w:vAlign w:val="center"/>
          </w:tcPr>
          <w:p>
            <w:pPr>
              <w:pStyle w:val="86"/>
              <w:spacing w:beforeLines="5" w:afterLines="5" w:line="440" w:lineRule="exact"/>
              <w:jc w:val="center"/>
              <w:rPr>
                <w:rFonts w:hAnsi="宋体" w:cs="宋体"/>
                <w:color w:val="000000" w:themeColor="text1"/>
                <w:szCs w:val="21"/>
              </w:rPr>
            </w:pPr>
          </w:p>
        </w:tc>
        <w:tc>
          <w:tcPr>
            <w:tcW w:w="7904" w:type="dxa"/>
            <w:vAlign w:val="center"/>
          </w:tcPr>
          <w:p>
            <w:pPr>
              <w:pStyle w:val="86"/>
              <w:spacing w:beforeLines="5" w:afterLines="5" w:line="440" w:lineRule="exact"/>
              <w:rPr>
                <w:rFonts w:hAnsi="宋体" w:cs="宋体"/>
                <w:color w:val="000000" w:themeColor="text1"/>
                <w:szCs w:val="21"/>
              </w:rPr>
            </w:pPr>
            <w:r>
              <w:rPr>
                <w:rFonts w:hint="eastAsia" w:hAnsi="宋体" w:cs="宋体"/>
                <w:color w:val="000000" w:themeColor="text1"/>
              </w:rPr>
              <w:t>本采购文件中要求“原件备查”的材料，谈判供应商必须于开标当天携带好原件，若谈判小组通知原件核查，需在1小时内提供，否则按此项材料无效处理。若发现谈判供应商提供虚假材料应标，作无效响应处理，并向财政监管部门汇报。</w:t>
            </w:r>
          </w:p>
        </w:tc>
      </w:tr>
    </w:tbl>
    <w:p>
      <w:pPr>
        <w:pStyle w:val="4"/>
        <w:spacing w:beforeLines="50" w:afterLines="50" w:line="440" w:lineRule="exact"/>
        <w:jc w:val="center"/>
        <w:rPr>
          <w:rFonts w:ascii="宋体" w:hAnsi="宋体" w:eastAsia="宋体" w:cs="宋体"/>
          <w:color w:val="000000" w:themeColor="text1"/>
          <w:spacing w:val="40"/>
        </w:rPr>
      </w:pPr>
      <w:r>
        <w:rPr>
          <w:rFonts w:hint="eastAsia" w:ascii="宋体" w:hAnsi="宋体" w:eastAsia="宋体" w:cs="宋体"/>
          <w:color w:val="000000" w:themeColor="text1"/>
        </w:rPr>
        <w:br w:type="page"/>
      </w:r>
      <w:bookmarkStart w:id="26" w:name="_Toc342312890"/>
      <w:bookmarkStart w:id="27" w:name="_Toc2079"/>
      <w:bookmarkStart w:id="28" w:name="_Toc19047"/>
      <w:bookmarkStart w:id="29" w:name="_Toc312878809"/>
      <w:bookmarkStart w:id="30" w:name="_Toc2956491"/>
      <w:bookmarkStart w:id="31" w:name="_Toc181594901"/>
      <w:bookmarkStart w:id="32" w:name="_Toc475431133"/>
      <w:bookmarkStart w:id="33" w:name="_Toc342313043"/>
      <w:bookmarkStart w:id="34" w:name="_Toc181594749"/>
      <w:bookmarkStart w:id="35" w:name="_Toc2956545"/>
      <w:r>
        <w:rPr>
          <w:rFonts w:hint="eastAsia" w:ascii="宋体" w:hAnsi="宋体" w:eastAsia="宋体" w:cs="宋体"/>
          <w:color w:val="000000" w:themeColor="text1"/>
          <w:spacing w:val="40"/>
        </w:rPr>
        <w:t>谈判供应商须知</w:t>
      </w:r>
      <w:bookmarkEnd w:id="26"/>
      <w:bookmarkEnd w:id="27"/>
      <w:bookmarkEnd w:id="28"/>
      <w:bookmarkEnd w:id="29"/>
      <w:bookmarkEnd w:id="30"/>
      <w:bookmarkEnd w:id="31"/>
      <w:bookmarkEnd w:id="32"/>
      <w:bookmarkEnd w:id="33"/>
      <w:bookmarkEnd w:id="34"/>
      <w:bookmarkEnd w:id="35"/>
      <w:bookmarkStart w:id="36" w:name="_Toc312878810"/>
      <w:bookmarkStart w:id="37" w:name="_Toc181594902"/>
      <w:bookmarkStart w:id="38" w:name="_Toc181594750"/>
      <w:bookmarkStart w:id="39" w:name="_Toc342313044"/>
    </w:p>
    <w:p>
      <w:pPr>
        <w:pStyle w:val="5"/>
        <w:spacing w:beforeLines="50" w:afterLines="50" w:line="440" w:lineRule="exact"/>
        <w:jc w:val="center"/>
        <w:rPr>
          <w:rFonts w:ascii="宋体" w:hAnsi="宋体" w:cs="宋体"/>
          <w:color w:val="000000" w:themeColor="text1"/>
        </w:rPr>
      </w:pPr>
      <w:bookmarkStart w:id="40" w:name="_Toc2956546"/>
      <w:bookmarkStart w:id="41" w:name="_Toc6120"/>
      <w:bookmarkStart w:id="42" w:name="_Toc2956492"/>
      <w:r>
        <w:rPr>
          <w:rFonts w:hint="eastAsia" w:ascii="宋体" w:hAnsi="宋体" w:cs="宋体"/>
          <w:color w:val="000000" w:themeColor="text1"/>
        </w:rPr>
        <w:t>一 、总  则</w:t>
      </w:r>
      <w:bookmarkEnd w:id="36"/>
      <w:bookmarkEnd w:id="37"/>
      <w:bookmarkEnd w:id="38"/>
      <w:bookmarkEnd w:id="39"/>
      <w:bookmarkEnd w:id="40"/>
      <w:bookmarkEnd w:id="41"/>
      <w:bookmarkEnd w:id="42"/>
    </w:p>
    <w:p>
      <w:pPr>
        <w:widowControl/>
        <w:spacing w:beforeLines="5" w:afterLines="5" w:line="440" w:lineRule="exact"/>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b/>
          <w:color w:val="000000" w:themeColor="text1"/>
          <w:szCs w:val="21"/>
        </w:rPr>
        <w:t>.项目名称：</w:t>
      </w:r>
      <w:r>
        <w:rPr>
          <w:rFonts w:hint="eastAsia" w:ascii="宋体" w:hAnsi="宋体" w:cs="宋体"/>
          <w:color w:val="000000" w:themeColor="text1"/>
          <w:szCs w:val="21"/>
        </w:rPr>
        <w:t>物联网专业实训室设备采购</w:t>
      </w:r>
    </w:p>
    <w:p>
      <w:pPr>
        <w:spacing w:beforeLines="5" w:afterLines="5" w:line="440" w:lineRule="exact"/>
        <w:ind w:firstLine="211" w:firstLineChars="100"/>
        <w:jc w:val="left"/>
        <w:rPr>
          <w:rFonts w:ascii="宋体" w:hAnsi="宋体" w:cs="宋体"/>
          <w:color w:val="000000" w:themeColor="text1"/>
          <w:kern w:val="0"/>
          <w:szCs w:val="21"/>
        </w:rPr>
      </w:pPr>
      <w:r>
        <w:rPr>
          <w:rFonts w:hint="eastAsia" w:ascii="宋体" w:hAnsi="宋体" w:cs="宋体"/>
          <w:b/>
          <w:color w:val="000000" w:themeColor="text1"/>
          <w:szCs w:val="21"/>
        </w:rPr>
        <w:t>项目编号</w:t>
      </w:r>
      <w:r>
        <w:rPr>
          <w:rFonts w:hint="eastAsia" w:ascii="宋体" w:hAnsi="宋体" w:cs="宋体"/>
          <w:color w:val="000000" w:themeColor="text1"/>
          <w:szCs w:val="21"/>
        </w:rPr>
        <w:t>：YLZC2020-J1-000805-GXXP</w:t>
      </w:r>
    </w:p>
    <w:p>
      <w:pPr>
        <w:spacing w:beforeLines="5" w:afterLines="5" w:line="440" w:lineRule="exact"/>
        <w:jc w:val="left"/>
        <w:rPr>
          <w:rFonts w:ascii="宋体" w:hAnsi="宋体" w:cs="宋体"/>
          <w:color w:val="000000" w:themeColor="text1"/>
          <w:szCs w:val="21"/>
        </w:rPr>
      </w:pPr>
      <w:r>
        <w:rPr>
          <w:rFonts w:hint="eastAsia" w:ascii="宋体" w:hAnsi="宋体" w:cs="宋体"/>
          <w:color w:val="000000" w:themeColor="text1"/>
          <w:szCs w:val="21"/>
        </w:rPr>
        <w:t xml:space="preserve">2. </w:t>
      </w:r>
      <w:r>
        <w:rPr>
          <w:rFonts w:hint="eastAsia" w:ascii="宋体" w:hAnsi="宋体" w:cs="宋体"/>
          <w:b/>
          <w:color w:val="000000" w:themeColor="text1"/>
          <w:szCs w:val="21"/>
        </w:rPr>
        <w:t>谈判供应商资格</w:t>
      </w:r>
      <w:r>
        <w:rPr>
          <w:rFonts w:hint="eastAsia" w:ascii="宋体" w:hAnsi="宋体" w:cs="宋体"/>
          <w:color w:val="000000" w:themeColor="text1"/>
          <w:szCs w:val="21"/>
        </w:rPr>
        <w:t>：</w:t>
      </w:r>
    </w:p>
    <w:p>
      <w:pPr>
        <w:snapToGrid w:val="0"/>
        <w:spacing w:beforeLines="5" w:afterLines="5" w:line="440" w:lineRule="exact"/>
        <w:rPr>
          <w:rFonts w:ascii="宋体" w:hAnsi="宋体" w:cs="宋体"/>
          <w:color w:val="000000" w:themeColor="text1"/>
          <w:szCs w:val="21"/>
        </w:rPr>
      </w:pPr>
      <w:r>
        <w:rPr>
          <w:rFonts w:hint="eastAsia" w:ascii="宋体" w:hAnsi="宋体" w:cs="宋体"/>
          <w:color w:val="000000" w:themeColor="text1"/>
          <w:szCs w:val="21"/>
        </w:rPr>
        <w:t>2.1  参加本项目的谈判供应商必须满足本须知前附表第2项要求的资格；</w:t>
      </w:r>
    </w:p>
    <w:p>
      <w:pPr>
        <w:spacing w:beforeLines="5" w:afterLines="5" w:line="440" w:lineRule="exact"/>
        <w:rPr>
          <w:rFonts w:ascii="宋体" w:hAnsi="宋体" w:cs="宋体"/>
          <w:color w:val="000000" w:themeColor="text1"/>
          <w:szCs w:val="21"/>
        </w:rPr>
      </w:pPr>
      <w:r>
        <w:rPr>
          <w:rFonts w:hint="eastAsia" w:ascii="宋体" w:hAnsi="宋体" w:cs="宋体"/>
          <w:color w:val="000000" w:themeColor="text1"/>
          <w:szCs w:val="21"/>
        </w:rPr>
        <w:t>2.2  符合谈判供应商资格的谈判供应商应承担谈判及履约中应承担的全部责任与义务。</w:t>
      </w:r>
    </w:p>
    <w:p>
      <w:pPr>
        <w:pStyle w:val="24"/>
        <w:spacing w:beforeLines="5" w:afterLines="5" w:line="440" w:lineRule="exact"/>
        <w:rPr>
          <w:rFonts w:hAnsi="宋体" w:cs="宋体"/>
          <w:b/>
          <w:color w:val="000000" w:themeColor="text1"/>
          <w:szCs w:val="21"/>
        </w:rPr>
      </w:pPr>
      <w:r>
        <w:rPr>
          <w:rFonts w:hint="eastAsia" w:hAnsi="宋体" w:cs="宋体"/>
          <w:b/>
          <w:color w:val="000000" w:themeColor="text1"/>
          <w:szCs w:val="21"/>
        </w:rPr>
        <w:t>3.  谈判费用：</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3.1 谈判供应商应自行承担所有与本次谈判有关的全部费用。</w:t>
      </w:r>
    </w:p>
    <w:p>
      <w:pPr>
        <w:pStyle w:val="5"/>
        <w:spacing w:beforeLines="100" w:afterLines="100" w:line="440" w:lineRule="exact"/>
        <w:jc w:val="center"/>
        <w:rPr>
          <w:rFonts w:ascii="宋体" w:hAnsi="宋体" w:cs="宋体"/>
          <w:color w:val="000000" w:themeColor="text1"/>
        </w:rPr>
      </w:pPr>
      <w:bookmarkStart w:id="43" w:name="_Toc181594751"/>
      <w:bookmarkStart w:id="44" w:name="_Toc312878811"/>
      <w:bookmarkStart w:id="45" w:name="_Toc30069"/>
      <w:bookmarkStart w:id="46" w:name="_Toc181594903"/>
      <w:bookmarkStart w:id="47" w:name="_Toc2956493"/>
      <w:bookmarkStart w:id="48" w:name="_Toc2956547"/>
      <w:bookmarkStart w:id="49" w:name="_Toc342313045"/>
      <w:r>
        <w:rPr>
          <w:rFonts w:hint="eastAsia" w:ascii="宋体" w:hAnsi="宋体" w:cs="宋体"/>
          <w:color w:val="000000" w:themeColor="text1"/>
        </w:rPr>
        <w:t>二 、竞争性谈判文件（简称采购文件）</w:t>
      </w:r>
      <w:bookmarkEnd w:id="43"/>
      <w:bookmarkEnd w:id="44"/>
      <w:bookmarkEnd w:id="45"/>
      <w:bookmarkEnd w:id="46"/>
      <w:bookmarkEnd w:id="47"/>
      <w:bookmarkEnd w:id="48"/>
      <w:bookmarkEnd w:id="49"/>
    </w:p>
    <w:p>
      <w:pPr>
        <w:pStyle w:val="24"/>
        <w:spacing w:beforeLines="5" w:afterLines="5" w:line="440" w:lineRule="exact"/>
        <w:rPr>
          <w:rFonts w:hAnsi="宋体" w:cs="宋体"/>
          <w:b/>
          <w:color w:val="000000" w:themeColor="text1"/>
          <w:szCs w:val="21"/>
        </w:rPr>
      </w:pPr>
      <w:r>
        <w:rPr>
          <w:rFonts w:hint="eastAsia" w:hAnsi="宋体" w:cs="宋体"/>
          <w:b/>
          <w:color w:val="000000" w:themeColor="text1"/>
          <w:szCs w:val="21"/>
        </w:rPr>
        <w:t>4.   采购文件的构成</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4.1  采购文件包括：</w:t>
      </w:r>
    </w:p>
    <w:p>
      <w:pPr>
        <w:pStyle w:val="24"/>
        <w:spacing w:beforeLines="5" w:afterLines="5" w:line="440" w:lineRule="exact"/>
        <w:ind w:firstLine="621" w:firstLineChars="296"/>
        <w:rPr>
          <w:rFonts w:hAnsi="宋体" w:cs="宋体"/>
          <w:color w:val="000000" w:themeColor="text1"/>
          <w:szCs w:val="21"/>
        </w:rPr>
      </w:pPr>
      <w:r>
        <w:rPr>
          <w:rFonts w:hint="eastAsia" w:hAnsi="宋体" w:cs="宋体"/>
          <w:color w:val="000000" w:themeColor="text1"/>
          <w:szCs w:val="21"/>
        </w:rPr>
        <w:t>⑴竞争性谈判公告；</w:t>
      </w:r>
    </w:p>
    <w:p>
      <w:pPr>
        <w:pStyle w:val="24"/>
        <w:spacing w:beforeLines="5" w:afterLines="5" w:line="440" w:lineRule="exact"/>
        <w:ind w:firstLine="621" w:firstLineChars="296"/>
        <w:rPr>
          <w:rFonts w:hAnsi="宋体" w:cs="宋体"/>
          <w:color w:val="000000" w:themeColor="text1"/>
          <w:szCs w:val="21"/>
        </w:rPr>
      </w:pPr>
      <w:r>
        <w:rPr>
          <w:rFonts w:hint="eastAsia" w:hAnsi="宋体" w:cs="宋体"/>
          <w:color w:val="000000" w:themeColor="text1"/>
          <w:szCs w:val="21"/>
        </w:rPr>
        <w:t>⑵谈判供应商须知及前附表；</w:t>
      </w:r>
    </w:p>
    <w:p>
      <w:pPr>
        <w:pStyle w:val="24"/>
        <w:spacing w:beforeLines="5" w:afterLines="5" w:line="440" w:lineRule="exact"/>
        <w:ind w:firstLine="621" w:firstLineChars="296"/>
        <w:rPr>
          <w:rFonts w:hAnsi="宋体" w:cs="宋体"/>
          <w:color w:val="000000" w:themeColor="text1"/>
          <w:szCs w:val="21"/>
        </w:rPr>
      </w:pPr>
      <w:r>
        <w:rPr>
          <w:rFonts w:hint="eastAsia" w:hAnsi="宋体" w:cs="宋体"/>
          <w:color w:val="000000" w:themeColor="text1"/>
          <w:szCs w:val="21"/>
        </w:rPr>
        <w:t>⑶项目需求；</w:t>
      </w:r>
    </w:p>
    <w:p>
      <w:pPr>
        <w:pStyle w:val="24"/>
        <w:spacing w:beforeLines="5" w:afterLines="5" w:line="440" w:lineRule="exact"/>
        <w:ind w:firstLine="525" w:firstLineChars="250"/>
        <w:rPr>
          <w:rFonts w:hAnsi="宋体" w:cs="宋体"/>
          <w:color w:val="000000" w:themeColor="text1"/>
          <w:szCs w:val="21"/>
        </w:rPr>
      </w:pPr>
      <w:r>
        <w:rPr>
          <w:rFonts w:hint="eastAsia" w:hAnsi="宋体" w:cs="宋体"/>
          <w:color w:val="000000" w:themeColor="text1"/>
          <w:szCs w:val="21"/>
        </w:rPr>
        <w:fldChar w:fldCharType="begin"/>
      </w:r>
      <w:r>
        <w:rPr>
          <w:rFonts w:hint="eastAsia" w:hAnsi="宋体" w:cs="宋体"/>
          <w:color w:val="000000" w:themeColor="text1"/>
          <w:szCs w:val="21"/>
        </w:rPr>
        <w:instrText xml:space="preserve"> = 4 \* GB2 </w:instrText>
      </w:r>
      <w:r>
        <w:rPr>
          <w:rFonts w:hint="eastAsia" w:hAnsi="宋体" w:cs="宋体"/>
          <w:color w:val="000000" w:themeColor="text1"/>
          <w:szCs w:val="21"/>
        </w:rPr>
        <w:fldChar w:fldCharType="separate"/>
      </w:r>
      <w:r>
        <w:rPr>
          <w:rFonts w:hint="eastAsia" w:hAnsi="宋体" w:cs="宋体"/>
          <w:color w:val="000000" w:themeColor="text1"/>
          <w:szCs w:val="21"/>
        </w:rPr>
        <w:t>⑷</w:t>
      </w:r>
      <w:r>
        <w:rPr>
          <w:rFonts w:hint="eastAsia" w:hAnsi="宋体" w:cs="宋体"/>
          <w:color w:val="000000" w:themeColor="text1"/>
          <w:szCs w:val="21"/>
        </w:rPr>
        <w:fldChar w:fldCharType="end"/>
      </w:r>
      <w:r>
        <w:rPr>
          <w:rFonts w:hint="eastAsia" w:hAnsi="宋体" w:cs="宋体"/>
          <w:color w:val="000000" w:themeColor="text1"/>
          <w:szCs w:val="21"/>
        </w:rPr>
        <w:t>评标办法；</w:t>
      </w:r>
    </w:p>
    <w:p>
      <w:pPr>
        <w:pStyle w:val="24"/>
        <w:spacing w:beforeLines="5" w:afterLines="5" w:line="440" w:lineRule="exact"/>
        <w:ind w:firstLine="621" w:firstLineChars="296"/>
        <w:rPr>
          <w:rFonts w:hAnsi="宋体" w:cs="宋体"/>
          <w:color w:val="000000" w:themeColor="text1"/>
          <w:szCs w:val="21"/>
        </w:rPr>
      </w:pPr>
      <w:r>
        <w:rPr>
          <w:rFonts w:hint="eastAsia" w:hAnsi="宋体" w:cs="宋体"/>
          <w:color w:val="000000" w:themeColor="text1"/>
          <w:szCs w:val="21"/>
        </w:rPr>
        <w:fldChar w:fldCharType="begin"/>
      </w:r>
      <w:r>
        <w:rPr>
          <w:rFonts w:hint="eastAsia" w:hAnsi="宋体" w:cs="宋体"/>
          <w:color w:val="000000" w:themeColor="text1"/>
          <w:szCs w:val="21"/>
        </w:rPr>
        <w:instrText xml:space="preserve"> = 5 \* GB2 </w:instrText>
      </w:r>
      <w:r>
        <w:rPr>
          <w:rFonts w:hint="eastAsia" w:hAnsi="宋体" w:cs="宋体"/>
          <w:color w:val="000000" w:themeColor="text1"/>
          <w:szCs w:val="21"/>
        </w:rPr>
        <w:fldChar w:fldCharType="separate"/>
      </w:r>
      <w:r>
        <w:rPr>
          <w:rFonts w:hint="eastAsia" w:hAnsi="宋体" w:cs="宋体"/>
          <w:color w:val="000000" w:themeColor="text1"/>
          <w:szCs w:val="21"/>
        </w:rPr>
        <w:t>⑸</w:t>
      </w:r>
      <w:r>
        <w:rPr>
          <w:rFonts w:hint="eastAsia" w:hAnsi="宋体" w:cs="宋体"/>
          <w:color w:val="000000" w:themeColor="text1"/>
          <w:szCs w:val="21"/>
        </w:rPr>
        <w:fldChar w:fldCharType="end"/>
      </w:r>
      <w:r>
        <w:rPr>
          <w:rFonts w:hint="eastAsia" w:hAnsi="宋体" w:cs="宋体"/>
          <w:color w:val="000000" w:themeColor="text1"/>
          <w:szCs w:val="21"/>
        </w:rPr>
        <w:t>合同书；</w:t>
      </w:r>
    </w:p>
    <w:p>
      <w:pPr>
        <w:pStyle w:val="24"/>
        <w:spacing w:beforeLines="5" w:afterLines="5" w:line="440" w:lineRule="exact"/>
        <w:ind w:firstLine="621" w:firstLineChars="296"/>
        <w:rPr>
          <w:rFonts w:hAnsi="宋体" w:cs="宋体"/>
          <w:color w:val="000000" w:themeColor="text1"/>
          <w:szCs w:val="21"/>
        </w:rPr>
      </w:pPr>
      <w:r>
        <w:rPr>
          <w:rFonts w:hint="eastAsia" w:hAnsi="宋体" w:cs="宋体"/>
          <w:color w:val="000000" w:themeColor="text1"/>
          <w:szCs w:val="21"/>
        </w:rPr>
        <w:fldChar w:fldCharType="begin"/>
      </w:r>
      <w:r>
        <w:rPr>
          <w:rFonts w:hint="eastAsia" w:hAnsi="宋体" w:cs="宋体"/>
          <w:color w:val="000000" w:themeColor="text1"/>
          <w:szCs w:val="21"/>
        </w:rPr>
        <w:instrText xml:space="preserve"> = 6 \* GB2 </w:instrText>
      </w:r>
      <w:r>
        <w:rPr>
          <w:rFonts w:hint="eastAsia" w:hAnsi="宋体" w:cs="宋体"/>
          <w:color w:val="000000" w:themeColor="text1"/>
          <w:szCs w:val="21"/>
        </w:rPr>
        <w:fldChar w:fldCharType="separate"/>
      </w:r>
      <w:r>
        <w:rPr>
          <w:rFonts w:hint="eastAsia" w:hAnsi="宋体" w:cs="宋体"/>
          <w:color w:val="000000" w:themeColor="text1"/>
          <w:szCs w:val="21"/>
        </w:rPr>
        <w:t>⑹</w:t>
      </w:r>
      <w:r>
        <w:rPr>
          <w:rFonts w:hint="eastAsia" w:hAnsi="宋体" w:cs="宋体"/>
          <w:color w:val="000000" w:themeColor="text1"/>
          <w:szCs w:val="21"/>
        </w:rPr>
        <w:fldChar w:fldCharType="end"/>
      </w:r>
      <w:r>
        <w:rPr>
          <w:rFonts w:hint="eastAsia" w:hAnsi="宋体" w:cs="宋体"/>
          <w:color w:val="000000" w:themeColor="text1"/>
          <w:szCs w:val="21"/>
        </w:rPr>
        <w:t>竞争性谈判响应文件格式。</w:t>
      </w:r>
    </w:p>
    <w:p>
      <w:pPr>
        <w:pStyle w:val="24"/>
        <w:spacing w:beforeLines="5" w:afterLines="5" w:line="440" w:lineRule="exact"/>
        <w:rPr>
          <w:rFonts w:hAnsi="宋体" w:cs="宋体"/>
          <w:color w:val="000000" w:themeColor="text1"/>
          <w:szCs w:val="21"/>
        </w:rPr>
      </w:pPr>
      <w:r>
        <w:rPr>
          <w:rFonts w:hint="eastAsia" w:hAnsi="宋体" w:cs="宋体"/>
          <w:b/>
          <w:color w:val="000000" w:themeColor="text1"/>
          <w:szCs w:val="21"/>
        </w:rPr>
        <w:t>5.   采购文件的澄清和修改</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5.1 谈判供应商应认真阅读谈判文件的采购需求，如发现需求中有误或要求不合理的，谈判供应商必须在提交首次响应文件截止之日前，以书面形式向采购人、采购代理机构提出，谈判供应商在法定质疑期内必须一次性提出针对同一采购程序环节的质疑。</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5.2  提交首次响应文件截止之日前，采购人、采购代理机构或者谈判小组可以对已发出的竞争性谈判文件进行必要的澄清或者修改，澄清或者修改的内容作为竞争性谈判文件的组成部分。澄清或者修改的内容可能影响响应文件编制的，采购人、采购代理机构或者谈判小组应当在提交首次响应文件截止之日3个工作日前，以书面形式通知所有接收竞争性谈判文件的供应商，不足3个工作日的，应当顺延提交首次响应文件截止之日。</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5.3 谈判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果由谈判供应商负责。）</w:t>
      </w:r>
    </w:p>
    <w:p>
      <w:pPr>
        <w:pStyle w:val="5"/>
        <w:spacing w:beforeLines="100" w:afterLines="100" w:line="440" w:lineRule="exact"/>
        <w:ind w:firstLine="643" w:firstLineChars="200"/>
        <w:jc w:val="center"/>
        <w:rPr>
          <w:rFonts w:ascii="宋体" w:hAnsi="宋体" w:cs="宋体"/>
          <w:color w:val="000000" w:themeColor="text1"/>
        </w:rPr>
      </w:pPr>
      <w:bookmarkStart w:id="50" w:name="_Toc181594752"/>
      <w:bookmarkStart w:id="51" w:name="_Toc9346"/>
      <w:bookmarkStart w:id="52" w:name="_Toc2956494"/>
      <w:bookmarkStart w:id="53" w:name="_Toc2956548"/>
      <w:bookmarkStart w:id="54" w:name="_Toc312878812"/>
      <w:bookmarkStart w:id="55" w:name="_Toc342313046"/>
      <w:bookmarkStart w:id="56" w:name="_Toc181594904"/>
      <w:r>
        <w:rPr>
          <w:rFonts w:hint="eastAsia" w:ascii="宋体" w:hAnsi="宋体" w:cs="宋体"/>
          <w:color w:val="000000" w:themeColor="text1"/>
        </w:rPr>
        <w:t>三 、竞争性谈判响应文件的编制格式</w:t>
      </w:r>
      <w:bookmarkEnd w:id="50"/>
      <w:bookmarkEnd w:id="51"/>
      <w:bookmarkEnd w:id="52"/>
      <w:bookmarkEnd w:id="53"/>
      <w:bookmarkEnd w:id="54"/>
      <w:bookmarkEnd w:id="55"/>
      <w:bookmarkEnd w:id="56"/>
    </w:p>
    <w:p>
      <w:pPr>
        <w:pStyle w:val="24"/>
        <w:spacing w:beforeLines="5" w:afterLines="5" w:line="440" w:lineRule="exact"/>
        <w:ind w:firstLine="422" w:firstLineChars="200"/>
        <w:rPr>
          <w:rFonts w:hAnsi="宋体" w:cs="宋体"/>
          <w:color w:val="000000" w:themeColor="text1"/>
          <w:szCs w:val="21"/>
        </w:rPr>
      </w:pPr>
      <w:r>
        <w:rPr>
          <w:rFonts w:hint="eastAsia" w:hAnsi="宋体" w:cs="宋体"/>
          <w:b/>
          <w:color w:val="000000" w:themeColor="text1"/>
          <w:szCs w:val="21"/>
        </w:rPr>
        <w:t>6.  竞争性谈判响应文件编写的注意事项</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6.1 谈判供应商应仔细阅读采购文件，在完全了解采购文件的内容、要求后，编写竞争性谈判响应文件。</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6.2 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6.3 非单一产品采购项目中，多家谈判供应商提供的竞争性谈判文件中载明的核心产品品牌相同的，视为提供相同品牌产品。</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7.  竞争性谈判响应文件的构成</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7.1 谈判供应商编写的竞争性谈判响应文件应包括下列内容（谈判供应商必须按下列顺序自编目录及页码装订成册，否则文件失散引起的后果自负）；</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（1）谈判书（按竞争性谈判响应文件第五章“谈判书(格式)”要求填写，未按照本谈判书要求填报的谈判书将被视为非实质性响应谈判，其谈判报价无效）；</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（2）谈判报价表；</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（3）技术规格偏离表；</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（4）售后服务承诺书(由谈判供应商就《项目需求》要求自行填写)；</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（5）谈判供应商资格证明文件（按本须知12条提供）；</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（6）货物合格证明文件（按本须知13条提供）；</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（7）</w:t>
      </w:r>
      <w:r>
        <w:rPr>
          <w:rStyle w:val="54"/>
          <w:rFonts w:hint="eastAsia" w:hAnsi="宋体" w:cs="宋体"/>
          <w:color w:val="000000" w:themeColor="text1"/>
          <w:u w:val="none"/>
        </w:rPr>
        <w:t>谈判供应商</w:t>
      </w:r>
      <w:r>
        <w:rPr>
          <w:rFonts w:hint="eastAsia" w:hAnsi="宋体" w:cs="宋体"/>
          <w:color w:val="000000" w:themeColor="text1"/>
          <w:szCs w:val="21"/>
        </w:rPr>
        <w:t>认为有必要提供的其他有关材料。</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8. 竞争性谈判响应文件的语言及计量单位</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8.1  谈判供应商的</w:t>
      </w:r>
      <w:r>
        <w:rPr>
          <w:rFonts w:hint="eastAsia" w:hAnsi="宋体" w:cs="宋体"/>
          <w:color w:val="000000" w:themeColor="text1"/>
        </w:rPr>
        <w:t>竞争性谈判响应文件</w:t>
      </w:r>
      <w:r>
        <w:rPr>
          <w:rFonts w:hint="eastAsia" w:hAnsi="宋体" w:cs="宋体"/>
          <w:color w:val="000000" w:themeColor="text1"/>
          <w:szCs w:val="21"/>
        </w:rPr>
        <w:t>以及谈判供应商与采购代理机构的所有来往的函电统一使用中文（另有规定的除外）。</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8.2  竞争性谈判响应文件中使用的计量单位除采购文件中有特殊规定外，一律使用法定计量单位。</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9.  竞争性谈判响应文件格式</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9.1 谈判供应商应按采购文件第五章中的“竞争性谈判响应文件（格式）”编制竞争性谈判响应文件。</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9.2谈判供应商应按竞争性谈判响应文件提供的谈判书、谈判报价表、技术规格偏离表等格式详细完整的填写各项内容。</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9.3在谈判报价表中，谈判供应商应详细标明所提供的货物及部件名称、品牌型号、技术参数、配置、产地、生产厂家、数量及产品所执行的标准及标准号等。</w:t>
      </w:r>
    </w:p>
    <w:p>
      <w:pPr>
        <w:shd w:val="clear" w:color="auto" w:fill="FFFFFF"/>
        <w:spacing w:beforeLines="5" w:afterLines="5" w:line="44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9.4竞争性谈判响应文件必须编制目录及页码，目录与页码必须保持一致，否则因此造成的一切后果由谈判供应商自行承担。</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10. 谈判报价</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10.1 谈判供应商须就</w:t>
      </w:r>
      <w:r>
        <w:rPr>
          <w:rFonts w:hint="eastAsia" w:hAnsi="宋体" w:cs="宋体"/>
          <w:b/>
          <w:bCs/>
          <w:color w:val="000000" w:themeColor="text1"/>
          <w:szCs w:val="21"/>
        </w:rPr>
        <w:t>《项目需求》</w:t>
      </w:r>
      <w:r>
        <w:rPr>
          <w:rFonts w:hint="eastAsia" w:hAnsi="宋体" w:cs="宋体"/>
          <w:b/>
          <w:color w:val="000000" w:themeColor="text1"/>
          <w:szCs w:val="21"/>
        </w:rPr>
        <w:t>中的内容作出完整唯一报价。</w:t>
      </w:r>
    </w:p>
    <w:p>
      <w:pPr>
        <w:pStyle w:val="24"/>
        <w:spacing w:beforeLines="5" w:afterLines="5" w:line="440" w:lineRule="exact"/>
        <w:ind w:firstLine="420" w:firstLineChars="200"/>
        <w:rPr>
          <w:rFonts w:hAnsi="宋体" w:cs="宋体"/>
          <w:color w:val="000000" w:themeColor="text1"/>
          <w:szCs w:val="21"/>
          <w:u w:val="single"/>
        </w:rPr>
      </w:pPr>
      <w:r>
        <w:rPr>
          <w:rFonts w:hint="eastAsia" w:hAnsi="宋体" w:cs="宋体"/>
          <w:color w:val="000000" w:themeColor="text1"/>
          <w:szCs w:val="21"/>
        </w:rPr>
        <w:t>10.2 谈判供应商应在谈判报价表上标明单价和总价。如单价和总价不符，以单价累计为准。小写与大写不符的，以大写为准。如果因谈判供应商原因引起的谈判失误，同时又被谈判时所接受，其后果由谈判供应商。</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10.3谈判报价包含货物、随配附件、备品备件、工具、运抵指定交货地点、现场验收、检测的各种费用和售后服务、税金及其他所有成本费用的总和。</w:t>
      </w:r>
    </w:p>
    <w:p>
      <w:pPr>
        <w:spacing w:beforeLines="5" w:afterLines="5" w:line="44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11. 谈判货币</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11.1 谈判应以人民币谈判。</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12. 谈判供应商资格证明文件：</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下述资格审查证件材料中如提供的材料不完备或无效或未按规定加盖公章的，将视为资格审查不合格，不进入详评（属复印件的必须加盖单位公章）：</w:t>
      </w:r>
    </w:p>
    <w:p>
      <w:pPr>
        <w:pStyle w:val="24"/>
        <w:spacing w:beforeLines="5" w:afterLines="5" w:line="440" w:lineRule="exact"/>
        <w:ind w:firstLine="420" w:firstLineChars="200"/>
        <w:jc w:val="left"/>
        <w:rPr>
          <w:rFonts w:hAnsi="宋体" w:cs="宋体"/>
          <w:color w:val="000000" w:themeColor="text1"/>
          <w:szCs w:val="21"/>
        </w:rPr>
      </w:pPr>
      <w:r>
        <w:rPr>
          <w:rFonts w:hint="eastAsia" w:hAnsi="宋体" w:cs="宋体"/>
          <w:color w:val="000000" w:themeColor="text1"/>
          <w:szCs w:val="21"/>
        </w:rPr>
        <w:t>（1）有效的“营业执照”（</w:t>
      </w:r>
      <w:r>
        <w:rPr>
          <w:rFonts w:hint="eastAsia" w:hAnsi="宋体" w:cs="宋体"/>
          <w:color w:val="000000" w:themeColor="text1"/>
        </w:rPr>
        <w:t>谈判供应商为事业单位的不需要提供“营业执照”，但需提供“事业单位法人证书”）</w:t>
      </w:r>
      <w:r>
        <w:rPr>
          <w:rFonts w:hint="eastAsia" w:hAnsi="宋体" w:cs="宋体"/>
          <w:color w:val="000000" w:themeColor="text1"/>
          <w:szCs w:val="21"/>
        </w:rPr>
        <w:t>复印件</w:t>
      </w:r>
      <w:r>
        <w:rPr>
          <w:rFonts w:hint="eastAsia" w:hAnsi="宋体" w:cs="宋体"/>
          <w:color w:val="000000" w:themeColor="text1"/>
        </w:rPr>
        <w:t>，（</w:t>
      </w:r>
      <w:r>
        <w:rPr>
          <w:rFonts w:hint="eastAsia" w:hAnsi="宋体" w:cs="宋体"/>
          <w:b/>
          <w:color w:val="000000" w:themeColor="text1"/>
        </w:rPr>
        <w:t>加盖单位公章，必须提供，否则谈判无效</w:t>
      </w:r>
      <w:r>
        <w:rPr>
          <w:rFonts w:hint="eastAsia" w:hAnsi="宋体" w:cs="宋体"/>
          <w:color w:val="000000" w:themeColor="text1"/>
          <w:szCs w:val="21"/>
        </w:rPr>
        <w:t xml:space="preserve">）； </w:t>
      </w:r>
    </w:p>
    <w:p>
      <w:pPr>
        <w:pStyle w:val="24"/>
        <w:spacing w:beforeLines="5" w:afterLines="5" w:line="440" w:lineRule="exact"/>
        <w:ind w:firstLine="420" w:firstLineChars="200"/>
        <w:jc w:val="left"/>
        <w:rPr>
          <w:rFonts w:hAnsi="宋体" w:cs="宋体"/>
          <w:bCs/>
          <w:color w:val="000000" w:themeColor="text1"/>
        </w:rPr>
      </w:pPr>
      <w:r>
        <w:rPr>
          <w:rFonts w:hint="eastAsia" w:hAnsi="宋体" w:cs="宋体"/>
          <w:color w:val="000000" w:themeColor="text1"/>
          <w:szCs w:val="21"/>
        </w:rPr>
        <w:t>（2）法定代表人</w:t>
      </w:r>
      <w:r>
        <w:rPr>
          <w:rFonts w:hint="eastAsia" w:hAnsi="宋体" w:cs="宋体"/>
          <w:color w:val="000000" w:themeColor="text1"/>
        </w:rPr>
        <w:t>（负责人）</w:t>
      </w:r>
      <w:r>
        <w:rPr>
          <w:rFonts w:hint="eastAsia" w:hAnsi="宋体" w:cs="宋体"/>
          <w:color w:val="000000" w:themeColor="text1"/>
          <w:szCs w:val="21"/>
        </w:rPr>
        <w:t>身份证复印件〔</w:t>
      </w:r>
      <w:r>
        <w:rPr>
          <w:rFonts w:hint="eastAsia" w:hAnsi="宋体" w:cs="宋体"/>
          <w:b/>
          <w:color w:val="000000" w:themeColor="text1"/>
          <w:szCs w:val="21"/>
        </w:rPr>
        <w:t>如法定代表人</w:t>
      </w:r>
      <w:r>
        <w:rPr>
          <w:rFonts w:hint="eastAsia" w:hAnsi="宋体" w:cs="宋体"/>
          <w:b/>
          <w:color w:val="000000" w:themeColor="text1"/>
        </w:rPr>
        <w:t>（负责人）</w:t>
      </w:r>
      <w:r>
        <w:rPr>
          <w:rFonts w:hint="eastAsia" w:hAnsi="宋体" w:cs="宋体"/>
          <w:b/>
          <w:color w:val="000000" w:themeColor="text1"/>
          <w:szCs w:val="21"/>
        </w:rPr>
        <w:t>参加开标，须提供本人身份证原件</w:t>
      </w:r>
      <w:r>
        <w:rPr>
          <w:rFonts w:hint="eastAsia" w:hAnsi="宋体" w:cs="宋体"/>
          <w:color w:val="000000" w:themeColor="text1"/>
          <w:szCs w:val="21"/>
        </w:rPr>
        <w:t>〕；</w:t>
      </w:r>
    </w:p>
    <w:p>
      <w:pPr>
        <w:pStyle w:val="24"/>
        <w:spacing w:beforeLines="5" w:afterLines="5" w:line="440" w:lineRule="exact"/>
        <w:ind w:firstLine="420" w:firstLineChars="200"/>
        <w:jc w:val="left"/>
        <w:rPr>
          <w:rFonts w:hAnsi="宋体" w:cs="宋体"/>
          <w:color w:val="000000" w:themeColor="text1"/>
          <w:szCs w:val="21"/>
        </w:rPr>
      </w:pPr>
      <w:r>
        <w:rPr>
          <w:rFonts w:hint="eastAsia" w:hAnsi="宋体" w:cs="宋体"/>
          <w:color w:val="000000" w:themeColor="text1"/>
          <w:szCs w:val="21"/>
        </w:rPr>
        <w:t>（3）法定代表人（负责人）授权委托书原件和委托代理人身份证复印件（委托代理时必须提供，</w:t>
      </w:r>
      <w:r>
        <w:rPr>
          <w:rFonts w:hint="eastAsia" w:hAnsi="宋体" w:cs="宋体"/>
          <w:b/>
          <w:color w:val="000000" w:themeColor="text1"/>
          <w:szCs w:val="21"/>
        </w:rPr>
        <w:t>开标时原件核查</w:t>
      </w:r>
      <w:r>
        <w:rPr>
          <w:rFonts w:hint="eastAsia" w:hAnsi="宋体" w:cs="宋体"/>
          <w:color w:val="000000" w:themeColor="text1"/>
          <w:szCs w:val="21"/>
        </w:rPr>
        <w:t>）；</w:t>
      </w:r>
    </w:p>
    <w:p>
      <w:pPr>
        <w:pStyle w:val="24"/>
        <w:spacing w:beforeLines="5" w:afterLines="5" w:line="440" w:lineRule="exact"/>
        <w:ind w:firstLine="420" w:firstLineChars="200"/>
        <w:jc w:val="left"/>
        <w:rPr>
          <w:rFonts w:hAnsi="宋体" w:cs="宋体"/>
          <w:color w:val="000000" w:themeColor="text1"/>
          <w:szCs w:val="21"/>
        </w:rPr>
      </w:pPr>
      <w:r>
        <w:rPr>
          <w:rFonts w:hint="eastAsia" w:hAnsi="宋体" w:cs="宋体"/>
          <w:color w:val="000000" w:themeColor="text1"/>
          <w:szCs w:val="21"/>
        </w:rPr>
        <w:t>（4）2019年财务状况报告复印件（可以是财务报表或银行出具的资信证明或第三方审计报告等证明材料，新成立的企业按实际情况提供</w:t>
      </w:r>
      <w:r>
        <w:rPr>
          <w:rFonts w:hint="eastAsia" w:hAnsi="宋体" w:cs="宋体"/>
          <w:bCs/>
          <w:color w:val="000000" w:themeColor="text1"/>
          <w:szCs w:val="21"/>
        </w:rPr>
        <w:t>）</w:t>
      </w:r>
      <w:r>
        <w:rPr>
          <w:rFonts w:hint="eastAsia" w:hAnsi="宋体" w:cs="宋体"/>
          <w:b/>
          <w:bCs/>
          <w:color w:val="000000" w:themeColor="text1"/>
          <w:szCs w:val="21"/>
        </w:rPr>
        <w:t>（格式自拟，必须提供，原件备查）</w:t>
      </w:r>
      <w:r>
        <w:rPr>
          <w:rFonts w:hint="eastAsia" w:hAnsi="宋体" w:cs="宋体"/>
          <w:color w:val="000000" w:themeColor="text1"/>
          <w:szCs w:val="21"/>
        </w:rPr>
        <w:t>；</w:t>
      </w:r>
    </w:p>
    <w:p>
      <w:pPr>
        <w:pStyle w:val="24"/>
        <w:spacing w:beforeLines="5" w:afterLines="5" w:line="440" w:lineRule="exact"/>
        <w:ind w:firstLine="420" w:firstLineChars="200"/>
        <w:jc w:val="left"/>
        <w:rPr>
          <w:rFonts w:hAnsi="宋体" w:cs="宋体"/>
          <w:color w:val="000000" w:themeColor="text1"/>
          <w:szCs w:val="21"/>
        </w:rPr>
      </w:pPr>
      <w:r>
        <w:rPr>
          <w:rFonts w:hint="eastAsia" w:hAnsi="宋体" w:cs="宋体"/>
          <w:color w:val="000000" w:themeColor="text1"/>
          <w:szCs w:val="21"/>
        </w:rPr>
        <w:t>（5）响应文件递交截止之日前的近三个月来其中任意一个月依法缴纳社保费的缴费凭证复印件</w:t>
      </w:r>
      <w:r>
        <w:rPr>
          <w:rFonts w:hint="eastAsia" w:hAnsi="宋体" w:cs="宋体"/>
          <w:b/>
          <w:bCs/>
          <w:color w:val="000000" w:themeColor="text1"/>
          <w:szCs w:val="21"/>
        </w:rPr>
        <w:t>（格式自拟，必须提供，原件备查）</w:t>
      </w:r>
      <w:r>
        <w:rPr>
          <w:rFonts w:hint="eastAsia" w:hAnsi="宋体" w:cs="宋体"/>
          <w:color w:val="000000" w:themeColor="text1"/>
          <w:szCs w:val="21"/>
        </w:rPr>
        <w:t>；无缴费记录的，应提供由谈判供应商所在地社保部门出具的《依法缴纳或依法免缴社保费证明》复印件</w:t>
      </w:r>
      <w:r>
        <w:rPr>
          <w:rFonts w:hint="eastAsia" w:hAnsi="宋体" w:cs="宋体"/>
          <w:b/>
          <w:bCs/>
          <w:color w:val="000000" w:themeColor="text1"/>
          <w:szCs w:val="21"/>
        </w:rPr>
        <w:t>（格式自拟，原件备查）</w:t>
      </w:r>
      <w:r>
        <w:rPr>
          <w:rFonts w:hint="eastAsia" w:hAnsi="宋体" w:cs="宋体"/>
          <w:color w:val="000000" w:themeColor="text1"/>
          <w:szCs w:val="21"/>
        </w:rPr>
        <w:t>；（新成立单位按实际提供）</w:t>
      </w:r>
    </w:p>
    <w:p>
      <w:pPr>
        <w:pStyle w:val="24"/>
        <w:spacing w:beforeLines="5" w:afterLines="5" w:line="440" w:lineRule="exact"/>
        <w:ind w:firstLine="420" w:firstLineChars="200"/>
        <w:jc w:val="left"/>
        <w:rPr>
          <w:rFonts w:hAnsi="宋体" w:cs="宋体"/>
          <w:color w:val="000000" w:themeColor="text1"/>
          <w:szCs w:val="21"/>
        </w:rPr>
      </w:pPr>
      <w:r>
        <w:rPr>
          <w:rFonts w:hint="eastAsia" w:hAnsi="宋体" w:cs="宋体"/>
          <w:color w:val="000000" w:themeColor="text1"/>
          <w:szCs w:val="21"/>
        </w:rPr>
        <w:t>（6）</w:t>
      </w:r>
      <w:r>
        <w:rPr>
          <w:rFonts w:hint="eastAsia"/>
          <w:color w:val="000000" w:themeColor="text1"/>
          <w:szCs w:val="21"/>
        </w:rPr>
        <w:t>企业信用查询单</w:t>
      </w:r>
      <w:r>
        <w:rPr>
          <w:rFonts w:hint="eastAsia" w:asciiTheme="minorEastAsia" w:hAnsiTheme="minorEastAsia"/>
          <w:color w:val="000000" w:themeColor="text1"/>
          <w:szCs w:val="21"/>
        </w:rPr>
        <w:t>【</w:t>
      </w:r>
      <w:r>
        <w:rPr>
          <w:rFonts w:hint="eastAsia"/>
          <w:color w:val="000000" w:themeColor="text1"/>
          <w:szCs w:val="21"/>
        </w:rPr>
        <w:t>在全国企业信用信息公示系统查询供应商单位，提供企业信用信息公示报告；竞标人在“信用中国”网站查询显示的相关供应商主体信用记录；中国政府采购网查询显示的相关供应商主体信用记录（竞标截止时间前查询结果截图加盖单位公章）。</w:t>
      </w:r>
      <w:r>
        <w:rPr>
          <w:rFonts w:hint="eastAsia" w:asciiTheme="minorEastAsia" w:hAnsiTheme="minorEastAsia"/>
          <w:color w:val="000000" w:themeColor="text1"/>
          <w:szCs w:val="21"/>
        </w:rPr>
        <w:t>】</w:t>
      </w:r>
      <w:r>
        <w:rPr>
          <w:rFonts w:hint="eastAsia"/>
          <w:b/>
          <w:bCs/>
          <w:color w:val="000000" w:themeColor="text1"/>
          <w:szCs w:val="21"/>
        </w:rPr>
        <w:t>(必须提交，加盖公章)；</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（7）参加政府采购活动前三年内在经营活动中没有重大违法记录和不良信用记录的书面声明</w:t>
      </w:r>
      <w:r>
        <w:rPr>
          <w:rFonts w:hint="eastAsia" w:hAnsi="宋体" w:cs="宋体"/>
          <w:b/>
          <w:bCs/>
          <w:color w:val="000000" w:themeColor="text1"/>
          <w:szCs w:val="21"/>
        </w:rPr>
        <w:t>（格式自拟，必须提供）</w:t>
      </w:r>
      <w:r>
        <w:rPr>
          <w:rFonts w:hint="eastAsia" w:hAnsi="宋体" w:cs="宋体"/>
          <w:color w:val="000000" w:themeColor="text1"/>
          <w:szCs w:val="21"/>
        </w:rPr>
        <w:t>；</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（8）谈判供应商认为有必要提供的其他有关材料。</w:t>
      </w:r>
    </w:p>
    <w:p>
      <w:pPr>
        <w:snapToGrid w:val="0"/>
        <w:spacing w:line="420" w:lineRule="exact"/>
        <w:ind w:firstLine="422" w:firstLineChars="200"/>
        <w:outlineLvl w:val="4"/>
        <w:rPr>
          <w:rFonts w:ascii="宋体" w:hAnsi="宋体" w:cs="宋体"/>
          <w:color w:val="000000" w:themeColor="text1"/>
          <w:szCs w:val="20"/>
        </w:rPr>
      </w:pPr>
      <w:r>
        <w:rPr>
          <w:rFonts w:hint="eastAsia" w:ascii="宋体" w:hAnsi="宋体" w:cs="宋体"/>
          <w:b/>
          <w:bCs/>
          <w:color w:val="000000" w:themeColor="text1"/>
          <w:szCs w:val="21"/>
        </w:rPr>
        <w:t>13.谈判供应商货物合格证明文件可以是</w:t>
      </w:r>
      <w:r>
        <w:rPr>
          <w:rFonts w:hint="eastAsia" w:ascii="宋体" w:hAnsi="宋体" w:cs="宋体"/>
          <w:b/>
          <w:color w:val="000000" w:themeColor="text1"/>
          <w:szCs w:val="20"/>
        </w:rPr>
        <w:t>：</w:t>
      </w:r>
    </w:p>
    <w:p>
      <w:pPr>
        <w:shd w:val="clear" w:color="auto" w:fill="FFFFFF"/>
        <w:spacing w:line="380" w:lineRule="atLeast"/>
        <w:ind w:firstLine="420" w:firstLineChars="200"/>
        <w:rPr>
          <w:rFonts w:ascii="宋体" w:hAnsi="宋体" w:cs="宋体"/>
          <w:b/>
          <w:color w:val="000000" w:themeColor="text1"/>
          <w:szCs w:val="21"/>
        </w:rPr>
      </w:pPr>
      <w:r>
        <w:rPr>
          <w:rFonts w:hint="eastAsia" w:ascii="宋体" w:hAnsi="宋体" w:cs="宋体"/>
          <w:color w:val="000000" w:themeColor="text1"/>
          <w:szCs w:val="21"/>
        </w:rPr>
        <w:t>13.1本采购项目《采购需求》中要求必须提交的材料(</w:t>
      </w:r>
      <w:r>
        <w:rPr>
          <w:rFonts w:hint="eastAsia" w:ascii="宋体" w:hAnsi="宋体" w:cs="宋体"/>
          <w:b/>
          <w:color w:val="000000" w:themeColor="text1"/>
          <w:szCs w:val="21"/>
        </w:rPr>
        <w:t>如有要求，则</w:t>
      </w:r>
      <w:r>
        <w:rPr>
          <w:rFonts w:hint="eastAsia" w:ascii="宋体" w:hAnsi="宋体" w:cs="宋体"/>
          <w:b/>
          <w:color w:val="000000" w:themeColor="text1"/>
        </w:rPr>
        <w:t>必须提供)</w:t>
      </w:r>
      <w:r>
        <w:rPr>
          <w:rFonts w:hint="eastAsia" w:ascii="宋体" w:hAnsi="宋体" w:cs="宋体"/>
          <w:color w:val="000000" w:themeColor="text1"/>
          <w:szCs w:val="20"/>
        </w:rPr>
        <w:t>；</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13.2具备法律、行政法规规定的其他条件的证明材料</w:t>
      </w:r>
      <w:r>
        <w:rPr>
          <w:rFonts w:hint="eastAsia" w:ascii="宋体" w:hAnsi="宋体" w:cs="宋体"/>
          <w:b/>
          <w:color w:val="000000" w:themeColor="text1"/>
          <w:szCs w:val="21"/>
        </w:rPr>
        <w:t>（如有规定,则必须提供）</w:t>
      </w:r>
      <w:r>
        <w:rPr>
          <w:rFonts w:hint="eastAsia" w:ascii="宋体" w:hAnsi="宋体" w:cs="宋体"/>
          <w:color w:val="000000" w:themeColor="text1"/>
          <w:szCs w:val="21"/>
        </w:rPr>
        <w:t>；</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13.3生产、销售许可证（凡国家实行生产或经营许可证制度的、强制标准认证和注册证制度的产品，谈判供应商必须提供生产厂家相关许可证、相关认证或注册证复印件并加盖公章）；</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13.4货物认证、检测报告、鉴定证书等；</w:t>
      </w:r>
    </w:p>
    <w:p>
      <w:pPr>
        <w:shd w:val="clear" w:color="auto" w:fill="FFFFFF"/>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13.5货物名称、型号、规格、数量、性能、内部配置、使用原材料，引进新技术、新工艺、新材料的等情况；</w:t>
      </w:r>
    </w:p>
    <w:p>
      <w:pPr>
        <w:shd w:val="clear" w:color="auto" w:fill="FFFFFF"/>
        <w:spacing w:line="380" w:lineRule="atLeast"/>
        <w:ind w:firstLine="420" w:firstLineChars="200"/>
        <w:rPr>
          <w:rFonts w:ascii="宋体" w:hAnsi="宋体" w:cs="宋体"/>
          <w:color w:val="000000" w:themeColor="text1"/>
          <w:szCs w:val="20"/>
        </w:rPr>
      </w:pPr>
      <w:r>
        <w:rPr>
          <w:rFonts w:hint="eastAsia" w:ascii="宋体" w:hAnsi="宋体" w:cs="宋体"/>
          <w:color w:val="000000" w:themeColor="text1"/>
          <w:szCs w:val="20"/>
        </w:rPr>
        <w:t>13.6</w:t>
      </w:r>
      <w:r>
        <w:rPr>
          <w:rFonts w:hint="eastAsia" w:ascii="宋体" w:hAnsi="宋体" w:cs="宋体"/>
          <w:color w:val="000000" w:themeColor="text1"/>
          <w:szCs w:val="21"/>
        </w:rPr>
        <w:t>供应商符合中小企业划型标准的，按《政府采购促进中小企业发展暂行办法》（财库〔2011〕181号）要求，提供中小企业声明函。</w:t>
      </w:r>
    </w:p>
    <w:p>
      <w:pPr>
        <w:spacing w:beforeLines="5" w:afterLines="5" w:line="44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14.  谈判有效期</w:t>
      </w:r>
    </w:p>
    <w:p>
      <w:pPr>
        <w:pStyle w:val="24"/>
        <w:spacing w:beforeLines="5" w:afterLines="5" w:line="440" w:lineRule="exact"/>
        <w:ind w:firstLine="420" w:firstLineChars="200"/>
        <w:rPr>
          <w:rFonts w:hAnsi="宋体" w:cs="宋体"/>
          <w:b/>
          <w:color w:val="000000" w:themeColor="text1"/>
          <w:szCs w:val="21"/>
        </w:rPr>
      </w:pPr>
      <w:r>
        <w:rPr>
          <w:rFonts w:hint="eastAsia" w:hAnsi="宋体" w:cs="宋体"/>
          <w:bCs/>
          <w:color w:val="000000" w:themeColor="text1"/>
          <w:szCs w:val="21"/>
        </w:rPr>
        <w:t xml:space="preserve">14.1 </w:t>
      </w:r>
      <w:r>
        <w:rPr>
          <w:rFonts w:hint="eastAsia" w:hAnsi="宋体" w:cs="宋体"/>
          <w:color w:val="000000" w:themeColor="text1"/>
          <w:szCs w:val="21"/>
        </w:rPr>
        <w:t>竞争性谈判响应文件从谈判截止日期起60天内有效。</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14.2 在特殊情况下，采购代理机构可与谈判供应商协商延长竞争性谈判响应文件的有效期。</w:t>
      </w:r>
    </w:p>
    <w:p>
      <w:pPr>
        <w:pStyle w:val="24"/>
        <w:spacing w:beforeLines="5" w:afterLines="5" w:line="440" w:lineRule="exact"/>
        <w:ind w:firstLine="422" w:firstLineChars="200"/>
        <w:rPr>
          <w:rFonts w:hAnsi="宋体" w:cs="宋体"/>
          <w:color w:val="000000" w:themeColor="text1"/>
          <w:szCs w:val="21"/>
        </w:rPr>
      </w:pPr>
      <w:r>
        <w:rPr>
          <w:rFonts w:hint="eastAsia" w:hAnsi="宋体" w:cs="宋体"/>
          <w:b/>
          <w:color w:val="000000" w:themeColor="text1"/>
          <w:szCs w:val="21"/>
        </w:rPr>
        <w:t>15.  竞争性谈判响应文件书写及签字、盖章要求</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15.1 竞争性谈判响应文件须用不褪色的墨水工整书写或打印，修改处应由法定代表人（负责人）或委托代理人签字和盖公章</w:t>
      </w:r>
      <w:r>
        <w:rPr>
          <w:rFonts w:hint="eastAsia"/>
          <w:bCs/>
          <w:color w:val="000000" w:themeColor="text1"/>
          <w:szCs w:val="21"/>
        </w:rPr>
        <w:t>，否则其竞标无效。</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15.2 字迹工整、表达清晰，按要求填写竞争性谈判响应文件。</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15.3 竞争性谈判响应文件应由法定代表人或委托代理人在凡规定签章处逐一签名和盖公章，</w:t>
      </w:r>
      <w:r>
        <w:rPr>
          <w:rFonts w:hint="eastAsia" w:ascii="Times New Roman" w:hAnsi="Times New Roman"/>
          <w:bCs/>
          <w:color w:val="000000" w:themeColor="text1"/>
          <w:szCs w:val="21"/>
        </w:rPr>
        <w:t>响应文件内容需盖公章</w:t>
      </w:r>
      <w:r>
        <w:rPr>
          <w:rFonts w:hint="eastAsia" w:hAnsi="宋体" w:cs="宋体"/>
          <w:color w:val="000000" w:themeColor="text1"/>
          <w:szCs w:val="21"/>
        </w:rPr>
        <w:t>，否则将会在评审中按无效竞争性谈判响应文件处理。</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15.4 竞争性谈判响应文件的份数：正本一份，副本三份，共四份。并在每份文件封面上注明“正本”或“副本”字样，一旦正本和副本不符，以正本为准。</w:t>
      </w:r>
    </w:p>
    <w:p>
      <w:pPr>
        <w:pStyle w:val="24"/>
        <w:spacing w:beforeLines="5" w:afterLines="5" w:line="440" w:lineRule="exact"/>
        <w:ind w:firstLine="422" w:firstLineChars="200"/>
        <w:rPr>
          <w:rFonts w:hAnsi="宋体" w:cs="宋体"/>
          <w:bCs/>
          <w:color w:val="000000" w:themeColor="text1"/>
          <w:szCs w:val="21"/>
        </w:rPr>
      </w:pPr>
      <w:r>
        <w:rPr>
          <w:rFonts w:hint="eastAsia" w:hAnsi="宋体" w:cs="宋体"/>
          <w:b/>
          <w:color w:val="000000" w:themeColor="text1"/>
          <w:szCs w:val="21"/>
        </w:rPr>
        <w:t>16.  谈判保证金：</w:t>
      </w:r>
      <w:r>
        <w:rPr>
          <w:rFonts w:hint="eastAsia" w:hAnsi="宋体" w:cs="宋体"/>
          <w:color w:val="000000" w:themeColor="text1"/>
          <w:spacing w:val="-4"/>
          <w:szCs w:val="21"/>
        </w:rPr>
        <w:t>无</w:t>
      </w:r>
      <w:r>
        <w:rPr>
          <w:rFonts w:hint="eastAsia" w:hAnsi="宋体" w:cs="宋体"/>
          <w:bCs/>
          <w:color w:val="000000" w:themeColor="text1"/>
          <w:szCs w:val="21"/>
        </w:rPr>
        <w:t>。</w:t>
      </w:r>
    </w:p>
    <w:p>
      <w:pPr>
        <w:pStyle w:val="5"/>
        <w:spacing w:beforeLines="100" w:afterLines="100" w:line="440" w:lineRule="exact"/>
        <w:ind w:firstLine="643" w:firstLineChars="200"/>
        <w:jc w:val="center"/>
        <w:rPr>
          <w:rFonts w:ascii="宋体" w:hAnsi="宋体" w:cs="宋体"/>
          <w:color w:val="000000" w:themeColor="text1"/>
        </w:rPr>
      </w:pPr>
      <w:bookmarkStart w:id="57" w:name="_Toc312878813"/>
      <w:bookmarkStart w:id="58" w:name="_Toc13549"/>
      <w:bookmarkStart w:id="59" w:name="_Toc2956549"/>
      <w:bookmarkStart w:id="60" w:name="_Toc2956495"/>
      <w:bookmarkStart w:id="61" w:name="_Toc181594753"/>
      <w:bookmarkStart w:id="62" w:name="_Toc181594905"/>
      <w:bookmarkStart w:id="63" w:name="_Toc342313047"/>
      <w:r>
        <w:rPr>
          <w:rFonts w:hint="eastAsia" w:ascii="宋体" w:hAnsi="宋体" w:cs="宋体"/>
          <w:color w:val="000000" w:themeColor="text1"/>
        </w:rPr>
        <w:t>四 、</w:t>
      </w:r>
      <w:r>
        <w:rPr>
          <w:rFonts w:hint="eastAsia" w:ascii="宋体" w:hAnsi="宋体" w:cs="宋体"/>
          <w:color w:val="000000" w:themeColor="text1"/>
          <w:szCs w:val="21"/>
        </w:rPr>
        <w:t>竞争性谈判响应</w:t>
      </w:r>
      <w:r>
        <w:rPr>
          <w:rFonts w:hint="eastAsia" w:ascii="宋体" w:hAnsi="宋体" w:cs="宋体"/>
          <w:color w:val="000000" w:themeColor="text1"/>
        </w:rPr>
        <w:t>文件的递交</w:t>
      </w:r>
      <w:bookmarkEnd w:id="57"/>
      <w:bookmarkEnd w:id="58"/>
      <w:bookmarkEnd w:id="59"/>
      <w:bookmarkEnd w:id="60"/>
      <w:bookmarkEnd w:id="61"/>
      <w:bookmarkEnd w:id="62"/>
      <w:bookmarkEnd w:id="63"/>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17.竞争性谈判响应文件的密封与标记</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17.1 谈判供应商应将竞争性谈判响应文件正、副本分别装订成册，在每个文本封面上标明“正本”或“副本”，以及项目名称、项目编号、谈判供应商名称等内容。</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17.2谈判供应商应将全部竞争性谈判响应文件装入竞争性谈判响应文件袋内加以密封，并在外层包封上所有的封口处均须加盖谈判供应商的公章，在文件袋上应写明：</w:t>
      </w:r>
    </w:p>
    <w:p>
      <w:pPr>
        <w:pStyle w:val="24"/>
        <w:numPr>
          <w:ilvl w:val="0"/>
          <w:numId w:val="8"/>
        </w:numPr>
        <w:spacing w:beforeLines="5" w:afterLines="5" w:line="440" w:lineRule="exact"/>
        <w:ind w:left="777" w:firstLine="420" w:firstLineChars="200"/>
        <w:rPr>
          <w:rFonts w:hAnsi="宋体" w:cs="宋体"/>
          <w:color w:val="000000" w:themeColor="text1"/>
          <w:szCs w:val="21"/>
        </w:rPr>
      </w:pPr>
      <w:r>
        <w:rPr>
          <w:rFonts w:hint="eastAsia" w:hAnsi="宋体" w:cs="宋体"/>
          <w:color w:val="000000" w:themeColor="text1"/>
          <w:szCs w:val="21"/>
        </w:rPr>
        <w:t>采购代理机构：广西鑫磐工程项目管理有限责任公司</w:t>
      </w:r>
    </w:p>
    <w:p>
      <w:pPr>
        <w:numPr>
          <w:ilvl w:val="0"/>
          <w:numId w:val="8"/>
        </w:numPr>
        <w:spacing w:beforeLines="5" w:afterLines="5" w:line="440" w:lineRule="exact"/>
        <w:ind w:left="777" w:firstLine="420" w:firstLineChars="200"/>
        <w:jc w:val="left"/>
        <w:rPr>
          <w:rFonts w:ascii="宋体" w:hAnsi="宋体" w:cs="宋体"/>
          <w:color w:val="000000" w:themeColor="text1"/>
          <w:szCs w:val="21"/>
        </w:rPr>
      </w:pPr>
      <w:r>
        <w:rPr>
          <w:rFonts w:hint="eastAsia" w:ascii="宋体" w:hAnsi="宋体" w:cs="宋体"/>
          <w:color w:val="000000" w:themeColor="text1"/>
          <w:szCs w:val="21"/>
        </w:rPr>
        <w:t>项目名称：物联网专业实训室设备采购</w:t>
      </w:r>
    </w:p>
    <w:p>
      <w:pPr>
        <w:numPr>
          <w:ilvl w:val="0"/>
          <w:numId w:val="8"/>
        </w:numPr>
        <w:spacing w:beforeLines="5" w:afterLines="5" w:line="440" w:lineRule="exact"/>
        <w:ind w:left="777" w:firstLine="420" w:firstLineChars="200"/>
        <w:jc w:val="left"/>
        <w:rPr>
          <w:rFonts w:ascii="宋体" w:hAnsi="宋体" w:cs="宋体"/>
          <w:color w:val="000000" w:themeColor="text1"/>
          <w:szCs w:val="21"/>
          <w:u w:val="single"/>
        </w:rPr>
      </w:pPr>
      <w:r>
        <w:rPr>
          <w:rFonts w:hint="eastAsia" w:ascii="宋体" w:hAnsi="宋体" w:cs="宋体"/>
          <w:color w:val="000000" w:themeColor="text1"/>
          <w:szCs w:val="21"/>
        </w:rPr>
        <w:t>项目编号：YLZC2020-J1-000805-GXXP</w:t>
      </w:r>
    </w:p>
    <w:p>
      <w:pPr>
        <w:pStyle w:val="24"/>
        <w:numPr>
          <w:ilvl w:val="0"/>
          <w:numId w:val="8"/>
        </w:numPr>
        <w:spacing w:beforeLines="5" w:afterLines="5" w:line="440" w:lineRule="exact"/>
        <w:ind w:firstLine="420" w:firstLineChars="200"/>
        <w:rPr>
          <w:rFonts w:hAnsi="宋体" w:cs="宋体"/>
          <w:color w:val="000000" w:themeColor="text1"/>
          <w:szCs w:val="21"/>
          <w:u w:val="single"/>
        </w:rPr>
      </w:pPr>
      <w:r>
        <w:rPr>
          <w:rFonts w:hint="eastAsia" w:hAnsi="宋体" w:cs="宋体"/>
          <w:color w:val="000000" w:themeColor="text1"/>
          <w:szCs w:val="21"/>
        </w:rPr>
        <w:t>谈判供应商：</w:t>
      </w:r>
    </w:p>
    <w:p>
      <w:pPr>
        <w:pStyle w:val="24"/>
        <w:numPr>
          <w:ilvl w:val="0"/>
          <w:numId w:val="8"/>
        </w:numPr>
        <w:spacing w:beforeLines="5" w:afterLines="5" w:line="440" w:lineRule="exact"/>
        <w:ind w:firstLine="420" w:firstLineChars="200"/>
        <w:rPr>
          <w:rFonts w:hAnsi="宋体" w:cs="宋体"/>
          <w:color w:val="000000" w:themeColor="text1"/>
          <w:szCs w:val="21"/>
          <w:u w:val="single"/>
        </w:rPr>
      </w:pPr>
      <w:r>
        <w:rPr>
          <w:rFonts w:hint="eastAsia" w:hAnsi="宋体" w:cs="宋体"/>
          <w:color w:val="000000" w:themeColor="text1"/>
          <w:szCs w:val="21"/>
        </w:rPr>
        <w:t>注    明   年     月    日   时     分（即开标时间）以前不得开封</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17.3谈判供应商在递交竞争性谈判响应文件时，未按本须知要求密封、标记的，采购代理机构有权拒收。</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18.  谈判截止时间</w:t>
      </w:r>
    </w:p>
    <w:p>
      <w:pPr>
        <w:pStyle w:val="24"/>
        <w:tabs>
          <w:tab w:val="left" w:pos="1957"/>
        </w:tabs>
        <w:spacing w:beforeLines="5" w:afterLines="5" w:line="440" w:lineRule="exact"/>
        <w:ind w:firstLine="420" w:firstLineChars="200"/>
        <w:rPr>
          <w:rFonts w:hAnsi="宋体" w:cs="宋体"/>
          <w:color w:val="000000" w:themeColor="text1"/>
          <w:spacing w:val="-4"/>
          <w:szCs w:val="21"/>
        </w:rPr>
      </w:pPr>
      <w:r>
        <w:rPr>
          <w:rFonts w:hint="eastAsia" w:hAnsi="宋体" w:cs="宋体"/>
          <w:color w:val="000000" w:themeColor="text1"/>
          <w:szCs w:val="21"/>
        </w:rPr>
        <w:t>18.1竞争性谈判响应</w:t>
      </w:r>
      <w:r>
        <w:rPr>
          <w:rFonts w:hint="eastAsia" w:hAnsi="宋体" w:cs="宋体"/>
          <w:color w:val="000000" w:themeColor="text1"/>
          <w:spacing w:val="-4"/>
          <w:szCs w:val="21"/>
        </w:rPr>
        <w:t>文件的递交不得迟于本须知前附表第7项规定的截止时间。</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18.2 谈判供应商必须在规定时间内将竞争性谈判响应文件送到本须知前附表第7项规定地点，超过谈判截止时间送达的竞争性谈判响应文件将不予受理。</w:t>
      </w:r>
    </w:p>
    <w:p>
      <w:pPr>
        <w:pStyle w:val="5"/>
        <w:spacing w:beforeLines="100" w:afterLines="100" w:line="440" w:lineRule="exact"/>
        <w:ind w:firstLine="643" w:firstLineChars="200"/>
        <w:jc w:val="center"/>
        <w:rPr>
          <w:rFonts w:ascii="宋体" w:hAnsi="宋体" w:cs="宋体"/>
          <w:color w:val="000000" w:themeColor="text1"/>
        </w:rPr>
      </w:pPr>
      <w:bookmarkStart w:id="64" w:name="_Toc181594754"/>
      <w:bookmarkStart w:id="65" w:name="_Toc342313048"/>
      <w:bookmarkStart w:id="66" w:name="_Toc181594906"/>
      <w:bookmarkStart w:id="67" w:name="_Toc3309"/>
      <w:bookmarkStart w:id="68" w:name="_Toc2956550"/>
      <w:bookmarkStart w:id="69" w:name="_Toc312878814"/>
      <w:bookmarkStart w:id="70" w:name="_Toc2956496"/>
      <w:r>
        <w:rPr>
          <w:rFonts w:hint="eastAsia" w:ascii="宋体" w:hAnsi="宋体" w:cs="宋体"/>
          <w:color w:val="000000" w:themeColor="text1"/>
        </w:rPr>
        <w:t>五 、竞争性谈判（简称谈判）与评标</w:t>
      </w:r>
      <w:bookmarkEnd w:id="64"/>
      <w:bookmarkEnd w:id="65"/>
      <w:bookmarkEnd w:id="66"/>
      <w:bookmarkEnd w:id="67"/>
      <w:bookmarkEnd w:id="68"/>
      <w:bookmarkEnd w:id="69"/>
      <w:bookmarkEnd w:id="70"/>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19.截标开标</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19.1采购代理机构于2020年12月16日15时30分在</w:t>
      </w:r>
      <w:r>
        <w:rPr>
          <w:rFonts w:hint="eastAsia" w:hAnsi="宋体" w:cs="宋体"/>
          <w:color w:val="000000" w:themeColor="text1"/>
          <w:kern w:val="0"/>
          <w:szCs w:val="21"/>
        </w:rPr>
        <w:t>玉林市公共资源交易中心（玉林市玉东新区秀水路2号玉林市政务服务中心办公楼五楼）</w:t>
      </w:r>
      <w:r>
        <w:rPr>
          <w:rFonts w:hint="eastAsia" w:hAnsi="宋体" w:cs="宋体"/>
          <w:color w:val="000000" w:themeColor="text1"/>
          <w:szCs w:val="21"/>
        </w:rPr>
        <w:t>进行截标开标，</w:t>
      </w:r>
      <w:r>
        <w:rPr>
          <w:rFonts w:hint="eastAsia" w:hAnsi="宋体" w:cs="宋体"/>
          <w:color w:val="000000" w:themeColor="text1"/>
        </w:rPr>
        <w:t>参加谈判的</w:t>
      </w:r>
      <w:r>
        <w:rPr>
          <w:rFonts w:hint="eastAsia" w:hAnsi="宋体" w:cs="宋体"/>
          <w:color w:val="000000" w:themeColor="text1"/>
          <w:szCs w:val="21"/>
        </w:rPr>
        <w:t>如是法定代表人（负责人），应提供法定代表人（负责人）身份证原件、</w:t>
      </w:r>
      <w:r>
        <w:rPr>
          <w:rFonts w:hint="eastAsia" w:hAnsi="宋体" w:cs="宋体"/>
          <w:color w:val="000000" w:themeColor="text1"/>
          <w:kern w:val="0"/>
          <w:szCs w:val="21"/>
        </w:rPr>
        <w:t>营业执照副本复印件</w:t>
      </w:r>
      <w:r>
        <w:rPr>
          <w:rFonts w:hint="eastAsia" w:hAnsi="宋体" w:cs="宋体"/>
          <w:color w:val="000000" w:themeColor="text1"/>
          <w:szCs w:val="21"/>
        </w:rPr>
        <w:t>；如果其委托代理人参加，应提供其委托代理人身份证原件、</w:t>
      </w:r>
      <w:r>
        <w:rPr>
          <w:rFonts w:hint="eastAsia" w:hAnsi="宋体" w:cs="宋体"/>
          <w:color w:val="000000" w:themeColor="text1"/>
          <w:kern w:val="0"/>
          <w:szCs w:val="21"/>
        </w:rPr>
        <w:t>营业执照副本复印件</w:t>
      </w:r>
      <w:r>
        <w:rPr>
          <w:rFonts w:hint="eastAsia" w:hAnsi="宋体" w:cs="宋体"/>
          <w:color w:val="000000" w:themeColor="text1"/>
          <w:szCs w:val="21"/>
        </w:rPr>
        <w:t>和授权委托书原件</w:t>
      </w:r>
      <w:r>
        <w:rPr>
          <w:rFonts w:hint="eastAsia" w:hAnsi="宋体" w:cs="宋体"/>
          <w:color w:val="000000" w:themeColor="text1"/>
        </w:rPr>
        <w:t>（格式自拟，内容必须清楚明确授权范围）</w:t>
      </w:r>
      <w:r>
        <w:rPr>
          <w:rFonts w:hint="eastAsia" w:hAnsi="宋体" w:cs="宋体"/>
          <w:color w:val="000000" w:themeColor="text1"/>
          <w:szCs w:val="21"/>
        </w:rPr>
        <w:t>。</w:t>
      </w:r>
      <w:r>
        <w:rPr>
          <w:rFonts w:hint="eastAsia" w:hAnsi="宋体" w:cs="宋体"/>
          <w:color w:val="000000" w:themeColor="text1"/>
        </w:rPr>
        <w:t>如</w:t>
      </w:r>
      <w:r>
        <w:rPr>
          <w:rFonts w:hint="eastAsia" w:hAnsi="宋体" w:cs="宋体"/>
          <w:color w:val="000000" w:themeColor="text1"/>
          <w:szCs w:val="21"/>
        </w:rPr>
        <w:t>谈判供应商的法定代表人（负责人）或其委托代理人未按时签到的，视同放弃开标监督权利、认可开标结果。</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19.2开标时，由监督人员和谈判供应商代表检查竞争性谈判响应文件的密封性情况，经确认无误后，由采购代理机构工作人员宣读谈判过程中应遵守的纪律和应注意的事项。</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19.3采购代理机构将做开标记录。</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19.4当整个谈判项目的谈判供应商不足3家时，除采购取消情形外，采购代理机构将按政府采购管理的有关规定报主管部门批准后根据《中华人民共和国政府采购法》将该项目改为其他方式进行采购，或依法重新组织采购。</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19.5开标后，因符合专业条件的供应商或者竞争性谈判文件作实质响应的供应商不足3家的，项目作废标处理；采购代理机构将按政府采购管理的有关规定报主管部门批准后将改为其他方式进行采购，或依法重新采购。</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20.谈判原则如下：</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20.1谈判供应商由1~3人参加谈判；谈判中谈判供应商成员之间意见不一致时，以谈判供应商的法定代表人（负责人）（或其委托代理人）的意见为准。谈判供应商的法定代表人（负责人）或其授权的委托人必须持证件（法定代表人（负责人）持本人身份证或授权的委托人持授权委托书及本人身份证）依时到达现场等候参加谈判，并自觉接受核验上述证件，谈判供应商不在规定时间内参加谈判的，或不在规定时间内对谈判内容进行应答的，视为无效谈判。</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20.2谈判小组成员作为一个集体与各谈判供应商分别进行谈判，谈判的内容包括技术条件、商务性条件以及谈判小组认为需要谈判的内容。当竞争性谈判响应文件有实质性变动的；谈判小组以书面密封形式报价。根据政府采购法第三十条第（二）款；项目谈判时间可能涉及到本文件中未确定的规格或技术要求；由此将可能造成某些谈判供应商因谈判产品无法满足采购需求而失去成交机会；此时谈判供应商应自行承担此风险且不得向采购人或代理机构索取参与谈判的任何费用。</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20.3谈判内容应作记录，或由谈判供应商及谈判小组成员签字确认。</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20.4谈判结束后，谈判小组应要求谈判供应商在规定的时间、地点以书面密封形式递交谈判时要求其就商务和技术条件作出的包含补充、修改、承诺、重新报价等内容的应答文件；应答文件必须由谈判供应商的法定代表人（负责人）或委托人签名或盖公章；应答文件构成竞争性谈判响应文件的一部分、成交候选人作第二轮谈判，密封递交谈判小组。第二轮谈判小组未能确定成交候选人的；对谈判文件修正后进行第二轮谈判。以此类推。</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20.5成交候选人作最后报价；密封递交谈判小组。</w:t>
      </w:r>
      <w:r>
        <w:rPr>
          <w:rFonts w:hint="eastAsia" w:hAnsi="宋体" w:cs="宋体"/>
          <w:color w:val="000000" w:themeColor="text1"/>
        </w:rPr>
        <w:t>谈判小组对各谈判供应商递交的应答文件统一开启，并进行评审，认为有必要再次进行谈判的，可再次与谈判供应商进行谈判（最多三轮）。</w:t>
      </w:r>
      <w:r>
        <w:rPr>
          <w:rFonts w:hint="eastAsia" w:hAnsi="宋体" w:cs="宋体"/>
          <w:color w:val="000000" w:themeColor="text1"/>
          <w:szCs w:val="21"/>
        </w:rPr>
        <w:t>对最后一轮谈判，谈判小组应明确告知谈判供应商人，并要求所有谈判供应商在规定的时间、地点以书面密封形式递交最终的应答文件。谈判小组按报价从低到高排序、推荐成交候选人顺序，形成谈判报告。</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20.6最终谈判结束后，谈判小组不得再与谈判供应商进行任何形式的商谈。</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20.7 谈判的任何一方不得透露与谈判有关的其他谈判供应商的技术资料、报价和其他信息。</w:t>
      </w:r>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 xml:space="preserve">21.  评标 </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21.1本采购项目是以采购预算价为最高限价，超出采购预算价的最终谈判报价，采购人不能支付时，谈判小组将不予以评审。</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21.2本采购项目的评标依照为竞争性谈判文件和竞争性谈判响应文件。</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21.3本项目采用的评标方法按本须知前附表第9项规定执行；“谈判小组”成员、有关工作人员及其他知情人不得透露对竞争性谈判响应文件的评审。比较和成交候选供应商的推荐情况以及与评标有关的其他情况。</w:t>
      </w:r>
    </w:p>
    <w:p>
      <w:pPr>
        <w:pStyle w:val="24"/>
        <w:spacing w:beforeLines="5" w:afterLines="5" w:line="440" w:lineRule="exact"/>
        <w:ind w:firstLine="420" w:firstLineChars="200"/>
        <w:rPr>
          <w:rFonts w:hAnsi="宋体" w:cs="宋体"/>
          <w:color w:val="000000" w:themeColor="text1"/>
          <w:spacing w:val="-4"/>
        </w:rPr>
      </w:pPr>
      <w:r>
        <w:rPr>
          <w:rFonts w:hint="eastAsia" w:hAnsi="宋体" w:cs="宋体"/>
          <w:color w:val="000000" w:themeColor="text1"/>
          <w:szCs w:val="21"/>
        </w:rPr>
        <w:t>21.4谈判供应商在评标过程中，所进行的力图影响评标结果公正性的活动，将可能导致其成交资格被取消。</w:t>
      </w:r>
      <w:r>
        <w:rPr>
          <w:rFonts w:hint="eastAsia" w:hAnsi="宋体" w:cs="宋体"/>
          <w:color w:val="000000" w:themeColor="text1"/>
          <w:spacing w:val="-4"/>
        </w:rPr>
        <w:t xml:space="preserve">  21.5谈判供应商的竞标报价或某些分项报价明显低于其他谈判供应商的竞标报价，且其竞标报价可能低于其成本的，应当要求该谈判供应商做出书面说明并提供相关证明材料。谈判供应商不能合理说明并提供相关证明材料的，谈判小组将认定该投标人以低于成本价投标，报价严重不平衡、不合理，是恶意不正当竞争行为,其投标将作无效投标处理。                                                                                                                                                  </w:t>
      </w:r>
    </w:p>
    <w:p>
      <w:pPr>
        <w:pStyle w:val="24"/>
        <w:spacing w:beforeLines="5" w:afterLines="5" w:line="440" w:lineRule="exact"/>
        <w:ind w:firstLine="422" w:firstLineChars="200"/>
        <w:rPr>
          <w:rFonts w:hAnsi="宋体" w:cs="宋体"/>
          <w:color w:val="000000" w:themeColor="text1"/>
          <w:kern w:val="21"/>
          <w:szCs w:val="21"/>
        </w:rPr>
      </w:pPr>
      <w:r>
        <w:rPr>
          <w:rFonts w:hint="eastAsia" w:hAnsi="宋体" w:cs="宋体"/>
          <w:b/>
          <w:color w:val="000000" w:themeColor="text1"/>
          <w:kern w:val="21"/>
          <w:szCs w:val="21"/>
        </w:rPr>
        <w:t>22</w:t>
      </w:r>
      <w:r>
        <w:rPr>
          <w:rFonts w:hint="eastAsia" w:hAnsi="宋体" w:cs="宋体"/>
          <w:b/>
          <w:bCs/>
          <w:color w:val="000000" w:themeColor="text1"/>
          <w:kern w:val="21"/>
          <w:szCs w:val="21"/>
        </w:rPr>
        <w:t>竞争性谈判响应文件有下列之一者，应予谈判报价无效：</w:t>
      </w:r>
    </w:p>
    <w:p>
      <w:pPr>
        <w:spacing w:line="440" w:lineRule="exact"/>
        <w:ind w:firstLine="210" w:firstLineChars="100"/>
        <w:rPr>
          <w:rFonts w:ascii="宋体" w:hAnsi="Courier New"/>
          <w:color w:val="000000" w:themeColor="text1"/>
          <w:szCs w:val="21"/>
        </w:rPr>
      </w:pPr>
      <w:r>
        <w:rPr>
          <w:rFonts w:hint="eastAsia" w:ascii="宋体" w:hAnsi="Courier New"/>
          <w:color w:val="000000" w:themeColor="text1"/>
          <w:szCs w:val="21"/>
        </w:rPr>
        <w:t>（1）谈判供应商所提供材料不足以证明其具备本项目要求的资格；</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（2）谈判供应商未按规定向采购代理机构购买本项目竞争性谈判文件；</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（3）谈判供应商未就《项目需求》中的所有内容作完整唯一报价；</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（4）未按竞争性谈判文件的要求密封、签署、盖章、编写的；</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（5）</w:t>
      </w:r>
      <w:r>
        <w:rPr>
          <w:rFonts w:hint="eastAsia" w:ascii="宋体" w:hAnsi="Courier New"/>
          <w:bCs/>
          <w:color w:val="000000" w:themeColor="text1"/>
          <w:szCs w:val="21"/>
        </w:rPr>
        <w:t>超出政府采购预算价的最终</w:t>
      </w:r>
      <w:r>
        <w:rPr>
          <w:rFonts w:hint="eastAsia" w:ascii="宋体" w:hAnsi="Courier New"/>
          <w:color w:val="000000" w:themeColor="text1"/>
          <w:szCs w:val="21"/>
        </w:rPr>
        <w:t>竞标报价；</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（6）不符合竞争性谈判文件中规定的实质性要求并且在谈判规定的时间内无法说明和补充的；</w:t>
      </w:r>
    </w:p>
    <w:p>
      <w:pPr>
        <w:spacing w:line="440" w:lineRule="exact"/>
        <w:ind w:firstLine="205" w:firstLineChars="98"/>
        <w:rPr>
          <w:rFonts w:ascii="宋体" w:hAnsi="Courier New"/>
          <w:color w:val="000000" w:themeColor="text1"/>
          <w:szCs w:val="21"/>
        </w:rPr>
      </w:pPr>
      <w:r>
        <w:rPr>
          <w:rFonts w:hint="eastAsia" w:ascii="宋体" w:hAnsi="Courier New"/>
          <w:color w:val="000000" w:themeColor="text1"/>
          <w:szCs w:val="21"/>
        </w:rPr>
        <w:t>（7）谈判供应商无法在规定时间内提供资格证明材料进行核对，或应谈判与谈判小组要求提供的有关材料原件与其在响应文件中所提供的材料复印件不一致的；</w:t>
      </w:r>
    </w:p>
    <w:p>
      <w:pPr>
        <w:spacing w:line="440" w:lineRule="exact"/>
        <w:ind w:firstLine="205" w:firstLineChars="98"/>
        <w:rPr>
          <w:rFonts w:ascii="宋体" w:hAnsi="Courier New"/>
          <w:color w:val="000000" w:themeColor="text1"/>
          <w:szCs w:val="21"/>
        </w:rPr>
      </w:pPr>
      <w:r>
        <w:rPr>
          <w:rFonts w:hint="eastAsia" w:ascii="宋体" w:hAnsi="宋体"/>
          <w:color w:val="000000" w:themeColor="text1"/>
          <w:szCs w:val="21"/>
        </w:rPr>
        <w:t>（8）</w:t>
      </w:r>
      <w:r>
        <w:rPr>
          <w:rFonts w:hint="eastAsia" w:ascii="宋体" w:hAnsi="Courier New"/>
          <w:color w:val="000000" w:themeColor="text1"/>
          <w:szCs w:val="21"/>
        </w:rPr>
        <w:t>谈判供应商无法在规定时间内提供证明资料或资料不足以证明其</w:t>
      </w:r>
      <w:r>
        <w:rPr>
          <w:rFonts w:hint="eastAsia" w:ascii="宋体" w:hAnsi="Courier New"/>
          <w:bCs/>
          <w:color w:val="000000" w:themeColor="text1"/>
          <w:szCs w:val="21"/>
        </w:rPr>
        <w:t>最终</w:t>
      </w:r>
      <w:r>
        <w:rPr>
          <w:rFonts w:hint="eastAsia" w:ascii="宋体" w:hAnsi="Courier New"/>
          <w:color w:val="000000" w:themeColor="text1"/>
          <w:szCs w:val="21"/>
        </w:rPr>
        <w:t>竞标报价</w:t>
      </w:r>
      <w:r>
        <w:rPr>
          <w:rFonts w:hint="eastAsia" w:hAnsi="宋体" w:cs="Courier New"/>
          <w:color w:val="000000" w:themeColor="text1"/>
          <w:szCs w:val="21"/>
        </w:rPr>
        <w:t>明显低于其他通过符合性审查</w:t>
      </w:r>
      <w:r>
        <w:rPr>
          <w:rFonts w:hint="eastAsia" w:ascii="宋体" w:hAnsi="Courier New"/>
          <w:color w:val="000000" w:themeColor="text1"/>
          <w:szCs w:val="21"/>
        </w:rPr>
        <w:t>供应商</w:t>
      </w:r>
      <w:r>
        <w:rPr>
          <w:rFonts w:hint="eastAsia" w:hAnsi="宋体" w:cs="Courier New"/>
          <w:color w:val="000000" w:themeColor="text1"/>
          <w:szCs w:val="21"/>
        </w:rPr>
        <w:t>报价</w:t>
      </w:r>
      <w:r>
        <w:rPr>
          <w:rFonts w:hint="eastAsia" w:ascii="宋体" w:hAnsi="Courier New"/>
          <w:color w:val="000000" w:themeColor="text1"/>
          <w:szCs w:val="21"/>
        </w:rPr>
        <w:t>的；</w:t>
      </w:r>
    </w:p>
    <w:p>
      <w:pPr>
        <w:widowControl/>
        <w:spacing w:line="450" w:lineRule="exact"/>
        <w:ind w:firstLine="205" w:firstLineChars="98"/>
        <w:jc w:val="left"/>
        <w:rPr>
          <w:rFonts w:ascii="宋体" w:hAnsi="宋体"/>
          <w:color w:val="000000" w:themeColor="text1"/>
          <w:szCs w:val="21"/>
        </w:rPr>
      </w:pPr>
      <w:r>
        <w:rPr>
          <w:rFonts w:hint="eastAsia" w:ascii="宋体" w:hAnsi="宋体"/>
          <w:color w:val="000000" w:themeColor="text1"/>
          <w:szCs w:val="21"/>
        </w:rPr>
        <w:t>（9）关联供应商不得参加同一合同项下政府采购活动，否则响应文件将视为无效：</w:t>
      </w:r>
    </w:p>
    <w:p>
      <w:pPr>
        <w:widowControl/>
        <w:spacing w:line="450" w:lineRule="exact"/>
        <w:ind w:firstLine="411" w:firstLineChars="196"/>
        <w:jc w:val="left"/>
        <w:rPr>
          <w:rFonts w:ascii="宋体" w:hAnsi="宋体"/>
          <w:color w:val="000000" w:themeColor="text1"/>
          <w:szCs w:val="21"/>
        </w:rPr>
      </w:pPr>
      <w:r>
        <w:rPr>
          <w:rFonts w:hint="eastAsia" w:ascii="宋体" w:hAnsi="宋体"/>
          <w:color w:val="000000" w:themeColor="text1"/>
          <w:szCs w:val="21"/>
        </w:rPr>
        <w:t>①单位负责人为同一人或者存在直接控股、管理关系的不同供应商，不得参加同一合同项下的政府采购活动；</w:t>
      </w:r>
    </w:p>
    <w:p>
      <w:pPr>
        <w:spacing w:line="450" w:lineRule="exact"/>
        <w:ind w:firstLine="411" w:firstLineChars="196"/>
        <w:rPr>
          <w:rFonts w:ascii="宋体" w:hAnsi="宋体"/>
          <w:color w:val="000000" w:themeColor="text1"/>
          <w:szCs w:val="21"/>
        </w:rPr>
      </w:pPr>
      <w:r>
        <w:rPr>
          <w:rFonts w:hint="eastAsia" w:ascii="宋体" w:hAnsi="宋体"/>
          <w:color w:val="000000" w:themeColor="text1"/>
          <w:szCs w:val="21"/>
        </w:rPr>
        <w:t>②生产厂商授权给供应商后自己不得参加同一合同项下的政府采购活动；生产厂商对同一品牌同一型号的货物，仅能委托一个代理商参加竞标；</w:t>
      </w:r>
    </w:p>
    <w:p>
      <w:pPr>
        <w:pStyle w:val="24"/>
        <w:tabs>
          <w:tab w:val="left" w:pos="630"/>
        </w:tabs>
        <w:spacing w:beforeLines="5" w:afterLines="5" w:line="440" w:lineRule="exact"/>
        <w:ind w:firstLine="420" w:firstLineChars="200"/>
        <w:rPr>
          <w:rFonts w:hAnsi="宋体" w:cs="宋体"/>
          <w:color w:val="000000" w:themeColor="text1"/>
          <w:kern w:val="21"/>
          <w:szCs w:val="21"/>
        </w:rPr>
      </w:pPr>
      <w:r>
        <w:rPr>
          <w:rFonts w:hint="eastAsia" w:ascii="Times New Roman" w:hAnsi="宋体"/>
          <w:color w:val="000000" w:themeColor="text1"/>
          <w:szCs w:val="21"/>
        </w:rPr>
        <w:t>（10）</w:t>
      </w:r>
      <w:r>
        <w:rPr>
          <w:rFonts w:hint="eastAsia" w:hAnsi="宋体"/>
          <w:color w:val="000000" w:themeColor="text1"/>
          <w:szCs w:val="21"/>
        </w:rPr>
        <w:t>不符合法律、法规或竞争性谈判文件规定的其他实质性要求和条件的。</w:t>
      </w:r>
    </w:p>
    <w:p>
      <w:pPr>
        <w:pStyle w:val="24"/>
        <w:tabs>
          <w:tab w:val="left" w:pos="630"/>
        </w:tabs>
        <w:spacing w:beforeLines="5" w:afterLines="5" w:line="440" w:lineRule="exact"/>
        <w:ind w:firstLine="422" w:firstLineChars="200"/>
        <w:rPr>
          <w:rFonts w:hAnsi="宋体" w:cs="宋体"/>
          <w:b/>
          <w:bCs/>
          <w:color w:val="000000" w:themeColor="text1"/>
          <w:szCs w:val="21"/>
        </w:rPr>
      </w:pPr>
      <w:r>
        <w:rPr>
          <w:rFonts w:hint="eastAsia" w:hAnsi="宋体" w:cs="宋体"/>
          <w:b/>
          <w:color w:val="000000" w:themeColor="text1"/>
          <w:szCs w:val="21"/>
        </w:rPr>
        <w:t>23.采购过程中有下列行为之一者，应予废标：</w:t>
      </w:r>
    </w:p>
    <w:p>
      <w:pPr>
        <w:spacing w:beforeLines="5" w:afterLines="5" w:line="440" w:lineRule="exact"/>
        <w:ind w:firstLine="420" w:firstLineChars="200"/>
        <w:rPr>
          <w:rFonts w:ascii="宋体" w:hAnsi="宋体" w:cs="宋体"/>
          <w:color w:val="000000" w:themeColor="text1"/>
          <w:kern w:val="21"/>
          <w:szCs w:val="21"/>
        </w:rPr>
      </w:pPr>
      <w:r>
        <w:rPr>
          <w:rFonts w:hint="eastAsia" w:ascii="宋体" w:hAnsi="宋体" w:cs="宋体"/>
          <w:color w:val="000000" w:themeColor="text1"/>
          <w:kern w:val="21"/>
          <w:szCs w:val="21"/>
        </w:rPr>
        <w:t>（1）谈判采购过程中出现下列情形之一的，将予以废标：</w:t>
      </w:r>
    </w:p>
    <w:p>
      <w:pPr>
        <w:spacing w:beforeLines="5" w:afterLines="5" w:line="440" w:lineRule="exact"/>
        <w:ind w:firstLine="420" w:firstLineChars="200"/>
        <w:rPr>
          <w:rFonts w:ascii="宋体" w:hAnsi="宋体" w:cs="宋体"/>
          <w:color w:val="000000" w:themeColor="text1"/>
          <w:kern w:val="21"/>
          <w:szCs w:val="21"/>
        </w:rPr>
      </w:pPr>
      <w:r>
        <w:rPr>
          <w:rFonts w:hint="eastAsia" w:ascii="宋体" w:hAnsi="宋体" w:cs="宋体"/>
          <w:color w:val="000000" w:themeColor="text1"/>
          <w:kern w:val="21"/>
          <w:szCs w:val="21"/>
        </w:rPr>
        <w:t>（2）符合专业条件的供应商或者对竞争性谈判文件作实质响应的供应商不足三家的；</w:t>
      </w:r>
    </w:p>
    <w:p>
      <w:pPr>
        <w:spacing w:beforeLines="5" w:afterLines="5" w:line="440" w:lineRule="exact"/>
        <w:ind w:firstLine="420" w:firstLineChars="200"/>
        <w:rPr>
          <w:rFonts w:ascii="宋体" w:hAnsi="宋体" w:cs="宋体"/>
          <w:color w:val="000000" w:themeColor="text1"/>
          <w:kern w:val="21"/>
          <w:szCs w:val="21"/>
        </w:rPr>
      </w:pPr>
      <w:r>
        <w:rPr>
          <w:rFonts w:hint="eastAsia" w:ascii="宋体" w:hAnsi="宋体" w:cs="宋体"/>
          <w:color w:val="000000" w:themeColor="text1"/>
          <w:kern w:val="21"/>
          <w:szCs w:val="21"/>
        </w:rPr>
        <w:t>（3）出现影响采购公正的违法、违规行为的；</w:t>
      </w:r>
    </w:p>
    <w:p>
      <w:pPr>
        <w:spacing w:beforeLines="5" w:afterLines="5" w:line="440" w:lineRule="exact"/>
        <w:ind w:firstLine="420" w:firstLineChars="200"/>
        <w:rPr>
          <w:rFonts w:ascii="宋体" w:hAnsi="宋体" w:cs="宋体"/>
          <w:color w:val="000000" w:themeColor="text1"/>
          <w:kern w:val="21"/>
          <w:szCs w:val="21"/>
        </w:rPr>
      </w:pPr>
      <w:r>
        <w:rPr>
          <w:rFonts w:hint="eastAsia" w:ascii="宋体" w:hAnsi="宋体" w:cs="宋体"/>
          <w:color w:val="000000" w:themeColor="text1"/>
          <w:kern w:val="21"/>
          <w:szCs w:val="21"/>
        </w:rPr>
        <w:t>（4）谈判供应商的报价未超过采购预算的供应商不足三家的；</w:t>
      </w:r>
    </w:p>
    <w:p>
      <w:pPr>
        <w:spacing w:beforeLines="5" w:afterLines="5" w:line="440" w:lineRule="exact"/>
        <w:ind w:firstLine="420" w:firstLineChars="200"/>
        <w:rPr>
          <w:rFonts w:ascii="宋体" w:hAnsi="宋体" w:cs="宋体"/>
          <w:color w:val="000000" w:themeColor="text1"/>
          <w:kern w:val="21"/>
          <w:szCs w:val="21"/>
        </w:rPr>
      </w:pPr>
      <w:r>
        <w:rPr>
          <w:rFonts w:hint="eastAsia" w:ascii="宋体" w:hAnsi="宋体" w:cs="宋体"/>
          <w:color w:val="000000" w:themeColor="text1"/>
          <w:kern w:val="21"/>
          <w:szCs w:val="21"/>
        </w:rPr>
        <w:t>（5）因重大变故，采购任务取消的；</w:t>
      </w:r>
    </w:p>
    <w:p>
      <w:pPr>
        <w:spacing w:beforeLines="5" w:afterLines="5" w:line="440" w:lineRule="exact"/>
        <w:rPr>
          <w:rFonts w:ascii="宋体" w:hAnsi="宋体" w:cs="宋体"/>
          <w:b/>
          <w:color w:val="000000" w:themeColor="text1"/>
          <w:szCs w:val="21"/>
        </w:rPr>
      </w:pPr>
      <w:r>
        <w:rPr>
          <w:rFonts w:hint="eastAsia" w:ascii="宋体" w:hAnsi="宋体" w:cs="宋体"/>
          <w:b/>
          <w:color w:val="000000" w:themeColor="text1"/>
          <w:szCs w:val="21"/>
        </w:rPr>
        <w:t>24.重新招标</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有下列情形之一的，采购人将重新招标：</w:t>
      </w:r>
    </w:p>
    <w:p>
      <w:pPr>
        <w:spacing w:beforeLines="5" w:afterLines="5"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（1）谈判截止时间止，提交竞争性谈判响应文件的谈判供应商少于三家；</w:t>
      </w:r>
    </w:p>
    <w:p>
      <w:pPr>
        <w:spacing w:beforeLines="5" w:afterLines="5"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（2）经评标委员会评审后否决所有谈判的。</w:t>
      </w:r>
    </w:p>
    <w:p>
      <w:pPr>
        <w:spacing w:beforeLines="5" w:afterLines="5" w:line="440" w:lineRule="exact"/>
        <w:ind w:left="527" w:hanging="527" w:hangingChars="250"/>
        <w:rPr>
          <w:rFonts w:ascii="宋体" w:hAnsi="宋体" w:cs="宋体"/>
          <w:b/>
          <w:color w:val="000000" w:themeColor="text1"/>
          <w:szCs w:val="21"/>
        </w:rPr>
      </w:pPr>
      <w:r>
        <w:rPr>
          <w:rFonts w:hint="eastAsia" w:ascii="宋体" w:hAnsi="宋体" w:cs="宋体"/>
          <w:b/>
          <w:color w:val="000000" w:themeColor="text1"/>
          <w:szCs w:val="21"/>
        </w:rPr>
        <w:t>25.不再招标</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重新招标后谈判供应商仍少于三家或者所有投标被否决的，属于必须审核或批准的工程建设项目，经原审核或核准部门批准后不再进行招标。</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26 .本项目评标办法为</w:t>
      </w:r>
      <w:r>
        <w:rPr>
          <w:rFonts w:hint="eastAsia" w:hAnsi="宋体" w:cs="宋体"/>
          <w:b/>
          <w:color w:val="000000" w:themeColor="text1"/>
          <w:szCs w:val="21"/>
          <w:u w:val="single"/>
        </w:rPr>
        <w:t>最低评标价法</w:t>
      </w:r>
      <w:r>
        <w:rPr>
          <w:rFonts w:hint="eastAsia" w:hAnsi="宋体" w:cs="宋体"/>
          <w:color w:val="000000" w:themeColor="text1"/>
          <w:szCs w:val="21"/>
          <w:u w:val="single"/>
        </w:rPr>
        <w:t>。</w:t>
      </w:r>
      <w:r>
        <w:rPr>
          <w:rFonts w:hint="eastAsia" w:hAnsi="宋体" w:cs="宋体"/>
          <w:color w:val="000000" w:themeColor="text1"/>
          <w:szCs w:val="21"/>
        </w:rPr>
        <w:t>（详见第三章）</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27. 谈判供应商在评标过程中，所进行的力图影响评标结果公正性的活动，将取消其成交资格。</w:t>
      </w:r>
    </w:p>
    <w:p>
      <w:pPr>
        <w:pStyle w:val="5"/>
        <w:spacing w:beforeLines="100" w:afterLines="100" w:line="440" w:lineRule="exact"/>
        <w:jc w:val="center"/>
        <w:rPr>
          <w:rFonts w:ascii="宋体" w:hAnsi="宋体" w:cs="宋体"/>
          <w:color w:val="000000" w:themeColor="text1"/>
        </w:rPr>
      </w:pPr>
      <w:bookmarkStart w:id="71" w:name="_Toc858"/>
      <w:bookmarkStart w:id="72" w:name="_Toc181594907"/>
      <w:bookmarkStart w:id="73" w:name="_Toc312878815"/>
      <w:bookmarkStart w:id="74" w:name="_Toc2956551"/>
      <w:bookmarkStart w:id="75" w:name="_Toc181594755"/>
      <w:bookmarkStart w:id="76" w:name="_Toc2956497"/>
      <w:bookmarkStart w:id="77" w:name="_Toc342313049"/>
      <w:r>
        <w:rPr>
          <w:rFonts w:hint="eastAsia" w:ascii="宋体" w:hAnsi="宋体" w:cs="宋体"/>
          <w:color w:val="000000" w:themeColor="text1"/>
        </w:rPr>
        <w:t>六、 签订合同</w:t>
      </w:r>
      <w:bookmarkEnd w:id="71"/>
      <w:bookmarkEnd w:id="72"/>
      <w:bookmarkEnd w:id="73"/>
      <w:bookmarkEnd w:id="74"/>
      <w:bookmarkEnd w:id="75"/>
      <w:bookmarkEnd w:id="76"/>
      <w:bookmarkEnd w:id="77"/>
    </w:p>
    <w:p>
      <w:pPr>
        <w:pStyle w:val="24"/>
        <w:spacing w:beforeLines="5" w:afterLines="5" w:line="440" w:lineRule="exact"/>
        <w:rPr>
          <w:rFonts w:hAnsi="宋体" w:cs="宋体"/>
          <w:b/>
          <w:color w:val="000000" w:themeColor="text1"/>
          <w:szCs w:val="21"/>
        </w:rPr>
      </w:pPr>
      <w:r>
        <w:rPr>
          <w:rFonts w:hint="eastAsia" w:hAnsi="宋体" w:cs="宋体"/>
          <w:b/>
          <w:color w:val="000000" w:themeColor="text1"/>
          <w:szCs w:val="21"/>
        </w:rPr>
        <w:t>28. 成交结果公告</w:t>
      </w:r>
    </w:p>
    <w:p>
      <w:pPr>
        <w:snapToGrid w:val="0"/>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28.1 采购代理机构在谈判工作完成五个工作日内将谈判报告送采购人，采购人确认后，成交结果将在</w:t>
      </w:r>
      <w:r>
        <w:rPr>
          <w:rFonts w:hint="eastAsia" w:ascii="宋体" w:hAnsi="宋体" w:cs="宋体"/>
          <w:color w:val="000000" w:themeColor="text1"/>
        </w:rPr>
        <w:t>广西壮族自治区政府采购网（zfcg.gxzf.gov.cn）、中国玉林政府门户网（www.yulin.gov.cn）、玉林市公共资源交易平台（http://ggzy.yulin.gov.cn）</w:t>
      </w:r>
      <w:r>
        <w:rPr>
          <w:rFonts w:hint="eastAsia" w:ascii="宋体" w:hAnsi="宋体" w:cs="宋体"/>
          <w:color w:val="000000" w:themeColor="text1"/>
          <w:szCs w:val="21"/>
        </w:rPr>
        <w:t>发布成交结果公告。</w:t>
      </w:r>
    </w:p>
    <w:p>
      <w:pPr>
        <w:snapToGrid w:val="0"/>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28.2 谈判供应商如对成交公告有异议，可以在成交公告发布后七个工作日内以书面形式向采购代理机构提出质疑。采购代理机构在收到谈判供应商的书面质疑后七个工作日内做出答复，但是答复的内容不得涉及商业秘密。</w:t>
      </w:r>
    </w:p>
    <w:p>
      <w:pPr>
        <w:snapToGrid w:val="0"/>
        <w:spacing w:beforeLines="5" w:afterLines="5" w:line="440" w:lineRule="exact"/>
        <w:ind w:firstLine="420" w:firstLineChars="200"/>
        <w:rPr>
          <w:rFonts w:ascii="宋体" w:hAnsi="宋体" w:cs="宋体"/>
          <w:b/>
          <w:color w:val="000000" w:themeColor="text1"/>
          <w:szCs w:val="21"/>
        </w:rPr>
      </w:pPr>
      <w:r>
        <w:rPr>
          <w:rFonts w:hint="eastAsia" w:ascii="宋体" w:hAnsi="宋体" w:cs="宋体"/>
          <w:color w:val="000000" w:themeColor="text1"/>
          <w:szCs w:val="21"/>
        </w:rPr>
        <w:t>28.3 质疑谈判供应商必须首先经过质疑程序，在对采购代理机构的答复不满意或者采购代理机构未在规定的时间内做出答复的，可以在答复期满后十五个工作日内书面向同级人民政府财政部门投诉。</w:t>
      </w:r>
    </w:p>
    <w:p>
      <w:pPr>
        <w:pStyle w:val="24"/>
        <w:spacing w:beforeLines="5" w:afterLines="5" w:line="440" w:lineRule="exact"/>
        <w:ind w:firstLine="422" w:firstLineChars="200"/>
        <w:rPr>
          <w:rFonts w:hAnsi="宋体" w:cs="宋体"/>
          <w:color w:val="000000" w:themeColor="text1"/>
          <w:szCs w:val="21"/>
        </w:rPr>
      </w:pPr>
      <w:r>
        <w:rPr>
          <w:rFonts w:hint="eastAsia" w:hAnsi="宋体" w:cs="宋体"/>
          <w:b/>
          <w:color w:val="000000" w:themeColor="text1"/>
          <w:szCs w:val="21"/>
        </w:rPr>
        <w:t>29.  签订合同</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29.1成交通知书发出之日起</w:t>
      </w:r>
      <w:r>
        <w:rPr>
          <w:rFonts w:hint="eastAsia" w:hAnsi="宋体" w:cs="宋体"/>
          <w:color w:val="000000" w:themeColor="text1"/>
          <w:kern w:val="0"/>
          <w:szCs w:val="21"/>
        </w:rPr>
        <w:t>3日历天，成交人必须与采购人签订保密协议方可签订政府采购合同，否</w:t>
      </w:r>
      <w:r>
        <w:rPr>
          <w:rFonts w:hint="eastAsia" w:hAnsi="宋体" w:cs="宋体"/>
          <w:color w:val="000000" w:themeColor="text1"/>
          <w:szCs w:val="21"/>
        </w:rPr>
        <w:t>则按成交人违约处理。</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29.2采购人与成交人应当在成交通知书发出之日起</w:t>
      </w:r>
      <w:r>
        <w:rPr>
          <w:rFonts w:hint="eastAsia" w:hAnsi="宋体" w:cs="宋体"/>
          <w:color w:val="000000" w:themeColor="text1"/>
          <w:kern w:val="0"/>
          <w:szCs w:val="21"/>
        </w:rPr>
        <w:t>25个工作日</w:t>
      </w:r>
      <w:r>
        <w:rPr>
          <w:rFonts w:hint="eastAsia" w:hAnsi="宋体" w:cs="宋体"/>
          <w:color w:val="000000" w:themeColor="text1"/>
          <w:szCs w:val="21"/>
        </w:rPr>
        <w:t>内，按照采购文件确定的事项签订政府采购合同。</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29.3 如成交人不按成交通知书的规定签订合同，则按成交人违约处理。</w:t>
      </w:r>
    </w:p>
    <w:p>
      <w:pPr>
        <w:pStyle w:val="24"/>
        <w:spacing w:beforeLines="5" w:afterLines="5" w:line="440" w:lineRule="exact"/>
        <w:ind w:firstLine="420" w:firstLineChars="200"/>
        <w:rPr>
          <w:rFonts w:hAnsi="宋体" w:cs="宋体"/>
          <w:color w:val="000000" w:themeColor="text1"/>
          <w:szCs w:val="21"/>
        </w:rPr>
      </w:pPr>
      <w:r>
        <w:rPr>
          <w:rFonts w:hint="eastAsia" w:hAnsi="宋体" w:cs="宋体"/>
          <w:color w:val="000000" w:themeColor="text1"/>
          <w:szCs w:val="21"/>
        </w:rPr>
        <w:t>29.4 如遇成交人违约，采购代理机构有权在采购管理机构的监督下确定经谈判小组一致确认的第二成交候选人为成交人，依次类推，或重新组织采购。</w:t>
      </w:r>
      <w:bookmarkStart w:id="78" w:name="_Toc181594756"/>
      <w:bookmarkStart w:id="79" w:name="_Toc312878816"/>
      <w:bookmarkStart w:id="80" w:name="_Toc181594908"/>
    </w:p>
    <w:p>
      <w:pPr>
        <w:pStyle w:val="24"/>
        <w:spacing w:beforeLines="5" w:afterLines="5" w:line="440" w:lineRule="exact"/>
        <w:ind w:firstLine="422" w:firstLineChars="200"/>
        <w:rPr>
          <w:rFonts w:hAnsi="宋体" w:cs="宋体"/>
          <w:b/>
          <w:color w:val="000000" w:themeColor="text1"/>
          <w:szCs w:val="21"/>
        </w:rPr>
      </w:pPr>
      <w:r>
        <w:rPr>
          <w:rFonts w:hint="eastAsia" w:hAnsi="宋体" w:cs="宋体"/>
          <w:b/>
          <w:color w:val="000000" w:themeColor="text1"/>
          <w:szCs w:val="21"/>
        </w:rPr>
        <w:t>30.履约保证金：无。</w:t>
      </w:r>
    </w:p>
    <w:p>
      <w:pPr>
        <w:pStyle w:val="24"/>
        <w:spacing w:beforeLines="5" w:afterLines="5" w:line="440" w:lineRule="exact"/>
        <w:ind w:firstLine="422" w:firstLineChars="200"/>
        <w:rPr>
          <w:rFonts w:hAnsi="宋体" w:cs="宋体"/>
          <w:b/>
          <w:color w:val="000000" w:themeColor="text1"/>
          <w:szCs w:val="21"/>
        </w:rPr>
      </w:pPr>
      <w:bookmarkStart w:id="81" w:name="_Toc342313050"/>
      <w:r>
        <w:rPr>
          <w:rFonts w:hint="eastAsia" w:hAnsi="宋体" w:cs="宋体"/>
          <w:b/>
          <w:color w:val="000000" w:themeColor="text1"/>
          <w:szCs w:val="21"/>
        </w:rPr>
        <w:t>31.质疑</w:t>
      </w:r>
    </w:p>
    <w:p>
      <w:pPr>
        <w:pStyle w:val="24"/>
        <w:spacing w:beforeLines="5" w:afterLines="5" w:line="440" w:lineRule="exact"/>
        <w:ind w:firstLine="420" w:firstLineChars="200"/>
        <w:rPr>
          <w:rFonts w:hAnsi="宋体" w:cs="宋体"/>
          <w:bCs/>
          <w:color w:val="000000" w:themeColor="text1"/>
          <w:szCs w:val="21"/>
        </w:rPr>
      </w:pPr>
      <w:r>
        <w:rPr>
          <w:rFonts w:hint="eastAsia" w:hAnsi="宋体" w:cs="宋体"/>
          <w:bCs/>
          <w:color w:val="000000" w:themeColor="text1"/>
          <w:szCs w:val="21"/>
        </w:rPr>
        <w:t>31.1</w:t>
      </w:r>
      <w:r>
        <w:rPr>
          <w:rFonts w:hint="eastAsia" w:hAnsi="宋体" w:cs="宋体"/>
          <w:color w:val="000000" w:themeColor="text1"/>
          <w:szCs w:val="21"/>
        </w:rPr>
        <w:t>谈判供应商</w:t>
      </w:r>
      <w:r>
        <w:rPr>
          <w:rFonts w:hint="eastAsia" w:hAnsi="宋体" w:cs="宋体"/>
          <w:bCs/>
          <w:color w:val="000000" w:themeColor="text1"/>
          <w:szCs w:val="21"/>
        </w:rPr>
        <w:t>认为采购文件、采购过程和中标、成交结果使自己的权益受到损害的，可以在知道或者应知其权益受到损害之日起七个工作日内，以书面形式向采购代理机构提出质疑。</w:t>
      </w:r>
    </w:p>
    <w:p>
      <w:pPr>
        <w:pStyle w:val="24"/>
        <w:spacing w:beforeLines="5" w:afterLines="5" w:line="440" w:lineRule="exact"/>
        <w:ind w:firstLine="420" w:firstLineChars="200"/>
        <w:rPr>
          <w:rFonts w:hAnsi="宋体" w:cs="宋体"/>
          <w:bCs/>
          <w:color w:val="000000" w:themeColor="text1"/>
          <w:szCs w:val="21"/>
        </w:rPr>
      </w:pPr>
      <w:r>
        <w:rPr>
          <w:rFonts w:hint="eastAsia" w:hAnsi="宋体" w:cs="宋体"/>
          <w:bCs/>
          <w:color w:val="000000" w:themeColor="text1"/>
          <w:szCs w:val="21"/>
        </w:rPr>
        <w:t>31.2 采购代理机构应当依照第5条的规定就采购人委托授权范围内的事项在收到</w:t>
      </w:r>
      <w:r>
        <w:rPr>
          <w:rFonts w:hint="eastAsia" w:hAnsi="宋体" w:cs="宋体"/>
          <w:color w:val="000000" w:themeColor="text1"/>
          <w:szCs w:val="21"/>
        </w:rPr>
        <w:t>谈判供应商</w:t>
      </w:r>
      <w:r>
        <w:rPr>
          <w:rFonts w:hint="eastAsia" w:hAnsi="宋体" w:cs="宋体"/>
          <w:bCs/>
          <w:color w:val="000000" w:themeColor="text1"/>
          <w:szCs w:val="21"/>
        </w:rPr>
        <w:t>的书面质疑后七个工作日内做出答复，但答复的内容不得涉及商业秘密。</w:t>
      </w:r>
    </w:p>
    <w:p>
      <w:pPr>
        <w:pStyle w:val="24"/>
        <w:spacing w:beforeLines="5" w:afterLines="5" w:line="440" w:lineRule="exact"/>
        <w:ind w:firstLine="422" w:firstLineChars="200"/>
        <w:rPr>
          <w:rFonts w:hAnsi="宋体" w:cs="宋体"/>
          <w:bCs/>
          <w:color w:val="000000" w:themeColor="text1"/>
          <w:szCs w:val="21"/>
        </w:rPr>
      </w:pPr>
      <w:r>
        <w:rPr>
          <w:rFonts w:hint="eastAsia" w:hAnsi="宋体" w:cs="宋体"/>
          <w:b/>
          <w:color w:val="000000" w:themeColor="text1"/>
          <w:szCs w:val="21"/>
        </w:rPr>
        <w:t>32.投诉</w:t>
      </w:r>
    </w:p>
    <w:p>
      <w:pPr>
        <w:pStyle w:val="24"/>
        <w:spacing w:beforeLines="5" w:afterLines="5" w:line="440" w:lineRule="exact"/>
        <w:ind w:firstLine="420" w:firstLineChars="200"/>
        <w:rPr>
          <w:rFonts w:hAnsi="宋体" w:cs="宋体"/>
          <w:bCs/>
          <w:color w:val="000000" w:themeColor="text1"/>
          <w:szCs w:val="21"/>
        </w:rPr>
      </w:pPr>
      <w:r>
        <w:rPr>
          <w:rFonts w:hint="eastAsia" w:hAnsi="宋体" w:cs="宋体"/>
          <w:bCs/>
          <w:color w:val="000000" w:themeColor="text1"/>
          <w:szCs w:val="21"/>
        </w:rPr>
        <w:t>32.1质疑</w:t>
      </w:r>
      <w:r>
        <w:rPr>
          <w:rFonts w:hint="eastAsia" w:hAnsi="宋体" w:cs="宋体"/>
          <w:color w:val="000000" w:themeColor="text1"/>
          <w:szCs w:val="21"/>
        </w:rPr>
        <w:t>谈判供应商</w:t>
      </w:r>
      <w:r>
        <w:rPr>
          <w:rFonts w:hint="eastAsia" w:hAnsi="宋体" w:cs="宋体"/>
          <w:bCs/>
          <w:color w:val="000000" w:themeColor="text1"/>
          <w:szCs w:val="21"/>
        </w:rPr>
        <w:t>必须首先经过质疑程序，在对采购代理机构的答复不满意或者采购代理机构未在规定的时间内做出答复的，可以在答复期满后十五个工作日内书面向政府采购监督管理机构投诉。</w:t>
      </w:r>
    </w:p>
    <w:p>
      <w:pPr>
        <w:pStyle w:val="24"/>
        <w:spacing w:beforeLines="5" w:afterLines="5" w:line="440" w:lineRule="exact"/>
        <w:ind w:firstLine="420" w:firstLineChars="200"/>
        <w:rPr>
          <w:rFonts w:hAnsi="宋体" w:cs="宋体"/>
          <w:bCs/>
          <w:color w:val="000000" w:themeColor="text1"/>
          <w:szCs w:val="21"/>
        </w:rPr>
      </w:pPr>
      <w:r>
        <w:rPr>
          <w:rFonts w:hint="eastAsia" w:hAnsi="宋体" w:cs="宋体"/>
          <w:bCs/>
          <w:color w:val="000000" w:themeColor="text1"/>
          <w:szCs w:val="21"/>
        </w:rPr>
        <w:t>32.2政府采购监督管理机构在处理投诉事项期间，可以视具体情况书面通知采购人暂停采购活动。</w:t>
      </w:r>
    </w:p>
    <w:p>
      <w:pPr>
        <w:pStyle w:val="24"/>
        <w:spacing w:beforeLines="5" w:afterLines="5" w:line="440" w:lineRule="exact"/>
        <w:ind w:firstLine="422" w:firstLineChars="200"/>
        <w:rPr>
          <w:rFonts w:hAnsi="宋体" w:cs="宋体"/>
          <w:color w:val="000000" w:themeColor="text1"/>
          <w:szCs w:val="21"/>
        </w:rPr>
      </w:pPr>
      <w:r>
        <w:rPr>
          <w:rFonts w:hint="eastAsia" w:hAnsi="宋体" w:cs="宋体"/>
          <w:b/>
          <w:color w:val="000000" w:themeColor="text1"/>
          <w:szCs w:val="21"/>
        </w:rPr>
        <w:t>33.质疑和投诉书面要求</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33.1质疑人或投诉人提供的书面材料（如材料中有外文资料应同时附上中文译本）应当包括以下内容：</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（1）质疑人或投诉人的单位名称或姓名、详细地址、邮政编码、联系电话等；</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（2）被质疑人或被投诉人的单位名称或姓名等；</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（3）质疑或投诉的事实及理由；</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（4）有关违纪违规的情况和有效证明材料；</w:t>
      </w:r>
    </w:p>
    <w:p>
      <w:pPr>
        <w:spacing w:beforeLines="5" w:afterLines="5"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（5）质疑人或投诉人的签章及质疑或投诉时间；</w:t>
      </w:r>
    </w:p>
    <w:p>
      <w:pPr>
        <w:pStyle w:val="24"/>
        <w:spacing w:beforeLines="5" w:afterLines="5" w:line="440" w:lineRule="exact"/>
        <w:rPr>
          <w:rFonts w:hAnsi="宋体" w:cs="宋体"/>
          <w:b/>
          <w:bCs/>
          <w:color w:val="000000" w:themeColor="text1"/>
          <w:kern w:val="21"/>
          <w:szCs w:val="21"/>
        </w:rPr>
      </w:pPr>
      <w:r>
        <w:rPr>
          <w:rFonts w:hint="eastAsia" w:hAnsi="宋体" w:cs="宋体"/>
          <w:b/>
          <w:bCs/>
          <w:color w:val="000000" w:themeColor="text1"/>
          <w:kern w:val="21"/>
          <w:szCs w:val="21"/>
        </w:rPr>
        <w:t>如未按上述要求所进行的质疑或投诉将被视为无效，不予受理。</w:t>
      </w:r>
    </w:p>
    <w:p>
      <w:pPr>
        <w:pStyle w:val="5"/>
        <w:spacing w:beforeLines="100" w:afterLines="100" w:line="440" w:lineRule="exact"/>
        <w:jc w:val="center"/>
        <w:rPr>
          <w:rFonts w:ascii="宋体" w:hAnsi="宋体" w:cs="宋体"/>
          <w:color w:val="000000" w:themeColor="text1"/>
        </w:rPr>
      </w:pPr>
      <w:bookmarkStart w:id="82" w:name="_Toc5690"/>
      <w:bookmarkStart w:id="83" w:name="_Toc2956552"/>
      <w:bookmarkStart w:id="84" w:name="_Toc2956498"/>
      <w:r>
        <w:rPr>
          <w:rFonts w:hint="eastAsia" w:ascii="宋体" w:hAnsi="宋体" w:cs="宋体"/>
          <w:color w:val="000000" w:themeColor="text1"/>
        </w:rPr>
        <w:t>七 、其他事项</w:t>
      </w:r>
      <w:bookmarkEnd w:id="78"/>
      <w:bookmarkEnd w:id="79"/>
      <w:bookmarkEnd w:id="80"/>
      <w:bookmarkEnd w:id="81"/>
      <w:bookmarkEnd w:id="82"/>
      <w:bookmarkEnd w:id="83"/>
      <w:bookmarkEnd w:id="84"/>
    </w:p>
    <w:p>
      <w:pPr>
        <w:pStyle w:val="24"/>
        <w:spacing w:beforeLines="5" w:afterLines="5" w:line="440" w:lineRule="exact"/>
        <w:rPr>
          <w:rFonts w:hAnsi="宋体" w:cs="宋体"/>
          <w:b/>
          <w:color w:val="000000" w:themeColor="text1"/>
          <w:szCs w:val="21"/>
          <w:u w:val="single"/>
        </w:rPr>
      </w:pPr>
      <w:r>
        <w:rPr>
          <w:rFonts w:hint="eastAsia" w:hAnsi="宋体" w:cs="宋体"/>
          <w:b/>
          <w:color w:val="000000" w:themeColor="text1"/>
          <w:szCs w:val="21"/>
        </w:rPr>
        <w:t xml:space="preserve">34. 成交服务费 </w:t>
      </w:r>
    </w:p>
    <w:p>
      <w:pPr>
        <w:pStyle w:val="24"/>
        <w:snapToGrid w:val="0"/>
        <w:spacing w:beforeLines="5" w:afterLines="5" w:line="440" w:lineRule="exact"/>
        <w:ind w:firstLine="411" w:firstLineChars="196"/>
        <w:outlineLvl w:val="1"/>
        <w:rPr>
          <w:rFonts w:hAnsi="宋体" w:cs="宋体"/>
          <w:color w:val="000000" w:themeColor="text1"/>
          <w:szCs w:val="21"/>
        </w:rPr>
      </w:pPr>
      <w:bookmarkStart w:id="85" w:name="_Toc475431141"/>
      <w:bookmarkStart w:id="86" w:name="_Toc2956553"/>
      <w:bookmarkStart w:id="87" w:name="_Toc26325"/>
      <w:bookmarkStart w:id="88" w:name="_Toc2956499"/>
      <w:bookmarkStart w:id="89" w:name="_Toc15049"/>
      <w:r>
        <w:rPr>
          <w:rFonts w:hint="eastAsia" w:hAnsi="宋体" w:cs="宋体"/>
          <w:color w:val="000000" w:themeColor="text1"/>
          <w:szCs w:val="21"/>
        </w:rPr>
        <w:t>34.1成交服务费经双方商定按成交总金额的</w:t>
      </w:r>
      <w:r>
        <w:rPr>
          <w:rFonts w:hint="eastAsia" w:hAnsi="宋体" w:cs="宋体"/>
          <w:color w:val="000000" w:themeColor="text1"/>
          <w:szCs w:val="21"/>
          <w:u w:val="single"/>
        </w:rPr>
        <w:t>1.5%</w:t>
      </w:r>
      <w:r>
        <w:rPr>
          <w:rFonts w:hint="eastAsia" w:hAnsi="宋体" w:cs="宋体"/>
          <w:color w:val="000000" w:themeColor="text1"/>
          <w:szCs w:val="21"/>
        </w:rPr>
        <w:t>向成交供应商收取，领取成交通知书前，成交供应商应向采购代理机构一次性付清成交服务费。</w:t>
      </w:r>
      <w:bookmarkEnd w:id="85"/>
      <w:bookmarkEnd w:id="86"/>
      <w:bookmarkEnd w:id="87"/>
      <w:bookmarkEnd w:id="88"/>
      <w:bookmarkEnd w:id="89"/>
    </w:p>
    <w:p>
      <w:pPr>
        <w:pStyle w:val="24"/>
        <w:spacing w:beforeLines="5" w:afterLines="5" w:line="440" w:lineRule="exact"/>
        <w:rPr>
          <w:rFonts w:hAnsi="宋体" w:cs="宋体"/>
          <w:b/>
          <w:color w:val="000000" w:themeColor="text1"/>
          <w:szCs w:val="21"/>
        </w:rPr>
      </w:pPr>
      <w:r>
        <w:rPr>
          <w:rFonts w:hint="eastAsia" w:hAnsi="宋体" w:cs="宋体"/>
          <w:b/>
          <w:color w:val="000000" w:themeColor="text1"/>
          <w:szCs w:val="21"/>
        </w:rPr>
        <w:t>35. 解释权</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35.1 本采购文件是根据《中华人民共和国政府采购法》及国际惯例编制，解释权属本采购代理机构。</w:t>
      </w:r>
    </w:p>
    <w:p>
      <w:pPr>
        <w:pStyle w:val="24"/>
        <w:spacing w:beforeLines="5" w:afterLines="5" w:line="440" w:lineRule="exact"/>
        <w:rPr>
          <w:rFonts w:hAnsi="宋体" w:cs="宋体"/>
          <w:color w:val="000000" w:themeColor="text1"/>
          <w:szCs w:val="21"/>
        </w:rPr>
      </w:pPr>
      <w:r>
        <w:rPr>
          <w:rFonts w:hint="eastAsia" w:hAnsi="宋体" w:cs="宋体"/>
          <w:b/>
          <w:color w:val="000000" w:themeColor="text1"/>
          <w:szCs w:val="21"/>
        </w:rPr>
        <w:t>36. 有关事宜</w:t>
      </w:r>
    </w:p>
    <w:p>
      <w:pPr>
        <w:pStyle w:val="24"/>
        <w:spacing w:beforeLines="5" w:afterLines="5" w:line="440" w:lineRule="exact"/>
        <w:rPr>
          <w:rFonts w:hAnsi="宋体" w:cs="宋体"/>
          <w:color w:val="000000" w:themeColor="text1"/>
          <w:szCs w:val="21"/>
        </w:rPr>
      </w:pPr>
      <w:r>
        <w:rPr>
          <w:rFonts w:hint="eastAsia" w:hAnsi="宋体" w:cs="宋体"/>
          <w:color w:val="000000" w:themeColor="text1"/>
          <w:szCs w:val="21"/>
        </w:rPr>
        <w:t>36.1 所有与本采购文件有关的函电请按下列通讯地址联系：</w:t>
      </w:r>
    </w:p>
    <w:p>
      <w:pPr>
        <w:pStyle w:val="24"/>
        <w:spacing w:beforeLines="5" w:afterLines="5" w:line="440" w:lineRule="exact"/>
        <w:ind w:firstLine="525" w:firstLineChars="250"/>
        <w:rPr>
          <w:rFonts w:hAnsi="宋体" w:cs="宋体"/>
          <w:color w:val="000000" w:themeColor="text1"/>
          <w:szCs w:val="21"/>
        </w:rPr>
      </w:pPr>
      <w:r>
        <w:rPr>
          <w:rFonts w:hint="eastAsia" w:hAnsi="宋体" w:cs="宋体"/>
          <w:color w:val="000000" w:themeColor="text1"/>
          <w:szCs w:val="21"/>
        </w:rPr>
        <w:t>采购代理机构：广西鑫磐工程项目管理有限责任公司</w:t>
      </w:r>
    </w:p>
    <w:p>
      <w:pPr>
        <w:pStyle w:val="24"/>
        <w:tabs>
          <w:tab w:val="left" w:pos="1990"/>
        </w:tabs>
        <w:spacing w:beforeLines="5" w:afterLines="5" w:line="440" w:lineRule="exact"/>
        <w:ind w:firstLine="525" w:firstLineChars="250"/>
        <w:rPr>
          <w:rFonts w:hAnsi="宋体" w:cs="宋体"/>
          <w:color w:val="000000" w:themeColor="text1"/>
          <w:szCs w:val="21"/>
        </w:rPr>
      </w:pPr>
      <w:r>
        <w:rPr>
          <w:rFonts w:hint="eastAsia" w:hAnsi="宋体" w:cs="宋体"/>
          <w:color w:val="000000" w:themeColor="text1"/>
          <w:szCs w:val="21"/>
        </w:rPr>
        <w:t>通讯地址：</w:t>
      </w:r>
      <w:r>
        <w:rPr>
          <w:rFonts w:hint="eastAsia" w:hAnsi="宋体" w:cs="宋体"/>
          <w:color w:val="000000" w:themeColor="text1"/>
        </w:rPr>
        <w:t>玉林市玉州区建安街30号</w:t>
      </w:r>
    </w:p>
    <w:p>
      <w:pPr>
        <w:pStyle w:val="24"/>
        <w:tabs>
          <w:tab w:val="left" w:pos="1990"/>
        </w:tabs>
        <w:spacing w:beforeLines="5" w:afterLines="5" w:line="440" w:lineRule="exact"/>
        <w:ind w:firstLine="525" w:firstLineChars="250"/>
        <w:rPr>
          <w:rFonts w:hAnsi="宋体" w:cs="宋体"/>
          <w:color w:val="000000" w:themeColor="text1"/>
          <w:szCs w:val="21"/>
          <w:u w:val="single"/>
        </w:rPr>
      </w:pPr>
      <w:r>
        <w:rPr>
          <w:rFonts w:hint="eastAsia" w:hAnsi="宋体" w:cs="宋体"/>
          <w:color w:val="000000" w:themeColor="text1"/>
          <w:szCs w:val="21"/>
        </w:rPr>
        <w:t>电话及传真：0775-2</w:t>
      </w:r>
      <w:bookmarkStart w:id="90" w:name="_Toc312878817"/>
      <w:bookmarkStart w:id="91" w:name="_Toc205001189"/>
      <w:bookmarkStart w:id="92" w:name="_Toc181594757"/>
      <w:bookmarkStart w:id="93" w:name="_Toc181594909"/>
      <w:r>
        <w:rPr>
          <w:rFonts w:hint="eastAsia" w:hAnsi="宋体" w:cs="宋体"/>
          <w:color w:val="000000" w:themeColor="text1"/>
          <w:szCs w:val="21"/>
        </w:rPr>
        <w:t>265339</w:t>
      </w:r>
    </w:p>
    <w:p>
      <w:pPr>
        <w:pStyle w:val="24"/>
        <w:tabs>
          <w:tab w:val="left" w:pos="1990"/>
        </w:tabs>
        <w:spacing w:beforeLines="5" w:afterLines="5" w:line="440" w:lineRule="exact"/>
        <w:ind w:firstLine="525" w:firstLineChars="250"/>
        <w:rPr>
          <w:rFonts w:hAnsi="宋体" w:cs="宋体"/>
          <w:color w:val="000000" w:themeColor="text1"/>
          <w:szCs w:val="21"/>
          <w:u w:val="single"/>
        </w:rPr>
      </w:pPr>
    </w:p>
    <w:p>
      <w:pPr>
        <w:pStyle w:val="24"/>
        <w:tabs>
          <w:tab w:val="left" w:pos="1990"/>
        </w:tabs>
        <w:spacing w:beforeLines="5" w:afterLines="5" w:line="440" w:lineRule="exact"/>
        <w:ind w:firstLine="525" w:firstLineChars="250"/>
        <w:rPr>
          <w:rFonts w:hAnsi="宋体" w:cs="宋体"/>
          <w:color w:val="000000" w:themeColor="text1"/>
          <w:szCs w:val="21"/>
          <w:u w:val="single"/>
        </w:rPr>
      </w:pPr>
    </w:p>
    <w:p>
      <w:pPr>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br w:type="page"/>
      </w:r>
    </w:p>
    <w:p>
      <w:pPr>
        <w:pStyle w:val="3"/>
        <w:spacing w:beforeLines="100" w:afterLines="100" w:line="360" w:lineRule="auto"/>
        <w:jc w:val="center"/>
        <w:rPr>
          <w:rFonts w:ascii="宋体" w:hAnsi="宋体" w:cs="宋体"/>
          <w:color w:val="000000" w:themeColor="text1"/>
          <w:sz w:val="44"/>
          <w:szCs w:val="44"/>
        </w:rPr>
      </w:pPr>
      <w:r>
        <w:rPr>
          <w:rFonts w:hint="eastAsia" w:ascii="宋体" w:hAnsi="宋体" w:cs="宋体"/>
          <w:color w:val="000000" w:themeColor="text1"/>
          <w:sz w:val="44"/>
          <w:szCs w:val="44"/>
        </w:rPr>
        <w:t>第三章项目需求</w:t>
      </w:r>
    </w:p>
    <w:p>
      <w:pPr>
        <w:pStyle w:val="3"/>
        <w:spacing w:beforeLines="100" w:afterLines="100" w:line="360" w:lineRule="auto"/>
        <w:jc w:val="center"/>
        <w:rPr>
          <w:rFonts w:ascii="宋体" w:hAnsi="宋体" w:cs="宋体"/>
          <w:color w:val="000000" w:themeColor="text1"/>
          <w:szCs w:val="21"/>
        </w:rPr>
      </w:pPr>
      <w:r>
        <w:rPr>
          <w:rFonts w:hint="eastAsia" w:ascii="宋体" w:hAnsi="宋体" w:cs="宋体"/>
          <w:bCs/>
          <w:color w:val="000000" w:themeColor="text1"/>
          <w:szCs w:val="21"/>
        </w:rPr>
        <w:t>广西玉林技师学院物联网专业实训室设备采购清单</w:t>
      </w:r>
    </w:p>
    <w:tbl>
      <w:tblPr>
        <w:tblStyle w:val="4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18"/>
        <w:gridCol w:w="2900"/>
        <w:gridCol w:w="123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1"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381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名称</w:t>
            </w:r>
          </w:p>
        </w:tc>
        <w:tc>
          <w:tcPr>
            <w:tcW w:w="290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技术参数</w:t>
            </w:r>
          </w:p>
        </w:tc>
        <w:tc>
          <w:tcPr>
            <w:tcW w:w="1230" w:type="dxa"/>
            <w:vAlign w:val="center"/>
          </w:tcPr>
          <w:p>
            <w:pPr>
              <w:spacing w:line="420" w:lineRule="exact"/>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983" w:type="dxa"/>
            <w:vAlign w:val="center"/>
          </w:tcPr>
          <w:p>
            <w:pPr>
              <w:spacing w:line="420" w:lineRule="exact"/>
              <w:jc w:val="center"/>
              <w:rPr>
                <w:rFonts w:ascii="宋体" w:hAnsi="宋体" w:cs="宋体"/>
                <w:color w:val="000000" w:themeColor="text1"/>
                <w:szCs w:val="21"/>
              </w:rPr>
            </w:pPr>
            <w:r>
              <w:rPr>
                <w:rFonts w:hint="eastAsia" w:ascii="宋体" w:hAnsi="宋体" w:cs="宋体"/>
                <w:color w:val="000000" w:themeColor="text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NEWLab实验平台</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详见附件1共2页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传感器系列套件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详见附件2共5页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通讯系列套件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详见附件3共1页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NB-iot、LoRa通讯套件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详见附件4共1页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5</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自动识别套件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详见附件5共1页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6</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单片机套件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详见附件6共1页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7</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ARM系列套件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详见附件7共2页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NLE-PTS500物联网智慧生活实训平台</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详见附件8共20页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9</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物联网应用开发终端</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详见附件9共1页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10</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执行器系列套件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详见附件10共1页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1"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11</w:t>
            </w:r>
          </w:p>
        </w:tc>
        <w:tc>
          <w:tcPr>
            <w:tcW w:w="3818"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嵌入式开发套件</w:t>
            </w:r>
          </w:p>
        </w:tc>
        <w:tc>
          <w:tcPr>
            <w:tcW w:w="2900" w:type="dxa"/>
            <w:vAlign w:val="center"/>
          </w:tcPr>
          <w:p>
            <w:pPr>
              <w:widowControl/>
              <w:spacing w:line="4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详见附件11共1页</w:t>
            </w:r>
          </w:p>
        </w:tc>
        <w:tc>
          <w:tcPr>
            <w:tcW w:w="1230" w:type="dxa"/>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983" w:type="dxa"/>
            <w:vAlign w:val="center"/>
          </w:tcPr>
          <w:p>
            <w:pPr>
              <w:widowControl/>
              <w:spacing w:line="240" w:lineRule="exact"/>
              <w:jc w:val="center"/>
              <w:textAlignment w:val="center"/>
              <w:rPr>
                <w:rFonts w:ascii="宋体" w:hAnsi="宋体" w:cs="宋体"/>
                <w:color w:val="000000" w:themeColor="text1"/>
                <w:szCs w:val="21"/>
              </w:rPr>
            </w:pPr>
            <w:r>
              <w:rPr>
                <w:rFonts w:hint="eastAsia" w:ascii="宋体" w:hAnsi="宋体" w:cs="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782" w:type="dxa"/>
            <w:gridSpan w:val="5"/>
            <w:vAlign w:val="center"/>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基本要求：</w:t>
            </w:r>
          </w:p>
          <w:p>
            <w:pPr>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1、所有货物必须是全新原装正品，按国家有关产品规定执行“三包”，免费送货上门、安装调试。</w:t>
            </w:r>
          </w:p>
          <w:p>
            <w:pPr>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2、中标后1个星期内完成合同签订，自签订合同之日起20天内完成交货，并于交货后10天内完成设备安装调试。</w:t>
            </w:r>
          </w:p>
          <w:p>
            <w:pPr>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3、为保证本次采购的货物属于国产原装品牌的原厂正品，参加招投标时必须同时提供本次采购项投标供货的设备生产厂家的认证证书、资质证明作为参加投标的必须附件。</w:t>
            </w:r>
          </w:p>
          <w:p>
            <w:pPr>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提供原厂3年免费保修服务，上门修复（节假日不休），免人力＋部件费用，所有部件均为原厂部件；保修期内如在使用过程中发生质量问题或故障，2小时内响应；接到通知后4小时内到达现场处理。一般故障处理时限不超过12小时修复，重大故障处理时限不超过48小时修复，超过72小时不能完成修复的应当免费提供备用设备供使用单位免费使用。</w:t>
            </w:r>
          </w:p>
          <w:p>
            <w:pPr>
              <w:spacing w:line="360" w:lineRule="auto"/>
              <w:ind w:firstLine="420"/>
              <w:jc w:val="center"/>
              <w:rPr>
                <w:rFonts w:ascii="宋体" w:hAnsi="宋体" w:cs="宋体"/>
                <w:color w:val="000000" w:themeColor="text1"/>
                <w:szCs w:val="21"/>
              </w:rPr>
            </w:pPr>
            <w:r>
              <w:rPr>
                <w:rFonts w:hint="eastAsia" w:ascii="宋体" w:hAnsi="宋体" w:cs="宋体"/>
                <w:color w:val="000000" w:themeColor="text1"/>
                <w:szCs w:val="21"/>
              </w:rPr>
              <w:t>5、免费培训用户4-5名教师能够熟练操作NEWLab实验平台、NLE-PTS500物联网智慧生活实训平台</w:t>
            </w:r>
          </w:p>
          <w:p>
            <w:pPr>
              <w:spacing w:line="360" w:lineRule="auto"/>
              <w:rPr>
                <w:rFonts w:ascii="宋体" w:hAnsi="宋体" w:cs="宋体"/>
                <w:color w:val="000000" w:themeColor="text1"/>
                <w:szCs w:val="21"/>
              </w:rPr>
            </w:pPr>
            <w:r>
              <w:rPr>
                <w:rFonts w:hint="eastAsia" w:ascii="宋体" w:hAnsi="宋体" w:cs="宋体"/>
                <w:color w:val="000000" w:themeColor="text1"/>
                <w:szCs w:val="21"/>
              </w:rPr>
              <w:t>和各套件，用户能够掌握设备的基本维护和安全操作。</w:t>
            </w:r>
          </w:p>
        </w:tc>
      </w:tr>
      <w:bookmarkEnd w:id="90"/>
      <w:bookmarkEnd w:id="91"/>
      <w:bookmarkEnd w:id="92"/>
      <w:bookmarkEnd w:id="93"/>
    </w:tbl>
    <w:p>
      <w:pPr>
        <w:rPr>
          <w:rFonts w:ascii="宋体" w:hAnsi="宋体" w:cs="宋体"/>
          <w:color w:val="000000" w:themeColor="text1"/>
          <w:sz w:val="44"/>
          <w:szCs w:val="44"/>
        </w:rPr>
        <w:sectPr>
          <w:footerReference r:id="rId6" w:type="default"/>
          <w:pgSz w:w="11905" w:h="16838"/>
          <w:pgMar w:top="1440" w:right="1083" w:bottom="1440" w:left="1083" w:header="680" w:footer="680" w:gutter="0"/>
          <w:cols w:space="0" w:num="1"/>
          <w:docGrid w:linePitch="331" w:charSpace="0"/>
        </w:sectPr>
      </w:pPr>
      <w:bookmarkStart w:id="94" w:name="_Toc342313074"/>
      <w:bookmarkStart w:id="95" w:name="_Toc205001191"/>
      <w:bookmarkStart w:id="96" w:name="_Toc145330455"/>
      <w:bookmarkStart w:id="97" w:name="_Toc162715976"/>
      <w:bookmarkStart w:id="98" w:name="_Toc181594759"/>
      <w:bookmarkStart w:id="99" w:name="_Toc181594911"/>
      <w:bookmarkStart w:id="100" w:name="_Toc312878820"/>
    </w:p>
    <w:p>
      <w:pPr>
        <w:pStyle w:val="3"/>
        <w:spacing w:before="100" w:beforeAutospacing="1" w:after="100" w:afterAutospacing="1" w:line="360" w:lineRule="auto"/>
        <w:jc w:val="center"/>
        <w:rPr>
          <w:rFonts w:ascii="宋体" w:hAnsi="宋体" w:cs="宋体"/>
          <w:color w:val="000000" w:themeColor="text1"/>
          <w:sz w:val="36"/>
          <w:szCs w:val="36"/>
        </w:rPr>
      </w:pPr>
      <w:bookmarkStart w:id="101" w:name="_Toc11622"/>
      <w:r>
        <w:rPr>
          <w:rFonts w:hint="eastAsia" w:ascii="宋体" w:hAnsi="宋体" w:cs="宋体"/>
          <w:color w:val="000000" w:themeColor="text1"/>
          <w:sz w:val="36"/>
          <w:szCs w:val="36"/>
        </w:rPr>
        <w:t>第四章评标办法</w:t>
      </w:r>
      <w:bookmarkEnd w:id="94"/>
      <w:bookmarkEnd w:id="101"/>
    </w:p>
    <w:p>
      <w:pPr>
        <w:pStyle w:val="80"/>
        <w:numPr>
          <w:ilvl w:val="0"/>
          <w:numId w:val="6"/>
        </w:numPr>
        <w:spacing w:beforeLines="5" w:afterLines="5" w:line="360" w:lineRule="exact"/>
        <w:rPr>
          <w:rFonts w:ascii="宋体" w:hAnsi="宋体" w:cs="宋体"/>
          <w:b/>
          <w:color w:val="000000" w:themeColor="text1"/>
          <w:szCs w:val="21"/>
        </w:rPr>
      </w:pPr>
      <w:r>
        <w:rPr>
          <w:rFonts w:hint="eastAsia" w:ascii="宋体" w:hAnsi="宋体" w:cs="宋体"/>
          <w:b/>
          <w:color w:val="000000" w:themeColor="text1"/>
          <w:szCs w:val="21"/>
        </w:rPr>
        <w:t>评标原则</w:t>
      </w:r>
    </w:p>
    <w:p>
      <w:pPr>
        <w:spacing w:line="400" w:lineRule="exact"/>
        <w:ind w:firstLine="420" w:firstLineChars="200"/>
        <w:rPr>
          <w:rFonts w:ascii="宋体" w:hAnsi="宋体" w:cs="宋体"/>
          <w:bCs/>
          <w:color w:val="000000" w:themeColor="text1"/>
          <w:szCs w:val="21"/>
        </w:rPr>
      </w:pPr>
      <w:bookmarkStart w:id="102" w:name="_Toc342313076"/>
      <w:r>
        <w:rPr>
          <w:rFonts w:hint="eastAsia" w:ascii="宋体" w:hAnsi="宋体" w:cs="宋体"/>
          <w:color w:val="000000" w:themeColor="text1"/>
          <w:szCs w:val="21"/>
        </w:rPr>
        <w:t>1．</w:t>
      </w:r>
      <w:r>
        <w:rPr>
          <w:rFonts w:hint="eastAsia" w:ascii="宋体" w:hAnsi="宋体" w:cs="宋体"/>
          <w:bCs/>
          <w:color w:val="000000" w:themeColor="text1"/>
          <w:szCs w:val="21"/>
        </w:rPr>
        <w:t>谈判小组成员构成：本采购项目的谈判小组成员分别由依法组成的专家、采购单位代表共三人及以上单数构成，其中评审专家人数不少于谈判小组成员总数的三分之二。</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bCs/>
          <w:color w:val="000000" w:themeColor="text1"/>
          <w:szCs w:val="21"/>
        </w:rPr>
        <w:t>评审依据：谈判小组以谈判文件、响应文件及谈判结果为评审依据。</w:t>
      </w:r>
    </w:p>
    <w:p>
      <w:pPr>
        <w:pStyle w:val="24"/>
        <w:spacing w:line="380" w:lineRule="exact"/>
        <w:rPr>
          <w:rFonts w:hAnsi="宋体" w:cs="宋体"/>
          <w:b/>
          <w:bCs/>
          <w:color w:val="000000" w:themeColor="text1"/>
        </w:rPr>
      </w:pPr>
      <w:bookmarkStart w:id="103" w:name="_Toc2956503"/>
      <w:bookmarkStart w:id="104" w:name="_Toc492571387"/>
      <w:bookmarkStart w:id="105" w:name="_Toc2956557"/>
      <w:r>
        <w:rPr>
          <w:rFonts w:hint="eastAsia" w:hAnsi="宋体" w:cs="宋体"/>
          <w:b/>
          <w:bCs/>
          <w:color w:val="000000" w:themeColor="text1"/>
          <w:szCs w:val="21"/>
        </w:rPr>
        <w:t>二、评审标准</w:t>
      </w:r>
      <w:bookmarkEnd w:id="103"/>
      <w:bookmarkEnd w:id="104"/>
      <w:bookmarkEnd w:id="105"/>
    </w:p>
    <w:p>
      <w:pPr>
        <w:pStyle w:val="24"/>
        <w:spacing w:line="380" w:lineRule="exact"/>
        <w:ind w:firstLine="420" w:firstLineChars="200"/>
        <w:rPr>
          <w:rFonts w:hAnsi="宋体" w:cs="宋体"/>
          <w:color w:val="000000" w:themeColor="text1"/>
          <w:kern w:val="0"/>
        </w:rPr>
      </w:pPr>
      <w:r>
        <w:rPr>
          <w:rFonts w:hint="eastAsia" w:hAnsi="宋体" w:cs="宋体"/>
          <w:color w:val="000000" w:themeColor="text1"/>
          <w:kern w:val="0"/>
        </w:rPr>
        <w:t>对资格性和符合性检查合格的竞争性谈判响应文件，采用</w:t>
      </w:r>
      <w:r>
        <w:rPr>
          <w:rFonts w:hint="eastAsia" w:hAnsi="宋体" w:cs="宋体"/>
          <w:b/>
          <w:color w:val="000000" w:themeColor="text1"/>
          <w:kern w:val="0"/>
        </w:rPr>
        <w:t>最低评标价法</w:t>
      </w:r>
      <w:r>
        <w:rPr>
          <w:rFonts w:hint="eastAsia" w:hAnsi="宋体" w:cs="宋体"/>
          <w:color w:val="000000" w:themeColor="text1"/>
          <w:kern w:val="0"/>
        </w:rPr>
        <w:t>进行评审。</w:t>
      </w:r>
    </w:p>
    <w:p>
      <w:pPr>
        <w:pStyle w:val="24"/>
        <w:spacing w:line="380" w:lineRule="exact"/>
        <w:rPr>
          <w:rFonts w:hAnsi="宋体" w:cs="宋体"/>
          <w:color w:val="000000" w:themeColor="text1"/>
          <w:kern w:val="0"/>
        </w:rPr>
      </w:pPr>
      <w:r>
        <w:rPr>
          <w:rFonts w:hint="eastAsia" w:hAnsi="宋体" w:cs="宋体"/>
          <w:color w:val="000000" w:themeColor="text1"/>
          <w:kern w:val="0"/>
        </w:rPr>
        <w:t xml:space="preserve">    谈判小组将以</w:t>
      </w:r>
      <w:r>
        <w:rPr>
          <w:rFonts w:hint="eastAsia" w:hAnsi="宋体" w:cs="宋体"/>
          <w:color w:val="000000" w:themeColor="text1"/>
        </w:rPr>
        <w:t>竞争性</w:t>
      </w:r>
      <w:r>
        <w:rPr>
          <w:rFonts w:hint="eastAsia" w:hAnsi="宋体" w:cs="宋体"/>
          <w:color w:val="000000" w:themeColor="text1"/>
          <w:kern w:val="0"/>
        </w:rPr>
        <w:t>谈判文件、竞争性谈判响应文件为评审依据，在质量和服务均能满足</w:t>
      </w:r>
      <w:r>
        <w:rPr>
          <w:rFonts w:hint="eastAsia" w:hAnsi="宋体" w:cs="宋体"/>
          <w:color w:val="000000" w:themeColor="text1"/>
        </w:rPr>
        <w:t>竞争性</w:t>
      </w:r>
      <w:r>
        <w:rPr>
          <w:rFonts w:hint="eastAsia" w:hAnsi="宋体" w:cs="宋体"/>
          <w:color w:val="000000" w:themeColor="text1"/>
          <w:kern w:val="0"/>
        </w:rPr>
        <w:t>谈判文件实质性响应要求的供应商中，以提出最后报价（价格扣除后）最低的供应商作为成交供应商。该价格扣除后的报价仅用于评审排序，不作为合同签订价，合同按谈判供应商实际提出的最后报价签订。</w:t>
      </w:r>
    </w:p>
    <w:p>
      <w:pPr>
        <w:pStyle w:val="24"/>
        <w:spacing w:line="380" w:lineRule="exact"/>
        <w:rPr>
          <w:rFonts w:hAnsi="宋体" w:cs="宋体"/>
          <w:color w:val="000000" w:themeColor="text1"/>
        </w:rPr>
      </w:pPr>
      <w:r>
        <w:rPr>
          <w:rFonts w:hint="eastAsia" w:hAnsi="宋体" w:cs="宋体"/>
          <w:color w:val="000000" w:themeColor="text1"/>
        </w:rPr>
        <w:t>按《政府采购促进中小企业发展暂行办法》（财库〔2011〕181号）认定为小型和微型企业（以响应文件提供的符合规定的有关证明材料为准）且提供了《中小企业声明函》的，对其</w:t>
      </w:r>
      <w:r>
        <w:rPr>
          <w:rFonts w:hint="eastAsia" w:hAnsi="宋体" w:cs="宋体"/>
          <w:b/>
          <w:color w:val="000000" w:themeColor="text1"/>
        </w:rPr>
        <w:t>最后报价</w:t>
      </w:r>
      <w:r>
        <w:rPr>
          <w:rFonts w:hint="eastAsia" w:hAnsi="宋体" w:cs="宋体"/>
          <w:color w:val="000000" w:themeColor="text1"/>
        </w:rPr>
        <w:t>给予10%的扣除。</w:t>
      </w:r>
    </w:p>
    <w:p>
      <w:pPr>
        <w:pStyle w:val="24"/>
        <w:spacing w:line="380" w:lineRule="exact"/>
        <w:ind w:firstLine="420"/>
        <w:rPr>
          <w:rFonts w:hAnsi="宋体" w:cs="宋体"/>
          <w:color w:val="000000" w:themeColor="text1"/>
        </w:rPr>
      </w:pPr>
      <w:r>
        <w:rPr>
          <w:rFonts w:hint="eastAsia" w:hAnsi="宋体" w:cs="宋体"/>
          <w:color w:val="000000" w:themeColor="text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4"/>
        <w:spacing w:line="380" w:lineRule="exact"/>
        <w:ind w:firstLine="420"/>
        <w:rPr>
          <w:rFonts w:hAnsi="宋体" w:cs="宋体"/>
          <w:color w:val="000000" w:themeColor="text1"/>
        </w:rPr>
      </w:pPr>
      <w:r>
        <w:rPr>
          <w:rFonts w:hint="eastAsia" w:hAnsi="宋体" w:cs="宋体"/>
          <w:color w:val="000000" w:themeColor="text1"/>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pPr>
        <w:pStyle w:val="24"/>
        <w:spacing w:line="380" w:lineRule="exact"/>
        <w:ind w:firstLine="420"/>
        <w:rPr>
          <w:rFonts w:hAnsi="宋体" w:cs="宋体"/>
          <w:color w:val="000000" w:themeColor="text1"/>
        </w:rPr>
      </w:pPr>
      <w:r>
        <w:rPr>
          <w:rFonts w:hint="eastAsia" w:hAnsi="宋体" w:cs="Courier New"/>
          <w:color w:val="000000" w:themeColor="text1"/>
          <w:szCs w:val="21"/>
        </w:rPr>
        <w:t>根据《政府采购货物和服务招标投标管理办法》（财政部令第87号）第60条的规定，</w:t>
      </w:r>
      <w:r>
        <w:rPr>
          <w:rFonts w:hint="eastAsia"/>
          <w:bCs/>
          <w:color w:val="000000" w:themeColor="text1"/>
        </w:rPr>
        <w:t>谈判小组</w:t>
      </w:r>
      <w:r>
        <w:rPr>
          <w:rFonts w:hint="eastAsia" w:hAnsi="宋体" w:cs="Courier New"/>
          <w:color w:val="000000" w:themeColor="text1"/>
          <w:szCs w:val="21"/>
        </w:rPr>
        <w:t>认为竞标人的报价明显低于其他通过符合性审查竞标人的报价或低于采购预算价20%的，有可能影响产品质量或者不能诚信履约的，应当要求其在开标现场合理的时间内提供书面说明，必要时提交相关证明材料[包括但不限于：① 政府机构税务部门开具的拟派项目组人员的《依法缴纳个人所得税或依法免缴个人所得税的凭证（与本次投标所提供社保证明同月份）》；②2017～2019年度经第三方具备审计资质的机构出具的审计报告[包括其固定资产成本及折旧、管理成本、人工费成本（如人员工资、奖金、福利及差旅等费用）、技术成本、税收等所有成本及利润]复印件（原件现场核查）；③提供项目成本组成明细，其中：人力成本必须根据竞标人所在省（自治区、直辖市）政府部门或者人力资源社会保障部门公布的关于 2019年竞标人所在地最低工资标准相关文件要求编制，税务成本必须提供近一年不少于3个项目或公司的年度税务缴纳凭证作为参考依据（复印件，原件现场核查）]；竞标人不能证明其报价合理性的，谈判小组应当将其作为无效竞标处理。</w:t>
      </w:r>
    </w:p>
    <w:p>
      <w:pPr>
        <w:pStyle w:val="24"/>
        <w:numPr>
          <w:ilvl w:val="0"/>
          <w:numId w:val="9"/>
        </w:numPr>
        <w:tabs>
          <w:tab w:val="left" w:pos="4214"/>
        </w:tabs>
        <w:spacing w:line="400" w:lineRule="exact"/>
        <w:ind w:firstLine="422" w:firstLineChars="200"/>
        <w:rPr>
          <w:rFonts w:hAnsi="宋体" w:cs="宋体"/>
          <w:b/>
          <w:color w:val="000000" w:themeColor="text1"/>
        </w:rPr>
      </w:pPr>
      <w:r>
        <w:rPr>
          <w:rFonts w:hint="eastAsia" w:hAnsi="宋体" w:cs="宋体"/>
          <w:b/>
          <w:color w:val="000000" w:themeColor="text1"/>
        </w:rPr>
        <w:t>成交候选人推荐原则</w:t>
      </w:r>
    </w:p>
    <w:p>
      <w:pPr>
        <w:pStyle w:val="24"/>
        <w:spacing w:line="380" w:lineRule="exact"/>
        <w:rPr>
          <w:rFonts w:hAnsi="宋体" w:cs="宋体"/>
          <w:bCs/>
          <w:color w:val="000000" w:themeColor="text1"/>
        </w:rPr>
      </w:pPr>
      <w:r>
        <w:rPr>
          <w:rFonts w:hint="eastAsia" w:hAnsi="宋体" w:cs="宋体"/>
          <w:color w:val="000000" w:themeColor="text1"/>
        </w:rPr>
        <w:t>（一）竞争性谈判响应文件在</w:t>
      </w:r>
      <w:r>
        <w:rPr>
          <w:rFonts w:hint="eastAsia" w:hAnsi="宋体" w:cs="宋体"/>
          <w:color w:val="000000" w:themeColor="text1"/>
          <w:kern w:val="0"/>
        </w:rPr>
        <w:t>质量和服务均能满足</w:t>
      </w:r>
      <w:r>
        <w:rPr>
          <w:rFonts w:hint="eastAsia" w:hAnsi="宋体" w:cs="宋体"/>
          <w:color w:val="000000" w:themeColor="text1"/>
        </w:rPr>
        <w:t>竞争性</w:t>
      </w:r>
      <w:r>
        <w:rPr>
          <w:rFonts w:hint="eastAsia" w:hAnsi="宋体" w:cs="宋体"/>
          <w:color w:val="000000" w:themeColor="text1"/>
          <w:kern w:val="0"/>
        </w:rPr>
        <w:t>谈判文件实质性响应要求时</w:t>
      </w:r>
      <w:r>
        <w:rPr>
          <w:rFonts w:hint="eastAsia" w:hAnsi="宋体" w:cs="宋体"/>
          <w:bCs/>
          <w:color w:val="000000" w:themeColor="text1"/>
        </w:rPr>
        <w:t>，谈判小组将按最后报价（价格扣除后）由低到高顺序推荐3名以上成交候选人（最后报价相同时，由谈判小组根据响应文件中技术、服务、合同条款情况、项目实施方案确定排序，并按确定排序由低到高的原则推荐成交候选人）。采购人应当确定谈判小组推荐排名第一的成交候选人为成交供应商。排名第一的成交候选人</w:t>
      </w:r>
      <w:r>
        <w:rPr>
          <w:rFonts w:hint="eastAsia" w:hAnsi="宋体" w:cs="宋体"/>
          <w:color w:val="000000" w:themeColor="text1"/>
          <w:kern w:val="0"/>
        </w:rPr>
        <w:t>拒绝签订政府采购合同的</w:t>
      </w:r>
      <w:r>
        <w:rPr>
          <w:rFonts w:hint="eastAsia" w:hAnsi="宋体" w:cs="宋体"/>
          <w:bCs/>
          <w:color w:val="000000" w:themeColor="text1"/>
        </w:rPr>
        <w:t>，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r>
        <w:rPr>
          <w:rFonts w:hint="eastAsia" w:hAnsi="宋体" w:cs="宋体"/>
          <w:color w:val="000000" w:themeColor="text1"/>
        </w:rPr>
        <w:t>对采购过程、成交结果提出的质疑成立后取消成交资格，合格供应商符合法定数量时，可以从合格的成交候选人中另行确定成交供应商的，应当依法另行确定成交供应商，否则应当重新开展采购活动。</w:t>
      </w: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
        <w:numPr>
          <w:ilvl w:val="0"/>
          <w:numId w:val="10"/>
        </w:numPr>
        <w:spacing w:before="100" w:beforeAutospacing="1" w:after="100" w:afterAutospacing="1"/>
        <w:jc w:val="center"/>
        <w:rPr>
          <w:rFonts w:ascii="宋体" w:hAnsi="宋体" w:cs="宋体"/>
          <w:color w:val="000000" w:themeColor="text1"/>
          <w:sz w:val="44"/>
          <w:szCs w:val="44"/>
        </w:rPr>
      </w:pPr>
      <w:bookmarkStart w:id="106" w:name="_Toc7202"/>
      <w:r>
        <w:rPr>
          <w:rFonts w:hint="eastAsia" w:ascii="宋体" w:hAnsi="宋体" w:cs="宋体"/>
          <w:color w:val="000000" w:themeColor="text1"/>
          <w:sz w:val="44"/>
          <w:szCs w:val="44"/>
        </w:rPr>
        <w:t>合同主要条款格式</w:t>
      </w:r>
      <w:bookmarkEnd w:id="106"/>
    </w:p>
    <w:p>
      <w:pPr>
        <w:snapToGrid w:val="0"/>
        <w:spacing w:line="40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广西壮族自治区政府采购合同（格式）</w:t>
      </w:r>
    </w:p>
    <w:p>
      <w:pPr>
        <w:snapToGrid w:val="0"/>
        <w:spacing w:line="400" w:lineRule="exact"/>
        <w:jc w:val="center"/>
        <w:rPr>
          <w:rFonts w:ascii="宋体" w:hAnsi="宋体" w:cs="宋体"/>
          <w:bCs/>
          <w:color w:val="000000" w:themeColor="text1"/>
          <w:szCs w:val="21"/>
        </w:rPr>
      </w:pPr>
      <w:r>
        <w:rPr>
          <w:rFonts w:hint="eastAsia" w:ascii="宋体" w:hAnsi="宋体" w:cs="宋体"/>
          <w:bCs/>
          <w:color w:val="000000" w:themeColor="text1"/>
          <w:szCs w:val="21"/>
        </w:rPr>
        <w:t>合同编号：</w:t>
      </w:r>
    </w:p>
    <w:p>
      <w:pPr>
        <w:snapToGrid w:val="0"/>
        <w:spacing w:before="120" w:after="120" w:line="400" w:lineRule="exact"/>
        <w:rPr>
          <w:rFonts w:ascii="宋体" w:hAnsi="宋体" w:cs="宋体"/>
          <w:bCs/>
          <w:color w:val="000000" w:themeColor="text1"/>
          <w:szCs w:val="21"/>
        </w:rPr>
      </w:pPr>
    </w:p>
    <w:p>
      <w:pPr>
        <w:snapToGrid w:val="0"/>
        <w:spacing w:before="120" w:after="120" w:line="400" w:lineRule="exact"/>
        <w:rPr>
          <w:rFonts w:ascii="宋体" w:hAnsi="宋体" w:cs="宋体"/>
          <w:bCs/>
          <w:color w:val="000000" w:themeColor="text1"/>
          <w:szCs w:val="21"/>
          <w:u w:val="single"/>
        </w:rPr>
      </w:pPr>
      <w:r>
        <w:rPr>
          <w:rFonts w:hint="eastAsia" w:ascii="宋体" w:hAnsi="宋体" w:cs="宋体"/>
          <w:bCs/>
          <w:color w:val="000000" w:themeColor="text1"/>
          <w:szCs w:val="21"/>
        </w:rPr>
        <w:t>采购单位（甲方）：        采购计划号：</w:t>
      </w:r>
    </w:p>
    <w:p>
      <w:pPr>
        <w:snapToGrid w:val="0"/>
        <w:spacing w:before="120" w:after="120" w:line="400" w:lineRule="exact"/>
        <w:rPr>
          <w:rFonts w:ascii="宋体" w:hAnsi="宋体" w:cs="宋体"/>
          <w:bCs/>
          <w:color w:val="000000" w:themeColor="text1"/>
          <w:szCs w:val="21"/>
          <w:u w:val="single"/>
        </w:rPr>
      </w:pPr>
      <w:r>
        <w:rPr>
          <w:rFonts w:hint="eastAsia" w:ascii="宋体" w:hAnsi="宋体" w:cs="宋体"/>
          <w:bCs/>
          <w:color w:val="000000" w:themeColor="text1"/>
          <w:szCs w:val="21"/>
        </w:rPr>
        <w:t>供应商（乙方）：</w:t>
      </w:r>
    </w:p>
    <w:p>
      <w:pPr>
        <w:spacing w:before="120" w:after="120" w:line="400" w:lineRule="exact"/>
        <w:rPr>
          <w:rFonts w:ascii="宋体" w:hAnsi="宋体" w:cs="宋体"/>
          <w:color w:val="000000" w:themeColor="text1"/>
          <w:szCs w:val="21"/>
        </w:rPr>
      </w:pPr>
      <w:r>
        <w:rPr>
          <w:rFonts w:hint="eastAsia" w:ascii="宋体" w:hAnsi="宋体" w:cs="宋体"/>
          <w:bCs/>
          <w:color w:val="000000" w:themeColor="text1"/>
          <w:szCs w:val="21"/>
        </w:rPr>
        <w:t>项目名称和编号：</w:t>
      </w:r>
    </w:p>
    <w:p>
      <w:pPr>
        <w:snapToGrid w:val="0"/>
        <w:spacing w:before="120" w:after="120" w:line="400" w:lineRule="exact"/>
        <w:rPr>
          <w:rFonts w:ascii="宋体" w:hAnsi="宋体" w:cs="宋体"/>
          <w:bCs/>
          <w:color w:val="000000" w:themeColor="text1"/>
          <w:szCs w:val="21"/>
          <w:u w:val="single"/>
        </w:rPr>
      </w:pPr>
      <w:r>
        <w:rPr>
          <w:rFonts w:hint="eastAsia" w:ascii="宋体" w:hAnsi="宋体" w:cs="宋体"/>
          <w:bCs/>
          <w:color w:val="000000" w:themeColor="text1"/>
          <w:szCs w:val="21"/>
        </w:rPr>
        <w:t>签 订 地 签 订 时  间</w:t>
      </w:r>
    </w:p>
    <w:p>
      <w:pPr>
        <w:snapToGrid w:val="0"/>
        <w:spacing w:line="440" w:lineRule="exact"/>
        <w:rPr>
          <w:rFonts w:ascii="宋体" w:hAnsi="宋体" w:cs="宋体"/>
          <w:bCs/>
          <w:color w:val="000000" w:themeColor="text1"/>
          <w:szCs w:val="21"/>
        </w:rPr>
      </w:pPr>
    </w:p>
    <w:p>
      <w:pPr>
        <w:snapToGrid w:val="0"/>
        <w:spacing w:line="440" w:lineRule="exact"/>
        <w:ind w:firstLine="420"/>
        <w:rPr>
          <w:rFonts w:ascii="宋体" w:hAnsi="宋体" w:cs="宋体"/>
          <w:bCs/>
          <w:color w:val="000000" w:themeColor="text1"/>
          <w:szCs w:val="21"/>
        </w:rPr>
      </w:pPr>
      <w:r>
        <w:rPr>
          <w:rFonts w:hint="eastAsia" w:ascii="宋体" w:hAnsi="宋体" w:cs="宋体"/>
          <w:bCs/>
          <w:color w:val="000000" w:themeColor="text1"/>
          <w:szCs w:val="21"/>
        </w:rPr>
        <w:t>根据《中华人民共和国政府采购法》、《中华人民共和国合同法》等法律、法规规定，按照</w:t>
      </w:r>
      <w:r>
        <w:rPr>
          <w:rFonts w:hint="eastAsia" w:ascii="宋体" w:hAnsi="宋体" w:cs="宋体"/>
          <w:color w:val="000000" w:themeColor="text1"/>
        </w:rPr>
        <w:t>竞争性谈判文件</w:t>
      </w:r>
      <w:r>
        <w:rPr>
          <w:rFonts w:hint="eastAsia" w:ascii="宋体" w:hAnsi="宋体" w:cs="宋体"/>
          <w:bCs/>
          <w:color w:val="000000" w:themeColor="text1"/>
          <w:szCs w:val="21"/>
        </w:rPr>
        <w:t>（竞争性谈判响应文件）规定条款和中标（成交）供应商承诺，甲乙双方签订本合同。</w:t>
      </w:r>
    </w:p>
    <w:p>
      <w:pPr>
        <w:spacing w:line="440" w:lineRule="exact"/>
        <w:ind w:firstLine="422" w:firstLineChars="200"/>
        <w:rPr>
          <w:rFonts w:ascii="宋体" w:hAnsi="宋体" w:cs="宋体"/>
          <w:b/>
          <w:color w:val="000000" w:themeColor="text1"/>
        </w:rPr>
      </w:pPr>
      <w:r>
        <w:rPr>
          <w:rFonts w:hint="eastAsia" w:ascii="宋体" w:hAnsi="宋体" w:cs="宋体"/>
          <w:b/>
          <w:color w:val="000000" w:themeColor="text1"/>
        </w:rPr>
        <w:t>第一条  合同标的</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下列文件是构成本合同不可分割的部分：</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（1）成交供应商提交的谈判报价明细表，技术规格偏离表，货物供货清单和售后服务承诺书；</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（2）成交通知书；</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（3）本合同协议书及有关补充资料；</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（4）谈判文件的条款要求。</w:t>
      </w:r>
    </w:p>
    <w:p>
      <w:pPr>
        <w:spacing w:line="44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第二条　合同金额</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根据《成交通知书》的中标内容，合同的总金额为：人民币（大写）：</w:t>
      </w:r>
      <w:r>
        <w:rPr>
          <w:rFonts w:hint="eastAsia" w:ascii="宋体" w:hAnsi="宋体" w:cs="宋体"/>
          <w:color w:val="000000" w:themeColor="text1"/>
          <w:szCs w:val="21"/>
          <w:u w:val="single"/>
        </w:rPr>
        <w:t>　　　       　</w:t>
      </w:r>
      <w:r>
        <w:rPr>
          <w:rFonts w:hint="eastAsia" w:ascii="宋体" w:hAnsi="宋体" w:cs="宋体"/>
          <w:color w:val="000000" w:themeColor="text1"/>
          <w:szCs w:val="21"/>
        </w:rPr>
        <w:t>元（￥</w:t>
      </w:r>
      <w:r>
        <w:rPr>
          <w:rFonts w:hint="eastAsia" w:ascii="宋体" w:hAnsi="宋体" w:cs="宋体"/>
          <w:color w:val="000000" w:themeColor="text1"/>
          <w:szCs w:val="21"/>
          <w:u w:val="single"/>
        </w:rPr>
        <w:t>　    　</w:t>
      </w:r>
      <w:r>
        <w:rPr>
          <w:rFonts w:hint="eastAsia" w:ascii="宋体" w:hAnsi="宋体" w:cs="宋体"/>
          <w:color w:val="000000" w:themeColor="text1"/>
          <w:szCs w:val="21"/>
        </w:rPr>
        <w:t>）。</w:t>
      </w:r>
    </w:p>
    <w:p>
      <w:pPr>
        <w:spacing w:line="44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第三条  质量保证</w:t>
      </w:r>
    </w:p>
    <w:p>
      <w:pPr>
        <w:spacing w:line="44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1、乙方应按竞争性谈判响应文件规定的货物型号、规格、技术参数、质量标准向甲方提供未经使用的全新原装产品及相应服务，且在正常使用和保养条件下，其使用寿命期内各项指标均达到质量标准。乙方提供的节能和环境标志产品必须是列入现行政府采购清单目录内的产品。</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乙方提供货物的质量保证期为自交货物验收合格之日起至十二个月内止（厂家规定质保期超过一年的，按厂家规定，“货物采购需求”有规定的，按规定执行）。在质保期内因货物本身的质量问题发生的问题。对达不到技术要求者，根据实际情况，经双方协商，可按以下办法处理：</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（1）更换：由乙方承担所有发生的全部费用。</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（2）贬值处理：由甲乙双方合议定价。</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（3）退货处理：乙方应退还甲方支付的合同款，同时应承担该货物的直接费用（运输、保险、检验、贷款利息及银行手续费等）。</w:t>
      </w:r>
    </w:p>
    <w:p>
      <w:pPr>
        <w:spacing w:line="48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第四条  权力保证</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1、 乙方应保证所提供货物在使用时不会侵犯任何第三方的专利权、商标权、工业设计权或其他权利。</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2、乙方应按谈判文件规定的时间向甲方提供使用货物的有关技术资料。</w:t>
      </w:r>
    </w:p>
    <w:p>
      <w:pPr>
        <w:spacing w:line="480" w:lineRule="exact"/>
        <w:ind w:firstLine="405"/>
        <w:rPr>
          <w:rFonts w:ascii="宋体" w:hAnsi="宋体" w:cs="宋体"/>
          <w:color w:val="000000" w:themeColor="text1"/>
          <w:szCs w:val="21"/>
        </w:rPr>
      </w:pPr>
      <w:r>
        <w:rPr>
          <w:rFonts w:hint="eastAsia" w:ascii="宋体" w:hAnsi="宋体" w:cs="宋体"/>
          <w:color w:val="000000" w:themeColor="text1"/>
          <w:szCs w:val="21"/>
        </w:rPr>
        <w:t>3、乙方保证所交付的货物的所有权完全属于乙方且无任何抵押、质押、查封等产权瑕疵。</w:t>
      </w:r>
    </w:p>
    <w:p>
      <w:pPr>
        <w:spacing w:line="48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第五条  货物包装、运输</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1、乙方应在货物发运前对其进行满足运输距离、防潮、防震、防锈和防破损装卸等要求包装，以保证货物安全运达甲方指定地点。</w:t>
      </w:r>
    </w:p>
    <w:p>
      <w:pPr>
        <w:tabs>
          <w:tab w:val="left" w:pos="780"/>
        </w:tabs>
        <w:spacing w:line="480" w:lineRule="exact"/>
        <w:ind w:left="420"/>
        <w:rPr>
          <w:rFonts w:ascii="宋体" w:hAnsi="宋体" w:cs="宋体"/>
          <w:color w:val="000000" w:themeColor="text1"/>
          <w:szCs w:val="21"/>
        </w:rPr>
      </w:pPr>
      <w:r>
        <w:rPr>
          <w:rFonts w:hint="eastAsia" w:ascii="宋体" w:hAnsi="宋体" w:cs="宋体"/>
          <w:color w:val="000000" w:themeColor="text1"/>
          <w:szCs w:val="21"/>
        </w:rPr>
        <w:t>2、使用说明书、质量检验证明书、随配附件和工具以及清单一并附于货物内。</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3、乙方在货物发运手续办理完毕后二十四小时内或货到甲方四十八小时前通知甲方，以准备接货。</w:t>
      </w:r>
    </w:p>
    <w:p>
      <w:pPr>
        <w:numPr>
          <w:ilvl w:val="0"/>
          <w:numId w:val="11"/>
        </w:numPr>
        <w:tabs>
          <w:tab w:val="left" w:pos="780"/>
        </w:tabs>
        <w:spacing w:line="480" w:lineRule="exact"/>
        <w:ind w:left="780" w:hanging="360"/>
        <w:rPr>
          <w:rFonts w:ascii="宋体" w:hAnsi="宋体" w:cs="宋体"/>
          <w:color w:val="000000" w:themeColor="text1"/>
          <w:szCs w:val="21"/>
        </w:rPr>
      </w:pPr>
      <w:r>
        <w:rPr>
          <w:rFonts w:hint="eastAsia" w:ascii="宋体" w:hAnsi="宋体" w:cs="宋体"/>
          <w:color w:val="000000" w:themeColor="text1"/>
          <w:szCs w:val="21"/>
        </w:rPr>
        <w:t>货物在交付甲方前发生的风险均由乙方负责。</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第六条  交付</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1、交货</w:t>
      </w:r>
      <w:r>
        <w:rPr>
          <w:rFonts w:hint="eastAsia" w:ascii="宋体" w:hAnsi="宋体" w:cs="宋体"/>
          <w:color w:val="000000" w:themeColor="text1"/>
          <w:kern w:val="0"/>
          <w:szCs w:val="21"/>
        </w:rPr>
        <w:t>时间</w:t>
      </w:r>
      <w:r>
        <w:rPr>
          <w:rFonts w:hint="eastAsia" w:ascii="宋体" w:hAnsi="宋体" w:cs="宋体"/>
          <w:color w:val="000000" w:themeColor="text1"/>
          <w:szCs w:val="21"/>
        </w:rPr>
        <w:t>：________________________、地点：__________________________。</w:t>
      </w:r>
    </w:p>
    <w:p>
      <w:pPr>
        <w:spacing w:line="480" w:lineRule="exact"/>
        <w:rPr>
          <w:rFonts w:ascii="宋体" w:hAnsi="宋体" w:cs="宋体"/>
          <w:color w:val="000000" w:themeColor="text1"/>
          <w:szCs w:val="21"/>
        </w:rPr>
      </w:pPr>
      <w:r>
        <w:rPr>
          <w:rFonts w:hint="eastAsia" w:ascii="宋体" w:hAnsi="宋体" w:cs="宋体"/>
          <w:color w:val="000000" w:themeColor="text1"/>
          <w:szCs w:val="21"/>
        </w:rPr>
        <w:t xml:space="preserve">    2、乙方提供的货物、服务不符合竞争性谈判文件、竞争性谈判响应文件和本合同规定的，甲方有权拒绝接受。</w:t>
      </w:r>
    </w:p>
    <w:p>
      <w:pPr>
        <w:spacing w:line="480" w:lineRule="exact"/>
        <w:ind w:firstLine="420"/>
        <w:rPr>
          <w:rFonts w:ascii="宋体" w:hAnsi="宋体" w:cs="宋体"/>
          <w:color w:val="000000" w:themeColor="text1"/>
          <w:szCs w:val="21"/>
        </w:rPr>
      </w:pPr>
      <w:r>
        <w:rPr>
          <w:rFonts w:hint="eastAsia" w:ascii="宋体" w:hAnsi="宋体" w:cs="宋体"/>
          <w:color w:val="000000" w:themeColor="text1"/>
          <w:szCs w:val="21"/>
        </w:rPr>
        <w:t>3、乙方应将所有提供货物的装箱清单、用户手册、随机资料和备用、备件等交付给甲方、如有缺失应及时补齐，否则视为逾期交货。</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4、甲方依据竞争性谈判响应文件的技术规格要求和国家有关质量标准对货物进行现场初步验收，外观、说明书符合竞争性谈判响应文件技术要求的，给予签收，并签署货物验收单，初步验收不合格的不予签收。</w:t>
      </w:r>
    </w:p>
    <w:p>
      <w:pPr>
        <w:spacing w:line="480" w:lineRule="exact"/>
        <w:ind w:left="413"/>
        <w:rPr>
          <w:rFonts w:ascii="宋体" w:hAnsi="宋体" w:cs="宋体"/>
          <w:b/>
          <w:color w:val="000000" w:themeColor="text1"/>
          <w:szCs w:val="21"/>
        </w:rPr>
      </w:pPr>
      <w:r>
        <w:rPr>
          <w:rFonts w:hint="eastAsia" w:ascii="宋体" w:hAnsi="宋体" w:cs="宋体"/>
          <w:b/>
          <w:color w:val="000000" w:themeColor="text1"/>
          <w:szCs w:val="21"/>
        </w:rPr>
        <w:t>第七条  调试和验收</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1、乙方交货前应对产品做出全面的检查和对验收文件进行整理，并列出清单，作为甲方验收和使用的技术条件依据，验收的结果应随货物交甲方。</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甲方依据竞标文件的技术规格要求和国家有关质量标准对货物进行现场初步验收，外观、说明书符合竞标文件技术要求的，给予签收，初步验收不合格的不予签收。货到后，甲方应当在到货后七个工作日内进行验收，验收合格后由甲乙双方签署货物验收单并加盖公章，甲乙双方各执一份。</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3、甲方对验收有异议的，在验收后五个工作日内以书面形式向乙方提出，乙方应自收到甲方书面异议后</w:t>
      </w:r>
      <w:r>
        <w:rPr>
          <w:rFonts w:hint="eastAsia" w:ascii="宋体" w:hAnsi="宋体" w:cs="宋体"/>
          <w:color w:val="000000" w:themeColor="text1"/>
          <w:szCs w:val="21"/>
          <w:u w:val="single"/>
        </w:rPr>
        <w:t>　　　</w:t>
      </w:r>
      <w:r>
        <w:rPr>
          <w:rFonts w:hint="eastAsia" w:ascii="宋体" w:hAnsi="宋体" w:cs="宋体"/>
          <w:color w:val="000000" w:themeColor="text1"/>
          <w:szCs w:val="21"/>
        </w:rPr>
        <w:t>日内及时予以解决。</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第八条  售后服务、保修期</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1、乙方应按照国家有关法律规定和“三包”规定以及竞争性谈判响应文件和本合同所附的《服务承诺》，为甲方提供售后服务。</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2、如在使用过程中发生质量问题，乙方在接到甲方通知后在24小时内到达甲方现场处理。</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3、在质保期内，乙方应对货物出现的质量及安全问题负责处理解决并承担一切费用。</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第十条  税费</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本合同执行中相关的一切税费均由乙方负担。</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第十一条  付款方式</w:t>
      </w:r>
    </w:p>
    <w:p>
      <w:pPr>
        <w:spacing w:line="480" w:lineRule="exact"/>
        <w:ind w:firstLine="431" w:firstLineChars="196"/>
        <w:rPr>
          <w:rFonts w:ascii="宋体" w:hAnsi="宋体" w:cs="宋体"/>
          <w:color w:val="000000" w:themeColor="text1"/>
          <w:szCs w:val="21"/>
        </w:rPr>
      </w:pPr>
      <w:r>
        <w:rPr>
          <w:rFonts w:hint="eastAsia" w:ascii="宋体" w:hAnsi="宋体" w:cs="宋体"/>
          <w:color w:val="000000" w:themeColor="text1"/>
          <w:kern w:val="0"/>
          <w:sz w:val="22"/>
          <w:szCs w:val="22"/>
        </w:rPr>
        <w:t>全部货物安装调试完毕且验收合格后，凭双方签署验收合格报告，中标供应商开具税务发票给采购人,采购人支付合同总金额的97%给中标供应商,剩余3%作为质量保证金。若无质量问题，质保期满后甲方一次性向乙方退还质量保证金（不计利息）。</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第十二条  违约责任</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1、乙方所提供的货物规格、技术标准、材料等质量不合格的，应及时更换，更换不及时的按逾期交货处罚，乙方应向甲方支付合同金额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%违约金并赔偿甲方经济损失。</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2、乙方提供的货物如果侵犯了第三方合法权益而引发的任何纠纷或诉讼，均由乙方负责交涉并承担全部责任。</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3、因包装、运输引起的货物损坏，按质量不合格处理。</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4、甲方无故延期接受货物、乙方逾期交货的，每天向对方偿付合同金额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‰违约金，但违约金额不得超过合同金额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%，超过</w:t>
      </w:r>
      <w:r>
        <w:rPr>
          <w:rFonts w:hint="eastAsia" w:ascii="宋体" w:hAnsi="宋体" w:cs="宋体"/>
          <w:color w:val="000000" w:themeColor="text1"/>
          <w:szCs w:val="21"/>
          <w:u w:val="single"/>
        </w:rPr>
        <w:t>　　</w:t>
      </w:r>
      <w:r>
        <w:rPr>
          <w:rFonts w:hint="eastAsia" w:ascii="宋体" w:hAnsi="宋体" w:cs="宋体"/>
          <w:color w:val="000000" w:themeColor="text1"/>
          <w:szCs w:val="21"/>
        </w:rPr>
        <w:t>天对方有权解除合同，违约方承担因此给对方造成的经济损失：甲方延期付货款的，每天向乙方偿付合同金额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‰滞纳金，但滞纳金累计不得超过合同金额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5、乙方未按本合同和竞标文件中规定的服务承诺提供售后服务的，乙方应按本合同合同金额</w:t>
      </w:r>
      <w:r>
        <w:rPr>
          <w:rFonts w:hint="eastAsia" w:ascii="宋体" w:hAnsi="宋体" w:cs="宋体"/>
          <w:color w:val="000000" w:themeColor="text1"/>
          <w:szCs w:val="21"/>
          <w:u w:val="single"/>
        </w:rPr>
        <w:t>　　</w:t>
      </w:r>
      <w:r>
        <w:rPr>
          <w:rFonts w:hint="eastAsia" w:ascii="宋体" w:hAnsi="宋体" w:cs="宋体"/>
          <w:color w:val="000000" w:themeColor="text1"/>
          <w:szCs w:val="21"/>
        </w:rPr>
        <w:t>%向甲方支付违约金。</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6、乙方提供的货物在质保期内，因设计、工艺或材料的缺陷和其他质量原因造成的问题，由乙方负责，费用从质量保证金中扣除，不足另补。</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7、其他违约行为按违约货款额</w:t>
      </w:r>
      <w:r>
        <w:rPr>
          <w:rFonts w:hint="eastAsia" w:ascii="宋体" w:hAnsi="宋体" w:cs="宋体"/>
          <w:color w:val="000000" w:themeColor="text1"/>
          <w:szCs w:val="21"/>
          <w:u w:val="single"/>
        </w:rPr>
        <w:t>　　　</w:t>
      </w:r>
      <w:r>
        <w:rPr>
          <w:rFonts w:hint="eastAsia" w:ascii="宋体" w:hAnsi="宋体" w:cs="宋体"/>
          <w:color w:val="000000" w:themeColor="text1"/>
          <w:szCs w:val="21"/>
        </w:rPr>
        <w:t>%收取违约金并赔偿经济损失。</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第十三条  不可抗力事件处理</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1、在合同有效期内，乙方因不可抗力事件导致不能履行合同，则合同履行期可延长，其延长期与不可抗力影响期相同。</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2、不可抗力事件发生后，应立即通知对方，并寄送有关权威机构出具的证明。</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3、不可抗力事件延续一百二十天以上，双方应通过友好协商，确定是否继续履行合同。</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第十四条  合同争议解决</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1、因货物质量问题发生争议的，应邀请国家认可的质量检测机构对货物质量进行鉴定。货物符合标准的，鉴定费由甲方承担；货物不符合标准的，鉴定费由乙方承担。</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2、因履行本合同引起的或与本合同有关的争议，甲乙双方应首先通过友好协商解决，如果协商不能解决，可向玉林市仲裁委员会申请仲裁或向玉林市人民法院提起诉讼。</w:t>
      </w:r>
    </w:p>
    <w:p>
      <w:pPr>
        <w:spacing w:line="480" w:lineRule="exact"/>
        <w:ind w:left="435"/>
        <w:rPr>
          <w:rFonts w:ascii="宋体" w:hAnsi="宋体" w:cs="宋体"/>
          <w:color w:val="000000" w:themeColor="text1"/>
          <w:szCs w:val="21"/>
        </w:rPr>
      </w:pPr>
      <w:r>
        <w:rPr>
          <w:rFonts w:hint="eastAsia" w:ascii="宋体" w:hAnsi="宋体" w:cs="宋体"/>
          <w:color w:val="000000" w:themeColor="text1"/>
          <w:szCs w:val="21"/>
        </w:rPr>
        <w:t>3、诉讼期间，本合同继续履行。</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第十五条  合同生效及其它</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1、合同经甲乙双方法定代表人或授权代表签字并加盖单位公章后生效。</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2、本合同未尽事宜，遵照《合同法》有关条文执行。</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第十六条  合同的变更、终止与转让</w:t>
      </w:r>
    </w:p>
    <w:p>
      <w:pPr>
        <w:spacing w:line="480" w:lineRule="exact"/>
        <w:ind w:firstLine="411" w:firstLineChars="196"/>
        <w:rPr>
          <w:rFonts w:ascii="宋体" w:hAnsi="宋体" w:cs="宋体"/>
          <w:color w:val="000000" w:themeColor="text1"/>
          <w:szCs w:val="21"/>
        </w:rPr>
      </w:pPr>
      <w:r>
        <w:rPr>
          <w:rFonts w:hint="eastAsia" w:ascii="宋体" w:hAnsi="宋体" w:cs="宋体"/>
          <w:color w:val="000000" w:themeColor="text1"/>
          <w:szCs w:val="21"/>
        </w:rPr>
        <w:t>1、除《中华人民共和国政府采购法》第五十条规定的情形外，本合同一经签订，甲乙双方不得擅自变更，中止或终止。</w:t>
      </w:r>
    </w:p>
    <w:p>
      <w:pPr>
        <w:spacing w:line="480" w:lineRule="exact"/>
        <w:ind w:left="420"/>
        <w:rPr>
          <w:rFonts w:ascii="宋体" w:hAnsi="宋体" w:cs="宋体"/>
          <w:color w:val="000000" w:themeColor="text1"/>
          <w:szCs w:val="21"/>
        </w:rPr>
      </w:pPr>
      <w:r>
        <w:rPr>
          <w:rFonts w:hint="eastAsia" w:ascii="宋体" w:hAnsi="宋体" w:cs="宋体"/>
          <w:color w:val="000000" w:themeColor="text1"/>
          <w:szCs w:val="21"/>
        </w:rPr>
        <w:t>2、乙方不得擅自转让(无进口资格的供应商委托进口货物除外)其应履行的合同义务。</w:t>
      </w:r>
    </w:p>
    <w:p>
      <w:pPr>
        <w:spacing w:line="480" w:lineRule="exact"/>
        <w:ind w:firstLine="413" w:firstLineChars="196"/>
        <w:rPr>
          <w:rFonts w:ascii="宋体" w:hAnsi="宋体" w:cs="宋体"/>
          <w:b/>
          <w:color w:val="000000" w:themeColor="text1"/>
          <w:szCs w:val="21"/>
        </w:rPr>
      </w:pPr>
      <w:r>
        <w:rPr>
          <w:rFonts w:hint="eastAsia" w:ascii="宋体" w:hAnsi="宋体" w:cs="宋体"/>
          <w:b/>
          <w:color w:val="000000" w:themeColor="text1"/>
          <w:szCs w:val="21"/>
        </w:rPr>
        <w:t>第十七条  签订本合同依据</w:t>
      </w:r>
    </w:p>
    <w:p>
      <w:pPr>
        <w:spacing w:line="480" w:lineRule="exact"/>
        <w:ind w:left="420"/>
        <w:rPr>
          <w:rFonts w:ascii="宋体" w:hAnsi="宋体" w:cs="宋体"/>
          <w:color w:val="000000" w:themeColor="text1"/>
          <w:szCs w:val="21"/>
        </w:rPr>
      </w:pPr>
      <w:r>
        <w:rPr>
          <w:rFonts w:hint="eastAsia" w:ascii="宋体" w:hAnsi="宋体" w:cs="宋体"/>
          <w:color w:val="000000" w:themeColor="text1"/>
          <w:szCs w:val="21"/>
        </w:rPr>
        <w:t>1、竞争性谈判文件：</w:t>
      </w:r>
    </w:p>
    <w:p>
      <w:pPr>
        <w:spacing w:line="480" w:lineRule="exact"/>
        <w:ind w:left="225" w:leftChars="107" w:firstLine="210" w:firstLineChars="100"/>
        <w:rPr>
          <w:rFonts w:ascii="宋体" w:hAnsi="宋体" w:cs="宋体"/>
          <w:color w:val="000000" w:themeColor="text1"/>
          <w:szCs w:val="21"/>
        </w:rPr>
      </w:pPr>
      <w:r>
        <w:rPr>
          <w:rFonts w:hint="eastAsia" w:ascii="宋体" w:hAnsi="宋体" w:cs="宋体"/>
          <w:color w:val="000000" w:themeColor="text1"/>
          <w:szCs w:val="21"/>
        </w:rPr>
        <w:t>2、成交供应商的谈判报价明细表、技术规格偏离表、货物供货清单；</w:t>
      </w:r>
    </w:p>
    <w:p>
      <w:pPr>
        <w:spacing w:line="480" w:lineRule="exact"/>
        <w:ind w:left="225" w:leftChars="107" w:firstLine="210" w:firstLineChars="100"/>
        <w:rPr>
          <w:rFonts w:ascii="宋体" w:hAnsi="宋体" w:cs="宋体"/>
          <w:color w:val="000000" w:themeColor="text1"/>
          <w:szCs w:val="21"/>
        </w:rPr>
      </w:pPr>
      <w:r>
        <w:rPr>
          <w:rFonts w:hint="eastAsia" w:ascii="宋体" w:hAnsi="宋体" w:cs="宋体"/>
          <w:color w:val="000000" w:themeColor="text1"/>
          <w:szCs w:val="21"/>
        </w:rPr>
        <w:t>3、承诺书</w:t>
      </w:r>
    </w:p>
    <w:p>
      <w:pPr>
        <w:spacing w:line="480" w:lineRule="exact"/>
        <w:ind w:left="225" w:leftChars="107" w:firstLine="210" w:firstLineChars="100"/>
        <w:rPr>
          <w:rFonts w:ascii="宋体" w:hAnsi="宋体" w:cs="宋体"/>
          <w:color w:val="000000" w:themeColor="text1"/>
          <w:szCs w:val="21"/>
        </w:rPr>
      </w:pPr>
      <w:r>
        <w:rPr>
          <w:rFonts w:hint="eastAsia" w:ascii="宋体" w:hAnsi="宋体" w:cs="宋体"/>
          <w:color w:val="000000" w:themeColor="text1"/>
          <w:szCs w:val="21"/>
        </w:rPr>
        <w:t>4、成交通知书</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本合同甲乙双方签字盖章后生效，一式四份，具有同等法律效力，甲、乙双方各二份。</w:t>
      </w:r>
    </w:p>
    <w:p>
      <w:pPr>
        <w:spacing w:line="480" w:lineRule="exact"/>
        <w:ind w:firstLine="420" w:firstLineChars="200"/>
        <w:rPr>
          <w:rFonts w:ascii="宋体" w:hAnsi="宋体" w:cs="宋体"/>
          <w:color w:val="000000" w:themeColor="text1"/>
          <w:szCs w:val="21"/>
        </w:rPr>
      </w:pPr>
    </w:p>
    <w:p>
      <w:pPr>
        <w:tabs>
          <w:tab w:val="left" w:pos="4320"/>
          <w:tab w:val="left" w:pos="4500"/>
        </w:tabs>
        <w:spacing w:line="480" w:lineRule="exact"/>
        <w:rPr>
          <w:rFonts w:ascii="宋体" w:hAnsi="宋体" w:cs="宋体"/>
          <w:color w:val="000000" w:themeColor="text1"/>
          <w:szCs w:val="21"/>
          <w:u w:val="single"/>
        </w:rPr>
      </w:pPr>
      <w:r>
        <w:rPr>
          <w:rFonts w:hint="eastAsia" w:ascii="宋体" w:hAnsi="宋体" w:cs="宋体"/>
          <w:color w:val="000000" w:themeColor="text1"/>
          <w:szCs w:val="21"/>
        </w:rPr>
        <w:t>甲方名称（公章）：     乙方名称（公章）：</w:t>
      </w:r>
    </w:p>
    <w:p>
      <w:pPr>
        <w:spacing w:line="480" w:lineRule="exact"/>
        <w:rPr>
          <w:rFonts w:ascii="宋体" w:hAnsi="宋体" w:cs="宋体"/>
          <w:color w:val="000000" w:themeColor="text1"/>
          <w:szCs w:val="21"/>
          <w:u w:val="single"/>
        </w:rPr>
      </w:pPr>
      <w:r>
        <w:rPr>
          <w:rFonts w:hint="eastAsia" w:ascii="宋体" w:hAnsi="宋体" w:cs="宋体"/>
          <w:color w:val="000000" w:themeColor="text1"/>
          <w:szCs w:val="21"/>
        </w:rPr>
        <w:t>法定代表人：  法定代表人：</w:t>
      </w:r>
    </w:p>
    <w:p>
      <w:pPr>
        <w:tabs>
          <w:tab w:val="left" w:pos="4680"/>
        </w:tabs>
        <w:spacing w:line="480" w:lineRule="exact"/>
        <w:rPr>
          <w:rFonts w:ascii="宋体" w:hAnsi="宋体" w:cs="宋体"/>
          <w:color w:val="000000" w:themeColor="text1"/>
          <w:szCs w:val="21"/>
          <w:u w:val="single"/>
        </w:rPr>
      </w:pPr>
      <w:r>
        <w:rPr>
          <w:rFonts w:hint="eastAsia" w:ascii="宋体" w:hAnsi="宋体" w:cs="宋体"/>
          <w:color w:val="000000" w:themeColor="text1"/>
          <w:szCs w:val="21"/>
        </w:rPr>
        <w:t>委托代理人： 委托代理人：</w:t>
      </w:r>
    </w:p>
    <w:p>
      <w:pPr>
        <w:tabs>
          <w:tab w:val="left" w:pos="5040"/>
        </w:tabs>
        <w:spacing w:line="480" w:lineRule="exact"/>
        <w:rPr>
          <w:rFonts w:ascii="宋体" w:hAnsi="宋体" w:cs="宋体"/>
          <w:color w:val="000000" w:themeColor="text1"/>
          <w:szCs w:val="21"/>
          <w:u w:val="single"/>
        </w:rPr>
      </w:pPr>
      <w:r>
        <w:rPr>
          <w:rFonts w:hint="eastAsia" w:ascii="宋体" w:hAnsi="宋体" w:cs="宋体"/>
          <w:color w:val="000000" w:themeColor="text1"/>
          <w:szCs w:val="21"/>
        </w:rPr>
        <w:t xml:space="preserve">电  话：电   话： </w:t>
      </w:r>
    </w:p>
    <w:p>
      <w:pPr>
        <w:tabs>
          <w:tab w:val="left" w:pos="5040"/>
        </w:tabs>
        <w:spacing w:line="480" w:lineRule="exact"/>
        <w:rPr>
          <w:rFonts w:ascii="宋体" w:hAnsi="宋体" w:cs="宋体"/>
          <w:color w:val="000000" w:themeColor="text1"/>
          <w:szCs w:val="21"/>
        </w:rPr>
      </w:pPr>
      <w:r>
        <w:rPr>
          <w:rFonts w:hint="eastAsia" w:ascii="宋体" w:hAnsi="宋体" w:cs="宋体"/>
          <w:color w:val="000000" w:themeColor="text1"/>
          <w:szCs w:val="21"/>
        </w:rPr>
        <w:t>开户名称：开户名称：</w:t>
      </w:r>
    </w:p>
    <w:p>
      <w:pPr>
        <w:tabs>
          <w:tab w:val="left" w:pos="5040"/>
        </w:tabs>
        <w:spacing w:line="480" w:lineRule="exact"/>
        <w:rPr>
          <w:rFonts w:ascii="宋体" w:hAnsi="宋体" w:cs="宋体"/>
          <w:color w:val="000000" w:themeColor="text1"/>
          <w:szCs w:val="21"/>
        </w:rPr>
      </w:pPr>
      <w:r>
        <w:rPr>
          <w:rFonts w:hint="eastAsia" w:ascii="宋体" w:hAnsi="宋体" w:cs="宋体"/>
          <w:color w:val="000000" w:themeColor="text1"/>
          <w:szCs w:val="21"/>
        </w:rPr>
        <w:t>开户银行： 开户银行：</w:t>
      </w:r>
    </w:p>
    <w:p>
      <w:pPr>
        <w:tabs>
          <w:tab w:val="left" w:pos="5040"/>
        </w:tabs>
        <w:spacing w:line="480" w:lineRule="exact"/>
        <w:rPr>
          <w:rFonts w:ascii="宋体" w:hAnsi="宋体" w:cs="宋体"/>
          <w:color w:val="000000" w:themeColor="text1"/>
          <w:szCs w:val="21"/>
        </w:rPr>
      </w:pPr>
      <w:r>
        <w:rPr>
          <w:rFonts w:hint="eastAsia" w:ascii="宋体" w:hAnsi="宋体" w:cs="宋体"/>
          <w:color w:val="000000" w:themeColor="text1"/>
          <w:szCs w:val="21"/>
        </w:rPr>
        <w:t>银行账号： 银行账号：</w:t>
      </w:r>
    </w:p>
    <w:p>
      <w:pPr>
        <w:tabs>
          <w:tab w:val="left" w:pos="5040"/>
        </w:tabs>
        <w:spacing w:line="480" w:lineRule="exact"/>
        <w:rPr>
          <w:rFonts w:ascii="宋体" w:hAnsi="宋体" w:cs="宋体"/>
          <w:color w:val="000000" w:themeColor="text1"/>
          <w:szCs w:val="21"/>
        </w:rPr>
      </w:pPr>
      <w:r>
        <w:rPr>
          <w:rFonts w:hint="eastAsia" w:ascii="宋体" w:hAnsi="宋体" w:cs="宋体"/>
          <w:color w:val="000000" w:themeColor="text1"/>
          <w:szCs w:val="21"/>
        </w:rPr>
        <w:t>日    期：日    期：</w:t>
      </w:r>
    </w:p>
    <w:p>
      <w:pPr>
        <w:tabs>
          <w:tab w:val="left" w:pos="5040"/>
        </w:tabs>
        <w:spacing w:line="440" w:lineRule="exact"/>
        <w:rPr>
          <w:rFonts w:ascii="宋体" w:hAnsi="宋体" w:cs="宋体"/>
          <w:color w:val="000000" w:themeColor="text1"/>
          <w:szCs w:val="21"/>
        </w:rPr>
      </w:pPr>
    </w:p>
    <w:p>
      <w:pPr>
        <w:tabs>
          <w:tab w:val="left" w:pos="5040"/>
        </w:tabs>
        <w:spacing w:line="440" w:lineRule="exact"/>
        <w:rPr>
          <w:rFonts w:ascii="宋体" w:hAnsi="宋体" w:cs="宋体"/>
          <w:color w:val="000000" w:themeColor="text1"/>
          <w:szCs w:val="21"/>
        </w:rPr>
      </w:pPr>
    </w:p>
    <w:p>
      <w:pPr>
        <w:tabs>
          <w:tab w:val="left" w:pos="5040"/>
        </w:tabs>
        <w:spacing w:line="440" w:lineRule="exact"/>
        <w:rPr>
          <w:rFonts w:ascii="宋体" w:hAnsi="宋体" w:cs="宋体"/>
          <w:color w:val="000000" w:themeColor="text1"/>
          <w:szCs w:val="21"/>
        </w:rPr>
      </w:pPr>
    </w:p>
    <w:p>
      <w:pPr>
        <w:tabs>
          <w:tab w:val="left" w:pos="5040"/>
        </w:tabs>
        <w:spacing w:line="440" w:lineRule="exact"/>
        <w:rPr>
          <w:rFonts w:ascii="宋体" w:hAnsi="宋体" w:cs="宋体"/>
          <w:color w:val="000000" w:themeColor="text1"/>
          <w:szCs w:val="21"/>
        </w:rPr>
      </w:pPr>
    </w:p>
    <w:bookmarkEnd w:id="95"/>
    <w:bookmarkEnd w:id="96"/>
    <w:bookmarkEnd w:id="97"/>
    <w:bookmarkEnd w:id="98"/>
    <w:bookmarkEnd w:id="99"/>
    <w:p>
      <w:pPr>
        <w:pStyle w:val="3"/>
        <w:numPr>
          <w:ilvl w:val="0"/>
          <w:numId w:val="12"/>
        </w:numPr>
        <w:spacing w:before="5" w:after="5" w:line="800" w:lineRule="atLeast"/>
        <w:jc w:val="center"/>
        <w:rPr>
          <w:rFonts w:ascii="宋体" w:hAnsi="宋体" w:cs="宋体"/>
          <w:color w:val="000000" w:themeColor="text1"/>
          <w:sz w:val="44"/>
          <w:szCs w:val="44"/>
        </w:rPr>
      </w:pPr>
      <w:bookmarkStart w:id="107" w:name="_Toc1584"/>
      <w:r>
        <w:rPr>
          <w:rFonts w:hint="eastAsia" w:ascii="宋体" w:hAnsi="宋体" w:cs="宋体"/>
          <w:color w:val="000000" w:themeColor="text1"/>
          <w:sz w:val="44"/>
          <w:szCs w:val="44"/>
        </w:rPr>
        <w:t>竞争性谈判响应文件（格式）</w:t>
      </w:r>
      <w:bookmarkEnd w:id="100"/>
      <w:bookmarkEnd w:id="102"/>
      <w:bookmarkEnd w:id="107"/>
    </w:p>
    <w:p>
      <w:pPr>
        <w:spacing w:before="5" w:after="5" w:line="360" w:lineRule="exact"/>
        <w:rPr>
          <w:rFonts w:ascii="宋体" w:hAnsi="宋体" w:cs="宋体"/>
          <w:b/>
          <w:color w:val="000000" w:themeColor="text1"/>
          <w:sz w:val="28"/>
        </w:rPr>
      </w:pPr>
    </w:p>
    <w:p>
      <w:pPr>
        <w:spacing w:before="5" w:after="5" w:line="360" w:lineRule="exact"/>
        <w:jc w:val="center"/>
        <w:rPr>
          <w:rFonts w:ascii="宋体" w:hAnsi="宋体" w:cs="宋体"/>
          <w:b/>
          <w:color w:val="000000" w:themeColor="text1"/>
          <w:sz w:val="28"/>
        </w:rPr>
      </w:pPr>
      <w:r>
        <w:rPr>
          <w:rFonts w:hint="eastAsia" w:ascii="宋体" w:hAnsi="宋体" w:cs="宋体"/>
          <w:b/>
          <w:color w:val="000000" w:themeColor="text1"/>
          <w:sz w:val="28"/>
        </w:rPr>
        <w:t>竞争性谈判响应文件封面格式</w:t>
      </w:r>
    </w:p>
    <w:p>
      <w:pPr>
        <w:spacing w:before="5" w:after="5" w:line="360" w:lineRule="exact"/>
        <w:jc w:val="center"/>
        <w:rPr>
          <w:rFonts w:ascii="宋体" w:hAnsi="宋体" w:cs="宋体"/>
          <w:b/>
          <w:color w:val="000000" w:themeColor="text1"/>
          <w:sz w:val="28"/>
        </w:rPr>
      </w:pPr>
    </w:p>
    <w:p>
      <w:pPr>
        <w:spacing w:before="5" w:after="5" w:line="360" w:lineRule="exact"/>
        <w:jc w:val="center"/>
        <w:rPr>
          <w:rFonts w:ascii="宋体" w:hAnsi="宋体" w:cs="宋体"/>
          <w:b/>
          <w:color w:val="000000" w:themeColor="text1"/>
          <w:sz w:val="28"/>
        </w:rPr>
      </w:pPr>
      <w:r>
        <w:rPr>
          <w:rFonts w:hint="eastAsia" w:ascii="宋体" w:hAnsi="宋体" w:cs="宋体"/>
          <w:b/>
          <w:bCs/>
          <w:color w:val="000000" w:themeColor="text1"/>
          <w:sz w:val="32"/>
          <w:szCs w:val="32"/>
        </w:rPr>
        <w:t>（正/副本）</w:t>
      </w:r>
    </w:p>
    <w:p>
      <w:pPr>
        <w:snapToGrid w:val="0"/>
        <w:spacing w:beforeLines="100" w:afterLines="100" w:line="440" w:lineRule="exact"/>
        <w:jc w:val="center"/>
        <w:rPr>
          <w:rFonts w:ascii="宋体" w:hAnsi="宋体" w:cs="宋体"/>
          <w:color w:val="000000" w:themeColor="text1"/>
          <w:sz w:val="84"/>
          <w:szCs w:val="84"/>
        </w:rPr>
      </w:pPr>
      <w:r>
        <w:rPr>
          <w:rFonts w:hint="eastAsia" w:ascii="宋体" w:hAnsi="宋体" w:cs="宋体"/>
          <w:b/>
          <w:bCs/>
          <w:color w:val="000000" w:themeColor="text1"/>
          <w:sz w:val="32"/>
          <w:szCs w:val="32"/>
        </w:rPr>
        <w:t>××××××（谈判供应商名称）</w:t>
      </w:r>
    </w:p>
    <w:p>
      <w:pPr>
        <w:snapToGrid w:val="0"/>
        <w:spacing w:beforeLines="150" w:afterLines="150" w:line="480" w:lineRule="auto"/>
        <w:jc w:val="center"/>
        <w:rPr>
          <w:rFonts w:ascii="宋体" w:hAnsi="宋体" w:cs="宋体"/>
          <w:bCs/>
          <w:color w:val="000000" w:themeColor="text1"/>
          <w:sz w:val="72"/>
          <w:szCs w:val="72"/>
        </w:rPr>
      </w:pPr>
      <w:r>
        <w:rPr>
          <w:rFonts w:hint="eastAsia" w:ascii="宋体" w:hAnsi="宋体" w:cs="宋体"/>
          <w:color w:val="000000" w:themeColor="text1"/>
          <w:sz w:val="72"/>
          <w:szCs w:val="72"/>
        </w:rPr>
        <w:t>竞争性谈判响应文件</w:t>
      </w:r>
    </w:p>
    <w:p>
      <w:pPr>
        <w:snapToGrid w:val="0"/>
        <w:spacing w:beforeLines="100" w:afterLines="100" w:line="360" w:lineRule="auto"/>
        <w:ind w:firstLine="1600" w:firstLineChars="500"/>
        <w:rPr>
          <w:rFonts w:ascii="宋体" w:hAnsi="宋体" w:cs="宋体"/>
          <w:bCs/>
          <w:color w:val="000000" w:themeColor="text1"/>
          <w:sz w:val="32"/>
          <w:szCs w:val="32"/>
        </w:rPr>
      </w:pPr>
    </w:p>
    <w:p>
      <w:pPr>
        <w:snapToGrid w:val="0"/>
        <w:spacing w:beforeLines="100" w:afterLines="100" w:line="360" w:lineRule="auto"/>
        <w:ind w:firstLine="1600" w:firstLineChars="500"/>
        <w:rPr>
          <w:rFonts w:ascii="宋体" w:hAnsi="宋体" w:cs="宋体"/>
          <w:bCs/>
          <w:color w:val="000000" w:themeColor="text1"/>
          <w:sz w:val="32"/>
          <w:szCs w:val="32"/>
        </w:rPr>
      </w:pPr>
      <w:r>
        <w:rPr>
          <w:rFonts w:hint="eastAsia" w:ascii="宋体" w:hAnsi="宋体" w:cs="宋体"/>
          <w:bCs/>
          <w:color w:val="000000" w:themeColor="text1"/>
          <w:sz w:val="32"/>
          <w:szCs w:val="32"/>
        </w:rPr>
        <w:t xml:space="preserve">项目名称： </w:t>
      </w:r>
    </w:p>
    <w:p>
      <w:pPr>
        <w:snapToGrid w:val="0"/>
        <w:spacing w:beforeLines="100" w:afterLines="100" w:line="360" w:lineRule="auto"/>
        <w:ind w:firstLine="1600" w:firstLineChars="500"/>
        <w:rPr>
          <w:rFonts w:ascii="宋体" w:hAnsi="宋体" w:cs="宋体"/>
          <w:bCs/>
          <w:color w:val="000000" w:themeColor="text1"/>
          <w:sz w:val="32"/>
          <w:szCs w:val="32"/>
        </w:rPr>
      </w:pPr>
      <w:r>
        <w:rPr>
          <w:rFonts w:hint="eastAsia" w:ascii="宋体" w:hAnsi="宋体" w:cs="宋体"/>
          <w:bCs/>
          <w:color w:val="000000" w:themeColor="text1"/>
          <w:sz w:val="32"/>
          <w:szCs w:val="32"/>
        </w:rPr>
        <w:t xml:space="preserve">项目编号： </w:t>
      </w:r>
    </w:p>
    <w:p>
      <w:pPr>
        <w:snapToGrid w:val="0"/>
        <w:spacing w:beforeLines="100" w:afterLines="100" w:line="440" w:lineRule="exact"/>
        <w:ind w:firstLine="960" w:firstLineChars="300"/>
        <w:rPr>
          <w:rFonts w:ascii="宋体" w:hAnsi="宋体" w:cs="宋体"/>
          <w:bCs/>
          <w:color w:val="000000" w:themeColor="text1"/>
          <w:sz w:val="32"/>
          <w:szCs w:val="32"/>
        </w:rPr>
      </w:pPr>
    </w:p>
    <w:p>
      <w:pPr>
        <w:snapToGrid w:val="0"/>
        <w:spacing w:beforeLines="100" w:afterLines="100" w:line="440" w:lineRule="exact"/>
        <w:ind w:firstLine="960" w:firstLineChars="300"/>
        <w:rPr>
          <w:rFonts w:ascii="宋体" w:hAnsi="宋体" w:cs="宋体"/>
          <w:color w:val="000000" w:themeColor="text1"/>
          <w:sz w:val="32"/>
          <w:szCs w:val="32"/>
        </w:rPr>
      </w:pPr>
      <w:r>
        <w:rPr>
          <w:rFonts w:hint="eastAsia" w:ascii="宋体" w:hAnsi="宋体" w:cs="宋体"/>
          <w:bCs/>
          <w:color w:val="000000" w:themeColor="text1"/>
          <w:sz w:val="32"/>
          <w:szCs w:val="32"/>
        </w:rPr>
        <w:t>谈判供应商（加盖单位公章）：</w:t>
      </w:r>
    </w:p>
    <w:p>
      <w:pPr>
        <w:snapToGrid w:val="0"/>
        <w:spacing w:beforeLines="100" w:afterLines="100" w:line="440" w:lineRule="exact"/>
        <w:ind w:firstLine="960" w:firstLineChars="300"/>
        <w:rPr>
          <w:rFonts w:ascii="宋体" w:hAnsi="宋体" w:cs="宋体"/>
          <w:bCs/>
          <w:color w:val="000000" w:themeColor="text1"/>
          <w:sz w:val="32"/>
          <w:szCs w:val="32"/>
        </w:rPr>
      </w:pPr>
      <w:r>
        <w:rPr>
          <w:rFonts w:hint="eastAsia" w:ascii="宋体" w:hAnsi="宋体" w:cs="宋体"/>
          <w:bCs/>
          <w:color w:val="000000" w:themeColor="text1"/>
          <w:sz w:val="32"/>
          <w:szCs w:val="32"/>
        </w:rPr>
        <w:t>地  址：</w:t>
      </w:r>
    </w:p>
    <w:p>
      <w:pPr>
        <w:snapToGrid w:val="0"/>
        <w:spacing w:beforeLines="100" w:afterLines="100" w:line="440" w:lineRule="exact"/>
        <w:ind w:firstLine="960" w:firstLineChars="300"/>
        <w:rPr>
          <w:rFonts w:ascii="宋体" w:hAnsi="宋体" w:cs="宋体"/>
          <w:bCs/>
          <w:color w:val="000000" w:themeColor="text1"/>
          <w:sz w:val="32"/>
          <w:szCs w:val="32"/>
        </w:rPr>
      </w:pPr>
      <w:r>
        <w:rPr>
          <w:rFonts w:hint="eastAsia" w:ascii="宋体" w:hAnsi="宋体" w:cs="宋体"/>
          <w:bCs/>
          <w:color w:val="000000" w:themeColor="text1"/>
          <w:sz w:val="32"/>
          <w:szCs w:val="32"/>
        </w:rPr>
        <w:t>联系电话：</w:t>
      </w:r>
    </w:p>
    <w:p>
      <w:pPr>
        <w:snapToGrid w:val="0"/>
        <w:spacing w:beforeLines="100" w:afterLines="100" w:line="440" w:lineRule="exact"/>
        <w:ind w:firstLine="960" w:firstLineChars="300"/>
        <w:rPr>
          <w:rFonts w:ascii="宋体" w:hAnsi="宋体" w:cs="宋体"/>
          <w:bCs/>
          <w:color w:val="000000" w:themeColor="text1"/>
          <w:sz w:val="32"/>
          <w:szCs w:val="32"/>
          <w:u w:val="single"/>
        </w:rPr>
      </w:pPr>
      <w:r>
        <w:rPr>
          <w:rFonts w:hint="eastAsia" w:ascii="宋体" w:hAnsi="宋体" w:cs="宋体"/>
          <w:bCs/>
          <w:color w:val="000000" w:themeColor="text1"/>
          <w:sz w:val="32"/>
          <w:szCs w:val="32"/>
        </w:rPr>
        <w:t>法定代表人（负责人）或委托代理人签字：</w:t>
      </w:r>
    </w:p>
    <w:p>
      <w:pPr>
        <w:pStyle w:val="24"/>
        <w:spacing w:beforeLines="100" w:afterLines="100" w:line="440" w:lineRule="exact"/>
        <w:ind w:firstLine="960" w:firstLineChars="300"/>
        <w:rPr>
          <w:rFonts w:hAnsi="宋体" w:cs="宋体"/>
          <w:b/>
          <w:color w:val="000000" w:themeColor="text1"/>
          <w:sz w:val="30"/>
          <w:szCs w:val="30"/>
        </w:rPr>
      </w:pPr>
      <w:r>
        <w:rPr>
          <w:rFonts w:hint="eastAsia" w:hAnsi="宋体" w:cs="宋体"/>
          <w:bCs/>
          <w:color w:val="000000" w:themeColor="text1"/>
          <w:sz w:val="32"/>
          <w:szCs w:val="32"/>
        </w:rPr>
        <w:t>日期：</w:t>
      </w:r>
    </w:p>
    <w:p>
      <w:pPr>
        <w:pStyle w:val="24"/>
        <w:spacing w:before="5" w:after="5" w:line="360" w:lineRule="exact"/>
        <w:rPr>
          <w:rFonts w:hAnsi="宋体" w:cs="宋体"/>
          <w:b/>
          <w:color w:val="000000" w:themeColor="text1"/>
          <w:sz w:val="32"/>
        </w:rPr>
      </w:pPr>
    </w:p>
    <w:p>
      <w:pPr>
        <w:pStyle w:val="24"/>
        <w:spacing w:before="5" w:after="5" w:line="360" w:lineRule="exact"/>
        <w:rPr>
          <w:rFonts w:hAnsi="宋体" w:cs="宋体"/>
          <w:b/>
          <w:color w:val="000000" w:themeColor="text1"/>
          <w:sz w:val="32"/>
        </w:rPr>
      </w:pPr>
    </w:p>
    <w:p>
      <w:pPr>
        <w:pStyle w:val="24"/>
        <w:spacing w:before="5" w:after="5" w:line="360" w:lineRule="exact"/>
        <w:rPr>
          <w:rFonts w:hAnsi="宋体" w:cs="宋体"/>
          <w:b/>
          <w:color w:val="000000" w:themeColor="text1"/>
          <w:sz w:val="32"/>
        </w:rPr>
      </w:pPr>
    </w:p>
    <w:p>
      <w:pPr>
        <w:pStyle w:val="24"/>
        <w:spacing w:before="5" w:after="5" w:line="360" w:lineRule="exact"/>
        <w:rPr>
          <w:rFonts w:hAnsi="宋体" w:cs="宋体"/>
          <w:b/>
          <w:color w:val="000000" w:themeColor="text1"/>
          <w:sz w:val="32"/>
        </w:rPr>
      </w:pPr>
    </w:p>
    <w:p>
      <w:pPr>
        <w:pStyle w:val="24"/>
        <w:spacing w:before="5" w:after="5" w:line="360" w:lineRule="exact"/>
        <w:rPr>
          <w:rFonts w:hAnsi="宋体" w:cs="宋体"/>
          <w:b/>
          <w:color w:val="000000" w:themeColor="text1"/>
          <w:sz w:val="32"/>
        </w:rPr>
      </w:pPr>
    </w:p>
    <w:p>
      <w:pPr>
        <w:pStyle w:val="24"/>
        <w:spacing w:before="5" w:after="5" w:line="360" w:lineRule="exact"/>
        <w:rPr>
          <w:rFonts w:hAnsi="宋体" w:cs="宋体"/>
          <w:b/>
          <w:color w:val="000000" w:themeColor="text1"/>
          <w:sz w:val="32"/>
        </w:rPr>
      </w:pPr>
    </w:p>
    <w:p>
      <w:pPr>
        <w:spacing w:line="500" w:lineRule="exact"/>
        <w:jc w:val="center"/>
        <w:rPr>
          <w:rFonts w:ascii="宋体" w:hAnsi="宋体" w:cs="宋体"/>
          <w:b/>
          <w:color w:val="000000" w:themeColor="text1"/>
          <w:sz w:val="44"/>
          <w:szCs w:val="44"/>
        </w:rPr>
      </w:pPr>
      <w:r>
        <w:rPr>
          <w:rFonts w:hint="eastAsia" w:ascii="宋体" w:hAnsi="宋体" w:cs="宋体"/>
          <w:b/>
          <w:color w:val="000000" w:themeColor="text1"/>
          <w:sz w:val="44"/>
          <w:szCs w:val="44"/>
        </w:rPr>
        <w:t>目   录</w:t>
      </w:r>
    </w:p>
    <w:p>
      <w:pPr>
        <w:spacing w:line="50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rPr>
        <w:t>（页码及文件顺序由谈判供应商自行编制）</w:t>
      </w:r>
    </w:p>
    <w:p>
      <w:pPr>
        <w:spacing w:line="500" w:lineRule="exact"/>
        <w:ind w:firstLine="420" w:firstLineChars="200"/>
        <w:jc w:val="center"/>
        <w:rPr>
          <w:rFonts w:ascii="宋体" w:hAnsi="宋体" w:cs="宋体"/>
          <w:color w:val="000000" w:themeColor="text1"/>
        </w:rPr>
      </w:pPr>
    </w:p>
    <w:p>
      <w:pPr>
        <w:numPr>
          <w:ilvl w:val="0"/>
          <w:numId w:val="13"/>
        </w:numPr>
        <w:spacing w:line="480" w:lineRule="auto"/>
        <w:ind w:left="0"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谈判书……………………………………………………………</w:t>
      </w:r>
    </w:p>
    <w:p>
      <w:pPr>
        <w:numPr>
          <w:ilvl w:val="0"/>
          <w:numId w:val="13"/>
        </w:numPr>
        <w:spacing w:line="480" w:lineRule="auto"/>
        <w:ind w:left="0"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谈判报价表………………………………………………………</w:t>
      </w:r>
    </w:p>
    <w:p>
      <w:pPr>
        <w:numPr>
          <w:ilvl w:val="0"/>
          <w:numId w:val="13"/>
        </w:numPr>
        <w:spacing w:line="480" w:lineRule="auto"/>
        <w:ind w:left="0"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技术规格偏离表…………………………………………………</w:t>
      </w:r>
    </w:p>
    <w:p>
      <w:pPr>
        <w:spacing w:line="480" w:lineRule="auto"/>
        <w:ind w:left="560"/>
        <w:rPr>
          <w:rFonts w:ascii="宋体" w:hAnsi="宋体" w:cs="宋体"/>
          <w:color w:val="000000" w:themeColor="text1"/>
          <w:sz w:val="28"/>
          <w:szCs w:val="28"/>
        </w:rPr>
      </w:pPr>
      <w:r>
        <w:rPr>
          <w:rFonts w:hint="eastAsia" w:ascii="宋体" w:hAnsi="宋体" w:cs="宋体"/>
          <w:color w:val="000000" w:themeColor="text1"/>
          <w:sz w:val="28"/>
          <w:szCs w:val="28"/>
        </w:rPr>
        <w:t>四、售后服务承诺书…………………………………………………</w:t>
      </w:r>
    </w:p>
    <w:p>
      <w:pPr>
        <w:pStyle w:val="24"/>
        <w:spacing w:line="480" w:lineRule="auto"/>
        <w:ind w:firstLine="560" w:firstLineChars="200"/>
        <w:rPr>
          <w:rFonts w:hAnsi="宋体" w:cs="宋体"/>
          <w:color w:val="000000" w:themeColor="text1"/>
          <w:sz w:val="28"/>
          <w:szCs w:val="28"/>
        </w:rPr>
      </w:pPr>
      <w:r>
        <w:rPr>
          <w:rFonts w:hint="eastAsia" w:hAnsi="宋体" w:cs="宋体"/>
          <w:color w:val="000000" w:themeColor="text1"/>
          <w:sz w:val="28"/>
          <w:szCs w:val="28"/>
        </w:rPr>
        <w:t>五、谈判供应商资格证明文件</w:t>
      </w:r>
      <w:r>
        <w:rPr>
          <w:rFonts w:hint="eastAsia" w:hAnsi="宋体" w:cs="宋体"/>
          <w:color w:val="000000" w:themeColor="text1"/>
          <w:szCs w:val="21"/>
        </w:rPr>
        <w:t>（按照“谈判供应商须知”第12条要求提供）</w:t>
      </w:r>
      <w:r>
        <w:rPr>
          <w:rFonts w:hint="eastAsia" w:hAnsi="宋体" w:cs="宋体"/>
          <w:color w:val="000000" w:themeColor="text1"/>
          <w:sz w:val="28"/>
          <w:szCs w:val="28"/>
        </w:rPr>
        <w:t>………</w:t>
      </w:r>
    </w:p>
    <w:p>
      <w:pPr>
        <w:pStyle w:val="24"/>
        <w:numPr>
          <w:ilvl w:val="0"/>
          <w:numId w:val="14"/>
        </w:numPr>
        <w:spacing w:line="480" w:lineRule="auto"/>
        <w:ind w:firstLine="560" w:firstLineChars="200"/>
        <w:rPr>
          <w:rFonts w:hAnsi="宋体" w:cs="宋体"/>
          <w:color w:val="000000" w:themeColor="text1"/>
          <w:sz w:val="28"/>
          <w:szCs w:val="28"/>
        </w:rPr>
      </w:pPr>
      <w:r>
        <w:rPr>
          <w:rFonts w:hint="eastAsia" w:hAnsi="宋体" w:cs="宋体"/>
          <w:color w:val="000000" w:themeColor="text1"/>
          <w:sz w:val="28"/>
          <w:szCs w:val="28"/>
        </w:rPr>
        <w:t>货物合格证明文件（按本须知13条提供）……………………………</w:t>
      </w:r>
    </w:p>
    <w:p>
      <w:pPr>
        <w:pStyle w:val="24"/>
        <w:spacing w:before="5" w:after="5" w:line="360" w:lineRule="auto"/>
        <w:jc w:val="center"/>
        <w:rPr>
          <w:rFonts w:hAnsi="宋体" w:cs="宋体"/>
          <w:b/>
          <w:color w:val="000000" w:themeColor="text1"/>
          <w:sz w:val="32"/>
          <w:szCs w:val="32"/>
        </w:rPr>
      </w:pPr>
      <w:r>
        <w:rPr>
          <w:rFonts w:hint="eastAsia" w:hAnsi="宋体" w:cs="宋体"/>
          <w:color w:val="000000" w:themeColor="text1"/>
          <w:sz w:val="28"/>
          <w:szCs w:val="28"/>
        </w:rPr>
        <w:t>七、谈判供应商认为有必要提供的其他有关材料………………………</w:t>
      </w: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p>
    <w:p>
      <w:pPr>
        <w:pStyle w:val="24"/>
        <w:spacing w:before="5" w:after="5" w:line="360" w:lineRule="exact"/>
        <w:rPr>
          <w:rFonts w:hAnsi="宋体" w:cs="宋体"/>
          <w:b/>
          <w:color w:val="000000" w:themeColor="text1"/>
          <w:sz w:val="32"/>
          <w:szCs w:val="32"/>
        </w:rPr>
      </w:pPr>
    </w:p>
    <w:p>
      <w:pPr>
        <w:pStyle w:val="24"/>
        <w:spacing w:before="5" w:after="5" w:line="360" w:lineRule="exact"/>
        <w:jc w:val="center"/>
        <w:rPr>
          <w:rFonts w:hAnsi="宋体" w:cs="宋体"/>
          <w:b/>
          <w:color w:val="000000" w:themeColor="text1"/>
          <w:sz w:val="32"/>
          <w:szCs w:val="32"/>
        </w:rPr>
      </w:pPr>
      <w:r>
        <w:rPr>
          <w:rFonts w:hint="eastAsia" w:hAnsi="宋体" w:cs="宋体"/>
          <w:b/>
          <w:color w:val="000000" w:themeColor="text1"/>
          <w:sz w:val="32"/>
          <w:szCs w:val="32"/>
        </w:rPr>
        <w:t>一、谈判书 （格 式）</w:t>
      </w:r>
    </w:p>
    <w:p>
      <w:pPr>
        <w:pStyle w:val="24"/>
        <w:spacing w:before="5" w:after="5" w:line="360" w:lineRule="exact"/>
        <w:jc w:val="center"/>
        <w:rPr>
          <w:rFonts w:hAnsi="宋体" w:cs="宋体"/>
          <w:b/>
          <w:color w:val="000000" w:themeColor="text1"/>
          <w:sz w:val="32"/>
        </w:rPr>
      </w:pPr>
    </w:p>
    <w:p>
      <w:pPr>
        <w:spacing w:before="5" w:after="5" w:line="360" w:lineRule="exact"/>
        <w:rPr>
          <w:rFonts w:ascii="宋体" w:hAnsi="宋体" w:cs="宋体"/>
          <w:b/>
          <w:color w:val="000000" w:themeColor="text1"/>
          <w:szCs w:val="21"/>
          <w:u w:val="single"/>
        </w:rPr>
      </w:pPr>
      <w:r>
        <w:rPr>
          <w:rFonts w:hint="eastAsia" w:ascii="宋体" w:hAnsi="宋体" w:cs="宋体"/>
          <w:color w:val="000000" w:themeColor="text1"/>
        </w:rPr>
        <w:t>致：</w:t>
      </w:r>
      <w:r>
        <w:rPr>
          <w:rFonts w:hint="eastAsia" w:ascii="宋体" w:hAnsi="宋体" w:cs="宋体"/>
          <w:color w:val="000000" w:themeColor="text1"/>
          <w:szCs w:val="21"/>
          <w:u w:val="single"/>
        </w:rPr>
        <w:t>广西鑫磐工程项目管理有限责任公司</w:t>
      </w:r>
    </w:p>
    <w:p>
      <w:pPr>
        <w:pStyle w:val="24"/>
        <w:spacing w:before="100" w:beforeAutospacing="1" w:after="100" w:afterAutospacing="1" w:line="360" w:lineRule="exact"/>
        <w:ind w:firstLine="500" w:firstLineChars="200"/>
        <w:jc w:val="left"/>
        <w:rPr>
          <w:rFonts w:hAnsi="宋体" w:cs="宋体"/>
          <w:color w:val="000000" w:themeColor="text1"/>
        </w:rPr>
      </w:pPr>
      <w:r>
        <w:rPr>
          <w:rFonts w:hint="eastAsia" w:hAnsi="宋体" w:cs="宋体"/>
          <w:color w:val="000000" w:themeColor="text1"/>
          <w:spacing w:val="20"/>
        </w:rPr>
        <w:t>根据贵方项目</w:t>
      </w:r>
      <w:r>
        <w:rPr>
          <w:rFonts w:hint="eastAsia" w:hAnsi="宋体" w:cs="宋体"/>
          <w:color w:val="000000" w:themeColor="text1"/>
          <w:spacing w:val="20"/>
          <w:u w:val="single"/>
        </w:rPr>
        <w:t>（竞争性谈判文件、项目编号）</w:t>
      </w:r>
      <w:r>
        <w:rPr>
          <w:rFonts w:hint="eastAsia" w:hAnsi="宋体" w:cs="宋体"/>
          <w:color w:val="000000" w:themeColor="text1"/>
          <w:spacing w:val="20"/>
        </w:rPr>
        <w:t>，正式授权下述签字人</w:t>
      </w:r>
      <w:r>
        <w:rPr>
          <w:rFonts w:hint="eastAsia" w:hAnsi="宋体" w:cs="宋体"/>
          <w:color w:val="000000" w:themeColor="text1"/>
          <w:spacing w:val="20"/>
          <w:u w:val="single"/>
        </w:rPr>
        <w:t>（姓名和职务）</w:t>
      </w:r>
      <w:r>
        <w:rPr>
          <w:rFonts w:hint="eastAsia" w:hAnsi="宋体" w:cs="宋体"/>
          <w:color w:val="000000" w:themeColor="text1"/>
        </w:rPr>
        <w:t>代表谈判供应商</w:t>
      </w:r>
      <w:r>
        <w:rPr>
          <w:rFonts w:hint="eastAsia" w:hAnsi="宋体" w:cs="宋体"/>
          <w:color w:val="000000" w:themeColor="text1"/>
          <w:u w:val="single"/>
        </w:rPr>
        <w:t>（谈判供应商单位名称和盖公章）</w:t>
      </w:r>
      <w:r>
        <w:rPr>
          <w:rFonts w:hint="eastAsia" w:hAnsi="宋体" w:cs="宋体"/>
          <w:color w:val="000000" w:themeColor="text1"/>
        </w:rPr>
        <w:t>，提交下述文件正本一份，副本三份。</w:t>
      </w:r>
    </w:p>
    <w:p>
      <w:pPr>
        <w:pStyle w:val="24"/>
        <w:spacing w:before="100" w:beforeAutospacing="1" w:after="100" w:afterAutospacing="1" w:line="360" w:lineRule="exact"/>
        <w:ind w:firstLine="420" w:firstLineChars="200"/>
        <w:jc w:val="left"/>
        <w:rPr>
          <w:rFonts w:hAnsi="宋体" w:cs="宋体"/>
          <w:color w:val="000000" w:themeColor="text1"/>
        </w:rPr>
      </w:pPr>
      <w:r>
        <w:rPr>
          <w:rFonts w:hint="eastAsia" w:hAnsi="宋体" w:cs="宋体"/>
          <w:color w:val="000000" w:themeColor="text1"/>
        </w:rPr>
        <w:t>据此函，签字人兹宣布同意如下：</w:t>
      </w:r>
    </w:p>
    <w:p>
      <w:pPr>
        <w:pStyle w:val="24"/>
        <w:spacing w:before="100" w:beforeAutospacing="1" w:after="100" w:afterAutospacing="1" w:line="360" w:lineRule="exact"/>
        <w:ind w:firstLine="420" w:firstLineChars="200"/>
        <w:jc w:val="left"/>
        <w:rPr>
          <w:rFonts w:hAnsi="宋体" w:cs="宋体"/>
          <w:color w:val="000000" w:themeColor="text1"/>
        </w:rPr>
      </w:pPr>
      <w:r>
        <w:rPr>
          <w:rFonts w:hint="eastAsia" w:hAnsi="宋体" w:cs="宋体"/>
          <w:color w:val="000000" w:themeColor="text1"/>
        </w:rPr>
        <w:t>1、我方同意在谈判供应商须知规定的开标日期起遵循本竞争性谈判响应文件，并在谈判供应商须知第13条规定的谈判有效期满之前均具有约束力，并有可能成交。</w:t>
      </w:r>
    </w:p>
    <w:p>
      <w:pPr>
        <w:pStyle w:val="24"/>
        <w:spacing w:before="5" w:after="5" w:line="360" w:lineRule="exact"/>
        <w:ind w:firstLine="420"/>
        <w:rPr>
          <w:rFonts w:hAnsi="宋体" w:cs="宋体"/>
          <w:color w:val="000000" w:themeColor="text1"/>
        </w:rPr>
      </w:pPr>
      <w:r>
        <w:rPr>
          <w:rFonts w:hint="eastAsia" w:hAnsi="宋体" w:cs="宋体"/>
          <w:color w:val="000000" w:themeColor="text1"/>
        </w:rPr>
        <w:t>2、我方承诺已经具备《中华人民共和国政府采购法》中规定的参加政府采购活动的供应商应当具备的条件：</w:t>
      </w:r>
    </w:p>
    <w:p>
      <w:pPr>
        <w:pStyle w:val="24"/>
        <w:numPr>
          <w:ilvl w:val="0"/>
          <w:numId w:val="4"/>
        </w:numPr>
        <w:spacing w:before="5" w:after="5" w:line="360" w:lineRule="exact"/>
        <w:rPr>
          <w:rFonts w:hAnsi="宋体" w:cs="宋体"/>
          <w:color w:val="000000" w:themeColor="text1"/>
        </w:rPr>
      </w:pPr>
      <w:r>
        <w:rPr>
          <w:rFonts w:hint="eastAsia" w:hAnsi="宋体" w:cs="宋体"/>
          <w:color w:val="000000" w:themeColor="text1"/>
        </w:rPr>
        <w:t>具有独立承担民事责任的能力；</w:t>
      </w:r>
    </w:p>
    <w:p>
      <w:pPr>
        <w:pStyle w:val="24"/>
        <w:numPr>
          <w:ilvl w:val="0"/>
          <w:numId w:val="4"/>
        </w:numPr>
        <w:spacing w:before="5" w:after="5" w:line="360" w:lineRule="exact"/>
        <w:rPr>
          <w:rFonts w:hAnsi="宋体" w:cs="宋体"/>
          <w:color w:val="000000" w:themeColor="text1"/>
        </w:rPr>
      </w:pPr>
      <w:r>
        <w:rPr>
          <w:rFonts w:hint="eastAsia" w:hAnsi="宋体" w:cs="宋体"/>
          <w:color w:val="000000" w:themeColor="text1"/>
        </w:rPr>
        <w:t>具有良好的商业信誉和健全的财务会计制度；</w:t>
      </w:r>
    </w:p>
    <w:p>
      <w:pPr>
        <w:pStyle w:val="24"/>
        <w:numPr>
          <w:ilvl w:val="0"/>
          <w:numId w:val="4"/>
        </w:numPr>
        <w:spacing w:before="5" w:after="5" w:line="360" w:lineRule="exact"/>
        <w:rPr>
          <w:rFonts w:hAnsi="宋体" w:cs="宋体"/>
          <w:color w:val="000000" w:themeColor="text1"/>
        </w:rPr>
      </w:pPr>
      <w:r>
        <w:rPr>
          <w:rFonts w:hint="eastAsia" w:hAnsi="宋体" w:cs="宋体"/>
          <w:color w:val="000000" w:themeColor="text1"/>
        </w:rPr>
        <w:t>具有履行合同所必需的设备和专业技术能力；</w:t>
      </w:r>
    </w:p>
    <w:p>
      <w:pPr>
        <w:pStyle w:val="24"/>
        <w:numPr>
          <w:ilvl w:val="0"/>
          <w:numId w:val="4"/>
        </w:numPr>
        <w:spacing w:before="5" w:after="5" w:line="360" w:lineRule="exact"/>
        <w:rPr>
          <w:rFonts w:hAnsi="宋体" w:cs="宋体"/>
          <w:color w:val="000000" w:themeColor="text1"/>
        </w:rPr>
      </w:pPr>
      <w:r>
        <w:rPr>
          <w:rFonts w:hint="eastAsia" w:hAnsi="宋体" w:cs="宋体"/>
          <w:color w:val="000000" w:themeColor="text1"/>
        </w:rPr>
        <w:t>有依法缴纳税收和社会保障资金的良好记录；</w:t>
      </w:r>
    </w:p>
    <w:p>
      <w:pPr>
        <w:pStyle w:val="24"/>
        <w:numPr>
          <w:ilvl w:val="0"/>
          <w:numId w:val="4"/>
        </w:numPr>
        <w:spacing w:before="5" w:after="5" w:line="360" w:lineRule="exact"/>
        <w:rPr>
          <w:rFonts w:hAnsi="宋体" w:cs="宋体"/>
          <w:color w:val="000000" w:themeColor="text1"/>
        </w:rPr>
      </w:pPr>
      <w:r>
        <w:rPr>
          <w:rFonts w:hint="eastAsia" w:hAnsi="宋体" w:cs="宋体"/>
          <w:color w:val="000000" w:themeColor="text1"/>
        </w:rPr>
        <w:t>参加此项采购活动前三年内，在经营活动中没有重大违法记录。</w:t>
      </w:r>
    </w:p>
    <w:p>
      <w:pPr>
        <w:pStyle w:val="24"/>
        <w:spacing w:before="5" w:after="5" w:line="360" w:lineRule="exact"/>
        <w:ind w:firstLine="420"/>
        <w:rPr>
          <w:rFonts w:hAnsi="宋体" w:cs="宋体"/>
          <w:color w:val="000000" w:themeColor="text1"/>
        </w:rPr>
      </w:pPr>
      <w:r>
        <w:rPr>
          <w:rFonts w:hint="eastAsia" w:hAnsi="宋体" w:cs="宋体"/>
          <w:color w:val="000000" w:themeColor="text1"/>
        </w:rPr>
        <w:t>3、我方根据竞争性谈判文件的规定，承担完成合同的责任和义务。</w:t>
      </w:r>
    </w:p>
    <w:p>
      <w:pPr>
        <w:pStyle w:val="24"/>
        <w:spacing w:before="5" w:after="5" w:line="360" w:lineRule="exact"/>
        <w:ind w:firstLine="420"/>
        <w:rPr>
          <w:rFonts w:hAnsi="宋体" w:cs="宋体"/>
          <w:color w:val="000000" w:themeColor="text1"/>
        </w:rPr>
      </w:pPr>
      <w:r>
        <w:rPr>
          <w:rFonts w:hint="eastAsia" w:hAnsi="宋体" w:cs="宋体"/>
          <w:color w:val="000000" w:themeColor="text1"/>
        </w:rPr>
        <w:t>4、我方已详细审核竞争性谈判文件，我方知道必须放弃提出含糊不清或误解问题的权利。</w:t>
      </w:r>
    </w:p>
    <w:p>
      <w:pPr>
        <w:pStyle w:val="24"/>
        <w:spacing w:before="5" w:after="5" w:line="360" w:lineRule="exact"/>
        <w:ind w:firstLine="420" w:firstLineChars="200"/>
        <w:rPr>
          <w:rFonts w:hAnsi="宋体" w:cs="宋体"/>
          <w:color w:val="000000" w:themeColor="text1"/>
        </w:rPr>
      </w:pPr>
      <w:r>
        <w:rPr>
          <w:rFonts w:hint="eastAsia" w:hAnsi="宋体" w:cs="宋体"/>
          <w:color w:val="000000" w:themeColor="text1"/>
        </w:rPr>
        <w:t>5、如果在谈判截止时间后的谈判有效期内撤回谈判或者有其他违约行为，我方愿承担相应责任。我方承诺在收到成交通知书后，在成交通知书规定的期限内与采购方签订合同。</w:t>
      </w:r>
    </w:p>
    <w:p>
      <w:pPr>
        <w:pStyle w:val="24"/>
        <w:spacing w:before="5" w:after="5" w:line="360" w:lineRule="exact"/>
        <w:ind w:firstLine="420"/>
        <w:rPr>
          <w:rFonts w:hAnsi="宋体" w:cs="宋体"/>
          <w:color w:val="000000" w:themeColor="text1"/>
        </w:rPr>
      </w:pPr>
      <w:r>
        <w:rPr>
          <w:rFonts w:hint="eastAsia" w:hAnsi="宋体" w:cs="宋体"/>
          <w:color w:val="000000" w:themeColor="text1"/>
        </w:rPr>
        <w:t>6、同意向贵方提供贵方可能要求的与本谈判有关的任何数据或资料。</w:t>
      </w:r>
    </w:p>
    <w:p>
      <w:pPr>
        <w:pStyle w:val="24"/>
        <w:spacing w:before="5" w:after="5" w:line="360" w:lineRule="exact"/>
        <w:ind w:firstLine="420"/>
        <w:rPr>
          <w:rFonts w:hAnsi="宋体" w:cs="宋体"/>
          <w:color w:val="000000" w:themeColor="text1"/>
        </w:rPr>
      </w:pPr>
      <w:r>
        <w:rPr>
          <w:rFonts w:hint="eastAsia" w:hAnsi="宋体" w:cs="宋体"/>
          <w:color w:val="000000" w:themeColor="text1"/>
        </w:rPr>
        <w:t>7、我方完全理解贵方不一定要接受最低谈判的谈判供应商为成交供应商。</w:t>
      </w:r>
    </w:p>
    <w:p>
      <w:pPr>
        <w:pStyle w:val="24"/>
        <w:spacing w:before="5" w:after="5" w:line="360" w:lineRule="exact"/>
        <w:ind w:firstLine="420" w:firstLineChars="200"/>
        <w:rPr>
          <w:rFonts w:hAnsi="宋体" w:cs="宋体"/>
          <w:color w:val="000000" w:themeColor="text1"/>
        </w:rPr>
      </w:pPr>
      <w:r>
        <w:rPr>
          <w:rFonts w:hint="eastAsia" w:hAnsi="宋体" w:cs="宋体"/>
          <w:color w:val="000000" w:themeColor="text1"/>
        </w:rPr>
        <w:t>8、若贵方需要，我方愿意提供我方作出的一切承诺的证明材料。</w:t>
      </w:r>
    </w:p>
    <w:p>
      <w:pPr>
        <w:pStyle w:val="24"/>
        <w:spacing w:before="5" w:after="5" w:line="360" w:lineRule="exact"/>
        <w:ind w:firstLine="338" w:firstLineChars="161"/>
        <w:rPr>
          <w:rFonts w:hAnsi="宋体" w:cs="宋体"/>
          <w:color w:val="000000" w:themeColor="text1"/>
        </w:rPr>
      </w:pPr>
      <w:r>
        <w:rPr>
          <w:rFonts w:hint="eastAsia" w:hAnsi="宋体" w:cs="宋体"/>
          <w:color w:val="000000" w:themeColor="text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提供虚假材料谋取成交、成交的；</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采取不正当手段诋毁、排挤其他供应商的；</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与采购人、其他供应商或者采购代理机构恶意串通的；</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向采购人、采购代理机构行贿或者提供其他不正当利益的；</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未经采购人同意，在采购过程中与采购人进行协商谈判的；</w:t>
      </w:r>
    </w:p>
    <w:p>
      <w:pPr>
        <w:pStyle w:val="24"/>
        <w:numPr>
          <w:ilvl w:val="0"/>
          <w:numId w:val="15"/>
        </w:numPr>
        <w:spacing w:before="5" w:after="5" w:line="360" w:lineRule="exact"/>
        <w:rPr>
          <w:rFonts w:hAnsi="宋体" w:cs="宋体"/>
          <w:color w:val="000000" w:themeColor="text1"/>
        </w:rPr>
      </w:pPr>
      <w:r>
        <w:rPr>
          <w:rFonts w:hint="eastAsia" w:hAnsi="宋体" w:cs="宋体"/>
          <w:color w:val="000000" w:themeColor="text1"/>
        </w:rPr>
        <w:t>拒绝有关部门监督检查或提供虚假情况的。</w:t>
      </w:r>
    </w:p>
    <w:p>
      <w:pPr>
        <w:pStyle w:val="24"/>
        <w:spacing w:before="5" w:after="5" w:line="360" w:lineRule="exact"/>
        <w:rPr>
          <w:rFonts w:hAnsi="宋体" w:cs="宋体"/>
          <w:color w:val="000000" w:themeColor="text1"/>
        </w:rPr>
      </w:pPr>
    </w:p>
    <w:p>
      <w:pPr>
        <w:pStyle w:val="24"/>
        <w:spacing w:before="5" w:after="5" w:line="360" w:lineRule="exact"/>
        <w:rPr>
          <w:rFonts w:hAnsi="宋体" w:cs="宋体"/>
          <w:color w:val="000000" w:themeColor="text1"/>
        </w:rPr>
      </w:pPr>
    </w:p>
    <w:p>
      <w:pPr>
        <w:pStyle w:val="24"/>
        <w:spacing w:before="5" w:after="5" w:line="360" w:lineRule="exact"/>
        <w:rPr>
          <w:rFonts w:hAnsi="宋体" w:cs="宋体"/>
          <w:color w:val="000000" w:themeColor="text1"/>
        </w:rPr>
      </w:pPr>
    </w:p>
    <w:p>
      <w:pPr>
        <w:pStyle w:val="24"/>
        <w:spacing w:before="5" w:after="5" w:line="360" w:lineRule="exact"/>
        <w:ind w:firstLine="420"/>
        <w:rPr>
          <w:rFonts w:hAnsi="宋体" w:cs="宋体"/>
          <w:color w:val="000000" w:themeColor="text1"/>
        </w:rPr>
      </w:pPr>
    </w:p>
    <w:p>
      <w:pPr>
        <w:pStyle w:val="24"/>
        <w:spacing w:before="5" w:after="5" w:line="360" w:lineRule="exact"/>
        <w:ind w:firstLine="420"/>
        <w:rPr>
          <w:rFonts w:hAnsi="宋体" w:cs="宋体"/>
          <w:color w:val="000000" w:themeColor="text1"/>
        </w:rPr>
      </w:pPr>
      <w:r>
        <w:rPr>
          <w:rFonts w:hint="eastAsia" w:hAnsi="宋体" w:cs="宋体"/>
          <w:color w:val="000000" w:themeColor="text1"/>
        </w:rPr>
        <w:t>与本谈判有关的正式通讯地址为：</w:t>
      </w:r>
    </w:p>
    <w:p>
      <w:pPr>
        <w:pStyle w:val="24"/>
        <w:spacing w:before="5" w:after="5" w:line="360" w:lineRule="exact"/>
        <w:ind w:firstLine="420"/>
        <w:rPr>
          <w:rFonts w:hAnsi="宋体" w:cs="宋体"/>
          <w:color w:val="000000" w:themeColor="text1"/>
        </w:rPr>
      </w:pPr>
      <w:r>
        <w:rPr>
          <w:rFonts w:hint="eastAsia" w:hAnsi="宋体" w:cs="宋体"/>
          <w:color w:val="000000" w:themeColor="text1"/>
        </w:rPr>
        <w:t>地址：       邮政编码：</w:t>
      </w:r>
    </w:p>
    <w:p>
      <w:pPr>
        <w:pStyle w:val="24"/>
        <w:spacing w:before="5" w:after="5" w:line="360" w:lineRule="exact"/>
        <w:ind w:firstLine="420"/>
        <w:rPr>
          <w:rFonts w:hAnsi="宋体" w:cs="宋体"/>
          <w:color w:val="000000" w:themeColor="text1"/>
          <w:u w:val="single"/>
        </w:rPr>
      </w:pPr>
      <w:r>
        <w:rPr>
          <w:rFonts w:hint="eastAsia" w:hAnsi="宋体" w:cs="宋体"/>
          <w:color w:val="000000" w:themeColor="text1"/>
        </w:rPr>
        <w:t>电话、电报、传真或电传：</w:t>
      </w:r>
    </w:p>
    <w:p>
      <w:pPr>
        <w:pStyle w:val="24"/>
        <w:spacing w:before="5" w:after="5" w:line="360" w:lineRule="exact"/>
        <w:ind w:firstLine="420"/>
        <w:rPr>
          <w:rFonts w:hAnsi="宋体" w:cs="宋体"/>
          <w:color w:val="000000" w:themeColor="text1"/>
          <w:u w:val="single"/>
        </w:rPr>
      </w:pPr>
      <w:r>
        <w:rPr>
          <w:rFonts w:hint="eastAsia" w:hAnsi="宋体" w:cs="宋体"/>
          <w:color w:val="000000" w:themeColor="text1"/>
        </w:rPr>
        <w:t>开户名称：</w:t>
      </w:r>
    </w:p>
    <w:p>
      <w:pPr>
        <w:pStyle w:val="24"/>
        <w:spacing w:before="5" w:after="5" w:line="360" w:lineRule="exact"/>
        <w:ind w:firstLine="420"/>
        <w:rPr>
          <w:rFonts w:hAnsi="宋体" w:cs="宋体"/>
          <w:color w:val="000000" w:themeColor="text1"/>
          <w:u w:val="single"/>
        </w:rPr>
      </w:pPr>
      <w:r>
        <w:rPr>
          <w:rFonts w:hint="eastAsia" w:hAnsi="宋体" w:cs="宋体"/>
          <w:color w:val="000000" w:themeColor="text1"/>
        </w:rPr>
        <w:t>开户银行：</w:t>
      </w:r>
    </w:p>
    <w:p>
      <w:pPr>
        <w:pStyle w:val="24"/>
        <w:spacing w:before="5" w:after="5" w:line="360" w:lineRule="exact"/>
        <w:ind w:firstLine="420"/>
        <w:rPr>
          <w:rFonts w:hAnsi="宋体" w:cs="宋体"/>
          <w:color w:val="000000" w:themeColor="text1"/>
          <w:u w:val="single"/>
        </w:rPr>
      </w:pPr>
      <w:r>
        <w:rPr>
          <w:rFonts w:hint="eastAsia" w:hAnsi="宋体" w:cs="宋体"/>
          <w:color w:val="000000" w:themeColor="text1"/>
        </w:rPr>
        <w:t>账    号：</w:t>
      </w:r>
    </w:p>
    <w:p>
      <w:pPr>
        <w:pStyle w:val="24"/>
        <w:spacing w:before="5" w:after="5" w:line="360" w:lineRule="exact"/>
        <w:ind w:firstLine="420"/>
        <w:rPr>
          <w:rFonts w:hAnsi="宋体" w:cs="宋体"/>
          <w:color w:val="000000" w:themeColor="text1"/>
        </w:rPr>
      </w:pPr>
      <w:r>
        <w:rPr>
          <w:rFonts w:hint="eastAsia" w:hAnsi="宋体" w:cs="宋体"/>
          <w:color w:val="000000" w:themeColor="text1"/>
        </w:rPr>
        <w:t>法定代表人（负责人）或委托代理人签字：</w:t>
      </w:r>
    </w:p>
    <w:p>
      <w:pPr>
        <w:pStyle w:val="24"/>
        <w:spacing w:before="5" w:after="5" w:line="360" w:lineRule="exact"/>
        <w:ind w:firstLine="420"/>
        <w:rPr>
          <w:rFonts w:hAnsi="宋体" w:cs="宋体"/>
          <w:color w:val="000000" w:themeColor="text1"/>
        </w:rPr>
      </w:pPr>
      <w:r>
        <w:rPr>
          <w:rFonts w:hint="eastAsia" w:hAnsi="宋体" w:cs="宋体"/>
          <w:color w:val="000000" w:themeColor="text1"/>
        </w:rPr>
        <w:t>谈判供应商（盖公章）：</w:t>
      </w:r>
    </w:p>
    <w:p>
      <w:pPr>
        <w:pStyle w:val="24"/>
        <w:spacing w:before="5" w:after="5" w:line="360" w:lineRule="exact"/>
        <w:ind w:firstLine="420" w:firstLineChars="200"/>
        <w:rPr>
          <w:rFonts w:hAnsi="宋体" w:cs="宋体"/>
          <w:color w:val="000000" w:themeColor="text1"/>
          <w:u w:val="single"/>
        </w:rPr>
        <w:sectPr>
          <w:pgSz w:w="11905" w:h="16838"/>
          <w:pgMar w:top="1440" w:right="1083" w:bottom="1440" w:left="1083" w:header="680" w:footer="680" w:gutter="0"/>
          <w:cols w:space="0" w:num="1"/>
          <w:docGrid w:linePitch="331" w:charSpace="0"/>
        </w:sectPr>
      </w:pPr>
      <w:r>
        <w:rPr>
          <w:rFonts w:hint="eastAsia" w:hAnsi="宋体" w:cs="宋体"/>
          <w:color w:val="000000" w:themeColor="text1"/>
        </w:rPr>
        <w:t>日期：</w:t>
      </w:r>
    </w:p>
    <w:p>
      <w:pPr>
        <w:shd w:val="clear" w:color="auto" w:fill="FFFFFF"/>
        <w:jc w:val="center"/>
        <w:rPr>
          <w:rFonts w:ascii="宋体" w:hAnsi="宋体" w:cs="宋体"/>
          <w:b/>
          <w:bCs/>
          <w:color w:val="000000" w:themeColor="text1"/>
          <w:sz w:val="32"/>
          <w:szCs w:val="32"/>
        </w:rPr>
      </w:pPr>
      <w:bookmarkStart w:id="108" w:name="_Toc137551185"/>
      <w:r>
        <w:rPr>
          <w:rFonts w:hint="eastAsia" w:ascii="宋体" w:hAnsi="宋体" w:cs="宋体"/>
          <w:b/>
          <w:bCs/>
          <w:color w:val="000000" w:themeColor="text1"/>
          <w:sz w:val="32"/>
          <w:szCs w:val="32"/>
        </w:rPr>
        <w:t>二、谈判报价表</w:t>
      </w:r>
      <w:bookmarkEnd w:id="108"/>
      <w:r>
        <w:rPr>
          <w:rFonts w:hint="eastAsia" w:ascii="宋体" w:hAnsi="宋体" w:cs="宋体"/>
          <w:b/>
          <w:bCs/>
          <w:color w:val="000000" w:themeColor="text1"/>
          <w:sz w:val="32"/>
          <w:szCs w:val="32"/>
        </w:rPr>
        <w:t>（格式）</w:t>
      </w:r>
    </w:p>
    <w:p>
      <w:pPr>
        <w:shd w:val="clear" w:color="auto" w:fill="FFFFFF"/>
        <w:jc w:val="center"/>
        <w:rPr>
          <w:rFonts w:ascii="宋体" w:hAnsi="宋体" w:cs="宋体"/>
          <w:color w:val="000000" w:themeColor="text1"/>
          <w:szCs w:val="20"/>
        </w:rPr>
      </w:pPr>
      <w:r>
        <w:rPr>
          <w:rFonts w:hint="eastAsia" w:ascii="宋体" w:hAnsi="宋体" w:cs="宋体"/>
          <w:b/>
          <w:bCs/>
          <w:color w:val="000000" w:themeColor="text1"/>
          <w:sz w:val="32"/>
          <w:szCs w:val="32"/>
        </w:rPr>
        <w:t> </w:t>
      </w:r>
    </w:p>
    <w:tbl>
      <w:tblPr>
        <w:tblStyle w:val="44"/>
        <w:tblpPr w:leftFromText="180" w:rightFromText="180" w:vertAnchor="text" w:horzAnchor="page" w:tblpX="1173" w:tblpY="499"/>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75"/>
        <w:gridCol w:w="1223"/>
        <w:gridCol w:w="795"/>
        <w:gridCol w:w="766"/>
        <w:gridCol w:w="1829"/>
        <w:gridCol w:w="929"/>
        <w:gridCol w:w="111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727" w:type="dxa"/>
            <w:tcBorders>
              <w:bottom w:val="single" w:color="auto" w:sz="4" w:space="0"/>
            </w:tcBorders>
            <w:vAlign w:val="center"/>
          </w:tcPr>
          <w:p>
            <w:pPr>
              <w:pStyle w:val="24"/>
              <w:spacing w:line="400" w:lineRule="exact"/>
              <w:jc w:val="center"/>
              <w:rPr>
                <w:rFonts w:hAnsi="宋体" w:cs="宋体"/>
                <w:color w:val="000000" w:themeColor="text1"/>
                <w:spacing w:val="-20"/>
              </w:rPr>
            </w:pPr>
            <w:r>
              <w:rPr>
                <w:rFonts w:hint="eastAsia" w:hAnsi="宋体" w:cs="宋体"/>
                <w:color w:val="000000" w:themeColor="text1"/>
                <w:spacing w:val="-20"/>
              </w:rPr>
              <w:t>序号</w:t>
            </w:r>
          </w:p>
        </w:tc>
        <w:tc>
          <w:tcPr>
            <w:tcW w:w="1275" w:type="dxa"/>
            <w:tcBorders>
              <w:bottom w:val="single" w:color="auto" w:sz="4" w:space="0"/>
            </w:tcBorders>
            <w:vAlign w:val="center"/>
          </w:tcPr>
          <w:p>
            <w:pPr>
              <w:tabs>
                <w:tab w:val="left" w:pos="180"/>
                <w:tab w:val="left" w:pos="1620"/>
              </w:tabs>
              <w:spacing w:line="400" w:lineRule="exact"/>
              <w:jc w:val="center"/>
              <w:rPr>
                <w:rFonts w:ascii="宋体" w:hAnsi="宋体" w:cs="宋体"/>
                <w:color w:val="000000" w:themeColor="text1"/>
                <w:szCs w:val="21"/>
              </w:rPr>
            </w:pPr>
            <w:r>
              <w:rPr>
                <w:rFonts w:hint="eastAsia" w:ascii="宋体" w:hAnsi="宋体" w:cs="宋体"/>
                <w:color w:val="000000" w:themeColor="text1"/>
                <w:szCs w:val="21"/>
              </w:rPr>
              <w:t>货物名称</w:t>
            </w:r>
          </w:p>
        </w:tc>
        <w:tc>
          <w:tcPr>
            <w:tcW w:w="1223" w:type="dxa"/>
            <w:tcBorders>
              <w:bottom w:val="single" w:color="auto" w:sz="4" w:space="0"/>
            </w:tcBorders>
            <w:vAlign w:val="center"/>
          </w:tcPr>
          <w:p>
            <w:pPr>
              <w:tabs>
                <w:tab w:val="left" w:pos="180"/>
                <w:tab w:val="left" w:pos="1620"/>
              </w:tabs>
              <w:spacing w:line="400" w:lineRule="exact"/>
              <w:jc w:val="center"/>
              <w:rPr>
                <w:rFonts w:ascii="宋体" w:hAnsi="宋体" w:cs="宋体"/>
                <w:color w:val="000000" w:themeColor="text1"/>
                <w:szCs w:val="21"/>
              </w:rPr>
            </w:pPr>
            <w:r>
              <w:rPr>
                <w:rFonts w:hint="eastAsia" w:ascii="宋体" w:hAnsi="宋体" w:cs="宋体"/>
                <w:color w:val="000000" w:themeColor="text1"/>
                <w:szCs w:val="21"/>
              </w:rPr>
              <w:t>品牌、型号规格</w:t>
            </w:r>
          </w:p>
        </w:tc>
        <w:tc>
          <w:tcPr>
            <w:tcW w:w="795" w:type="dxa"/>
            <w:tcBorders>
              <w:bottom w:val="single" w:color="auto" w:sz="4" w:space="0"/>
            </w:tcBorders>
            <w:vAlign w:val="center"/>
          </w:tcPr>
          <w:p>
            <w:pPr>
              <w:tabs>
                <w:tab w:val="left" w:pos="180"/>
                <w:tab w:val="left" w:pos="1620"/>
              </w:tabs>
              <w:spacing w:line="400" w:lineRule="exact"/>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766" w:type="dxa"/>
            <w:tcBorders>
              <w:bottom w:val="single" w:color="auto" w:sz="4" w:space="0"/>
            </w:tcBorders>
            <w:vAlign w:val="center"/>
          </w:tcPr>
          <w:p>
            <w:pPr>
              <w:tabs>
                <w:tab w:val="left" w:pos="180"/>
                <w:tab w:val="left" w:pos="1620"/>
              </w:tabs>
              <w:spacing w:line="400" w:lineRule="exact"/>
              <w:jc w:val="center"/>
              <w:rPr>
                <w:rFonts w:ascii="宋体" w:hAnsi="宋体" w:cs="宋体"/>
                <w:color w:val="000000" w:themeColor="text1"/>
                <w:szCs w:val="21"/>
              </w:rPr>
            </w:pPr>
            <w:r>
              <w:rPr>
                <w:rFonts w:hint="eastAsia" w:ascii="宋体" w:hAnsi="宋体" w:cs="宋体"/>
                <w:color w:val="000000" w:themeColor="text1"/>
                <w:szCs w:val="21"/>
              </w:rPr>
              <w:t>数量</w:t>
            </w:r>
            <w:r>
              <w:rPr>
                <w:rFonts w:hint="eastAsia" w:ascii="宋体" w:hAnsi="宋体" w:cs="宋体"/>
                <w:color w:val="000000" w:themeColor="text1"/>
              </w:rPr>
              <w:t>①</w:t>
            </w:r>
          </w:p>
        </w:tc>
        <w:tc>
          <w:tcPr>
            <w:tcW w:w="1829" w:type="dxa"/>
            <w:tcBorders>
              <w:bottom w:val="single" w:color="auto" w:sz="4" w:space="0"/>
            </w:tcBorders>
            <w:vAlign w:val="center"/>
          </w:tcPr>
          <w:p>
            <w:pPr>
              <w:tabs>
                <w:tab w:val="left" w:pos="180"/>
                <w:tab w:val="left" w:pos="1620"/>
              </w:tabs>
              <w:spacing w:line="400" w:lineRule="exact"/>
              <w:jc w:val="center"/>
              <w:rPr>
                <w:rFonts w:ascii="宋体" w:hAnsi="宋体" w:cs="宋体"/>
                <w:color w:val="000000" w:themeColor="text1"/>
                <w:szCs w:val="21"/>
              </w:rPr>
            </w:pPr>
            <w:r>
              <w:rPr>
                <w:rFonts w:hint="eastAsia" w:ascii="宋体" w:hAnsi="宋体" w:cs="宋体"/>
                <w:color w:val="000000" w:themeColor="text1"/>
                <w:szCs w:val="21"/>
              </w:rPr>
              <w:t>材质说明</w:t>
            </w:r>
          </w:p>
        </w:tc>
        <w:tc>
          <w:tcPr>
            <w:tcW w:w="929" w:type="dxa"/>
            <w:tcBorders>
              <w:bottom w:val="single" w:color="auto" w:sz="4" w:space="0"/>
            </w:tcBorders>
            <w:vAlign w:val="center"/>
          </w:tcPr>
          <w:p>
            <w:pPr>
              <w:tabs>
                <w:tab w:val="left" w:pos="180"/>
                <w:tab w:val="left" w:pos="1620"/>
              </w:tabs>
              <w:spacing w:line="400" w:lineRule="exact"/>
              <w:jc w:val="center"/>
              <w:rPr>
                <w:rFonts w:ascii="宋体" w:hAnsi="宋体" w:cs="宋体"/>
                <w:bCs/>
                <w:color w:val="000000" w:themeColor="text1"/>
                <w:szCs w:val="21"/>
              </w:rPr>
            </w:pPr>
            <w:r>
              <w:rPr>
                <w:rFonts w:hint="eastAsia" w:ascii="宋体" w:hAnsi="宋体" w:cs="宋体"/>
                <w:color w:val="000000" w:themeColor="text1"/>
                <w:szCs w:val="21"/>
              </w:rPr>
              <w:t>单价</w:t>
            </w:r>
            <w:r>
              <w:rPr>
                <w:rFonts w:hint="eastAsia" w:ascii="宋体" w:hAnsi="宋体" w:cs="宋体"/>
                <w:color w:val="000000" w:themeColor="text1"/>
              </w:rPr>
              <w:t>②</w:t>
            </w:r>
          </w:p>
        </w:tc>
        <w:tc>
          <w:tcPr>
            <w:tcW w:w="1111" w:type="dxa"/>
            <w:tcBorders>
              <w:bottom w:val="single" w:color="auto" w:sz="4" w:space="0"/>
            </w:tcBorders>
            <w:vAlign w:val="center"/>
          </w:tcPr>
          <w:p>
            <w:pPr>
              <w:pStyle w:val="24"/>
              <w:spacing w:line="400" w:lineRule="exact"/>
              <w:jc w:val="center"/>
              <w:rPr>
                <w:rFonts w:hAnsi="宋体" w:cs="宋体"/>
                <w:color w:val="000000" w:themeColor="text1"/>
              </w:rPr>
            </w:pPr>
            <w:r>
              <w:rPr>
                <w:rFonts w:hint="eastAsia" w:hAnsi="宋体" w:cs="宋体"/>
                <w:color w:val="000000" w:themeColor="text1"/>
              </w:rPr>
              <w:t>单项合价</w:t>
            </w:r>
          </w:p>
          <w:p>
            <w:pPr>
              <w:pStyle w:val="24"/>
              <w:spacing w:line="400" w:lineRule="exact"/>
              <w:jc w:val="center"/>
              <w:rPr>
                <w:rFonts w:hAnsi="宋体" w:cs="宋体"/>
                <w:color w:val="000000" w:themeColor="text1"/>
              </w:rPr>
            </w:pPr>
            <w:r>
              <w:rPr>
                <w:rFonts w:hint="eastAsia" w:hAnsi="宋体" w:cs="宋体"/>
                <w:color w:val="000000" w:themeColor="text1"/>
              </w:rPr>
              <w:t>（元）</w:t>
            </w:r>
          </w:p>
          <w:p>
            <w:pPr>
              <w:pStyle w:val="24"/>
              <w:spacing w:line="400" w:lineRule="exact"/>
              <w:jc w:val="center"/>
              <w:rPr>
                <w:rFonts w:hAnsi="宋体" w:cs="宋体"/>
                <w:bCs/>
                <w:color w:val="000000" w:themeColor="text1"/>
              </w:rPr>
            </w:pPr>
            <w:r>
              <w:rPr>
                <w:rFonts w:hint="eastAsia" w:hAnsi="宋体" w:cs="宋体"/>
                <w:color w:val="000000" w:themeColor="text1"/>
              </w:rPr>
              <w:t>③=①×②</w:t>
            </w:r>
          </w:p>
        </w:tc>
        <w:tc>
          <w:tcPr>
            <w:tcW w:w="1304" w:type="dxa"/>
            <w:tcBorders>
              <w:bottom w:val="single" w:color="auto" w:sz="4" w:space="0"/>
            </w:tcBorders>
            <w:vAlign w:val="center"/>
          </w:tcPr>
          <w:p>
            <w:pPr>
              <w:pStyle w:val="24"/>
              <w:spacing w:line="400" w:lineRule="exact"/>
              <w:jc w:val="center"/>
              <w:rPr>
                <w:rFonts w:hAnsi="宋体" w:cs="宋体"/>
                <w:color w:val="000000" w:themeColor="text1"/>
              </w:rPr>
            </w:pPr>
            <w:r>
              <w:rPr>
                <w:rFonts w:hint="eastAsia" w:hAnsi="宋体" w:cs="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p>
        </w:tc>
        <w:tc>
          <w:tcPr>
            <w:tcW w:w="1275" w:type="dxa"/>
            <w:vAlign w:val="center"/>
          </w:tcPr>
          <w:p>
            <w:pPr>
              <w:jc w:val="center"/>
              <w:rPr>
                <w:rFonts w:ascii="宋体" w:hAnsi="宋体" w:cs="宋体"/>
                <w:color w:val="000000" w:themeColor="text1"/>
              </w:rPr>
            </w:pPr>
          </w:p>
        </w:tc>
        <w:tc>
          <w:tcPr>
            <w:tcW w:w="1223" w:type="dxa"/>
            <w:vAlign w:val="center"/>
          </w:tcPr>
          <w:p>
            <w:pPr>
              <w:pStyle w:val="24"/>
              <w:rPr>
                <w:rFonts w:hAnsi="宋体" w:cs="宋体"/>
                <w:color w:val="000000" w:themeColor="text1"/>
              </w:rPr>
            </w:pPr>
          </w:p>
        </w:tc>
        <w:tc>
          <w:tcPr>
            <w:tcW w:w="795" w:type="dxa"/>
            <w:vAlign w:val="center"/>
          </w:tcPr>
          <w:p>
            <w:pPr>
              <w:pStyle w:val="24"/>
              <w:rPr>
                <w:rFonts w:hAnsi="宋体" w:cs="宋体"/>
                <w:color w:val="000000" w:themeColor="text1"/>
              </w:rPr>
            </w:pPr>
          </w:p>
        </w:tc>
        <w:tc>
          <w:tcPr>
            <w:tcW w:w="766" w:type="dxa"/>
            <w:vAlign w:val="center"/>
          </w:tcPr>
          <w:p>
            <w:pPr>
              <w:pStyle w:val="24"/>
              <w:rPr>
                <w:rFonts w:hAnsi="宋体" w:cs="宋体"/>
                <w:color w:val="000000" w:themeColor="text1"/>
              </w:rPr>
            </w:pPr>
          </w:p>
        </w:tc>
        <w:tc>
          <w:tcPr>
            <w:tcW w:w="1829" w:type="dxa"/>
            <w:vAlign w:val="center"/>
          </w:tcPr>
          <w:p>
            <w:pPr>
              <w:pStyle w:val="24"/>
              <w:rPr>
                <w:rFonts w:hAnsi="宋体" w:cs="宋体"/>
                <w:color w:val="000000" w:themeColor="text1"/>
              </w:rPr>
            </w:pPr>
          </w:p>
        </w:tc>
        <w:tc>
          <w:tcPr>
            <w:tcW w:w="929" w:type="dxa"/>
            <w:vAlign w:val="center"/>
          </w:tcPr>
          <w:p>
            <w:pPr>
              <w:pStyle w:val="24"/>
              <w:rPr>
                <w:rFonts w:hAnsi="宋体" w:cs="宋体"/>
                <w:color w:val="000000" w:themeColor="text1"/>
              </w:rPr>
            </w:pPr>
          </w:p>
        </w:tc>
        <w:tc>
          <w:tcPr>
            <w:tcW w:w="1111" w:type="dxa"/>
            <w:vAlign w:val="center"/>
          </w:tcPr>
          <w:p>
            <w:pPr>
              <w:pStyle w:val="24"/>
              <w:rPr>
                <w:rFonts w:hAnsi="宋体" w:cs="宋体"/>
                <w:color w:val="000000" w:themeColor="text1"/>
              </w:rPr>
            </w:pPr>
          </w:p>
        </w:tc>
        <w:tc>
          <w:tcPr>
            <w:tcW w:w="1304" w:type="dxa"/>
            <w:vAlign w:val="center"/>
          </w:tcPr>
          <w:p>
            <w:pPr>
              <w:pStyle w:val="24"/>
              <w:rPr>
                <w:rFonts w:hAnsi="宋体" w:cs="宋体"/>
                <w:color w:val="000000" w:themeColor="text1"/>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2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c>
          <w:tcPr>
            <w:tcW w:w="1275" w:type="dxa"/>
            <w:vAlign w:val="center"/>
          </w:tcPr>
          <w:p>
            <w:pPr>
              <w:jc w:val="center"/>
              <w:rPr>
                <w:rFonts w:ascii="宋体" w:hAnsi="宋体" w:cs="宋体"/>
                <w:color w:val="000000" w:themeColor="text1"/>
              </w:rPr>
            </w:pPr>
          </w:p>
        </w:tc>
        <w:tc>
          <w:tcPr>
            <w:tcW w:w="1223" w:type="dxa"/>
            <w:vAlign w:val="center"/>
          </w:tcPr>
          <w:p>
            <w:pPr>
              <w:pStyle w:val="24"/>
              <w:rPr>
                <w:rFonts w:hAnsi="宋体" w:cs="宋体"/>
                <w:color w:val="000000" w:themeColor="text1"/>
              </w:rPr>
            </w:pPr>
          </w:p>
        </w:tc>
        <w:tc>
          <w:tcPr>
            <w:tcW w:w="795" w:type="dxa"/>
            <w:vAlign w:val="center"/>
          </w:tcPr>
          <w:p>
            <w:pPr>
              <w:pStyle w:val="24"/>
              <w:rPr>
                <w:rFonts w:hAnsi="宋体" w:cs="宋体"/>
                <w:color w:val="000000" w:themeColor="text1"/>
              </w:rPr>
            </w:pPr>
          </w:p>
        </w:tc>
        <w:tc>
          <w:tcPr>
            <w:tcW w:w="766" w:type="dxa"/>
            <w:vAlign w:val="center"/>
          </w:tcPr>
          <w:p>
            <w:pPr>
              <w:pStyle w:val="24"/>
              <w:rPr>
                <w:rFonts w:hAnsi="宋体" w:cs="宋体"/>
                <w:color w:val="000000" w:themeColor="text1"/>
              </w:rPr>
            </w:pPr>
          </w:p>
        </w:tc>
        <w:tc>
          <w:tcPr>
            <w:tcW w:w="1829" w:type="dxa"/>
            <w:vAlign w:val="center"/>
          </w:tcPr>
          <w:p>
            <w:pPr>
              <w:pStyle w:val="24"/>
              <w:rPr>
                <w:rFonts w:hAnsi="宋体" w:cs="宋体"/>
                <w:color w:val="000000" w:themeColor="text1"/>
              </w:rPr>
            </w:pPr>
          </w:p>
        </w:tc>
        <w:tc>
          <w:tcPr>
            <w:tcW w:w="929" w:type="dxa"/>
            <w:vAlign w:val="center"/>
          </w:tcPr>
          <w:p>
            <w:pPr>
              <w:pStyle w:val="24"/>
              <w:rPr>
                <w:rFonts w:hAnsi="宋体" w:cs="宋体"/>
                <w:color w:val="000000" w:themeColor="text1"/>
              </w:rPr>
            </w:pPr>
          </w:p>
        </w:tc>
        <w:tc>
          <w:tcPr>
            <w:tcW w:w="1111" w:type="dxa"/>
            <w:vAlign w:val="center"/>
          </w:tcPr>
          <w:p>
            <w:pPr>
              <w:pStyle w:val="24"/>
              <w:rPr>
                <w:rFonts w:hAnsi="宋体" w:cs="宋体"/>
                <w:color w:val="000000" w:themeColor="text1"/>
              </w:rPr>
            </w:pPr>
          </w:p>
        </w:tc>
        <w:tc>
          <w:tcPr>
            <w:tcW w:w="1304" w:type="dxa"/>
            <w:vAlign w:val="center"/>
          </w:tcPr>
          <w:p>
            <w:pPr>
              <w:pStyle w:val="24"/>
              <w:rPr>
                <w:rFonts w:hAnsi="宋体" w:cs="宋体"/>
                <w:color w:val="000000" w:themeColor="text1"/>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N</w:t>
            </w:r>
          </w:p>
        </w:tc>
        <w:tc>
          <w:tcPr>
            <w:tcW w:w="1275" w:type="dxa"/>
            <w:vAlign w:val="center"/>
          </w:tcPr>
          <w:p>
            <w:pPr>
              <w:jc w:val="center"/>
              <w:rPr>
                <w:rFonts w:ascii="宋体" w:hAnsi="宋体" w:cs="宋体"/>
                <w:color w:val="000000" w:themeColor="text1"/>
              </w:rPr>
            </w:pPr>
          </w:p>
        </w:tc>
        <w:tc>
          <w:tcPr>
            <w:tcW w:w="1223" w:type="dxa"/>
            <w:vAlign w:val="center"/>
          </w:tcPr>
          <w:p>
            <w:pPr>
              <w:pStyle w:val="24"/>
              <w:rPr>
                <w:rFonts w:hAnsi="宋体" w:cs="宋体"/>
                <w:color w:val="000000" w:themeColor="text1"/>
              </w:rPr>
            </w:pPr>
          </w:p>
        </w:tc>
        <w:tc>
          <w:tcPr>
            <w:tcW w:w="795" w:type="dxa"/>
            <w:vAlign w:val="center"/>
          </w:tcPr>
          <w:p>
            <w:pPr>
              <w:pStyle w:val="24"/>
              <w:rPr>
                <w:rFonts w:hAnsi="宋体" w:cs="宋体"/>
                <w:color w:val="000000" w:themeColor="text1"/>
              </w:rPr>
            </w:pPr>
          </w:p>
        </w:tc>
        <w:tc>
          <w:tcPr>
            <w:tcW w:w="766" w:type="dxa"/>
            <w:vAlign w:val="center"/>
          </w:tcPr>
          <w:p>
            <w:pPr>
              <w:pStyle w:val="24"/>
              <w:rPr>
                <w:rFonts w:hAnsi="宋体" w:cs="宋体"/>
                <w:color w:val="000000" w:themeColor="text1"/>
              </w:rPr>
            </w:pPr>
          </w:p>
        </w:tc>
        <w:tc>
          <w:tcPr>
            <w:tcW w:w="1829" w:type="dxa"/>
            <w:vAlign w:val="center"/>
          </w:tcPr>
          <w:p>
            <w:pPr>
              <w:pStyle w:val="24"/>
              <w:rPr>
                <w:rFonts w:hAnsi="宋体" w:cs="宋体"/>
                <w:color w:val="000000" w:themeColor="text1"/>
              </w:rPr>
            </w:pPr>
          </w:p>
        </w:tc>
        <w:tc>
          <w:tcPr>
            <w:tcW w:w="929" w:type="dxa"/>
            <w:vAlign w:val="center"/>
          </w:tcPr>
          <w:p>
            <w:pPr>
              <w:pStyle w:val="24"/>
              <w:rPr>
                <w:rFonts w:hAnsi="宋体" w:cs="宋体"/>
                <w:color w:val="000000" w:themeColor="text1"/>
              </w:rPr>
            </w:pPr>
          </w:p>
        </w:tc>
        <w:tc>
          <w:tcPr>
            <w:tcW w:w="1111" w:type="dxa"/>
            <w:vAlign w:val="center"/>
          </w:tcPr>
          <w:p>
            <w:pPr>
              <w:pStyle w:val="24"/>
              <w:rPr>
                <w:rFonts w:hAnsi="宋体" w:cs="宋体"/>
                <w:color w:val="000000" w:themeColor="text1"/>
              </w:rPr>
            </w:pPr>
          </w:p>
        </w:tc>
        <w:tc>
          <w:tcPr>
            <w:tcW w:w="1304" w:type="dxa"/>
            <w:vAlign w:val="center"/>
          </w:tcPr>
          <w:p>
            <w:pPr>
              <w:pStyle w:val="24"/>
              <w:rPr>
                <w:rFonts w:hAnsi="宋体" w:cs="宋体"/>
                <w:color w:val="000000" w:themeColor="text1"/>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9"/>
            <w:vAlign w:val="center"/>
          </w:tcPr>
          <w:p>
            <w:pPr>
              <w:pStyle w:val="24"/>
              <w:rPr>
                <w:rFonts w:hAnsi="宋体" w:cs="宋体"/>
                <w:color w:val="000000" w:themeColor="text1"/>
                <w:spacing w:val="-6"/>
              </w:rPr>
            </w:pPr>
            <w:r>
              <w:rPr>
                <w:rFonts w:hint="eastAsia" w:hAnsi="宋体" w:cs="宋体"/>
                <w:color w:val="000000" w:themeColor="text1"/>
                <w:spacing w:val="-6"/>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9"/>
            <w:vAlign w:val="center"/>
          </w:tcPr>
          <w:p>
            <w:pPr>
              <w:pStyle w:val="24"/>
              <w:rPr>
                <w:rFonts w:hAnsi="宋体" w:cs="宋体"/>
                <w:color w:val="000000" w:themeColor="text1"/>
                <w:spacing w:val="-6"/>
              </w:rPr>
            </w:pPr>
            <w:r>
              <w:rPr>
                <w:rFonts w:hint="eastAsia" w:hAnsi="宋体" w:cs="宋体"/>
                <w:color w:val="000000" w:themeColor="text1"/>
                <w:spacing w:val="-6"/>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9"/>
            <w:vAlign w:val="center"/>
          </w:tcPr>
          <w:p>
            <w:pPr>
              <w:pStyle w:val="24"/>
              <w:rPr>
                <w:rFonts w:hAnsi="宋体" w:cs="宋体"/>
                <w:color w:val="000000" w:themeColor="text1"/>
                <w:spacing w:val="-6"/>
              </w:rPr>
            </w:pPr>
            <w:r>
              <w:rPr>
                <w:rFonts w:hint="eastAsia" w:hAnsi="宋体" w:cs="宋体"/>
                <w:color w:val="000000" w:themeColor="text1"/>
                <w:spacing w:val="-6"/>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9"/>
            <w:vAlign w:val="center"/>
          </w:tcPr>
          <w:p>
            <w:pPr>
              <w:pStyle w:val="24"/>
              <w:rPr>
                <w:rFonts w:hAnsi="宋体" w:cs="宋体"/>
                <w:color w:val="000000" w:themeColor="text1"/>
                <w:spacing w:val="-6"/>
              </w:rPr>
            </w:pPr>
            <w:r>
              <w:rPr>
                <w:rFonts w:hint="eastAsia" w:hAnsi="宋体" w:cs="宋体"/>
                <w:color w:val="000000" w:themeColor="text1"/>
                <w:spacing w:val="-6"/>
              </w:rPr>
              <w:t>谈判报价包含货物、随配附件、备品备件、工具、运抵指定交货地点、保险、安装、安全、调试及验收的各种费用和售后服务、税金及其他所有成本费用的总和。</w:t>
            </w:r>
          </w:p>
        </w:tc>
      </w:tr>
    </w:tbl>
    <w:p>
      <w:pPr>
        <w:shd w:val="clear" w:color="auto" w:fill="FFFFFF"/>
        <w:rPr>
          <w:rFonts w:ascii="宋体" w:hAnsi="宋体" w:cs="宋体"/>
          <w:color w:val="000000" w:themeColor="text1"/>
          <w:szCs w:val="20"/>
        </w:rPr>
      </w:pPr>
    </w:p>
    <w:p>
      <w:pPr>
        <w:shd w:val="clear" w:color="auto" w:fill="FFFFFF"/>
        <w:rPr>
          <w:rFonts w:ascii="宋体" w:hAnsi="宋体" w:cs="宋体"/>
          <w:color w:val="000000" w:themeColor="text1"/>
          <w:szCs w:val="20"/>
        </w:rPr>
      </w:pPr>
    </w:p>
    <w:p>
      <w:pPr>
        <w:shd w:val="clear" w:color="auto" w:fill="FFFFFF"/>
        <w:rPr>
          <w:rFonts w:ascii="宋体" w:hAnsi="宋体" w:cs="宋体"/>
          <w:color w:val="000000" w:themeColor="text1"/>
          <w:szCs w:val="20"/>
        </w:rPr>
      </w:pPr>
      <w:r>
        <w:rPr>
          <w:rFonts w:hint="eastAsia" w:ascii="宋体" w:hAnsi="宋体" w:cs="宋体"/>
          <w:color w:val="000000" w:themeColor="text1"/>
        </w:rPr>
        <w:t>谈判供应商</w:t>
      </w:r>
      <w:r>
        <w:rPr>
          <w:rFonts w:hint="eastAsia" w:ascii="宋体" w:hAnsi="宋体" w:cs="宋体"/>
          <w:color w:val="000000" w:themeColor="text1"/>
          <w:szCs w:val="20"/>
        </w:rPr>
        <w:t xml:space="preserve">(公章)：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法定代表人（负责人）或委托代理人签字：</w:t>
      </w:r>
    </w:p>
    <w:p>
      <w:pPr>
        <w:shd w:val="clear" w:color="auto" w:fill="FFFFFF"/>
        <w:spacing w:line="240" w:lineRule="exact"/>
        <w:rPr>
          <w:rFonts w:ascii="宋体" w:hAnsi="宋体" w:cs="宋体"/>
          <w:b/>
          <w:bCs/>
          <w:color w:val="000000" w:themeColor="text1"/>
          <w:sz w:val="44"/>
          <w:szCs w:val="44"/>
        </w:rPr>
      </w:pPr>
      <w:r>
        <w:rPr>
          <w:rFonts w:hint="eastAsia" w:ascii="宋体" w:hAnsi="宋体" w:cs="宋体"/>
          <w:b/>
          <w:bCs/>
          <w:color w:val="000000" w:themeColor="text1"/>
          <w:sz w:val="44"/>
          <w:szCs w:val="44"/>
        </w:rPr>
        <w:t> </w:t>
      </w:r>
    </w:p>
    <w:p>
      <w:pPr>
        <w:shd w:val="clear" w:color="auto" w:fill="FFFFFF"/>
        <w:spacing w:line="240" w:lineRule="exact"/>
        <w:rPr>
          <w:rFonts w:ascii="宋体" w:hAnsi="宋体" w:cs="宋体"/>
          <w:b/>
          <w:bCs/>
          <w:color w:val="000000" w:themeColor="text1"/>
          <w:sz w:val="44"/>
          <w:szCs w:val="44"/>
        </w:rPr>
      </w:pPr>
      <w:r>
        <w:rPr>
          <w:rFonts w:hint="eastAsia" w:ascii="宋体" w:hAnsi="宋体" w:cs="宋体"/>
          <w:color w:val="000000" w:themeColor="text1"/>
          <w:szCs w:val="20"/>
        </w:rPr>
        <w:t>日期：</w:t>
      </w:r>
    </w:p>
    <w:p>
      <w:pPr>
        <w:shd w:val="clear" w:color="auto" w:fill="FFFFFF"/>
        <w:spacing w:line="240" w:lineRule="exact"/>
        <w:rPr>
          <w:rFonts w:ascii="宋体" w:hAnsi="宋体" w:cs="宋体"/>
          <w:b/>
          <w:bCs/>
          <w:color w:val="000000" w:themeColor="text1"/>
          <w:sz w:val="44"/>
          <w:szCs w:val="44"/>
        </w:rPr>
      </w:pPr>
      <w:r>
        <w:rPr>
          <w:rFonts w:hint="eastAsia" w:ascii="宋体" w:hAnsi="宋体" w:cs="宋体"/>
          <w:b/>
          <w:bCs/>
          <w:color w:val="000000" w:themeColor="text1"/>
          <w:sz w:val="44"/>
          <w:szCs w:val="44"/>
        </w:rPr>
        <w:t> </w:t>
      </w:r>
    </w:p>
    <w:p>
      <w:pPr>
        <w:shd w:val="clear" w:color="auto" w:fill="FFFFFF"/>
        <w:spacing w:line="400" w:lineRule="exact"/>
        <w:rPr>
          <w:rFonts w:ascii="宋体" w:hAnsi="宋体" w:cs="宋体"/>
          <w:color w:val="000000" w:themeColor="text1"/>
          <w:szCs w:val="20"/>
        </w:rPr>
      </w:pPr>
      <w:r>
        <w:rPr>
          <w:rFonts w:hint="eastAsia" w:ascii="宋体" w:hAnsi="宋体" w:cs="宋体"/>
          <w:color w:val="000000" w:themeColor="text1"/>
        </w:rPr>
        <w:t>谈判</w:t>
      </w:r>
      <w:r>
        <w:rPr>
          <w:rFonts w:hint="eastAsia" w:ascii="宋体" w:hAnsi="宋体" w:cs="宋体"/>
          <w:color w:val="000000" w:themeColor="text1"/>
          <w:szCs w:val="20"/>
        </w:rPr>
        <w:t>说明：</w:t>
      </w:r>
    </w:p>
    <w:p>
      <w:pPr>
        <w:shd w:val="clear" w:color="auto" w:fill="FFFFFF"/>
        <w:spacing w:line="380" w:lineRule="exact"/>
        <w:ind w:firstLine="420" w:firstLineChars="200"/>
        <w:rPr>
          <w:rFonts w:ascii="宋体" w:hAnsi="宋体" w:cs="宋体"/>
          <w:color w:val="000000" w:themeColor="text1"/>
          <w:szCs w:val="20"/>
        </w:rPr>
      </w:pPr>
      <w:r>
        <w:rPr>
          <w:rFonts w:hint="eastAsia" w:ascii="宋体" w:hAnsi="宋体" w:cs="宋体"/>
          <w:color w:val="000000" w:themeColor="text1"/>
          <w:szCs w:val="20"/>
        </w:rPr>
        <w:t>1、</w:t>
      </w:r>
      <w:r>
        <w:rPr>
          <w:rFonts w:hint="eastAsia" w:ascii="宋体" w:hAnsi="宋体" w:cs="宋体"/>
          <w:color w:val="000000" w:themeColor="text1"/>
        </w:rPr>
        <w:t>谈判供应商</w:t>
      </w:r>
      <w:r>
        <w:rPr>
          <w:rFonts w:hint="eastAsia" w:ascii="宋体" w:hAnsi="宋体" w:cs="宋体"/>
          <w:color w:val="000000" w:themeColor="text1"/>
          <w:szCs w:val="20"/>
        </w:rPr>
        <w:t>必须加盖公章并签字，无签字、盖公章的谈判无效。</w:t>
      </w:r>
    </w:p>
    <w:p>
      <w:pPr>
        <w:shd w:val="clear" w:color="auto" w:fill="FFFFFF"/>
        <w:spacing w:line="380" w:lineRule="exact"/>
        <w:ind w:firstLine="420"/>
        <w:rPr>
          <w:rFonts w:ascii="宋体" w:hAnsi="宋体" w:cs="宋体"/>
          <w:color w:val="000000" w:themeColor="text1"/>
          <w:szCs w:val="20"/>
        </w:rPr>
      </w:pPr>
      <w:r>
        <w:rPr>
          <w:rFonts w:hint="eastAsia" w:ascii="宋体" w:hAnsi="宋体" w:cs="宋体"/>
          <w:color w:val="000000" w:themeColor="text1"/>
          <w:szCs w:val="20"/>
        </w:rPr>
        <w:t>2、凡在“技术参数及性能（配置）要求”中表述为“标配”或“标准配置”的设备，</w:t>
      </w:r>
      <w:r>
        <w:rPr>
          <w:rFonts w:hint="eastAsia" w:ascii="宋体" w:hAnsi="宋体" w:cs="宋体"/>
          <w:color w:val="000000" w:themeColor="text1"/>
        </w:rPr>
        <w:t>谈判供应商</w:t>
      </w:r>
      <w:r>
        <w:rPr>
          <w:rFonts w:hint="eastAsia" w:ascii="宋体" w:hAnsi="宋体" w:cs="宋体"/>
          <w:color w:val="000000" w:themeColor="text1"/>
          <w:szCs w:val="20"/>
        </w:rPr>
        <w:t>应在谈判报价表中将其标配参数详细列明，否则该谈判无效。</w:t>
      </w:r>
    </w:p>
    <w:p>
      <w:pPr>
        <w:shd w:val="clear" w:color="auto" w:fill="FFFFFF"/>
        <w:spacing w:line="380" w:lineRule="exact"/>
        <w:ind w:firstLine="420" w:firstLineChars="200"/>
        <w:rPr>
          <w:rFonts w:ascii="宋体" w:hAnsi="宋体" w:cs="宋体"/>
          <w:b/>
          <w:bCs/>
          <w:color w:val="000000" w:themeColor="text1"/>
          <w:sz w:val="44"/>
          <w:szCs w:val="44"/>
        </w:rPr>
        <w:sectPr>
          <w:footerReference r:id="rId7" w:type="default"/>
          <w:pgSz w:w="11905" w:h="16838"/>
          <w:pgMar w:top="1440" w:right="1083" w:bottom="1440" w:left="1083" w:header="680" w:footer="680" w:gutter="0"/>
          <w:cols w:space="0" w:num="1"/>
          <w:docGrid w:linePitch="312" w:charSpace="0"/>
        </w:sectPr>
      </w:pPr>
      <w:r>
        <w:rPr>
          <w:rFonts w:hint="eastAsia" w:ascii="宋体" w:hAnsi="宋体" w:cs="宋体"/>
          <w:bCs/>
          <w:color w:val="000000" w:themeColor="text1"/>
          <w:szCs w:val="20"/>
        </w:rPr>
        <w:t>3、若此表由多页构成的，应逐页加盖</w:t>
      </w:r>
      <w:r>
        <w:rPr>
          <w:rFonts w:hint="eastAsia" w:ascii="宋体" w:hAnsi="宋体" w:cs="宋体"/>
          <w:color w:val="000000" w:themeColor="text1"/>
        </w:rPr>
        <w:t>谈判供应商法人</w:t>
      </w:r>
      <w:r>
        <w:rPr>
          <w:rFonts w:hint="eastAsia" w:ascii="宋体" w:hAnsi="宋体" w:cs="宋体"/>
          <w:bCs/>
          <w:color w:val="000000" w:themeColor="text1"/>
          <w:szCs w:val="20"/>
        </w:rPr>
        <w:t>公章并由</w:t>
      </w:r>
      <w:r>
        <w:rPr>
          <w:rFonts w:hint="eastAsia" w:ascii="宋体" w:hAnsi="宋体" w:cs="宋体"/>
          <w:color w:val="000000" w:themeColor="text1"/>
          <w:szCs w:val="21"/>
        </w:rPr>
        <w:t>法定代表人(负责人)</w:t>
      </w:r>
      <w:r>
        <w:rPr>
          <w:rFonts w:hint="eastAsia" w:ascii="宋体" w:hAnsi="宋体" w:cs="宋体"/>
          <w:bCs/>
          <w:color w:val="000000" w:themeColor="text1"/>
          <w:szCs w:val="20"/>
        </w:rPr>
        <w:t>或委托代理人签字。</w:t>
      </w:r>
    </w:p>
    <w:p>
      <w:pPr>
        <w:shd w:val="clear" w:color="auto" w:fill="FFFFFF"/>
        <w:jc w:val="center"/>
        <w:rPr>
          <w:rFonts w:ascii="宋体" w:hAnsi="宋体" w:cs="宋体"/>
          <w:b/>
          <w:bCs/>
          <w:color w:val="000000" w:themeColor="text1"/>
          <w:sz w:val="32"/>
          <w:szCs w:val="32"/>
        </w:rPr>
      </w:pPr>
      <w:r>
        <w:rPr>
          <w:rFonts w:hint="eastAsia" w:ascii="宋体" w:hAnsi="宋体" w:cs="宋体"/>
          <w:b/>
          <w:color w:val="000000" w:themeColor="text1"/>
          <w:kern w:val="0"/>
          <w:sz w:val="32"/>
          <w:szCs w:val="32"/>
        </w:rPr>
        <w:t>三、</w:t>
      </w:r>
      <w:r>
        <w:rPr>
          <w:rFonts w:hint="eastAsia" w:ascii="宋体" w:hAnsi="宋体" w:cs="宋体"/>
          <w:b/>
          <w:bCs/>
          <w:color w:val="000000" w:themeColor="text1"/>
          <w:sz w:val="32"/>
          <w:szCs w:val="32"/>
        </w:rPr>
        <w:t>技术规格偏离表</w:t>
      </w:r>
    </w:p>
    <w:p>
      <w:pPr>
        <w:shd w:val="clear" w:color="auto" w:fill="FFFFFF"/>
        <w:ind w:firstLine="210" w:firstLineChars="100"/>
        <w:jc w:val="center"/>
        <w:rPr>
          <w:rFonts w:ascii="宋体" w:hAnsi="宋体" w:cs="宋体"/>
          <w:color w:val="000000" w:themeColor="text1"/>
          <w:szCs w:val="20"/>
        </w:rPr>
      </w:pPr>
    </w:p>
    <w:p>
      <w:pPr>
        <w:shd w:val="clear" w:color="auto" w:fill="FFFFFF"/>
        <w:spacing w:line="400" w:lineRule="exact"/>
        <w:ind w:firstLine="425"/>
        <w:rPr>
          <w:rFonts w:ascii="宋体" w:hAnsi="宋体" w:cs="宋体"/>
          <w:bCs/>
          <w:color w:val="000000" w:themeColor="text1"/>
          <w:szCs w:val="20"/>
        </w:rPr>
      </w:pPr>
      <w:r>
        <w:rPr>
          <w:rFonts w:hint="eastAsia" w:ascii="宋体" w:hAnsi="宋体" w:cs="宋体"/>
          <w:bCs/>
          <w:color w:val="000000" w:themeColor="text1"/>
          <w:szCs w:val="20"/>
        </w:rPr>
        <w:t>请按所谈判产品的实际品牌型号及其技术参数性能（配置）、材质等，逐条对应竞争性谈判文件《项目需求》中的要求认真填写本表（本表填写时应针对争性谈判采购文件《项目需求》中货物技术参数进行对照填写，如低于招标要求时写负偏离，如与招标要求完全一致时写无偏离，如高于招标要求时写正偏离。</w:t>
      </w:r>
    </w:p>
    <w:p>
      <w:pPr>
        <w:shd w:val="clear" w:color="auto" w:fill="FFFFFF"/>
        <w:spacing w:line="400" w:lineRule="exact"/>
        <w:rPr>
          <w:rFonts w:ascii="宋体" w:hAnsi="宋体" w:cs="宋体"/>
          <w:b/>
          <w:bCs/>
          <w:color w:val="000000" w:themeColor="text1"/>
          <w:szCs w:val="20"/>
        </w:rPr>
      </w:pPr>
      <w:r>
        <w:rPr>
          <w:rFonts w:hint="eastAsia" w:ascii="宋体" w:hAnsi="宋体" w:cs="宋体"/>
          <w:b/>
          <w:bCs/>
          <w:color w:val="000000" w:themeColor="text1"/>
          <w:szCs w:val="20"/>
        </w:rPr>
        <w:t> </w:t>
      </w:r>
    </w:p>
    <w:tbl>
      <w:tblPr>
        <w:tblStyle w:val="44"/>
        <w:tblW w:w="8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
        <w:gridCol w:w="1861"/>
        <w:gridCol w:w="1805"/>
        <w:gridCol w:w="2041"/>
        <w:gridCol w:w="2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项号</w:t>
            </w:r>
          </w:p>
        </w:tc>
        <w:tc>
          <w:tcPr>
            <w:tcW w:w="18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货物名称或</w:t>
            </w:r>
          </w:p>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技术条款</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竞争性谈判文件要求</w:t>
            </w:r>
          </w:p>
        </w:tc>
        <w:tc>
          <w:tcPr>
            <w:tcW w:w="20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谈判响应文件具体响应</w:t>
            </w:r>
          </w:p>
        </w:tc>
        <w:tc>
          <w:tcPr>
            <w:tcW w:w="2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0"/>
              </w:rPr>
            </w:pPr>
            <w:r>
              <w:rPr>
                <w:rFonts w:hint="eastAsia" w:ascii="宋体" w:hAnsi="宋体" w:cs="宋体"/>
                <w:color w:val="000000" w:themeColor="text1"/>
                <w:szCs w:val="20"/>
              </w:rPr>
              <w:t>响应、偏离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themeColor="text1"/>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color w:val="000000" w:themeColor="text1"/>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color w:val="000000" w:themeColor="text1"/>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color w:val="000000" w:themeColor="text1"/>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180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4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s="宋体"/>
                <w:color w:val="000000" w:themeColor="text1"/>
                <w:szCs w:val="20"/>
              </w:rPr>
            </w:pPr>
            <w:r>
              <w:rPr>
                <w:rFonts w:hint="eastAsia" w:ascii="宋体" w:hAnsi="宋体" w:cs="宋体"/>
                <w:color w:val="000000" w:themeColor="text1"/>
                <w:szCs w:val="20"/>
              </w:rPr>
              <w:t> </w:t>
            </w:r>
          </w:p>
        </w:tc>
      </w:tr>
    </w:tbl>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ind w:firstLine="2100" w:firstLineChars="1000"/>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szCs w:val="20"/>
        </w:rPr>
      </w:pPr>
      <w:r>
        <w:rPr>
          <w:rFonts w:hint="eastAsia" w:ascii="宋体" w:hAnsi="宋体" w:cs="宋体"/>
          <w:color w:val="000000" w:themeColor="text1"/>
        </w:rPr>
        <w:t>谈判供应商</w:t>
      </w:r>
      <w:r>
        <w:rPr>
          <w:rFonts w:hint="eastAsia" w:ascii="宋体" w:hAnsi="宋体" w:cs="宋体"/>
          <w:color w:val="000000" w:themeColor="text1"/>
          <w:szCs w:val="20"/>
        </w:rPr>
        <w:t xml:space="preserve">(公章)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szCs w:val="20"/>
        </w:rPr>
      </w:pPr>
      <w:r>
        <w:rPr>
          <w:rFonts w:hint="eastAsia" w:ascii="宋体" w:hAnsi="宋体" w:cs="宋体"/>
          <w:color w:val="000000" w:themeColor="text1"/>
          <w:szCs w:val="21"/>
        </w:rPr>
        <w:t>法定代表人(负责人)</w:t>
      </w:r>
      <w:r>
        <w:rPr>
          <w:rFonts w:hint="eastAsia" w:ascii="宋体" w:hAnsi="宋体" w:cs="宋体"/>
          <w:color w:val="000000" w:themeColor="text1"/>
          <w:szCs w:val="20"/>
        </w:rPr>
        <w:t>或委托代理人签字</w:t>
      </w:r>
    </w:p>
    <w:p>
      <w:pPr>
        <w:shd w:val="clear" w:color="auto" w:fill="FFFFFF"/>
        <w:spacing w:line="240" w:lineRule="exact"/>
        <w:rPr>
          <w:rFonts w:ascii="宋体" w:hAnsi="宋体" w:cs="宋体"/>
          <w:b/>
          <w:bCs/>
          <w:color w:val="000000" w:themeColor="text1"/>
          <w:sz w:val="44"/>
          <w:szCs w:val="44"/>
        </w:rPr>
      </w:pPr>
      <w:r>
        <w:rPr>
          <w:rFonts w:hint="eastAsia" w:ascii="宋体" w:hAnsi="宋体" w:cs="宋体"/>
          <w:b/>
          <w:bCs/>
          <w:color w:val="000000" w:themeColor="text1"/>
          <w:sz w:val="44"/>
          <w:szCs w:val="44"/>
        </w:rPr>
        <w:t>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日期</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rPr>
      </w:pPr>
      <w:r>
        <w:rPr>
          <w:rFonts w:hint="eastAsia" w:ascii="宋体" w:hAnsi="宋体" w:cs="宋体"/>
          <w:color w:val="000000" w:themeColor="text1"/>
        </w:rPr>
        <w:t> </w:t>
      </w:r>
    </w:p>
    <w:p>
      <w:pPr>
        <w:shd w:val="clear" w:color="auto" w:fill="FFFFFF"/>
        <w:rPr>
          <w:rFonts w:ascii="宋体" w:hAnsi="宋体" w:cs="宋体"/>
          <w:bCs/>
          <w:color w:val="000000" w:themeColor="text1"/>
        </w:rPr>
      </w:pPr>
      <w:r>
        <w:rPr>
          <w:rFonts w:hint="eastAsia" w:ascii="宋体" w:hAnsi="宋体" w:cs="宋体"/>
          <w:bCs/>
          <w:color w:val="000000" w:themeColor="text1"/>
        </w:rPr>
        <w:t>说明：此表由多页构成的，应逐页加盖</w:t>
      </w:r>
      <w:r>
        <w:rPr>
          <w:rFonts w:hint="eastAsia" w:ascii="宋体" w:hAnsi="宋体" w:cs="宋体"/>
          <w:color w:val="000000" w:themeColor="text1"/>
        </w:rPr>
        <w:t>谈判供应商</w:t>
      </w:r>
      <w:r>
        <w:rPr>
          <w:rFonts w:hint="eastAsia" w:ascii="宋体" w:hAnsi="宋体" w:cs="宋体"/>
          <w:bCs/>
          <w:color w:val="000000" w:themeColor="text1"/>
        </w:rPr>
        <w:t>法人公章并由</w:t>
      </w:r>
      <w:r>
        <w:rPr>
          <w:rFonts w:hint="eastAsia" w:ascii="宋体" w:hAnsi="宋体" w:cs="宋体"/>
          <w:color w:val="000000" w:themeColor="text1"/>
          <w:szCs w:val="21"/>
        </w:rPr>
        <w:t>法定代表人(负责人)</w:t>
      </w:r>
      <w:r>
        <w:rPr>
          <w:rFonts w:hint="eastAsia" w:ascii="宋体" w:hAnsi="宋体" w:cs="宋体"/>
          <w:bCs/>
          <w:color w:val="000000" w:themeColor="text1"/>
        </w:rPr>
        <w:t>或委托代理人签字。</w:t>
      </w:r>
    </w:p>
    <w:p>
      <w:pPr>
        <w:shd w:val="clear" w:color="auto" w:fill="FFFFFF"/>
        <w:rPr>
          <w:rFonts w:ascii="宋体" w:hAnsi="宋体" w:cs="宋体"/>
          <w:b/>
          <w:color w:val="000000" w:themeColor="text1"/>
          <w:sz w:val="32"/>
          <w:szCs w:val="32"/>
        </w:rPr>
      </w:pPr>
    </w:p>
    <w:p>
      <w:pPr>
        <w:shd w:val="clear" w:color="auto" w:fill="FFFFFF"/>
        <w:rPr>
          <w:rFonts w:ascii="宋体" w:hAnsi="宋体" w:cs="宋体"/>
          <w:b/>
          <w:color w:val="000000" w:themeColor="text1"/>
          <w:sz w:val="32"/>
          <w:szCs w:val="32"/>
        </w:rPr>
      </w:pPr>
    </w:p>
    <w:p>
      <w:pPr>
        <w:shd w:val="clear" w:color="auto" w:fill="FFFFFF"/>
        <w:rPr>
          <w:rFonts w:ascii="宋体" w:hAnsi="宋体" w:cs="宋体"/>
          <w:b/>
          <w:color w:val="000000" w:themeColor="text1"/>
          <w:sz w:val="32"/>
          <w:szCs w:val="32"/>
        </w:rPr>
      </w:pPr>
    </w:p>
    <w:p>
      <w:pPr>
        <w:shd w:val="clear" w:color="auto" w:fill="FFFFFF"/>
        <w:rPr>
          <w:rFonts w:ascii="宋体" w:hAnsi="宋体" w:cs="宋体"/>
          <w:b/>
          <w:color w:val="000000" w:themeColor="text1"/>
          <w:sz w:val="32"/>
          <w:szCs w:val="32"/>
        </w:rPr>
      </w:pPr>
    </w:p>
    <w:p>
      <w:pPr>
        <w:shd w:val="clear" w:color="auto" w:fill="FFFFFF"/>
        <w:rPr>
          <w:rFonts w:ascii="宋体" w:hAnsi="宋体" w:cs="宋体"/>
          <w:b/>
          <w:color w:val="000000" w:themeColor="text1"/>
          <w:sz w:val="32"/>
          <w:szCs w:val="32"/>
        </w:rPr>
      </w:pPr>
    </w:p>
    <w:p>
      <w:pPr>
        <w:shd w:val="clear" w:color="auto" w:fill="FFFFFF"/>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四、售后服务承诺书</w:t>
      </w:r>
    </w:p>
    <w:p>
      <w:pPr>
        <w:pStyle w:val="24"/>
        <w:spacing w:beforeLines="5" w:afterLines="5" w:line="360" w:lineRule="exact"/>
        <w:ind w:firstLine="420"/>
        <w:jc w:val="center"/>
        <w:rPr>
          <w:rFonts w:hAnsi="宋体" w:cs="宋体"/>
          <w:b/>
          <w:color w:val="000000" w:themeColor="text1"/>
          <w:sz w:val="36"/>
          <w:szCs w:val="36"/>
        </w:rPr>
      </w:pPr>
    </w:p>
    <w:p>
      <w:pPr>
        <w:shd w:val="clear" w:color="auto" w:fill="FFFFFF"/>
        <w:jc w:val="center"/>
        <w:rPr>
          <w:rFonts w:ascii="宋体" w:hAnsi="宋体" w:cs="宋体"/>
          <w:color w:val="000000" w:themeColor="text1"/>
          <w:szCs w:val="20"/>
        </w:rPr>
      </w:pPr>
      <w:r>
        <w:rPr>
          <w:rFonts w:hint="eastAsia" w:ascii="宋体" w:hAnsi="宋体" w:cs="宋体"/>
          <w:color w:val="000000" w:themeColor="text1"/>
          <w:szCs w:val="20"/>
        </w:rPr>
        <w:t>(由</w:t>
      </w:r>
      <w:r>
        <w:rPr>
          <w:rFonts w:hint="eastAsia" w:ascii="宋体" w:hAnsi="宋体" w:cs="宋体"/>
          <w:color w:val="000000" w:themeColor="text1"/>
        </w:rPr>
        <w:t>谈判供应商</w:t>
      </w:r>
      <w:r>
        <w:rPr>
          <w:rFonts w:hint="eastAsia" w:ascii="宋体" w:hAnsi="宋体" w:cs="宋体"/>
          <w:color w:val="000000" w:themeColor="text1"/>
          <w:szCs w:val="20"/>
        </w:rPr>
        <w:t>就《项目需求》要求自行填写)</w:t>
      </w: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shd w:val="clear" w:color="auto" w:fill="FFFFFF"/>
        <w:ind w:right="420" w:firstLine="4410" w:firstLineChars="2100"/>
        <w:rPr>
          <w:rFonts w:ascii="宋体" w:hAnsi="宋体" w:cs="宋体"/>
          <w:color w:val="000000" w:themeColor="text1"/>
          <w:szCs w:val="20"/>
        </w:rPr>
      </w:pPr>
      <w:r>
        <w:rPr>
          <w:rFonts w:hint="eastAsia" w:ascii="宋体" w:hAnsi="宋体" w:cs="宋体"/>
          <w:color w:val="000000" w:themeColor="text1"/>
        </w:rPr>
        <w:t>谈判供应商</w:t>
      </w:r>
      <w:r>
        <w:rPr>
          <w:rFonts w:hint="eastAsia" w:ascii="宋体" w:hAnsi="宋体" w:cs="宋体"/>
          <w:color w:val="000000" w:themeColor="text1"/>
          <w:szCs w:val="20"/>
        </w:rPr>
        <w:t>(公章)：</w:t>
      </w:r>
    </w:p>
    <w:p>
      <w:pPr>
        <w:shd w:val="clear" w:color="auto" w:fill="FFFFFF"/>
        <w:jc w:val="right"/>
        <w:rPr>
          <w:rFonts w:ascii="宋体" w:hAnsi="宋体" w:cs="宋体"/>
          <w:color w:val="000000" w:themeColor="text1"/>
          <w:szCs w:val="20"/>
        </w:rPr>
      </w:pPr>
    </w:p>
    <w:p>
      <w:pPr>
        <w:shd w:val="clear" w:color="auto" w:fill="FFFFFF"/>
        <w:ind w:right="420" w:firstLine="4410" w:firstLineChars="2100"/>
        <w:rPr>
          <w:rFonts w:ascii="宋体" w:hAnsi="宋体" w:cs="宋体"/>
          <w:color w:val="000000" w:themeColor="text1"/>
          <w:szCs w:val="20"/>
          <w:u w:val="single"/>
        </w:rPr>
      </w:pPr>
      <w:r>
        <w:rPr>
          <w:rFonts w:hint="eastAsia" w:ascii="宋体" w:hAnsi="宋体" w:cs="宋体"/>
          <w:color w:val="000000" w:themeColor="text1"/>
          <w:szCs w:val="21"/>
        </w:rPr>
        <w:t>法定代表人(负责人)</w:t>
      </w:r>
      <w:r>
        <w:rPr>
          <w:rFonts w:hint="eastAsia" w:ascii="宋体" w:hAnsi="宋体" w:cs="宋体"/>
          <w:color w:val="000000" w:themeColor="text1"/>
          <w:szCs w:val="20"/>
        </w:rPr>
        <w:t>或委托代理人签字：</w:t>
      </w:r>
    </w:p>
    <w:p>
      <w:pPr>
        <w:shd w:val="clear" w:color="auto" w:fill="FFFFFF"/>
        <w:spacing w:line="240" w:lineRule="exact"/>
        <w:jc w:val="right"/>
        <w:rPr>
          <w:rFonts w:ascii="宋体" w:hAnsi="宋体" w:cs="宋体"/>
          <w:b/>
          <w:bCs/>
          <w:color w:val="000000" w:themeColor="text1"/>
          <w:sz w:val="44"/>
          <w:szCs w:val="44"/>
        </w:rPr>
      </w:pPr>
    </w:p>
    <w:p>
      <w:pPr>
        <w:shd w:val="clear" w:color="auto" w:fill="FFFFFF"/>
        <w:ind w:right="420"/>
        <w:jc w:val="center"/>
        <w:rPr>
          <w:rFonts w:ascii="宋体" w:hAnsi="宋体" w:cs="宋体"/>
          <w:color w:val="000000" w:themeColor="text1"/>
          <w:szCs w:val="20"/>
        </w:rPr>
      </w:pPr>
      <w:r>
        <w:rPr>
          <w:rFonts w:hint="eastAsia" w:ascii="宋体" w:hAnsi="宋体" w:cs="宋体"/>
          <w:color w:val="000000" w:themeColor="text1"/>
          <w:szCs w:val="20"/>
        </w:rPr>
        <w:t xml:space="preserve">日期 </w:t>
      </w:r>
    </w:p>
    <w:p>
      <w:pPr>
        <w:shd w:val="clear" w:color="auto" w:fill="FFFFFF"/>
        <w:rPr>
          <w:rFonts w:ascii="宋体" w:hAnsi="宋体" w:cs="宋体"/>
          <w:color w:val="000000" w:themeColor="text1"/>
          <w:szCs w:val="20"/>
        </w:rPr>
      </w:pPr>
      <w:r>
        <w:rPr>
          <w:rFonts w:hint="eastAsia" w:ascii="宋体" w:hAnsi="宋体" w:cs="宋体"/>
          <w:color w:val="000000" w:themeColor="text1"/>
          <w:szCs w:val="20"/>
        </w:rPr>
        <w:t> </w:t>
      </w:r>
    </w:p>
    <w:p>
      <w:pPr>
        <w:shd w:val="clear" w:color="auto" w:fill="FFFFFF"/>
        <w:rPr>
          <w:rFonts w:ascii="宋体" w:hAnsi="宋体" w:cs="宋体"/>
          <w:color w:val="000000" w:themeColor="text1"/>
        </w:rPr>
      </w:pPr>
      <w:r>
        <w:rPr>
          <w:rFonts w:hint="eastAsia" w:ascii="宋体" w:hAnsi="宋体" w:cs="宋体"/>
          <w:color w:val="000000" w:themeColor="text1"/>
        </w:rPr>
        <w:t> </w:t>
      </w:r>
    </w:p>
    <w:p>
      <w:pPr>
        <w:shd w:val="clear" w:color="auto" w:fill="FFFFFF"/>
        <w:rPr>
          <w:rFonts w:ascii="宋体" w:hAnsi="宋体" w:cs="宋体"/>
          <w:bCs/>
          <w:color w:val="000000" w:themeColor="text1"/>
        </w:rPr>
      </w:pPr>
      <w:r>
        <w:rPr>
          <w:rFonts w:hint="eastAsia" w:ascii="宋体" w:hAnsi="宋体" w:cs="宋体"/>
          <w:bCs/>
          <w:color w:val="000000" w:themeColor="text1"/>
        </w:rPr>
        <w:t>说明：此表由多页构成的，应逐页加盖</w:t>
      </w:r>
      <w:r>
        <w:rPr>
          <w:rFonts w:hint="eastAsia" w:ascii="宋体" w:hAnsi="宋体" w:cs="宋体"/>
          <w:color w:val="000000" w:themeColor="text1"/>
        </w:rPr>
        <w:t>谈判供应商</w:t>
      </w:r>
      <w:r>
        <w:rPr>
          <w:rFonts w:hint="eastAsia" w:ascii="宋体" w:hAnsi="宋体" w:cs="宋体"/>
          <w:bCs/>
          <w:color w:val="000000" w:themeColor="text1"/>
        </w:rPr>
        <w:t>法人公章并由</w:t>
      </w:r>
      <w:r>
        <w:rPr>
          <w:rFonts w:hint="eastAsia" w:ascii="宋体" w:hAnsi="宋体" w:cs="宋体"/>
          <w:color w:val="000000" w:themeColor="text1"/>
          <w:szCs w:val="21"/>
        </w:rPr>
        <w:t>法定代表人(负责人)</w:t>
      </w:r>
      <w:r>
        <w:rPr>
          <w:rFonts w:hint="eastAsia" w:ascii="宋体" w:hAnsi="宋体" w:cs="宋体"/>
          <w:bCs/>
          <w:color w:val="000000" w:themeColor="text1"/>
        </w:rPr>
        <w:t>或委托代理人签字。</w:t>
      </w: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pStyle w:val="24"/>
        <w:tabs>
          <w:tab w:val="center" w:pos="4883"/>
        </w:tabs>
        <w:spacing w:beforeLines="5" w:afterLines="5" w:line="360" w:lineRule="exact"/>
        <w:ind w:firstLine="412"/>
        <w:jc w:val="center"/>
        <w:rPr>
          <w:rFonts w:hAnsi="宋体" w:cs="宋体"/>
          <w:b/>
          <w:color w:val="000000" w:themeColor="text1"/>
          <w:sz w:val="36"/>
          <w:szCs w:val="36"/>
        </w:rPr>
      </w:pPr>
    </w:p>
    <w:p>
      <w:pPr>
        <w:spacing w:before="5" w:after="5" w:line="360" w:lineRule="exact"/>
        <w:rPr>
          <w:rFonts w:ascii="宋体" w:hAnsi="宋体" w:cs="宋体"/>
          <w:b/>
          <w:color w:val="000000" w:themeColor="text1"/>
          <w:kern w:val="0"/>
          <w:sz w:val="32"/>
          <w:szCs w:val="32"/>
        </w:rPr>
      </w:pPr>
    </w:p>
    <w:p>
      <w:pPr>
        <w:spacing w:before="5" w:after="5" w:line="360" w:lineRule="exact"/>
        <w:jc w:val="center"/>
        <w:rPr>
          <w:rFonts w:ascii="宋体" w:hAnsi="宋体" w:cs="宋体"/>
          <w:b/>
          <w:color w:val="000000" w:themeColor="text1"/>
          <w:kern w:val="0"/>
          <w:sz w:val="28"/>
          <w:szCs w:val="28"/>
        </w:rPr>
      </w:pPr>
      <w:r>
        <w:rPr>
          <w:rFonts w:hint="eastAsia" w:ascii="宋体" w:hAnsi="宋体" w:cs="宋体"/>
          <w:b/>
          <w:color w:val="000000" w:themeColor="text1"/>
          <w:kern w:val="0"/>
          <w:sz w:val="32"/>
          <w:szCs w:val="32"/>
        </w:rPr>
        <w:t>五、谈判供应商资格证明文件</w:t>
      </w:r>
    </w:p>
    <w:p>
      <w:pPr>
        <w:pStyle w:val="24"/>
        <w:spacing w:beforeLines="5" w:afterLines="5" w:line="360" w:lineRule="exact"/>
        <w:ind w:firstLine="412"/>
        <w:jc w:val="center"/>
        <w:rPr>
          <w:rFonts w:hAnsi="宋体" w:cs="宋体"/>
          <w:color w:val="000000" w:themeColor="text1"/>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rPr>
          <w:rFonts w:ascii="宋体" w:hAnsi="宋体" w:cs="宋体"/>
          <w:b/>
          <w:color w:val="000000" w:themeColor="text1"/>
          <w:kern w:val="0"/>
          <w:sz w:val="32"/>
          <w:szCs w:val="32"/>
        </w:rPr>
      </w:pPr>
    </w:p>
    <w:p>
      <w:pPr>
        <w:spacing w:before="5" w:after="5" w:line="360" w:lineRule="exact"/>
        <w:jc w:val="center"/>
        <w:rPr>
          <w:rFonts w:ascii="宋体" w:hAnsi="宋体" w:cs="宋体"/>
          <w:b/>
          <w:color w:val="000000" w:themeColor="text1"/>
          <w:kern w:val="0"/>
          <w:sz w:val="32"/>
          <w:szCs w:val="32"/>
        </w:rPr>
      </w:pPr>
    </w:p>
    <w:p>
      <w:pPr>
        <w:spacing w:before="5" w:after="5" w:line="360" w:lineRule="exact"/>
        <w:jc w:val="center"/>
        <w:rPr>
          <w:rFonts w:ascii="宋体" w:hAnsi="宋体" w:cs="宋体"/>
          <w:b/>
          <w:color w:val="000000" w:themeColor="text1"/>
          <w:kern w:val="0"/>
          <w:sz w:val="28"/>
          <w:szCs w:val="28"/>
        </w:rPr>
      </w:pPr>
      <w:r>
        <w:rPr>
          <w:rFonts w:hint="eastAsia" w:ascii="宋体" w:hAnsi="宋体" w:cs="宋体"/>
          <w:b/>
          <w:bCs/>
          <w:color w:val="000000" w:themeColor="text1"/>
          <w:sz w:val="30"/>
          <w:szCs w:val="30"/>
        </w:rPr>
        <w:t>响应文件签署</w:t>
      </w:r>
      <w:r>
        <w:rPr>
          <w:rFonts w:hint="eastAsia" w:ascii="宋体" w:hAnsi="宋体" w:cs="宋体"/>
          <w:b/>
          <w:color w:val="000000" w:themeColor="text1"/>
          <w:kern w:val="0"/>
          <w:sz w:val="28"/>
          <w:szCs w:val="28"/>
        </w:rPr>
        <w:t>授权委托书（格式）</w:t>
      </w:r>
    </w:p>
    <w:p>
      <w:pPr>
        <w:spacing w:before="5" w:after="5" w:line="360" w:lineRule="exact"/>
        <w:ind w:firstLine="313" w:firstLineChars="98"/>
        <w:rPr>
          <w:rFonts w:ascii="宋体" w:hAnsi="宋体" w:cs="宋体"/>
          <w:color w:val="000000" w:themeColor="text1"/>
          <w:sz w:val="32"/>
        </w:rPr>
      </w:pPr>
    </w:p>
    <w:p>
      <w:pPr>
        <w:spacing w:before="5" w:after="5" w:line="360" w:lineRule="exact"/>
        <w:ind w:firstLine="313" w:firstLineChars="98"/>
        <w:rPr>
          <w:rFonts w:ascii="宋体" w:hAnsi="宋体" w:cs="宋体"/>
          <w:color w:val="000000" w:themeColor="text1"/>
          <w:sz w:val="32"/>
        </w:rPr>
      </w:pPr>
    </w:p>
    <w:p>
      <w:pPr>
        <w:spacing w:before="5" w:after="5" w:line="480" w:lineRule="auto"/>
        <w:ind w:firstLine="525" w:firstLineChars="250"/>
        <w:rPr>
          <w:rFonts w:ascii="宋体" w:hAnsi="宋体" w:cs="宋体"/>
          <w:color w:val="000000" w:themeColor="text1"/>
        </w:rPr>
      </w:pPr>
    </w:p>
    <w:p>
      <w:pPr>
        <w:spacing w:before="5" w:after="5" w:line="480" w:lineRule="auto"/>
        <w:ind w:firstLine="525" w:firstLineChars="250"/>
        <w:rPr>
          <w:rFonts w:ascii="宋体" w:hAnsi="宋体" w:cs="宋体"/>
          <w:color w:val="000000" w:themeColor="text1"/>
        </w:rPr>
      </w:pPr>
      <w:r>
        <w:rPr>
          <w:rFonts w:hint="eastAsia" w:ascii="宋体" w:hAnsi="宋体" w:cs="宋体"/>
          <w:color w:val="000000" w:themeColor="text1"/>
        </w:rPr>
        <w:t>本授权委托书声明：我</w:t>
      </w:r>
      <w:r>
        <w:rPr>
          <w:rFonts w:hint="eastAsia" w:ascii="宋体" w:hAnsi="宋体" w:cs="宋体"/>
          <w:color w:val="000000" w:themeColor="text1"/>
          <w:u w:val="single"/>
        </w:rPr>
        <w:t> （姓名）</w:t>
      </w:r>
      <w:r>
        <w:rPr>
          <w:rFonts w:hint="eastAsia" w:ascii="宋体" w:hAnsi="宋体" w:cs="宋体"/>
          <w:color w:val="000000" w:themeColor="text1"/>
        </w:rPr>
        <w:t>系</w:t>
      </w:r>
      <w:r>
        <w:rPr>
          <w:rFonts w:hint="eastAsia" w:ascii="宋体" w:hAnsi="宋体" w:cs="宋体"/>
          <w:color w:val="000000" w:themeColor="text1"/>
          <w:u w:val="single"/>
        </w:rPr>
        <w:t xml:space="preserve">        （谈判供应商单位名称）</w:t>
      </w:r>
      <w:r>
        <w:rPr>
          <w:rFonts w:hint="eastAsia" w:ascii="宋体" w:hAnsi="宋体" w:cs="宋体"/>
          <w:color w:val="000000" w:themeColor="text1"/>
        </w:rPr>
        <w:t>的法定代表人（负责人），现授权委托</w:t>
      </w:r>
      <w:r>
        <w:rPr>
          <w:rFonts w:hint="eastAsia" w:ascii="宋体" w:hAnsi="宋体" w:cs="宋体"/>
          <w:color w:val="000000" w:themeColor="text1"/>
          <w:u w:val="single"/>
        </w:rPr>
        <w:t xml:space="preserve">      （单位名称）     </w:t>
      </w:r>
      <w:r>
        <w:rPr>
          <w:rFonts w:hint="eastAsia" w:ascii="宋体" w:hAnsi="宋体" w:cs="宋体"/>
          <w:color w:val="000000" w:themeColor="text1"/>
        </w:rPr>
        <w:t>的</w:t>
      </w:r>
      <w:r>
        <w:rPr>
          <w:rFonts w:hint="eastAsia" w:ascii="宋体" w:hAnsi="宋体" w:cs="宋体"/>
          <w:color w:val="000000" w:themeColor="text1"/>
          <w:u w:val="single"/>
        </w:rPr>
        <w:t xml:space="preserve">    （姓名）</w:t>
      </w:r>
      <w:r>
        <w:rPr>
          <w:rFonts w:hint="eastAsia" w:ascii="宋体" w:hAnsi="宋体" w:cs="宋体"/>
          <w:color w:val="000000" w:themeColor="text1"/>
        </w:rPr>
        <w:t>为我公司签署本次谈判</w:t>
      </w:r>
      <w:r>
        <w:rPr>
          <w:rFonts w:hint="eastAsia" w:ascii="宋体" w:hAnsi="宋体" w:cs="宋体"/>
          <w:color w:val="000000" w:themeColor="text1"/>
          <w:u w:val="single"/>
        </w:rPr>
        <w:t xml:space="preserve">             （项目名称及项目编号）</w:t>
      </w:r>
      <w:r>
        <w:rPr>
          <w:rFonts w:hint="eastAsia" w:ascii="宋体" w:hAnsi="宋体" w:cs="宋体"/>
          <w:color w:val="000000" w:themeColor="text1"/>
        </w:rPr>
        <w:t>的响应文件的法定代表人（负责人）授权委托代理人，我承认代理人全权代表我所签署的本次谈判的响应文件的内容。</w:t>
      </w:r>
    </w:p>
    <w:p>
      <w:pPr>
        <w:spacing w:before="5" w:after="5" w:line="480" w:lineRule="auto"/>
        <w:ind w:firstLine="525" w:firstLineChars="250"/>
        <w:rPr>
          <w:rFonts w:ascii="宋体" w:hAnsi="宋体" w:cs="宋体"/>
          <w:color w:val="000000" w:themeColor="text1"/>
        </w:rPr>
      </w:pPr>
    </w:p>
    <w:p>
      <w:pPr>
        <w:spacing w:before="5" w:after="5" w:line="480" w:lineRule="auto"/>
        <w:ind w:firstLine="525" w:firstLineChars="250"/>
        <w:rPr>
          <w:rFonts w:ascii="宋体" w:hAnsi="宋体" w:cs="宋体"/>
          <w:color w:val="000000" w:themeColor="text1"/>
        </w:rPr>
      </w:pPr>
      <w:r>
        <w:rPr>
          <w:rFonts w:hint="eastAsia" w:ascii="宋体" w:hAnsi="宋体" w:cs="宋体"/>
          <w:color w:val="000000" w:themeColor="text1"/>
        </w:rPr>
        <w:t>代理人无转委托权，特此委托。</w:t>
      </w:r>
    </w:p>
    <w:p>
      <w:pPr>
        <w:spacing w:before="5" w:after="5" w:line="480" w:lineRule="auto"/>
        <w:ind w:firstLine="525" w:firstLineChars="250"/>
        <w:rPr>
          <w:rFonts w:ascii="宋体" w:hAnsi="宋体" w:cs="宋体"/>
          <w:color w:val="000000" w:themeColor="text1"/>
        </w:rPr>
      </w:pPr>
    </w:p>
    <w:p>
      <w:pPr>
        <w:spacing w:before="5" w:after="5" w:line="480" w:lineRule="auto"/>
        <w:ind w:firstLine="525" w:firstLineChars="250"/>
        <w:rPr>
          <w:rFonts w:ascii="宋体" w:hAnsi="宋体" w:cs="宋体"/>
          <w:color w:val="000000" w:themeColor="text1"/>
          <w:u w:val="single"/>
        </w:rPr>
      </w:pPr>
      <w:r>
        <w:rPr>
          <w:rFonts w:hint="eastAsia" w:ascii="宋体" w:hAnsi="宋体" w:cs="宋体"/>
          <w:color w:val="000000" w:themeColor="text1"/>
        </w:rPr>
        <w:t>代理人：     性别：     年龄：</w:t>
      </w:r>
    </w:p>
    <w:p>
      <w:pPr>
        <w:spacing w:before="5" w:after="5" w:line="480" w:lineRule="auto"/>
        <w:ind w:firstLine="525" w:firstLineChars="250"/>
        <w:rPr>
          <w:rFonts w:ascii="宋体" w:hAnsi="宋体" w:cs="宋体"/>
          <w:color w:val="000000" w:themeColor="text1"/>
          <w:u w:val="single"/>
        </w:rPr>
      </w:pPr>
      <w:r>
        <w:rPr>
          <w:rFonts w:hint="eastAsia" w:ascii="宋体" w:hAnsi="宋体" w:cs="宋体"/>
          <w:color w:val="000000" w:themeColor="text1"/>
        </w:rPr>
        <w:t>单  位：     部门：     职务：</w:t>
      </w:r>
    </w:p>
    <w:p>
      <w:pPr>
        <w:spacing w:before="5" w:after="5" w:line="480" w:lineRule="auto"/>
        <w:ind w:firstLine="525" w:firstLineChars="250"/>
        <w:rPr>
          <w:rFonts w:ascii="宋体" w:hAnsi="宋体" w:cs="宋体"/>
          <w:color w:val="000000" w:themeColor="text1"/>
        </w:rPr>
      </w:pPr>
    </w:p>
    <w:p>
      <w:pPr>
        <w:spacing w:before="5" w:after="5" w:line="480" w:lineRule="auto"/>
        <w:ind w:firstLine="525" w:firstLineChars="250"/>
        <w:rPr>
          <w:rFonts w:ascii="宋体" w:hAnsi="宋体" w:cs="宋体"/>
          <w:color w:val="000000" w:themeColor="text1"/>
        </w:rPr>
      </w:pPr>
      <w:r>
        <w:rPr>
          <w:rFonts w:hint="eastAsia" w:ascii="宋体" w:hAnsi="宋体" w:cs="宋体"/>
          <w:color w:val="000000" w:themeColor="text1"/>
        </w:rPr>
        <w:t xml:space="preserve">      谈判供应商单位：（盖章）</w:t>
      </w:r>
    </w:p>
    <w:p>
      <w:pPr>
        <w:spacing w:before="5" w:after="5" w:line="480" w:lineRule="auto"/>
        <w:ind w:firstLine="525" w:firstLineChars="250"/>
        <w:rPr>
          <w:rFonts w:ascii="宋体" w:hAnsi="宋体" w:cs="宋体"/>
          <w:color w:val="000000" w:themeColor="text1"/>
        </w:rPr>
      </w:pPr>
    </w:p>
    <w:p>
      <w:pPr>
        <w:spacing w:before="5" w:after="5" w:line="480" w:lineRule="auto"/>
        <w:ind w:firstLine="525" w:firstLineChars="250"/>
        <w:rPr>
          <w:rFonts w:ascii="宋体" w:hAnsi="宋体" w:cs="宋体"/>
          <w:color w:val="000000" w:themeColor="text1"/>
        </w:rPr>
      </w:pPr>
      <w:r>
        <w:rPr>
          <w:rFonts w:hint="eastAsia" w:ascii="宋体" w:hAnsi="宋体" w:cs="宋体"/>
          <w:color w:val="000000" w:themeColor="text1"/>
        </w:rPr>
        <w:t xml:space="preserve">       法定代表人（负责人）：（签字）</w:t>
      </w:r>
    </w:p>
    <w:p>
      <w:pPr>
        <w:spacing w:before="5" w:after="5" w:line="480" w:lineRule="auto"/>
        <w:ind w:firstLine="525" w:firstLineChars="250"/>
        <w:rPr>
          <w:rFonts w:ascii="宋体" w:hAnsi="宋体" w:cs="宋体"/>
          <w:color w:val="000000" w:themeColor="text1"/>
        </w:rPr>
      </w:pPr>
    </w:p>
    <w:p>
      <w:pPr>
        <w:spacing w:before="5" w:after="5" w:line="480" w:lineRule="auto"/>
        <w:ind w:firstLine="1260" w:firstLineChars="600"/>
        <w:rPr>
          <w:rFonts w:ascii="宋体" w:hAnsi="宋体" w:cs="宋体"/>
          <w:color w:val="000000" w:themeColor="text1"/>
        </w:rPr>
      </w:pPr>
      <w:r>
        <w:rPr>
          <w:rFonts w:hint="eastAsia" w:ascii="宋体" w:hAnsi="宋体" w:cs="宋体"/>
          <w:color w:val="000000" w:themeColor="text1"/>
        </w:rPr>
        <w:t>授权委托人：（签字）</w:t>
      </w:r>
    </w:p>
    <w:p>
      <w:pPr>
        <w:spacing w:before="5" w:after="5" w:line="480" w:lineRule="auto"/>
        <w:ind w:firstLine="525" w:firstLineChars="250"/>
        <w:rPr>
          <w:rFonts w:ascii="宋体" w:hAnsi="宋体" w:cs="宋体"/>
          <w:color w:val="000000" w:themeColor="text1"/>
        </w:rPr>
      </w:pPr>
    </w:p>
    <w:p>
      <w:pPr>
        <w:spacing w:before="5" w:after="5" w:line="480" w:lineRule="auto"/>
        <w:rPr>
          <w:rFonts w:ascii="宋体" w:hAnsi="宋体" w:cs="宋体"/>
          <w:color w:val="000000" w:themeColor="text1"/>
        </w:rPr>
      </w:pPr>
      <w:r>
        <w:rPr>
          <w:rFonts w:hint="eastAsia" w:ascii="宋体" w:hAnsi="宋体" w:cs="宋体"/>
          <w:color w:val="000000" w:themeColor="text1"/>
        </w:rPr>
        <w:t xml:space="preserve">       日期：      年      月      日</w:t>
      </w:r>
    </w:p>
    <w:p>
      <w:pPr>
        <w:spacing w:before="5" w:after="5" w:line="360" w:lineRule="exact"/>
        <w:jc w:val="center"/>
        <w:rPr>
          <w:rFonts w:ascii="宋体" w:hAnsi="宋体" w:cs="宋体"/>
          <w:color w:val="000000" w:themeColor="text1"/>
        </w:rPr>
      </w:pPr>
    </w:p>
    <w:p>
      <w:pPr>
        <w:spacing w:before="5" w:after="5" w:line="360" w:lineRule="exact"/>
        <w:rPr>
          <w:rFonts w:ascii="宋体" w:hAnsi="宋体" w:cs="宋体"/>
          <w:b/>
          <w:bCs/>
          <w:color w:val="000000" w:themeColor="text1"/>
          <w:spacing w:val="6"/>
          <w:sz w:val="32"/>
        </w:rPr>
      </w:pPr>
    </w:p>
    <w:p>
      <w:pPr>
        <w:spacing w:before="5" w:after="5" w:line="360" w:lineRule="exact"/>
        <w:rPr>
          <w:rFonts w:ascii="宋体" w:hAnsi="宋体" w:cs="宋体"/>
          <w:b/>
          <w:color w:val="000000" w:themeColor="text1"/>
          <w:kern w:val="0"/>
          <w:sz w:val="30"/>
        </w:rPr>
      </w:pPr>
    </w:p>
    <w:p>
      <w:pPr>
        <w:rPr>
          <w:rFonts w:ascii="宋体" w:hAnsi="宋体" w:cs="宋体"/>
          <w:color w:val="000000" w:themeColor="text1"/>
        </w:rPr>
      </w:pPr>
      <w:bookmarkStart w:id="109" w:name="_Toc339549883"/>
      <w:bookmarkStart w:id="110" w:name="_Toc339809767"/>
      <w:bookmarkStart w:id="111" w:name="_Toc339894594"/>
      <w:bookmarkStart w:id="112" w:name="_Toc339809742"/>
      <w:bookmarkStart w:id="113" w:name="_Toc339549588"/>
      <w:bookmarkStart w:id="114" w:name="_Toc339890628"/>
    </w:p>
    <w:p>
      <w:pPr>
        <w:rPr>
          <w:rFonts w:ascii="宋体" w:hAnsi="宋体" w:cs="宋体"/>
          <w:color w:val="000000" w:themeColor="text1"/>
        </w:rPr>
      </w:pPr>
    </w:p>
    <w:bookmarkEnd w:id="109"/>
    <w:bookmarkEnd w:id="110"/>
    <w:bookmarkEnd w:id="111"/>
    <w:bookmarkEnd w:id="112"/>
    <w:bookmarkEnd w:id="113"/>
    <w:bookmarkEnd w:id="114"/>
    <w:p>
      <w:pPr>
        <w:pStyle w:val="24"/>
        <w:spacing w:beforeLines="5" w:afterLines="5" w:line="360" w:lineRule="exact"/>
        <w:ind w:firstLine="412"/>
        <w:jc w:val="center"/>
        <w:rPr>
          <w:rFonts w:hAnsi="宋体" w:cs="宋体"/>
          <w:b/>
          <w:color w:val="000000" w:themeColor="text1"/>
          <w:sz w:val="36"/>
          <w:szCs w:val="36"/>
        </w:rPr>
      </w:pPr>
    </w:p>
    <w:p>
      <w:pPr>
        <w:pStyle w:val="24"/>
        <w:spacing w:beforeLines="5" w:afterLines="5" w:line="360" w:lineRule="exact"/>
        <w:ind w:firstLine="412"/>
        <w:jc w:val="center"/>
        <w:rPr>
          <w:rFonts w:hAnsi="宋体" w:cs="宋体"/>
          <w:b/>
          <w:color w:val="000000" w:themeColor="text1"/>
          <w:sz w:val="36"/>
          <w:szCs w:val="36"/>
        </w:rPr>
      </w:pPr>
    </w:p>
    <w:p>
      <w:pPr>
        <w:spacing w:before="5" w:after="5" w:line="360" w:lineRule="exact"/>
        <w:rPr>
          <w:rFonts w:ascii="宋体" w:hAnsi="宋体" w:cs="宋体"/>
          <w:color w:val="000000" w:themeColor="text1"/>
        </w:rPr>
      </w:pPr>
    </w:p>
    <w:p>
      <w:pPr>
        <w:spacing w:before="5" w:after="5" w:line="360" w:lineRule="exact"/>
        <w:ind w:left="134"/>
        <w:jc w:val="center"/>
        <w:rPr>
          <w:rFonts w:ascii="宋体" w:hAnsi="宋体" w:cs="宋体"/>
          <w:b/>
          <w:color w:val="000000" w:themeColor="text1"/>
          <w:sz w:val="32"/>
          <w:szCs w:val="32"/>
        </w:rPr>
      </w:pPr>
      <w:r>
        <w:rPr>
          <w:rFonts w:hint="eastAsia" w:ascii="宋体" w:hAnsi="宋体" w:cs="宋体"/>
          <w:b/>
          <w:color w:val="000000" w:themeColor="text1"/>
          <w:sz w:val="32"/>
          <w:szCs w:val="32"/>
        </w:rPr>
        <w:t>六、货物合格证明文件</w:t>
      </w: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p>
    <w:p>
      <w:pPr>
        <w:shd w:val="clear" w:color="auto" w:fill="FFFFFF"/>
        <w:jc w:val="center"/>
        <w:rPr>
          <w:rFonts w:ascii="宋体" w:hAnsi="宋体" w:cs="宋体"/>
          <w:b/>
          <w:color w:val="000000" w:themeColor="text1"/>
          <w:sz w:val="32"/>
          <w:szCs w:val="32"/>
        </w:rPr>
      </w:pPr>
      <w:r>
        <w:rPr>
          <w:rFonts w:hint="eastAsia" w:ascii="宋体" w:hAnsi="宋体" w:cs="宋体"/>
          <w:b/>
          <w:color w:val="000000" w:themeColor="text1"/>
          <w:sz w:val="32"/>
          <w:szCs w:val="32"/>
        </w:rPr>
        <w:t>七、谈判供应商认为有必要提供的其他有关材料</w:t>
      </w:r>
    </w:p>
    <w:p>
      <w:pPr>
        <w:spacing w:before="5" w:after="5" w:line="360" w:lineRule="exact"/>
        <w:ind w:left="134"/>
        <w:jc w:val="center"/>
        <w:rPr>
          <w:rFonts w:ascii="宋体" w:hAnsi="宋体" w:cs="宋体"/>
          <w:color w:val="000000" w:themeColor="text1"/>
          <w:szCs w:val="21"/>
        </w:rPr>
      </w:pPr>
      <w:r>
        <w:rPr>
          <w:rFonts w:hint="eastAsia" w:ascii="宋体" w:hAnsi="宋体" w:cs="宋体"/>
          <w:color w:val="000000" w:themeColor="text1"/>
          <w:szCs w:val="21"/>
        </w:rPr>
        <w:t>（格式自拟）</w:t>
      </w:r>
    </w:p>
    <w:p>
      <w:pPr>
        <w:spacing w:before="5" w:after="5" w:line="360" w:lineRule="exact"/>
        <w:ind w:left="134"/>
        <w:rPr>
          <w:rFonts w:ascii="宋体" w:hAnsi="宋体" w:cs="宋体"/>
          <w:color w:val="000000" w:themeColor="text1"/>
        </w:rPr>
      </w:pPr>
    </w:p>
    <w:p>
      <w:pPr>
        <w:shd w:val="clear" w:color="auto" w:fill="FFFFFF"/>
        <w:jc w:val="center"/>
        <w:rPr>
          <w:rFonts w:ascii="宋体" w:hAnsi="宋体" w:cs="宋体"/>
          <w:color w:val="000000" w:themeColor="text1"/>
        </w:rPr>
      </w:pPr>
    </w:p>
    <w:sectPr>
      <w:footerReference r:id="rId9" w:type="first"/>
      <w:footerReference r:id="rId8" w:type="default"/>
      <w:pgSz w:w="11905" w:h="16838"/>
      <w:pgMar w:top="1440" w:right="1083" w:bottom="1440" w:left="1083" w:header="680" w:footer="680" w:gutter="0"/>
      <w:cols w:space="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29"/>
                  <w:spacing w:before="120" w:after="120"/>
                  <w:jc w:val="center"/>
                </w:pP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Cs w:val="18"/>
      </w:rPr>
    </w:pPr>
    <w:r>
      <w:rPr>
        <w:rFonts w:hint="eastAsia"/>
        <w:szCs w:val="18"/>
      </w:rPr>
      <w:t>31</w: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29"/>
                  <w:spacing w:before="120" w:after="120"/>
                  <w:jc w:val="center"/>
                </w:pPr>
              </w:p>
            </w:txbxContent>
          </v:textbox>
        </v:shape>
      </w:pic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1"/>
        <w:szCs w:val="21"/>
      </w:rPr>
    </w:pPr>
    <w:r>
      <w:rPr>
        <w:rFonts w:hint="eastAsia"/>
        <w:sz w:val="21"/>
        <w:szCs w:val="21"/>
      </w:rPr>
      <w:t>31</w: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notBeside" w:vAnchor="text" w:hAnchor="page" w:x="5934" w:y="176"/>
      <w:pBdr>
        <w:bottom w:val="none" w:color="auto" w:sz="0" w:space="0"/>
      </w:pBdr>
      <w:rPr>
        <w:rStyle w:val="48"/>
      </w:rPr>
    </w:pPr>
  </w:p>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F0C51"/>
    <w:multiLevelType w:val="singleLevel"/>
    <w:tmpl w:val="BD8F0C51"/>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2FD5256"/>
    <w:multiLevelType w:val="multilevel"/>
    <w:tmpl w:val="02FD5256"/>
    <w:lvl w:ilvl="0" w:tentative="0">
      <w:start w:val="4"/>
      <w:numFmt w:val="japaneseCounting"/>
      <w:pStyle w:val="74"/>
      <w:lvlText w:val="第%1章"/>
      <w:lvlJc w:val="left"/>
      <w:pPr>
        <w:tabs>
          <w:tab w:val="left" w:pos="3750"/>
        </w:tabs>
        <w:ind w:left="3750" w:hanging="1770"/>
      </w:pPr>
      <w:rPr>
        <w:rFonts w:hint="eastAsia"/>
      </w:rPr>
    </w:lvl>
    <w:lvl w:ilvl="1" w:tentative="0">
      <w:start w:val="1"/>
      <w:numFmt w:val="lowerLetter"/>
      <w:lvlText w:val="%2)"/>
      <w:lvlJc w:val="left"/>
      <w:pPr>
        <w:tabs>
          <w:tab w:val="left" w:pos="2820"/>
        </w:tabs>
        <w:ind w:left="2820" w:hanging="420"/>
      </w:p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3">
    <w:nsid w:val="16810FFE"/>
    <w:multiLevelType w:val="multilevel"/>
    <w:tmpl w:val="16810FFE"/>
    <w:lvl w:ilvl="0" w:tentative="0">
      <w:start w:val="1"/>
      <w:numFmt w:val="japaneseCounting"/>
      <w:lvlText w:val="%1、"/>
      <w:lvlJc w:val="left"/>
      <w:pPr>
        <w:tabs>
          <w:tab w:val="left" w:pos="855"/>
        </w:tabs>
        <w:ind w:left="855" w:hanging="4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197F54F7"/>
    <w:multiLevelType w:val="multilevel"/>
    <w:tmpl w:val="197F54F7"/>
    <w:lvl w:ilvl="0" w:tentative="0">
      <w:start w:val="1"/>
      <w:numFmt w:val="decimal"/>
      <w:pStyle w:val="68"/>
      <w:lvlText w:val="（%1）"/>
      <w:lvlJc w:val="left"/>
      <w:pPr>
        <w:tabs>
          <w:tab w:val="left" w:pos="720"/>
        </w:tabs>
        <w:ind w:left="720" w:hanging="720"/>
      </w:pPr>
      <w:rPr>
        <w:rFonts w:hint="default"/>
        <w:u w:val="none"/>
      </w:rPr>
    </w:lvl>
    <w:lvl w:ilvl="1" w:tentative="0">
      <w:start w:val="1"/>
      <w:numFmt w:val="lowerLetter"/>
      <w:pStyle w:val="93"/>
      <w:lvlText w:val="%2)"/>
      <w:lvlJc w:val="left"/>
      <w:pPr>
        <w:tabs>
          <w:tab w:val="left" w:pos="840"/>
        </w:tabs>
        <w:ind w:left="840" w:hanging="420"/>
      </w:pPr>
    </w:lvl>
    <w:lvl w:ilvl="2" w:tentative="0">
      <w:start w:val="1"/>
      <w:numFmt w:val="lowerRoman"/>
      <w:pStyle w:val="8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2B364E5"/>
    <w:multiLevelType w:val="multilevel"/>
    <w:tmpl w:val="22B364E5"/>
    <w:lvl w:ilvl="0" w:tentative="0">
      <w:start w:val="1"/>
      <w:numFmt w:val="decimal"/>
      <w:lvlText w:val="（%1）"/>
      <w:lvlJc w:val="left"/>
      <w:pPr>
        <w:tabs>
          <w:tab w:val="left" w:pos="1287"/>
        </w:tabs>
        <w:ind w:left="1287"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72"/>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313C051E"/>
    <w:multiLevelType w:val="multilevel"/>
    <w:tmpl w:val="313C051E"/>
    <w:lvl w:ilvl="0" w:tentative="0">
      <w:start w:val="1"/>
      <w:numFmt w:val="none"/>
      <w:lvlText w:val="一、"/>
      <w:lvlJc w:val="left"/>
      <w:pPr>
        <w:tabs>
          <w:tab w:val="left" w:pos="735"/>
        </w:tabs>
        <w:ind w:left="735"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78"/>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38C5167F"/>
    <w:multiLevelType w:val="multilevel"/>
    <w:tmpl w:val="38C5167F"/>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60DF5F5"/>
    <w:multiLevelType w:val="singleLevel"/>
    <w:tmpl w:val="460DF5F5"/>
    <w:lvl w:ilvl="0" w:tentative="0">
      <w:start w:val="5"/>
      <w:numFmt w:val="chineseCounting"/>
      <w:suff w:val="space"/>
      <w:lvlText w:val="第%1章"/>
      <w:lvlJc w:val="left"/>
      <w:rPr>
        <w:rFonts w:hint="eastAsia"/>
      </w:rPr>
    </w:lvl>
  </w:abstractNum>
  <w:abstractNum w:abstractNumId="10">
    <w:nsid w:val="581C7AB4"/>
    <w:multiLevelType w:val="multilevel"/>
    <w:tmpl w:val="581C7AB4"/>
    <w:lvl w:ilvl="0" w:tentative="0">
      <w:start w:val="0"/>
      <w:numFmt w:val="none"/>
      <w:pStyle w:val="89"/>
      <w:lvlText w:val=""/>
      <w:lvlJc w:val="left"/>
      <w:pPr>
        <w:tabs>
          <w:tab w:val="left" w:pos="360"/>
        </w:tabs>
        <w:ind w:left="0" w:firstLine="0"/>
      </w:pPr>
    </w:lvl>
    <w:lvl w:ilvl="1" w:tentative="0">
      <w:start w:val="0"/>
      <w:numFmt w:val="none"/>
      <w:pStyle w:val="64"/>
      <w:lvlText w:val=""/>
      <w:lvlJc w:val="left"/>
      <w:pPr>
        <w:tabs>
          <w:tab w:val="left" w:pos="360"/>
        </w:tabs>
        <w:ind w:left="0" w:firstLine="0"/>
      </w:pPr>
    </w:lvl>
    <w:lvl w:ilvl="2" w:tentative="0">
      <w:start w:val="0"/>
      <w:numFmt w:val="none"/>
      <w:pStyle w:val="59"/>
      <w:lvlText w:val=""/>
      <w:lvlJc w:val="left"/>
      <w:pPr>
        <w:tabs>
          <w:tab w:val="left" w:pos="360"/>
        </w:tabs>
        <w:ind w:left="0" w:firstLine="0"/>
      </w:pPr>
    </w:lvl>
    <w:lvl w:ilvl="3" w:tentative="0">
      <w:start w:val="0"/>
      <w:numFmt w:val="none"/>
      <w:lvlText w:val=""/>
      <w:lvlJc w:val="left"/>
      <w:pPr>
        <w:tabs>
          <w:tab w:val="left" w:pos="360"/>
        </w:tabs>
        <w:ind w:left="0" w:firstLine="0"/>
      </w:pPr>
    </w:lvl>
    <w:lvl w:ilvl="4" w:tentative="0">
      <w:start w:val="0"/>
      <w:numFmt w:val="none"/>
      <w:lvlText w:val=""/>
      <w:lvlJc w:val="left"/>
      <w:pPr>
        <w:tabs>
          <w:tab w:val="left" w:pos="360"/>
        </w:tabs>
        <w:ind w:left="0" w:firstLine="0"/>
      </w:pPr>
    </w:lvl>
    <w:lvl w:ilvl="5" w:tentative="0">
      <w:start w:val="0"/>
      <w:numFmt w:val="none"/>
      <w:lvlText w:val=""/>
      <w:lvlJc w:val="left"/>
      <w:pPr>
        <w:tabs>
          <w:tab w:val="left" w:pos="360"/>
        </w:tabs>
        <w:ind w:left="0" w:firstLine="0"/>
      </w:p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0"/>
      <w:numFmt w:val="none"/>
      <w:lvlText w:val=""/>
      <w:lvlJc w:val="left"/>
      <w:pPr>
        <w:tabs>
          <w:tab w:val="left" w:pos="360"/>
        </w:tabs>
        <w:ind w:left="0" w:firstLine="0"/>
      </w:pPr>
    </w:lvl>
  </w:abstractNum>
  <w:abstractNum w:abstractNumId="11">
    <w:nsid w:val="58AA2F0D"/>
    <w:multiLevelType w:val="multilevel"/>
    <w:tmpl w:val="58AA2F0D"/>
    <w:lvl w:ilvl="0" w:tentative="0">
      <w:start w:val="1"/>
      <w:numFmt w:val="decimal"/>
      <w:pStyle w:val="90"/>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988056B"/>
    <w:multiLevelType w:val="singleLevel"/>
    <w:tmpl w:val="5988056B"/>
    <w:lvl w:ilvl="0" w:tentative="0">
      <w:start w:val="1"/>
      <w:numFmt w:val="decimal"/>
      <w:pStyle w:val="61"/>
      <w:lvlText w:val="%1."/>
      <w:lvlJc w:val="left"/>
      <w:pPr>
        <w:tabs>
          <w:tab w:val="left" w:pos="780"/>
        </w:tabs>
        <w:ind w:left="780" w:hanging="210"/>
      </w:pPr>
    </w:lvl>
  </w:abstractNum>
  <w:abstractNum w:abstractNumId="13">
    <w:nsid w:val="6B8BC33D"/>
    <w:multiLevelType w:val="singleLevel"/>
    <w:tmpl w:val="6B8BC33D"/>
    <w:lvl w:ilvl="0" w:tentative="0">
      <w:start w:val="6"/>
      <w:numFmt w:val="chineseCounting"/>
      <w:suff w:val="space"/>
      <w:lvlText w:val="%1、"/>
      <w:lvlJc w:val="left"/>
      <w:rPr>
        <w:rFonts w:hint="eastAsia"/>
      </w:rPr>
    </w:lvl>
  </w:abstractNum>
  <w:abstractNum w:abstractNumId="14">
    <w:nsid w:val="6E78379E"/>
    <w:multiLevelType w:val="multilevel"/>
    <w:tmpl w:val="6E78379E"/>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4"/>
  </w:num>
  <w:num w:numId="4">
    <w:abstractNumId w:val="6"/>
  </w:num>
  <w:num w:numId="5">
    <w:abstractNumId w:val="2"/>
  </w:num>
  <w:num w:numId="6">
    <w:abstractNumId w:val="7"/>
  </w:num>
  <w:num w:numId="7">
    <w:abstractNumId w:val="11"/>
  </w:num>
  <w:num w:numId="8">
    <w:abstractNumId w:val="8"/>
  </w:num>
  <w:num w:numId="9">
    <w:abstractNumId w:val="0"/>
  </w:num>
  <w:num w:numId="10">
    <w:abstractNumId w:val="14"/>
  </w:num>
  <w:num w:numId="11">
    <w:abstractNumId w:val="1"/>
  </w:num>
  <w:num w:numId="12">
    <w:abstractNumId w:val="9"/>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33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11952"/>
    <w:rsid w:val="00000DA8"/>
    <w:rsid w:val="00002BC1"/>
    <w:rsid w:val="00003F7D"/>
    <w:rsid w:val="00004070"/>
    <w:rsid w:val="000042EE"/>
    <w:rsid w:val="0000558E"/>
    <w:rsid w:val="000067AC"/>
    <w:rsid w:val="00006DE6"/>
    <w:rsid w:val="00006F5A"/>
    <w:rsid w:val="00007E1A"/>
    <w:rsid w:val="00010CFF"/>
    <w:rsid w:val="00011CCC"/>
    <w:rsid w:val="00011E1E"/>
    <w:rsid w:val="00012414"/>
    <w:rsid w:val="00012C65"/>
    <w:rsid w:val="00012F63"/>
    <w:rsid w:val="00013618"/>
    <w:rsid w:val="00015129"/>
    <w:rsid w:val="00015B3F"/>
    <w:rsid w:val="00015BF2"/>
    <w:rsid w:val="00016BE1"/>
    <w:rsid w:val="00017625"/>
    <w:rsid w:val="000200FF"/>
    <w:rsid w:val="000202CC"/>
    <w:rsid w:val="00020941"/>
    <w:rsid w:val="00020E83"/>
    <w:rsid w:val="0002176F"/>
    <w:rsid w:val="0002230D"/>
    <w:rsid w:val="000225B3"/>
    <w:rsid w:val="0002342C"/>
    <w:rsid w:val="00023635"/>
    <w:rsid w:val="00024BA5"/>
    <w:rsid w:val="00025190"/>
    <w:rsid w:val="00027037"/>
    <w:rsid w:val="00027EA8"/>
    <w:rsid w:val="00030877"/>
    <w:rsid w:val="00031159"/>
    <w:rsid w:val="00031E51"/>
    <w:rsid w:val="0003245E"/>
    <w:rsid w:val="000335C4"/>
    <w:rsid w:val="000345C7"/>
    <w:rsid w:val="0003559E"/>
    <w:rsid w:val="00035A27"/>
    <w:rsid w:val="00035E12"/>
    <w:rsid w:val="00036F7D"/>
    <w:rsid w:val="00037DDE"/>
    <w:rsid w:val="00040120"/>
    <w:rsid w:val="00042C38"/>
    <w:rsid w:val="00043008"/>
    <w:rsid w:val="0004335E"/>
    <w:rsid w:val="00043E8D"/>
    <w:rsid w:val="00045403"/>
    <w:rsid w:val="000470C6"/>
    <w:rsid w:val="00047448"/>
    <w:rsid w:val="00050774"/>
    <w:rsid w:val="00051B5D"/>
    <w:rsid w:val="00051B99"/>
    <w:rsid w:val="00052370"/>
    <w:rsid w:val="00054FE8"/>
    <w:rsid w:val="00055A1A"/>
    <w:rsid w:val="00055A50"/>
    <w:rsid w:val="00055E47"/>
    <w:rsid w:val="000568D2"/>
    <w:rsid w:val="000573DB"/>
    <w:rsid w:val="0006014E"/>
    <w:rsid w:val="00060243"/>
    <w:rsid w:val="000619AC"/>
    <w:rsid w:val="000623B9"/>
    <w:rsid w:val="00062508"/>
    <w:rsid w:val="00063185"/>
    <w:rsid w:val="00063ADB"/>
    <w:rsid w:val="00063B02"/>
    <w:rsid w:val="00063D26"/>
    <w:rsid w:val="0006671E"/>
    <w:rsid w:val="0006676F"/>
    <w:rsid w:val="000669E3"/>
    <w:rsid w:val="00067F3C"/>
    <w:rsid w:val="000718B8"/>
    <w:rsid w:val="00071B06"/>
    <w:rsid w:val="00072124"/>
    <w:rsid w:val="0007293E"/>
    <w:rsid w:val="00072C44"/>
    <w:rsid w:val="000739E8"/>
    <w:rsid w:val="0007478F"/>
    <w:rsid w:val="000763A1"/>
    <w:rsid w:val="000768B6"/>
    <w:rsid w:val="00076BEC"/>
    <w:rsid w:val="000778B6"/>
    <w:rsid w:val="00080484"/>
    <w:rsid w:val="00080A58"/>
    <w:rsid w:val="00080DE0"/>
    <w:rsid w:val="00081AC4"/>
    <w:rsid w:val="00084BFC"/>
    <w:rsid w:val="000862DB"/>
    <w:rsid w:val="000872C2"/>
    <w:rsid w:val="00090AD2"/>
    <w:rsid w:val="000911AE"/>
    <w:rsid w:val="0009186D"/>
    <w:rsid w:val="00091CA7"/>
    <w:rsid w:val="0009387D"/>
    <w:rsid w:val="00093C53"/>
    <w:rsid w:val="00094528"/>
    <w:rsid w:val="00094E07"/>
    <w:rsid w:val="00094FCC"/>
    <w:rsid w:val="00096A95"/>
    <w:rsid w:val="000A05D1"/>
    <w:rsid w:val="000A13F1"/>
    <w:rsid w:val="000A2338"/>
    <w:rsid w:val="000A2C17"/>
    <w:rsid w:val="000A2EF9"/>
    <w:rsid w:val="000A436D"/>
    <w:rsid w:val="000A4509"/>
    <w:rsid w:val="000A4CEF"/>
    <w:rsid w:val="000A5C0C"/>
    <w:rsid w:val="000A5D43"/>
    <w:rsid w:val="000A5F66"/>
    <w:rsid w:val="000A6889"/>
    <w:rsid w:val="000A6E5E"/>
    <w:rsid w:val="000B103E"/>
    <w:rsid w:val="000B1736"/>
    <w:rsid w:val="000B2A76"/>
    <w:rsid w:val="000B2F39"/>
    <w:rsid w:val="000B31AF"/>
    <w:rsid w:val="000B3E46"/>
    <w:rsid w:val="000B5D14"/>
    <w:rsid w:val="000B6374"/>
    <w:rsid w:val="000B78A7"/>
    <w:rsid w:val="000B7C96"/>
    <w:rsid w:val="000B7F67"/>
    <w:rsid w:val="000C0012"/>
    <w:rsid w:val="000C0D73"/>
    <w:rsid w:val="000C11A2"/>
    <w:rsid w:val="000C1C1B"/>
    <w:rsid w:val="000C2D8C"/>
    <w:rsid w:val="000C3432"/>
    <w:rsid w:val="000C3554"/>
    <w:rsid w:val="000C43A1"/>
    <w:rsid w:val="000C5471"/>
    <w:rsid w:val="000C5FA5"/>
    <w:rsid w:val="000C6739"/>
    <w:rsid w:val="000D0DA2"/>
    <w:rsid w:val="000D10F1"/>
    <w:rsid w:val="000D1128"/>
    <w:rsid w:val="000D138D"/>
    <w:rsid w:val="000D18D3"/>
    <w:rsid w:val="000D262F"/>
    <w:rsid w:val="000D2B33"/>
    <w:rsid w:val="000D3DA3"/>
    <w:rsid w:val="000D51F3"/>
    <w:rsid w:val="000D59B7"/>
    <w:rsid w:val="000D5C8C"/>
    <w:rsid w:val="000D5FF6"/>
    <w:rsid w:val="000D61AF"/>
    <w:rsid w:val="000D6212"/>
    <w:rsid w:val="000D6E4C"/>
    <w:rsid w:val="000D6ED5"/>
    <w:rsid w:val="000D7E67"/>
    <w:rsid w:val="000E0E74"/>
    <w:rsid w:val="000E0F7C"/>
    <w:rsid w:val="000E1B8C"/>
    <w:rsid w:val="000E1C38"/>
    <w:rsid w:val="000E2D64"/>
    <w:rsid w:val="000E3C55"/>
    <w:rsid w:val="000E4D10"/>
    <w:rsid w:val="000E5032"/>
    <w:rsid w:val="000E5555"/>
    <w:rsid w:val="000E59ED"/>
    <w:rsid w:val="000E6C71"/>
    <w:rsid w:val="000E7D0A"/>
    <w:rsid w:val="000E7E74"/>
    <w:rsid w:val="000F00AD"/>
    <w:rsid w:val="000F119C"/>
    <w:rsid w:val="000F1847"/>
    <w:rsid w:val="000F3F14"/>
    <w:rsid w:val="000F4019"/>
    <w:rsid w:val="000F437A"/>
    <w:rsid w:val="000F4D3B"/>
    <w:rsid w:val="000F556A"/>
    <w:rsid w:val="000F5BD2"/>
    <w:rsid w:val="000F5CA7"/>
    <w:rsid w:val="000F6D1A"/>
    <w:rsid w:val="000F756B"/>
    <w:rsid w:val="001002F4"/>
    <w:rsid w:val="00100FB5"/>
    <w:rsid w:val="001010D8"/>
    <w:rsid w:val="001039E6"/>
    <w:rsid w:val="001045FA"/>
    <w:rsid w:val="00104BCB"/>
    <w:rsid w:val="001059E7"/>
    <w:rsid w:val="0010623D"/>
    <w:rsid w:val="001066BE"/>
    <w:rsid w:val="00107810"/>
    <w:rsid w:val="001102E0"/>
    <w:rsid w:val="001127EF"/>
    <w:rsid w:val="00113532"/>
    <w:rsid w:val="00113872"/>
    <w:rsid w:val="0011396D"/>
    <w:rsid w:val="00113D59"/>
    <w:rsid w:val="00113E8B"/>
    <w:rsid w:val="00115698"/>
    <w:rsid w:val="00115AC8"/>
    <w:rsid w:val="001163C2"/>
    <w:rsid w:val="0011690C"/>
    <w:rsid w:val="00116C4F"/>
    <w:rsid w:val="0012039A"/>
    <w:rsid w:val="001214C2"/>
    <w:rsid w:val="0012201D"/>
    <w:rsid w:val="00122B4C"/>
    <w:rsid w:val="00122D1D"/>
    <w:rsid w:val="00122F3B"/>
    <w:rsid w:val="001244D0"/>
    <w:rsid w:val="00125AB8"/>
    <w:rsid w:val="00126258"/>
    <w:rsid w:val="001269DB"/>
    <w:rsid w:val="00126A93"/>
    <w:rsid w:val="00126FBF"/>
    <w:rsid w:val="00127259"/>
    <w:rsid w:val="00127577"/>
    <w:rsid w:val="0013042C"/>
    <w:rsid w:val="00130CEC"/>
    <w:rsid w:val="00131587"/>
    <w:rsid w:val="00131F57"/>
    <w:rsid w:val="001320CA"/>
    <w:rsid w:val="00132412"/>
    <w:rsid w:val="00133DAD"/>
    <w:rsid w:val="001343FB"/>
    <w:rsid w:val="001348FC"/>
    <w:rsid w:val="001355B2"/>
    <w:rsid w:val="001360C5"/>
    <w:rsid w:val="00136324"/>
    <w:rsid w:val="001370C5"/>
    <w:rsid w:val="00137536"/>
    <w:rsid w:val="00140928"/>
    <w:rsid w:val="00140D97"/>
    <w:rsid w:val="00141968"/>
    <w:rsid w:val="00142386"/>
    <w:rsid w:val="00142C07"/>
    <w:rsid w:val="001434C6"/>
    <w:rsid w:val="00143AA6"/>
    <w:rsid w:val="00145544"/>
    <w:rsid w:val="001460CA"/>
    <w:rsid w:val="00146972"/>
    <w:rsid w:val="001477C2"/>
    <w:rsid w:val="00147AAA"/>
    <w:rsid w:val="00150AFD"/>
    <w:rsid w:val="00151195"/>
    <w:rsid w:val="00151353"/>
    <w:rsid w:val="0015232B"/>
    <w:rsid w:val="00152817"/>
    <w:rsid w:val="00153633"/>
    <w:rsid w:val="00154966"/>
    <w:rsid w:val="001565C6"/>
    <w:rsid w:val="00157E0E"/>
    <w:rsid w:val="00160DA7"/>
    <w:rsid w:val="001610A9"/>
    <w:rsid w:val="001622B7"/>
    <w:rsid w:val="001636DC"/>
    <w:rsid w:val="00165025"/>
    <w:rsid w:val="00165C65"/>
    <w:rsid w:val="00166C6D"/>
    <w:rsid w:val="001674B2"/>
    <w:rsid w:val="00167CE9"/>
    <w:rsid w:val="001702C0"/>
    <w:rsid w:val="00170488"/>
    <w:rsid w:val="00170B2A"/>
    <w:rsid w:val="00171496"/>
    <w:rsid w:val="00172836"/>
    <w:rsid w:val="001728AE"/>
    <w:rsid w:val="00172BB8"/>
    <w:rsid w:val="0017371E"/>
    <w:rsid w:val="00174174"/>
    <w:rsid w:val="00174791"/>
    <w:rsid w:val="00174857"/>
    <w:rsid w:val="00176431"/>
    <w:rsid w:val="00176B1A"/>
    <w:rsid w:val="00180184"/>
    <w:rsid w:val="00180DB0"/>
    <w:rsid w:val="00181188"/>
    <w:rsid w:val="00182483"/>
    <w:rsid w:val="001827C1"/>
    <w:rsid w:val="00183885"/>
    <w:rsid w:val="00184469"/>
    <w:rsid w:val="00185000"/>
    <w:rsid w:val="001857A9"/>
    <w:rsid w:val="00186236"/>
    <w:rsid w:val="00186466"/>
    <w:rsid w:val="0018672B"/>
    <w:rsid w:val="00187103"/>
    <w:rsid w:val="001903D1"/>
    <w:rsid w:val="00190632"/>
    <w:rsid w:val="00191CA3"/>
    <w:rsid w:val="00194B12"/>
    <w:rsid w:val="001958E4"/>
    <w:rsid w:val="00197861"/>
    <w:rsid w:val="001A1462"/>
    <w:rsid w:val="001A2693"/>
    <w:rsid w:val="001A2FE7"/>
    <w:rsid w:val="001A3D74"/>
    <w:rsid w:val="001A3DA8"/>
    <w:rsid w:val="001A4F25"/>
    <w:rsid w:val="001A54B7"/>
    <w:rsid w:val="001A5B15"/>
    <w:rsid w:val="001A65A2"/>
    <w:rsid w:val="001A6A14"/>
    <w:rsid w:val="001A7599"/>
    <w:rsid w:val="001B0718"/>
    <w:rsid w:val="001B0C3D"/>
    <w:rsid w:val="001B295B"/>
    <w:rsid w:val="001B2E70"/>
    <w:rsid w:val="001B4069"/>
    <w:rsid w:val="001B57A9"/>
    <w:rsid w:val="001B659D"/>
    <w:rsid w:val="001B6D38"/>
    <w:rsid w:val="001B6D93"/>
    <w:rsid w:val="001B7DCC"/>
    <w:rsid w:val="001C0C5B"/>
    <w:rsid w:val="001C1349"/>
    <w:rsid w:val="001C1506"/>
    <w:rsid w:val="001C2455"/>
    <w:rsid w:val="001C246B"/>
    <w:rsid w:val="001C246F"/>
    <w:rsid w:val="001C2F5A"/>
    <w:rsid w:val="001C3061"/>
    <w:rsid w:val="001C47B6"/>
    <w:rsid w:val="001C6642"/>
    <w:rsid w:val="001D03E2"/>
    <w:rsid w:val="001D04A1"/>
    <w:rsid w:val="001D0755"/>
    <w:rsid w:val="001D0E69"/>
    <w:rsid w:val="001D14CA"/>
    <w:rsid w:val="001D1719"/>
    <w:rsid w:val="001D17E8"/>
    <w:rsid w:val="001D2DCA"/>
    <w:rsid w:val="001D42AE"/>
    <w:rsid w:val="001D4BA2"/>
    <w:rsid w:val="001D513E"/>
    <w:rsid w:val="001D5AF6"/>
    <w:rsid w:val="001D6301"/>
    <w:rsid w:val="001D635B"/>
    <w:rsid w:val="001D6F66"/>
    <w:rsid w:val="001E0694"/>
    <w:rsid w:val="001E1F68"/>
    <w:rsid w:val="001E33E4"/>
    <w:rsid w:val="001E5852"/>
    <w:rsid w:val="001E58CC"/>
    <w:rsid w:val="001F0C1A"/>
    <w:rsid w:val="001F0FAD"/>
    <w:rsid w:val="001F3DED"/>
    <w:rsid w:val="001F3EC8"/>
    <w:rsid w:val="001F470D"/>
    <w:rsid w:val="001F51BD"/>
    <w:rsid w:val="001F57EE"/>
    <w:rsid w:val="001F5EDB"/>
    <w:rsid w:val="001F6C45"/>
    <w:rsid w:val="00200B39"/>
    <w:rsid w:val="00200D62"/>
    <w:rsid w:val="00200F8D"/>
    <w:rsid w:val="0020197F"/>
    <w:rsid w:val="002022C5"/>
    <w:rsid w:val="00202A4A"/>
    <w:rsid w:val="00202B95"/>
    <w:rsid w:val="00202D52"/>
    <w:rsid w:val="00202F87"/>
    <w:rsid w:val="00203003"/>
    <w:rsid w:val="00203E2E"/>
    <w:rsid w:val="00205B87"/>
    <w:rsid w:val="0020628D"/>
    <w:rsid w:val="0020737E"/>
    <w:rsid w:val="00207CDC"/>
    <w:rsid w:val="00210DF2"/>
    <w:rsid w:val="002111C6"/>
    <w:rsid w:val="002123B3"/>
    <w:rsid w:val="002124A2"/>
    <w:rsid w:val="002126EB"/>
    <w:rsid w:val="002128E5"/>
    <w:rsid w:val="00212F0D"/>
    <w:rsid w:val="00212F18"/>
    <w:rsid w:val="0021524E"/>
    <w:rsid w:val="0021532C"/>
    <w:rsid w:val="0021545E"/>
    <w:rsid w:val="00222190"/>
    <w:rsid w:val="002230D1"/>
    <w:rsid w:val="0022490A"/>
    <w:rsid w:val="00224987"/>
    <w:rsid w:val="00224D66"/>
    <w:rsid w:val="00225371"/>
    <w:rsid w:val="00225DAB"/>
    <w:rsid w:val="00225E92"/>
    <w:rsid w:val="00226024"/>
    <w:rsid w:val="00226080"/>
    <w:rsid w:val="00226413"/>
    <w:rsid w:val="00226F15"/>
    <w:rsid w:val="00230F58"/>
    <w:rsid w:val="00231981"/>
    <w:rsid w:val="00231990"/>
    <w:rsid w:val="00231D1F"/>
    <w:rsid w:val="00233617"/>
    <w:rsid w:val="00233622"/>
    <w:rsid w:val="002349C6"/>
    <w:rsid w:val="00235C59"/>
    <w:rsid w:val="00236D46"/>
    <w:rsid w:val="002371B3"/>
    <w:rsid w:val="0023750D"/>
    <w:rsid w:val="00241638"/>
    <w:rsid w:val="002419B8"/>
    <w:rsid w:val="00241BCD"/>
    <w:rsid w:val="00241C2D"/>
    <w:rsid w:val="0024249F"/>
    <w:rsid w:val="00243827"/>
    <w:rsid w:val="00243C26"/>
    <w:rsid w:val="00243CC5"/>
    <w:rsid w:val="00244099"/>
    <w:rsid w:val="00244A87"/>
    <w:rsid w:val="00245846"/>
    <w:rsid w:val="0024679E"/>
    <w:rsid w:val="00246C24"/>
    <w:rsid w:val="002478E2"/>
    <w:rsid w:val="0025013D"/>
    <w:rsid w:val="00250498"/>
    <w:rsid w:val="002508ED"/>
    <w:rsid w:val="00251122"/>
    <w:rsid w:val="002512EA"/>
    <w:rsid w:val="0025166F"/>
    <w:rsid w:val="00252EA1"/>
    <w:rsid w:val="00253381"/>
    <w:rsid w:val="0025353B"/>
    <w:rsid w:val="00253894"/>
    <w:rsid w:val="00253CF3"/>
    <w:rsid w:val="00254714"/>
    <w:rsid w:val="002549A9"/>
    <w:rsid w:val="002554D4"/>
    <w:rsid w:val="002559D5"/>
    <w:rsid w:val="0025699A"/>
    <w:rsid w:val="00256BE6"/>
    <w:rsid w:val="002572FA"/>
    <w:rsid w:val="002616C5"/>
    <w:rsid w:val="00261AE0"/>
    <w:rsid w:val="002622BB"/>
    <w:rsid w:val="0026252E"/>
    <w:rsid w:val="00262A34"/>
    <w:rsid w:val="00262BAD"/>
    <w:rsid w:val="0026339F"/>
    <w:rsid w:val="00263481"/>
    <w:rsid w:val="0026419B"/>
    <w:rsid w:val="002641A5"/>
    <w:rsid w:val="0026510C"/>
    <w:rsid w:val="00267719"/>
    <w:rsid w:val="00267974"/>
    <w:rsid w:val="0026799C"/>
    <w:rsid w:val="0027033B"/>
    <w:rsid w:val="00270425"/>
    <w:rsid w:val="00270AC5"/>
    <w:rsid w:val="002717A8"/>
    <w:rsid w:val="00273119"/>
    <w:rsid w:val="00273144"/>
    <w:rsid w:val="00273422"/>
    <w:rsid w:val="00274F75"/>
    <w:rsid w:val="002752DB"/>
    <w:rsid w:val="00275573"/>
    <w:rsid w:val="0027624B"/>
    <w:rsid w:val="00276BBE"/>
    <w:rsid w:val="00277968"/>
    <w:rsid w:val="00277E72"/>
    <w:rsid w:val="002813D3"/>
    <w:rsid w:val="00281BFE"/>
    <w:rsid w:val="002827F1"/>
    <w:rsid w:val="00283D06"/>
    <w:rsid w:val="00284CF8"/>
    <w:rsid w:val="0028693B"/>
    <w:rsid w:val="00286A93"/>
    <w:rsid w:val="00287A5B"/>
    <w:rsid w:val="00287C91"/>
    <w:rsid w:val="00290C3D"/>
    <w:rsid w:val="00291E57"/>
    <w:rsid w:val="0029207F"/>
    <w:rsid w:val="00292780"/>
    <w:rsid w:val="002934D1"/>
    <w:rsid w:val="00294319"/>
    <w:rsid w:val="002943CC"/>
    <w:rsid w:val="00294C82"/>
    <w:rsid w:val="00294FB9"/>
    <w:rsid w:val="0029511B"/>
    <w:rsid w:val="002A0058"/>
    <w:rsid w:val="002A07EF"/>
    <w:rsid w:val="002A0B61"/>
    <w:rsid w:val="002A0C07"/>
    <w:rsid w:val="002A1304"/>
    <w:rsid w:val="002A15E4"/>
    <w:rsid w:val="002A1C1A"/>
    <w:rsid w:val="002A30E0"/>
    <w:rsid w:val="002A3FDB"/>
    <w:rsid w:val="002A4A6C"/>
    <w:rsid w:val="002A5157"/>
    <w:rsid w:val="002A648C"/>
    <w:rsid w:val="002A6724"/>
    <w:rsid w:val="002A79D0"/>
    <w:rsid w:val="002A7E50"/>
    <w:rsid w:val="002B035E"/>
    <w:rsid w:val="002B06ED"/>
    <w:rsid w:val="002B15AF"/>
    <w:rsid w:val="002B2145"/>
    <w:rsid w:val="002B26B2"/>
    <w:rsid w:val="002B3419"/>
    <w:rsid w:val="002B34F1"/>
    <w:rsid w:val="002B44A3"/>
    <w:rsid w:val="002B467F"/>
    <w:rsid w:val="002B5C33"/>
    <w:rsid w:val="002B61AE"/>
    <w:rsid w:val="002B6557"/>
    <w:rsid w:val="002B6A2A"/>
    <w:rsid w:val="002B6AC6"/>
    <w:rsid w:val="002B6B5C"/>
    <w:rsid w:val="002B7B92"/>
    <w:rsid w:val="002B7FEE"/>
    <w:rsid w:val="002C0C06"/>
    <w:rsid w:val="002C0F91"/>
    <w:rsid w:val="002C1393"/>
    <w:rsid w:val="002C294A"/>
    <w:rsid w:val="002C2C79"/>
    <w:rsid w:val="002C362D"/>
    <w:rsid w:val="002C3EF9"/>
    <w:rsid w:val="002C497B"/>
    <w:rsid w:val="002C4A25"/>
    <w:rsid w:val="002C51BA"/>
    <w:rsid w:val="002C69E9"/>
    <w:rsid w:val="002C7DE7"/>
    <w:rsid w:val="002D0087"/>
    <w:rsid w:val="002D172F"/>
    <w:rsid w:val="002D2383"/>
    <w:rsid w:val="002D2427"/>
    <w:rsid w:val="002D2BC1"/>
    <w:rsid w:val="002D3DA3"/>
    <w:rsid w:val="002D50FC"/>
    <w:rsid w:val="002E0C58"/>
    <w:rsid w:val="002E0EBA"/>
    <w:rsid w:val="002E0F30"/>
    <w:rsid w:val="002E1A3B"/>
    <w:rsid w:val="002E429D"/>
    <w:rsid w:val="002E4D04"/>
    <w:rsid w:val="002E59FE"/>
    <w:rsid w:val="002E725D"/>
    <w:rsid w:val="002E77A3"/>
    <w:rsid w:val="002E7E03"/>
    <w:rsid w:val="002F31DB"/>
    <w:rsid w:val="002F49B0"/>
    <w:rsid w:val="002F4D86"/>
    <w:rsid w:val="003005CB"/>
    <w:rsid w:val="0030060B"/>
    <w:rsid w:val="00301102"/>
    <w:rsid w:val="00302A8B"/>
    <w:rsid w:val="003042ED"/>
    <w:rsid w:val="00304387"/>
    <w:rsid w:val="00304CA0"/>
    <w:rsid w:val="00305322"/>
    <w:rsid w:val="00305AC2"/>
    <w:rsid w:val="00305CC6"/>
    <w:rsid w:val="00305D05"/>
    <w:rsid w:val="00305EE8"/>
    <w:rsid w:val="00307564"/>
    <w:rsid w:val="003075C7"/>
    <w:rsid w:val="003122BE"/>
    <w:rsid w:val="00313781"/>
    <w:rsid w:val="003138AA"/>
    <w:rsid w:val="00315181"/>
    <w:rsid w:val="00315B28"/>
    <w:rsid w:val="003168CF"/>
    <w:rsid w:val="003170D9"/>
    <w:rsid w:val="0031737D"/>
    <w:rsid w:val="003173A1"/>
    <w:rsid w:val="00317B22"/>
    <w:rsid w:val="00317F80"/>
    <w:rsid w:val="00322344"/>
    <w:rsid w:val="00322CC4"/>
    <w:rsid w:val="003232C8"/>
    <w:rsid w:val="00323A9E"/>
    <w:rsid w:val="0032424C"/>
    <w:rsid w:val="00327489"/>
    <w:rsid w:val="003277FE"/>
    <w:rsid w:val="00327C89"/>
    <w:rsid w:val="00327DC8"/>
    <w:rsid w:val="00333910"/>
    <w:rsid w:val="00333A55"/>
    <w:rsid w:val="003342EC"/>
    <w:rsid w:val="003345E5"/>
    <w:rsid w:val="00334652"/>
    <w:rsid w:val="00335C5C"/>
    <w:rsid w:val="00335DCE"/>
    <w:rsid w:val="00336B3C"/>
    <w:rsid w:val="00340027"/>
    <w:rsid w:val="00340297"/>
    <w:rsid w:val="0034037C"/>
    <w:rsid w:val="00340A38"/>
    <w:rsid w:val="00341913"/>
    <w:rsid w:val="00341FD6"/>
    <w:rsid w:val="003436BF"/>
    <w:rsid w:val="0034492C"/>
    <w:rsid w:val="00345F97"/>
    <w:rsid w:val="00346243"/>
    <w:rsid w:val="0035078C"/>
    <w:rsid w:val="00350DC2"/>
    <w:rsid w:val="00350FEF"/>
    <w:rsid w:val="003510F4"/>
    <w:rsid w:val="0035133A"/>
    <w:rsid w:val="0035422F"/>
    <w:rsid w:val="003548CE"/>
    <w:rsid w:val="00354D70"/>
    <w:rsid w:val="003553D6"/>
    <w:rsid w:val="003557C7"/>
    <w:rsid w:val="003574CD"/>
    <w:rsid w:val="00357E41"/>
    <w:rsid w:val="0036091C"/>
    <w:rsid w:val="00362117"/>
    <w:rsid w:val="00364833"/>
    <w:rsid w:val="00365D59"/>
    <w:rsid w:val="0037040E"/>
    <w:rsid w:val="00370763"/>
    <w:rsid w:val="0037203B"/>
    <w:rsid w:val="003733D0"/>
    <w:rsid w:val="00373AE7"/>
    <w:rsid w:val="00373F2C"/>
    <w:rsid w:val="0037427F"/>
    <w:rsid w:val="00376309"/>
    <w:rsid w:val="00376ABE"/>
    <w:rsid w:val="00376DF8"/>
    <w:rsid w:val="00377060"/>
    <w:rsid w:val="00377114"/>
    <w:rsid w:val="00381D10"/>
    <w:rsid w:val="00382AFC"/>
    <w:rsid w:val="00383396"/>
    <w:rsid w:val="003839E2"/>
    <w:rsid w:val="00384ACD"/>
    <w:rsid w:val="00384D51"/>
    <w:rsid w:val="0038502F"/>
    <w:rsid w:val="00385560"/>
    <w:rsid w:val="00385F96"/>
    <w:rsid w:val="00387028"/>
    <w:rsid w:val="00391774"/>
    <w:rsid w:val="00391E73"/>
    <w:rsid w:val="003922E8"/>
    <w:rsid w:val="00392B37"/>
    <w:rsid w:val="00392F1E"/>
    <w:rsid w:val="0039347E"/>
    <w:rsid w:val="00393BE2"/>
    <w:rsid w:val="003946C5"/>
    <w:rsid w:val="003A0BC8"/>
    <w:rsid w:val="003A0EB3"/>
    <w:rsid w:val="003A1A1F"/>
    <w:rsid w:val="003A2F24"/>
    <w:rsid w:val="003A4C5A"/>
    <w:rsid w:val="003A4F40"/>
    <w:rsid w:val="003A69DB"/>
    <w:rsid w:val="003A71D6"/>
    <w:rsid w:val="003A7952"/>
    <w:rsid w:val="003A7E43"/>
    <w:rsid w:val="003B0E5A"/>
    <w:rsid w:val="003B11D6"/>
    <w:rsid w:val="003B1AD0"/>
    <w:rsid w:val="003B1DE9"/>
    <w:rsid w:val="003B2185"/>
    <w:rsid w:val="003B230A"/>
    <w:rsid w:val="003B2E6F"/>
    <w:rsid w:val="003B3C3B"/>
    <w:rsid w:val="003B3DB9"/>
    <w:rsid w:val="003B5B0C"/>
    <w:rsid w:val="003C0368"/>
    <w:rsid w:val="003C08FD"/>
    <w:rsid w:val="003C0BFA"/>
    <w:rsid w:val="003C192F"/>
    <w:rsid w:val="003C2EF0"/>
    <w:rsid w:val="003C443F"/>
    <w:rsid w:val="003C4A78"/>
    <w:rsid w:val="003C4DDE"/>
    <w:rsid w:val="003C59F1"/>
    <w:rsid w:val="003C754A"/>
    <w:rsid w:val="003D14FE"/>
    <w:rsid w:val="003D2886"/>
    <w:rsid w:val="003D35AA"/>
    <w:rsid w:val="003D457A"/>
    <w:rsid w:val="003D4FFB"/>
    <w:rsid w:val="003D50E3"/>
    <w:rsid w:val="003D54B9"/>
    <w:rsid w:val="003D566B"/>
    <w:rsid w:val="003D5AEC"/>
    <w:rsid w:val="003D6742"/>
    <w:rsid w:val="003D6FB5"/>
    <w:rsid w:val="003E00B6"/>
    <w:rsid w:val="003E0B72"/>
    <w:rsid w:val="003E1953"/>
    <w:rsid w:val="003E3C3D"/>
    <w:rsid w:val="003E780D"/>
    <w:rsid w:val="003E79DA"/>
    <w:rsid w:val="003E7EA6"/>
    <w:rsid w:val="003F02A1"/>
    <w:rsid w:val="003F0312"/>
    <w:rsid w:val="003F1A4C"/>
    <w:rsid w:val="003F24E6"/>
    <w:rsid w:val="003F3D2E"/>
    <w:rsid w:val="003F42FF"/>
    <w:rsid w:val="003F43C9"/>
    <w:rsid w:val="003F4AAC"/>
    <w:rsid w:val="003F595B"/>
    <w:rsid w:val="003F7386"/>
    <w:rsid w:val="003F740E"/>
    <w:rsid w:val="004000B7"/>
    <w:rsid w:val="00400757"/>
    <w:rsid w:val="00400818"/>
    <w:rsid w:val="0040133C"/>
    <w:rsid w:val="004018B8"/>
    <w:rsid w:val="004023A4"/>
    <w:rsid w:val="00403EAA"/>
    <w:rsid w:val="004044A1"/>
    <w:rsid w:val="00404C15"/>
    <w:rsid w:val="004055BB"/>
    <w:rsid w:val="004068A5"/>
    <w:rsid w:val="00406F7B"/>
    <w:rsid w:val="00406F7E"/>
    <w:rsid w:val="00407298"/>
    <w:rsid w:val="004106A1"/>
    <w:rsid w:val="00410847"/>
    <w:rsid w:val="00411952"/>
    <w:rsid w:val="0041283F"/>
    <w:rsid w:val="00412BF7"/>
    <w:rsid w:val="00414D0B"/>
    <w:rsid w:val="004150E2"/>
    <w:rsid w:val="00417743"/>
    <w:rsid w:val="00417D03"/>
    <w:rsid w:val="004208B6"/>
    <w:rsid w:val="00420E11"/>
    <w:rsid w:val="004221CD"/>
    <w:rsid w:val="004251BA"/>
    <w:rsid w:val="00425796"/>
    <w:rsid w:val="0042617B"/>
    <w:rsid w:val="00426C91"/>
    <w:rsid w:val="00426FF2"/>
    <w:rsid w:val="00427265"/>
    <w:rsid w:val="0042763E"/>
    <w:rsid w:val="00430269"/>
    <w:rsid w:val="00430B1C"/>
    <w:rsid w:val="00431187"/>
    <w:rsid w:val="00432A32"/>
    <w:rsid w:val="0043363B"/>
    <w:rsid w:val="004345DB"/>
    <w:rsid w:val="004349AA"/>
    <w:rsid w:val="00434E36"/>
    <w:rsid w:val="00435059"/>
    <w:rsid w:val="00437329"/>
    <w:rsid w:val="004413CB"/>
    <w:rsid w:val="00441B6E"/>
    <w:rsid w:val="00441EF3"/>
    <w:rsid w:val="004422A4"/>
    <w:rsid w:val="00444536"/>
    <w:rsid w:val="00444935"/>
    <w:rsid w:val="00445ED4"/>
    <w:rsid w:val="0044666B"/>
    <w:rsid w:val="004469EC"/>
    <w:rsid w:val="00446ECA"/>
    <w:rsid w:val="00450063"/>
    <w:rsid w:val="0045081E"/>
    <w:rsid w:val="00451710"/>
    <w:rsid w:val="004520CB"/>
    <w:rsid w:val="00452D99"/>
    <w:rsid w:val="00453FF2"/>
    <w:rsid w:val="00454DDD"/>
    <w:rsid w:val="00455231"/>
    <w:rsid w:val="0045525F"/>
    <w:rsid w:val="00455EE4"/>
    <w:rsid w:val="00460074"/>
    <w:rsid w:val="00460983"/>
    <w:rsid w:val="00461FF0"/>
    <w:rsid w:val="00463FE6"/>
    <w:rsid w:val="00464947"/>
    <w:rsid w:val="00465462"/>
    <w:rsid w:val="00466A22"/>
    <w:rsid w:val="00466A55"/>
    <w:rsid w:val="00466B2E"/>
    <w:rsid w:val="00467012"/>
    <w:rsid w:val="00467D11"/>
    <w:rsid w:val="0047025E"/>
    <w:rsid w:val="00470CFF"/>
    <w:rsid w:val="00470E76"/>
    <w:rsid w:val="00470F0E"/>
    <w:rsid w:val="00471A05"/>
    <w:rsid w:val="004730B4"/>
    <w:rsid w:val="00473454"/>
    <w:rsid w:val="00473859"/>
    <w:rsid w:val="00475386"/>
    <w:rsid w:val="00476944"/>
    <w:rsid w:val="00476B84"/>
    <w:rsid w:val="00476CF8"/>
    <w:rsid w:val="00481978"/>
    <w:rsid w:val="00481A47"/>
    <w:rsid w:val="004840AB"/>
    <w:rsid w:val="0048423A"/>
    <w:rsid w:val="00484E8C"/>
    <w:rsid w:val="00486AB3"/>
    <w:rsid w:val="004874CF"/>
    <w:rsid w:val="00491EEB"/>
    <w:rsid w:val="004928BD"/>
    <w:rsid w:val="00492E5D"/>
    <w:rsid w:val="004944B2"/>
    <w:rsid w:val="00497CA8"/>
    <w:rsid w:val="004A00FD"/>
    <w:rsid w:val="004A0B29"/>
    <w:rsid w:val="004A119A"/>
    <w:rsid w:val="004A16E2"/>
    <w:rsid w:val="004A1F3D"/>
    <w:rsid w:val="004A2079"/>
    <w:rsid w:val="004A2803"/>
    <w:rsid w:val="004A34A5"/>
    <w:rsid w:val="004A40B3"/>
    <w:rsid w:val="004A5104"/>
    <w:rsid w:val="004A6862"/>
    <w:rsid w:val="004A7018"/>
    <w:rsid w:val="004A742B"/>
    <w:rsid w:val="004A7ADD"/>
    <w:rsid w:val="004B04BF"/>
    <w:rsid w:val="004B167F"/>
    <w:rsid w:val="004B1C43"/>
    <w:rsid w:val="004B337F"/>
    <w:rsid w:val="004B4209"/>
    <w:rsid w:val="004B623B"/>
    <w:rsid w:val="004B66A0"/>
    <w:rsid w:val="004C02EC"/>
    <w:rsid w:val="004C120F"/>
    <w:rsid w:val="004C16BA"/>
    <w:rsid w:val="004C2A0E"/>
    <w:rsid w:val="004C4841"/>
    <w:rsid w:val="004C51FA"/>
    <w:rsid w:val="004C5829"/>
    <w:rsid w:val="004C58B1"/>
    <w:rsid w:val="004C6102"/>
    <w:rsid w:val="004C6607"/>
    <w:rsid w:val="004C7F3A"/>
    <w:rsid w:val="004D004E"/>
    <w:rsid w:val="004D0392"/>
    <w:rsid w:val="004D1259"/>
    <w:rsid w:val="004D17F5"/>
    <w:rsid w:val="004D23DC"/>
    <w:rsid w:val="004D298F"/>
    <w:rsid w:val="004D3296"/>
    <w:rsid w:val="004D3D95"/>
    <w:rsid w:val="004D46CE"/>
    <w:rsid w:val="004D5709"/>
    <w:rsid w:val="004D5D4E"/>
    <w:rsid w:val="004D7195"/>
    <w:rsid w:val="004E03AB"/>
    <w:rsid w:val="004E06C3"/>
    <w:rsid w:val="004E0C68"/>
    <w:rsid w:val="004E25DD"/>
    <w:rsid w:val="004E2CB3"/>
    <w:rsid w:val="004E2E23"/>
    <w:rsid w:val="004E305F"/>
    <w:rsid w:val="004E570E"/>
    <w:rsid w:val="004E6489"/>
    <w:rsid w:val="004E719D"/>
    <w:rsid w:val="004E7FFC"/>
    <w:rsid w:val="004F00B0"/>
    <w:rsid w:val="004F06FF"/>
    <w:rsid w:val="004F0E9B"/>
    <w:rsid w:val="004F1589"/>
    <w:rsid w:val="004F2C51"/>
    <w:rsid w:val="004F2CFC"/>
    <w:rsid w:val="004F3309"/>
    <w:rsid w:val="004F3B61"/>
    <w:rsid w:val="004F3CFA"/>
    <w:rsid w:val="004F6FCB"/>
    <w:rsid w:val="004F716A"/>
    <w:rsid w:val="004F7871"/>
    <w:rsid w:val="004F7C70"/>
    <w:rsid w:val="00500292"/>
    <w:rsid w:val="00500B50"/>
    <w:rsid w:val="00502FDF"/>
    <w:rsid w:val="005030B1"/>
    <w:rsid w:val="005035D8"/>
    <w:rsid w:val="005042D7"/>
    <w:rsid w:val="00504E66"/>
    <w:rsid w:val="00505213"/>
    <w:rsid w:val="00505C07"/>
    <w:rsid w:val="00506A94"/>
    <w:rsid w:val="00507241"/>
    <w:rsid w:val="0051078E"/>
    <w:rsid w:val="00510C3D"/>
    <w:rsid w:val="00510F6B"/>
    <w:rsid w:val="00511277"/>
    <w:rsid w:val="005113DE"/>
    <w:rsid w:val="00511521"/>
    <w:rsid w:val="005157DE"/>
    <w:rsid w:val="00517D6F"/>
    <w:rsid w:val="00520907"/>
    <w:rsid w:val="00521F91"/>
    <w:rsid w:val="00523A77"/>
    <w:rsid w:val="00524636"/>
    <w:rsid w:val="00524C5B"/>
    <w:rsid w:val="0052501E"/>
    <w:rsid w:val="00526408"/>
    <w:rsid w:val="005266A3"/>
    <w:rsid w:val="00526BD3"/>
    <w:rsid w:val="00526EC7"/>
    <w:rsid w:val="00530010"/>
    <w:rsid w:val="0053676C"/>
    <w:rsid w:val="005368BC"/>
    <w:rsid w:val="005372FB"/>
    <w:rsid w:val="00540DC9"/>
    <w:rsid w:val="00541B77"/>
    <w:rsid w:val="00545B94"/>
    <w:rsid w:val="00546B48"/>
    <w:rsid w:val="005515BF"/>
    <w:rsid w:val="00552920"/>
    <w:rsid w:val="005531A3"/>
    <w:rsid w:val="005541F6"/>
    <w:rsid w:val="00555C38"/>
    <w:rsid w:val="00560163"/>
    <w:rsid w:val="00561DC7"/>
    <w:rsid w:val="00562AF3"/>
    <w:rsid w:val="005639CF"/>
    <w:rsid w:val="00563D57"/>
    <w:rsid w:val="00564258"/>
    <w:rsid w:val="005647D4"/>
    <w:rsid w:val="0056495F"/>
    <w:rsid w:val="00564FC6"/>
    <w:rsid w:val="00565180"/>
    <w:rsid w:val="00565C84"/>
    <w:rsid w:val="0056631D"/>
    <w:rsid w:val="00566357"/>
    <w:rsid w:val="00566520"/>
    <w:rsid w:val="00566C54"/>
    <w:rsid w:val="00566C6B"/>
    <w:rsid w:val="005708FF"/>
    <w:rsid w:val="00571308"/>
    <w:rsid w:val="005727C7"/>
    <w:rsid w:val="0057335F"/>
    <w:rsid w:val="00574D6D"/>
    <w:rsid w:val="00577056"/>
    <w:rsid w:val="00577490"/>
    <w:rsid w:val="0057774A"/>
    <w:rsid w:val="00577FBE"/>
    <w:rsid w:val="00580218"/>
    <w:rsid w:val="00580B83"/>
    <w:rsid w:val="00581150"/>
    <w:rsid w:val="00582C8C"/>
    <w:rsid w:val="0058393A"/>
    <w:rsid w:val="00583C4D"/>
    <w:rsid w:val="00584C9C"/>
    <w:rsid w:val="00586224"/>
    <w:rsid w:val="00586CF2"/>
    <w:rsid w:val="00586E2B"/>
    <w:rsid w:val="00590786"/>
    <w:rsid w:val="00590CBC"/>
    <w:rsid w:val="00592368"/>
    <w:rsid w:val="005948AC"/>
    <w:rsid w:val="0059521E"/>
    <w:rsid w:val="00595C11"/>
    <w:rsid w:val="0059675E"/>
    <w:rsid w:val="0059739A"/>
    <w:rsid w:val="005975A0"/>
    <w:rsid w:val="005A18A6"/>
    <w:rsid w:val="005A28B6"/>
    <w:rsid w:val="005A3B35"/>
    <w:rsid w:val="005A5C42"/>
    <w:rsid w:val="005A5F7B"/>
    <w:rsid w:val="005A6933"/>
    <w:rsid w:val="005B0239"/>
    <w:rsid w:val="005B06BC"/>
    <w:rsid w:val="005B21DF"/>
    <w:rsid w:val="005B29FF"/>
    <w:rsid w:val="005B39C1"/>
    <w:rsid w:val="005B4242"/>
    <w:rsid w:val="005B4294"/>
    <w:rsid w:val="005B4CA5"/>
    <w:rsid w:val="005B5D7B"/>
    <w:rsid w:val="005C023B"/>
    <w:rsid w:val="005C252F"/>
    <w:rsid w:val="005C2CE5"/>
    <w:rsid w:val="005C4105"/>
    <w:rsid w:val="005C413B"/>
    <w:rsid w:val="005C4648"/>
    <w:rsid w:val="005C4D9F"/>
    <w:rsid w:val="005C50B9"/>
    <w:rsid w:val="005C5905"/>
    <w:rsid w:val="005C5C6B"/>
    <w:rsid w:val="005C5E81"/>
    <w:rsid w:val="005C675B"/>
    <w:rsid w:val="005C70FB"/>
    <w:rsid w:val="005C7292"/>
    <w:rsid w:val="005C7C4A"/>
    <w:rsid w:val="005D04AD"/>
    <w:rsid w:val="005D0571"/>
    <w:rsid w:val="005D0ADF"/>
    <w:rsid w:val="005D0B3B"/>
    <w:rsid w:val="005D0D59"/>
    <w:rsid w:val="005D1738"/>
    <w:rsid w:val="005D1A8B"/>
    <w:rsid w:val="005D2EEB"/>
    <w:rsid w:val="005D33B1"/>
    <w:rsid w:val="005D46F4"/>
    <w:rsid w:val="005D5690"/>
    <w:rsid w:val="005D5A9D"/>
    <w:rsid w:val="005D5B54"/>
    <w:rsid w:val="005D5CC6"/>
    <w:rsid w:val="005D6A31"/>
    <w:rsid w:val="005D7B7C"/>
    <w:rsid w:val="005E0A2A"/>
    <w:rsid w:val="005E118E"/>
    <w:rsid w:val="005E11C9"/>
    <w:rsid w:val="005E27A6"/>
    <w:rsid w:val="005E359B"/>
    <w:rsid w:val="005E4095"/>
    <w:rsid w:val="005E489E"/>
    <w:rsid w:val="005E49B7"/>
    <w:rsid w:val="005E4AFC"/>
    <w:rsid w:val="005E4E72"/>
    <w:rsid w:val="005E57D3"/>
    <w:rsid w:val="005E6201"/>
    <w:rsid w:val="005E6350"/>
    <w:rsid w:val="005E6CE8"/>
    <w:rsid w:val="005E6CF1"/>
    <w:rsid w:val="005E7359"/>
    <w:rsid w:val="005E75EA"/>
    <w:rsid w:val="005F0087"/>
    <w:rsid w:val="005F0CC5"/>
    <w:rsid w:val="005F0F0A"/>
    <w:rsid w:val="005F1084"/>
    <w:rsid w:val="005F133D"/>
    <w:rsid w:val="005F1A1C"/>
    <w:rsid w:val="005F2851"/>
    <w:rsid w:val="005F2BFF"/>
    <w:rsid w:val="005F2D74"/>
    <w:rsid w:val="005F72E6"/>
    <w:rsid w:val="005F76F7"/>
    <w:rsid w:val="006005DE"/>
    <w:rsid w:val="006007F9"/>
    <w:rsid w:val="006008A8"/>
    <w:rsid w:val="00600E29"/>
    <w:rsid w:val="00601D43"/>
    <w:rsid w:val="00601E46"/>
    <w:rsid w:val="00603EA2"/>
    <w:rsid w:val="0060740A"/>
    <w:rsid w:val="00610389"/>
    <w:rsid w:val="0061051C"/>
    <w:rsid w:val="00610607"/>
    <w:rsid w:val="006134A3"/>
    <w:rsid w:val="00613A28"/>
    <w:rsid w:val="00613B42"/>
    <w:rsid w:val="0061442E"/>
    <w:rsid w:val="00614700"/>
    <w:rsid w:val="0061481E"/>
    <w:rsid w:val="00616511"/>
    <w:rsid w:val="0061704F"/>
    <w:rsid w:val="00617353"/>
    <w:rsid w:val="0062017B"/>
    <w:rsid w:val="0062049E"/>
    <w:rsid w:val="00620545"/>
    <w:rsid w:val="00620995"/>
    <w:rsid w:val="00621246"/>
    <w:rsid w:val="0062161C"/>
    <w:rsid w:val="00621F32"/>
    <w:rsid w:val="00622263"/>
    <w:rsid w:val="006228BF"/>
    <w:rsid w:val="006230C7"/>
    <w:rsid w:val="00623472"/>
    <w:rsid w:val="00624251"/>
    <w:rsid w:val="00624766"/>
    <w:rsid w:val="00625DDA"/>
    <w:rsid w:val="00626C08"/>
    <w:rsid w:val="00627416"/>
    <w:rsid w:val="00627DC4"/>
    <w:rsid w:val="0063081F"/>
    <w:rsid w:val="00630D74"/>
    <w:rsid w:val="006317FE"/>
    <w:rsid w:val="006338A2"/>
    <w:rsid w:val="00634858"/>
    <w:rsid w:val="00634F65"/>
    <w:rsid w:val="00635063"/>
    <w:rsid w:val="006357FC"/>
    <w:rsid w:val="00635CB7"/>
    <w:rsid w:val="00635F68"/>
    <w:rsid w:val="00636C15"/>
    <w:rsid w:val="00637453"/>
    <w:rsid w:val="00640319"/>
    <w:rsid w:val="00640DC6"/>
    <w:rsid w:val="00641941"/>
    <w:rsid w:val="00641AC0"/>
    <w:rsid w:val="0064289D"/>
    <w:rsid w:val="00642DCA"/>
    <w:rsid w:val="00643038"/>
    <w:rsid w:val="00643E76"/>
    <w:rsid w:val="00644945"/>
    <w:rsid w:val="00644CBA"/>
    <w:rsid w:val="00644CDB"/>
    <w:rsid w:val="00645444"/>
    <w:rsid w:val="006455DF"/>
    <w:rsid w:val="00645F61"/>
    <w:rsid w:val="00646596"/>
    <w:rsid w:val="0064750A"/>
    <w:rsid w:val="006478E1"/>
    <w:rsid w:val="00650F4E"/>
    <w:rsid w:val="006520C4"/>
    <w:rsid w:val="006522CB"/>
    <w:rsid w:val="00652B20"/>
    <w:rsid w:val="00653472"/>
    <w:rsid w:val="00653A38"/>
    <w:rsid w:val="00653AB3"/>
    <w:rsid w:val="00655A0D"/>
    <w:rsid w:val="006563B4"/>
    <w:rsid w:val="006572F2"/>
    <w:rsid w:val="0065751B"/>
    <w:rsid w:val="00657D41"/>
    <w:rsid w:val="00661017"/>
    <w:rsid w:val="00661F55"/>
    <w:rsid w:val="006627C1"/>
    <w:rsid w:val="00664062"/>
    <w:rsid w:val="0066500A"/>
    <w:rsid w:val="0066566B"/>
    <w:rsid w:val="006676B7"/>
    <w:rsid w:val="00670594"/>
    <w:rsid w:val="00672CA8"/>
    <w:rsid w:val="00673448"/>
    <w:rsid w:val="006735BF"/>
    <w:rsid w:val="00674614"/>
    <w:rsid w:val="0067464F"/>
    <w:rsid w:val="00674C1C"/>
    <w:rsid w:val="0067532A"/>
    <w:rsid w:val="0067623A"/>
    <w:rsid w:val="006775C9"/>
    <w:rsid w:val="00680989"/>
    <w:rsid w:val="006817B0"/>
    <w:rsid w:val="0068235A"/>
    <w:rsid w:val="006825AD"/>
    <w:rsid w:val="00682BC6"/>
    <w:rsid w:val="00682EFC"/>
    <w:rsid w:val="0068347D"/>
    <w:rsid w:val="006839A1"/>
    <w:rsid w:val="0068552B"/>
    <w:rsid w:val="00685573"/>
    <w:rsid w:val="006864BA"/>
    <w:rsid w:val="0068785C"/>
    <w:rsid w:val="00687E8F"/>
    <w:rsid w:val="00690E7A"/>
    <w:rsid w:val="00691E1C"/>
    <w:rsid w:val="0069221A"/>
    <w:rsid w:val="006935F2"/>
    <w:rsid w:val="0069471B"/>
    <w:rsid w:val="00694D2B"/>
    <w:rsid w:val="0069522D"/>
    <w:rsid w:val="006958C8"/>
    <w:rsid w:val="006958D4"/>
    <w:rsid w:val="00696EE3"/>
    <w:rsid w:val="006A0824"/>
    <w:rsid w:val="006A0865"/>
    <w:rsid w:val="006A08A5"/>
    <w:rsid w:val="006A0EDA"/>
    <w:rsid w:val="006A20B1"/>
    <w:rsid w:val="006A429A"/>
    <w:rsid w:val="006A5D75"/>
    <w:rsid w:val="006A6602"/>
    <w:rsid w:val="006A768C"/>
    <w:rsid w:val="006A7B0A"/>
    <w:rsid w:val="006B0898"/>
    <w:rsid w:val="006B0A92"/>
    <w:rsid w:val="006B0DBE"/>
    <w:rsid w:val="006B121C"/>
    <w:rsid w:val="006B17D9"/>
    <w:rsid w:val="006B1B7F"/>
    <w:rsid w:val="006B222F"/>
    <w:rsid w:val="006B2E5B"/>
    <w:rsid w:val="006B35F6"/>
    <w:rsid w:val="006B360C"/>
    <w:rsid w:val="006B394F"/>
    <w:rsid w:val="006B4306"/>
    <w:rsid w:val="006B55C0"/>
    <w:rsid w:val="006B5E02"/>
    <w:rsid w:val="006B616D"/>
    <w:rsid w:val="006B731F"/>
    <w:rsid w:val="006C0C5C"/>
    <w:rsid w:val="006C0F57"/>
    <w:rsid w:val="006C15A8"/>
    <w:rsid w:val="006C15AC"/>
    <w:rsid w:val="006C4B86"/>
    <w:rsid w:val="006C63A6"/>
    <w:rsid w:val="006C6BD3"/>
    <w:rsid w:val="006C743E"/>
    <w:rsid w:val="006C795E"/>
    <w:rsid w:val="006C7DC7"/>
    <w:rsid w:val="006D0071"/>
    <w:rsid w:val="006D017C"/>
    <w:rsid w:val="006D4EFB"/>
    <w:rsid w:val="006D5BC3"/>
    <w:rsid w:val="006D5E48"/>
    <w:rsid w:val="006D777A"/>
    <w:rsid w:val="006D7E05"/>
    <w:rsid w:val="006E04A5"/>
    <w:rsid w:val="006E09DD"/>
    <w:rsid w:val="006E0A7F"/>
    <w:rsid w:val="006E1096"/>
    <w:rsid w:val="006E1119"/>
    <w:rsid w:val="006E1257"/>
    <w:rsid w:val="006E1A9E"/>
    <w:rsid w:val="006E3D31"/>
    <w:rsid w:val="006E4AA7"/>
    <w:rsid w:val="006E5351"/>
    <w:rsid w:val="006E6D4C"/>
    <w:rsid w:val="006E722F"/>
    <w:rsid w:val="006E72DE"/>
    <w:rsid w:val="006F02A5"/>
    <w:rsid w:val="006F093B"/>
    <w:rsid w:val="006F0E13"/>
    <w:rsid w:val="006F10F1"/>
    <w:rsid w:val="006F181C"/>
    <w:rsid w:val="006F23E5"/>
    <w:rsid w:val="006F36C0"/>
    <w:rsid w:val="006F36F1"/>
    <w:rsid w:val="006F3B57"/>
    <w:rsid w:val="006F4638"/>
    <w:rsid w:val="006F6C6A"/>
    <w:rsid w:val="006F6F25"/>
    <w:rsid w:val="006F716A"/>
    <w:rsid w:val="006F77E9"/>
    <w:rsid w:val="006F781B"/>
    <w:rsid w:val="006F79F7"/>
    <w:rsid w:val="006F7AEE"/>
    <w:rsid w:val="006F7BAF"/>
    <w:rsid w:val="0070000E"/>
    <w:rsid w:val="007008B1"/>
    <w:rsid w:val="00701406"/>
    <w:rsid w:val="00703332"/>
    <w:rsid w:val="00703E5B"/>
    <w:rsid w:val="00704C61"/>
    <w:rsid w:val="00704CF9"/>
    <w:rsid w:val="00704E45"/>
    <w:rsid w:val="00705028"/>
    <w:rsid w:val="00705BA0"/>
    <w:rsid w:val="007063E2"/>
    <w:rsid w:val="0070719C"/>
    <w:rsid w:val="00707634"/>
    <w:rsid w:val="0071009F"/>
    <w:rsid w:val="007106AC"/>
    <w:rsid w:val="007107D0"/>
    <w:rsid w:val="00710B72"/>
    <w:rsid w:val="0071143F"/>
    <w:rsid w:val="00711752"/>
    <w:rsid w:val="00711791"/>
    <w:rsid w:val="00712946"/>
    <w:rsid w:val="007136EB"/>
    <w:rsid w:val="00713CDF"/>
    <w:rsid w:val="007162C9"/>
    <w:rsid w:val="00716834"/>
    <w:rsid w:val="00717419"/>
    <w:rsid w:val="00717433"/>
    <w:rsid w:val="007203B6"/>
    <w:rsid w:val="00721430"/>
    <w:rsid w:val="007215A3"/>
    <w:rsid w:val="00722AA9"/>
    <w:rsid w:val="00722AD7"/>
    <w:rsid w:val="00722F11"/>
    <w:rsid w:val="00723262"/>
    <w:rsid w:val="00723717"/>
    <w:rsid w:val="00723D45"/>
    <w:rsid w:val="00724821"/>
    <w:rsid w:val="007260F8"/>
    <w:rsid w:val="0073073C"/>
    <w:rsid w:val="00730D6C"/>
    <w:rsid w:val="00731A2F"/>
    <w:rsid w:val="00732AC0"/>
    <w:rsid w:val="00732E1D"/>
    <w:rsid w:val="0073415D"/>
    <w:rsid w:val="00734194"/>
    <w:rsid w:val="00734749"/>
    <w:rsid w:val="00734A4D"/>
    <w:rsid w:val="00735010"/>
    <w:rsid w:val="007352F3"/>
    <w:rsid w:val="00735CF4"/>
    <w:rsid w:val="0073695A"/>
    <w:rsid w:val="00736F8F"/>
    <w:rsid w:val="00740821"/>
    <w:rsid w:val="0074147F"/>
    <w:rsid w:val="007425F2"/>
    <w:rsid w:val="007429DE"/>
    <w:rsid w:val="00743E75"/>
    <w:rsid w:val="0074446D"/>
    <w:rsid w:val="0074671A"/>
    <w:rsid w:val="00746BAF"/>
    <w:rsid w:val="00746D17"/>
    <w:rsid w:val="00747674"/>
    <w:rsid w:val="0075143F"/>
    <w:rsid w:val="007514AA"/>
    <w:rsid w:val="00751A52"/>
    <w:rsid w:val="0075277D"/>
    <w:rsid w:val="00752D3A"/>
    <w:rsid w:val="00754397"/>
    <w:rsid w:val="00755083"/>
    <w:rsid w:val="00756EFF"/>
    <w:rsid w:val="007602BD"/>
    <w:rsid w:val="00760D1A"/>
    <w:rsid w:val="00761C86"/>
    <w:rsid w:val="00762F4D"/>
    <w:rsid w:val="00763A48"/>
    <w:rsid w:val="00763C74"/>
    <w:rsid w:val="00763DEB"/>
    <w:rsid w:val="007644CB"/>
    <w:rsid w:val="00765848"/>
    <w:rsid w:val="007668FF"/>
    <w:rsid w:val="00766B8B"/>
    <w:rsid w:val="00767209"/>
    <w:rsid w:val="0076731F"/>
    <w:rsid w:val="00767BAD"/>
    <w:rsid w:val="007708D5"/>
    <w:rsid w:val="00771011"/>
    <w:rsid w:val="00771AD2"/>
    <w:rsid w:val="0077223B"/>
    <w:rsid w:val="00773F32"/>
    <w:rsid w:val="00774282"/>
    <w:rsid w:val="00774F2F"/>
    <w:rsid w:val="0077531E"/>
    <w:rsid w:val="007753C7"/>
    <w:rsid w:val="00775FB7"/>
    <w:rsid w:val="0077690F"/>
    <w:rsid w:val="00776934"/>
    <w:rsid w:val="007776D4"/>
    <w:rsid w:val="007778DA"/>
    <w:rsid w:val="00777C4D"/>
    <w:rsid w:val="00777C64"/>
    <w:rsid w:val="00780CED"/>
    <w:rsid w:val="0078228A"/>
    <w:rsid w:val="00782DEB"/>
    <w:rsid w:val="00783D28"/>
    <w:rsid w:val="00783F59"/>
    <w:rsid w:val="0078423A"/>
    <w:rsid w:val="00785B4F"/>
    <w:rsid w:val="007860C2"/>
    <w:rsid w:val="00787DD5"/>
    <w:rsid w:val="007906E5"/>
    <w:rsid w:val="00790760"/>
    <w:rsid w:val="007909DF"/>
    <w:rsid w:val="00790FC5"/>
    <w:rsid w:val="0079112E"/>
    <w:rsid w:val="00793C74"/>
    <w:rsid w:val="00793ED3"/>
    <w:rsid w:val="00795B01"/>
    <w:rsid w:val="00796830"/>
    <w:rsid w:val="00796D87"/>
    <w:rsid w:val="007972BC"/>
    <w:rsid w:val="0079750E"/>
    <w:rsid w:val="00797B27"/>
    <w:rsid w:val="007A040E"/>
    <w:rsid w:val="007A16C1"/>
    <w:rsid w:val="007A2452"/>
    <w:rsid w:val="007A3884"/>
    <w:rsid w:val="007A4250"/>
    <w:rsid w:val="007A554F"/>
    <w:rsid w:val="007B0F98"/>
    <w:rsid w:val="007B13B6"/>
    <w:rsid w:val="007B4771"/>
    <w:rsid w:val="007B4B8F"/>
    <w:rsid w:val="007B4FC5"/>
    <w:rsid w:val="007B50D9"/>
    <w:rsid w:val="007B6CF7"/>
    <w:rsid w:val="007C4C72"/>
    <w:rsid w:val="007C5A28"/>
    <w:rsid w:val="007C609C"/>
    <w:rsid w:val="007C6DCC"/>
    <w:rsid w:val="007D0D52"/>
    <w:rsid w:val="007D131E"/>
    <w:rsid w:val="007D2A09"/>
    <w:rsid w:val="007D3130"/>
    <w:rsid w:val="007D3A3A"/>
    <w:rsid w:val="007D3EAD"/>
    <w:rsid w:val="007D712B"/>
    <w:rsid w:val="007D7725"/>
    <w:rsid w:val="007E1FFC"/>
    <w:rsid w:val="007E2171"/>
    <w:rsid w:val="007E2B4C"/>
    <w:rsid w:val="007E31CE"/>
    <w:rsid w:val="007E3310"/>
    <w:rsid w:val="007E3C96"/>
    <w:rsid w:val="007E4550"/>
    <w:rsid w:val="007E4D2C"/>
    <w:rsid w:val="007E4EC5"/>
    <w:rsid w:val="007E4EF7"/>
    <w:rsid w:val="007E5543"/>
    <w:rsid w:val="007E56A1"/>
    <w:rsid w:val="007E5BA9"/>
    <w:rsid w:val="007F02AC"/>
    <w:rsid w:val="007F02DB"/>
    <w:rsid w:val="007F1D72"/>
    <w:rsid w:val="007F1F5B"/>
    <w:rsid w:val="007F2106"/>
    <w:rsid w:val="007F358C"/>
    <w:rsid w:val="007F3F50"/>
    <w:rsid w:val="007F4255"/>
    <w:rsid w:val="007F518E"/>
    <w:rsid w:val="007F6C26"/>
    <w:rsid w:val="007F6CE1"/>
    <w:rsid w:val="007F7881"/>
    <w:rsid w:val="00800967"/>
    <w:rsid w:val="00801DA7"/>
    <w:rsid w:val="0080362B"/>
    <w:rsid w:val="00803F0D"/>
    <w:rsid w:val="00804070"/>
    <w:rsid w:val="0080483B"/>
    <w:rsid w:val="0080499F"/>
    <w:rsid w:val="00805286"/>
    <w:rsid w:val="00805AAC"/>
    <w:rsid w:val="00806852"/>
    <w:rsid w:val="00807602"/>
    <w:rsid w:val="00807B27"/>
    <w:rsid w:val="00810430"/>
    <w:rsid w:val="00810AC9"/>
    <w:rsid w:val="00810C82"/>
    <w:rsid w:val="00811918"/>
    <w:rsid w:val="00811D1B"/>
    <w:rsid w:val="008123C0"/>
    <w:rsid w:val="00812545"/>
    <w:rsid w:val="00812D38"/>
    <w:rsid w:val="008133F5"/>
    <w:rsid w:val="00814EF9"/>
    <w:rsid w:val="00814FF2"/>
    <w:rsid w:val="008155B1"/>
    <w:rsid w:val="00815820"/>
    <w:rsid w:val="00815870"/>
    <w:rsid w:val="0081600F"/>
    <w:rsid w:val="00816450"/>
    <w:rsid w:val="00816748"/>
    <w:rsid w:val="00816911"/>
    <w:rsid w:val="00817105"/>
    <w:rsid w:val="008171B8"/>
    <w:rsid w:val="008205A0"/>
    <w:rsid w:val="00820D5E"/>
    <w:rsid w:val="008225E3"/>
    <w:rsid w:val="00822643"/>
    <w:rsid w:val="00822C2D"/>
    <w:rsid w:val="00826227"/>
    <w:rsid w:val="008265B8"/>
    <w:rsid w:val="00827876"/>
    <w:rsid w:val="00830531"/>
    <w:rsid w:val="00830FCD"/>
    <w:rsid w:val="008317C3"/>
    <w:rsid w:val="00831F21"/>
    <w:rsid w:val="008325C7"/>
    <w:rsid w:val="008337DD"/>
    <w:rsid w:val="00833900"/>
    <w:rsid w:val="00835390"/>
    <w:rsid w:val="0083574E"/>
    <w:rsid w:val="00835870"/>
    <w:rsid w:val="00836242"/>
    <w:rsid w:val="00837317"/>
    <w:rsid w:val="00840FCD"/>
    <w:rsid w:val="008414E0"/>
    <w:rsid w:val="00841C37"/>
    <w:rsid w:val="0084282D"/>
    <w:rsid w:val="00842FD3"/>
    <w:rsid w:val="0084311D"/>
    <w:rsid w:val="008443B3"/>
    <w:rsid w:val="00844894"/>
    <w:rsid w:val="00844E14"/>
    <w:rsid w:val="00845D83"/>
    <w:rsid w:val="0084775D"/>
    <w:rsid w:val="008500C7"/>
    <w:rsid w:val="0085059A"/>
    <w:rsid w:val="00851BDF"/>
    <w:rsid w:val="00852A34"/>
    <w:rsid w:val="008540ED"/>
    <w:rsid w:val="008560CE"/>
    <w:rsid w:val="0085635B"/>
    <w:rsid w:val="00856CB0"/>
    <w:rsid w:val="008570D7"/>
    <w:rsid w:val="008600E7"/>
    <w:rsid w:val="00861528"/>
    <w:rsid w:val="0086192B"/>
    <w:rsid w:val="00861C2F"/>
    <w:rsid w:val="00862306"/>
    <w:rsid w:val="008632E7"/>
    <w:rsid w:val="00863ED1"/>
    <w:rsid w:val="00866939"/>
    <w:rsid w:val="00866D89"/>
    <w:rsid w:val="008672DE"/>
    <w:rsid w:val="0086750B"/>
    <w:rsid w:val="008676A6"/>
    <w:rsid w:val="00867855"/>
    <w:rsid w:val="00870291"/>
    <w:rsid w:val="00870AA5"/>
    <w:rsid w:val="008724E4"/>
    <w:rsid w:val="00873B81"/>
    <w:rsid w:val="00874267"/>
    <w:rsid w:val="008745E5"/>
    <w:rsid w:val="00874C78"/>
    <w:rsid w:val="00875C5E"/>
    <w:rsid w:val="00875DF6"/>
    <w:rsid w:val="00877E03"/>
    <w:rsid w:val="00877F24"/>
    <w:rsid w:val="008800FB"/>
    <w:rsid w:val="0088037E"/>
    <w:rsid w:val="008816C6"/>
    <w:rsid w:val="00882C68"/>
    <w:rsid w:val="00884077"/>
    <w:rsid w:val="008841BF"/>
    <w:rsid w:val="00884815"/>
    <w:rsid w:val="00885A29"/>
    <w:rsid w:val="008872F7"/>
    <w:rsid w:val="00894606"/>
    <w:rsid w:val="00896409"/>
    <w:rsid w:val="00896CB6"/>
    <w:rsid w:val="008978E7"/>
    <w:rsid w:val="008A06AF"/>
    <w:rsid w:val="008A0C1C"/>
    <w:rsid w:val="008A18EA"/>
    <w:rsid w:val="008A1ADF"/>
    <w:rsid w:val="008A2A60"/>
    <w:rsid w:val="008A3793"/>
    <w:rsid w:val="008A3D67"/>
    <w:rsid w:val="008A5331"/>
    <w:rsid w:val="008A67BA"/>
    <w:rsid w:val="008A6CE6"/>
    <w:rsid w:val="008A6E78"/>
    <w:rsid w:val="008A6F41"/>
    <w:rsid w:val="008A6F99"/>
    <w:rsid w:val="008A77DB"/>
    <w:rsid w:val="008B17BB"/>
    <w:rsid w:val="008B28F6"/>
    <w:rsid w:val="008B2A27"/>
    <w:rsid w:val="008B3231"/>
    <w:rsid w:val="008B3AC2"/>
    <w:rsid w:val="008B63B1"/>
    <w:rsid w:val="008B7104"/>
    <w:rsid w:val="008B735E"/>
    <w:rsid w:val="008B7A84"/>
    <w:rsid w:val="008B7BD5"/>
    <w:rsid w:val="008C1F26"/>
    <w:rsid w:val="008C3AD6"/>
    <w:rsid w:val="008C3C24"/>
    <w:rsid w:val="008C4A08"/>
    <w:rsid w:val="008C515B"/>
    <w:rsid w:val="008C6B2F"/>
    <w:rsid w:val="008C7427"/>
    <w:rsid w:val="008D06C9"/>
    <w:rsid w:val="008D0A1B"/>
    <w:rsid w:val="008D0D0F"/>
    <w:rsid w:val="008D1632"/>
    <w:rsid w:val="008D212F"/>
    <w:rsid w:val="008D223E"/>
    <w:rsid w:val="008D29B5"/>
    <w:rsid w:val="008D2B0D"/>
    <w:rsid w:val="008D2E56"/>
    <w:rsid w:val="008D3531"/>
    <w:rsid w:val="008D5546"/>
    <w:rsid w:val="008D57DF"/>
    <w:rsid w:val="008D61B6"/>
    <w:rsid w:val="008D6D9A"/>
    <w:rsid w:val="008D6EE8"/>
    <w:rsid w:val="008E2985"/>
    <w:rsid w:val="008E32C8"/>
    <w:rsid w:val="008E4ECA"/>
    <w:rsid w:val="008E519F"/>
    <w:rsid w:val="008E5916"/>
    <w:rsid w:val="008E5E0B"/>
    <w:rsid w:val="008E6494"/>
    <w:rsid w:val="008E6C63"/>
    <w:rsid w:val="008E7432"/>
    <w:rsid w:val="008E784F"/>
    <w:rsid w:val="008F01F8"/>
    <w:rsid w:val="008F1485"/>
    <w:rsid w:val="008F22EB"/>
    <w:rsid w:val="008F3353"/>
    <w:rsid w:val="008F4095"/>
    <w:rsid w:val="008F6324"/>
    <w:rsid w:val="008F66E3"/>
    <w:rsid w:val="008F693F"/>
    <w:rsid w:val="008F6CCE"/>
    <w:rsid w:val="008F70B4"/>
    <w:rsid w:val="009002C4"/>
    <w:rsid w:val="00901B9D"/>
    <w:rsid w:val="00903824"/>
    <w:rsid w:val="009043DE"/>
    <w:rsid w:val="009044AF"/>
    <w:rsid w:val="00904F75"/>
    <w:rsid w:val="00905C46"/>
    <w:rsid w:val="00905C68"/>
    <w:rsid w:val="00905CEF"/>
    <w:rsid w:val="00905DB1"/>
    <w:rsid w:val="0091031A"/>
    <w:rsid w:val="00910928"/>
    <w:rsid w:val="00910C7B"/>
    <w:rsid w:val="00912644"/>
    <w:rsid w:val="00915718"/>
    <w:rsid w:val="00915ADE"/>
    <w:rsid w:val="00917217"/>
    <w:rsid w:val="00917B4B"/>
    <w:rsid w:val="00920029"/>
    <w:rsid w:val="00920274"/>
    <w:rsid w:val="00920419"/>
    <w:rsid w:val="0092170A"/>
    <w:rsid w:val="00921710"/>
    <w:rsid w:val="0092198D"/>
    <w:rsid w:val="00921F8B"/>
    <w:rsid w:val="0092231C"/>
    <w:rsid w:val="0092256E"/>
    <w:rsid w:val="00922B84"/>
    <w:rsid w:val="00923051"/>
    <w:rsid w:val="00923844"/>
    <w:rsid w:val="0092507B"/>
    <w:rsid w:val="0092604A"/>
    <w:rsid w:val="00930A0D"/>
    <w:rsid w:val="00931A20"/>
    <w:rsid w:val="00931CD5"/>
    <w:rsid w:val="00931D70"/>
    <w:rsid w:val="00932ABB"/>
    <w:rsid w:val="009370F1"/>
    <w:rsid w:val="00940502"/>
    <w:rsid w:val="0094060E"/>
    <w:rsid w:val="009420CC"/>
    <w:rsid w:val="009429DE"/>
    <w:rsid w:val="009450E9"/>
    <w:rsid w:val="0094588D"/>
    <w:rsid w:val="00945CD7"/>
    <w:rsid w:val="00946B3F"/>
    <w:rsid w:val="009504DD"/>
    <w:rsid w:val="00951135"/>
    <w:rsid w:val="00951F79"/>
    <w:rsid w:val="009523C5"/>
    <w:rsid w:val="00952426"/>
    <w:rsid w:val="009525A1"/>
    <w:rsid w:val="00952645"/>
    <w:rsid w:val="00952A1D"/>
    <w:rsid w:val="00952F09"/>
    <w:rsid w:val="00953134"/>
    <w:rsid w:val="00954236"/>
    <w:rsid w:val="00954519"/>
    <w:rsid w:val="00955F66"/>
    <w:rsid w:val="009569E4"/>
    <w:rsid w:val="00956BD7"/>
    <w:rsid w:val="009572D2"/>
    <w:rsid w:val="0095763C"/>
    <w:rsid w:val="00957FBA"/>
    <w:rsid w:val="00960464"/>
    <w:rsid w:val="00960B04"/>
    <w:rsid w:val="009610E8"/>
    <w:rsid w:val="00962C51"/>
    <w:rsid w:val="009676C7"/>
    <w:rsid w:val="00967D2B"/>
    <w:rsid w:val="0097262E"/>
    <w:rsid w:val="00972999"/>
    <w:rsid w:val="00972F8D"/>
    <w:rsid w:val="00975DAB"/>
    <w:rsid w:val="0097749D"/>
    <w:rsid w:val="00977ED9"/>
    <w:rsid w:val="00980658"/>
    <w:rsid w:val="009809E4"/>
    <w:rsid w:val="00980E24"/>
    <w:rsid w:val="00981DC1"/>
    <w:rsid w:val="00982564"/>
    <w:rsid w:val="009827C8"/>
    <w:rsid w:val="009837A8"/>
    <w:rsid w:val="00983B9D"/>
    <w:rsid w:val="00984125"/>
    <w:rsid w:val="00985BEF"/>
    <w:rsid w:val="00985CE5"/>
    <w:rsid w:val="0098739F"/>
    <w:rsid w:val="00990541"/>
    <w:rsid w:val="00990704"/>
    <w:rsid w:val="0099158A"/>
    <w:rsid w:val="00991A91"/>
    <w:rsid w:val="00991BEB"/>
    <w:rsid w:val="00991F1E"/>
    <w:rsid w:val="00992192"/>
    <w:rsid w:val="00993560"/>
    <w:rsid w:val="009937E1"/>
    <w:rsid w:val="00993C9F"/>
    <w:rsid w:val="00994B4D"/>
    <w:rsid w:val="00994C69"/>
    <w:rsid w:val="00994D03"/>
    <w:rsid w:val="00996A75"/>
    <w:rsid w:val="00996F17"/>
    <w:rsid w:val="009A1C5B"/>
    <w:rsid w:val="009A3D24"/>
    <w:rsid w:val="009A610A"/>
    <w:rsid w:val="009A72B0"/>
    <w:rsid w:val="009A7891"/>
    <w:rsid w:val="009A7B50"/>
    <w:rsid w:val="009B12C4"/>
    <w:rsid w:val="009B18BA"/>
    <w:rsid w:val="009B25AF"/>
    <w:rsid w:val="009B2AC2"/>
    <w:rsid w:val="009B2DE1"/>
    <w:rsid w:val="009B2F86"/>
    <w:rsid w:val="009B4260"/>
    <w:rsid w:val="009B449B"/>
    <w:rsid w:val="009B4A9B"/>
    <w:rsid w:val="009B4BCD"/>
    <w:rsid w:val="009B5B8B"/>
    <w:rsid w:val="009B658A"/>
    <w:rsid w:val="009B73F3"/>
    <w:rsid w:val="009B7ADD"/>
    <w:rsid w:val="009C04A4"/>
    <w:rsid w:val="009C0E26"/>
    <w:rsid w:val="009C0F97"/>
    <w:rsid w:val="009C2266"/>
    <w:rsid w:val="009C3938"/>
    <w:rsid w:val="009C4232"/>
    <w:rsid w:val="009C4B52"/>
    <w:rsid w:val="009C636B"/>
    <w:rsid w:val="009C66B0"/>
    <w:rsid w:val="009D14D3"/>
    <w:rsid w:val="009D1798"/>
    <w:rsid w:val="009D1D39"/>
    <w:rsid w:val="009D2F96"/>
    <w:rsid w:val="009D3DE2"/>
    <w:rsid w:val="009D42C1"/>
    <w:rsid w:val="009D47BA"/>
    <w:rsid w:val="009D55C6"/>
    <w:rsid w:val="009D5679"/>
    <w:rsid w:val="009D616F"/>
    <w:rsid w:val="009D66C4"/>
    <w:rsid w:val="009E1D43"/>
    <w:rsid w:val="009E2BB2"/>
    <w:rsid w:val="009E2ED1"/>
    <w:rsid w:val="009E2FEB"/>
    <w:rsid w:val="009E31E9"/>
    <w:rsid w:val="009E33C4"/>
    <w:rsid w:val="009E355A"/>
    <w:rsid w:val="009E39CE"/>
    <w:rsid w:val="009E5E8B"/>
    <w:rsid w:val="009E7ED7"/>
    <w:rsid w:val="009F02F9"/>
    <w:rsid w:val="009F04AC"/>
    <w:rsid w:val="009F06AC"/>
    <w:rsid w:val="009F0B82"/>
    <w:rsid w:val="009F226D"/>
    <w:rsid w:val="009F3112"/>
    <w:rsid w:val="009F4BBB"/>
    <w:rsid w:val="009F5583"/>
    <w:rsid w:val="009F65BD"/>
    <w:rsid w:val="009F6F64"/>
    <w:rsid w:val="009F7297"/>
    <w:rsid w:val="009F7C77"/>
    <w:rsid w:val="00A006C7"/>
    <w:rsid w:val="00A04A4B"/>
    <w:rsid w:val="00A06816"/>
    <w:rsid w:val="00A073EE"/>
    <w:rsid w:val="00A07DAA"/>
    <w:rsid w:val="00A149FD"/>
    <w:rsid w:val="00A14C07"/>
    <w:rsid w:val="00A17269"/>
    <w:rsid w:val="00A17847"/>
    <w:rsid w:val="00A201F6"/>
    <w:rsid w:val="00A21224"/>
    <w:rsid w:val="00A21958"/>
    <w:rsid w:val="00A21E2A"/>
    <w:rsid w:val="00A23320"/>
    <w:rsid w:val="00A23CCA"/>
    <w:rsid w:val="00A24293"/>
    <w:rsid w:val="00A24C65"/>
    <w:rsid w:val="00A2509D"/>
    <w:rsid w:val="00A2589D"/>
    <w:rsid w:val="00A25F49"/>
    <w:rsid w:val="00A2704F"/>
    <w:rsid w:val="00A304C8"/>
    <w:rsid w:val="00A31987"/>
    <w:rsid w:val="00A32262"/>
    <w:rsid w:val="00A323E1"/>
    <w:rsid w:val="00A327F6"/>
    <w:rsid w:val="00A3423B"/>
    <w:rsid w:val="00A342B7"/>
    <w:rsid w:val="00A34B3D"/>
    <w:rsid w:val="00A3510D"/>
    <w:rsid w:val="00A3551F"/>
    <w:rsid w:val="00A35A8D"/>
    <w:rsid w:val="00A35C42"/>
    <w:rsid w:val="00A3649B"/>
    <w:rsid w:val="00A36829"/>
    <w:rsid w:val="00A375FE"/>
    <w:rsid w:val="00A40036"/>
    <w:rsid w:val="00A40189"/>
    <w:rsid w:val="00A41364"/>
    <w:rsid w:val="00A41BA3"/>
    <w:rsid w:val="00A433A6"/>
    <w:rsid w:val="00A443E6"/>
    <w:rsid w:val="00A44EAC"/>
    <w:rsid w:val="00A46C5F"/>
    <w:rsid w:val="00A5120C"/>
    <w:rsid w:val="00A51BFF"/>
    <w:rsid w:val="00A521DC"/>
    <w:rsid w:val="00A52866"/>
    <w:rsid w:val="00A54797"/>
    <w:rsid w:val="00A54BBD"/>
    <w:rsid w:val="00A554FA"/>
    <w:rsid w:val="00A55B60"/>
    <w:rsid w:val="00A55E59"/>
    <w:rsid w:val="00A56B72"/>
    <w:rsid w:val="00A57963"/>
    <w:rsid w:val="00A608CB"/>
    <w:rsid w:val="00A60C65"/>
    <w:rsid w:val="00A62A26"/>
    <w:rsid w:val="00A63031"/>
    <w:rsid w:val="00A64D0C"/>
    <w:rsid w:val="00A6524F"/>
    <w:rsid w:val="00A662E3"/>
    <w:rsid w:val="00A706A2"/>
    <w:rsid w:val="00A7108C"/>
    <w:rsid w:val="00A71840"/>
    <w:rsid w:val="00A7234E"/>
    <w:rsid w:val="00A729B0"/>
    <w:rsid w:val="00A72B03"/>
    <w:rsid w:val="00A74395"/>
    <w:rsid w:val="00A7458B"/>
    <w:rsid w:val="00A75700"/>
    <w:rsid w:val="00A7583F"/>
    <w:rsid w:val="00A7787D"/>
    <w:rsid w:val="00A7793B"/>
    <w:rsid w:val="00A77F9F"/>
    <w:rsid w:val="00A80AB8"/>
    <w:rsid w:val="00A81559"/>
    <w:rsid w:val="00A816E2"/>
    <w:rsid w:val="00A817D1"/>
    <w:rsid w:val="00A82F0E"/>
    <w:rsid w:val="00A83C08"/>
    <w:rsid w:val="00A843C9"/>
    <w:rsid w:val="00A84E10"/>
    <w:rsid w:val="00A86521"/>
    <w:rsid w:val="00A865D5"/>
    <w:rsid w:val="00A866B7"/>
    <w:rsid w:val="00A87C4F"/>
    <w:rsid w:val="00A90ACF"/>
    <w:rsid w:val="00A9136E"/>
    <w:rsid w:val="00A92BB8"/>
    <w:rsid w:val="00A930AE"/>
    <w:rsid w:val="00A935E7"/>
    <w:rsid w:val="00A9466B"/>
    <w:rsid w:val="00A96844"/>
    <w:rsid w:val="00A969E6"/>
    <w:rsid w:val="00A97DD5"/>
    <w:rsid w:val="00AA1190"/>
    <w:rsid w:val="00AA1E3A"/>
    <w:rsid w:val="00AA23D4"/>
    <w:rsid w:val="00AA2807"/>
    <w:rsid w:val="00AA2A9B"/>
    <w:rsid w:val="00AA35D3"/>
    <w:rsid w:val="00AA4078"/>
    <w:rsid w:val="00AA44AC"/>
    <w:rsid w:val="00AA5C3A"/>
    <w:rsid w:val="00AA79E4"/>
    <w:rsid w:val="00AA7B5B"/>
    <w:rsid w:val="00AA7B78"/>
    <w:rsid w:val="00AB0430"/>
    <w:rsid w:val="00AB110C"/>
    <w:rsid w:val="00AB2360"/>
    <w:rsid w:val="00AB30B1"/>
    <w:rsid w:val="00AB48E8"/>
    <w:rsid w:val="00AB6148"/>
    <w:rsid w:val="00AB67FA"/>
    <w:rsid w:val="00AB6F00"/>
    <w:rsid w:val="00AB75AB"/>
    <w:rsid w:val="00AC067B"/>
    <w:rsid w:val="00AC099B"/>
    <w:rsid w:val="00AC1FC5"/>
    <w:rsid w:val="00AC33E0"/>
    <w:rsid w:val="00AC3F35"/>
    <w:rsid w:val="00AC3FEC"/>
    <w:rsid w:val="00AC6A72"/>
    <w:rsid w:val="00AC6DA2"/>
    <w:rsid w:val="00AC705F"/>
    <w:rsid w:val="00AD006A"/>
    <w:rsid w:val="00AD03BC"/>
    <w:rsid w:val="00AD0C2E"/>
    <w:rsid w:val="00AD0F4A"/>
    <w:rsid w:val="00AD1A3B"/>
    <w:rsid w:val="00AD23C4"/>
    <w:rsid w:val="00AD26D0"/>
    <w:rsid w:val="00AD41D2"/>
    <w:rsid w:val="00AD4CB2"/>
    <w:rsid w:val="00AD526E"/>
    <w:rsid w:val="00AD6406"/>
    <w:rsid w:val="00AD70BE"/>
    <w:rsid w:val="00AD72D0"/>
    <w:rsid w:val="00AE0291"/>
    <w:rsid w:val="00AE09CE"/>
    <w:rsid w:val="00AE142F"/>
    <w:rsid w:val="00AE1B4D"/>
    <w:rsid w:val="00AE1C47"/>
    <w:rsid w:val="00AE2372"/>
    <w:rsid w:val="00AE2566"/>
    <w:rsid w:val="00AE26AA"/>
    <w:rsid w:val="00AE6178"/>
    <w:rsid w:val="00AE6D9E"/>
    <w:rsid w:val="00AF057A"/>
    <w:rsid w:val="00AF3959"/>
    <w:rsid w:val="00AF3AB4"/>
    <w:rsid w:val="00AF3C89"/>
    <w:rsid w:val="00AF4A98"/>
    <w:rsid w:val="00AF74C1"/>
    <w:rsid w:val="00AF79EF"/>
    <w:rsid w:val="00B00939"/>
    <w:rsid w:val="00B0224F"/>
    <w:rsid w:val="00B02F95"/>
    <w:rsid w:val="00B05AC9"/>
    <w:rsid w:val="00B05B59"/>
    <w:rsid w:val="00B05DD0"/>
    <w:rsid w:val="00B060AF"/>
    <w:rsid w:val="00B07871"/>
    <w:rsid w:val="00B078B1"/>
    <w:rsid w:val="00B07BA2"/>
    <w:rsid w:val="00B10404"/>
    <w:rsid w:val="00B10703"/>
    <w:rsid w:val="00B11A1D"/>
    <w:rsid w:val="00B11AA6"/>
    <w:rsid w:val="00B11EF4"/>
    <w:rsid w:val="00B12A91"/>
    <w:rsid w:val="00B148FE"/>
    <w:rsid w:val="00B16979"/>
    <w:rsid w:val="00B16C16"/>
    <w:rsid w:val="00B1728E"/>
    <w:rsid w:val="00B1792E"/>
    <w:rsid w:val="00B2150A"/>
    <w:rsid w:val="00B23094"/>
    <w:rsid w:val="00B230DF"/>
    <w:rsid w:val="00B231FD"/>
    <w:rsid w:val="00B2373B"/>
    <w:rsid w:val="00B238C2"/>
    <w:rsid w:val="00B23C0D"/>
    <w:rsid w:val="00B2414B"/>
    <w:rsid w:val="00B2496F"/>
    <w:rsid w:val="00B24EE1"/>
    <w:rsid w:val="00B30F4D"/>
    <w:rsid w:val="00B3223C"/>
    <w:rsid w:val="00B3331C"/>
    <w:rsid w:val="00B337DE"/>
    <w:rsid w:val="00B3498A"/>
    <w:rsid w:val="00B3567B"/>
    <w:rsid w:val="00B35BF1"/>
    <w:rsid w:val="00B376B2"/>
    <w:rsid w:val="00B37FE6"/>
    <w:rsid w:val="00B425DF"/>
    <w:rsid w:val="00B43E27"/>
    <w:rsid w:val="00B4553D"/>
    <w:rsid w:val="00B45BA0"/>
    <w:rsid w:val="00B463E0"/>
    <w:rsid w:val="00B47351"/>
    <w:rsid w:val="00B47A21"/>
    <w:rsid w:val="00B50456"/>
    <w:rsid w:val="00B50BF0"/>
    <w:rsid w:val="00B527E6"/>
    <w:rsid w:val="00B5354C"/>
    <w:rsid w:val="00B537B6"/>
    <w:rsid w:val="00B5482A"/>
    <w:rsid w:val="00B54AD5"/>
    <w:rsid w:val="00B55745"/>
    <w:rsid w:val="00B55CD5"/>
    <w:rsid w:val="00B55EAE"/>
    <w:rsid w:val="00B560A9"/>
    <w:rsid w:val="00B56204"/>
    <w:rsid w:val="00B61D05"/>
    <w:rsid w:val="00B620F0"/>
    <w:rsid w:val="00B621FB"/>
    <w:rsid w:val="00B62D2D"/>
    <w:rsid w:val="00B62EFB"/>
    <w:rsid w:val="00B63992"/>
    <w:rsid w:val="00B63B3F"/>
    <w:rsid w:val="00B64752"/>
    <w:rsid w:val="00B64BE1"/>
    <w:rsid w:val="00B65D7B"/>
    <w:rsid w:val="00B65F9D"/>
    <w:rsid w:val="00B67631"/>
    <w:rsid w:val="00B676CF"/>
    <w:rsid w:val="00B67872"/>
    <w:rsid w:val="00B72825"/>
    <w:rsid w:val="00B72A1B"/>
    <w:rsid w:val="00B72A89"/>
    <w:rsid w:val="00B72ABE"/>
    <w:rsid w:val="00B72D14"/>
    <w:rsid w:val="00B73C92"/>
    <w:rsid w:val="00B7404D"/>
    <w:rsid w:val="00B74DD4"/>
    <w:rsid w:val="00B754CF"/>
    <w:rsid w:val="00B76D51"/>
    <w:rsid w:val="00B80790"/>
    <w:rsid w:val="00B80D24"/>
    <w:rsid w:val="00B8363E"/>
    <w:rsid w:val="00B84A10"/>
    <w:rsid w:val="00B853FC"/>
    <w:rsid w:val="00B85735"/>
    <w:rsid w:val="00B85CE5"/>
    <w:rsid w:val="00B90784"/>
    <w:rsid w:val="00B92476"/>
    <w:rsid w:val="00B93104"/>
    <w:rsid w:val="00B93C0F"/>
    <w:rsid w:val="00B94A43"/>
    <w:rsid w:val="00B95324"/>
    <w:rsid w:val="00B953D5"/>
    <w:rsid w:val="00B9580F"/>
    <w:rsid w:val="00B9607F"/>
    <w:rsid w:val="00B96A16"/>
    <w:rsid w:val="00B96B80"/>
    <w:rsid w:val="00B97705"/>
    <w:rsid w:val="00B97BB9"/>
    <w:rsid w:val="00BA0629"/>
    <w:rsid w:val="00BA08EC"/>
    <w:rsid w:val="00BA1604"/>
    <w:rsid w:val="00BA1A8D"/>
    <w:rsid w:val="00BA1C3B"/>
    <w:rsid w:val="00BA1EFD"/>
    <w:rsid w:val="00BA34AC"/>
    <w:rsid w:val="00BA3FCE"/>
    <w:rsid w:val="00BA5CC6"/>
    <w:rsid w:val="00BA6B30"/>
    <w:rsid w:val="00BB3B8F"/>
    <w:rsid w:val="00BB6E46"/>
    <w:rsid w:val="00BC0ACC"/>
    <w:rsid w:val="00BC0AD6"/>
    <w:rsid w:val="00BC378A"/>
    <w:rsid w:val="00BC523D"/>
    <w:rsid w:val="00BC5627"/>
    <w:rsid w:val="00BC5B2C"/>
    <w:rsid w:val="00BC5E37"/>
    <w:rsid w:val="00BC795A"/>
    <w:rsid w:val="00BC7A94"/>
    <w:rsid w:val="00BC7AFB"/>
    <w:rsid w:val="00BD00C2"/>
    <w:rsid w:val="00BD0639"/>
    <w:rsid w:val="00BD0BEE"/>
    <w:rsid w:val="00BD1991"/>
    <w:rsid w:val="00BD2D4D"/>
    <w:rsid w:val="00BD2DE2"/>
    <w:rsid w:val="00BD3DC7"/>
    <w:rsid w:val="00BD4032"/>
    <w:rsid w:val="00BD44C0"/>
    <w:rsid w:val="00BD5AAC"/>
    <w:rsid w:val="00BD5BE9"/>
    <w:rsid w:val="00BD6B32"/>
    <w:rsid w:val="00BD779A"/>
    <w:rsid w:val="00BD7891"/>
    <w:rsid w:val="00BE0F97"/>
    <w:rsid w:val="00BE13A2"/>
    <w:rsid w:val="00BE1427"/>
    <w:rsid w:val="00BE3E20"/>
    <w:rsid w:val="00BE3F5E"/>
    <w:rsid w:val="00BE4658"/>
    <w:rsid w:val="00BE481F"/>
    <w:rsid w:val="00BE4942"/>
    <w:rsid w:val="00BE4FB5"/>
    <w:rsid w:val="00BE6899"/>
    <w:rsid w:val="00BE7497"/>
    <w:rsid w:val="00BF0799"/>
    <w:rsid w:val="00BF100D"/>
    <w:rsid w:val="00BF147A"/>
    <w:rsid w:val="00BF1836"/>
    <w:rsid w:val="00BF2D8E"/>
    <w:rsid w:val="00BF38EB"/>
    <w:rsid w:val="00BF41FF"/>
    <w:rsid w:val="00BF5014"/>
    <w:rsid w:val="00BF5468"/>
    <w:rsid w:val="00BF5F50"/>
    <w:rsid w:val="00BF6654"/>
    <w:rsid w:val="00C01934"/>
    <w:rsid w:val="00C01BEC"/>
    <w:rsid w:val="00C02973"/>
    <w:rsid w:val="00C02F10"/>
    <w:rsid w:val="00C05A7E"/>
    <w:rsid w:val="00C06574"/>
    <w:rsid w:val="00C07BA9"/>
    <w:rsid w:val="00C106DC"/>
    <w:rsid w:val="00C10D09"/>
    <w:rsid w:val="00C11977"/>
    <w:rsid w:val="00C12564"/>
    <w:rsid w:val="00C12BCC"/>
    <w:rsid w:val="00C13E9A"/>
    <w:rsid w:val="00C13F5F"/>
    <w:rsid w:val="00C13F8D"/>
    <w:rsid w:val="00C14135"/>
    <w:rsid w:val="00C15A6F"/>
    <w:rsid w:val="00C15B74"/>
    <w:rsid w:val="00C1680C"/>
    <w:rsid w:val="00C1698E"/>
    <w:rsid w:val="00C16B7A"/>
    <w:rsid w:val="00C21CE4"/>
    <w:rsid w:val="00C23DC8"/>
    <w:rsid w:val="00C2410C"/>
    <w:rsid w:val="00C25752"/>
    <w:rsid w:val="00C261FB"/>
    <w:rsid w:val="00C26315"/>
    <w:rsid w:val="00C26A2B"/>
    <w:rsid w:val="00C26DBE"/>
    <w:rsid w:val="00C27FE2"/>
    <w:rsid w:val="00C311D8"/>
    <w:rsid w:val="00C31D2D"/>
    <w:rsid w:val="00C329F2"/>
    <w:rsid w:val="00C3366A"/>
    <w:rsid w:val="00C33993"/>
    <w:rsid w:val="00C34980"/>
    <w:rsid w:val="00C34BA2"/>
    <w:rsid w:val="00C34E42"/>
    <w:rsid w:val="00C34F7C"/>
    <w:rsid w:val="00C3547D"/>
    <w:rsid w:val="00C358EC"/>
    <w:rsid w:val="00C371EF"/>
    <w:rsid w:val="00C3751D"/>
    <w:rsid w:val="00C37650"/>
    <w:rsid w:val="00C37D9C"/>
    <w:rsid w:val="00C40F0C"/>
    <w:rsid w:val="00C41FE4"/>
    <w:rsid w:val="00C422EE"/>
    <w:rsid w:val="00C4249F"/>
    <w:rsid w:val="00C430F2"/>
    <w:rsid w:val="00C439DF"/>
    <w:rsid w:val="00C43C78"/>
    <w:rsid w:val="00C440CB"/>
    <w:rsid w:val="00C46A10"/>
    <w:rsid w:val="00C46C2E"/>
    <w:rsid w:val="00C46D7A"/>
    <w:rsid w:val="00C47288"/>
    <w:rsid w:val="00C473D9"/>
    <w:rsid w:val="00C474D1"/>
    <w:rsid w:val="00C4760E"/>
    <w:rsid w:val="00C47C4D"/>
    <w:rsid w:val="00C51B63"/>
    <w:rsid w:val="00C52230"/>
    <w:rsid w:val="00C52C9F"/>
    <w:rsid w:val="00C5317C"/>
    <w:rsid w:val="00C540F5"/>
    <w:rsid w:val="00C54864"/>
    <w:rsid w:val="00C5498E"/>
    <w:rsid w:val="00C55FAD"/>
    <w:rsid w:val="00C5612F"/>
    <w:rsid w:val="00C562C0"/>
    <w:rsid w:val="00C56603"/>
    <w:rsid w:val="00C6065D"/>
    <w:rsid w:val="00C60DCB"/>
    <w:rsid w:val="00C60F73"/>
    <w:rsid w:val="00C641FA"/>
    <w:rsid w:val="00C64269"/>
    <w:rsid w:val="00C644E2"/>
    <w:rsid w:val="00C64589"/>
    <w:rsid w:val="00C64D7B"/>
    <w:rsid w:val="00C6510E"/>
    <w:rsid w:val="00C6518D"/>
    <w:rsid w:val="00C67D77"/>
    <w:rsid w:val="00C67F0E"/>
    <w:rsid w:val="00C70064"/>
    <w:rsid w:val="00C70DEB"/>
    <w:rsid w:val="00C7202B"/>
    <w:rsid w:val="00C72604"/>
    <w:rsid w:val="00C72DFE"/>
    <w:rsid w:val="00C7346D"/>
    <w:rsid w:val="00C73EA7"/>
    <w:rsid w:val="00C8081A"/>
    <w:rsid w:val="00C80BC2"/>
    <w:rsid w:val="00C81017"/>
    <w:rsid w:val="00C810AC"/>
    <w:rsid w:val="00C810C3"/>
    <w:rsid w:val="00C81A4B"/>
    <w:rsid w:val="00C83686"/>
    <w:rsid w:val="00C849EE"/>
    <w:rsid w:val="00C86A76"/>
    <w:rsid w:val="00C86D43"/>
    <w:rsid w:val="00C90F9E"/>
    <w:rsid w:val="00C91D9F"/>
    <w:rsid w:val="00C925D2"/>
    <w:rsid w:val="00C93B68"/>
    <w:rsid w:val="00C93DA5"/>
    <w:rsid w:val="00C93ED7"/>
    <w:rsid w:val="00C9409A"/>
    <w:rsid w:val="00C9486F"/>
    <w:rsid w:val="00C95F16"/>
    <w:rsid w:val="00C96BFB"/>
    <w:rsid w:val="00CA17A3"/>
    <w:rsid w:val="00CA1E81"/>
    <w:rsid w:val="00CA31BA"/>
    <w:rsid w:val="00CA3C3C"/>
    <w:rsid w:val="00CA5907"/>
    <w:rsid w:val="00CA5F30"/>
    <w:rsid w:val="00CA6472"/>
    <w:rsid w:val="00CA6DBC"/>
    <w:rsid w:val="00CB0850"/>
    <w:rsid w:val="00CB1F09"/>
    <w:rsid w:val="00CB24D6"/>
    <w:rsid w:val="00CB3429"/>
    <w:rsid w:val="00CB3515"/>
    <w:rsid w:val="00CB4567"/>
    <w:rsid w:val="00CB5001"/>
    <w:rsid w:val="00CB61AD"/>
    <w:rsid w:val="00CB65C6"/>
    <w:rsid w:val="00CB7BE7"/>
    <w:rsid w:val="00CC012B"/>
    <w:rsid w:val="00CC11E7"/>
    <w:rsid w:val="00CC146E"/>
    <w:rsid w:val="00CC1C01"/>
    <w:rsid w:val="00CC209B"/>
    <w:rsid w:val="00CC4E20"/>
    <w:rsid w:val="00CC5C5D"/>
    <w:rsid w:val="00CC5E31"/>
    <w:rsid w:val="00CC73A3"/>
    <w:rsid w:val="00CD12A5"/>
    <w:rsid w:val="00CD2040"/>
    <w:rsid w:val="00CD2361"/>
    <w:rsid w:val="00CD3806"/>
    <w:rsid w:val="00CD3CB6"/>
    <w:rsid w:val="00CD45CF"/>
    <w:rsid w:val="00CD4F89"/>
    <w:rsid w:val="00CD55F2"/>
    <w:rsid w:val="00CD5A35"/>
    <w:rsid w:val="00CD68A2"/>
    <w:rsid w:val="00CD76A6"/>
    <w:rsid w:val="00CD7994"/>
    <w:rsid w:val="00CD7BE6"/>
    <w:rsid w:val="00CD7DE3"/>
    <w:rsid w:val="00CE003A"/>
    <w:rsid w:val="00CE0667"/>
    <w:rsid w:val="00CE09B2"/>
    <w:rsid w:val="00CE0EE7"/>
    <w:rsid w:val="00CE161C"/>
    <w:rsid w:val="00CE18F8"/>
    <w:rsid w:val="00CE19D8"/>
    <w:rsid w:val="00CE2D63"/>
    <w:rsid w:val="00CE34F0"/>
    <w:rsid w:val="00CE5F01"/>
    <w:rsid w:val="00CE694E"/>
    <w:rsid w:val="00CE6A6C"/>
    <w:rsid w:val="00CE7D1E"/>
    <w:rsid w:val="00CF0057"/>
    <w:rsid w:val="00CF0495"/>
    <w:rsid w:val="00CF0F14"/>
    <w:rsid w:val="00CF266D"/>
    <w:rsid w:val="00CF316A"/>
    <w:rsid w:val="00CF3854"/>
    <w:rsid w:val="00CF408F"/>
    <w:rsid w:val="00CF44B4"/>
    <w:rsid w:val="00CF48CE"/>
    <w:rsid w:val="00CF48F4"/>
    <w:rsid w:val="00CF626E"/>
    <w:rsid w:val="00CF671E"/>
    <w:rsid w:val="00CF6D58"/>
    <w:rsid w:val="00CF6FB3"/>
    <w:rsid w:val="00CF72EF"/>
    <w:rsid w:val="00CF7F3D"/>
    <w:rsid w:val="00D00025"/>
    <w:rsid w:val="00D0038D"/>
    <w:rsid w:val="00D01A2F"/>
    <w:rsid w:val="00D035B4"/>
    <w:rsid w:val="00D03E7E"/>
    <w:rsid w:val="00D0461B"/>
    <w:rsid w:val="00D05653"/>
    <w:rsid w:val="00D06542"/>
    <w:rsid w:val="00D11146"/>
    <w:rsid w:val="00D114EA"/>
    <w:rsid w:val="00D134B5"/>
    <w:rsid w:val="00D13BF2"/>
    <w:rsid w:val="00D13E0E"/>
    <w:rsid w:val="00D14F1F"/>
    <w:rsid w:val="00D2024C"/>
    <w:rsid w:val="00D205EA"/>
    <w:rsid w:val="00D22118"/>
    <w:rsid w:val="00D221C4"/>
    <w:rsid w:val="00D224DA"/>
    <w:rsid w:val="00D22A10"/>
    <w:rsid w:val="00D22F5D"/>
    <w:rsid w:val="00D2343C"/>
    <w:rsid w:val="00D23A3E"/>
    <w:rsid w:val="00D25366"/>
    <w:rsid w:val="00D273E9"/>
    <w:rsid w:val="00D313D8"/>
    <w:rsid w:val="00D3140D"/>
    <w:rsid w:val="00D3217A"/>
    <w:rsid w:val="00D32C63"/>
    <w:rsid w:val="00D341BE"/>
    <w:rsid w:val="00D35DDA"/>
    <w:rsid w:val="00D37268"/>
    <w:rsid w:val="00D37940"/>
    <w:rsid w:val="00D40DEB"/>
    <w:rsid w:val="00D41156"/>
    <w:rsid w:val="00D4132F"/>
    <w:rsid w:val="00D42561"/>
    <w:rsid w:val="00D427C1"/>
    <w:rsid w:val="00D42C55"/>
    <w:rsid w:val="00D45E2D"/>
    <w:rsid w:val="00D50E1F"/>
    <w:rsid w:val="00D5159F"/>
    <w:rsid w:val="00D51BEF"/>
    <w:rsid w:val="00D53793"/>
    <w:rsid w:val="00D53C11"/>
    <w:rsid w:val="00D54A97"/>
    <w:rsid w:val="00D5510E"/>
    <w:rsid w:val="00D60156"/>
    <w:rsid w:val="00D614E8"/>
    <w:rsid w:val="00D61D3F"/>
    <w:rsid w:val="00D62B51"/>
    <w:rsid w:val="00D6340D"/>
    <w:rsid w:val="00D63A73"/>
    <w:rsid w:val="00D640BA"/>
    <w:rsid w:val="00D6468A"/>
    <w:rsid w:val="00D67957"/>
    <w:rsid w:val="00D70EB7"/>
    <w:rsid w:val="00D72AA8"/>
    <w:rsid w:val="00D73033"/>
    <w:rsid w:val="00D742F9"/>
    <w:rsid w:val="00D761EE"/>
    <w:rsid w:val="00D772F5"/>
    <w:rsid w:val="00D777D9"/>
    <w:rsid w:val="00D813B9"/>
    <w:rsid w:val="00D81A26"/>
    <w:rsid w:val="00D8228A"/>
    <w:rsid w:val="00D8454F"/>
    <w:rsid w:val="00D85211"/>
    <w:rsid w:val="00D860BB"/>
    <w:rsid w:val="00D869B5"/>
    <w:rsid w:val="00D872AD"/>
    <w:rsid w:val="00D87E90"/>
    <w:rsid w:val="00D900D2"/>
    <w:rsid w:val="00D90825"/>
    <w:rsid w:val="00D9146F"/>
    <w:rsid w:val="00D919FD"/>
    <w:rsid w:val="00D91E51"/>
    <w:rsid w:val="00D92925"/>
    <w:rsid w:val="00D92A83"/>
    <w:rsid w:val="00D933E3"/>
    <w:rsid w:val="00D9415B"/>
    <w:rsid w:val="00D97068"/>
    <w:rsid w:val="00D9748B"/>
    <w:rsid w:val="00D97998"/>
    <w:rsid w:val="00DA20D0"/>
    <w:rsid w:val="00DA54E6"/>
    <w:rsid w:val="00DA5BEA"/>
    <w:rsid w:val="00DA6CFF"/>
    <w:rsid w:val="00DB0DF6"/>
    <w:rsid w:val="00DB1C9D"/>
    <w:rsid w:val="00DB4526"/>
    <w:rsid w:val="00DB4A07"/>
    <w:rsid w:val="00DB4E93"/>
    <w:rsid w:val="00DB5083"/>
    <w:rsid w:val="00DB51B5"/>
    <w:rsid w:val="00DB6133"/>
    <w:rsid w:val="00DB72CA"/>
    <w:rsid w:val="00DB76F3"/>
    <w:rsid w:val="00DB7B18"/>
    <w:rsid w:val="00DB7DB3"/>
    <w:rsid w:val="00DC0662"/>
    <w:rsid w:val="00DC1F82"/>
    <w:rsid w:val="00DC2465"/>
    <w:rsid w:val="00DC303A"/>
    <w:rsid w:val="00DC32C2"/>
    <w:rsid w:val="00DC65CD"/>
    <w:rsid w:val="00DD02AE"/>
    <w:rsid w:val="00DD0CA8"/>
    <w:rsid w:val="00DD0DAF"/>
    <w:rsid w:val="00DD132E"/>
    <w:rsid w:val="00DD1823"/>
    <w:rsid w:val="00DD1A4A"/>
    <w:rsid w:val="00DD40E7"/>
    <w:rsid w:val="00DD45F0"/>
    <w:rsid w:val="00DD4C89"/>
    <w:rsid w:val="00DD4DB0"/>
    <w:rsid w:val="00DD4E3B"/>
    <w:rsid w:val="00DD5B6F"/>
    <w:rsid w:val="00DD60BD"/>
    <w:rsid w:val="00DD69CB"/>
    <w:rsid w:val="00DD6C86"/>
    <w:rsid w:val="00DD7A38"/>
    <w:rsid w:val="00DE27B5"/>
    <w:rsid w:val="00DE292E"/>
    <w:rsid w:val="00DE579E"/>
    <w:rsid w:val="00DE5CD4"/>
    <w:rsid w:val="00DE695B"/>
    <w:rsid w:val="00DE7B02"/>
    <w:rsid w:val="00DF1836"/>
    <w:rsid w:val="00DF1A20"/>
    <w:rsid w:val="00DF2289"/>
    <w:rsid w:val="00DF32BB"/>
    <w:rsid w:val="00DF39D3"/>
    <w:rsid w:val="00DF6C12"/>
    <w:rsid w:val="00E00C83"/>
    <w:rsid w:val="00E01E73"/>
    <w:rsid w:val="00E02058"/>
    <w:rsid w:val="00E024F1"/>
    <w:rsid w:val="00E03F20"/>
    <w:rsid w:val="00E05199"/>
    <w:rsid w:val="00E05E5B"/>
    <w:rsid w:val="00E10954"/>
    <w:rsid w:val="00E10FA7"/>
    <w:rsid w:val="00E117CE"/>
    <w:rsid w:val="00E11BC4"/>
    <w:rsid w:val="00E122BE"/>
    <w:rsid w:val="00E124ED"/>
    <w:rsid w:val="00E1288A"/>
    <w:rsid w:val="00E1598C"/>
    <w:rsid w:val="00E1625A"/>
    <w:rsid w:val="00E17305"/>
    <w:rsid w:val="00E201D7"/>
    <w:rsid w:val="00E21445"/>
    <w:rsid w:val="00E21AEF"/>
    <w:rsid w:val="00E2215C"/>
    <w:rsid w:val="00E2228B"/>
    <w:rsid w:val="00E22C0B"/>
    <w:rsid w:val="00E230C8"/>
    <w:rsid w:val="00E23671"/>
    <w:rsid w:val="00E2368C"/>
    <w:rsid w:val="00E26C2C"/>
    <w:rsid w:val="00E26FC8"/>
    <w:rsid w:val="00E27039"/>
    <w:rsid w:val="00E274AF"/>
    <w:rsid w:val="00E30832"/>
    <w:rsid w:val="00E31414"/>
    <w:rsid w:val="00E31433"/>
    <w:rsid w:val="00E31B03"/>
    <w:rsid w:val="00E31C03"/>
    <w:rsid w:val="00E34527"/>
    <w:rsid w:val="00E347A2"/>
    <w:rsid w:val="00E351A7"/>
    <w:rsid w:val="00E353E6"/>
    <w:rsid w:val="00E35433"/>
    <w:rsid w:val="00E3552D"/>
    <w:rsid w:val="00E3588F"/>
    <w:rsid w:val="00E3699C"/>
    <w:rsid w:val="00E40CD5"/>
    <w:rsid w:val="00E40ED4"/>
    <w:rsid w:val="00E4186A"/>
    <w:rsid w:val="00E42A39"/>
    <w:rsid w:val="00E42AC8"/>
    <w:rsid w:val="00E430DC"/>
    <w:rsid w:val="00E43D24"/>
    <w:rsid w:val="00E44992"/>
    <w:rsid w:val="00E455EF"/>
    <w:rsid w:val="00E4688A"/>
    <w:rsid w:val="00E4750A"/>
    <w:rsid w:val="00E50A51"/>
    <w:rsid w:val="00E50AF1"/>
    <w:rsid w:val="00E50FBD"/>
    <w:rsid w:val="00E5139D"/>
    <w:rsid w:val="00E51B47"/>
    <w:rsid w:val="00E51FAD"/>
    <w:rsid w:val="00E532A6"/>
    <w:rsid w:val="00E5480D"/>
    <w:rsid w:val="00E55863"/>
    <w:rsid w:val="00E55CA3"/>
    <w:rsid w:val="00E55F38"/>
    <w:rsid w:val="00E5678F"/>
    <w:rsid w:val="00E57223"/>
    <w:rsid w:val="00E5761C"/>
    <w:rsid w:val="00E57AC8"/>
    <w:rsid w:val="00E6093D"/>
    <w:rsid w:val="00E60EAA"/>
    <w:rsid w:val="00E622DB"/>
    <w:rsid w:val="00E623AC"/>
    <w:rsid w:val="00E6280F"/>
    <w:rsid w:val="00E62D76"/>
    <w:rsid w:val="00E63042"/>
    <w:rsid w:val="00E63F30"/>
    <w:rsid w:val="00E64BC9"/>
    <w:rsid w:val="00E6531C"/>
    <w:rsid w:val="00E65CDE"/>
    <w:rsid w:val="00E670A5"/>
    <w:rsid w:val="00E674EB"/>
    <w:rsid w:val="00E67CF9"/>
    <w:rsid w:val="00E700D8"/>
    <w:rsid w:val="00E70126"/>
    <w:rsid w:val="00E712AA"/>
    <w:rsid w:val="00E71BB5"/>
    <w:rsid w:val="00E7202A"/>
    <w:rsid w:val="00E73CD8"/>
    <w:rsid w:val="00E73FCE"/>
    <w:rsid w:val="00E7433D"/>
    <w:rsid w:val="00E743E4"/>
    <w:rsid w:val="00E74BDF"/>
    <w:rsid w:val="00E76523"/>
    <w:rsid w:val="00E76DFA"/>
    <w:rsid w:val="00E771A7"/>
    <w:rsid w:val="00E77544"/>
    <w:rsid w:val="00E776C2"/>
    <w:rsid w:val="00E779AC"/>
    <w:rsid w:val="00E77F65"/>
    <w:rsid w:val="00E80A4A"/>
    <w:rsid w:val="00E80D67"/>
    <w:rsid w:val="00E81700"/>
    <w:rsid w:val="00E81F5A"/>
    <w:rsid w:val="00E824D6"/>
    <w:rsid w:val="00E82CE4"/>
    <w:rsid w:val="00E83158"/>
    <w:rsid w:val="00E833D4"/>
    <w:rsid w:val="00E83B24"/>
    <w:rsid w:val="00E846DB"/>
    <w:rsid w:val="00E861BD"/>
    <w:rsid w:val="00E90221"/>
    <w:rsid w:val="00E904C7"/>
    <w:rsid w:val="00E92A3E"/>
    <w:rsid w:val="00E92A84"/>
    <w:rsid w:val="00E93F07"/>
    <w:rsid w:val="00E94750"/>
    <w:rsid w:val="00E951E2"/>
    <w:rsid w:val="00E960DB"/>
    <w:rsid w:val="00E966A6"/>
    <w:rsid w:val="00E96FF2"/>
    <w:rsid w:val="00EA0504"/>
    <w:rsid w:val="00EA0ED4"/>
    <w:rsid w:val="00EA20B0"/>
    <w:rsid w:val="00EA29BE"/>
    <w:rsid w:val="00EA2A11"/>
    <w:rsid w:val="00EA36CE"/>
    <w:rsid w:val="00EA3922"/>
    <w:rsid w:val="00EA392F"/>
    <w:rsid w:val="00EA3DC3"/>
    <w:rsid w:val="00EA3DE1"/>
    <w:rsid w:val="00EA4553"/>
    <w:rsid w:val="00EA5968"/>
    <w:rsid w:val="00EA5CAC"/>
    <w:rsid w:val="00EA5D30"/>
    <w:rsid w:val="00EA7BA4"/>
    <w:rsid w:val="00EA7BC6"/>
    <w:rsid w:val="00EA7F46"/>
    <w:rsid w:val="00EB022C"/>
    <w:rsid w:val="00EB05C3"/>
    <w:rsid w:val="00EB11D7"/>
    <w:rsid w:val="00EB20EF"/>
    <w:rsid w:val="00EB214B"/>
    <w:rsid w:val="00EB2607"/>
    <w:rsid w:val="00EB32F7"/>
    <w:rsid w:val="00EB42CE"/>
    <w:rsid w:val="00EB477F"/>
    <w:rsid w:val="00EB4A27"/>
    <w:rsid w:val="00EB5017"/>
    <w:rsid w:val="00EB53A0"/>
    <w:rsid w:val="00EB7AF1"/>
    <w:rsid w:val="00EC016D"/>
    <w:rsid w:val="00EC01F3"/>
    <w:rsid w:val="00EC0720"/>
    <w:rsid w:val="00EC0EA5"/>
    <w:rsid w:val="00EC3041"/>
    <w:rsid w:val="00EC31A6"/>
    <w:rsid w:val="00EC32D0"/>
    <w:rsid w:val="00EC3963"/>
    <w:rsid w:val="00EC5336"/>
    <w:rsid w:val="00EC672D"/>
    <w:rsid w:val="00ED099F"/>
    <w:rsid w:val="00ED0FE7"/>
    <w:rsid w:val="00ED101C"/>
    <w:rsid w:val="00ED1413"/>
    <w:rsid w:val="00ED15F4"/>
    <w:rsid w:val="00ED26F6"/>
    <w:rsid w:val="00ED3831"/>
    <w:rsid w:val="00ED5185"/>
    <w:rsid w:val="00ED63EE"/>
    <w:rsid w:val="00ED6D05"/>
    <w:rsid w:val="00ED6FF4"/>
    <w:rsid w:val="00ED7175"/>
    <w:rsid w:val="00ED76C1"/>
    <w:rsid w:val="00ED7CE9"/>
    <w:rsid w:val="00EE2220"/>
    <w:rsid w:val="00EE3E9F"/>
    <w:rsid w:val="00EE4580"/>
    <w:rsid w:val="00EE52CC"/>
    <w:rsid w:val="00EE58A6"/>
    <w:rsid w:val="00EE6A92"/>
    <w:rsid w:val="00EE6C40"/>
    <w:rsid w:val="00EF0511"/>
    <w:rsid w:val="00EF0B04"/>
    <w:rsid w:val="00EF14C4"/>
    <w:rsid w:val="00EF1709"/>
    <w:rsid w:val="00EF1737"/>
    <w:rsid w:val="00EF1D35"/>
    <w:rsid w:val="00EF2C5A"/>
    <w:rsid w:val="00EF3D4A"/>
    <w:rsid w:val="00EF421F"/>
    <w:rsid w:val="00EF53A1"/>
    <w:rsid w:val="00EF5521"/>
    <w:rsid w:val="00EF602D"/>
    <w:rsid w:val="00EF692C"/>
    <w:rsid w:val="00EF6EC7"/>
    <w:rsid w:val="00EF6F9A"/>
    <w:rsid w:val="00EF7471"/>
    <w:rsid w:val="00EF7504"/>
    <w:rsid w:val="00F0011F"/>
    <w:rsid w:val="00F00CE5"/>
    <w:rsid w:val="00F00EB0"/>
    <w:rsid w:val="00F012AC"/>
    <w:rsid w:val="00F022CA"/>
    <w:rsid w:val="00F034B7"/>
    <w:rsid w:val="00F0410A"/>
    <w:rsid w:val="00F0460E"/>
    <w:rsid w:val="00F05605"/>
    <w:rsid w:val="00F05EAB"/>
    <w:rsid w:val="00F06AAC"/>
    <w:rsid w:val="00F071C5"/>
    <w:rsid w:val="00F07392"/>
    <w:rsid w:val="00F07C1E"/>
    <w:rsid w:val="00F10064"/>
    <w:rsid w:val="00F10491"/>
    <w:rsid w:val="00F10BA3"/>
    <w:rsid w:val="00F10F9F"/>
    <w:rsid w:val="00F1175E"/>
    <w:rsid w:val="00F1182B"/>
    <w:rsid w:val="00F1386C"/>
    <w:rsid w:val="00F14992"/>
    <w:rsid w:val="00F14AF3"/>
    <w:rsid w:val="00F14DDD"/>
    <w:rsid w:val="00F15930"/>
    <w:rsid w:val="00F168E6"/>
    <w:rsid w:val="00F17876"/>
    <w:rsid w:val="00F17CE3"/>
    <w:rsid w:val="00F20BB0"/>
    <w:rsid w:val="00F215C3"/>
    <w:rsid w:val="00F21E09"/>
    <w:rsid w:val="00F22268"/>
    <w:rsid w:val="00F23354"/>
    <w:rsid w:val="00F236B8"/>
    <w:rsid w:val="00F24180"/>
    <w:rsid w:val="00F25A2C"/>
    <w:rsid w:val="00F27345"/>
    <w:rsid w:val="00F30420"/>
    <w:rsid w:val="00F30985"/>
    <w:rsid w:val="00F310EB"/>
    <w:rsid w:val="00F31216"/>
    <w:rsid w:val="00F33840"/>
    <w:rsid w:val="00F344BE"/>
    <w:rsid w:val="00F34545"/>
    <w:rsid w:val="00F34A68"/>
    <w:rsid w:val="00F34ACC"/>
    <w:rsid w:val="00F34B59"/>
    <w:rsid w:val="00F3547E"/>
    <w:rsid w:val="00F37727"/>
    <w:rsid w:val="00F37B63"/>
    <w:rsid w:val="00F43893"/>
    <w:rsid w:val="00F438E5"/>
    <w:rsid w:val="00F43DF7"/>
    <w:rsid w:val="00F43F78"/>
    <w:rsid w:val="00F4525E"/>
    <w:rsid w:val="00F45DCB"/>
    <w:rsid w:val="00F468D3"/>
    <w:rsid w:val="00F472C9"/>
    <w:rsid w:val="00F47311"/>
    <w:rsid w:val="00F47D4A"/>
    <w:rsid w:val="00F47FDE"/>
    <w:rsid w:val="00F504ED"/>
    <w:rsid w:val="00F50B5A"/>
    <w:rsid w:val="00F51335"/>
    <w:rsid w:val="00F51450"/>
    <w:rsid w:val="00F5177E"/>
    <w:rsid w:val="00F52A8D"/>
    <w:rsid w:val="00F537DF"/>
    <w:rsid w:val="00F5450D"/>
    <w:rsid w:val="00F54C6B"/>
    <w:rsid w:val="00F559F4"/>
    <w:rsid w:val="00F55B65"/>
    <w:rsid w:val="00F5712E"/>
    <w:rsid w:val="00F57208"/>
    <w:rsid w:val="00F6141F"/>
    <w:rsid w:val="00F61489"/>
    <w:rsid w:val="00F61C90"/>
    <w:rsid w:val="00F61DCF"/>
    <w:rsid w:val="00F622C9"/>
    <w:rsid w:val="00F623EE"/>
    <w:rsid w:val="00F62E9E"/>
    <w:rsid w:val="00F63D88"/>
    <w:rsid w:val="00F63DA8"/>
    <w:rsid w:val="00F64069"/>
    <w:rsid w:val="00F65388"/>
    <w:rsid w:val="00F654A5"/>
    <w:rsid w:val="00F6574B"/>
    <w:rsid w:val="00F66EA9"/>
    <w:rsid w:val="00F709E9"/>
    <w:rsid w:val="00F70E7B"/>
    <w:rsid w:val="00F72059"/>
    <w:rsid w:val="00F724C2"/>
    <w:rsid w:val="00F727F8"/>
    <w:rsid w:val="00F740F0"/>
    <w:rsid w:val="00F7460B"/>
    <w:rsid w:val="00F74A1D"/>
    <w:rsid w:val="00F74B66"/>
    <w:rsid w:val="00F800CF"/>
    <w:rsid w:val="00F80C9A"/>
    <w:rsid w:val="00F81102"/>
    <w:rsid w:val="00F818D6"/>
    <w:rsid w:val="00F81961"/>
    <w:rsid w:val="00F81D87"/>
    <w:rsid w:val="00F827B4"/>
    <w:rsid w:val="00F82A92"/>
    <w:rsid w:val="00F83DC2"/>
    <w:rsid w:val="00F86098"/>
    <w:rsid w:val="00F86918"/>
    <w:rsid w:val="00F8735F"/>
    <w:rsid w:val="00F9005D"/>
    <w:rsid w:val="00F90BBB"/>
    <w:rsid w:val="00F91DAE"/>
    <w:rsid w:val="00F91F5B"/>
    <w:rsid w:val="00F923AA"/>
    <w:rsid w:val="00F923C1"/>
    <w:rsid w:val="00F92F4A"/>
    <w:rsid w:val="00F93F1F"/>
    <w:rsid w:val="00F94F31"/>
    <w:rsid w:val="00F952DA"/>
    <w:rsid w:val="00F957D3"/>
    <w:rsid w:val="00F96C30"/>
    <w:rsid w:val="00F97F69"/>
    <w:rsid w:val="00FA0978"/>
    <w:rsid w:val="00FA0A97"/>
    <w:rsid w:val="00FA13BF"/>
    <w:rsid w:val="00FA311E"/>
    <w:rsid w:val="00FA3258"/>
    <w:rsid w:val="00FA3EE5"/>
    <w:rsid w:val="00FA5A61"/>
    <w:rsid w:val="00FA6D20"/>
    <w:rsid w:val="00FB015F"/>
    <w:rsid w:val="00FB072A"/>
    <w:rsid w:val="00FB08FF"/>
    <w:rsid w:val="00FB2553"/>
    <w:rsid w:val="00FB2BDD"/>
    <w:rsid w:val="00FB2C97"/>
    <w:rsid w:val="00FB3182"/>
    <w:rsid w:val="00FB3D66"/>
    <w:rsid w:val="00FB4A98"/>
    <w:rsid w:val="00FB60C4"/>
    <w:rsid w:val="00FB738A"/>
    <w:rsid w:val="00FC0F99"/>
    <w:rsid w:val="00FC0FD8"/>
    <w:rsid w:val="00FC12C1"/>
    <w:rsid w:val="00FC195C"/>
    <w:rsid w:val="00FC26E7"/>
    <w:rsid w:val="00FC28EA"/>
    <w:rsid w:val="00FC3B33"/>
    <w:rsid w:val="00FC3C41"/>
    <w:rsid w:val="00FC4AF4"/>
    <w:rsid w:val="00FC4C7F"/>
    <w:rsid w:val="00FC7A7C"/>
    <w:rsid w:val="00FD232A"/>
    <w:rsid w:val="00FD3CD8"/>
    <w:rsid w:val="00FD4372"/>
    <w:rsid w:val="00FD4D53"/>
    <w:rsid w:val="00FD4E29"/>
    <w:rsid w:val="00FD4E86"/>
    <w:rsid w:val="00FD4F15"/>
    <w:rsid w:val="00FD5AE0"/>
    <w:rsid w:val="00FD6148"/>
    <w:rsid w:val="00FD6532"/>
    <w:rsid w:val="00FD715B"/>
    <w:rsid w:val="00FE088B"/>
    <w:rsid w:val="00FE0964"/>
    <w:rsid w:val="00FE0FB1"/>
    <w:rsid w:val="00FE19D9"/>
    <w:rsid w:val="00FE24E9"/>
    <w:rsid w:val="00FE27BA"/>
    <w:rsid w:val="00FE4E56"/>
    <w:rsid w:val="00FE5975"/>
    <w:rsid w:val="00FE5E86"/>
    <w:rsid w:val="00FE6AF4"/>
    <w:rsid w:val="00FE70EB"/>
    <w:rsid w:val="00FE7F2A"/>
    <w:rsid w:val="00FF004C"/>
    <w:rsid w:val="00FF074D"/>
    <w:rsid w:val="00FF1862"/>
    <w:rsid w:val="00FF220E"/>
    <w:rsid w:val="00FF38CB"/>
    <w:rsid w:val="00FF3F0C"/>
    <w:rsid w:val="00FF4ACB"/>
    <w:rsid w:val="00FF563E"/>
    <w:rsid w:val="00FF5BFD"/>
    <w:rsid w:val="00FF6EF6"/>
    <w:rsid w:val="00FF6F5F"/>
    <w:rsid w:val="00FF7140"/>
    <w:rsid w:val="01360297"/>
    <w:rsid w:val="01FC239A"/>
    <w:rsid w:val="02D3240D"/>
    <w:rsid w:val="02DB2BD4"/>
    <w:rsid w:val="0301045D"/>
    <w:rsid w:val="030A32BB"/>
    <w:rsid w:val="03181413"/>
    <w:rsid w:val="03963E1E"/>
    <w:rsid w:val="03D73153"/>
    <w:rsid w:val="03E01640"/>
    <w:rsid w:val="04824912"/>
    <w:rsid w:val="057638CC"/>
    <w:rsid w:val="05857EAF"/>
    <w:rsid w:val="05DF095B"/>
    <w:rsid w:val="06414799"/>
    <w:rsid w:val="067F14A9"/>
    <w:rsid w:val="06AE1E49"/>
    <w:rsid w:val="06B118C5"/>
    <w:rsid w:val="06C64151"/>
    <w:rsid w:val="06EC42AD"/>
    <w:rsid w:val="07331709"/>
    <w:rsid w:val="07747FB2"/>
    <w:rsid w:val="0900434B"/>
    <w:rsid w:val="09F730A5"/>
    <w:rsid w:val="0A355A41"/>
    <w:rsid w:val="0A822540"/>
    <w:rsid w:val="0C014489"/>
    <w:rsid w:val="0C073410"/>
    <w:rsid w:val="0C2F2FDA"/>
    <w:rsid w:val="0CC449DB"/>
    <w:rsid w:val="0CD45ED3"/>
    <w:rsid w:val="0D03625B"/>
    <w:rsid w:val="0D626AA8"/>
    <w:rsid w:val="0D9F6189"/>
    <w:rsid w:val="0DAA077F"/>
    <w:rsid w:val="0F0D3E2D"/>
    <w:rsid w:val="0F1444DC"/>
    <w:rsid w:val="0F1724D2"/>
    <w:rsid w:val="0F686047"/>
    <w:rsid w:val="0F6C40C3"/>
    <w:rsid w:val="0FB47BF1"/>
    <w:rsid w:val="0FCD283F"/>
    <w:rsid w:val="0FE71DD4"/>
    <w:rsid w:val="10063D4F"/>
    <w:rsid w:val="10210A26"/>
    <w:rsid w:val="109246CF"/>
    <w:rsid w:val="10B31DE6"/>
    <w:rsid w:val="11217656"/>
    <w:rsid w:val="1124532E"/>
    <w:rsid w:val="113A403E"/>
    <w:rsid w:val="114329CA"/>
    <w:rsid w:val="11D01D11"/>
    <w:rsid w:val="11E80072"/>
    <w:rsid w:val="124C6EEE"/>
    <w:rsid w:val="126D2FBC"/>
    <w:rsid w:val="134D4DE1"/>
    <w:rsid w:val="13A92A14"/>
    <w:rsid w:val="1420242E"/>
    <w:rsid w:val="14DE0FFA"/>
    <w:rsid w:val="1500381C"/>
    <w:rsid w:val="15017F63"/>
    <w:rsid w:val="15114CEA"/>
    <w:rsid w:val="151B064B"/>
    <w:rsid w:val="153E34B2"/>
    <w:rsid w:val="15690016"/>
    <w:rsid w:val="159412B5"/>
    <w:rsid w:val="15BE2516"/>
    <w:rsid w:val="15D54D64"/>
    <w:rsid w:val="16532C92"/>
    <w:rsid w:val="166F515F"/>
    <w:rsid w:val="169708BF"/>
    <w:rsid w:val="17295BCF"/>
    <w:rsid w:val="177C1877"/>
    <w:rsid w:val="18386DB3"/>
    <w:rsid w:val="183A2F1F"/>
    <w:rsid w:val="18A17ECB"/>
    <w:rsid w:val="18BF38C0"/>
    <w:rsid w:val="18E62531"/>
    <w:rsid w:val="18EA3856"/>
    <w:rsid w:val="1903606C"/>
    <w:rsid w:val="19054F88"/>
    <w:rsid w:val="194333AE"/>
    <w:rsid w:val="194344CA"/>
    <w:rsid w:val="19B3145B"/>
    <w:rsid w:val="1A9961B8"/>
    <w:rsid w:val="1AD3755F"/>
    <w:rsid w:val="1AE72FD8"/>
    <w:rsid w:val="1B1F1BEC"/>
    <w:rsid w:val="1B89146D"/>
    <w:rsid w:val="1C2C3A86"/>
    <w:rsid w:val="1C4271BC"/>
    <w:rsid w:val="1C6A405D"/>
    <w:rsid w:val="1D3034A5"/>
    <w:rsid w:val="1DAE5D59"/>
    <w:rsid w:val="1E123FCB"/>
    <w:rsid w:val="1E442246"/>
    <w:rsid w:val="1E7B26AF"/>
    <w:rsid w:val="1F55302A"/>
    <w:rsid w:val="1F98712D"/>
    <w:rsid w:val="1FD54441"/>
    <w:rsid w:val="202C434E"/>
    <w:rsid w:val="2065204C"/>
    <w:rsid w:val="20721870"/>
    <w:rsid w:val="209643CD"/>
    <w:rsid w:val="219437FF"/>
    <w:rsid w:val="21C5767C"/>
    <w:rsid w:val="21FA7C2D"/>
    <w:rsid w:val="227479DE"/>
    <w:rsid w:val="22A4788C"/>
    <w:rsid w:val="22F30A66"/>
    <w:rsid w:val="23606D83"/>
    <w:rsid w:val="245E4719"/>
    <w:rsid w:val="247E61DF"/>
    <w:rsid w:val="26884F45"/>
    <w:rsid w:val="26FE3850"/>
    <w:rsid w:val="274802D5"/>
    <w:rsid w:val="27545CC0"/>
    <w:rsid w:val="277911B3"/>
    <w:rsid w:val="289C6616"/>
    <w:rsid w:val="29396935"/>
    <w:rsid w:val="294216B5"/>
    <w:rsid w:val="296879F4"/>
    <w:rsid w:val="297C1823"/>
    <w:rsid w:val="299A29B7"/>
    <w:rsid w:val="29E057F3"/>
    <w:rsid w:val="2A4858EE"/>
    <w:rsid w:val="2A647627"/>
    <w:rsid w:val="2A7862B9"/>
    <w:rsid w:val="2A794B63"/>
    <w:rsid w:val="2A8032D9"/>
    <w:rsid w:val="2AAA1985"/>
    <w:rsid w:val="2C0E19C3"/>
    <w:rsid w:val="2C42296B"/>
    <w:rsid w:val="2C894D9A"/>
    <w:rsid w:val="2CAF4AEF"/>
    <w:rsid w:val="2D3747F0"/>
    <w:rsid w:val="2DA51D29"/>
    <w:rsid w:val="2DF00FF9"/>
    <w:rsid w:val="2E241390"/>
    <w:rsid w:val="2E3E4344"/>
    <w:rsid w:val="2E40673A"/>
    <w:rsid w:val="2E6A4FFC"/>
    <w:rsid w:val="2E8B1501"/>
    <w:rsid w:val="2EB06FE9"/>
    <w:rsid w:val="2EE81C26"/>
    <w:rsid w:val="2EE87DF6"/>
    <w:rsid w:val="2F1B2EAB"/>
    <w:rsid w:val="2F63235E"/>
    <w:rsid w:val="2F767D3B"/>
    <w:rsid w:val="2F807931"/>
    <w:rsid w:val="2FCC4CF6"/>
    <w:rsid w:val="2FD95999"/>
    <w:rsid w:val="301A3BA5"/>
    <w:rsid w:val="301B1D1D"/>
    <w:rsid w:val="302C4B9B"/>
    <w:rsid w:val="305E0175"/>
    <w:rsid w:val="309267DC"/>
    <w:rsid w:val="30950217"/>
    <w:rsid w:val="317A7A51"/>
    <w:rsid w:val="33277218"/>
    <w:rsid w:val="33323AD3"/>
    <w:rsid w:val="33970B34"/>
    <w:rsid w:val="33C306E5"/>
    <w:rsid w:val="33D82486"/>
    <w:rsid w:val="33F47550"/>
    <w:rsid w:val="340647F2"/>
    <w:rsid w:val="34324CBF"/>
    <w:rsid w:val="345B1379"/>
    <w:rsid w:val="34B53EAE"/>
    <w:rsid w:val="34F34C32"/>
    <w:rsid w:val="351723AB"/>
    <w:rsid w:val="352C6A70"/>
    <w:rsid w:val="35517BA0"/>
    <w:rsid w:val="355478F9"/>
    <w:rsid w:val="357C35F6"/>
    <w:rsid w:val="360874AF"/>
    <w:rsid w:val="366E2924"/>
    <w:rsid w:val="36C449EE"/>
    <w:rsid w:val="37161229"/>
    <w:rsid w:val="374E04FF"/>
    <w:rsid w:val="377206D1"/>
    <w:rsid w:val="38131404"/>
    <w:rsid w:val="38B22D47"/>
    <w:rsid w:val="39550FE1"/>
    <w:rsid w:val="3A800CDC"/>
    <w:rsid w:val="3AB96CD6"/>
    <w:rsid w:val="3ABA36BE"/>
    <w:rsid w:val="3AF21CD5"/>
    <w:rsid w:val="3B603324"/>
    <w:rsid w:val="3C285381"/>
    <w:rsid w:val="3C3B51AA"/>
    <w:rsid w:val="3C8268C1"/>
    <w:rsid w:val="3CA31E77"/>
    <w:rsid w:val="3CFA0373"/>
    <w:rsid w:val="3DC81092"/>
    <w:rsid w:val="3DCE743C"/>
    <w:rsid w:val="3DF846BE"/>
    <w:rsid w:val="3E713AAF"/>
    <w:rsid w:val="3EB44BF1"/>
    <w:rsid w:val="3EC144AE"/>
    <w:rsid w:val="3F337F9E"/>
    <w:rsid w:val="3F966DD9"/>
    <w:rsid w:val="3FA30001"/>
    <w:rsid w:val="400F7F3C"/>
    <w:rsid w:val="40417227"/>
    <w:rsid w:val="40806583"/>
    <w:rsid w:val="40991F29"/>
    <w:rsid w:val="41604155"/>
    <w:rsid w:val="41A4451B"/>
    <w:rsid w:val="427C5145"/>
    <w:rsid w:val="429C5558"/>
    <w:rsid w:val="42AF4743"/>
    <w:rsid w:val="430E2D2A"/>
    <w:rsid w:val="43453124"/>
    <w:rsid w:val="4414268D"/>
    <w:rsid w:val="44402ABB"/>
    <w:rsid w:val="44D83FB3"/>
    <w:rsid w:val="4520778E"/>
    <w:rsid w:val="45243F64"/>
    <w:rsid w:val="45354B00"/>
    <w:rsid w:val="455F4386"/>
    <w:rsid w:val="45882749"/>
    <w:rsid w:val="458A2F54"/>
    <w:rsid w:val="463161A6"/>
    <w:rsid w:val="47F079E0"/>
    <w:rsid w:val="480E5022"/>
    <w:rsid w:val="48547A14"/>
    <w:rsid w:val="49B51E75"/>
    <w:rsid w:val="49CC2AC2"/>
    <w:rsid w:val="49E30CE8"/>
    <w:rsid w:val="4A093597"/>
    <w:rsid w:val="4A1D19A0"/>
    <w:rsid w:val="4A7169C9"/>
    <w:rsid w:val="4A801990"/>
    <w:rsid w:val="4A861CAD"/>
    <w:rsid w:val="4A8B23C9"/>
    <w:rsid w:val="4ADA1C3D"/>
    <w:rsid w:val="4B1425C6"/>
    <w:rsid w:val="4B2E0D40"/>
    <w:rsid w:val="4B8C3A3B"/>
    <w:rsid w:val="4B8E5B7B"/>
    <w:rsid w:val="4BCA0BEC"/>
    <w:rsid w:val="4BF658AD"/>
    <w:rsid w:val="4C2017AA"/>
    <w:rsid w:val="4C3414BD"/>
    <w:rsid w:val="4CA870A3"/>
    <w:rsid w:val="4CBF2A09"/>
    <w:rsid w:val="4D4934DB"/>
    <w:rsid w:val="4D566347"/>
    <w:rsid w:val="4E003D4F"/>
    <w:rsid w:val="4E253400"/>
    <w:rsid w:val="4E3E4BED"/>
    <w:rsid w:val="4E3F5F07"/>
    <w:rsid w:val="4EDA4739"/>
    <w:rsid w:val="4EF048DC"/>
    <w:rsid w:val="4EFB485E"/>
    <w:rsid w:val="4F6E62DA"/>
    <w:rsid w:val="4FC73C61"/>
    <w:rsid w:val="50A93B9A"/>
    <w:rsid w:val="50C93399"/>
    <w:rsid w:val="5138037B"/>
    <w:rsid w:val="51382A95"/>
    <w:rsid w:val="514B7E93"/>
    <w:rsid w:val="51666C64"/>
    <w:rsid w:val="52012AEB"/>
    <w:rsid w:val="52562252"/>
    <w:rsid w:val="526C3C78"/>
    <w:rsid w:val="539941D0"/>
    <w:rsid w:val="53C9232F"/>
    <w:rsid w:val="53DB21B5"/>
    <w:rsid w:val="54300C91"/>
    <w:rsid w:val="543161F4"/>
    <w:rsid w:val="54657BF4"/>
    <w:rsid w:val="549664A9"/>
    <w:rsid w:val="54C554A6"/>
    <w:rsid w:val="54DB1457"/>
    <w:rsid w:val="55397645"/>
    <w:rsid w:val="55535F0A"/>
    <w:rsid w:val="564D7633"/>
    <w:rsid w:val="564E4AB7"/>
    <w:rsid w:val="565C4393"/>
    <w:rsid w:val="56806C05"/>
    <w:rsid w:val="56926E69"/>
    <w:rsid w:val="57502A0E"/>
    <w:rsid w:val="57855143"/>
    <w:rsid w:val="579F4735"/>
    <w:rsid w:val="585E5FE6"/>
    <w:rsid w:val="59171701"/>
    <w:rsid w:val="598157DB"/>
    <w:rsid w:val="5A831CCC"/>
    <w:rsid w:val="5A897EEE"/>
    <w:rsid w:val="5A921D6A"/>
    <w:rsid w:val="5ADA6EAE"/>
    <w:rsid w:val="5B223712"/>
    <w:rsid w:val="5B7A1C68"/>
    <w:rsid w:val="5C5C680A"/>
    <w:rsid w:val="5C9176DD"/>
    <w:rsid w:val="5CCA60EA"/>
    <w:rsid w:val="5CD01DCA"/>
    <w:rsid w:val="5D157271"/>
    <w:rsid w:val="5D1F41ED"/>
    <w:rsid w:val="5D200366"/>
    <w:rsid w:val="5D392B9E"/>
    <w:rsid w:val="5DDD5C5F"/>
    <w:rsid w:val="5DF803EF"/>
    <w:rsid w:val="5E310B53"/>
    <w:rsid w:val="5E404485"/>
    <w:rsid w:val="5E7D21E2"/>
    <w:rsid w:val="5EBF43EF"/>
    <w:rsid w:val="5EC516F9"/>
    <w:rsid w:val="5F217F34"/>
    <w:rsid w:val="5F4021AB"/>
    <w:rsid w:val="5F711333"/>
    <w:rsid w:val="5F746E74"/>
    <w:rsid w:val="5F77154F"/>
    <w:rsid w:val="5F815B7C"/>
    <w:rsid w:val="5F92394B"/>
    <w:rsid w:val="5FB72CDA"/>
    <w:rsid w:val="5FF243BE"/>
    <w:rsid w:val="600B6B9C"/>
    <w:rsid w:val="606F424D"/>
    <w:rsid w:val="60B20F0F"/>
    <w:rsid w:val="60E411D8"/>
    <w:rsid w:val="6160656A"/>
    <w:rsid w:val="616D629E"/>
    <w:rsid w:val="61775057"/>
    <w:rsid w:val="625C1CDC"/>
    <w:rsid w:val="63166C46"/>
    <w:rsid w:val="63513CBE"/>
    <w:rsid w:val="63807AC6"/>
    <w:rsid w:val="63BA0394"/>
    <w:rsid w:val="63C91CBE"/>
    <w:rsid w:val="64583EAE"/>
    <w:rsid w:val="65252732"/>
    <w:rsid w:val="653749D7"/>
    <w:rsid w:val="65445290"/>
    <w:rsid w:val="6557597C"/>
    <w:rsid w:val="65B96BEB"/>
    <w:rsid w:val="65BC70EB"/>
    <w:rsid w:val="65DB6832"/>
    <w:rsid w:val="66051FCF"/>
    <w:rsid w:val="67114458"/>
    <w:rsid w:val="674870CF"/>
    <w:rsid w:val="67556C5A"/>
    <w:rsid w:val="677479F2"/>
    <w:rsid w:val="6775729A"/>
    <w:rsid w:val="67B50AC7"/>
    <w:rsid w:val="681419D0"/>
    <w:rsid w:val="68347DB4"/>
    <w:rsid w:val="68775F83"/>
    <w:rsid w:val="68A35222"/>
    <w:rsid w:val="68B62786"/>
    <w:rsid w:val="68BE6227"/>
    <w:rsid w:val="69286B5E"/>
    <w:rsid w:val="69354808"/>
    <w:rsid w:val="696F07CB"/>
    <w:rsid w:val="698E5714"/>
    <w:rsid w:val="6A1F2673"/>
    <w:rsid w:val="6A7171DF"/>
    <w:rsid w:val="6AE0352A"/>
    <w:rsid w:val="6AE07BEE"/>
    <w:rsid w:val="6B425AC8"/>
    <w:rsid w:val="6C9743E9"/>
    <w:rsid w:val="6D4C1D01"/>
    <w:rsid w:val="6DAB0A16"/>
    <w:rsid w:val="6DC84FCC"/>
    <w:rsid w:val="6DF55A3C"/>
    <w:rsid w:val="6E0F1221"/>
    <w:rsid w:val="6E1C4FBD"/>
    <w:rsid w:val="6EC44545"/>
    <w:rsid w:val="6EC47FD6"/>
    <w:rsid w:val="6FAF39B5"/>
    <w:rsid w:val="6FC877C5"/>
    <w:rsid w:val="6FE72E86"/>
    <w:rsid w:val="70642A7D"/>
    <w:rsid w:val="709A4253"/>
    <w:rsid w:val="70A00DFE"/>
    <w:rsid w:val="70A36502"/>
    <w:rsid w:val="70A36E20"/>
    <w:rsid w:val="71495502"/>
    <w:rsid w:val="716646C8"/>
    <w:rsid w:val="71760B36"/>
    <w:rsid w:val="7273598C"/>
    <w:rsid w:val="72CA4639"/>
    <w:rsid w:val="730B090F"/>
    <w:rsid w:val="733A0943"/>
    <w:rsid w:val="7349082E"/>
    <w:rsid w:val="73F35D1E"/>
    <w:rsid w:val="740A70EE"/>
    <w:rsid w:val="746C4DD6"/>
    <w:rsid w:val="74984A73"/>
    <w:rsid w:val="749928BD"/>
    <w:rsid w:val="74CE7AFF"/>
    <w:rsid w:val="751009DF"/>
    <w:rsid w:val="756578CF"/>
    <w:rsid w:val="756E14B8"/>
    <w:rsid w:val="757A6274"/>
    <w:rsid w:val="757E0A34"/>
    <w:rsid w:val="75C129A9"/>
    <w:rsid w:val="75F429FA"/>
    <w:rsid w:val="76093256"/>
    <w:rsid w:val="77C25977"/>
    <w:rsid w:val="78691C70"/>
    <w:rsid w:val="78775F09"/>
    <w:rsid w:val="787E3078"/>
    <w:rsid w:val="790F4578"/>
    <w:rsid w:val="791A5869"/>
    <w:rsid w:val="7945205C"/>
    <w:rsid w:val="79867218"/>
    <w:rsid w:val="79BB5106"/>
    <w:rsid w:val="79EB4F57"/>
    <w:rsid w:val="7A572942"/>
    <w:rsid w:val="7AD42367"/>
    <w:rsid w:val="7B0C6690"/>
    <w:rsid w:val="7B3545C3"/>
    <w:rsid w:val="7BAE2F8F"/>
    <w:rsid w:val="7C1D2576"/>
    <w:rsid w:val="7C372063"/>
    <w:rsid w:val="7C6528F0"/>
    <w:rsid w:val="7C86311D"/>
    <w:rsid w:val="7D493A8C"/>
    <w:rsid w:val="7D4A2034"/>
    <w:rsid w:val="7D7732DC"/>
    <w:rsid w:val="7DF54176"/>
    <w:rsid w:val="7E6860C9"/>
    <w:rsid w:val="7E694B7D"/>
    <w:rsid w:val="7EC63B13"/>
    <w:rsid w:val="7F0F6426"/>
    <w:rsid w:val="7FA9516E"/>
    <w:rsid w:val="7FB90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1"/>
    <w:qFormat/>
    <w:uiPriority w:val="0"/>
    <w:pPr>
      <w:keepNext/>
      <w:outlineLvl w:val="0"/>
    </w:pPr>
    <w:rPr>
      <w:b/>
    </w:rPr>
  </w:style>
  <w:style w:type="paragraph" w:styleId="4">
    <w:name w:val="heading 2"/>
    <w:basedOn w:val="1"/>
    <w:next w:val="1"/>
    <w:link w:val="10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4"/>
    <w:qFormat/>
    <w:uiPriority w:val="0"/>
    <w:pPr>
      <w:keepNext/>
      <w:keepLines/>
      <w:spacing w:before="260" w:after="260" w:line="416" w:lineRule="auto"/>
      <w:outlineLvl w:val="2"/>
    </w:pPr>
    <w:rPr>
      <w:b/>
      <w:bCs/>
      <w:sz w:val="32"/>
      <w:szCs w:val="32"/>
    </w:rPr>
  </w:style>
  <w:style w:type="paragraph" w:styleId="6">
    <w:name w:val="heading 4"/>
    <w:basedOn w:val="1"/>
    <w:next w:val="1"/>
    <w:link w:val="120"/>
    <w:qFormat/>
    <w:uiPriority w:val="0"/>
    <w:pPr>
      <w:keepNext/>
      <w:keepLines/>
      <w:spacing w:beforeLines="50" w:afterLines="50" w:line="374" w:lineRule="auto"/>
      <w:outlineLvl w:val="3"/>
    </w:pPr>
    <w:rPr>
      <w:rFonts w:ascii="Arial" w:hAnsi="Arial" w:eastAsia="黑体"/>
      <w:b/>
      <w:bCs/>
      <w:sz w:val="28"/>
      <w:szCs w:val="28"/>
    </w:rPr>
  </w:style>
  <w:style w:type="paragraph" w:styleId="7">
    <w:name w:val="heading 5"/>
    <w:basedOn w:val="1"/>
    <w:next w:val="1"/>
    <w:link w:val="110"/>
    <w:qFormat/>
    <w:uiPriority w:val="0"/>
    <w:pPr>
      <w:keepNext/>
      <w:keepLines/>
      <w:spacing w:before="280" w:after="290" w:line="376" w:lineRule="auto"/>
      <w:outlineLvl w:val="4"/>
    </w:pPr>
    <w:rPr>
      <w:b/>
      <w:bCs/>
      <w:sz w:val="28"/>
      <w:szCs w:val="28"/>
    </w:rPr>
  </w:style>
  <w:style w:type="paragraph" w:styleId="8">
    <w:name w:val="heading 6"/>
    <w:basedOn w:val="1"/>
    <w:next w:val="1"/>
    <w:link w:val="96"/>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5"/>
    </w:pPr>
    <w:rPr>
      <w:rFonts w:ascii="Arial" w:hAnsi="Arial" w:eastAsia="黑体"/>
      <w:b/>
      <w:kern w:val="0"/>
      <w:sz w:val="24"/>
      <w:szCs w:val="20"/>
    </w:rPr>
  </w:style>
  <w:style w:type="paragraph" w:styleId="9">
    <w:name w:val="heading 7"/>
    <w:basedOn w:val="1"/>
    <w:next w:val="1"/>
    <w:link w:val="97"/>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6"/>
    </w:pPr>
    <w:rPr>
      <w:b/>
      <w:kern w:val="0"/>
      <w:sz w:val="24"/>
      <w:szCs w:val="20"/>
    </w:rPr>
  </w:style>
  <w:style w:type="paragraph" w:styleId="10">
    <w:name w:val="heading 8"/>
    <w:basedOn w:val="1"/>
    <w:next w:val="1"/>
    <w:link w:val="99"/>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7"/>
    </w:pPr>
    <w:rPr>
      <w:rFonts w:ascii="Arial" w:hAnsi="Arial" w:eastAsia="黑体"/>
      <w:kern w:val="0"/>
      <w:sz w:val="24"/>
      <w:szCs w:val="20"/>
    </w:rPr>
  </w:style>
  <w:style w:type="paragraph" w:styleId="11">
    <w:name w:val="heading 9"/>
    <w:basedOn w:val="1"/>
    <w:next w:val="1"/>
    <w:link w:val="104"/>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0"/>
    <w:pPr>
      <w:spacing w:beforeLines="50" w:line="240" w:lineRule="exact"/>
      <w:ind w:left="1260"/>
      <w:jc w:val="left"/>
    </w:pPr>
    <w:rPr>
      <w:rFonts w:ascii="Calibri" w:hAnsi="Calibri" w:cs="Calibri"/>
      <w:sz w:val="18"/>
      <w:szCs w:val="18"/>
    </w:rPr>
  </w:style>
  <w:style w:type="paragraph" w:styleId="13">
    <w:name w:val="Normal Indent"/>
    <w:basedOn w:val="1"/>
    <w:qFormat/>
    <w:uiPriority w:val="0"/>
    <w:pPr>
      <w:tabs>
        <w:tab w:val="left" w:pos="0"/>
      </w:tabs>
      <w:snapToGrid w:val="0"/>
      <w:spacing w:line="300" w:lineRule="auto"/>
      <w:ind w:firstLine="505"/>
      <w:jc w:val="left"/>
    </w:pPr>
    <w:rPr>
      <w:rFonts w:ascii="宋体" w:hAnsi="宋体"/>
      <w:snapToGrid w:val="0"/>
      <w:spacing w:val="-6"/>
      <w:kern w:val="0"/>
      <w:sz w:val="24"/>
    </w:rPr>
  </w:style>
  <w:style w:type="paragraph" w:styleId="14">
    <w:name w:val="Document Map"/>
    <w:basedOn w:val="1"/>
    <w:link w:val="100"/>
    <w:qFormat/>
    <w:uiPriority w:val="0"/>
    <w:pPr>
      <w:shd w:val="clear" w:color="auto" w:fill="000080"/>
      <w:spacing w:beforeLines="50" w:afterLines="50" w:line="240" w:lineRule="exact"/>
      <w:jc w:val="left"/>
    </w:pPr>
    <w:rPr>
      <w:rFonts w:ascii="宋体" w:hAnsi="宋体"/>
    </w:rPr>
  </w:style>
  <w:style w:type="paragraph" w:styleId="15">
    <w:name w:val="annotation text"/>
    <w:basedOn w:val="1"/>
    <w:link w:val="117"/>
    <w:qFormat/>
    <w:uiPriority w:val="0"/>
    <w:pPr>
      <w:spacing w:beforeLines="50" w:afterLines="50" w:line="240" w:lineRule="exact"/>
      <w:jc w:val="left"/>
    </w:pPr>
    <w:rPr>
      <w:rFonts w:ascii="宋体" w:hAnsi="宋体"/>
    </w:rPr>
  </w:style>
  <w:style w:type="paragraph" w:styleId="16">
    <w:name w:val="Body Text"/>
    <w:basedOn w:val="1"/>
    <w:next w:val="17"/>
    <w:link w:val="102"/>
    <w:qFormat/>
    <w:uiPriority w:val="0"/>
    <w:rPr>
      <w:rFonts w:ascii="金山简黑体" w:hAnsi="Courier New" w:eastAsia="金山简黑体"/>
      <w:b/>
      <w:spacing w:val="-8"/>
      <w:sz w:val="44"/>
      <w:szCs w:val="20"/>
    </w:rPr>
  </w:style>
  <w:style w:type="paragraph" w:customStyle="1" w:styleId="17">
    <w:name w:val="一级条标题"/>
    <w:basedOn w:val="18"/>
    <w:next w:val="19"/>
    <w:qFormat/>
    <w:uiPriority w:val="99"/>
    <w:pPr>
      <w:spacing w:line="240" w:lineRule="auto"/>
      <w:ind w:left="420"/>
      <w:outlineLvl w:val="2"/>
    </w:pPr>
  </w:style>
  <w:style w:type="paragraph" w:customStyle="1" w:styleId="1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0">
    <w:name w:val="Body Text Indent"/>
    <w:basedOn w:val="1"/>
    <w:link w:val="127"/>
    <w:qFormat/>
    <w:uiPriority w:val="0"/>
    <w:pPr>
      <w:spacing w:line="200" w:lineRule="exact"/>
      <w:ind w:firstLine="301"/>
    </w:pPr>
    <w:rPr>
      <w:rFonts w:ascii="宋体" w:hAnsi="Courier New"/>
      <w:spacing w:val="-4"/>
      <w:sz w:val="18"/>
      <w:szCs w:val="20"/>
    </w:rPr>
  </w:style>
  <w:style w:type="paragraph" w:styleId="21">
    <w:name w:val="Block Text"/>
    <w:basedOn w:val="1"/>
    <w:qFormat/>
    <w:uiPriority w:val="0"/>
    <w:pPr>
      <w:widowControl/>
      <w:overflowPunct w:val="0"/>
      <w:autoSpaceDE w:val="0"/>
      <w:autoSpaceDN w:val="0"/>
      <w:adjustRightInd w:val="0"/>
      <w:snapToGrid w:val="0"/>
      <w:spacing w:beforeLines="50" w:afterLines="50" w:line="360" w:lineRule="auto"/>
      <w:ind w:left="1440" w:hanging="759"/>
    </w:pPr>
    <w:rPr>
      <w:kern w:val="0"/>
      <w:sz w:val="24"/>
      <w:szCs w:val="20"/>
    </w:rPr>
  </w:style>
  <w:style w:type="paragraph" w:styleId="22">
    <w:name w:val="toc 5"/>
    <w:basedOn w:val="1"/>
    <w:next w:val="1"/>
    <w:qFormat/>
    <w:uiPriority w:val="0"/>
    <w:pPr>
      <w:spacing w:beforeLines="50" w:line="240" w:lineRule="exact"/>
      <w:ind w:left="840"/>
      <w:jc w:val="left"/>
    </w:pPr>
    <w:rPr>
      <w:rFonts w:ascii="Calibri" w:hAnsi="Calibri" w:cs="Calibri"/>
      <w:sz w:val="18"/>
      <w:szCs w:val="18"/>
    </w:rPr>
  </w:style>
  <w:style w:type="paragraph" w:styleId="23">
    <w:name w:val="toc 3"/>
    <w:basedOn w:val="1"/>
    <w:next w:val="1"/>
    <w:qFormat/>
    <w:uiPriority w:val="39"/>
    <w:pPr>
      <w:tabs>
        <w:tab w:val="right" w:leader="dot" w:pos="9356"/>
      </w:tabs>
      <w:spacing w:beforeLines="10" w:afterLines="10"/>
    </w:pPr>
    <w:rPr>
      <w:rFonts w:ascii="宋体" w:hAnsi="宋体"/>
      <w:b/>
      <w:sz w:val="28"/>
      <w:szCs w:val="28"/>
    </w:rPr>
  </w:style>
  <w:style w:type="paragraph" w:styleId="24">
    <w:name w:val="Plain Text"/>
    <w:basedOn w:val="1"/>
    <w:link w:val="123"/>
    <w:qFormat/>
    <w:uiPriority w:val="0"/>
    <w:rPr>
      <w:rFonts w:ascii="宋体" w:hAnsi="Courier New"/>
      <w:szCs w:val="20"/>
    </w:rPr>
  </w:style>
  <w:style w:type="paragraph" w:styleId="25">
    <w:name w:val="toc 8"/>
    <w:basedOn w:val="1"/>
    <w:next w:val="1"/>
    <w:qFormat/>
    <w:uiPriority w:val="0"/>
    <w:pPr>
      <w:spacing w:beforeLines="50" w:line="240" w:lineRule="exact"/>
      <w:ind w:left="1470"/>
      <w:jc w:val="left"/>
    </w:pPr>
    <w:rPr>
      <w:rFonts w:ascii="Calibri" w:hAnsi="Calibri" w:cs="Calibri"/>
      <w:sz w:val="18"/>
      <w:szCs w:val="18"/>
    </w:rPr>
  </w:style>
  <w:style w:type="paragraph" w:styleId="26">
    <w:name w:val="Date"/>
    <w:basedOn w:val="1"/>
    <w:next w:val="1"/>
    <w:qFormat/>
    <w:uiPriority w:val="0"/>
    <w:pPr>
      <w:ind w:left="100" w:leftChars="2500"/>
    </w:pPr>
    <w:rPr>
      <w:rFonts w:ascii="宋体" w:hAnsi="宋体"/>
      <w:sz w:val="24"/>
    </w:rPr>
  </w:style>
  <w:style w:type="paragraph" w:styleId="27">
    <w:name w:val="Body Text Indent 2"/>
    <w:basedOn w:val="1"/>
    <w:qFormat/>
    <w:uiPriority w:val="0"/>
    <w:pPr>
      <w:ind w:firstLine="412" w:firstLineChars="196"/>
    </w:pPr>
  </w:style>
  <w:style w:type="paragraph" w:styleId="28">
    <w:name w:val="Balloon Text"/>
    <w:basedOn w:val="1"/>
    <w:link w:val="118"/>
    <w:semiHidden/>
    <w:qFormat/>
    <w:uiPriority w:val="0"/>
    <w:rPr>
      <w:sz w:val="18"/>
      <w:szCs w:val="18"/>
    </w:rPr>
  </w:style>
  <w:style w:type="paragraph" w:styleId="29">
    <w:name w:val="footer"/>
    <w:basedOn w:val="1"/>
    <w:link w:val="119"/>
    <w:qFormat/>
    <w:uiPriority w:val="99"/>
    <w:pPr>
      <w:tabs>
        <w:tab w:val="center" w:pos="4153"/>
        <w:tab w:val="right" w:pos="8306"/>
      </w:tabs>
      <w:snapToGrid w:val="0"/>
      <w:jc w:val="left"/>
    </w:pPr>
    <w:rPr>
      <w:rFonts w:ascii="宋体" w:hAnsi="Courier New"/>
      <w:sz w:val="18"/>
      <w:szCs w:val="20"/>
    </w:rPr>
  </w:style>
  <w:style w:type="paragraph" w:styleId="30">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31">
    <w:name w:val="toc 1"/>
    <w:basedOn w:val="1"/>
    <w:next w:val="1"/>
    <w:qFormat/>
    <w:uiPriority w:val="39"/>
    <w:pPr>
      <w:tabs>
        <w:tab w:val="left" w:pos="985"/>
        <w:tab w:val="right" w:leader="dot" w:pos="9356"/>
      </w:tabs>
      <w:spacing w:beforeLines="10" w:afterLines="10" w:line="600" w:lineRule="exact"/>
      <w:jc w:val="left"/>
    </w:pPr>
    <w:rPr>
      <w:rFonts w:ascii="宋体" w:hAnsi="宋体"/>
      <w:b/>
      <w:kern w:val="0"/>
      <w:sz w:val="28"/>
      <w:szCs w:val="28"/>
    </w:rPr>
  </w:style>
  <w:style w:type="paragraph" w:styleId="32">
    <w:name w:val="toc 4"/>
    <w:basedOn w:val="1"/>
    <w:next w:val="1"/>
    <w:qFormat/>
    <w:uiPriority w:val="0"/>
    <w:pPr>
      <w:spacing w:beforeLines="50" w:line="240" w:lineRule="exact"/>
      <w:ind w:left="630"/>
      <w:jc w:val="left"/>
    </w:pPr>
    <w:rPr>
      <w:rFonts w:ascii="Calibri" w:hAnsi="Calibri" w:cs="Calibri"/>
      <w:sz w:val="18"/>
      <w:szCs w:val="18"/>
    </w:rPr>
  </w:style>
  <w:style w:type="paragraph" w:styleId="33">
    <w:name w:val="footnote text"/>
    <w:basedOn w:val="1"/>
    <w:link w:val="125"/>
    <w:qFormat/>
    <w:uiPriority w:val="0"/>
    <w:pPr>
      <w:snapToGrid w:val="0"/>
      <w:spacing w:beforeLines="50" w:afterLines="50" w:line="240" w:lineRule="exact"/>
      <w:jc w:val="left"/>
    </w:pPr>
    <w:rPr>
      <w:rFonts w:ascii="宋体" w:hAnsi="宋体"/>
      <w:sz w:val="18"/>
      <w:szCs w:val="20"/>
    </w:rPr>
  </w:style>
  <w:style w:type="paragraph" w:styleId="34">
    <w:name w:val="toc 6"/>
    <w:basedOn w:val="1"/>
    <w:next w:val="1"/>
    <w:qFormat/>
    <w:uiPriority w:val="0"/>
    <w:pPr>
      <w:spacing w:beforeLines="50" w:line="240" w:lineRule="exact"/>
      <w:ind w:left="1050"/>
      <w:jc w:val="left"/>
    </w:pPr>
    <w:rPr>
      <w:rFonts w:ascii="Calibri" w:hAnsi="Calibri" w:cs="Calibri"/>
      <w:sz w:val="18"/>
      <w:szCs w:val="18"/>
    </w:rPr>
  </w:style>
  <w:style w:type="paragraph" w:styleId="35">
    <w:name w:val="Body Text Indent 3"/>
    <w:basedOn w:val="1"/>
    <w:link w:val="126"/>
    <w:qFormat/>
    <w:uiPriority w:val="0"/>
    <w:pPr>
      <w:spacing w:line="720" w:lineRule="auto"/>
      <w:ind w:firstLine="269"/>
    </w:pPr>
    <w:rPr>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spacing w:beforeLines="50" w:line="240" w:lineRule="exact"/>
      <w:ind w:left="1680"/>
      <w:jc w:val="left"/>
    </w:pPr>
    <w:rPr>
      <w:rFonts w:ascii="Calibri" w:hAnsi="Calibri" w:cs="Calibri"/>
      <w:sz w:val="18"/>
      <w:szCs w:val="18"/>
    </w:rPr>
  </w:style>
  <w:style w:type="paragraph" w:styleId="38">
    <w:name w:val="Body Text 2"/>
    <w:basedOn w:val="1"/>
    <w:link w:val="111"/>
    <w:qFormat/>
    <w:uiPriority w:val="0"/>
    <w:pPr>
      <w:snapToGrid w:val="0"/>
      <w:spacing w:beforeLines="50" w:afterLines="50" w:line="300" w:lineRule="auto"/>
    </w:pPr>
    <w:rPr>
      <w:rFonts w:ascii="宋体" w:hAnsi="宋体"/>
      <w:color w:val="FF0000"/>
      <w:szCs w:val="21"/>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0"/>
    <w:pPr>
      <w:ind w:right="257"/>
    </w:pPr>
    <w:rPr>
      <w:rFonts w:ascii="宋体" w:hAnsi="宋体"/>
      <w:szCs w:val="20"/>
    </w:rPr>
  </w:style>
  <w:style w:type="paragraph" w:styleId="41">
    <w:name w:val="Title"/>
    <w:basedOn w:val="1"/>
    <w:next w:val="1"/>
    <w:link w:val="105"/>
    <w:qFormat/>
    <w:uiPriority w:val="0"/>
    <w:pPr>
      <w:spacing w:beforeLines="50" w:afterLines="50" w:line="360" w:lineRule="exact"/>
      <w:jc w:val="center"/>
      <w:outlineLvl w:val="0"/>
    </w:pPr>
    <w:rPr>
      <w:rFonts w:ascii="Cambria" w:hAnsi="Cambria"/>
      <w:b/>
      <w:bCs/>
      <w:sz w:val="36"/>
      <w:szCs w:val="32"/>
    </w:rPr>
  </w:style>
  <w:style w:type="paragraph" w:styleId="42">
    <w:name w:val="annotation subject"/>
    <w:basedOn w:val="15"/>
    <w:next w:val="15"/>
    <w:link w:val="116"/>
    <w:semiHidden/>
    <w:qFormat/>
    <w:uiPriority w:val="0"/>
    <w:rPr>
      <w:b/>
      <w:bCs/>
    </w:rPr>
  </w:style>
  <w:style w:type="paragraph" w:styleId="43">
    <w:name w:val="Body Text First Indent"/>
    <w:basedOn w:val="16"/>
    <w:link w:val="101"/>
    <w:qFormat/>
    <w:uiPriority w:val="0"/>
    <w:pPr>
      <w:spacing w:beforeLines="50" w:afterLines="50"/>
      <w:ind w:firstLine="420" w:firstLineChars="100"/>
    </w:pPr>
    <w:rPr>
      <w:rFonts w:eastAsia="宋体"/>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qFormat/>
    <w:uiPriority w:val="0"/>
    <w:rPr>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basedOn w:val="46"/>
    <w:qFormat/>
    <w:uiPriority w:val="99"/>
    <w:rPr>
      <w:color w:val="0000FF"/>
      <w:u w:val="single"/>
    </w:rPr>
  </w:style>
  <w:style w:type="character" w:styleId="55">
    <w:name w:val="HTML Code"/>
    <w:basedOn w:val="46"/>
    <w:qFormat/>
    <w:uiPriority w:val="0"/>
    <w:rPr>
      <w:rFonts w:ascii="Courier New" w:hAnsi="Courier New"/>
      <w:sz w:val="20"/>
    </w:rPr>
  </w:style>
  <w:style w:type="character" w:styleId="56">
    <w:name w:val="annotation reference"/>
    <w:basedOn w:val="46"/>
    <w:qFormat/>
    <w:uiPriority w:val="99"/>
    <w:rPr>
      <w:rFonts w:ascii="Calibri" w:hAnsi="Calibri" w:eastAsia="宋体" w:cs="Times New Roman"/>
      <w:sz w:val="21"/>
    </w:rPr>
  </w:style>
  <w:style w:type="character" w:styleId="57">
    <w:name w:val="HTML Cite"/>
    <w:basedOn w:val="46"/>
    <w:qFormat/>
    <w:uiPriority w:val="0"/>
  </w:style>
  <w:style w:type="paragraph" w:customStyle="1" w:styleId="5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i)正文"/>
    <w:basedOn w:val="1"/>
    <w:qFormat/>
    <w:uiPriority w:val="0"/>
    <w:pPr>
      <w:widowControl/>
      <w:numPr>
        <w:ilvl w:val="2"/>
        <w:numId w:val="1"/>
      </w:numPr>
      <w:tabs>
        <w:tab w:val="left" w:pos="2381"/>
        <w:tab w:val="clear" w:pos="360"/>
      </w:tabs>
      <w:spacing w:beforeLines="50" w:afterLines="50" w:line="360" w:lineRule="exact"/>
    </w:pPr>
    <w:rPr>
      <w:szCs w:val="20"/>
    </w:rPr>
  </w:style>
  <w:style w:type="paragraph" w:customStyle="1" w:styleId="60">
    <w:name w:val="**"/>
    <w:basedOn w:val="61"/>
    <w:qFormat/>
    <w:uiPriority w:val="0"/>
    <w:pPr/>
    <w:rPr>
      <w:rFonts w:ascii="楷体" w:eastAsia="楷体"/>
      <w:sz w:val="24"/>
    </w:rPr>
  </w:style>
  <w:style w:type="paragraph" w:customStyle="1" w:styleId="61">
    <w:name w:val="1.1"/>
    <w:basedOn w:val="1"/>
    <w:qFormat/>
    <w:uiPriority w:val="0"/>
    <w:pPr>
      <w:widowControl/>
      <w:numPr>
        <w:ilvl w:val="0"/>
        <w:numId w:val="2"/>
      </w:numPr>
      <w:tabs>
        <w:tab w:val="clear" w:pos="780"/>
      </w:tabs>
      <w:overflowPunct w:val="0"/>
      <w:autoSpaceDE w:val="0"/>
      <w:autoSpaceDN w:val="0"/>
      <w:adjustRightInd w:val="0"/>
      <w:spacing w:beforeLines="50" w:afterLines="50" w:line="240" w:lineRule="exact"/>
      <w:ind w:left="0" w:firstLine="0"/>
      <w:jc w:val="left"/>
    </w:pPr>
    <w:rPr>
      <w:rFonts w:ascii="黑体" w:eastAsia="黑体"/>
      <w:b/>
      <w:spacing w:val="-20"/>
      <w:kern w:val="28"/>
      <w:position w:val="-6"/>
      <w:sz w:val="28"/>
      <w:szCs w:val="20"/>
    </w:rPr>
  </w:style>
  <w:style w:type="paragraph" w:customStyle="1" w:styleId="62">
    <w:name w:val="·"/>
    <w:basedOn w:val="1"/>
    <w:qFormat/>
    <w:uiPriority w:val="0"/>
    <w:pPr>
      <w:widowControl/>
      <w:overflowPunct w:val="0"/>
      <w:autoSpaceDE w:val="0"/>
      <w:autoSpaceDN w:val="0"/>
      <w:adjustRightInd w:val="0"/>
      <w:spacing w:beforeLines="50" w:afterLines="50" w:line="240" w:lineRule="exact"/>
      <w:ind w:left="432" w:hanging="432"/>
    </w:pPr>
    <w:rPr>
      <w:rFonts w:ascii="楷体" w:eastAsia="楷体"/>
      <w:spacing w:val="-20"/>
      <w:kern w:val="28"/>
      <w:position w:val="-6"/>
      <w:sz w:val="24"/>
      <w:szCs w:val="20"/>
    </w:rPr>
  </w:style>
  <w:style w:type="paragraph" w:customStyle="1" w:styleId="63">
    <w:name w:val="µ"/>
    <w:basedOn w:val="1"/>
    <w:qFormat/>
    <w:uiPriority w:val="0"/>
    <w:pPr>
      <w:widowControl/>
      <w:overflowPunct w:val="0"/>
      <w:autoSpaceDE w:val="0"/>
      <w:autoSpaceDN w:val="0"/>
      <w:adjustRightInd w:val="0"/>
      <w:spacing w:beforeLines="50" w:afterLines="50" w:line="240" w:lineRule="exact"/>
      <w:ind w:left="360" w:hanging="360"/>
      <w:jc w:val="left"/>
    </w:pPr>
    <w:rPr>
      <w:rFonts w:ascii="宋体"/>
      <w:b/>
      <w:spacing w:val="2"/>
      <w:kern w:val="28"/>
      <w:position w:val="-6"/>
      <w:sz w:val="24"/>
      <w:szCs w:val="20"/>
    </w:rPr>
  </w:style>
  <w:style w:type="paragraph" w:customStyle="1" w:styleId="64">
    <w:name w:val="+正文"/>
    <w:basedOn w:val="1"/>
    <w:qFormat/>
    <w:uiPriority w:val="0"/>
    <w:pPr>
      <w:numPr>
        <w:ilvl w:val="1"/>
        <w:numId w:val="1"/>
      </w:numPr>
      <w:tabs>
        <w:tab w:val="clear" w:pos="360"/>
      </w:tabs>
      <w:spacing w:beforeLines="50" w:afterLines="50" w:line="360" w:lineRule="auto"/>
      <w:ind w:firstLine="200" w:firstLineChars="200"/>
    </w:pPr>
    <w:rPr>
      <w:sz w:val="24"/>
      <w:szCs w:val="28"/>
    </w:rPr>
  </w:style>
  <w:style w:type="paragraph" w:customStyle="1" w:styleId="65">
    <w:name w:val="Char1 Char Char Char Char Char Char Char Char Char Char Char Char Char Char Char"/>
    <w:basedOn w:val="7"/>
    <w:qFormat/>
    <w:uiPriority w:val="0"/>
    <w:pPr>
      <w:tabs>
        <w:tab w:val="left" w:pos="0"/>
      </w:tabs>
      <w:adjustRightInd w:val="0"/>
      <w:spacing w:line="240" w:lineRule="auto"/>
      <w:textAlignment w:val="baseline"/>
    </w:pPr>
    <w:rPr>
      <w:rFonts w:ascii="黑体" w:eastAsia="黑体"/>
      <w:b w:val="0"/>
      <w:kern w:val="0"/>
    </w:rPr>
  </w:style>
  <w:style w:type="paragraph" w:customStyle="1" w:styleId="66">
    <w:name w:val="(1)"/>
    <w:basedOn w:val="61"/>
    <w:qFormat/>
    <w:uiPriority w:val="0"/>
    <w:pPr>
      <w:ind w:left="431" w:hanging="431"/>
    </w:pPr>
    <w:rPr>
      <w:b w:val="0"/>
      <w:sz w:val="24"/>
    </w:rPr>
  </w:style>
  <w:style w:type="paragraph" w:customStyle="1" w:styleId="67">
    <w:name w:val="样式"/>
    <w:qFormat/>
    <w:uiPriority w:val="0"/>
    <w:pPr>
      <w:widowControl w:val="0"/>
      <w:autoSpaceDE w:val="0"/>
      <w:autoSpaceDN w:val="0"/>
      <w:adjustRightInd w:val="0"/>
      <w:spacing w:beforeLines="50" w:afterLines="50" w:line="240" w:lineRule="exact"/>
    </w:pPr>
    <w:rPr>
      <w:rFonts w:ascii="宋体" w:hAnsi="宋体" w:eastAsia="宋体" w:cs="宋体"/>
      <w:sz w:val="24"/>
      <w:szCs w:val="24"/>
      <w:lang w:val="en-US" w:eastAsia="zh-CN" w:bidi="ar-SA"/>
    </w:rPr>
  </w:style>
  <w:style w:type="paragraph" w:customStyle="1" w:styleId="68">
    <w:name w:val="A.正文"/>
    <w:basedOn w:val="1"/>
    <w:qFormat/>
    <w:uiPriority w:val="0"/>
    <w:pPr>
      <w:widowControl/>
      <w:numPr>
        <w:ilvl w:val="0"/>
        <w:numId w:val="3"/>
      </w:numPr>
      <w:spacing w:beforeLines="50" w:afterLines="50" w:line="300" w:lineRule="exact"/>
      <w:ind w:firstLine="510"/>
    </w:pPr>
    <w:rPr>
      <w:szCs w:val="20"/>
    </w:rPr>
  </w:style>
  <w:style w:type="paragraph" w:customStyle="1" w:styleId="69">
    <w:name w:val="(a)正文"/>
    <w:basedOn w:val="1"/>
    <w:qFormat/>
    <w:uiPriority w:val="0"/>
    <w:pPr>
      <w:widowControl/>
      <w:tabs>
        <w:tab w:val="left" w:pos="1871"/>
      </w:tabs>
      <w:spacing w:beforeLines="50" w:afterLines="50" w:line="360" w:lineRule="exact"/>
    </w:pPr>
    <w:rPr>
      <w:szCs w:val="20"/>
    </w:rPr>
  </w:style>
  <w:style w:type="paragraph" w:customStyle="1" w:styleId="70">
    <w:name w:val="1"/>
    <w:basedOn w:val="1"/>
    <w:next w:val="20"/>
    <w:qFormat/>
    <w:uiPriority w:val="0"/>
    <w:pPr>
      <w:spacing w:line="200" w:lineRule="exact"/>
      <w:ind w:firstLine="301"/>
    </w:pPr>
    <w:rPr>
      <w:rFonts w:ascii="宋体" w:hAnsi="Courier New"/>
      <w:spacing w:val="-4"/>
      <w:sz w:val="18"/>
      <w:szCs w:val="20"/>
    </w:rPr>
  </w:style>
  <w:style w:type="paragraph" w:customStyle="1" w:styleId="71">
    <w:name w:val="Char1 Char Char Char Char Char Char"/>
    <w:basedOn w:val="1"/>
    <w:qFormat/>
    <w:uiPriority w:val="0"/>
    <w:rPr>
      <w:rFonts w:ascii="Tahoma" w:hAnsi="Tahoma"/>
      <w:sz w:val="24"/>
      <w:szCs w:val="20"/>
    </w:rPr>
  </w:style>
  <w:style w:type="paragraph" w:customStyle="1" w:styleId="72">
    <w:name w:val="部分编号"/>
    <w:basedOn w:val="1"/>
    <w:qFormat/>
    <w:uiPriority w:val="0"/>
    <w:pPr>
      <w:widowControl/>
      <w:numPr>
        <w:ilvl w:val="2"/>
        <w:numId w:val="4"/>
      </w:numPr>
      <w:tabs>
        <w:tab w:val="left" w:pos="1418"/>
      </w:tabs>
      <w:spacing w:beforeLines="50" w:afterLines="50" w:line="400" w:lineRule="exact"/>
      <w:ind w:left="1418" w:hanging="1418"/>
    </w:pPr>
    <w:rPr>
      <w:rFonts w:ascii="Arial" w:hAnsi="Arial" w:eastAsia="黑体"/>
      <w:spacing w:val="30"/>
      <w:sz w:val="24"/>
      <w:szCs w:val="20"/>
    </w:rPr>
  </w:style>
  <w:style w:type="paragraph" w:customStyle="1" w:styleId="73">
    <w:name w:val="_Style 62"/>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74">
    <w:name w:val="样式2"/>
    <w:basedOn w:val="1"/>
    <w:qFormat/>
    <w:uiPriority w:val="0"/>
    <w:pPr>
      <w:numPr>
        <w:ilvl w:val="0"/>
        <w:numId w:val="5"/>
      </w:numPr>
      <w:spacing w:beforeLines="50" w:afterLines="50" w:line="240" w:lineRule="exact"/>
    </w:pPr>
    <w:rPr>
      <w:sz w:val="28"/>
      <w:szCs w:val="20"/>
    </w:rPr>
  </w:style>
  <w:style w:type="paragraph" w:customStyle="1" w:styleId="75">
    <w:name w:val="F2"/>
    <w:basedOn w:val="1"/>
    <w:qFormat/>
    <w:uiPriority w:val="0"/>
    <w:pPr>
      <w:autoSpaceDE w:val="0"/>
      <w:autoSpaceDN w:val="0"/>
      <w:adjustRightInd w:val="0"/>
      <w:ind w:firstLine="601"/>
      <w:textAlignment w:val="baseline"/>
    </w:pPr>
    <w:rPr>
      <w:kern w:val="0"/>
      <w:sz w:val="24"/>
      <w:szCs w:val="20"/>
    </w:rPr>
  </w:style>
  <w:style w:type="paragraph" w:customStyle="1" w:styleId="76">
    <w:name w:val="列出段落1"/>
    <w:basedOn w:val="1"/>
    <w:qFormat/>
    <w:uiPriority w:val="0"/>
    <w:pPr>
      <w:ind w:firstLine="420" w:firstLineChars="200"/>
    </w:pPr>
    <w:rPr>
      <w:rFonts w:hint="eastAsia"/>
      <w:szCs w:val="20"/>
    </w:rPr>
  </w:style>
  <w:style w:type="paragraph" w:customStyle="1" w:styleId="77">
    <w:name w:val="a"/>
    <w:basedOn w:val="61"/>
    <w:qFormat/>
    <w:uiPriority w:val="0"/>
    <w:pPr>
      <w:ind w:left="360" w:hanging="360"/>
    </w:pPr>
    <w:rPr>
      <w:rFonts w:ascii="楷体" w:eastAsia="楷体"/>
      <w:sz w:val="24"/>
    </w:rPr>
  </w:style>
  <w:style w:type="paragraph" w:customStyle="1" w:styleId="78">
    <w:name w:val="样式 样式 标题 3 + 加粗 + 加粗"/>
    <w:basedOn w:val="1"/>
    <w:qFormat/>
    <w:uiPriority w:val="0"/>
    <w:pPr>
      <w:numPr>
        <w:ilvl w:val="3"/>
        <w:numId w:val="6"/>
      </w:numPr>
      <w:tabs>
        <w:tab w:val="left" w:pos="420"/>
      </w:tabs>
    </w:pPr>
  </w:style>
  <w:style w:type="paragraph" w:customStyle="1" w:styleId="79">
    <w:name w:val="Char Char Char Char Char Char Char"/>
    <w:basedOn w:val="1"/>
    <w:qFormat/>
    <w:uiPriority w:val="0"/>
    <w:rPr>
      <w:szCs w:val="20"/>
    </w:rPr>
  </w:style>
  <w:style w:type="paragraph" w:customStyle="1" w:styleId="80">
    <w:name w:val="Default Paragraph Font Para Char Char Char Char Char Char"/>
    <w:basedOn w:val="1"/>
    <w:qFormat/>
    <w:uiPriority w:val="0"/>
    <w:pPr>
      <w:widowControl/>
      <w:spacing w:beforeLines="50" w:after="160" w:line="240" w:lineRule="exact"/>
      <w:jc w:val="left"/>
    </w:pPr>
    <w:rPr>
      <w:szCs w:val="20"/>
    </w:rPr>
  </w:style>
  <w:style w:type="paragraph" w:customStyle="1" w:styleId="8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82">
    <w:name w:val="µ1"/>
    <w:basedOn w:val="1"/>
    <w:qFormat/>
    <w:uiPriority w:val="0"/>
    <w:pPr>
      <w:widowControl/>
      <w:overflowPunct w:val="0"/>
      <w:autoSpaceDE w:val="0"/>
      <w:autoSpaceDN w:val="0"/>
      <w:adjustRightInd w:val="0"/>
      <w:spacing w:beforeLines="50" w:afterLines="50" w:line="240" w:lineRule="exact"/>
      <w:ind w:left="432" w:hanging="432"/>
    </w:pPr>
    <w:rPr>
      <w:rFonts w:ascii="楷体" w:eastAsia="楷体"/>
      <w:spacing w:val="-20"/>
      <w:kern w:val="28"/>
      <w:position w:val="-6"/>
      <w:sz w:val="24"/>
      <w:szCs w:val="20"/>
    </w:rPr>
  </w:style>
  <w:style w:type="paragraph" w:customStyle="1" w:styleId="83">
    <w:name w:val="Char1 Char Char Char Char Char Char1"/>
    <w:basedOn w:val="1"/>
    <w:qFormat/>
    <w:uiPriority w:val="0"/>
    <w:pPr>
      <w:spacing w:beforeLines="50" w:afterLines="50" w:line="240" w:lineRule="exact"/>
    </w:pPr>
    <w:rPr>
      <w:rFonts w:ascii="Tahoma" w:hAnsi="Tahoma"/>
      <w:sz w:val="24"/>
      <w:szCs w:val="20"/>
    </w:rPr>
  </w:style>
  <w:style w:type="paragraph" w:customStyle="1" w:styleId="84">
    <w:name w:val="Blockquote"/>
    <w:basedOn w:val="1"/>
    <w:link w:val="103"/>
    <w:qFormat/>
    <w:uiPriority w:val="0"/>
    <w:pPr>
      <w:autoSpaceDE w:val="0"/>
      <w:autoSpaceDN w:val="0"/>
      <w:adjustRightInd w:val="0"/>
      <w:spacing w:before="100" w:after="100"/>
      <w:ind w:left="360" w:right="360"/>
      <w:jc w:val="left"/>
    </w:pPr>
    <w:rPr>
      <w:kern w:val="0"/>
      <w:sz w:val="24"/>
      <w:szCs w:val="20"/>
    </w:rPr>
  </w:style>
  <w:style w:type="paragraph" w:customStyle="1" w:styleId="85">
    <w:name w:val="1.1编号"/>
    <w:basedOn w:val="1"/>
    <w:qFormat/>
    <w:uiPriority w:val="0"/>
    <w:pPr>
      <w:widowControl/>
      <w:tabs>
        <w:tab w:val="left" w:pos="1559"/>
      </w:tabs>
      <w:spacing w:beforeLines="50" w:afterLines="50" w:line="380" w:lineRule="exact"/>
      <w:ind w:left="1559" w:hanging="1559"/>
    </w:pPr>
    <w:rPr>
      <w:b/>
      <w:spacing w:val="20"/>
      <w:szCs w:val="20"/>
    </w:rPr>
  </w:style>
  <w:style w:type="paragraph" w:customStyle="1" w:styleId="86">
    <w:name w:val="2"/>
    <w:basedOn w:val="1"/>
    <w:next w:val="24"/>
    <w:qFormat/>
    <w:uiPriority w:val="0"/>
    <w:rPr>
      <w:rFonts w:ascii="宋体" w:hAnsi="Courier New"/>
      <w:szCs w:val="20"/>
    </w:rPr>
  </w:style>
  <w:style w:type="paragraph" w:customStyle="1" w:styleId="87">
    <w:name w:val="a 正文"/>
    <w:basedOn w:val="68"/>
    <w:qFormat/>
    <w:uiPriority w:val="0"/>
    <w:pPr>
      <w:numPr>
        <w:ilvl w:val="2"/>
      </w:numPr>
      <w:tabs>
        <w:tab w:val="clear" w:pos="720"/>
      </w:tabs>
      <w:ind w:left="681" w:hanging="227"/>
    </w:pPr>
  </w:style>
  <w:style w:type="paragraph" w:customStyle="1" w:styleId="88">
    <w:name w:val="Char11"/>
    <w:basedOn w:val="1"/>
    <w:qFormat/>
    <w:uiPriority w:val="0"/>
    <w:rPr>
      <w:rFonts w:ascii="Tahoma" w:hAnsi="Tahoma"/>
      <w:sz w:val="24"/>
      <w:szCs w:val="20"/>
    </w:rPr>
  </w:style>
  <w:style w:type="paragraph" w:customStyle="1" w:styleId="89">
    <w:name w:val="section编号"/>
    <w:basedOn w:val="1"/>
    <w:qFormat/>
    <w:uiPriority w:val="0"/>
    <w:pPr>
      <w:widowControl/>
      <w:numPr>
        <w:ilvl w:val="0"/>
        <w:numId w:val="1"/>
      </w:numPr>
      <w:spacing w:beforeLines="50" w:afterLines="50" w:line="420" w:lineRule="exact"/>
      <w:jc w:val="center"/>
    </w:pPr>
    <w:rPr>
      <w:rFonts w:ascii="Arial" w:hAnsi="Arial" w:eastAsia="黑体"/>
      <w:spacing w:val="40"/>
      <w:sz w:val="28"/>
      <w:szCs w:val="20"/>
    </w:rPr>
  </w:style>
  <w:style w:type="paragraph" w:customStyle="1" w:styleId="90">
    <w:name w:val="样式3"/>
    <w:basedOn w:val="1"/>
    <w:qFormat/>
    <w:uiPriority w:val="0"/>
    <w:pPr>
      <w:numPr>
        <w:ilvl w:val="0"/>
        <w:numId w:val="7"/>
      </w:numPr>
      <w:spacing w:beforeLines="50" w:afterLines="50" w:line="240" w:lineRule="exact"/>
      <w:ind w:left="1065" w:firstLine="0"/>
    </w:pPr>
    <w:rPr>
      <w:sz w:val="28"/>
      <w:szCs w:val="20"/>
    </w:rPr>
  </w:style>
  <w:style w:type="paragraph" w:customStyle="1" w:styleId="91">
    <w:name w:val="table"/>
    <w:basedOn w:val="1"/>
    <w:qFormat/>
    <w:uiPriority w:val="0"/>
    <w:pPr>
      <w:keepNext/>
      <w:widowControl/>
      <w:overflowPunct w:val="0"/>
      <w:autoSpaceDE w:val="0"/>
      <w:autoSpaceDN w:val="0"/>
      <w:adjustRightInd w:val="0"/>
      <w:spacing w:beforeLines="50" w:afterLines="50" w:line="240" w:lineRule="exact"/>
      <w:jc w:val="left"/>
    </w:pPr>
    <w:rPr>
      <w:rFonts w:ascii="楷体" w:eastAsia="楷体"/>
      <w:b/>
      <w:spacing w:val="2"/>
      <w:kern w:val="28"/>
      <w:position w:val="-6"/>
      <w:sz w:val="24"/>
      <w:szCs w:val="20"/>
    </w:rPr>
  </w:style>
  <w:style w:type="paragraph" w:customStyle="1" w:styleId="92">
    <w:name w:val="."/>
    <w:basedOn w:val="1"/>
    <w:qFormat/>
    <w:uiPriority w:val="0"/>
    <w:pPr>
      <w:widowControl/>
      <w:overflowPunct w:val="0"/>
      <w:autoSpaceDE w:val="0"/>
      <w:autoSpaceDN w:val="0"/>
      <w:adjustRightInd w:val="0"/>
      <w:spacing w:beforeLines="50" w:afterLines="50" w:line="264" w:lineRule="auto"/>
      <w:ind w:left="681" w:hanging="227"/>
    </w:pPr>
    <w:rPr>
      <w:rFonts w:ascii="宋体"/>
      <w:kern w:val="0"/>
      <w:sz w:val="24"/>
      <w:szCs w:val="20"/>
    </w:rPr>
  </w:style>
  <w:style w:type="paragraph" w:customStyle="1" w:styleId="93">
    <w:name w:val="1.正文"/>
    <w:basedOn w:val="1"/>
    <w:qFormat/>
    <w:uiPriority w:val="0"/>
    <w:pPr>
      <w:widowControl/>
      <w:numPr>
        <w:ilvl w:val="1"/>
        <w:numId w:val="3"/>
      </w:numPr>
      <w:spacing w:beforeLines="50" w:afterLines="50" w:line="300" w:lineRule="exact"/>
    </w:pPr>
    <w:rPr>
      <w:szCs w:val="20"/>
    </w:rPr>
  </w:style>
  <w:style w:type="paragraph" w:customStyle="1" w:styleId="94">
    <w:name w:val="Char1"/>
    <w:basedOn w:val="1"/>
    <w:qFormat/>
    <w:uiPriority w:val="0"/>
    <w:pPr>
      <w:spacing w:beforeLines="50" w:afterLines="50" w:line="240" w:lineRule="exact"/>
    </w:pPr>
    <w:rPr>
      <w:rFonts w:ascii="Tahoma" w:hAnsi="Tahoma"/>
      <w:sz w:val="24"/>
      <w:szCs w:val="20"/>
    </w:rPr>
  </w:style>
  <w:style w:type="paragraph" w:customStyle="1" w:styleId="95">
    <w:name w:val="_Style 84"/>
    <w:basedOn w:val="1"/>
    <w:qFormat/>
    <w:uiPriority w:val="34"/>
    <w:pPr>
      <w:ind w:firstLine="420" w:firstLineChars="200"/>
    </w:pPr>
  </w:style>
  <w:style w:type="character" w:customStyle="1" w:styleId="96">
    <w:name w:val="标题 6 Char"/>
    <w:basedOn w:val="46"/>
    <w:link w:val="8"/>
    <w:qFormat/>
    <w:locked/>
    <w:uiPriority w:val="0"/>
    <w:rPr>
      <w:rFonts w:ascii="Arial" w:hAnsi="Arial" w:eastAsia="黑体"/>
      <w:b/>
      <w:sz w:val="24"/>
      <w:lang w:val="en-US" w:eastAsia="zh-CN" w:bidi="ar-SA"/>
    </w:rPr>
  </w:style>
  <w:style w:type="character" w:customStyle="1" w:styleId="97">
    <w:name w:val="标题 7 Char"/>
    <w:basedOn w:val="46"/>
    <w:link w:val="9"/>
    <w:qFormat/>
    <w:locked/>
    <w:uiPriority w:val="0"/>
    <w:rPr>
      <w:rFonts w:eastAsia="宋体"/>
      <w:b/>
      <w:sz w:val="24"/>
      <w:lang w:val="en-US" w:eastAsia="zh-CN" w:bidi="ar-SA"/>
    </w:rPr>
  </w:style>
  <w:style w:type="character" w:customStyle="1" w:styleId="98">
    <w:name w:val="en"/>
    <w:basedOn w:val="46"/>
    <w:qFormat/>
    <w:uiPriority w:val="0"/>
  </w:style>
  <w:style w:type="character" w:customStyle="1" w:styleId="99">
    <w:name w:val="标题 8 Char"/>
    <w:basedOn w:val="46"/>
    <w:link w:val="10"/>
    <w:qFormat/>
    <w:locked/>
    <w:uiPriority w:val="0"/>
    <w:rPr>
      <w:rFonts w:ascii="Arial" w:hAnsi="Arial" w:eastAsia="黑体"/>
      <w:sz w:val="24"/>
      <w:lang w:val="en-US" w:eastAsia="zh-CN" w:bidi="ar-SA"/>
    </w:rPr>
  </w:style>
  <w:style w:type="character" w:customStyle="1" w:styleId="100">
    <w:name w:val="文档结构图 Char"/>
    <w:basedOn w:val="46"/>
    <w:link w:val="14"/>
    <w:qFormat/>
    <w:locked/>
    <w:uiPriority w:val="0"/>
    <w:rPr>
      <w:rFonts w:ascii="宋体" w:hAnsi="宋体" w:eastAsia="宋体"/>
      <w:kern w:val="2"/>
      <w:sz w:val="21"/>
      <w:szCs w:val="24"/>
      <w:lang w:bidi="ar-SA"/>
    </w:rPr>
  </w:style>
  <w:style w:type="character" w:customStyle="1" w:styleId="101">
    <w:name w:val="正文首行缩进 Char"/>
    <w:basedOn w:val="102"/>
    <w:link w:val="43"/>
    <w:qFormat/>
    <w:locked/>
    <w:uiPriority w:val="0"/>
    <w:rPr>
      <w:rFonts w:ascii="金山简黑体" w:hAnsi="Courier New" w:eastAsia="宋体"/>
      <w:spacing w:val="-8"/>
      <w:kern w:val="2"/>
      <w:sz w:val="21"/>
      <w:szCs w:val="24"/>
      <w:lang w:val="en-US" w:eastAsia="zh-CN" w:bidi="ar-SA"/>
    </w:rPr>
  </w:style>
  <w:style w:type="character" w:customStyle="1" w:styleId="102">
    <w:name w:val="正文文本 Char"/>
    <w:basedOn w:val="46"/>
    <w:link w:val="16"/>
    <w:qFormat/>
    <w:locked/>
    <w:uiPriority w:val="0"/>
    <w:rPr>
      <w:rFonts w:ascii="金山简黑体" w:hAnsi="Courier New" w:eastAsia="金山简黑体"/>
      <w:b/>
      <w:spacing w:val="-8"/>
      <w:kern w:val="2"/>
      <w:sz w:val="44"/>
      <w:lang w:val="en-US" w:eastAsia="zh-CN" w:bidi="ar-SA"/>
    </w:rPr>
  </w:style>
  <w:style w:type="character" w:customStyle="1" w:styleId="103">
    <w:name w:val="Blockquote Char2"/>
    <w:basedOn w:val="46"/>
    <w:link w:val="84"/>
    <w:qFormat/>
    <w:locked/>
    <w:uiPriority w:val="0"/>
    <w:rPr>
      <w:rFonts w:eastAsia="宋体"/>
      <w:sz w:val="24"/>
      <w:lang w:val="en-US" w:eastAsia="zh-CN" w:bidi="ar-SA"/>
    </w:rPr>
  </w:style>
  <w:style w:type="character" w:customStyle="1" w:styleId="104">
    <w:name w:val="标题 9 Char"/>
    <w:basedOn w:val="46"/>
    <w:link w:val="11"/>
    <w:qFormat/>
    <w:locked/>
    <w:uiPriority w:val="0"/>
    <w:rPr>
      <w:rFonts w:ascii="Arial" w:hAnsi="Arial" w:eastAsia="黑体"/>
      <w:sz w:val="21"/>
      <w:lang w:val="en-US" w:eastAsia="zh-CN" w:bidi="ar-SA"/>
    </w:rPr>
  </w:style>
  <w:style w:type="character" w:customStyle="1" w:styleId="105">
    <w:name w:val="标题 Char"/>
    <w:basedOn w:val="46"/>
    <w:link w:val="41"/>
    <w:qFormat/>
    <w:locked/>
    <w:uiPriority w:val="0"/>
    <w:rPr>
      <w:rFonts w:ascii="Cambria" w:hAnsi="Cambria" w:eastAsia="宋体"/>
      <w:b/>
      <w:bCs/>
      <w:kern w:val="2"/>
      <w:sz w:val="36"/>
      <w:szCs w:val="32"/>
      <w:lang w:val="en-US" w:eastAsia="zh-CN" w:bidi="ar-SA"/>
    </w:rPr>
  </w:style>
  <w:style w:type="character" w:customStyle="1" w:styleId="106">
    <w:name w:val="Char Char1"/>
    <w:qFormat/>
    <w:uiPriority w:val="0"/>
    <w:rPr>
      <w:rFonts w:hint="eastAsia" w:ascii="宋体" w:hAnsi="宋体" w:eastAsia="宋体"/>
      <w:kern w:val="2"/>
      <w:sz w:val="18"/>
      <w:szCs w:val="18"/>
      <w:lang w:val="en-US" w:eastAsia="zh-CN" w:bidi="ar-SA"/>
    </w:rPr>
  </w:style>
  <w:style w:type="character" w:customStyle="1" w:styleId="107">
    <w:name w:val="style1"/>
    <w:basedOn w:val="46"/>
    <w:qFormat/>
    <w:uiPriority w:val="0"/>
  </w:style>
  <w:style w:type="character" w:customStyle="1" w:styleId="108">
    <w:name w:val="标题 2 Char"/>
    <w:basedOn w:val="46"/>
    <w:link w:val="4"/>
    <w:qFormat/>
    <w:locked/>
    <w:uiPriority w:val="0"/>
    <w:rPr>
      <w:rFonts w:ascii="Arial" w:hAnsi="Arial" w:eastAsia="黑体"/>
      <w:b/>
      <w:bCs/>
      <w:kern w:val="2"/>
      <w:sz w:val="32"/>
      <w:szCs w:val="32"/>
      <w:lang w:val="en-US" w:eastAsia="zh-CN" w:bidi="ar-SA"/>
    </w:rPr>
  </w:style>
  <w:style w:type="character" w:customStyle="1" w:styleId="109">
    <w:name w:val="style6"/>
    <w:basedOn w:val="46"/>
    <w:qFormat/>
    <w:uiPriority w:val="0"/>
  </w:style>
  <w:style w:type="character" w:customStyle="1" w:styleId="110">
    <w:name w:val="标题 5 Char"/>
    <w:basedOn w:val="46"/>
    <w:link w:val="7"/>
    <w:qFormat/>
    <w:locked/>
    <w:uiPriority w:val="0"/>
    <w:rPr>
      <w:rFonts w:eastAsia="宋体"/>
      <w:b/>
      <w:bCs/>
      <w:kern w:val="2"/>
      <w:sz w:val="28"/>
      <w:szCs w:val="28"/>
      <w:lang w:val="en-US" w:eastAsia="zh-CN" w:bidi="ar-SA"/>
    </w:rPr>
  </w:style>
  <w:style w:type="character" w:customStyle="1" w:styleId="111">
    <w:name w:val="正文文本 2 Char"/>
    <w:basedOn w:val="46"/>
    <w:link w:val="38"/>
    <w:qFormat/>
    <w:locked/>
    <w:uiPriority w:val="0"/>
    <w:rPr>
      <w:rFonts w:ascii="宋体" w:hAnsi="宋体" w:eastAsia="宋体"/>
      <w:color w:val="FF0000"/>
      <w:kern w:val="2"/>
      <w:sz w:val="21"/>
      <w:szCs w:val="21"/>
      <w:lang w:val="en-US" w:eastAsia="zh-CN" w:bidi="ar-SA"/>
    </w:rPr>
  </w:style>
  <w:style w:type="character" w:customStyle="1" w:styleId="112">
    <w:name w:val="样式 Char"/>
    <w:qFormat/>
    <w:uiPriority w:val="0"/>
    <w:rPr>
      <w:rFonts w:hint="default" w:ascii="宋体" w:hAnsi="宋体" w:eastAsia="宋体" w:cs="宋体"/>
      <w:sz w:val="24"/>
      <w:szCs w:val="24"/>
      <w:lang w:val="en-US" w:eastAsia="zh-CN" w:bidi="ar-SA"/>
    </w:rPr>
  </w:style>
  <w:style w:type="character" w:customStyle="1" w:styleId="113">
    <w:name w:val="apple-converted-space"/>
    <w:basedOn w:val="46"/>
    <w:qFormat/>
    <w:uiPriority w:val="0"/>
  </w:style>
  <w:style w:type="character" w:customStyle="1" w:styleId="114">
    <w:name w:val="标题 3 Char"/>
    <w:link w:val="5"/>
    <w:qFormat/>
    <w:locked/>
    <w:uiPriority w:val="0"/>
    <w:rPr>
      <w:rFonts w:eastAsia="宋体"/>
      <w:b/>
      <w:bCs/>
      <w:kern w:val="2"/>
      <w:sz w:val="32"/>
      <w:szCs w:val="32"/>
      <w:lang w:val="en-US" w:eastAsia="zh-CN" w:bidi="ar-SA"/>
    </w:rPr>
  </w:style>
  <w:style w:type="character" w:customStyle="1" w:styleId="115">
    <w:name w:val="纯文本 Char1"/>
    <w:basedOn w:val="46"/>
    <w:qFormat/>
    <w:uiPriority w:val="0"/>
    <w:rPr>
      <w:rFonts w:ascii="宋体" w:hAnsi="Courier New" w:eastAsia="宋体"/>
      <w:kern w:val="2"/>
      <w:sz w:val="21"/>
      <w:lang w:val="en-US" w:eastAsia="zh-CN" w:bidi="ar-SA"/>
    </w:rPr>
  </w:style>
  <w:style w:type="character" w:customStyle="1" w:styleId="116">
    <w:name w:val="批注主题 Char"/>
    <w:basedOn w:val="117"/>
    <w:link w:val="42"/>
    <w:semiHidden/>
    <w:qFormat/>
    <w:locked/>
    <w:uiPriority w:val="0"/>
    <w:rPr>
      <w:rFonts w:ascii="宋体" w:hAnsi="宋体" w:eastAsia="宋体"/>
      <w:b/>
      <w:bCs/>
      <w:kern w:val="2"/>
      <w:sz w:val="21"/>
      <w:szCs w:val="24"/>
      <w:lang w:bidi="ar-SA"/>
    </w:rPr>
  </w:style>
  <w:style w:type="character" w:customStyle="1" w:styleId="117">
    <w:name w:val="批注文字 Char"/>
    <w:basedOn w:val="46"/>
    <w:link w:val="15"/>
    <w:qFormat/>
    <w:locked/>
    <w:uiPriority w:val="0"/>
    <w:rPr>
      <w:rFonts w:ascii="宋体" w:hAnsi="宋体" w:eastAsia="宋体"/>
      <w:kern w:val="2"/>
      <w:sz w:val="21"/>
      <w:szCs w:val="24"/>
      <w:lang w:bidi="ar-SA"/>
    </w:rPr>
  </w:style>
  <w:style w:type="character" w:customStyle="1" w:styleId="118">
    <w:name w:val="批注框文本 Char"/>
    <w:link w:val="28"/>
    <w:qFormat/>
    <w:locked/>
    <w:uiPriority w:val="0"/>
    <w:rPr>
      <w:rFonts w:eastAsia="宋体"/>
      <w:kern w:val="2"/>
      <w:sz w:val="18"/>
      <w:szCs w:val="18"/>
      <w:lang w:val="en-US" w:eastAsia="zh-CN" w:bidi="ar-SA"/>
    </w:rPr>
  </w:style>
  <w:style w:type="character" w:customStyle="1" w:styleId="119">
    <w:name w:val="页脚 Char"/>
    <w:basedOn w:val="46"/>
    <w:link w:val="29"/>
    <w:qFormat/>
    <w:uiPriority w:val="99"/>
    <w:rPr>
      <w:rFonts w:ascii="宋体" w:hAnsi="Courier New"/>
      <w:kern w:val="2"/>
      <w:sz w:val="18"/>
    </w:rPr>
  </w:style>
  <w:style w:type="character" w:customStyle="1" w:styleId="120">
    <w:name w:val="标题 4 Char"/>
    <w:basedOn w:val="46"/>
    <w:link w:val="6"/>
    <w:qFormat/>
    <w:locked/>
    <w:uiPriority w:val="0"/>
    <w:rPr>
      <w:rFonts w:ascii="Arial" w:hAnsi="Arial" w:eastAsia="黑体"/>
      <w:b/>
      <w:bCs/>
      <w:kern w:val="2"/>
      <w:sz w:val="28"/>
      <w:szCs w:val="28"/>
      <w:lang w:val="en-US" w:eastAsia="zh-CN" w:bidi="ar-SA"/>
    </w:rPr>
  </w:style>
  <w:style w:type="character" w:customStyle="1" w:styleId="121">
    <w:name w:val="标题 1 Char"/>
    <w:basedOn w:val="46"/>
    <w:link w:val="3"/>
    <w:qFormat/>
    <w:locked/>
    <w:uiPriority w:val="0"/>
    <w:rPr>
      <w:rFonts w:eastAsia="宋体"/>
      <w:b/>
      <w:kern w:val="2"/>
      <w:sz w:val="21"/>
      <w:szCs w:val="24"/>
      <w:lang w:val="en-US" w:eastAsia="zh-CN" w:bidi="ar-SA"/>
    </w:rPr>
  </w:style>
  <w:style w:type="character" w:customStyle="1" w:styleId="122">
    <w:name w:val="para1"/>
    <w:basedOn w:val="46"/>
    <w:qFormat/>
    <w:uiPriority w:val="0"/>
    <w:rPr>
      <w:rFonts w:hint="default" w:ascii="Arial" w:hAnsi="Arial" w:cs="Arial"/>
      <w:sz w:val="18"/>
      <w:szCs w:val="18"/>
    </w:rPr>
  </w:style>
  <w:style w:type="character" w:customStyle="1" w:styleId="123">
    <w:name w:val="纯文本 Char"/>
    <w:basedOn w:val="46"/>
    <w:link w:val="24"/>
    <w:qFormat/>
    <w:uiPriority w:val="99"/>
    <w:rPr>
      <w:rFonts w:ascii="宋体" w:hAnsi="Courier New" w:eastAsia="宋体"/>
      <w:kern w:val="2"/>
      <w:sz w:val="21"/>
      <w:lang w:val="en-US" w:eastAsia="zh-CN" w:bidi="ar-SA"/>
    </w:rPr>
  </w:style>
  <w:style w:type="character" w:customStyle="1" w:styleId="124">
    <w:name w:val="Char Char"/>
    <w:qFormat/>
    <w:uiPriority w:val="0"/>
    <w:rPr>
      <w:rFonts w:hint="eastAsia" w:ascii="宋体" w:hAnsi="宋体" w:eastAsia="宋体"/>
      <w:kern w:val="2"/>
      <w:sz w:val="18"/>
      <w:szCs w:val="18"/>
      <w:lang w:val="en-US" w:eastAsia="zh-CN" w:bidi="ar-SA"/>
    </w:rPr>
  </w:style>
  <w:style w:type="character" w:customStyle="1" w:styleId="125">
    <w:name w:val="脚注文本 Char"/>
    <w:basedOn w:val="46"/>
    <w:link w:val="33"/>
    <w:qFormat/>
    <w:locked/>
    <w:uiPriority w:val="0"/>
    <w:rPr>
      <w:rFonts w:ascii="宋体" w:hAnsi="宋体" w:eastAsia="宋体"/>
      <w:kern w:val="2"/>
      <w:sz w:val="18"/>
      <w:lang w:bidi="ar-SA"/>
    </w:rPr>
  </w:style>
  <w:style w:type="character" w:customStyle="1" w:styleId="126">
    <w:name w:val="正文文本缩进 3 Char"/>
    <w:basedOn w:val="46"/>
    <w:link w:val="35"/>
    <w:qFormat/>
    <w:locked/>
    <w:uiPriority w:val="0"/>
    <w:rPr>
      <w:rFonts w:eastAsia="宋体"/>
      <w:kern w:val="2"/>
      <w:sz w:val="28"/>
      <w:lang w:val="en-US" w:eastAsia="zh-CN" w:bidi="ar-SA"/>
    </w:rPr>
  </w:style>
  <w:style w:type="character" w:customStyle="1" w:styleId="127">
    <w:name w:val="正文文本缩进 Char"/>
    <w:basedOn w:val="46"/>
    <w:link w:val="20"/>
    <w:qFormat/>
    <w:uiPriority w:val="0"/>
    <w:rPr>
      <w:rFonts w:ascii="宋体" w:hAnsi="Courier New"/>
      <w:spacing w:val="-4"/>
      <w:kern w:val="2"/>
      <w:sz w:val="18"/>
    </w:rPr>
  </w:style>
  <w:style w:type="character" w:customStyle="1" w:styleId="128">
    <w:name w:val="font11"/>
    <w:basedOn w:val="46"/>
    <w:qFormat/>
    <w:uiPriority w:val="0"/>
    <w:rPr>
      <w:rFonts w:hint="eastAsia" w:ascii="新宋体" w:hAnsi="新宋体" w:eastAsia="新宋体" w:cs="新宋体"/>
      <w:color w:val="000000"/>
      <w:sz w:val="28"/>
      <w:szCs w:val="28"/>
      <w:u w:val="none"/>
    </w:rPr>
  </w:style>
  <w:style w:type="character" w:customStyle="1" w:styleId="129">
    <w:name w:val="font01"/>
    <w:basedOn w:val="46"/>
    <w:qFormat/>
    <w:uiPriority w:val="0"/>
    <w:rPr>
      <w:rFonts w:hint="eastAsia" w:ascii="新宋体" w:hAnsi="新宋体" w:eastAsia="新宋体" w:cs="新宋体"/>
      <w:color w:val="000000"/>
      <w:sz w:val="28"/>
      <w:szCs w:val="28"/>
      <w:u w:val="none"/>
      <w:vertAlign w:val="superscript"/>
    </w:rPr>
  </w:style>
  <w:style w:type="paragraph" w:styleId="130">
    <w:name w:val="List Paragraph"/>
    <w:basedOn w:val="1"/>
    <w:qFormat/>
    <w:uiPriority w:val="99"/>
    <w:pPr>
      <w:ind w:firstLine="420" w:firstLineChars="200"/>
    </w:pPr>
  </w:style>
  <w:style w:type="character" w:customStyle="1" w:styleId="131">
    <w:name w:val="fn-left2"/>
    <w:basedOn w:val="46"/>
    <w:qFormat/>
    <w:uiPriority w:val="0"/>
  </w:style>
  <w:style w:type="character" w:customStyle="1" w:styleId="132">
    <w:name w:val="layui-layer-tabnow"/>
    <w:basedOn w:val="46"/>
    <w:qFormat/>
    <w:uiPriority w:val="0"/>
    <w:rPr>
      <w:bdr w:val="single" w:color="CCCCCC" w:sz="6" w:space="0"/>
      <w:shd w:val="clear" w:color="auto" w:fill="FFFFFF"/>
    </w:rPr>
  </w:style>
  <w:style w:type="character" w:customStyle="1" w:styleId="133">
    <w:name w:val="first-child"/>
    <w:basedOn w:val="46"/>
    <w:qFormat/>
    <w:uiPriority w:val="0"/>
  </w:style>
  <w:style w:type="character" w:customStyle="1" w:styleId="134">
    <w:name w:val="first-child2"/>
    <w:basedOn w:val="46"/>
    <w:qFormat/>
    <w:uiPriority w:val="0"/>
  </w:style>
  <w:style w:type="character" w:customStyle="1" w:styleId="135">
    <w:name w:val="fn-left"/>
    <w:basedOn w:val="46"/>
    <w:qFormat/>
    <w:uiPriority w:val="0"/>
  </w:style>
  <w:style w:type="character" w:customStyle="1" w:styleId="136">
    <w:name w:val="first-child1"/>
    <w:basedOn w:val="46"/>
    <w:qFormat/>
    <w:uiPriority w:val="0"/>
  </w:style>
  <w:style w:type="character" w:customStyle="1" w:styleId="137">
    <w:name w:val="font111"/>
    <w:basedOn w:val="46"/>
    <w:qFormat/>
    <w:uiPriority w:val="0"/>
    <w:rPr>
      <w:rFonts w:hint="eastAsia" w:ascii="宋体" w:hAnsi="宋体" w:eastAsia="宋体" w:cs="宋体"/>
      <w:color w:val="000000"/>
      <w:sz w:val="22"/>
      <w:szCs w:val="22"/>
      <w:u w:val="none"/>
    </w:rPr>
  </w:style>
  <w:style w:type="character" w:customStyle="1" w:styleId="138">
    <w:name w:val="font81"/>
    <w:basedOn w:val="46"/>
    <w:qFormat/>
    <w:uiPriority w:val="0"/>
    <w:rPr>
      <w:rFonts w:hint="eastAsia" w:ascii="宋体" w:hAnsi="宋体" w:eastAsia="宋体" w:cs="宋体"/>
      <w:color w:val="000000"/>
      <w:sz w:val="20"/>
      <w:szCs w:val="20"/>
      <w:u w:val="none"/>
    </w:rPr>
  </w:style>
  <w:style w:type="character" w:customStyle="1" w:styleId="139">
    <w:name w:val="font71"/>
    <w:basedOn w:val="46"/>
    <w:qFormat/>
    <w:uiPriority w:val="0"/>
    <w:rPr>
      <w:rFonts w:hint="eastAsia" w:ascii="宋体" w:hAnsi="宋体" w:eastAsia="宋体" w:cs="宋体"/>
      <w:color w:val="000000"/>
      <w:sz w:val="22"/>
      <w:szCs w:val="22"/>
      <w:u w:val="none"/>
    </w:rPr>
  </w:style>
  <w:style w:type="character" w:customStyle="1" w:styleId="140">
    <w:name w:val="font112"/>
    <w:basedOn w:val="46"/>
    <w:qFormat/>
    <w:uiPriority w:val="0"/>
    <w:rPr>
      <w:rFonts w:hint="eastAsia" w:ascii="宋体" w:hAnsi="宋体" w:eastAsia="宋体" w:cs="宋体"/>
      <w:color w:val="000000"/>
      <w:sz w:val="22"/>
      <w:szCs w:val="22"/>
      <w:u w:val="none"/>
    </w:rPr>
  </w:style>
  <w:style w:type="character" w:customStyle="1" w:styleId="141">
    <w:name w:val="font21"/>
    <w:basedOn w:val="46"/>
    <w:qFormat/>
    <w:uiPriority w:val="0"/>
    <w:rPr>
      <w:rFonts w:hint="eastAsia" w:ascii="宋体" w:hAnsi="宋体" w:eastAsia="宋体" w:cs="宋体"/>
      <w:color w:val="000000"/>
      <w:sz w:val="22"/>
      <w:szCs w:val="22"/>
      <w:u w:val="none"/>
    </w:rPr>
  </w:style>
  <w:style w:type="character" w:customStyle="1" w:styleId="142">
    <w:name w:val="font131"/>
    <w:basedOn w:val="4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4"/>
    <customShpInfo spid="_x0000_s2053"/>
    <customShpInfo spid="_x0000_s2055"/>
    <customShpInfo spid="_x0000_s2056"/>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3143</Words>
  <Characters>17918</Characters>
  <Lines>149</Lines>
  <Paragraphs>42</Paragraphs>
  <TotalTime>3</TotalTime>
  <ScaleCrop>false</ScaleCrop>
  <LinksUpToDate>false</LinksUpToDate>
  <CharactersWithSpaces>21019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2016-07-22T03:03:00Z</dcterms:created>
  <dc:creator>微软用户</dc:creator>
  <cp:lastModifiedBy>Administrator</cp:lastModifiedBy>
  <cp:lastPrinted>2020-12-08T01:44:00Z</cp:lastPrinted>
  <dcterms:modified xsi:type="dcterms:W3CDTF">2020-12-08T09:13:40Z</dcterms:modified>
  <dc:title>广西创建项目咨询有限公司</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