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292BE">
      <w:pPr>
        <w:adjustRightInd w:val="0"/>
        <w:snapToGrid w:val="0"/>
        <w:spacing w:line="288" w:lineRule="auto"/>
        <w:rPr>
          <w:rFonts w:hint="eastAsia" w:ascii="仿宋" w:hAnsi="仿宋" w:eastAsia="仿宋" w:cs="仿宋"/>
          <w:b/>
          <w:color w:val="auto"/>
          <w:sz w:val="44"/>
          <w:szCs w:val="44"/>
          <w:highlight w:val="none"/>
        </w:rPr>
      </w:pPr>
    </w:p>
    <w:p w14:paraId="54A6A3B1">
      <w:pPr>
        <w:shd w:val="clear"/>
        <w:adjustRightInd w:val="0"/>
        <w:snapToGrid w:val="0"/>
        <w:spacing w:line="288" w:lineRule="auto"/>
        <w:jc w:val="both"/>
        <w:rPr>
          <w:rFonts w:hint="eastAsia" w:ascii="仿宋" w:hAnsi="仿宋" w:eastAsia="仿宋" w:cs="仿宋"/>
          <w:b/>
          <w:bCs/>
          <w:color w:val="auto"/>
          <w:sz w:val="72"/>
          <w:szCs w:val="72"/>
          <w:highlight w:val="none"/>
        </w:rPr>
      </w:pPr>
    </w:p>
    <w:p w14:paraId="1B3DF902">
      <w:pPr>
        <w:shd w:val="clear"/>
        <w:adjustRightInd w:val="0"/>
        <w:snapToGrid w:val="0"/>
        <w:spacing w:line="288"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竞</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争</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性</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磋</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商</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文</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件</w:t>
      </w:r>
    </w:p>
    <w:p w14:paraId="41D3E114">
      <w:pPr>
        <w:shd w:val="clear"/>
        <w:adjustRightInd w:val="0"/>
        <w:snapToGrid w:val="0"/>
        <w:spacing w:line="288"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（线上电子交易）</w:t>
      </w:r>
    </w:p>
    <w:p w14:paraId="08AD13DF">
      <w:pPr>
        <w:shd w:val="clear"/>
        <w:adjustRightInd w:val="0"/>
        <w:snapToGrid w:val="0"/>
        <w:spacing w:line="288" w:lineRule="auto"/>
        <w:jc w:val="center"/>
        <w:rPr>
          <w:rFonts w:hint="eastAsia" w:ascii="仿宋" w:hAnsi="仿宋" w:eastAsia="仿宋" w:cs="仿宋"/>
          <w:b/>
          <w:bCs/>
          <w:color w:val="auto"/>
          <w:sz w:val="36"/>
          <w:szCs w:val="36"/>
          <w:highlight w:val="none"/>
        </w:rPr>
      </w:pPr>
    </w:p>
    <w:p w14:paraId="76D42D3D">
      <w:pPr>
        <w:pStyle w:val="27"/>
        <w:shd w:val="clear"/>
        <w:ind w:firstLine="0"/>
        <w:rPr>
          <w:rFonts w:hint="eastAsia" w:ascii="仿宋" w:hAnsi="仿宋" w:eastAsia="仿宋" w:cs="仿宋"/>
          <w:color w:val="auto"/>
          <w:spacing w:val="0"/>
          <w:highlight w:val="none"/>
        </w:rPr>
      </w:pPr>
    </w:p>
    <w:p w14:paraId="2632FF24">
      <w:pPr>
        <w:shd w:val="clear"/>
        <w:adjustRightInd w:val="0"/>
        <w:snapToGrid w:val="0"/>
        <w:spacing w:line="288" w:lineRule="auto"/>
        <w:jc w:val="center"/>
        <w:rPr>
          <w:rFonts w:hint="eastAsia" w:ascii="仿宋" w:hAnsi="仿宋" w:eastAsia="仿宋" w:cs="仿宋"/>
          <w:b/>
          <w:bCs/>
          <w:color w:val="auto"/>
          <w:sz w:val="36"/>
          <w:szCs w:val="36"/>
          <w:highlight w:val="none"/>
        </w:rPr>
      </w:pPr>
      <w:r>
        <w:rPr>
          <w:rFonts w:hint="eastAsia" w:ascii="仿宋" w:hAnsi="仿宋" w:eastAsia="仿宋" w:cs="仿宋"/>
          <w:b/>
          <w:color w:val="auto"/>
          <w:sz w:val="36"/>
          <w:highlight w:val="none"/>
        </w:rPr>
        <w:drawing>
          <wp:inline distT="0" distB="0" distL="114300" distR="114300">
            <wp:extent cx="1889760" cy="1470660"/>
            <wp:effectExtent l="0" t="0" r="15240" b="15240"/>
            <wp:docPr id="1" name="图片 1" descr="C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TLOGO"/>
                    <pic:cNvPicPr>
                      <a:picLocks noChangeAspect="1"/>
                    </pic:cNvPicPr>
                  </pic:nvPicPr>
                  <pic:blipFill>
                    <a:blip r:embed="rId10"/>
                    <a:stretch>
                      <a:fillRect/>
                    </a:stretch>
                  </pic:blipFill>
                  <pic:spPr>
                    <a:xfrm>
                      <a:off x="0" y="0"/>
                      <a:ext cx="1889760" cy="1470660"/>
                    </a:xfrm>
                    <a:prstGeom prst="rect">
                      <a:avLst/>
                    </a:prstGeom>
                    <a:noFill/>
                    <a:ln>
                      <a:noFill/>
                    </a:ln>
                  </pic:spPr>
                </pic:pic>
              </a:graphicData>
            </a:graphic>
          </wp:inline>
        </w:drawing>
      </w:r>
    </w:p>
    <w:p w14:paraId="6C12A294">
      <w:pPr>
        <w:shd w:val="clear"/>
        <w:adjustRightInd w:val="0"/>
        <w:snapToGrid w:val="0"/>
        <w:spacing w:line="288" w:lineRule="auto"/>
        <w:rPr>
          <w:rFonts w:hint="eastAsia" w:ascii="仿宋" w:hAnsi="仿宋" w:eastAsia="仿宋" w:cs="仿宋"/>
          <w:b/>
          <w:bCs/>
          <w:color w:val="auto"/>
          <w:sz w:val="30"/>
          <w:szCs w:val="30"/>
          <w:highlight w:val="none"/>
        </w:rPr>
      </w:pPr>
    </w:p>
    <w:p w14:paraId="5ED1EA74">
      <w:pPr>
        <w:pStyle w:val="27"/>
        <w:shd w:val="clear"/>
        <w:rPr>
          <w:rFonts w:hint="eastAsia" w:ascii="仿宋" w:hAnsi="仿宋" w:eastAsia="仿宋" w:cs="仿宋"/>
          <w:color w:val="auto"/>
          <w:highlight w:val="none"/>
        </w:rPr>
      </w:pPr>
    </w:p>
    <w:p w14:paraId="55AB50E3">
      <w:pPr>
        <w:shd w:val="clear"/>
        <w:adjustRightInd w:val="0"/>
        <w:snapToGrid w:val="0"/>
        <w:spacing w:line="360" w:lineRule="auto"/>
        <w:rPr>
          <w:rFonts w:hint="eastAsia" w:ascii="仿宋" w:hAnsi="仿宋" w:eastAsia="仿宋" w:cs="仿宋"/>
          <w:b/>
          <w:bCs/>
          <w:color w:val="auto"/>
          <w:sz w:val="30"/>
          <w:szCs w:val="30"/>
          <w:highlight w:val="none"/>
        </w:rPr>
      </w:pPr>
    </w:p>
    <w:p w14:paraId="79B10516">
      <w:pPr>
        <w:shd w:val="clear"/>
        <w:adjustRightInd w:val="0"/>
        <w:snapToGrid w:val="0"/>
        <w:spacing w:line="360" w:lineRule="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30"/>
          <w:szCs w:val="30"/>
          <w:highlight w:val="none"/>
          <w:lang w:eastAsia="zh-CN"/>
        </w:rPr>
        <w:t>智慧教学工具采购</w:t>
      </w:r>
    </w:p>
    <w:p w14:paraId="7B582AA8">
      <w:pPr>
        <w:shd w:val="clear"/>
        <w:adjustRightInd w:val="0"/>
        <w:snapToGrid w:val="0"/>
        <w:spacing w:line="360" w:lineRule="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CTZB-2025070007</w:t>
      </w:r>
    </w:p>
    <w:p w14:paraId="5A032861">
      <w:pPr>
        <w:shd w:val="clear"/>
        <w:adjustRightInd w:val="0"/>
        <w:snapToGrid w:val="0"/>
        <w:spacing w:line="360" w:lineRule="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采 购 人：</w:t>
      </w:r>
      <w:r>
        <w:rPr>
          <w:rFonts w:hint="eastAsia" w:ascii="仿宋" w:hAnsi="仿宋" w:eastAsia="仿宋" w:cs="仿宋"/>
          <w:b/>
          <w:bCs/>
          <w:color w:val="auto"/>
          <w:sz w:val="30"/>
          <w:szCs w:val="30"/>
          <w:highlight w:val="none"/>
          <w:lang w:eastAsia="zh-CN"/>
        </w:rPr>
        <w:t>浙江万里学院</w:t>
      </w:r>
    </w:p>
    <w:p w14:paraId="1D658ED5">
      <w:pPr>
        <w:shd w:val="clear"/>
        <w:adjustRightInd w:val="0"/>
        <w:snapToGrid w:val="0"/>
        <w:spacing w:line="360" w:lineRule="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采购代理机构：</w:t>
      </w:r>
      <w:bookmarkStart w:id="0" w:name="OLE_LINK6"/>
      <w:r>
        <w:rPr>
          <w:rFonts w:hint="eastAsia" w:ascii="仿宋" w:hAnsi="仿宋" w:eastAsia="仿宋" w:cs="仿宋"/>
          <w:b/>
          <w:bCs/>
          <w:color w:val="auto"/>
          <w:sz w:val="30"/>
          <w:szCs w:val="30"/>
          <w:highlight w:val="none"/>
        </w:rPr>
        <w:t>浙江省成套招标代理有限公司</w:t>
      </w:r>
      <w:bookmarkEnd w:id="0"/>
    </w:p>
    <w:p w14:paraId="0A6E9443">
      <w:pPr>
        <w:shd w:val="clear"/>
        <w:adjustRightInd w:val="0"/>
        <w:snapToGrid w:val="0"/>
        <w:spacing w:line="360" w:lineRule="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采购计划文号：[2025]42861号</w:t>
      </w:r>
    </w:p>
    <w:p w14:paraId="5B2C9BE6">
      <w:pPr>
        <w:shd w:val="clear"/>
        <w:adjustRightInd w:val="0"/>
        <w:snapToGrid w:val="0"/>
        <w:spacing w:line="288" w:lineRule="auto"/>
        <w:rPr>
          <w:rFonts w:hint="eastAsia" w:ascii="仿宋" w:hAnsi="仿宋" w:eastAsia="仿宋" w:cs="仿宋"/>
          <w:b/>
          <w:bCs/>
          <w:color w:val="auto"/>
          <w:sz w:val="30"/>
          <w:szCs w:val="30"/>
          <w:highlight w:val="none"/>
        </w:rPr>
      </w:pPr>
    </w:p>
    <w:p w14:paraId="5AF57AC8">
      <w:pPr>
        <w:pStyle w:val="27"/>
        <w:shd w:val="clear"/>
        <w:ind w:firstLine="0"/>
        <w:rPr>
          <w:rFonts w:hint="eastAsia" w:ascii="仿宋" w:hAnsi="仿宋" w:eastAsia="仿宋" w:cs="仿宋"/>
          <w:b/>
          <w:bCs/>
          <w:color w:val="auto"/>
          <w:spacing w:val="0"/>
          <w:sz w:val="30"/>
          <w:szCs w:val="30"/>
          <w:highlight w:val="none"/>
        </w:rPr>
      </w:pPr>
    </w:p>
    <w:p w14:paraId="408417F5">
      <w:pPr>
        <w:pStyle w:val="27"/>
        <w:shd w:val="clear"/>
        <w:ind w:firstLine="0"/>
        <w:rPr>
          <w:rFonts w:hint="eastAsia" w:ascii="仿宋" w:hAnsi="仿宋" w:eastAsia="仿宋" w:cs="仿宋"/>
          <w:b/>
          <w:bCs/>
          <w:color w:val="auto"/>
          <w:spacing w:val="0"/>
          <w:sz w:val="30"/>
          <w:szCs w:val="30"/>
          <w:highlight w:val="none"/>
        </w:rPr>
      </w:pPr>
    </w:p>
    <w:p w14:paraId="1938C1FE">
      <w:pPr>
        <w:pStyle w:val="27"/>
        <w:shd w:val="clear"/>
        <w:ind w:firstLine="0"/>
        <w:rPr>
          <w:rFonts w:hint="eastAsia" w:ascii="仿宋" w:hAnsi="仿宋" w:eastAsia="仿宋" w:cs="仿宋"/>
          <w:b/>
          <w:bCs/>
          <w:color w:val="auto"/>
          <w:spacing w:val="0"/>
          <w:sz w:val="30"/>
          <w:szCs w:val="30"/>
          <w:highlight w:val="none"/>
        </w:rPr>
      </w:pPr>
    </w:p>
    <w:p w14:paraId="755F79F6">
      <w:pPr>
        <w:shd w:val="clear"/>
        <w:adjustRightInd w:val="0"/>
        <w:snapToGrid w:val="0"/>
        <w:spacing w:line="288" w:lineRule="auto"/>
        <w:jc w:val="center"/>
        <w:rPr>
          <w:rFonts w:hint="eastAsia" w:ascii="仿宋" w:hAnsi="仿宋" w:eastAsia="仿宋" w:cs="仿宋"/>
          <w:b/>
          <w:bCs/>
          <w:color w:val="auto"/>
          <w:sz w:val="30"/>
          <w:szCs w:val="30"/>
          <w:highlight w:val="none"/>
        </w:rPr>
        <w:sectPr>
          <w:headerReference r:id="rId4" w:type="first"/>
          <w:footerReference r:id="rId6" w:type="first"/>
          <w:headerReference r:id="rId3" w:type="default"/>
          <w:footerReference r:id="rId5" w:type="default"/>
          <w:pgSz w:w="11906" w:h="16838"/>
          <w:pgMar w:top="1247" w:right="1247" w:bottom="1247" w:left="1247" w:header="850" w:footer="850" w:gutter="0"/>
          <w:cols w:space="720" w:num="1"/>
          <w:titlePg/>
          <w:docGrid w:type="lines" w:linePitch="326" w:charSpace="0"/>
        </w:sectPr>
      </w:pPr>
      <w:r>
        <w:rPr>
          <w:rFonts w:hint="eastAsia" w:ascii="仿宋" w:hAnsi="仿宋" w:eastAsia="仿宋" w:cs="仿宋"/>
          <w:b/>
          <w:bCs/>
          <w:color w:val="auto"/>
          <w:sz w:val="30"/>
          <w:szCs w:val="30"/>
          <w:highlight w:val="none"/>
        </w:rPr>
        <w:t>二〇二五年</w:t>
      </w:r>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rPr>
        <w:t>月</w:t>
      </w:r>
    </w:p>
    <w:p w14:paraId="7778D67E">
      <w:pPr>
        <w:widowControl/>
        <w:shd w:val="clear"/>
        <w:adjustRightInd w:val="0"/>
        <w:snapToGrid w:val="0"/>
        <w:spacing w:line="288" w:lineRule="auto"/>
        <w:rPr>
          <w:rFonts w:hint="eastAsia" w:ascii="仿宋" w:hAnsi="仿宋" w:eastAsia="仿宋" w:cs="仿宋"/>
          <w:b/>
          <w:bCs/>
          <w:color w:val="auto"/>
          <w:sz w:val="21"/>
          <w:szCs w:val="21"/>
          <w:highlight w:val="none"/>
        </w:rPr>
      </w:pPr>
    </w:p>
    <w:p w14:paraId="30CABF44">
      <w:pPr>
        <w:shd w:val="clear"/>
        <w:jc w:val="center"/>
        <w:rPr>
          <w:rFonts w:hint="eastAsia" w:ascii="仿宋" w:hAnsi="仿宋" w:eastAsia="仿宋" w:cs="仿宋"/>
          <w:color w:val="auto"/>
          <w:sz w:val="48"/>
          <w:szCs w:val="48"/>
          <w:highlight w:val="none"/>
        </w:rPr>
      </w:pPr>
    </w:p>
    <w:p w14:paraId="7EB135C6">
      <w:pPr>
        <w:shd w:val="clear"/>
        <w:jc w:val="center"/>
        <w:outlineLvl w:val="0"/>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目</w:t>
      </w:r>
      <w:r>
        <w:rPr>
          <w:rFonts w:hint="eastAsia" w:ascii="仿宋" w:hAnsi="仿宋" w:eastAsia="仿宋" w:cs="仿宋"/>
          <w:b/>
          <w:bCs/>
          <w:color w:val="auto"/>
          <w:sz w:val="48"/>
          <w:szCs w:val="48"/>
          <w:highlight w:val="none"/>
          <w:lang w:val="en-US" w:eastAsia="zh-CN"/>
        </w:rPr>
        <w:t xml:space="preserve">  </w:t>
      </w:r>
      <w:r>
        <w:rPr>
          <w:rFonts w:hint="eastAsia" w:ascii="仿宋" w:hAnsi="仿宋" w:eastAsia="仿宋" w:cs="仿宋"/>
          <w:b/>
          <w:bCs/>
          <w:color w:val="auto"/>
          <w:sz w:val="48"/>
          <w:szCs w:val="48"/>
          <w:highlight w:val="none"/>
        </w:rPr>
        <w:t>录</w:t>
      </w:r>
    </w:p>
    <w:p w14:paraId="594B3DE9">
      <w:pPr>
        <w:pStyle w:val="19"/>
        <w:shd w:val="clear"/>
        <w:tabs>
          <w:tab w:val="right" w:leader="dot" w:pos="9412"/>
        </w:tabs>
        <w:spacing w:line="480" w:lineRule="auto"/>
        <w:rPr>
          <w:rFonts w:hint="eastAsia" w:ascii="仿宋" w:hAnsi="仿宋" w:eastAsia="仿宋" w:cs="仿宋"/>
          <w:b/>
          <w:bCs/>
          <w:color w:val="auto"/>
          <w:sz w:val="28"/>
          <w:szCs w:val="28"/>
          <w:highlight w:val="none"/>
        </w:rPr>
      </w:pPr>
    </w:p>
    <w:p w14:paraId="1F19A83B">
      <w:pPr>
        <w:pStyle w:val="19"/>
        <w:shd w:val="clear"/>
        <w:tabs>
          <w:tab w:val="right" w:leader="dot" w:pos="9412"/>
        </w:tabs>
        <w:spacing w:line="48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TOC \o "1-1" \h \u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"_Toc25916"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第一章  竞争性磋商公告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_Toc25916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651F8A1">
      <w:pPr>
        <w:pStyle w:val="19"/>
        <w:shd w:val="clear"/>
        <w:tabs>
          <w:tab w:val="right" w:leader="dot" w:pos="941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"_Toc29537"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第二章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3A064C8">
      <w:pPr>
        <w:pStyle w:val="19"/>
        <w:shd w:val="clear"/>
        <w:tabs>
          <w:tab w:val="right" w:leader="dot" w:pos="941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"_Toc3747"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第三章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_Toc3747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7A74CF5">
      <w:pPr>
        <w:pStyle w:val="19"/>
        <w:shd w:val="clear"/>
        <w:tabs>
          <w:tab w:val="right" w:leader="dot" w:pos="9412"/>
        </w:tabs>
        <w:spacing w:line="480" w:lineRule="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"_Toc2552"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第四章  评审方法和评审标准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31</w:t>
      </w:r>
    </w:p>
    <w:p w14:paraId="6443A072">
      <w:pPr>
        <w:pStyle w:val="19"/>
        <w:shd w:val="clear"/>
        <w:tabs>
          <w:tab w:val="right" w:leader="dot" w:pos="941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"_Toc5658"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第五章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_Toc5658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6C22C3">
      <w:pPr>
        <w:pStyle w:val="19"/>
        <w:shd w:val="clear"/>
        <w:tabs>
          <w:tab w:val="right" w:leader="dot" w:pos="941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"_Toc1796"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第六章  响应文件格式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ED6406F">
      <w:pPr>
        <w:shd w:val="clear"/>
        <w:adjustRightInd w:val="0"/>
        <w:snapToGrid w:val="0"/>
        <w:spacing w:line="480" w:lineRule="auto"/>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fldChar w:fldCharType="end"/>
      </w:r>
    </w:p>
    <w:p w14:paraId="4A80F3A1">
      <w:pPr>
        <w:shd w:val="clear"/>
        <w:adjustRightInd w:val="0"/>
        <w:snapToGrid w:val="0"/>
        <w:spacing w:line="288" w:lineRule="auto"/>
        <w:rPr>
          <w:rFonts w:hint="eastAsia" w:ascii="仿宋" w:hAnsi="仿宋" w:eastAsia="仿宋" w:cs="仿宋"/>
          <w:b/>
          <w:bCs/>
          <w:color w:val="auto"/>
          <w:sz w:val="30"/>
          <w:szCs w:val="30"/>
          <w:highlight w:val="none"/>
        </w:rPr>
      </w:pPr>
    </w:p>
    <w:p w14:paraId="4F041EB3">
      <w:pPr>
        <w:shd w:val="clear"/>
        <w:adjustRightInd w:val="0"/>
        <w:snapToGrid w:val="0"/>
        <w:spacing w:line="288" w:lineRule="auto"/>
        <w:jc w:val="center"/>
        <w:outlineLvl w:val="0"/>
        <w:rPr>
          <w:rFonts w:hint="eastAsia" w:ascii="仿宋" w:hAnsi="仿宋" w:eastAsia="仿宋" w:cs="仿宋"/>
          <w:b/>
          <w:bCs/>
          <w:color w:val="auto"/>
          <w:sz w:val="32"/>
          <w:szCs w:val="32"/>
          <w:highlight w:val="none"/>
        </w:rPr>
        <w:sectPr>
          <w:footerReference r:id="rId7" w:type="default"/>
          <w:pgSz w:w="11906" w:h="16838"/>
          <w:pgMar w:top="1247" w:right="1247" w:bottom="1247" w:left="1247" w:header="567" w:footer="850" w:gutter="0"/>
          <w:pgNumType w:start="1"/>
          <w:cols w:space="720" w:num="1"/>
          <w:docGrid w:type="lines" w:linePitch="326" w:charSpace="0"/>
        </w:sectPr>
      </w:pPr>
      <w:bookmarkStart w:id="1" w:name="_Toc1455"/>
      <w:bookmarkStart w:id="2" w:name="_Toc4348"/>
      <w:bookmarkStart w:id="3" w:name="_Toc25916"/>
      <w:bookmarkStart w:id="4" w:name="_Toc3095"/>
      <w:bookmarkStart w:id="5" w:name="_Toc17664"/>
      <w:bookmarkStart w:id="6" w:name="_Toc25717"/>
      <w:bookmarkStart w:id="7" w:name="_Toc1177"/>
    </w:p>
    <w:p w14:paraId="1B62CEB1">
      <w:pPr>
        <w:shd w:val="clear"/>
        <w:adjustRightInd w:val="0"/>
        <w:snapToGrid w:val="0"/>
        <w:spacing w:line="288"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b/>
          <w:bCs/>
          <w:color w:val="auto"/>
          <w:sz w:val="32"/>
          <w:szCs w:val="32"/>
          <w:highlight w:val="none"/>
        </w:rPr>
        <w:t xml:space="preserve">第一章  </w:t>
      </w:r>
      <w:bookmarkEnd w:id="1"/>
      <w:r>
        <w:rPr>
          <w:rFonts w:hint="eastAsia" w:ascii="仿宋" w:hAnsi="仿宋" w:eastAsia="仿宋" w:cs="仿宋"/>
          <w:b/>
          <w:bCs/>
          <w:color w:val="auto"/>
          <w:sz w:val="32"/>
          <w:szCs w:val="32"/>
          <w:highlight w:val="none"/>
        </w:rPr>
        <w:t>竞争性磋商公告</w:t>
      </w:r>
      <w:bookmarkEnd w:id="2"/>
      <w:bookmarkEnd w:id="3"/>
      <w:bookmarkEnd w:id="4"/>
      <w:bookmarkEnd w:id="5"/>
      <w:bookmarkEnd w:id="6"/>
      <w:bookmarkEnd w:id="7"/>
    </w:p>
    <w:p w14:paraId="5F69AB24">
      <w:pPr>
        <w:pBdr>
          <w:top w:val="single" w:color="auto" w:sz="4" w:space="1"/>
          <w:left w:val="single" w:color="auto" w:sz="4" w:space="4"/>
          <w:bottom w:val="single" w:color="auto" w:sz="4" w:space="1"/>
          <w:right w:val="single" w:color="auto" w:sz="4" w:space="4"/>
        </w:pBdr>
        <w:shd w:val="clear"/>
        <w:adjustRightInd w:val="0"/>
        <w:snapToGrid w:val="0"/>
        <w:spacing w:line="288"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项目概况</w:t>
      </w:r>
    </w:p>
    <w:p w14:paraId="2D92E64E">
      <w:pPr>
        <w:pBdr>
          <w:top w:val="single" w:color="auto" w:sz="4" w:space="1"/>
          <w:left w:val="single" w:color="auto" w:sz="4" w:space="4"/>
          <w:bottom w:val="single" w:color="auto" w:sz="4" w:space="1"/>
          <w:right w:val="single" w:color="auto" w:sz="4" w:space="4"/>
        </w:pBdr>
        <w:shd w:val="clear"/>
        <w:adjustRightInd w:val="0"/>
        <w:snapToGrid w:val="0"/>
        <w:spacing w:line="288"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b w:val="0"/>
          <w:bCs/>
          <w:color w:val="auto"/>
          <w:sz w:val="21"/>
          <w:szCs w:val="21"/>
          <w:highlight w:val="none"/>
          <w:u w:val="single"/>
          <w:lang w:eastAsia="zh-CN"/>
        </w:rPr>
        <w:t>智慧教学工具</w:t>
      </w:r>
      <w:r>
        <w:rPr>
          <w:rFonts w:hint="eastAsia" w:ascii="仿宋" w:hAnsi="仿宋" w:eastAsia="仿宋" w:cs="仿宋"/>
          <w:b w:val="0"/>
          <w:bCs/>
          <w:color w:val="auto"/>
          <w:sz w:val="21"/>
          <w:szCs w:val="21"/>
          <w:highlight w:val="none"/>
          <w:u w:val="single"/>
        </w:rPr>
        <w:t>采购</w:t>
      </w:r>
      <w:r>
        <w:rPr>
          <w:rFonts w:hint="eastAsia" w:ascii="仿宋" w:hAnsi="仿宋" w:eastAsia="仿宋" w:cs="仿宋"/>
          <w:b w:val="0"/>
          <w:bCs/>
          <w:color w:val="auto"/>
          <w:sz w:val="21"/>
          <w:szCs w:val="21"/>
          <w:highlight w:val="none"/>
          <w:u w:val="none"/>
        </w:rPr>
        <w:t>项目</w:t>
      </w:r>
      <w:r>
        <w:rPr>
          <w:rFonts w:hint="eastAsia" w:ascii="仿宋" w:hAnsi="仿宋" w:eastAsia="仿宋" w:cs="仿宋"/>
          <w:b w:val="0"/>
          <w:bCs/>
          <w:color w:val="auto"/>
          <w:sz w:val="21"/>
          <w:szCs w:val="21"/>
          <w:highlight w:val="none"/>
        </w:rPr>
        <w:t>的潜在供应商应在</w:t>
      </w:r>
      <w:r>
        <w:rPr>
          <w:rFonts w:hint="eastAsia" w:ascii="仿宋" w:hAnsi="仿宋" w:eastAsia="仿宋" w:cs="仿宋"/>
          <w:b w:val="0"/>
          <w:bCs/>
          <w:color w:val="auto"/>
          <w:sz w:val="21"/>
          <w:szCs w:val="21"/>
          <w:highlight w:val="none"/>
          <w:u w:val="single"/>
        </w:rPr>
        <w:t>政府采购云平台（https://www.zcygov.cn）</w:t>
      </w:r>
      <w:r>
        <w:rPr>
          <w:rFonts w:hint="eastAsia" w:ascii="仿宋" w:hAnsi="仿宋" w:eastAsia="仿宋" w:cs="仿宋"/>
          <w:b w:val="0"/>
          <w:bCs/>
          <w:color w:val="auto"/>
          <w:sz w:val="21"/>
          <w:szCs w:val="21"/>
          <w:highlight w:val="none"/>
        </w:rPr>
        <w:t>获取（下载）采购文件，并于</w:t>
      </w:r>
      <w:r>
        <w:rPr>
          <w:rFonts w:hint="eastAsia" w:ascii="仿宋" w:hAnsi="仿宋" w:eastAsia="仿宋" w:cs="仿宋"/>
          <w:b w:val="0"/>
          <w:bCs/>
          <w:color w:val="auto"/>
          <w:sz w:val="21"/>
          <w:szCs w:val="21"/>
          <w:highlight w:val="none"/>
          <w:u w:val="single"/>
        </w:rPr>
        <w:t>2025年</w:t>
      </w:r>
      <w:r>
        <w:rPr>
          <w:rFonts w:hint="eastAsia" w:ascii="仿宋" w:hAnsi="仿宋" w:eastAsia="仿宋" w:cs="仿宋"/>
          <w:b w:val="0"/>
          <w:bCs/>
          <w:color w:val="auto"/>
          <w:sz w:val="21"/>
          <w:szCs w:val="21"/>
          <w:highlight w:val="none"/>
          <w:u w:val="single"/>
          <w:lang w:val="en-US" w:eastAsia="zh-CN"/>
        </w:rPr>
        <w:t>7</w:t>
      </w:r>
      <w:r>
        <w:rPr>
          <w:rFonts w:hint="eastAsia" w:ascii="仿宋" w:hAnsi="仿宋" w:eastAsia="仿宋" w:cs="仿宋"/>
          <w:b w:val="0"/>
          <w:bCs/>
          <w:color w:val="auto"/>
          <w:sz w:val="21"/>
          <w:szCs w:val="21"/>
          <w:highlight w:val="none"/>
          <w:u w:val="single"/>
        </w:rPr>
        <w:t>月</w:t>
      </w:r>
      <w:r>
        <w:rPr>
          <w:rFonts w:hint="eastAsia" w:ascii="仿宋" w:hAnsi="仿宋" w:eastAsia="仿宋" w:cs="仿宋"/>
          <w:b w:val="0"/>
          <w:bCs/>
          <w:color w:val="auto"/>
          <w:sz w:val="21"/>
          <w:szCs w:val="21"/>
          <w:highlight w:val="none"/>
          <w:u w:val="single"/>
          <w:lang w:val="en-US" w:eastAsia="zh-CN"/>
        </w:rPr>
        <w:t>22日14</w:t>
      </w:r>
      <w:r>
        <w:rPr>
          <w:rFonts w:hint="eastAsia" w:ascii="仿宋" w:hAnsi="仿宋" w:eastAsia="仿宋" w:cs="仿宋"/>
          <w:b w:val="0"/>
          <w:bCs/>
          <w:color w:val="auto"/>
          <w:sz w:val="21"/>
          <w:szCs w:val="21"/>
          <w:highlight w:val="none"/>
          <w:u w:val="single"/>
        </w:rPr>
        <w:t>:</w:t>
      </w:r>
      <w:r>
        <w:rPr>
          <w:rFonts w:hint="eastAsia" w:ascii="仿宋" w:hAnsi="仿宋" w:eastAsia="仿宋" w:cs="仿宋"/>
          <w:b w:val="0"/>
          <w:bCs/>
          <w:color w:val="auto"/>
          <w:sz w:val="21"/>
          <w:szCs w:val="21"/>
          <w:highlight w:val="none"/>
          <w:u w:val="single"/>
          <w:lang w:val="en-US" w:eastAsia="zh-CN"/>
        </w:rPr>
        <w:t>00</w:t>
      </w:r>
      <w:r>
        <w:rPr>
          <w:rFonts w:hint="eastAsia" w:ascii="仿宋" w:hAnsi="仿宋" w:eastAsia="仿宋" w:cs="仿宋"/>
          <w:b w:val="0"/>
          <w:bCs/>
          <w:color w:val="auto"/>
          <w:sz w:val="21"/>
          <w:szCs w:val="21"/>
          <w:highlight w:val="none"/>
          <w:u w:val="single"/>
        </w:rPr>
        <w:t>:00</w:t>
      </w:r>
      <w:r>
        <w:rPr>
          <w:rFonts w:hint="eastAsia" w:ascii="仿宋" w:hAnsi="仿宋" w:eastAsia="仿宋" w:cs="仿宋"/>
          <w:b w:val="0"/>
          <w:bCs/>
          <w:color w:val="auto"/>
          <w:sz w:val="21"/>
          <w:szCs w:val="21"/>
          <w:highlight w:val="none"/>
        </w:rPr>
        <w:t>（北京时间）前提交（上传）响应文件。</w:t>
      </w:r>
    </w:p>
    <w:p w14:paraId="4F93B686">
      <w:pPr>
        <w:shd w:val="clear"/>
        <w:adjustRightInd w:val="0"/>
        <w:snapToGrid w:val="0"/>
        <w:spacing w:line="288" w:lineRule="auto"/>
        <w:rPr>
          <w:rFonts w:hint="eastAsia" w:ascii="仿宋" w:hAnsi="仿宋" w:eastAsia="仿宋" w:cs="仿宋"/>
          <w:b/>
          <w:color w:val="auto"/>
          <w:sz w:val="21"/>
          <w:szCs w:val="21"/>
          <w:highlight w:val="none"/>
        </w:rPr>
      </w:pPr>
      <w:bookmarkStart w:id="8" w:name="_Toc35393621"/>
      <w:bookmarkStart w:id="9" w:name="_Toc28359002"/>
      <w:bookmarkStart w:id="10" w:name="_Toc35393790"/>
      <w:bookmarkStart w:id="11" w:name="_Toc28359079"/>
      <w:bookmarkStart w:id="12" w:name="_Hlk24379207"/>
    </w:p>
    <w:p w14:paraId="78DF48E7">
      <w:pPr>
        <w:shd w:val="clear"/>
        <w:adjustRightInd w:val="0"/>
        <w:snapToGrid w:val="0"/>
        <w:spacing w:line="288"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一、项目基本情况</w:t>
      </w:r>
      <w:bookmarkEnd w:id="8"/>
      <w:bookmarkEnd w:id="9"/>
      <w:bookmarkEnd w:id="10"/>
      <w:bookmarkEnd w:id="11"/>
    </w:p>
    <w:p w14:paraId="263CB0FB">
      <w:pPr>
        <w:shd w:val="clear"/>
        <w:adjustRightInd w:val="0"/>
        <w:snapToGrid w:val="0"/>
        <w:spacing w:line="288" w:lineRule="auto"/>
        <w:ind w:firstLine="420" w:firstLineChars="200"/>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rPr>
        <w:t>1.项目编号：</w:t>
      </w:r>
      <w:r>
        <w:rPr>
          <w:rFonts w:hint="eastAsia" w:ascii="仿宋" w:hAnsi="仿宋" w:eastAsia="仿宋" w:cs="仿宋"/>
          <w:bCs/>
          <w:color w:val="auto"/>
          <w:sz w:val="21"/>
          <w:szCs w:val="21"/>
          <w:highlight w:val="none"/>
          <w:lang w:eastAsia="zh-CN"/>
        </w:rPr>
        <w:t>CTZB-2025070007</w:t>
      </w:r>
    </w:p>
    <w:p w14:paraId="2AACFBF4">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2.项目名称：</w:t>
      </w:r>
      <w:r>
        <w:rPr>
          <w:rFonts w:hint="eastAsia" w:ascii="仿宋" w:hAnsi="仿宋" w:eastAsia="仿宋" w:cs="仿宋"/>
          <w:color w:val="auto"/>
          <w:sz w:val="21"/>
          <w:szCs w:val="21"/>
          <w:highlight w:val="none"/>
          <w:lang w:eastAsia="zh-CN"/>
        </w:rPr>
        <w:t>智慧教学工具采购</w:t>
      </w:r>
    </w:p>
    <w:p w14:paraId="08025FA6">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3.采购方式：竞争性磋商</w:t>
      </w:r>
      <w:bookmarkEnd w:id="12"/>
    </w:p>
    <w:p w14:paraId="343D8E10">
      <w:pPr>
        <w:shd w:val="clear"/>
        <w:adjustRightInd w:val="0"/>
        <w:snapToGrid w:val="0"/>
        <w:spacing w:line="288"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4.预算金额（元）：</w:t>
      </w:r>
      <w:r>
        <w:rPr>
          <w:rFonts w:hint="eastAsia" w:ascii="仿宋" w:hAnsi="仿宋" w:eastAsia="仿宋" w:cs="仿宋"/>
          <w:color w:val="auto"/>
          <w:sz w:val="21"/>
          <w:szCs w:val="21"/>
          <w:highlight w:val="none"/>
          <w:lang w:val="en-US" w:eastAsia="zh-CN"/>
        </w:rPr>
        <w:t>193000</w:t>
      </w:r>
      <w:r>
        <w:rPr>
          <w:rFonts w:hint="eastAsia" w:ascii="仿宋" w:hAnsi="仿宋" w:eastAsia="仿宋" w:cs="仿宋"/>
          <w:color w:val="auto"/>
          <w:sz w:val="21"/>
          <w:szCs w:val="21"/>
          <w:highlight w:val="none"/>
          <w:lang w:eastAsia="zh-CN"/>
        </w:rPr>
        <w:t>.00</w:t>
      </w:r>
    </w:p>
    <w:p w14:paraId="669A938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5.最高限价（元）：</w:t>
      </w:r>
      <w:r>
        <w:rPr>
          <w:rFonts w:hint="eastAsia" w:ascii="仿宋" w:hAnsi="仿宋" w:eastAsia="仿宋" w:cs="仿宋"/>
          <w:color w:val="auto"/>
          <w:sz w:val="21"/>
          <w:szCs w:val="21"/>
          <w:highlight w:val="none"/>
          <w:lang w:val="en-US" w:eastAsia="zh-CN"/>
        </w:rPr>
        <w:t>193000</w:t>
      </w:r>
      <w:r>
        <w:rPr>
          <w:rFonts w:hint="eastAsia" w:ascii="仿宋" w:hAnsi="仿宋" w:eastAsia="仿宋" w:cs="仿宋"/>
          <w:color w:val="auto"/>
          <w:sz w:val="21"/>
          <w:szCs w:val="21"/>
          <w:highlight w:val="none"/>
          <w:lang w:eastAsia="zh-CN"/>
        </w:rPr>
        <w:t>.00</w:t>
      </w:r>
      <w:r>
        <w:rPr>
          <w:rFonts w:hint="eastAsia" w:ascii="仿宋" w:hAnsi="仿宋" w:eastAsia="仿宋" w:cs="仿宋"/>
          <w:color w:val="auto"/>
          <w:sz w:val="21"/>
          <w:szCs w:val="21"/>
          <w:highlight w:val="none"/>
        </w:rPr>
        <w:t>，超过此最高限价作无效标处理。</w:t>
      </w:r>
    </w:p>
    <w:p w14:paraId="00287344">
      <w:pPr>
        <w:shd w:val="clear"/>
        <w:adjustRightInd w:val="0"/>
        <w:snapToGrid w:val="0"/>
        <w:spacing w:line="288"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6.简要规格描述</w:t>
      </w:r>
      <w:r>
        <w:rPr>
          <w:rFonts w:hint="eastAsia" w:ascii="仿宋" w:hAnsi="仿宋" w:eastAsia="仿宋" w:cs="仿宋"/>
          <w:b/>
          <w:bCs/>
          <w:color w:val="auto"/>
          <w:sz w:val="21"/>
          <w:szCs w:val="21"/>
          <w:highlight w:val="none"/>
        </w:rPr>
        <w:t>：</w:t>
      </w:r>
      <w:r>
        <w:rPr>
          <w:rFonts w:hint="eastAsia" w:ascii="仿宋" w:hAnsi="仿宋" w:eastAsia="仿宋" w:cs="仿宋"/>
          <w:color w:val="auto"/>
          <w:sz w:val="21"/>
          <w:szCs w:val="21"/>
          <w:highlight w:val="none"/>
        </w:rPr>
        <w:t>详见第二章“采购需求”。</w:t>
      </w:r>
    </w:p>
    <w:p w14:paraId="67C1267F">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7.本项目</w:t>
      </w:r>
      <w:r>
        <w:rPr>
          <w:rFonts w:hint="eastAsia" w:ascii="仿宋" w:hAnsi="仿宋" w:eastAsia="仿宋" w:cs="仿宋"/>
          <w:b/>
          <w:bCs/>
          <w:color w:val="auto"/>
          <w:sz w:val="21"/>
          <w:szCs w:val="21"/>
          <w:highlight w:val="none"/>
          <w:u w:val="single"/>
          <w:lang w:val="en-US" w:eastAsia="zh-CN"/>
        </w:rPr>
        <w:t>不</w:t>
      </w:r>
      <w:r>
        <w:rPr>
          <w:rFonts w:hint="eastAsia" w:ascii="仿宋" w:hAnsi="仿宋" w:eastAsia="仿宋" w:cs="仿宋"/>
          <w:b/>
          <w:bCs/>
          <w:color w:val="auto"/>
          <w:sz w:val="21"/>
          <w:szCs w:val="21"/>
          <w:highlight w:val="none"/>
          <w:u w:val="single"/>
        </w:rPr>
        <w:t>接受</w:t>
      </w:r>
      <w:r>
        <w:rPr>
          <w:rFonts w:hint="eastAsia" w:ascii="仿宋" w:hAnsi="仿宋" w:eastAsia="仿宋" w:cs="仿宋"/>
          <w:color w:val="auto"/>
          <w:sz w:val="21"/>
          <w:szCs w:val="21"/>
          <w:highlight w:val="none"/>
        </w:rPr>
        <w:t>联合体响应。</w:t>
      </w:r>
    </w:p>
    <w:p w14:paraId="25364D6D">
      <w:pPr>
        <w:shd w:val="clear"/>
        <w:adjustRightInd w:val="0"/>
        <w:snapToGrid w:val="0"/>
        <w:spacing w:line="288" w:lineRule="auto"/>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8.合同履约期限：</w:t>
      </w:r>
      <w:r>
        <w:rPr>
          <w:rFonts w:hint="eastAsia" w:ascii="仿宋" w:hAnsi="仿宋" w:eastAsia="仿宋" w:cs="仿宋"/>
          <w:color w:val="auto"/>
          <w:sz w:val="21"/>
          <w:szCs w:val="21"/>
          <w:highlight w:val="none"/>
          <w:lang w:val="en-US" w:eastAsia="zh-CN"/>
        </w:rPr>
        <w:t>合同签订生效后一年。</w:t>
      </w:r>
    </w:p>
    <w:p w14:paraId="7F15CDB0">
      <w:pPr>
        <w:shd w:val="clear"/>
        <w:adjustRightInd w:val="0"/>
        <w:snapToGrid w:val="0"/>
        <w:spacing w:line="288" w:lineRule="auto"/>
        <w:rPr>
          <w:rFonts w:hint="eastAsia" w:ascii="仿宋" w:hAnsi="仿宋" w:eastAsia="仿宋" w:cs="仿宋"/>
          <w:b/>
          <w:color w:val="auto"/>
          <w:sz w:val="21"/>
          <w:szCs w:val="21"/>
          <w:highlight w:val="none"/>
        </w:rPr>
      </w:pPr>
      <w:bookmarkStart w:id="13" w:name="_Toc28359003"/>
      <w:bookmarkStart w:id="14" w:name="_Toc35393791"/>
      <w:bookmarkStart w:id="15" w:name="_Toc35393622"/>
      <w:bookmarkStart w:id="16" w:name="_Toc28359080"/>
      <w:r>
        <w:rPr>
          <w:rFonts w:hint="eastAsia" w:ascii="仿宋" w:hAnsi="仿宋" w:eastAsia="仿宋" w:cs="仿宋"/>
          <w:b/>
          <w:color w:val="auto"/>
          <w:sz w:val="21"/>
          <w:szCs w:val="21"/>
          <w:highlight w:val="none"/>
        </w:rPr>
        <w:t>二、申请人的资格要求：</w:t>
      </w:r>
      <w:bookmarkEnd w:id="13"/>
      <w:bookmarkEnd w:id="14"/>
      <w:bookmarkEnd w:id="15"/>
      <w:bookmarkEnd w:id="16"/>
      <w:r>
        <w:rPr>
          <w:rFonts w:hint="eastAsia" w:ascii="仿宋" w:hAnsi="仿宋" w:eastAsia="仿宋" w:cs="仿宋"/>
          <w:b/>
          <w:color w:val="auto"/>
          <w:sz w:val="21"/>
          <w:szCs w:val="21"/>
          <w:highlight w:val="none"/>
        </w:rPr>
        <w:tab/>
      </w:r>
    </w:p>
    <w:p w14:paraId="20B4B6D3">
      <w:pPr>
        <w:shd w:val="clear"/>
        <w:wordWrap w:val="0"/>
        <w:adjustRightInd w:val="0"/>
        <w:snapToGrid w:val="0"/>
        <w:spacing w:line="288" w:lineRule="auto"/>
        <w:ind w:firstLine="420" w:firstLineChars="200"/>
        <w:jc w:val="left"/>
        <w:rPr>
          <w:rFonts w:hint="eastAsia" w:ascii="仿宋" w:hAnsi="仿宋" w:eastAsia="仿宋" w:cs="仿宋"/>
          <w:color w:val="auto"/>
          <w:sz w:val="21"/>
          <w:szCs w:val="21"/>
          <w:highlight w:val="none"/>
        </w:rPr>
      </w:pPr>
      <w:bookmarkStart w:id="17" w:name="_Toc28359004"/>
      <w:bookmarkStart w:id="18" w:name="_Toc28359081"/>
      <w:r>
        <w:rPr>
          <w:rFonts w:hint="eastAsia" w:ascii="仿宋" w:hAnsi="仿宋" w:eastAsia="仿宋" w:cs="仿宋"/>
          <w:color w:val="auto"/>
          <w:sz w:val="21"/>
          <w:szCs w:val="21"/>
          <w:highlight w:val="none"/>
        </w:rPr>
        <w:t>1.满足《中华人民共和国政府采购法》第二十二条规定，未被“信用中国”（www.creditchina.gov.cn）、中国政府采购网（www.ccgp.gov.cn）列入失信被执行人、</w:t>
      </w:r>
      <w:r>
        <w:rPr>
          <w:rFonts w:hint="eastAsia" w:ascii="仿宋" w:hAnsi="仿宋" w:eastAsia="仿宋" w:cs="仿宋"/>
          <w:color w:val="auto"/>
          <w:sz w:val="21"/>
          <w:szCs w:val="21"/>
          <w:highlight w:val="none"/>
          <w:lang w:eastAsia="zh-CN"/>
        </w:rPr>
        <w:t>重大税收违法失信主体</w:t>
      </w:r>
      <w:r>
        <w:rPr>
          <w:rFonts w:hint="eastAsia" w:ascii="仿宋" w:hAnsi="仿宋" w:eastAsia="仿宋" w:cs="仿宋"/>
          <w:color w:val="auto"/>
          <w:sz w:val="21"/>
          <w:szCs w:val="21"/>
          <w:highlight w:val="none"/>
        </w:rPr>
        <w:t>、政府采购严重违法失信行为记录名单。</w:t>
      </w:r>
    </w:p>
    <w:p w14:paraId="113CB868">
      <w:pPr>
        <w:shd w:val="clear"/>
        <w:adjustRightInd w:val="0"/>
        <w:snapToGrid w:val="0"/>
        <w:spacing w:line="288"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2.落实政府采购政策需满足的资格要求：</w:t>
      </w:r>
      <w:r>
        <w:rPr>
          <w:rFonts w:hint="eastAsia" w:ascii="仿宋" w:hAnsi="仿宋" w:eastAsia="仿宋" w:cs="仿宋"/>
          <w:color w:val="auto"/>
          <w:sz w:val="21"/>
          <w:szCs w:val="21"/>
          <w:highlight w:val="none"/>
          <w:lang w:val="en-US" w:eastAsia="zh-CN"/>
        </w:rPr>
        <w:t>无。</w:t>
      </w:r>
    </w:p>
    <w:p w14:paraId="0BC702C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3.本项目的特定资格要求：无。</w:t>
      </w:r>
    </w:p>
    <w:p w14:paraId="35C573F3">
      <w:pPr>
        <w:shd w:val="clear"/>
        <w:adjustRightInd w:val="0"/>
        <w:snapToGrid w:val="0"/>
        <w:spacing w:line="288" w:lineRule="auto"/>
        <w:rPr>
          <w:rFonts w:hint="eastAsia" w:ascii="仿宋" w:hAnsi="仿宋" w:eastAsia="仿宋" w:cs="仿宋"/>
          <w:b/>
          <w:color w:val="auto"/>
          <w:sz w:val="21"/>
          <w:szCs w:val="21"/>
          <w:highlight w:val="none"/>
        </w:rPr>
      </w:pPr>
      <w:bookmarkStart w:id="19" w:name="_Toc35393623"/>
      <w:bookmarkStart w:id="20" w:name="_Toc35393792"/>
      <w:r>
        <w:rPr>
          <w:rFonts w:hint="eastAsia" w:ascii="仿宋" w:hAnsi="仿宋" w:eastAsia="仿宋" w:cs="仿宋"/>
          <w:b/>
          <w:color w:val="auto"/>
          <w:sz w:val="21"/>
          <w:szCs w:val="21"/>
          <w:highlight w:val="none"/>
        </w:rPr>
        <w:t>三、获取（下载）采购文件</w:t>
      </w:r>
      <w:bookmarkEnd w:id="17"/>
      <w:bookmarkEnd w:id="18"/>
      <w:bookmarkEnd w:id="19"/>
      <w:bookmarkEnd w:id="20"/>
    </w:p>
    <w:p w14:paraId="58B9767C">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bookmarkStart w:id="21" w:name="_Toc28359082"/>
      <w:bookmarkStart w:id="22" w:name="_Toc28359005"/>
      <w:bookmarkStart w:id="23" w:name="_Toc35393624"/>
      <w:bookmarkStart w:id="24" w:name="_Toc35393793"/>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val="en-US" w:eastAsia="zh-CN"/>
        </w:rPr>
        <w:t>公告之日起</w:t>
      </w:r>
      <w:r>
        <w:rPr>
          <w:rFonts w:hint="eastAsia" w:ascii="仿宋" w:hAnsi="仿宋" w:eastAsia="仿宋" w:cs="仿宋"/>
          <w:color w:val="auto"/>
          <w:sz w:val="21"/>
          <w:szCs w:val="21"/>
          <w:highlight w:val="none"/>
        </w:rPr>
        <w:t>至2025年</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22日</w:t>
      </w:r>
      <w:r>
        <w:rPr>
          <w:rFonts w:hint="eastAsia" w:ascii="仿宋" w:hAnsi="仿宋" w:eastAsia="仿宋" w:cs="仿宋"/>
          <w:color w:val="auto"/>
          <w:sz w:val="21"/>
          <w:szCs w:val="21"/>
          <w:highlight w:val="none"/>
        </w:rPr>
        <w:t>，每天上午00:00至12:00，下午12:00至23:59（北京时间，线上获取法定节假日均可，线下获取文件法定节假日除外）</w:t>
      </w:r>
    </w:p>
    <w:p w14:paraId="3F8DAE7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地点（网址）：政府采购云平台（https://www.zcygov.cn）</w:t>
      </w:r>
    </w:p>
    <w:p w14:paraId="493CC3B9">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方式：供应商登录政采云平台https://www.zcygov.cn/在线申请获取采购文件（进入“项目采购”应用，在获取采购文件菜单中选择项目，申请获取采购文件）</w:t>
      </w:r>
    </w:p>
    <w:p w14:paraId="74ECCDA2">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售价（元）：0</w:t>
      </w:r>
    </w:p>
    <w:p w14:paraId="75ADE6E1">
      <w:pPr>
        <w:shd w:val="clear"/>
        <w:adjustRightInd w:val="0"/>
        <w:snapToGrid w:val="0"/>
        <w:spacing w:line="288"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w:t>
      </w:r>
      <w:bookmarkEnd w:id="21"/>
      <w:bookmarkEnd w:id="22"/>
      <w:bookmarkEnd w:id="23"/>
      <w:bookmarkEnd w:id="24"/>
      <w:r>
        <w:rPr>
          <w:rFonts w:hint="eastAsia" w:ascii="仿宋" w:hAnsi="仿宋" w:eastAsia="仿宋" w:cs="仿宋"/>
          <w:b/>
          <w:color w:val="auto"/>
          <w:sz w:val="21"/>
          <w:szCs w:val="21"/>
          <w:highlight w:val="none"/>
        </w:rPr>
        <w:t>响应文件提交（上传）</w:t>
      </w:r>
    </w:p>
    <w:p w14:paraId="5C6BE483">
      <w:pPr>
        <w:shd w:val="clear"/>
        <w:adjustRightInd w:val="0"/>
        <w:snapToGrid w:val="0"/>
        <w:spacing w:line="28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截止</w:t>
      </w:r>
      <w:r>
        <w:rPr>
          <w:rFonts w:hint="eastAsia" w:ascii="仿宋" w:hAnsi="仿宋" w:eastAsia="仿宋" w:cs="仿宋"/>
          <w:color w:val="auto"/>
          <w:sz w:val="21"/>
          <w:szCs w:val="21"/>
          <w:highlight w:val="none"/>
        </w:rPr>
        <w:t>时间：2025年</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22日</w:t>
      </w:r>
      <w:r>
        <w:rPr>
          <w:rFonts w:hint="eastAsia" w:ascii="仿宋" w:hAnsi="仿宋" w:eastAsia="仿宋" w:cs="仿宋"/>
          <w:bCs/>
          <w:color w:val="auto"/>
          <w:sz w:val="21"/>
          <w:szCs w:val="21"/>
          <w:highlight w:val="none"/>
          <w:lang w:val="en-US" w:eastAsia="zh-CN"/>
        </w:rPr>
        <w:t>14</w:t>
      </w:r>
      <w:r>
        <w:rPr>
          <w:rFonts w:hint="eastAsia" w:ascii="仿宋" w:hAnsi="仿宋" w:eastAsia="仿宋" w:cs="仿宋"/>
          <w:bCs/>
          <w:color w:val="auto"/>
          <w:sz w:val="21"/>
          <w:szCs w:val="21"/>
          <w:highlight w:val="none"/>
        </w:rPr>
        <w:t>:00:00（北京时间）</w:t>
      </w:r>
    </w:p>
    <w:p w14:paraId="156E2EF8">
      <w:pPr>
        <w:shd w:val="clear"/>
        <w:adjustRightInd w:val="0"/>
        <w:snapToGrid w:val="0"/>
        <w:spacing w:line="28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地点</w:t>
      </w:r>
      <w:r>
        <w:rPr>
          <w:rFonts w:hint="eastAsia" w:ascii="仿宋" w:hAnsi="仿宋" w:eastAsia="仿宋" w:cs="仿宋"/>
          <w:color w:val="auto"/>
          <w:sz w:val="21"/>
          <w:szCs w:val="21"/>
          <w:highlight w:val="none"/>
        </w:rPr>
        <w:t>（网址）：政府采购云平台（https://www.zcygov.cn）</w:t>
      </w:r>
    </w:p>
    <w:p w14:paraId="7C646FEA">
      <w:pPr>
        <w:shd w:val="clear"/>
        <w:adjustRightInd w:val="0"/>
        <w:snapToGrid w:val="0"/>
        <w:spacing w:line="288" w:lineRule="auto"/>
        <w:rPr>
          <w:rFonts w:hint="eastAsia" w:ascii="仿宋" w:hAnsi="仿宋" w:eastAsia="仿宋" w:cs="仿宋"/>
          <w:b/>
          <w:color w:val="auto"/>
          <w:sz w:val="21"/>
          <w:szCs w:val="21"/>
          <w:highlight w:val="none"/>
        </w:rPr>
      </w:pPr>
      <w:bookmarkStart w:id="25" w:name="_Toc35393625"/>
      <w:bookmarkStart w:id="26" w:name="_Toc35393794"/>
      <w:bookmarkStart w:id="27" w:name="_Toc28359084"/>
      <w:bookmarkStart w:id="28" w:name="_Toc28359007"/>
      <w:r>
        <w:rPr>
          <w:rFonts w:hint="eastAsia" w:ascii="仿宋" w:hAnsi="仿宋" w:eastAsia="仿宋" w:cs="仿宋"/>
          <w:b/>
          <w:color w:val="auto"/>
          <w:sz w:val="21"/>
          <w:szCs w:val="21"/>
          <w:highlight w:val="none"/>
        </w:rPr>
        <w:t>五、响应文件开启</w:t>
      </w:r>
    </w:p>
    <w:p w14:paraId="2FE30B68">
      <w:pPr>
        <w:shd w:val="clear"/>
        <w:adjustRightInd w:val="0"/>
        <w:snapToGrid w:val="0"/>
        <w:spacing w:line="28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开启时间：2025年</w:t>
      </w:r>
      <w:r>
        <w:rPr>
          <w:rFonts w:hint="eastAsia" w:ascii="仿宋" w:hAnsi="仿宋" w:eastAsia="仿宋" w:cs="仿宋"/>
          <w:bCs/>
          <w:color w:val="auto"/>
          <w:sz w:val="21"/>
          <w:szCs w:val="21"/>
          <w:highlight w:val="none"/>
          <w:lang w:val="en-US" w:eastAsia="zh-CN"/>
        </w:rPr>
        <w:t>7</w:t>
      </w:r>
      <w:r>
        <w:rPr>
          <w:rFonts w:hint="eastAsia" w:ascii="仿宋" w:hAnsi="仿宋" w:eastAsia="仿宋" w:cs="仿宋"/>
          <w:bCs/>
          <w:color w:val="auto"/>
          <w:sz w:val="21"/>
          <w:szCs w:val="21"/>
          <w:highlight w:val="none"/>
        </w:rPr>
        <w:t>月</w:t>
      </w:r>
      <w:r>
        <w:rPr>
          <w:rFonts w:hint="eastAsia" w:ascii="仿宋" w:hAnsi="仿宋" w:eastAsia="仿宋" w:cs="仿宋"/>
          <w:bCs/>
          <w:color w:val="auto"/>
          <w:sz w:val="21"/>
          <w:szCs w:val="21"/>
          <w:highlight w:val="none"/>
          <w:lang w:val="en-US" w:eastAsia="zh-CN"/>
        </w:rPr>
        <w:t>22日1</w:t>
      </w:r>
      <w:r>
        <w:rPr>
          <w:rFonts w:hint="eastAsia" w:ascii="仿宋" w:hAnsi="仿宋" w:eastAsia="仿宋" w:cs="仿宋"/>
          <w:bCs/>
          <w:color w:val="auto"/>
          <w:sz w:val="21"/>
          <w:szCs w:val="21"/>
          <w:highlight w:val="none"/>
        </w:rPr>
        <w:t>:00:00（北京时间）</w:t>
      </w:r>
    </w:p>
    <w:p w14:paraId="6A91618E">
      <w:pPr>
        <w:shd w:val="clear"/>
        <w:adjustRightInd w:val="0"/>
        <w:snapToGrid w:val="0"/>
        <w:spacing w:line="28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地点</w:t>
      </w:r>
      <w:r>
        <w:rPr>
          <w:rFonts w:hint="eastAsia" w:ascii="仿宋" w:hAnsi="仿宋" w:eastAsia="仿宋" w:cs="仿宋"/>
          <w:color w:val="auto"/>
          <w:sz w:val="21"/>
          <w:szCs w:val="21"/>
          <w:highlight w:val="none"/>
        </w:rPr>
        <w:t>（网址）：政府采购云平台（https://www.zcygov.cn）</w:t>
      </w:r>
    </w:p>
    <w:p w14:paraId="54B29C5E">
      <w:pPr>
        <w:shd w:val="clear"/>
        <w:adjustRightInd w:val="0"/>
        <w:snapToGrid w:val="0"/>
        <w:spacing w:line="288"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六、公告期限</w:t>
      </w:r>
      <w:bookmarkEnd w:id="25"/>
      <w:bookmarkEnd w:id="26"/>
      <w:bookmarkEnd w:id="27"/>
      <w:bookmarkEnd w:id="28"/>
    </w:p>
    <w:p w14:paraId="66C41381">
      <w:pPr>
        <w:shd w:val="clear"/>
        <w:adjustRightInd w:val="0"/>
        <w:snapToGri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自本公告发布之日起3个工作日。</w:t>
      </w:r>
    </w:p>
    <w:p w14:paraId="08806C6D">
      <w:pPr>
        <w:shd w:val="clear"/>
        <w:adjustRightInd w:val="0"/>
        <w:snapToGrid w:val="0"/>
        <w:spacing w:line="288" w:lineRule="auto"/>
        <w:rPr>
          <w:rFonts w:hint="eastAsia" w:ascii="仿宋" w:hAnsi="仿宋" w:eastAsia="仿宋" w:cs="仿宋"/>
          <w:b/>
          <w:color w:val="auto"/>
          <w:sz w:val="21"/>
          <w:szCs w:val="21"/>
          <w:highlight w:val="none"/>
        </w:rPr>
      </w:pPr>
      <w:bookmarkStart w:id="29" w:name="_Toc35393626"/>
      <w:bookmarkStart w:id="30" w:name="_Toc35393795"/>
      <w:r>
        <w:rPr>
          <w:rFonts w:hint="eastAsia" w:ascii="仿宋" w:hAnsi="仿宋" w:eastAsia="仿宋" w:cs="仿宋"/>
          <w:b/>
          <w:color w:val="auto"/>
          <w:sz w:val="21"/>
          <w:szCs w:val="21"/>
          <w:highlight w:val="none"/>
        </w:rPr>
        <w:t>七、其他补充事宜</w:t>
      </w:r>
      <w:bookmarkEnd w:id="29"/>
      <w:bookmarkEnd w:id="30"/>
    </w:p>
    <w:p w14:paraId="3A4B1E02">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bookmarkStart w:id="31" w:name="_Toc35393796"/>
      <w:bookmarkStart w:id="32" w:name="_Toc28359085"/>
      <w:bookmarkStart w:id="33" w:name="_Toc35393627"/>
      <w:bookmarkStart w:id="34" w:name="_Toc28359008"/>
      <w:r>
        <w:rPr>
          <w:rFonts w:hint="eastAsia" w:ascii="仿宋" w:hAnsi="仿宋" w:eastAsia="仿宋" w:cs="仿宋"/>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C001A7C">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选择上报采购代理机构）:鼓励供应商在线提起质疑，路径为：政采云-项目采购-询问质疑投诉-质疑列表（选择上报采购代理机构）。质疑供应商对在线质疑答复不满意的，可在线提起投诉，路径为：浙江政府服务网-政府采购投诉处理-在线办理。</w:t>
      </w:r>
    </w:p>
    <w:p w14:paraId="055C7C9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以书面形式向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B8FE9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4.其他事项：</w:t>
      </w:r>
    </w:p>
    <w:p w14:paraId="3296E579">
      <w:pPr>
        <w:pStyle w:val="27"/>
        <w:shd w:val="clear"/>
        <w:rPr>
          <w:rFonts w:hint="eastAsia" w:ascii="仿宋" w:hAnsi="仿宋" w:eastAsia="仿宋" w:cs="仿宋"/>
          <w:color w:val="auto"/>
          <w:spacing w:val="0"/>
          <w:highlight w:val="none"/>
        </w:rPr>
      </w:pPr>
      <w:r>
        <w:rPr>
          <w:rFonts w:hint="eastAsia" w:ascii="仿宋" w:hAnsi="仿宋" w:eastAsia="仿宋" w:cs="仿宋"/>
          <w:color w:val="auto"/>
          <w:spacing w:val="0"/>
          <w:sz w:val="21"/>
          <w:szCs w:val="21"/>
          <w:highlight w:val="none"/>
        </w:rPr>
        <w:t>（1）需要落实的政府采购政策：包括节约资源、保护环境、支持科技创新、促进中小企业发展等。详见磋商文件的第三章-采购项目需要落实的政府采购政策。</w:t>
      </w:r>
    </w:p>
    <w:p w14:paraId="781FEB4F">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bookmarkStart w:id="35" w:name="_Hlk92271072"/>
      <w:r>
        <w:rPr>
          <w:rFonts w:hint="eastAsia" w:ascii="仿宋" w:hAnsi="仿宋" w:eastAsia="仿宋" w:cs="仿宋"/>
          <w:color w:val="auto"/>
          <w:sz w:val="21"/>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5"/>
    </w:p>
    <w:p w14:paraId="008B3F4C">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电子交易的说明: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p>
    <w:p w14:paraId="55011BA5">
      <w:pPr>
        <w:shd w:val="clear"/>
        <w:adjustRightInd w:val="0"/>
        <w:snapToGrid w:val="0"/>
        <w:spacing w:line="288"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八、凡对本次采购提出询问、质疑、投诉请按以下方式联系</w:t>
      </w:r>
      <w:bookmarkEnd w:id="31"/>
      <w:bookmarkEnd w:id="32"/>
      <w:bookmarkEnd w:id="33"/>
      <w:bookmarkEnd w:id="34"/>
      <w:r>
        <w:rPr>
          <w:rFonts w:hint="eastAsia" w:ascii="仿宋" w:hAnsi="仿宋" w:eastAsia="仿宋" w:cs="仿宋"/>
          <w:b/>
          <w:color w:val="auto"/>
          <w:sz w:val="21"/>
          <w:szCs w:val="21"/>
          <w:highlight w:val="none"/>
        </w:rPr>
        <w:t>。</w:t>
      </w:r>
    </w:p>
    <w:p w14:paraId="56C25AAF">
      <w:pPr>
        <w:shd w:val="clear"/>
        <w:adjustRightInd w:val="0"/>
        <w:snapToGrid w:val="0"/>
        <w:spacing w:line="288"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1.采购人信息</w:t>
      </w:r>
    </w:p>
    <w:p w14:paraId="1D82C6F1">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名称：</w:t>
      </w:r>
      <w:r>
        <w:rPr>
          <w:rFonts w:hint="eastAsia" w:ascii="仿宋" w:hAnsi="仿宋" w:eastAsia="仿宋" w:cs="仿宋"/>
          <w:color w:val="auto"/>
          <w:sz w:val="21"/>
          <w:szCs w:val="21"/>
          <w:highlight w:val="none"/>
          <w:lang w:eastAsia="zh-CN"/>
        </w:rPr>
        <w:t>浙江万里学院</w:t>
      </w:r>
    </w:p>
    <w:p w14:paraId="221CFFDA">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lang w:eastAsia="zh-CN"/>
        </w:rPr>
        <w:t>宁波市钱湖南路8号</w:t>
      </w:r>
    </w:p>
    <w:p w14:paraId="11FB9F38">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eastAsia="zh-CN"/>
        </w:rPr>
        <w:t>于老师</w:t>
      </w:r>
    </w:p>
    <w:p w14:paraId="4AD4176D">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项目联系方式（询问）：</w:t>
      </w:r>
      <w:r>
        <w:rPr>
          <w:rFonts w:hint="eastAsia" w:ascii="仿宋" w:hAnsi="仿宋" w:eastAsia="仿宋" w:cs="仿宋"/>
          <w:color w:val="auto"/>
          <w:sz w:val="21"/>
          <w:szCs w:val="21"/>
          <w:highlight w:val="none"/>
          <w:lang w:eastAsia="zh-CN"/>
        </w:rPr>
        <w:t>0574-88223169</w:t>
      </w:r>
    </w:p>
    <w:p w14:paraId="22562AE1">
      <w:pPr>
        <w:shd w:val="clear"/>
        <w:adjustRightInd w:val="0"/>
        <w:snapToGrid w:val="0"/>
        <w:spacing w:line="288"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质疑联系人：</w:t>
      </w:r>
      <w:r>
        <w:rPr>
          <w:rFonts w:hint="eastAsia" w:ascii="仿宋" w:hAnsi="仿宋" w:eastAsia="仿宋" w:cs="仿宋"/>
          <w:color w:val="auto"/>
          <w:sz w:val="21"/>
          <w:szCs w:val="21"/>
          <w:highlight w:val="none"/>
          <w:lang w:val="en-US" w:eastAsia="zh-CN"/>
        </w:rPr>
        <w:t>肖</w:t>
      </w:r>
      <w:r>
        <w:rPr>
          <w:rFonts w:hint="eastAsia" w:ascii="仿宋" w:hAnsi="仿宋" w:eastAsia="仿宋" w:cs="仿宋"/>
          <w:color w:val="auto"/>
          <w:sz w:val="21"/>
          <w:szCs w:val="21"/>
          <w:highlight w:val="none"/>
        </w:rPr>
        <w:t>老师</w:t>
      </w:r>
    </w:p>
    <w:p w14:paraId="1AD90A27">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质疑联系方式：</w:t>
      </w:r>
      <w:r>
        <w:rPr>
          <w:rFonts w:hint="eastAsia" w:ascii="仿宋" w:hAnsi="仿宋" w:eastAsia="仿宋" w:cs="仿宋"/>
          <w:color w:val="auto"/>
          <w:sz w:val="21"/>
          <w:szCs w:val="21"/>
          <w:highlight w:val="none"/>
          <w:lang w:eastAsia="zh-CN"/>
        </w:rPr>
        <w:t>0574-88260578</w:t>
      </w:r>
    </w:p>
    <w:p w14:paraId="102C58F4">
      <w:pPr>
        <w:shd w:val="clear"/>
        <w:adjustRightInd w:val="0"/>
        <w:snapToGrid w:val="0"/>
        <w:spacing w:line="288" w:lineRule="auto"/>
        <w:ind w:firstLine="424" w:firstLineChars="202"/>
        <w:rPr>
          <w:rFonts w:hint="eastAsia" w:ascii="仿宋" w:hAnsi="仿宋" w:eastAsia="仿宋" w:cs="仿宋"/>
          <w:color w:val="auto"/>
          <w:sz w:val="21"/>
          <w:szCs w:val="21"/>
          <w:highlight w:val="none"/>
        </w:rPr>
      </w:pPr>
    </w:p>
    <w:p w14:paraId="62059AFD">
      <w:pPr>
        <w:shd w:val="clear"/>
        <w:adjustRightInd w:val="0"/>
        <w:snapToGrid w:val="0"/>
        <w:spacing w:line="288"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2.采购代理机构信息</w:t>
      </w:r>
    </w:p>
    <w:p w14:paraId="5B3C0D18">
      <w:pPr>
        <w:shd w:val="clear"/>
        <w:adjustRightInd w:val="0"/>
        <w:snapToGrid w:val="0"/>
        <w:spacing w:line="288"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名称：浙江省成套招标代理有限公司</w:t>
      </w:r>
    </w:p>
    <w:p w14:paraId="4F7E3D76">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lang w:eastAsia="zh-CN"/>
        </w:rPr>
        <w:t>宁波市海曙区翠柏路89号公共培训平台C座8楼</w:t>
      </w:r>
    </w:p>
    <w:p w14:paraId="0F2B855F">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eastAsia="zh-CN"/>
        </w:rPr>
        <w:t>求华勇</w:t>
      </w:r>
      <w:r>
        <w:rPr>
          <w:rFonts w:hint="eastAsia" w:ascii="仿宋" w:hAnsi="仿宋" w:eastAsia="仿宋" w:cs="仿宋"/>
          <w:color w:val="auto"/>
          <w:sz w:val="21"/>
          <w:szCs w:val="21"/>
          <w:highlight w:val="none"/>
          <w:lang w:val="en-US" w:eastAsia="zh-CN"/>
        </w:rPr>
        <w:t xml:space="preserve"> 马倩倩</w:t>
      </w:r>
      <w:r>
        <w:rPr>
          <w:rFonts w:hint="eastAsia" w:ascii="仿宋" w:hAnsi="仿宋" w:eastAsia="仿宋" w:cs="仿宋"/>
          <w:color w:val="auto"/>
          <w:sz w:val="21"/>
          <w:szCs w:val="21"/>
          <w:highlight w:val="none"/>
          <w:lang w:eastAsia="zh-CN"/>
        </w:rPr>
        <w:t xml:space="preserve"> 陈彦</w:t>
      </w:r>
    </w:p>
    <w:p w14:paraId="39676A1D">
      <w:pPr>
        <w:shd w:val="clear"/>
        <w:adjustRightInd w:val="0"/>
        <w:snapToGrid w:val="0"/>
        <w:spacing w:line="288" w:lineRule="auto"/>
        <w:ind w:firstLine="424" w:firstLineChars="20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项目联系方式（询问）：</w:t>
      </w:r>
      <w:r>
        <w:rPr>
          <w:rFonts w:hint="eastAsia" w:ascii="仿宋" w:hAnsi="仿宋" w:eastAsia="仿宋" w:cs="仿宋"/>
          <w:color w:val="auto"/>
          <w:sz w:val="21"/>
          <w:szCs w:val="21"/>
          <w:highlight w:val="none"/>
          <w:lang w:val="en-US" w:eastAsia="zh-CN"/>
        </w:rPr>
        <w:t>0574-87585921</w:t>
      </w:r>
    </w:p>
    <w:p w14:paraId="03F8B35C">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质疑联系人：</w:t>
      </w:r>
      <w:r>
        <w:rPr>
          <w:rFonts w:hint="eastAsia" w:ascii="仿宋" w:hAnsi="仿宋" w:eastAsia="仿宋" w:cs="仿宋"/>
          <w:color w:val="auto"/>
          <w:sz w:val="21"/>
          <w:szCs w:val="21"/>
          <w:highlight w:val="none"/>
          <w:lang w:eastAsia="zh-CN"/>
        </w:rPr>
        <w:t>毛宇兰</w:t>
      </w:r>
    </w:p>
    <w:p w14:paraId="29DB526A">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质疑联系方式：</w:t>
      </w:r>
      <w:r>
        <w:rPr>
          <w:rFonts w:hint="eastAsia" w:ascii="仿宋" w:hAnsi="仿宋" w:eastAsia="仿宋" w:cs="仿宋"/>
          <w:color w:val="auto"/>
          <w:sz w:val="21"/>
          <w:szCs w:val="21"/>
          <w:highlight w:val="none"/>
          <w:lang w:eastAsia="zh-CN"/>
        </w:rPr>
        <w:t>0574-87127713</w:t>
      </w:r>
    </w:p>
    <w:p w14:paraId="68D60DC6">
      <w:pPr>
        <w:shd w:val="clear"/>
        <w:adjustRightInd w:val="0"/>
        <w:snapToGrid w:val="0"/>
        <w:spacing w:line="288" w:lineRule="auto"/>
        <w:ind w:firstLine="424" w:firstLineChars="202"/>
        <w:rPr>
          <w:rFonts w:hint="eastAsia" w:ascii="仿宋" w:hAnsi="仿宋" w:eastAsia="仿宋" w:cs="仿宋"/>
          <w:color w:val="auto"/>
          <w:sz w:val="21"/>
          <w:szCs w:val="21"/>
          <w:highlight w:val="none"/>
        </w:rPr>
      </w:pPr>
    </w:p>
    <w:p w14:paraId="12FB36E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3.该项目由采购人处理采购争议。质疑环节，采购人委托采购代理机构处理的，可由采购代理机构答复。对质疑答复不满意的，向采购人内部设置的采购监督机构反映。</w:t>
      </w:r>
    </w:p>
    <w:p w14:paraId="12E252E0">
      <w:pPr>
        <w:shd w:val="clear"/>
        <w:adjustRightInd w:val="0"/>
        <w:snapToGri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政策咨询：何一平、冯华，0571-87058424、87055741</w:t>
      </w:r>
      <w:r>
        <w:rPr>
          <w:rFonts w:hint="eastAsia" w:ascii="仿宋" w:hAnsi="仿宋" w:eastAsia="仿宋" w:cs="仿宋"/>
          <w:color w:val="auto"/>
          <w:kern w:val="0"/>
          <w:sz w:val="21"/>
          <w:szCs w:val="21"/>
          <w:highlight w:val="none"/>
        </w:rPr>
        <w:t>。</w:t>
      </w:r>
    </w:p>
    <w:p w14:paraId="75213A32">
      <w:pPr>
        <w:shd w:val="clear"/>
        <w:adjustRightInd w:val="0"/>
        <w:snapToGrid w:val="0"/>
        <w:spacing w:line="288" w:lineRule="auto"/>
        <w:rPr>
          <w:rFonts w:hint="eastAsia" w:ascii="仿宋" w:hAnsi="仿宋" w:eastAsia="仿宋" w:cs="仿宋"/>
          <w:color w:val="auto"/>
          <w:sz w:val="21"/>
          <w:szCs w:val="21"/>
          <w:highlight w:val="none"/>
        </w:rPr>
      </w:pPr>
    </w:p>
    <w:p w14:paraId="6E423E61">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7A4AFF54">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CA问题联系电话（人工）：汇信CA 400-888-4636。天谷CA 400-087-8198。</w:t>
      </w:r>
    </w:p>
    <w:p w14:paraId="77E192C8">
      <w:pPr>
        <w:shd w:val="clear"/>
        <w:adjustRightInd w:val="0"/>
        <w:snapToGrid w:val="0"/>
        <w:spacing w:line="288" w:lineRule="auto"/>
        <w:jc w:val="center"/>
        <w:outlineLvl w:val="0"/>
        <w:rPr>
          <w:rFonts w:hint="eastAsia" w:ascii="仿宋" w:hAnsi="仿宋" w:eastAsia="仿宋" w:cs="仿宋"/>
          <w:b/>
          <w:bCs/>
          <w:color w:val="auto"/>
          <w:sz w:val="32"/>
          <w:szCs w:val="32"/>
          <w:highlight w:val="none"/>
        </w:rPr>
      </w:pPr>
      <w:bookmarkStart w:id="36" w:name="_Toc11034"/>
      <w:bookmarkStart w:id="37" w:name="_Toc731"/>
      <w:bookmarkStart w:id="38" w:name="_Toc1636"/>
      <w:bookmarkStart w:id="39" w:name="_Toc29537"/>
      <w:bookmarkStart w:id="40" w:name="_Toc25784"/>
      <w:bookmarkStart w:id="41" w:name="_Toc28092"/>
      <w:bookmarkStart w:id="42" w:name="_Toc21935"/>
      <w:r>
        <w:rPr>
          <w:rFonts w:hint="eastAsia" w:ascii="仿宋" w:hAnsi="仿宋" w:eastAsia="仿宋" w:cs="仿宋"/>
          <w:b/>
          <w:bCs/>
          <w:color w:val="auto"/>
          <w:sz w:val="32"/>
          <w:szCs w:val="32"/>
          <w:highlight w:val="none"/>
        </w:rPr>
        <w:br w:type="page"/>
      </w:r>
    </w:p>
    <w:p w14:paraId="469E9209">
      <w:pPr>
        <w:numPr>
          <w:ilvl w:val="0"/>
          <w:numId w:val="0"/>
        </w:numPr>
        <w:shd w:val="clear"/>
        <w:adjustRightInd w:val="0"/>
        <w:snapToGrid w:val="0"/>
        <w:spacing w:line="288"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lang w:val="en-US" w:eastAsia="zh-CN" w:bidi="ar-SA"/>
        </w:rPr>
        <w:t>第二章</w:t>
      </w:r>
      <w:r>
        <w:rPr>
          <w:rFonts w:hint="eastAsia" w:ascii="仿宋" w:hAnsi="仿宋" w:eastAsia="仿宋" w:cs="仿宋"/>
          <w:b/>
          <w:bCs/>
          <w:color w:val="auto"/>
          <w:sz w:val="32"/>
          <w:szCs w:val="32"/>
          <w:highlight w:val="none"/>
        </w:rPr>
        <w:t xml:space="preserve"> 采购需求</w:t>
      </w:r>
      <w:bookmarkEnd w:id="36"/>
      <w:bookmarkEnd w:id="37"/>
      <w:bookmarkEnd w:id="38"/>
      <w:bookmarkEnd w:id="39"/>
      <w:bookmarkEnd w:id="40"/>
      <w:bookmarkEnd w:id="41"/>
      <w:bookmarkEnd w:id="42"/>
    </w:p>
    <w:p w14:paraId="3D93FA99">
      <w:pPr>
        <w:keepNext/>
        <w:keepLines/>
        <w:pageBreakBefore w:val="0"/>
        <w:widowControl w:val="0"/>
        <w:numPr>
          <w:ilvl w:val="0"/>
          <w:numId w:val="1"/>
        </w:numPr>
        <w:kinsoku/>
        <w:wordWrap/>
        <w:overflowPunct/>
        <w:topLinePunct w:val="0"/>
        <w:autoSpaceDE/>
        <w:autoSpaceDN/>
        <w:bidi w:val="0"/>
        <w:spacing w:before="100" w:after="100" w:line="300" w:lineRule="auto"/>
        <w:ind w:firstLine="200" w:firstLineChars="0"/>
        <w:textAlignment w:val="auto"/>
        <w:outlineLvl w:val="0"/>
        <w:rPr>
          <w:rFonts w:hint="eastAsia" w:ascii="仿宋" w:hAnsi="仿宋" w:eastAsia="仿宋" w:cs="仿宋"/>
          <w:b/>
          <w:bCs/>
          <w:color w:val="auto"/>
          <w:kern w:val="44"/>
          <w:sz w:val="21"/>
          <w:szCs w:val="21"/>
          <w:highlight w:val="none"/>
          <w:lang w:val="en-US" w:eastAsia="zh-CN" w:bidi="ar-SA"/>
        </w:rPr>
      </w:pPr>
      <w:bookmarkStart w:id="43" w:name="_Toc133414391"/>
      <w:r>
        <w:rPr>
          <w:rFonts w:hint="eastAsia" w:ascii="仿宋" w:hAnsi="仿宋" w:eastAsia="仿宋" w:cs="仿宋"/>
          <w:b/>
          <w:bCs/>
          <w:color w:val="auto"/>
          <w:kern w:val="44"/>
          <w:sz w:val="21"/>
          <w:szCs w:val="21"/>
          <w:highlight w:val="none"/>
          <w:lang w:val="en-US" w:eastAsia="zh-CN" w:bidi="ar-SA"/>
        </w:rPr>
        <w:t>项目背景</w:t>
      </w:r>
      <w:bookmarkEnd w:id="43"/>
    </w:p>
    <w:p w14:paraId="7C8AF75A">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国家实施教育信息化2.0发展战略，尤其推进高等教育信息化发展的背景下，结合国家“互联网+”、大数据、新一代人工智能等重大战略的任务安排，通过加大教学基础设施的投入与建设，引进先进的设备、技术与平台，积极适应和改善创新型人才的生态化教学环境，这是未来高等教育信息化工作发展的必然趋势和需求。</w:t>
      </w:r>
    </w:p>
    <w:p w14:paraId="291525E5">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全校教学信息化与数据化落地，适当引入课堂教学辅助系统，旨在建立线上、线下和课前、课中、课后的辅助教学平台，探索“以学生为中心”的互动教学模式，帮助改善粗放式的学生培养方式，激发学生的学习积极性，教师和学校及时了解学生学习动态和心理健康，细致的关注学生，及时的关心学生，同时帮助建立健全高校课堂的实时管理系统，帮助各高校更加精准科学的了解教学全局，从而实现更加有效的教育教学改革，使得全面提高高校人才培养能力有的放矢。</w:t>
      </w:r>
    </w:p>
    <w:p w14:paraId="7707A9C6">
      <w:pPr>
        <w:keepNext/>
        <w:keepLines/>
        <w:pageBreakBefore w:val="0"/>
        <w:widowControl w:val="0"/>
        <w:numPr>
          <w:ilvl w:val="0"/>
          <w:numId w:val="1"/>
        </w:numPr>
        <w:kinsoku/>
        <w:wordWrap/>
        <w:overflowPunct/>
        <w:topLinePunct w:val="0"/>
        <w:autoSpaceDE/>
        <w:autoSpaceDN/>
        <w:bidi w:val="0"/>
        <w:spacing w:before="100" w:after="100" w:line="300" w:lineRule="auto"/>
        <w:ind w:firstLine="200" w:firstLineChars="0"/>
        <w:textAlignment w:val="auto"/>
        <w:outlineLvl w:val="0"/>
        <w:rPr>
          <w:rFonts w:hint="eastAsia" w:ascii="仿宋" w:hAnsi="仿宋" w:eastAsia="仿宋" w:cs="仿宋"/>
          <w:b/>
          <w:bCs/>
          <w:color w:val="auto"/>
          <w:kern w:val="44"/>
          <w:sz w:val="21"/>
          <w:szCs w:val="21"/>
          <w:highlight w:val="none"/>
          <w:lang w:val="en-US" w:eastAsia="zh-CN" w:bidi="ar-SA"/>
        </w:rPr>
      </w:pPr>
      <w:bookmarkStart w:id="44" w:name="_Toc133414392"/>
      <w:r>
        <w:rPr>
          <w:rFonts w:hint="eastAsia" w:ascii="仿宋" w:hAnsi="仿宋" w:eastAsia="仿宋" w:cs="仿宋"/>
          <w:b/>
          <w:bCs/>
          <w:color w:val="auto"/>
          <w:kern w:val="44"/>
          <w:sz w:val="21"/>
          <w:szCs w:val="21"/>
          <w:highlight w:val="none"/>
          <w:lang w:val="en-US" w:eastAsia="zh-CN" w:bidi="ar-SA"/>
        </w:rPr>
        <w:t>项目</w:t>
      </w:r>
      <w:bookmarkEnd w:id="44"/>
      <w:r>
        <w:rPr>
          <w:rFonts w:hint="eastAsia" w:ascii="仿宋" w:hAnsi="仿宋" w:eastAsia="仿宋" w:cs="仿宋"/>
          <w:b/>
          <w:bCs/>
          <w:color w:val="auto"/>
          <w:kern w:val="44"/>
          <w:sz w:val="21"/>
          <w:szCs w:val="21"/>
          <w:highlight w:val="none"/>
          <w:lang w:val="en-US" w:eastAsia="zh-CN" w:bidi="ar-SA"/>
        </w:rPr>
        <w:t>目标</w:t>
      </w:r>
    </w:p>
    <w:p w14:paraId="4586B911">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通过搭建智慧教学系统，连接以班级为单位、学生为坐标的数据孤岛，为不同层级的学校管理者，提供校级，院级和班级等多维度全方位教学大数据的实时展示和数据分析，深入地串联起整个教与学的过程，并为其中的诸多环节提供应用效能。</w:t>
      </w:r>
    </w:p>
    <w:p w14:paraId="1A43CED6">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该平台需要与学校教务系统对接，实现实名认证，确保数据准确无误，可围绕学校教学系统、考试系统、管理系统三方面进行建设。对教学全过程进行数据采集分析，能够做到教学质量监控和评估，实现教学效果实时反馈。</w:t>
      </w:r>
    </w:p>
    <w:p w14:paraId="0E73B9D5">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该系统需要能实现教师和学生简便、灵活有效的开展本校课程建设，同步进行课程基于课堂的应用，实现课前预习、实时课堂、课后练习全程教学活动，实现线上和线下学习方式有机结合，师生可通过手机端进行互动，老师可将课程视频、语音、课件推送到学生手机端。</w:t>
      </w:r>
    </w:p>
    <w:p w14:paraId="55B8D0AC">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该系统需要通过智慧教学工具，使教师可以轻松建设课程，布置翻转课堂，灵活地将线上与线下的学习方式有效整合，巧妙地安排课堂内的教学活动，合理地将一些教学活动安排在课堂外，使得教学设计更加开放机动。学生的学习自主性被极大激发，有助于打造“以学生为中心”的课堂，实现价值塑造、能力培养、知识传授“三位一体”的教育。课前预习＋实时课堂＋课后练习全程教学活动的数据采集，帮助教师从经验教学向数据教学转换，以全周期、全流程的量化数据辅助教师判断分析学生学习情况，以便调整教学进度和教学节奏，做到教学过程可视可控。另外需要该系统兼具多语言版本，能够尽可能辐射到更为广泛的外国师生以及外语专业类师生。</w:t>
      </w:r>
    </w:p>
    <w:p w14:paraId="58CBEBC8">
      <w:pPr>
        <w:keepNext/>
        <w:keepLines/>
        <w:pageBreakBefore w:val="0"/>
        <w:widowControl w:val="0"/>
        <w:numPr>
          <w:ilvl w:val="0"/>
          <w:numId w:val="1"/>
        </w:numPr>
        <w:kinsoku/>
        <w:wordWrap/>
        <w:overflowPunct/>
        <w:topLinePunct w:val="0"/>
        <w:autoSpaceDE/>
        <w:autoSpaceDN/>
        <w:bidi w:val="0"/>
        <w:spacing w:before="100" w:after="100" w:line="300" w:lineRule="auto"/>
        <w:ind w:firstLine="200" w:firstLineChars="0"/>
        <w:textAlignment w:val="auto"/>
        <w:outlineLvl w:val="0"/>
        <w:rPr>
          <w:rFonts w:hint="eastAsia" w:ascii="仿宋" w:hAnsi="仿宋" w:eastAsia="仿宋" w:cs="仿宋"/>
          <w:b/>
          <w:bCs/>
          <w:color w:val="auto"/>
          <w:kern w:val="44"/>
          <w:sz w:val="21"/>
          <w:szCs w:val="21"/>
          <w:highlight w:val="none"/>
          <w:lang w:val="en-US" w:eastAsia="zh-CN" w:bidi="ar-SA"/>
        </w:rPr>
      </w:pPr>
      <w:bookmarkStart w:id="45" w:name="_Toc133414393"/>
      <w:r>
        <w:rPr>
          <w:rFonts w:hint="eastAsia" w:ascii="仿宋" w:hAnsi="仿宋" w:eastAsia="仿宋" w:cs="仿宋"/>
          <w:b/>
          <w:bCs/>
          <w:color w:val="auto"/>
          <w:kern w:val="44"/>
          <w:sz w:val="21"/>
          <w:szCs w:val="21"/>
          <w:highlight w:val="none"/>
          <w:lang w:val="en-US" w:eastAsia="zh-CN" w:bidi="ar-SA"/>
        </w:rPr>
        <w:t>总体要求</w:t>
      </w:r>
      <w:bookmarkEnd w:id="45"/>
    </w:p>
    <w:p w14:paraId="718765F1">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（1）产品对接</w:t>
      </w:r>
    </w:p>
    <w:p w14:paraId="66D08C85">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要求所提供的智慧教学服务平台可以与现有用户统一登录系统进行无缝对接。</w:t>
      </w:r>
    </w:p>
    <w:p w14:paraId="5C806058">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（2）系统性能</w:t>
      </w:r>
    </w:p>
    <w:p w14:paraId="6A2EB6B3">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系统容量保证满足100000用户以上，系统满足万量级用户的并发运行，系统能及时的响应用户操作请求。</w:t>
      </w:r>
    </w:p>
    <w:p w14:paraId="221550B0">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（3）稳定性原则</w:t>
      </w:r>
    </w:p>
    <w:p w14:paraId="2205D271">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平台在架构设计、功能规划、配置设置上重点考虑教学业务需求对性能的要求，确保未来运行的高可靠性和高可用性。</w:t>
      </w:r>
    </w:p>
    <w:p w14:paraId="1C8D08C9">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（4）规范性原则</w:t>
      </w:r>
    </w:p>
    <w:p w14:paraId="08112F71">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建设过程中必须统一相关的平台标准规范，优先采用已有的标准和通用规范，修订采用部分成熟的标准规范，研究制定平台操作规则。</w:t>
      </w:r>
    </w:p>
    <w:p w14:paraId="3597F15E">
      <w:pPr>
        <w:pageBreakBefore w:val="0"/>
        <w:widowControl w:val="0"/>
        <w:kinsoku/>
        <w:wordWrap/>
        <w:overflowPunct/>
        <w:topLinePunct w:val="0"/>
        <w:autoSpaceDE/>
        <w:autoSpaceDN/>
        <w:bidi w:val="0"/>
        <w:spacing w:line="30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（5）可扩展性原则</w:t>
      </w:r>
    </w:p>
    <w:p w14:paraId="77DA8C76">
      <w:pPr>
        <w:pageBreakBefore w:val="0"/>
        <w:widowControl w:val="0"/>
        <w:numPr>
          <w:ilvl w:val="0"/>
          <w:numId w:val="0"/>
        </w:numPr>
        <w:shd w:val="clear"/>
        <w:kinsoku/>
        <w:wordWrap/>
        <w:overflowPunct/>
        <w:topLinePunct w:val="0"/>
        <w:autoSpaceDE/>
        <w:autoSpaceDN/>
        <w:bidi w:val="0"/>
        <w:adjustRightInd w:val="0"/>
        <w:snapToGrid w:val="0"/>
        <w:spacing w:line="300" w:lineRule="auto"/>
        <w:jc w:val="left"/>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color w:val="auto"/>
          <w:sz w:val="21"/>
          <w:szCs w:val="21"/>
          <w:highlight w:val="none"/>
        </w:rPr>
        <w:t>平台满足未来教学业务的扩展、变化、调整的需求，最大限度的降低因业务发展和变动带来的维护、升级成本。</w:t>
      </w:r>
    </w:p>
    <w:p w14:paraId="17C3AC1A">
      <w:pPr>
        <w:keepNext/>
        <w:keepLines/>
        <w:pageBreakBefore w:val="0"/>
        <w:widowControl w:val="0"/>
        <w:numPr>
          <w:ilvl w:val="0"/>
          <w:numId w:val="1"/>
        </w:numPr>
        <w:kinsoku/>
        <w:wordWrap/>
        <w:overflowPunct/>
        <w:topLinePunct w:val="0"/>
        <w:autoSpaceDE/>
        <w:autoSpaceDN/>
        <w:bidi w:val="0"/>
        <w:spacing w:before="100" w:after="100" w:line="300" w:lineRule="auto"/>
        <w:ind w:firstLine="200" w:firstLineChars="0"/>
        <w:textAlignment w:val="auto"/>
        <w:outlineLvl w:val="0"/>
        <w:rPr>
          <w:rFonts w:hint="default" w:ascii="仿宋" w:hAnsi="仿宋" w:eastAsia="仿宋" w:cs="仿宋"/>
          <w:b/>
          <w:bCs/>
          <w:color w:val="auto"/>
          <w:kern w:val="44"/>
          <w:sz w:val="21"/>
          <w:szCs w:val="21"/>
          <w:highlight w:val="none"/>
          <w:lang w:val="en-US" w:eastAsia="zh-CN" w:bidi="ar-SA"/>
        </w:rPr>
      </w:pPr>
      <w:r>
        <w:rPr>
          <w:rFonts w:hint="eastAsia" w:ascii="仿宋" w:hAnsi="仿宋" w:eastAsia="仿宋" w:cs="仿宋"/>
          <w:b/>
          <w:bCs/>
          <w:color w:val="auto"/>
          <w:kern w:val="44"/>
          <w:sz w:val="21"/>
          <w:szCs w:val="21"/>
          <w:highlight w:val="none"/>
          <w:lang w:val="en-US" w:eastAsia="zh-CN" w:bidi="ar-SA"/>
        </w:rPr>
        <w:t>采购清单</w:t>
      </w:r>
    </w:p>
    <w:tbl>
      <w:tblPr>
        <w:tblStyle w:val="28"/>
        <w:tblW w:w="827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Layout w:type="fixed"/>
        <w:tblCellMar>
          <w:top w:w="0" w:type="dxa"/>
          <w:left w:w="0" w:type="dxa"/>
          <w:bottom w:w="0" w:type="dxa"/>
          <w:right w:w="0" w:type="dxa"/>
        </w:tblCellMar>
      </w:tblPr>
      <w:tblGrid>
        <w:gridCol w:w="5546"/>
        <w:gridCol w:w="2727"/>
      </w:tblGrid>
      <w:tr w14:paraId="1B94C3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09" w:hRule="atLeast"/>
          <w:jc w:val="center"/>
        </w:trPr>
        <w:tc>
          <w:tcPr>
            <w:tcW w:w="5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08A7B">
            <w:pPr>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zh-TW" w:eastAsia="zh-TW"/>
              </w:rPr>
              <w:t>招标内容</w:t>
            </w:r>
          </w:p>
        </w:tc>
        <w:tc>
          <w:tcPr>
            <w:tcW w:w="27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C5EE9F">
            <w:pPr>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zh-TW" w:eastAsia="zh-TW"/>
              </w:rPr>
              <w:t>采购数量</w:t>
            </w:r>
          </w:p>
        </w:tc>
      </w:tr>
      <w:tr w14:paraId="1FAC5F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256" w:hRule="atLeast"/>
          <w:jc w:val="center"/>
        </w:trPr>
        <w:tc>
          <w:tcPr>
            <w:tcW w:w="5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B9F89D">
            <w:pPr>
              <w:ind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模块1：系统对接</w:t>
            </w:r>
          </w:p>
        </w:tc>
        <w:tc>
          <w:tcPr>
            <w:tcW w:w="27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975C4A">
            <w:pPr>
              <w:ind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项</w:t>
            </w:r>
          </w:p>
        </w:tc>
      </w:tr>
      <w:tr w14:paraId="2A5A87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362" w:hRule="atLeast"/>
          <w:jc w:val="center"/>
        </w:trPr>
        <w:tc>
          <w:tcPr>
            <w:tcW w:w="5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DA50E9">
            <w:pPr>
              <w:ind w:firstLine="0" w:firstLineChars="0"/>
              <w:jc w:val="left"/>
              <w:rPr>
                <w:rFonts w:hint="eastAsia" w:ascii="仿宋" w:hAnsi="仿宋" w:eastAsia="仿宋" w:cs="仿宋"/>
                <w:color w:val="auto"/>
                <w:kern w:val="0"/>
                <w:sz w:val="21"/>
                <w:szCs w:val="21"/>
                <w:highlight w:val="none"/>
                <w:lang w:val="zh-TW" w:eastAsia="zh-TW" w:bidi="ar-SA"/>
              </w:rPr>
            </w:pPr>
            <w:r>
              <w:rPr>
                <w:rFonts w:hint="eastAsia" w:ascii="仿宋" w:hAnsi="仿宋" w:eastAsia="仿宋" w:cs="仿宋"/>
                <w:color w:val="auto"/>
                <w:kern w:val="0"/>
                <w:sz w:val="21"/>
                <w:szCs w:val="21"/>
                <w:highlight w:val="none"/>
                <w:lang w:val="zh-TW" w:eastAsia="zh-TW"/>
              </w:rPr>
              <w:t>模块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TW" w:eastAsia="zh-TW"/>
              </w:rPr>
              <w:t>：课堂互动教学功能服务</w:t>
            </w:r>
          </w:p>
        </w:tc>
        <w:tc>
          <w:tcPr>
            <w:tcW w:w="27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C1FFBE">
            <w:pPr>
              <w:ind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项</w:t>
            </w:r>
          </w:p>
        </w:tc>
      </w:tr>
      <w:tr w14:paraId="2CF3AF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256" w:hRule="atLeast"/>
          <w:jc w:val="center"/>
        </w:trPr>
        <w:tc>
          <w:tcPr>
            <w:tcW w:w="5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65CCDB">
            <w:pPr>
              <w:ind w:firstLine="0" w:firstLineChars="0"/>
              <w:jc w:val="left"/>
              <w:rPr>
                <w:rFonts w:hint="eastAsia" w:ascii="仿宋" w:hAnsi="仿宋" w:eastAsia="仿宋" w:cs="仿宋"/>
                <w:color w:val="auto"/>
                <w:kern w:val="0"/>
                <w:sz w:val="21"/>
                <w:szCs w:val="21"/>
                <w:highlight w:val="none"/>
                <w:lang w:val="zh-TW" w:eastAsia="zh-TW"/>
              </w:rPr>
            </w:pPr>
            <w:r>
              <w:rPr>
                <w:rFonts w:hint="eastAsia" w:ascii="仿宋" w:hAnsi="仿宋" w:eastAsia="仿宋" w:cs="仿宋"/>
                <w:color w:val="auto"/>
                <w:kern w:val="0"/>
                <w:sz w:val="21"/>
                <w:szCs w:val="21"/>
                <w:highlight w:val="none"/>
                <w:lang w:val="zh-TW" w:eastAsia="zh-TW"/>
              </w:rPr>
              <w:t>模块</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val="zh-TW" w:eastAsia="zh-TW"/>
              </w:rPr>
              <w:t>：远程直播教学功能服务</w:t>
            </w:r>
          </w:p>
        </w:tc>
        <w:tc>
          <w:tcPr>
            <w:tcW w:w="27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0B4AF7">
            <w:pPr>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项</w:t>
            </w:r>
          </w:p>
        </w:tc>
      </w:tr>
      <w:tr w14:paraId="32C957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256" w:hRule="atLeast"/>
          <w:jc w:val="center"/>
        </w:trPr>
        <w:tc>
          <w:tcPr>
            <w:tcW w:w="5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9CC8D7">
            <w:pPr>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TW" w:eastAsia="zh-TW"/>
              </w:rPr>
              <w:t>模块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：在线考试功能服务</w:t>
            </w:r>
          </w:p>
        </w:tc>
        <w:tc>
          <w:tcPr>
            <w:tcW w:w="27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881A06">
            <w:pPr>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项</w:t>
            </w:r>
          </w:p>
        </w:tc>
      </w:tr>
      <w:tr w14:paraId="5D97DC0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256" w:hRule="atLeast"/>
          <w:jc w:val="center"/>
        </w:trPr>
        <w:tc>
          <w:tcPr>
            <w:tcW w:w="5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E2E24B">
            <w:pPr>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TW" w:eastAsia="zh-TW"/>
              </w:rPr>
              <w:t>模块</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 教学管理大数据服务</w:t>
            </w:r>
          </w:p>
        </w:tc>
        <w:tc>
          <w:tcPr>
            <w:tcW w:w="27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2159C5">
            <w:pPr>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项</w:t>
            </w:r>
          </w:p>
        </w:tc>
      </w:tr>
      <w:tr w14:paraId="40EC41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256" w:hRule="atLeast"/>
          <w:jc w:val="center"/>
        </w:trPr>
        <w:tc>
          <w:tcPr>
            <w:tcW w:w="5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83E547">
            <w:pPr>
              <w:ind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模块6：教务管理功能服务</w:t>
            </w:r>
          </w:p>
        </w:tc>
        <w:tc>
          <w:tcPr>
            <w:tcW w:w="27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315896">
            <w:pPr>
              <w:ind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项</w:t>
            </w:r>
          </w:p>
        </w:tc>
      </w:tr>
    </w:tbl>
    <w:p w14:paraId="004717D0">
      <w:pPr>
        <w:keepNext/>
        <w:keepLines/>
        <w:pageBreakBefore w:val="0"/>
        <w:widowControl w:val="0"/>
        <w:numPr>
          <w:ilvl w:val="0"/>
          <w:numId w:val="1"/>
        </w:numPr>
        <w:kinsoku/>
        <w:wordWrap/>
        <w:overflowPunct/>
        <w:topLinePunct w:val="0"/>
        <w:autoSpaceDE/>
        <w:autoSpaceDN/>
        <w:bidi w:val="0"/>
        <w:spacing w:before="100" w:after="100" w:line="300" w:lineRule="auto"/>
        <w:ind w:firstLine="200" w:firstLineChars="0"/>
        <w:textAlignment w:val="auto"/>
        <w:outlineLvl w:val="0"/>
        <w:rPr>
          <w:rFonts w:hint="eastAsia" w:ascii="仿宋" w:hAnsi="仿宋" w:eastAsia="仿宋" w:cs="仿宋"/>
          <w:b/>
          <w:bCs/>
          <w:color w:val="auto"/>
          <w:kern w:val="44"/>
          <w:sz w:val="21"/>
          <w:szCs w:val="21"/>
          <w:highlight w:val="none"/>
          <w:lang w:val="en-US" w:eastAsia="zh-CN" w:bidi="ar-SA"/>
        </w:rPr>
      </w:pPr>
      <w:r>
        <w:rPr>
          <w:rFonts w:hint="eastAsia" w:ascii="仿宋" w:hAnsi="仿宋" w:eastAsia="仿宋" w:cs="仿宋"/>
          <w:b/>
          <w:bCs/>
          <w:color w:val="auto"/>
          <w:kern w:val="44"/>
          <w:sz w:val="21"/>
          <w:szCs w:val="21"/>
          <w:highlight w:val="none"/>
          <w:lang w:val="en-US" w:eastAsia="zh-CN" w:bidi="ar-SA"/>
        </w:rPr>
        <w:t>功能要求</w:t>
      </w:r>
    </w:p>
    <w:p w14:paraId="5C196C7B">
      <w:pPr>
        <w:pStyle w:val="3"/>
        <w:pageBreakBefore w:val="0"/>
        <w:widowControl w:val="0"/>
        <w:kinsoku/>
        <w:wordWrap/>
        <w:overflowPunct/>
        <w:topLinePunct w:val="0"/>
        <w:autoSpaceDE/>
        <w:autoSpaceDN/>
        <w:bidi w:val="0"/>
        <w:adjustRightInd/>
        <w:snapToGrid/>
        <w:spacing w:line="300" w:lineRule="auto"/>
        <w:ind w:firstLine="386" w:firstLineChars="183"/>
        <w:textAlignment w:val="auto"/>
        <w:rPr>
          <w:rFonts w:hint="eastAsia" w:ascii="仿宋" w:hAnsi="仿宋" w:eastAsia="仿宋" w:cs="仿宋"/>
          <w:color w:val="auto"/>
          <w:sz w:val="21"/>
          <w:szCs w:val="21"/>
          <w:highlight w:val="none"/>
        </w:rPr>
      </w:pPr>
      <w:bookmarkStart w:id="46" w:name="_Toc133414397"/>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w:t>
      </w:r>
      <w:r>
        <w:rPr>
          <w:rFonts w:hint="eastAsia" w:ascii="仿宋" w:hAnsi="仿宋" w:eastAsia="仿宋" w:cs="仿宋"/>
          <w:color w:val="auto"/>
          <w:sz w:val="21"/>
          <w:szCs w:val="21"/>
          <w:highlight w:val="none"/>
        </w:rPr>
        <w:t>系统对接</w:t>
      </w:r>
      <w:bookmarkEnd w:id="46"/>
    </w:p>
    <w:p w14:paraId="6BD24BBB">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与学校统一身份认证系统对接，实现管理端的统一。</w:t>
      </w:r>
    </w:p>
    <w:p w14:paraId="55F19A9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对接教务系统，并将已确认的学生及其选课信息一次性导入平台中，并进行定期维护和更新，以保证学生的选课信息准确无误。</w:t>
      </w:r>
    </w:p>
    <w:p w14:paraId="04CF363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支持展示学校logo，背景图片；班级展示封面，支持展示学校logo或其它特色标识。</w:t>
      </w:r>
    </w:p>
    <w:p w14:paraId="1D2C03EB">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为学习者提供优质的云端网络环境。</w:t>
      </w:r>
    </w:p>
    <w:p w14:paraId="77668E29">
      <w:pPr>
        <w:pStyle w:val="3"/>
        <w:pageBreakBefore w:val="0"/>
        <w:widowControl w:val="0"/>
        <w:kinsoku/>
        <w:wordWrap/>
        <w:overflowPunct/>
        <w:topLinePunct w:val="0"/>
        <w:autoSpaceDE/>
        <w:autoSpaceDN/>
        <w:bidi w:val="0"/>
        <w:adjustRightInd/>
        <w:snapToGrid/>
        <w:spacing w:line="300" w:lineRule="auto"/>
        <w:ind w:firstLine="386" w:firstLineChars="183"/>
        <w:textAlignment w:val="auto"/>
        <w:rPr>
          <w:rFonts w:hint="eastAsia" w:ascii="仿宋" w:hAnsi="仿宋" w:eastAsia="仿宋" w:cs="仿宋"/>
          <w:color w:val="auto"/>
          <w:sz w:val="21"/>
          <w:szCs w:val="21"/>
          <w:highlight w:val="none"/>
        </w:rPr>
      </w:pPr>
      <w:bookmarkStart w:id="47" w:name="_Toc133414398"/>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rPr>
        <w:t>课堂互动教学功能服务</w:t>
      </w:r>
      <w:bookmarkEnd w:id="47"/>
    </w:p>
    <w:p w14:paraId="61A1B28F">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统需提供覆盖所有课堂教学活动的课堂互动功能，充分调动课堂气氛。在课堂结束后，为师生提供沟通交流的平台，教师可便捷地向学生推送自主学习资料，系统应提供相应的监督措施及学习效果反馈。具体功能要求如下：</w:t>
      </w:r>
    </w:p>
    <w:p w14:paraId="66471A17">
      <w:pPr>
        <w:pStyle w:val="4"/>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ascii="仿宋" w:hAnsi="仿宋" w:eastAsia="仿宋" w:cs="仿宋"/>
          <w:color w:val="auto"/>
          <w:sz w:val="21"/>
          <w:szCs w:val="21"/>
          <w:highlight w:val="none"/>
        </w:rPr>
      </w:pPr>
      <w:bookmarkStart w:id="48" w:name="_Toc133414399"/>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系统登录</w:t>
      </w:r>
      <w:bookmarkEnd w:id="48"/>
    </w:p>
    <w:p w14:paraId="03C7F611">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支持通过微信扫码登录系统。</w:t>
      </w:r>
    </w:p>
    <w:p w14:paraId="440050F3">
      <w:pPr>
        <w:pStyle w:val="4"/>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ascii="仿宋" w:hAnsi="仿宋" w:eastAsia="仿宋" w:cs="仿宋"/>
          <w:color w:val="auto"/>
          <w:sz w:val="21"/>
          <w:szCs w:val="21"/>
          <w:highlight w:val="none"/>
        </w:rPr>
      </w:pPr>
      <w:bookmarkStart w:id="49" w:name="_Toc133414400"/>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课前预习</w:t>
      </w:r>
      <w:bookmarkEnd w:id="49"/>
    </w:p>
    <w:p w14:paraId="3EA13D4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bookmarkStart w:id="50" w:name="_Toc133414401"/>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（1）为降低教师使用门槛，智慧教学功能可以插件形式内置于常用教学软件PPT当中，教师无需通过其他程序应用或者打开新的网页，即可实现备课和相关学习资料的制作推送；</w:t>
      </w:r>
    </w:p>
    <w:p w14:paraId="21B0B483">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（2）教师可在教学课件中一键式插入清华大学等双一流高校的MOOC视频，也可以通过粘贴视频网页链接插入优酷、腾讯等第三方视频，相关视频网页链接自动识别成为视屏播放框直接在课件中播放；</w:t>
      </w:r>
    </w:p>
    <w:p w14:paraId="67DAB5FA">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（3）预习课件上传到课件库可直接读取文件名。</w:t>
      </w:r>
    </w:p>
    <w:p w14:paraId="19DA67A1">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（4）教师将预习材料上传至云端并推送给学生，学生可直接在手机端查看教师的教学课件及视频、完成习题测试，数据自动进行统计；</w:t>
      </w:r>
    </w:p>
    <w:p w14:paraId="5624E03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（5）支持教师在手机端对已经编辑好的教学内容进行语音注解，包含对原有PPT、教学视频、习题等教学内容的语音解析，每个教学内容上的语音注解总条数不设上限，快速构建旁白式在线课程；</w:t>
      </w:r>
    </w:p>
    <w:p w14:paraId="1D5A862A">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bookmarkStart w:id="51" w:name="_Hlk81827153"/>
      <w:r>
        <w:rPr>
          <w:rFonts w:hint="eastAsia" w:ascii="仿宋" w:hAnsi="仿宋" w:eastAsia="仿宋" w:cs="仿宋"/>
          <w:color w:val="auto"/>
          <w:sz w:val="21"/>
          <w:szCs w:val="21"/>
          <w:highlight w:val="none"/>
        </w:rPr>
        <w:t>（6）支持插入本地音视频，发布时将同步至学生手机端，无需下载即可完成学习。</w:t>
      </w:r>
    </w:p>
    <w:bookmarkEnd w:id="51"/>
    <w:p w14:paraId="4D12D551">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支持</w:t>
      </w:r>
      <w:r>
        <w:rPr>
          <w:rFonts w:hint="eastAsia" w:ascii="仿宋" w:hAnsi="仿宋" w:eastAsia="仿宋" w:cs="仿宋"/>
          <w:color w:val="auto"/>
          <w:sz w:val="21"/>
          <w:szCs w:val="21"/>
          <w:highlight w:val="none"/>
        </w:rPr>
        <w:t>预习课件支持插入单选题、多选题、填空题、投票题、主观题等多种类型习题，支持word格式的习题批量导入，支持自定义题目分值，制作题目时可一键切换题目类型；</w:t>
      </w:r>
    </w:p>
    <w:p w14:paraId="1F78DC91">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（8）支持教师设置预习截止时间，发布后支持修改截止时间，在节点前没有预习的学生会收到消息提醒； </w:t>
      </w:r>
    </w:p>
    <w:p w14:paraId="1B0AD66C">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（9）支持视频打点功能。学生观看课件内的视频时需观看90%以上算观看完成，当一页课件有多个视频时需全部观看90%以上；倍速观看计入观看时长，拖拽视频将不计入时长。</w:t>
      </w:r>
    </w:p>
    <w:p w14:paraId="5414A9CC">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bookmarkStart w:id="52" w:name="_Hlk81828728"/>
      <w:r>
        <w:rPr>
          <w:rFonts w:hint="eastAsia" w:ascii="仿宋" w:hAnsi="仿宋" w:eastAsia="仿宋" w:cs="仿宋"/>
          <w:color w:val="auto"/>
          <w:sz w:val="21"/>
          <w:szCs w:val="21"/>
          <w:highlight w:val="none"/>
        </w:rPr>
        <w:t>（10）</w:t>
      </w:r>
      <w:bookmarkStart w:id="53" w:name="_Hlk81828962"/>
      <w:r>
        <w:rPr>
          <w:rFonts w:hint="eastAsia" w:ascii="仿宋" w:hAnsi="仿宋" w:eastAsia="仿宋" w:cs="仿宋"/>
          <w:color w:val="auto"/>
          <w:sz w:val="21"/>
          <w:szCs w:val="21"/>
          <w:highlight w:val="none"/>
        </w:rPr>
        <w:t>支持教师设置</w:t>
      </w:r>
      <w:bookmarkStart w:id="54" w:name="_Hlk81313233"/>
      <w:r>
        <w:rPr>
          <w:rFonts w:hint="eastAsia" w:ascii="仿宋" w:hAnsi="仿宋" w:eastAsia="仿宋" w:cs="仿宋"/>
          <w:color w:val="auto"/>
          <w:sz w:val="21"/>
          <w:szCs w:val="21"/>
          <w:highlight w:val="none"/>
        </w:rPr>
        <w:t>课件查看截止时间</w:t>
      </w:r>
      <w:bookmarkEnd w:id="54"/>
      <w:r>
        <w:rPr>
          <w:rFonts w:hint="eastAsia" w:ascii="仿宋" w:hAnsi="仿宋" w:eastAsia="仿宋" w:cs="仿宋"/>
          <w:color w:val="auto"/>
          <w:sz w:val="21"/>
          <w:szCs w:val="21"/>
          <w:highlight w:val="none"/>
        </w:rPr>
        <w:t>，在设置时间之后学生不能再查看课件。</w:t>
      </w:r>
      <w:bookmarkEnd w:id="53"/>
    </w:p>
    <w:bookmarkEnd w:id="52"/>
    <w:p w14:paraId="0E39247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（11）支持教师通过移动端随时预览预习课件，支持通过移动端或者PC端实时查看学生预习情况；</w:t>
      </w:r>
    </w:p>
    <w:p w14:paraId="632C7740">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（12）客观题系统自动批阅，主观题支持教师在移动端批改；</w:t>
      </w:r>
    </w:p>
    <w:p w14:paraId="488F5F40">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bookmarkStart w:id="55" w:name="_Hlk81828765"/>
      <w:r>
        <w:rPr>
          <w:rFonts w:hint="eastAsia" w:ascii="仿宋" w:hAnsi="仿宋" w:eastAsia="仿宋" w:cs="仿宋"/>
          <w:color w:val="auto"/>
          <w:sz w:val="21"/>
          <w:szCs w:val="21"/>
          <w:highlight w:val="none"/>
        </w:rPr>
        <w:t>（13）支持教师下载导出学生详细预习数据，支持教师在移动端记录教学设计和心得笔记。</w:t>
      </w:r>
    </w:p>
    <w:p w14:paraId="6EC8F40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接入人工智能，支持根据教师课件智能解析授课内容，一键出题并智能推荐插入习题位置。</w:t>
      </w:r>
    </w:p>
    <w:p w14:paraId="51CC4C79">
      <w:pPr>
        <w:pageBreakBefore w:val="0"/>
        <w:widowControl w:val="0"/>
        <w:kinsoku/>
        <w:wordWrap/>
        <w:overflowPunct/>
        <w:topLinePunct w:val="0"/>
        <w:autoSpaceDE/>
        <w:autoSpaceDN/>
        <w:bidi w:val="0"/>
        <w:adjustRightInd/>
        <w:snapToGrid/>
        <w:spacing w:line="300" w:lineRule="auto"/>
        <w:ind w:firstLine="56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（15）PPT支持题库管理，教师在课件制作中可以一键插入题目。</w:t>
      </w:r>
    </w:p>
    <w:bookmarkEnd w:id="55"/>
    <w:p w14:paraId="5D403F22">
      <w:pPr>
        <w:pStyle w:val="4"/>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课堂教学</w:t>
      </w:r>
      <w:bookmarkEnd w:id="50"/>
    </w:p>
    <w:p w14:paraId="39F87E83">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（1）开启授课</w:t>
      </w:r>
    </w:p>
    <w:p w14:paraId="25E3F944">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1）支持教师基于本地、云端课件开展在线教学。课堂教学内容实时同步至学生移动端，同时支持教师通过PC网页端、桌面APP等多终端开启授课；开课时支持选择章节信息。</w:t>
      </w:r>
    </w:p>
    <w:p w14:paraId="2638FA0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2）桌面客户端支持windows、MacOS操作系统；</w:t>
      </w:r>
    </w:p>
    <w:p w14:paraId="3477D552">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★3）支持教师预约开课，可根据教学课表预约周期性课堂，按每周、每双周、每月等时间维度设置课堂重复频率，在课堂开始前10分钟系统会自动给教师发送上课提醒；</w:t>
      </w:r>
    </w:p>
    <w:p w14:paraId="14E124B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4）平台可对接第三方通用会议软件系统进行互动直播教学，支持教师提前预定线上会议室，支持复制会议地址、会议链接等信息邀请学生进入课堂。</w:t>
      </w:r>
    </w:p>
    <w:p w14:paraId="03911D48">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★5）支持教师开启测试课堂检验课堂效果，测试课堂的数据不影响班级数据统计；</w:t>
      </w:r>
    </w:p>
    <w:p w14:paraId="560A9EA2">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6）支持教师分享课堂链接，学生可通过链接快速进入课堂，同时支持学生通过PC网页端、桌面APP，微信公众号/小程序、移动端APP课程班级入口进入课堂；</w:t>
      </w:r>
    </w:p>
    <w:p w14:paraId="6B47BD12">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bookmarkStart w:id="56" w:name="_Hlk81829660"/>
      <w:r>
        <w:rPr>
          <w:rFonts w:hint="eastAsia" w:ascii="仿宋" w:hAnsi="仿宋" w:eastAsia="仿宋" w:cs="仿宋"/>
          <w:color w:val="auto"/>
          <w:sz w:val="21"/>
          <w:szCs w:val="21"/>
          <w:highlight w:val="none"/>
          <w:lang w:val="en-US" w:eastAsia="zh-CN"/>
        </w:rPr>
        <w:t>7）支持教师利用手机或电脑控制教学课件的翻页及发送题目；</w:t>
      </w:r>
    </w:p>
    <w:bookmarkEnd w:id="56"/>
    <w:p w14:paraId="61B0D5AB">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bookmarkStart w:id="57" w:name="_Hlk67387241"/>
      <w:r>
        <w:rPr>
          <w:rFonts w:hint="eastAsia" w:ascii="仿宋" w:hAnsi="仿宋" w:eastAsia="仿宋" w:cs="仿宋"/>
          <w:color w:val="auto"/>
          <w:sz w:val="21"/>
          <w:szCs w:val="21"/>
          <w:highlight w:val="none"/>
          <w:lang w:val="en-US" w:eastAsia="zh-CN"/>
        </w:rPr>
        <w:t>智慧教学平台自带截图功能，无需借助第三方截图工具，支持教师对电脑屏幕内容进行截图并一键发送至全班，截图内容可作为独立的页面融入到教学课件中，学生可以通过平台移动端接收查看截图内容</w:t>
      </w:r>
      <w:bookmarkEnd w:id="57"/>
      <w:r>
        <w:rPr>
          <w:rFonts w:hint="eastAsia" w:ascii="仿宋" w:hAnsi="仿宋" w:eastAsia="仿宋" w:cs="仿宋"/>
          <w:color w:val="auto"/>
          <w:sz w:val="21"/>
          <w:szCs w:val="21"/>
          <w:highlight w:val="none"/>
          <w:lang w:val="en-US" w:eastAsia="zh-CN"/>
        </w:rPr>
        <w:t>；</w:t>
      </w:r>
    </w:p>
    <w:p w14:paraId="688D2202">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bookmarkStart w:id="58" w:name="_Hlk67387202"/>
      <w:r>
        <w:rPr>
          <w:rFonts w:hint="eastAsia" w:ascii="仿宋" w:hAnsi="仿宋" w:eastAsia="仿宋" w:cs="仿宋"/>
          <w:color w:val="auto"/>
          <w:sz w:val="21"/>
          <w:szCs w:val="21"/>
          <w:highlight w:val="none"/>
          <w:lang w:val="en-US" w:eastAsia="zh-CN"/>
        </w:rPr>
        <w:t>课堂中支持PPT课件、板书、直播音视频等教学内容实时同步到学生学习终端，支持课堂中临时添加或修改课件题目</w:t>
      </w:r>
      <w:bookmarkEnd w:id="58"/>
      <w:r>
        <w:rPr>
          <w:rFonts w:hint="eastAsia" w:ascii="仿宋" w:hAnsi="仿宋" w:eastAsia="仿宋" w:cs="仿宋"/>
          <w:color w:val="auto"/>
          <w:sz w:val="21"/>
          <w:szCs w:val="21"/>
          <w:highlight w:val="none"/>
          <w:lang w:val="en-US" w:eastAsia="zh-CN"/>
        </w:rPr>
        <w:t>；</w:t>
      </w:r>
    </w:p>
    <w:p w14:paraId="182E5A1F">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★10）支持教师可以切换成学生身份查看学生的学习页面，包括课堂教学的实时直播内容画面，包括音视频、PPT、板书等内容。</w:t>
      </w:r>
    </w:p>
    <w:p w14:paraId="0AAA1A3B">
      <w:pPr>
        <w:pageBreakBefore w:val="0"/>
        <w:widowControl w:val="0"/>
        <w:kinsoku/>
        <w:wordWrap/>
        <w:overflowPunct/>
        <w:topLinePunct w:val="0"/>
        <w:autoSpaceDE/>
        <w:autoSpaceDN/>
        <w:bidi w:val="0"/>
        <w:adjustRightInd/>
        <w:snapToGrid/>
        <w:spacing w:line="300" w:lineRule="auto"/>
        <w:ind w:firstLine="562"/>
        <w:textAlignment w:val="auto"/>
        <w:outlineLvl w:val="3"/>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课堂签到</w:t>
      </w:r>
    </w:p>
    <w:p w14:paraId="6F62602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教师开启授课后，学生可以通过微信扫描课堂二维码、输入课堂暗号自动完成课堂签到，教师可实时查看学生签到情况，支持教师修改学生考勤状态。</w:t>
      </w:r>
    </w:p>
    <w:p w14:paraId="714E10B4">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(3)课堂互动</w:t>
      </w:r>
    </w:p>
    <w:p w14:paraId="6B76F055">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1）支持教师通过PC端或移动端随机选择1名或多名学生参与课堂互动，支持多种随机点名样式；</w:t>
      </w:r>
    </w:p>
    <w:p w14:paraId="60E5FA4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2）课堂支持限时发题，支持单选、多选、投票、填空和主观题等多种题型，学生作答结果实时显示，方便教师实时了解答题情况；</w:t>
      </w:r>
    </w:p>
    <w:p w14:paraId="48FADAF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3）主观题支持学生个人作答或分组作答，主观题分组作答可生成词云。支持教师课上实时批改或课下批改，支持小组匿名互评； </w:t>
      </w:r>
    </w:p>
    <w:p w14:paraId="699ED11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bookmarkStart w:id="59" w:name="_Hlk81831093"/>
      <w:r>
        <w:rPr>
          <w:rFonts w:hint="eastAsia" w:ascii="仿宋" w:hAnsi="仿宋" w:eastAsia="仿宋" w:cs="仿宋"/>
          <w:color w:val="auto"/>
          <w:sz w:val="21"/>
          <w:szCs w:val="21"/>
          <w:highlight w:val="none"/>
          <w:lang w:val="en-US" w:eastAsia="zh-CN"/>
        </w:rPr>
        <w:t>4）支持教师通过移动端给学生发送课堂习题红包，提高学生互动答题积极性，激励学生认真听讲；</w:t>
      </w:r>
    </w:p>
    <w:bookmarkEnd w:id="59"/>
    <w:p w14:paraId="2F515853">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5）支持教师随时开启课堂弹幕组织学生讨论，弹幕可以实现前台（投影）匿名，后台（教师手机端）实名，支持多种弹幕样式；</w:t>
      </w:r>
    </w:p>
    <w:p w14:paraId="2620354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投稿投屏：课堂中，无需老师发布任何教学活动，学生可以随时通过投稿将图片、文字、视频等发送至教师端，教师可实时查看学生投稿并进行投屏；课堂习题投屏可以展示题目、隐藏正确答案；主观题/投稿投屏可隐藏学生姓名，更好地保护学生的隐私。</w:t>
      </w:r>
    </w:p>
    <w:p w14:paraId="1BB46D6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★7）课堂中支持学生在每一页教学课件上进行关键词标注，教师可同步收到本班同学的课堂反馈信息，及时发现问题解决问题，课后学生可以利用标注数据查看每一堂课的知识盲点、重难点。</w:t>
      </w:r>
    </w:p>
    <w:p w14:paraId="3B2EC371">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bCs/>
          <w:color w:val="auto"/>
          <w:sz w:val="21"/>
          <w:szCs w:val="21"/>
          <w:highlight w:val="none"/>
          <w:lang w:val="en-US" w:eastAsia="zh-CN"/>
        </w:rPr>
      </w:pPr>
      <w:bookmarkStart w:id="60" w:name="_Toc133414402"/>
      <w:r>
        <w:rPr>
          <w:rFonts w:hint="eastAsia" w:ascii="仿宋" w:hAnsi="仿宋" w:eastAsia="仿宋" w:cs="仿宋"/>
          <w:b/>
          <w:bCs/>
          <w:color w:val="auto"/>
          <w:sz w:val="21"/>
          <w:szCs w:val="21"/>
          <w:highlight w:val="none"/>
          <w:lang w:val="en-US" w:eastAsia="zh-CN"/>
        </w:rPr>
        <w:t>（4）内容聚焦</w:t>
      </w:r>
    </w:p>
    <w:p w14:paraId="60F4135F">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支持放大镜、激光笔、聚光灯功能。</w:t>
      </w:r>
    </w:p>
    <w:p w14:paraId="704DDB56">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bCs/>
          <w:color w:val="auto"/>
          <w:sz w:val="21"/>
          <w:szCs w:val="21"/>
          <w:highlight w:val="none"/>
          <w:lang w:val="en-US" w:eastAsia="zh-CN"/>
        </w:rPr>
      </w:pPr>
      <w:bookmarkStart w:id="61" w:name="_Hlk81832377"/>
      <w:r>
        <w:rPr>
          <w:rFonts w:hint="eastAsia" w:ascii="仿宋" w:hAnsi="仿宋" w:eastAsia="仿宋" w:cs="仿宋"/>
          <w:b/>
          <w:bCs/>
          <w:color w:val="auto"/>
          <w:sz w:val="21"/>
          <w:szCs w:val="21"/>
          <w:highlight w:val="none"/>
          <w:lang w:val="en-US" w:eastAsia="zh-CN"/>
        </w:rPr>
        <w:t>（5）课堂表现</w:t>
      </w:r>
    </w:p>
    <w:p w14:paraId="116B03CF">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教师可以根据学生表现为单个学生进行课堂成绩加分。</w:t>
      </w:r>
    </w:p>
    <w:bookmarkEnd w:id="61"/>
    <w:p w14:paraId="5E906D06">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（6）随堂考试</w:t>
      </w:r>
    </w:p>
    <w:p w14:paraId="039045EB">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支持随堂考试，课后教师可以查看学生答题情况。</w:t>
      </w:r>
    </w:p>
    <w:p w14:paraId="79A22C4C">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（7）课堂报告</w:t>
      </w:r>
    </w:p>
    <w:p w14:paraId="6E49C6A4">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1）系统实时记录课堂上的教学数据，结束授课后自动生成课堂数据报告，包括到课率、课堂活跃度、直播观看人数、课堂平均分等课堂整体数据，课堂内容资源数据、习题数据、课堂互动数据及学习分析数据。</w:t>
      </w:r>
    </w:p>
    <w:p w14:paraId="785AB658">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★2）课堂报告提供授课、发题、课堂互动节奏图谱，按时间维度顺序呈现课程活动分布，呈现对应时段学生活跃度，帮助教师评估自身课堂，打磨授课节奏。</w:t>
      </w:r>
    </w:p>
    <w:p w14:paraId="3564EF4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3）课堂报告记录PPT课件放映总时长及每页放映时长，支持教师设置课件及直播视频可见状态，教师可关闭直播回放入口，选择部分课件课后不对学生开放。</w:t>
      </w:r>
    </w:p>
    <w:p w14:paraId="1CBA4FF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课堂报告提供学生课堂快照，内容包括课堂排名、课堂得分、活跃指数；统计近期课堂表现，包括习题得分、试卷得分、课堂加分、互动数据等；按时间轴记录学生课堂动态，包括进入课堂、参与互动、离开课堂等的时间记录，统计进出课堂次数、课堂停留时长及参与直播时长。</w:t>
      </w:r>
    </w:p>
    <w:p w14:paraId="5803EBDA">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★（8）课件播放优化</w:t>
      </w:r>
    </w:p>
    <w:p w14:paraId="5C33B1C6">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1）支持课件防误发送设置，授课过程中，教师快速翻过的幻灯片，课堂上不会发送学生。</w:t>
      </w:r>
    </w:p>
    <w:p w14:paraId="5B5CCB70">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2）为了满足学生不同网络环境的学习需要，支持课件播放清晰度设置，支持至少两种清晰度可选择。</w:t>
      </w:r>
    </w:p>
    <w:p w14:paraId="2048F1D0">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课后练习</w:t>
      </w:r>
      <w:bookmarkEnd w:id="60"/>
    </w:p>
    <w:p w14:paraId="3F15C28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（1）支持教师以word类型的题库文件无模板化一键式导入课件中，系统智能识别习题题干、选项、正确答案等信息；</w:t>
      </w:r>
    </w:p>
    <w:p w14:paraId="58DC30B2">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（2）支持文字、图片、公式作为试题的答案解析上传，学生作答后可查看富文本的答案解析；</w:t>
      </w:r>
    </w:p>
    <w:p w14:paraId="3F567B2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（3）教师可将制作好的试卷发送至指定班级，可设置答卷截止日期，可自定义答案显示时间，截止日期前没有答卷的学生会收到消息提醒；</w:t>
      </w:r>
    </w:p>
    <w:p w14:paraId="07CF96E8">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（4）支持学生主观题回答时上传包含音视频格式的多类型附件。</w:t>
      </w:r>
    </w:p>
    <w:p w14:paraId="68690CE8">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（5）教师可实时查看考卷数据，包括考卷完成情况、学生得分情况，学生答题正确率等；</w:t>
      </w:r>
    </w:p>
    <w:p w14:paraId="4F1C675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（6）客观题系统自动批改，主观题支持教师手动批改，支持对同一班级学生提交的主观题进行批量评分。</w:t>
      </w:r>
    </w:p>
    <w:p w14:paraId="0BEA687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bookmarkStart w:id="62" w:name="_Hlk101346066"/>
      <w:r>
        <w:rPr>
          <w:rFonts w:hint="eastAsia" w:ascii="仿宋" w:hAnsi="仿宋" w:eastAsia="仿宋" w:cs="仿宋"/>
          <w:color w:val="auto"/>
          <w:sz w:val="21"/>
          <w:szCs w:val="21"/>
          <w:highlight w:val="none"/>
        </w:rPr>
        <w:t>教师端主观题批改页面可在线预览学生提交的视频附件并支持下载。</w:t>
      </w:r>
      <w:bookmarkEnd w:id="62"/>
    </w:p>
    <w:p w14:paraId="0132F7E6">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63" w:name="_Toc133414403"/>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群发公告</w:t>
      </w:r>
      <w:bookmarkEnd w:id="63"/>
    </w:p>
    <w:p w14:paraId="71747336">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支持教师发布班级公告，内容可包含文字、图片、链接及附件等，教师可实时查看公告接收数据。</w:t>
      </w:r>
    </w:p>
    <w:p w14:paraId="2B083916">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64" w:name="_Toc133414404"/>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资料管理</w:t>
      </w:r>
      <w:bookmarkEnd w:id="64"/>
    </w:p>
    <w:p w14:paraId="2F6E684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（1）支持教师上传课件至云端课件库，用于发布课前预习作业，或进行课堂授课；</w:t>
      </w:r>
    </w:p>
    <w:p w14:paraId="3585FE35">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（2）支持教师上传试卷至云端试卷库，用于课下测验和课堂考试； </w:t>
      </w:r>
    </w:p>
    <w:p w14:paraId="5700ADDF">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（3）支持教师上传本地音视频至云服务器，管理员后台审核通过后，教师可将视频插入教学课件并推送至学生端，且视频支持倍速播放。</w:t>
      </w:r>
    </w:p>
    <w:p w14:paraId="26BCB46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bookmarkStart w:id="65" w:name="_Hlk81833078"/>
      <w:r>
        <w:rPr>
          <w:rFonts w:hint="eastAsia" w:ascii="仿宋" w:hAnsi="仿宋" w:eastAsia="仿宋" w:cs="仿宋"/>
          <w:color w:val="auto"/>
          <w:sz w:val="21"/>
          <w:szCs w:val="21"/>
          <w:highlight w:val="none"/>
        </w:rPr>
        <w:t>支持教师管理直播回放视频资源，可进行学生可见状态设置、删除、下载、转存等操作。</w:t>
      </w:r>
      <w:bookmarkEnd w:id="65"/>
    </w:p>
    <w:p w14:paraId="2F70A8E5">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66" w:name="_Toc133414405"/>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学生管理</w:t>
      </w:r>
      <w:bookmarkEnd w:id="66"/>
    </w:p>
    <w:p w14:paraId="1E3EEC1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（1）支持教师进行班级学生分组，提供系统随机分组、学生自由分组、老师指定分组等多种分组模式；</w:t>
      </w:r>
    </w:p>
    <w:p w14:paraId="7606246F">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（2）支持教师课下创建分组，同时支持课上创建新的分组，教师可对已创建的分组进行成员调整；</w:t>
      </w:r>
    </w:p>
    <w:p w14:paraId="66B25D7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（3）支持教师设置协同教师，与其他老师共同管理班级。</w:t>
      </w:r>
    </w:p>
    <w:p w14:paraId="1B8BF06D">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67" w:name="_Toc133414406"/>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成绩单管理</w:t>
      </w:r>
      <w:bookmarkEnd w:id="67"/>
    </w:p>
    <w:p w14:paraId="05C39C73">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（1）支持老师设置不同考核模块的成绩比例，能够覆盖线上线下教学环节，包括但不限于考试、课堂、课件、实验等；</w:t>
      </w:r>
    </w:p>
    <w:p w14:paraId="22DCD0D6">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（2）课堂教学活动的考核维度需包括课堂考勤、课堂习题、课堂小测等，支持对不同维度的考核进行得分比例的权重分配；</w:t>
      </w:r>
    </w:p>
    <w:p w14:paraId="0376C40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（3）支持查看班级平均分、最高分、最低分，并可查看不同成绩段的学生人数分布情况；</w:t>
      </w:r>
    </w:p>
    <w:p w14:paraId="5B4DD0A4">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（4）支持展示班内在不同分数段的学生人数。</w:t>
      </w:r>
    </w:p>
    <w:p w14:paraId="5F821F34">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（5）支持班内学生成绩列表式展示。</w:t>
      </w:r>
    </w:p>
    <w:p w14:paraId="0AAEC8B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（6）支持搜索查看班级内任一学员的成绩详情，包括不同考核模块的得分情况以及总成绩情况；</w:t>
      </w:r>
    </w:p>
    <w:p w14:paraId="51D6865C">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（7）支持线下成绩的导入和成绩单的下载；</w:t>
      </w:r>
    </w:p>
    <w:p w14:paraId="5A4E8987">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68" w:name="_Toc133414407"/>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课堂数据统计</w:t>
      </w:r>
      <w:bookmarkEnd w:id="68"/>
    </w:p>
    <w:p w14:paraId="2ACCFF1A">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（1）系统需实时记录和展示每次教学活动的课前-课上-课后全部教学数据，提供数据批量下载功能。</w:t>
      </w:r>
    </w:p>
    <w:p w14:paraId="31728A42">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bookmarkStart w:id="69" w:name="_Hlk81386763"/>
      <w:r>
        <w:rPr>
          <w:rFonts w:hint="eastAsia" w:ascii="仿宋" w:hAnsi="仿宋" w:eastAsia="仿宋" w:cs="仿宋"/>
          <w:color w:val="auto"/>
          <w:sz w:val="21"/>
          <w:szCs w:val="21"/>
          <w:highlight w:val="none"/>
        </w:rPr>
        <w:t>（2）班级数据统计。支持查看班级概况，包含班级学生数、共发送教学活动数、开课次数、整体到课率、班级平均分。</w:t>
      </w:r>
    </w:p>
    <w:p w14:paraId="3B02E37A">
      <w:pPr>
        <w:pageBreakBefore w:val="0"/>
        <w:widowControl w:val="0"/>
        <w:kinsoku/>
        <w:wordWrap/>
        <w:overflowPunct/>
        <w:topLinePunct w:val="0"/>
        <w:autoSpaceDE/>
        <w:autoSpaceDN/>
        <w:bidi w:val="0"/>
        <w:adjustRightInd/>
        <w:snapToGrid/>
        <w:spacing w:line="300" w:lineRule="auto"/>
        <w:ind w:firstLine="56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（3）学习过程性数据统计。支持统计班级中单个学生的课件学习数据、视频学习数据、习题作答情况数据、讨论情况数据、考试情况数据。</w:t>
      </w:r>
    </w:p>
    <w:bookmarkEnd w:id="69"/>
    <w:p w14:paraId="72402575">
      <w:pPr>
        <w:pStyle w:val="4"/>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ascii="仿宋" w:hAnsi="仿宋" w:eastAsia="仿宋" w:cs="仿宋"/>
          <w:color w:val="auto"/>
          <w:sz w:val="21"/>
          <w:szCs w:val="21"/>
          <w:highlight w:val="none"/>
        </w:rPr>
      </w:pPr>
      <w:bookmarkStart w:id="70" w:name="_Toc133414408"/>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英文版界面</w:t>
      </w:r>
      <w:bookmarkEnd w:id="70"/>
    </w:p>
    <w:p w14:paraId="6E13687A">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提供英文版操作界面，方便英语专业、留学生及外国师生开展混合式教学。</w:t>
      </w:r>
    </w:p>
    <w:p w14:paraId="53095210">
      <w:pPr>
        <w:pStyle w:val="3"/>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bookmarkStart w:id="71" w:name="_Toc133414409"/>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rPr>
        <w:t>智慧直播教学功能服务</w:t>
      </w:r>
      <w:bookmarkEnd w:id="71"/>
    </w:p>
    <w:p w14:paraId="221CF0AD">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72" w:name="_Toc133414410"/>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音视频直播</w:t>
      </w:r>
      <w:bookmarkEnd w:id="72"/>
    </w:p>
    <w:p w14:paraId="35464B50">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教室具备音视频信号传输到教室电脑的条件下，教师可开启课堂音视频直播。语音直播实时采集教师课堂授课声音。视频直播可以采集摄像头、电脑屏幕，添加画面水印；支持自定义直播页面布局，调整每个画面的大小和位置；支持自定义直播画面背景；支持调节摄像头的展示形式，隐藏人物直播空间背景；支持设置仅直播无回放、不直播仅录课模式。</w:t>
      </w:r>
    </w:p>
    <w:p w14:paraId="3085589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（2）课堂授课音视频录制资源，学生课后可回看复习，直播回放视频支持倍速播放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支持切换清晰度</w:t>
      </w:r>
      <w:r>
        <w:rPr>
          <w:rFonts w:hint="eastAsia" w:ascii="仿宋" w:hAnsi="仿宋" w:eastAsia="仿宋" w:cs="仿宋"/>
          <w:color w:val="auto"/>
          <w:sz w:val="21"/>
          <w:szCs w:val="21"/>
          <w:highlight w:val="none"/>
        </w:rPr>
        <w:t>。支持教师管理课堂直播视频，支持删除、下载、转存到系统云盘，同时支持教师设置直播回放视频对学生的可见状态。</w:t>
      </w:r>
    </w:p>
    <w:p w14:paraId="331EFA52">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（3）音视频直播回放支持打点服务。</w:t>
      </w:r>
      <w:bookmarkStart w:id="73" w:name="_Hlk101346328"/>
      <w:r>
        <w:rPr>
          <w:rFonts w:hint="eastAsia" w:ascii="仿宋" w:hAnsi="仿宋" w:eastAsia="仿宋" w:cs="仿宋"/>
          <w:color w:val="auto"/>
          <w:sz w:val="21"/>
          <w:szCs w:val="21"/>
          <w:highlight w:val="none"/>
        </w:rPr>
        <w:t>单个直播或直播回放视频学生需观看60%以上算完成学习，若课堂存在多段直播/回放，每个观看需超过60%。</w:t>
      </w:r>
      <w:bookmarkEnd w:id="73"/>
    </w:p>
    <w:p w14:paraId="0FFCA09B">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74" w:name="_Toc133414411"/>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互动直播</w:t>
      </w:r>
      <w:bookmarkEnd w:id="74"/>
    </w:p>
    <w:p w14:paraId="025ACAD0">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（1）支持教师开启实时互动直播，共享教师授课声音、摄像头画面和教师电脑桌面/课件，支持学生和教师实时连麦互动，支持学生共享屏幕；</w:t>
      </w:r>
    </w:p>
    <w:p w14:paraId="668981A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（2）课后支持师生观看互动直播回放视频，支持教师设置对学生的可见状态。支持教师管理互动直播视频，可进行删除、下载、转存到系统云盘；</w:t>
      </w:r>
    </w:p>
    <w:p w14:paraId="6D279B8C">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（3）平台可对接第三方通用会议软件系统，实现通过平台教学页面开启第三方会议软件并调用其会议功能，实现师生实时音视频课堂互动，并</w:t>
      </w:r>
      <w:bookmarkStart w:id="75" w:name="_Hlk116400409"/>
      <w:r>
        <w:rPr>
          <w:rFonts w:hint="eastAsia" w:ascii="仿宋" w:hAnsi="仿宋" w:eastAsia="仿宋" w:cs="仿宋"/>
          <w:color w:val="auto"/>
          <w:sz w:val="21"/>
          <w:szCs w:val="21"/>
          <w:highlight w:val="none"/>
        </w:rPr>
        <w:t>支持会议视频回放替换到课程章节中；支持教师开启入会身份认证，未进行平台身份绑定的用户无法进入互动会议室，有效保障课堂秩序。</w:t>
      </w:r>
      <w:bookmarkEnd w:id="75"/>
    </w:p>
    <w:p w14:paraId="2D5D25CC">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（4）教师直播授课画面实时同步至学生端，学生端听课页面直播视频与PPT课件、习题等内容可实现同页面显示，方便学生及时参与答题互动。</w:t>
      </w:r>
    </w:p>
    <w:p w14:paraId="30C2ECAA">
      <w:pPr>
        <w:pStyle w:val="4"/>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ascii="仿宋" w:hAnsi="仿宋" w:eastAsia="仿宋" w:cs="仿宋"/>
          <w:color w:val="auto"/>
          <w:sz w:val="21"/>
          <w:szCs w:val="21"/>
          <w:highlight w:val="none"/>
        </w:rPr>
      </w:pPr>
      <w:bookmarkStart w:id="76" w:name="_Toc133414412"/>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动态板书</w:t>
      </w:r>
      <w:bookmarkEnd w:id="76"/>
    </w:p>
    <w:p w14:paraId="38022BF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支持课堂中随时调用板书页，新建的板书内容在学生端作为独立页面嵌入到PPT课件中，课上板书内容实时投屏，课后支持完整回放书写过程；</w:t>
      </w:r>
    </w:p>
    <w:p w14:paraId="47B25B8A">
      <w:pPr>
        <w:pStyle w:val="4"/>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ascii="仿宋" w:hAnsi="仿宋" w:eastAsia="仿宋" w:cs="仿宋"/>
          <w:color w:val="auto"/>
          <w:sz w:val="21"/>
          <w:szCs w:val="21"/>
          <w:highlight w:val="none"/>
        </w:rPr>
      </w:pPr>
      <w:bookmarkStart w:id="77" w:name="_Toc133414413"/>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上课提醒</w:t>
      </w:r>
      <w:bookmarkEnd w:id="77"/>
    </w:p>
    <w:p w14:paraId="526B13F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（1）直播开启时，老师可主动向学生推送上课提醒。</w:t>
      </w:r>
    </w:p>
    <w:p w14:paraId="4C253F4C">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（2）学生通过推送提醒可进入课堂。</w:t>
      </w:r>
    </w:p>
    <w:p w14:paraId="331FD3A2">
      <w:pPr>
        <w:pStyle w:val="3"/>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bookmarkStart w:id="78" w:name="_Toc133414414"/>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四）</w:t>
      </w:r>
      <w:r>
        <w:rPr>
          <w:rFonts w:hint="eastAsia" w:ascii="仿宋" w:hAnsi="仿宋" w:eastAsia="仿宋" w:cs="仿宋"/>
          <w:color w:val="auto"/>
          <w:sz w:val="21"/>
          <w:szCs w:val="21"/>
          <w:highlight w:val="none"/>
        </w:rPr>
        <w:t>在线考试功能服务</w:t>
      </w:r>
      <w:bookmarkEnd w:id="78"/>
    </w:p>
    <w:p w14:paraId="4BCB585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支持教师进行制作试卷、发布试卷、作答与监考、批改试卷、下载数据等的全流程操作，具体要求如下：</w:t>
      </w:r>
    </w:p>
    <w:p w14:paraId="60F8FE76">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79" w:name="_Toc133414415"/>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制作试卷</w:t>
      </w:r>
      <w:bookmarkEnd w:id="79"/>
    </w:p>
    <w:p w14:paraId="5539147B">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（1）支持教师在PC网页端制作试卷，试卷习题支持以word或excel文件形式批量导入，支持添加、编辑单个习题；</w:t>
      </w:r>
    </w:p>
    <w:p w14:paraId="087D81B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（2）试卷支持添加单选题、多选题、投票题、判断题、填空题、主观题等多种题型，所有题型均支持富文本编辑，支持设置题目分值、答案解析。</w:t>
      </w:r>
    </w:p>
    <w:p w14:paraId="6E8508E5">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（3）支持教师开启随机组卷，学生收到的试卷习题将从总试卷的习题中产生。</w:t>
      </w:r>
    </w:p>
    <w:p w14:paraId="07F320D4">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（4）考试支持ABC卷，学生随机分配到A/B/C试卷，考试数据按卷面分别统计；</w:t>
      </w:r>
    </w:p>
    <w:p w14:paraId="573B97F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bookmarkStart w:id="80" w:name="_Hlk116397042"/>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（5）</w:t>
      </w:r>
      <w:bookmarkStart w:id="81" w:name="_Hlk101346476"/>
      <w:r>
        <w:rPr>
          <w:rFonts w:hint="eastAsia" w:ascii="仿宋" w:hAnsi="仿宋" w:eastAsia="仿宋" w:cs="仿宋"/>
          <w:color w:val="auto"/>
          <w:sz w:val="21"/>
          <w:szCs w:val="21"/>
          <w:highlight w:val="none"/>
        </w:rPr>
        <w:t>网页版试卷创建支持“大题结构”。每一道大题下支持批量导入或逐道添加多道不同题型的小题。如在随机组卷条件下，支持每道大题内部按照题型随机抽题</w:t>
      </w:r>
      <w:bookmarkEnd w:id="81"/>
      <w:r>
        <w:rPr>
          <w:rFonts w:hint="eastAsia" w:ascii="仿宋" w:hAnsi="仿宋" w:eastAsia="仿宋" w:cs="仿宋"/>
          <w:color w:val="auto"/>
          <w:sz w:val="21"/>
          <w:szCs w:val="21"/>
          <w:highlight w:val="none"/>
        </w:rPr>
        <w:t>。</w:t>
      </w:r>
    </w:p>
    <w:p w14:paraId="055229D2">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6）</w:t>
      </w:r>
      <w:bookmarkStart w:id="82" w:name="_Hlk121843370"/>
      <w:r>
        <w:rPr>
          <w:rFonts w:hint="eastAsia" w:ascii="仿宋" w:hAnsi="仿宋" w:eastAsia="仿宋" w:cs="仿宋"/>
          <w:color w:val="auto"/>
          <w:kern w:val="0"/>
          <w:sz w:val="21"/>
          <w:szCs w:val="21"/>
          <w:highlight w:val="none"/>
        </w:rPr>
        <w:t>支持教师预览学生端试卷并模拟学生答题，包括电脑端和移动端试卷页面内容。</w:t>
      </w:r>
      <w:bookmarkEnd w:id="82"/>
    </w:p>
    <w:bookmarkEnd w:id="80"/>
    <w:p w14:paraId="52A3A0B0">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83" w:name="_Toc133414416"/>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发布试卷</w:t>
      </w:r>
      <w:bookmarkEnd w:id="83"/>
    </w:p>
    <w:p w14:paraId="001803D4">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（1）支持教师设置试卷发布时间、考试时长、考试开始时间、考试截止时间、题目顺序、选项顺序、试卷查看权限、成绩/答案公布时间、是否允许复制粘贴等，支持教师设置开启在线监考；</w:t>
      </w:r>
    </w:p>
    <w:p w14:paraId="0C4AE1B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（2）防泄题设置。支持试卷加密发布，教师、教务管理者须输入密码后方</w:t>
      </w:r>
      <w:r>
        <w:rPr>
          <w:rFonts w:hint="eastAsia" w:ascii="仿宋" w:hAnsi="仿宋" w:eastAsia="仿宋" w:cs="仿宋"/>
          <w:color w:val="auto"/>
          <w:sz w:val="21"/>
          <w:szCs w:val="21"/>
          <w:highlight w:val="none"/>
          <w:lang w:val="en-US" w:eastAsia="zh-CN"/>
        </w:rPr>
        <w:t>可</w:t>
      </w:r>
      <w:r>
        <w:rPr>
          <w:rFonts w:hint="eastAsia" w:ascii="仿宋" w:hAnsi="仿宋" w:eastAsia="仿宋" w:cs="仿宋"/>
          <w:color w:val="auto"/>
          <w:sz w:val="21"/>
          <w:szCs w:val="21"/>
          <w:highlight w:val="none"/>
        </w:rPr>
        <w:t>查看试卷。</w:t>
      </w:r>
    </w:p>
    <w:p w14:paraId="1E6D174F">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（3）支持试卷预约发布。对于已经预约发布的试卷，在未到发布时间前可修改发布设置。</w:t>
      </w:r>
    </w:p>
    <w:p w14:paraId="73E38075">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（4）试卷发布后，教师和学生均可在微信公众号收到试卷发布提</w:t>
      </w:r>
      <w:r>
        <w:rPr>
          <w:rFonts w:hint="eastAsia" w:ascii="仿宋" w:hAnsi="仿宋" w:eastAsia="仿宋" w:cs="仿宋"/>
          <w:b/>
          <w:bCs/>
          <w:color w:val="auto"/>
          <w:sz w:val="21"/>
          <w:szCs w:val="21"/>
          <w:highlight w:val="none"/>
        </w:rPr>
        <w:t>示。</w:t>
      </w:r>
    </w:p>
    <w:p w14:paraId="767E24F4">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84" w:name="_Toc133414417"/>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学生作答</w:t>
      </w:r>
      <w:bookmarkEnd w:id="84"/>
    </w:p>
    <w:p w14:paraId="371D347B">
      <w:pPr>
        <w:pageBreakBefore w:val="0"/>
        <w:widowControl w:val="0"/>
        <w:numPr>
          <w:ilvl w:val="0"/>
          <w:numId w:val="2"/>
        </w:numPr>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教师开启在线监考，学生需要在开始考试前30分钟进行身份核验，支持证件照片、现场拍照核验；</w:t>
      </w:r>
    </w:p>
    <w:p w14:paraId="6E204705">
      <w:pPr>
        <w:pageBreakBefore w:val="0"/>
        <w:widowControl w:val="0"/>
        <w:numPr>
          <w:ilvl w:val="0"/>
          <w:numId w:val="2"/>
        </w:numPr>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支持人工审核学生身份，填写审核意见。</w:t>
      </w:r>
    </w:p>
    <w:p w14:paraId="11385A7A">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）学生考试页面展示水印，水印内容包括学生姓名、学号等信息。</w:t>
      </w:r>
    </w:p>
    <w:p w14:paraId="0B2F4BD1">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 xml:space="preserve">）学生在主观题作答时，通过微信扫码可将作答图片上传提交； </w:t>
      </w:r>
    </w:p>
    <w:p w14:paraId="786E50C4">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）教师批改完成后，学生可根据成绩/答案公布时间查看教师评分、批注及评语。</w:t>
      </w:r>
    </w:p>
    <w:p w14:paraId="6425544B">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85" w:name="_Toc133414418"/>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在线监考</w:t>
      </w:r>
      <w:bookmarkEnd w:id="85"/>
    </w:p>
    <w:p w14:paraId="454F544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（1）支持摄像头进行无感知抓拍，显示抓拍照片；支持系统自动截取学生试卷界面、屏幕共享界面。</w:t>
      </w:r>
    </w:p>
    <w:p w14:paraId="7B0B2E7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（2）学生若切出考试页面，老师端将收到系统提醒；</w:t>
      </w:r>
    </w:p>
    <w:p w14:paraId="102A08F6">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（3）按照时间轴展示学生考试状态，包含开始答题、考试异常、交卷、考试作废等状态；</w:t>
      </w:r>
    </w:p>
    <w:p w14:paraId="0F47C4E5">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（4）支持教师手动标记考试异常，可作废异常学生的考卷。</w:t>
      </w:r>
    </w:p>
    <w:p w14:paraId="20F425E4">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86" w:name="_Toc133414419"/>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重置考试</w:t>
      </w:r>
      <w:bookmarkEnd w:id="86"/>
    </w:p>
    <w:p w14:paraId="392A7E3B">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学生交卷后，支持给单个学生重置考试，学生在移动端可收到消息提示。</w:t>
      </w:r>
    </w:p>
    <w:p w14:paraId="5C089540">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87" w:name="_Toc133414420"/>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在线阅卷</w:t>
      </w:r>
      <w:bookmarkEnd w:id="87"/>
    </w:p>
    <w:p w14:paraId="30AA745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（1）系统自动批改客观题，主观题支持手动批改，教师可进行打分，圈画、批注、写评语。</w:t>
      </w:r>
    </w:p>
    <w:p w14:paraId="0617FB8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（2）支持客观题自动计算正确率。</w:t>
      </w:r>
    </w:p>
    <w:p w14:paraId="59606411">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88" w:name="_Toc133414421"/>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下载数据</w:t>
      </w:r>
      <w:bookmarkEnd w:id="88"/>
    </w:p>
    <w:p w14:paraId="0B73E3F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（1）考试结束后，支持下载考试数据及学生试卷。考试数据中详细标明了试卷名称、学生学号、姓名、得分、考试用时、交卷时间、客观题答案等。</w:t>
      </w:r>
    </w:p>
    <w:p w14:paraId="5E4A011A">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（2）系统会为每个学生生成试卷成绩单，支持下载单个学生试卷成绩单或批量下载全班学生成绩单；</w:t>
      </w:r>
    </w:p>
    <w:p w14:paraId="37E3184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（3）系统支持批量下载主观题附件。 </w:t>
      </w:r>
    </w:p>
    <w:p w14:paraId="432C134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（4）支持导出excel/word试卷习题及习题模板。</w:t>
      </w:r>
    </w:p>
    <w:p w14:paraId="39FC405B">
      <w:pPr>
        <w:pStyle w:val="3"/>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bookmarkStart w:id="89" w:name="_Toc133414422"/>
      <w:bookmarkStart w:id="90" w:name="_Toc122526235"/>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五）</w:t>
      </w:r>
      <w:r>
        <w:rPr>
          <w:rFonts w:hint="eastAsia" w:ascii="仿宋" w:hAnsi="仿宋" w:eastAsia="仿宋" w:cs="仿宋"/>
          <w:color w:val="auto"/>
          <w:sz w:val="21"/>
          <w:szCs w:val="21"/>
          <w:highlight w:val="none"/>
        </w:rPr>
        <w:t>数据统计分析功能服务</w:t>
      </w:r>
      <w:bookmarkEnd w:id="89"/>
      <w:bookmarkEnd w:id="90"/>
    </w:p>
    <w:p w14:paraId="6B9CE907">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91" w:name="_Toc133414423"/>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教学综合监控</w:t>
      </w:r>
      <w:bookmarkEnd w:id="91"/>
    </w:p>
    <w:p w14:paraId="752DDFA3">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（1）支持教学管理员查看该校师生使用平台的整体教学数据，今日教学数据实时更新，支持按全校、院系查看。</w:t>
      </w:r>
    </w:p>
    <w:p w14:paraId="07A35441">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（2）系统动态显示平台覆盖师生数、覆盖师生占比、活跃师生数、活跃师生占比、活跃班级数、活跃班级占比、发布教学活动数、直播课堂数、发布考试数、课堂到课率、考试完成率等统计数据。</w:t>
      </w:r>
    </w:p>
    <w:p w14:paraId="0D0BACAB">
      <w:pPr>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 w:val="21"/>
          <w:szCs w:val="21"/>
          <w:highlight w:val="none"/>
        </w:rPr>
        <w:t>（3）平台结合学生绑定情况、师生活跃情况、班级活跃情况、班级互动情况综合评估教学健康度，为教学管理者提供数据参考。</w:t>
      </w:r>
    </w:p>
    <w:p w14:paraId="49AF83A2">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（4）平台统计近7日教学数据提供学情预警，包括班级考勤预警、班级活跃预警、学生未绑定预警、学生考勤预警等。</w:t>
      </w:r>
    </w:p>
    <w:p w14:paraId="6F93F592">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平台统计显示近7日学院活跃班级数据，包括全校范围内各个学院的活跃教学班数、活跃教学班占比。平台统计显示近7日学院教学活动数据，包括全校范围内各个学院的教学活动总数、平均班级教学活动数，以柱状图、曲线图等形式直观展示。</w:t>
      </w:r>
    </w:p>
    <w:p w14:paraId="32B3100A">
      <w:pPr>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（6）平台根据近7日活跃学生数提供班级预警，以列表形式提醒教学管理者需重点关注的班级。</w:t>
      </w:r>
    </w:p>
    <w:p w14:paraId="2FA48424">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（7）平台依据教学活动数、活跃学生数统计显示近7日活跃班级排行，提供课程名称、学院名称、班级名称、授课教师等班级列表信息。</w:t>
      </w:r>
    </w:p>
    <w:p w14:paraId="59FC1100">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（8）平台显示今日教学动态数据，包括今日开课班级数、今日课堂数、今日课堂到课率、今日上课师生数。同时提供实时课堂、实时到课率、实时上课师生等实时课堂数据。</w:t>
      </w:r>
    </w:p>
    <w:p w14:paraId="39ED6613">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92" w:name="_Toc133414424"/>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实时教学动态监控</w:t>
      </w:r>
      <w:bookmarkEnd w:id="92"/>
    </w:p>
    <w:p w14:paraId="2B70B35B">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（1）系统支持实时监控课堂及考试动态，支持按时间、院系维度筛选。</w:t>
      </w:r>
    </w:p>
    <w:p w14:paraId="761A9C21">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（2）为保证数据有效性，系统支持自动过滤掉无效课堂（课堂时长小于15分钟且到课率低于10%，已结课的课堂）。</w:t>
      </w:r>
    </w:p>
    <w:p w14:paraId="374DB394">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（3）系统支持实时监控课堂教学动态，包括实时课堂数、实时到课率、实时开课班级、实时上课师生等。</w:t>
      </w:r>
    </w:p>
    <w:p w14:paraId="5F700F5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（4）系统按照时间轴实时呈现当日课堂日志，显示课堂开启及结束时间、课程/班级名称、授课教师、课堂到课率、已签到/未签到人数，支持按照开结课时间快速检索课堂内容。</w:t>
      </w:r>
    </w:p>
    <w:p w14:paraId="2EE5B1E2">
      <w:pPr>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 w:val="21"/>
          <w:szCs w:val="21"/>
          <w:highlight w:val="none"/>
        </w:rPr>
        <w:t>（5）系统支持管理员/督导角色查看课堂回放及课堂报告，包括学生考勤、课堂得分、习题作答、课堂互动等教学数据，支持查看学生课堂签到时间、习题不懂反馈、习题正确率、答题分布、弹幕内容等详细数据，支持管理员/督导查看教学课件内容。</w:t>
      </w:r>
    </w:p>
    <w:p w14:paraId="78476133">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系统支持管理员/督导在线听课，进去正在授课的课堂可远程在线旁听，画面与学生端听课画面保持同步，实时在线听课页面展示课堂基本信息，包括课程名称、班级名称、所属学院、授课教师、课堂到课率、已签到/未签到学生名单等。</w:t>
      </w:r>
    </w:p>
    <w:p w14:paraId="3193EA93">
      <w:pPr>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 w:val="21"/>
          <w:szCs w:val="21"/>
          <w:highlight w:val="none"/>
        </w:rPr>
        <w:t>（7）管理员/督导在线听课的课堂内容包括课件PPT、音视频直播画面、课堂习题、课堂试卷等。管理员/督导可参与习题、弹幕、投稿、不懂反馈等课堂互动，督导听课模式下产生的学习行为数据不会被记录，不影响课堂教学数据。</w:t>
      </w:r>
    </w:p>
    <w:p w14:paraId="52F6AAC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（8）教学管理员可通过课堂动态标签页查看班级学期内教学活动内容，支持查看班级成绩单数据。</w:t>
      </w:r>
    </w:p>
    <w:p w14:paraId="10AA075B">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系统支持教学管理员通过院系信息、考试日期/时间、考试形式筛选查看某一场考试，系统显示考试基本信息，包括开始/结束时间、考试班级、考试名称、监考教师、考试完成率等，支持查看考题内容、学生得分情况、试卷成绩分布、题目正确率等。</w:t>
      </w:r>
    </w:p>
    <w:p w14:paraId="785CD895">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（10）系统动态显示今日考试数、完成考试人次、进行中考试数、正在考试人次、考试完成率等。</w:t>
      </w:r>
    </w:p>
    <w:p w14:paraId="4C0FB81E">
      <w:pPr>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 w:val="21"/>
          <w:szCs w:val="21"/>
          <w:highlight w:val="none"/>
        </w:rPr>
        <w:t>（11）系统提供7日/30日内考试预告，依据考试完成率、考试得分率等数据提供考试预警。</w:t>
      </w:r>
    </w:p>
    <w:p w14:paraId="2C61274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管理员/督导可参与在线巡考，可查看正在进行的考试动态或者已经结束的考试信息。管理员/督导进入某场使用在线监考的考试后，可以看到所有学生的考试状态。考试动态栏按照时间倒序标明学生开始答题、考试异常、交卷、考试作废等状态。</w:t>
      </w:r>
    </w:p>
    <w:p w14:paraId="096FB1AF">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（13）管理员/督导巡考页面可实时显示参加考试的学生列表，图片为其身份检验时拍摄的摄像头图像，考试异常或未检测到摄像头的同学将在列表中被标注体现。</w:t>
      </w:r>
    </w:p>
    <w:p w14:paraId="01426488">
      <w:pPr>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 w:val="21"/>
          <w:szCs w:val="21"/>
          <w:highlight w:val="none"/>
        </w:rPr>
        <w:t>（14）督导巡考过程中系统提供学生个人详细考情页面，包括学生作答每道题的作答情况，个人页面记录该同学的所有系统抓拍、试卷截图、桌面截屏和切屏状态。</w:t>
      </w:r>
    </w:p>
    <w:p w14:paraId="778BAD24">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93" w:name="_Toc133414425"/>
      <w:bookmarkStart w:id="94" w:name="_Toc122441162"/>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大屏数据监控</w:t>
      </w:r>
      <w:bookmarkEnd w:id="93"/>
      <w:bookmarkEnd w:id="94"/>
    </w:p>
    <w:p w14:paraId="1A0DC535">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（1）平台实时监测教学综合数据，可视化呈现今日动态、课堂、教学等动态变化数据。</w:t>
      </w:r>
    </w:p>
    <w:p w14:paraId="1F976B76">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（2）支持设置数据页面自动翻页，支持自定义翻页间隔时长。支持设置大屏教学数据统计周期，提供近7日、近30日、当前学期等周期范围。支持修改数据统计范围，支持动态显示校级、院级大屏教学数据。</w:t>
      </w:r>
    </w:p>
    <w:p w14:paraId="5B05A5F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（3）支持查看今日教学动态数据，包括今日教学活动、教师教学动态、课堂动态、学生课堂参与动态等。</w:t>
      </w:r>
    </w:p>
    <w:p w14:paraId="103E5BA8">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平台统计呈现今日教学活动数、今日开课班级数、今日课堂互动数、今日到课率、实时课堂数、实时上课师生、实时到课率等教学数据。大屏数据页面提供在线督学课堂入口，校级管理员可进入正在上课的课堂，查看教学内容及课堂数据。</w:t>
      </w:r>
    </w:p>
    <w:p w14:paraId="6A2ED2D5">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5）提供课堂监控大屏数据页面，动态统计课堂直播时长及直播课堂占比，统计周期内课堂考勤数据，对比上个周期呈现考勤变动趋势。统计周期内学生出勤、课堂内容、题目考核、教学互动、课堂时长等课堂教学数据，综合分析提供课堂健康度评估值，为教学评价提供参考数据。</w:t>
      </w:r>
    </w:p>
    <w:p w14:paraId="0A6CD546">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（6）提供教学管控大屏数据，综合分析学生绑定、师生活跃、班级活跃、班级互动情况，提供教学健康度评估数据。</w:t>
      </w:r>
    </w:p>
    <w:p w14:paraId="320F2EA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提供周期内教学活动分布数据，提供课堂、考试等活动数量及占比，统计呈现周期内单日教学活动详细发布数据，对比分析教学活动发布趋势。统计周期内单日活跃课程班级数。统计周期内教学活动数，提供活跃班级排名。</w:t>
      </w:r>
    </w:p>
    <w:p w14:paraId="4456F1AD">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95" w:name="_Toc133414426"/>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教学数据</w:t>
      </w:r>
      <w:bookmarkEnd w:id="95"/>
    </w:p>
    <w:p w14:paraId="56511C84">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（1）系统支持按院系、学期查看综合教学数据，包括活跃课程班级数据、教学活动数据等，支持快速查看当前学期近7日/近30日综合教学数据。</w:t>
      </w:r>
    </w:p>
    <w:p w14:paraId="09E63ED8">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（2）系统可展示某一学期教学整体数据，包括活跃班级数、活跃班级占比、活跃教师数、活跃学生数、发布教学活动数、学生参与教学活动人次等，系统支持管理员查看学期内某一天活跃课程数/班级数。</w:t>
      </w:r>
    </w:p>
    <w:p w14:paraId="293EFFB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（3）系统结合学生绑定占比、师生活跃度、班级活跃度、互动班级占比等数据综合评估教学健康度，为管理员提供教学评价参考数据。</w:t>
      </w:r>
    </w:p>
    <w:p w14:paraId="3F261B9B">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（4）系统以曲线图、柱状图等形式呈现校内各学院活跃教学班数及占比、教学活动总数及平均数。</w:t>
      </w:r>
    </w:p>
    <w:p w14:paraId="40B56BA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（5）系统统计呈现学期教学活动分布，包括课堂、讨论、考试、课件、公告等教学活动数及占比，以柱状图形式展示教学活动发布趋势，管理员可详细查看近7日教学活动发布情况。</w:t>
      </w:r>
    </w:p>
    <w:p w14:paraId="4A7D34F8">
      <w:pPr>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6）系统根据班级教学活动数、活跃学生数统计提供近7日活跃班级排名，根据班级活跃学生数提供近7日班级预警，为管理者提供需重点关注班级的基本信息。</w:t>
      </w:r>
    </w:p>
    <w:p w14:paraId="274B2541">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96" w:name="_Toc133414427"/>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课堂数据</w:t>
      </w:r>
      <w:bookmarkEnd w:id="96"/>
    </w:p>
    <w:p w14:paraId="421CDFE8">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（1）系统支持按院系、学期查看课堂教学数据，包括开课数据、课堂考勤数据、课堂直播数据、课堂互动数据等，支持快速查看当前学期近7日/近30日课堂详细数据。</w:t>
      </w:r>
    </w:p>
    <w:p w14:paraId="769349BC">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（2）系统动态显示当前学期课堂整体教学数据，包括课堂总数、开课班级数、课堂总时长、课堂平均时长、上课师生数、课堂互动总数、直播课堂时长等。</w:t>
      </w:r>
    </w:p>
    <w:p w14:paraId="5230278C">
      <w:pPr>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3）系统提供周期内课堂考勤详细数据，包括课堂签到人次，课堂平均到课率，提供课堂考勤预警，以曲线图形式呈现课堂考勤变化趋势，对比本周期与上周期课堂到课率。</w:t>
      </w:r>
    </w:p>
    <w:p w14:paraId="37634F91">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（4）系统呈现本周期内课堂开课趋势，包括总体课堂数、本周期每天的课堂数，对比上一周期的课堂开课数。</w:t>
      </w:r>
    </w:p>
    <w:p w14:paraId="2548DD6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（5）系统结合学生出勤、课堂内容、教学互动、作业考核等数据综合评估课堂健康度，为管理员提供课堂评教参考数据。</w:t>
      </w:r>
    </w:p>
    <w:p w14:paraId="2FD835EB">
      <w:pPr>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6）系统统计课堂直播数据，包括课堂直播时长、音视频/互动直播时长及占比、单日直播课堂分布，用柱状图/曲线图等形式呈现课堂直播变化趋势。</w:t>
      </w:r>
    </w:p>
    <w:p w14:paraId="1075E65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（7）系统统计呈现课堂互动数据，包括周期内互动课堂占比、课堂互动总数、人均课堂互动数等，提供周期内不同类型课堂互动分布，单日课堂互动详细数据。</w:t>
      </w:r>
    </w:p>
    <w:p w14:paraId="4A61DAEA">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（8）系统提供校内各学院详细课堂数据，包括直播课堂数、互动课堂占比、上课师生人数、课堂到课率等。</w:t>
      </w:r>
    </w:p>
    <w:p w14:paraId="27AC549A">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（9）系统统计课堂到课率、人均课堂互动数以列表形式提供班级课堂排名，包括课程名称、班级名称、学院、授课教师等基本信息。</w:t>
      </w:r>
    </w:p>
    <w:p w14:paraId="62FE178C">
      <w:pPr>
        <w:pStyle w:val="4"/>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ascii="仿宋" w:hAnsi="仿宋" w:eastAsia="仿宋" w:cs="仿宋"/>
          <w:color w:val="auto"/>
          <w:sz w:val="21"/>
          <w:szCs w:val="21"/>
          <w:highlight w:val="none"/>
        </w:rPr>
      </w:pPr>
      <w:bookmarkStart w:id="97" w:name="_Toc133414428"/>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自定义数据下载</w:t>
      </w:r>
      <w:bookmarkEnd w:id="97"/>
    </w:p>
    <w:p w14:paraId="06F5064C">
      <w:pPr>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1）系统支持教学管理员筛选查看、自定义下载课程、班级、学生等维度教学详情数据。</w:t>
      </w:r>
    </w:p>
    <w:p w14:paraId="3D74E9EF">
      <w:pPr>
        <w:pageBreakBefore w:val="0"/>
        <w:widowControl w:val="0"/>
        <w:kinsoku/>
        <w:wordWrap/>
        <w:overflowPunct/>
        <w:topLinePunct w:val="0"/>
        <w:autoSpaceDE/>
        <w:autoSpaceDN/>
        <w:bidi w:val="0"/>
        <w:adjustRightInd/>
        <w:snapToGrid/>
        <w:spacing w:line="300"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（2</w:t>
      </w:r>
      <w:r>
        <w:rPr>
          <w:rFonts w:hint="eastAsia" w:ascii="仿宋" w:hAnsi="仿宋" w:eastAsia="仿宋" w:cs="仿宋"/>
          <w:color w:val="auto"/>
          <w:sz w:val="21"/>
          <w:szCs w:val="21"/>
          <w:highlight w:val="none"/>
        </w:rPr>
        <w:t>）支持通过课程名称/编号、课程类型、教师名称/工号、学期、学院等信息筛选课程，系统提供多维度字段支持教学管理员自定义查询课程数据，包括成绩考核、课堂、课件、考试、讨论/公告等，支持查看下载课程平均分、平均到课率、习题完成率/得分率、考试完成率/得分率、公告查看率等详细课程数据。</w:t>
      </w:r>
    </w:p>
    <w:p w14:paraId="248D6A75">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通过教学班名称/编号、课程名称/编号、教师名称/工号、学期、学院、班级课程类型等信息筛选教学班，系统提供多维度字段支持教学管理员自定义查询班级教学数据，包括班级基础数据、成绩、课堂、课件、考试、讨论、公告等。支持查看下载开结课时间、班级平均分、及格学生人数、课堂直播时长、课堂互动人次、发布预习课件数、发布考试数、师生发帖数等详细教学班数据。</w:t>
      </w:r>
    </w:p>
    <w:p w14:paraId="18109CFA">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通过学生名称/学号、所属行政班/教学班名称、授课教师、学期、课程、学院等信息筛选班级学生，系统提供多维度字段支持教学管理员自定义查询班级学生数据，包括学生成绩、课堂、课件、考试、讨论、公告等教学活动参与数据，支持查看下载学生成绩总分、到课率、参与互动数、完成习题数、发送弹幕数、考试得分率、发帖数、公告查看数等详细学生学习数据。</w:t>
      </w:r>
    </w:p>
    <w:p w14:paraId="763CCA01">
      <w:pPr>
        <w:pStyle w:val="3"/>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1"/>
          <w:szCs w:val="21"/>
          <w:highlight w:val="none"/>
        </w:rPr>
      </w:pPr>
      <w:bookmarkStart w:id="98" w:name="_Toc133414429"/>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六）</w:t>
      </w:r>
      <w:r>
        <w:rPr>
          <w:rFonts w:hint="eastAsia" w:ascii="仿宋" w:hAnsi="仿宋" w:eastAsia="仿宋" w:cs="仿宋"/>
          <w:color w:val="auto"/>
          <w:sz w:val="21"/>
          <w:szCs w:val="21"/>
          <w:highlight w:val="none"/>
        </w:rPr>
        <w:t>教务管理功能服务</w:t>
      </w:r>
      <w:bookmarkEnd w:id="98"/>
    </w:p>
    <w:p w14:paraId="6A1FB979">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99" w:name="_Toc133414430"/>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教务管理功能</w:t>
      </w:r>
      <w:bookmarkEnd w:id="99"/>
    </w:p>
    <w:p w14:paraId="292F65E4">
      <w:pPr>
        <w:pageBreakBefore w:val="0"/>
        <w:widowControl w:val="0"/>
        <w:kinsoku/>
        <w:wordWrap/>
        <w:overflowPunct/>
        <w:topLinePunct w:val="0"/>
        <w:autoSpaceDE/>
        <w:autoSpaceDN/>
        <w:bidi w:val="0"/>
        <w:adjustRightInd/>
        <w:snapToGrid/>
        <w:spacing w:line="300" w:lineRule="auto"/>
        <w:ind w:firstLine="562"/>
        <w:jc w:val="both"/>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color w:val="auto"/>
          <w:sz w:val="21"/>
          <w:szCs w:val="21"/>
          <w:highlight w:val="none"/>
        </w:rPr>
        <w:t>支持管理员查询用户、角色、入学学年、所属行政班、所属院系、绑定状态等用户信息，编辑、删除用户，可以为用户绑定身份；</w:t>
      </w:r>
    </w:p>
    <w:p w14:paraId="53A47D7B">
      <w:pPr>
        <w:pageBreakBefore w:val="0"/>
        <w:widowControl w:val="0"/>
        <w:kinsoku/>
        <w:wordWrap/>
        <w:overflowPunct/>
        <w:topLinePunct w:val="0"/>
        <w:autoSpaceDE/>
        <w:autoSpaceDN/>
        <w:bidi w:val="0"/>
        <w:adjustRightInd/>
        <w:snapToGrid/>
        <w:spacing w:line="300" w:lineRule="auto"/>
        <w:ind w:firstLine="56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（2）支持管理员查询课程、教学班、授课教师、行政班、学期、所属院系等教学班信息，支持下载教学班级名单，支持单个添加协同教师、学生，旁听生批量转正，移除课程内学生等；</w:t>
      </w:r>
    </w:p>
    <w:p w14:paraId="786F515E">
      <w:pPr>
        <w:pageBreakBefore w:val="0"/>
        <w:widowControl w:val="0"/>
        <w:kinsoku/>
        <w:wordWrap/>
        <w:overflowPunct/>
        <w:topLinePunct w:val="0"/>
        <w:autoSpaceDE/>
        <w:autoSpaceDN/>
        <w:bidi w:val="0"/>
        <w:adjustRightInd/>
        <w:snapToGrid/>
        <w:spacing w:line="300" w:lineRule="auto"/>
        <w:ind w:firstLine="56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（3）支持教学管理员查询行政班、入学学年、辅导员、所属院系等行政班信息，编辑、删除行政班，在行政班添加或移除辅导员、学生；</w:t>
      </w:r>
    </w:p>
    <w:p w14:paraId="6CAB8BC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（4）支持教学管理员查询、编辑、删除院系。</w:t>
      </w:r>
    </w:p>
    <w:p w14:paraId="3EB0A7AA">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（5）提供平台用户操作日志，做到操作留痕。</w:t>
      </w:r>
    </w:p>
    <w:p w14:paraId="6450991F">
      <w:pPr>
        <w:pStyle w:val="4"/>
        <w:pageBreakBefore w:val="0"/>
        <w:widowControl w:val="0"/>
        <w:kinsoku/>
        <w:wordWrap/>
        <w:overflowPunct/>
        <w:topLinePunct w:val="0"/>
        <w:autoSpaceDE/>
        <w:autoSpaceDN/>
        <w:bidi w:val="0"/>
        <w:adjustRightInd/>
        <w:snapToGrid/>
        <w:spacing w:line="300" w:lineRule="auto"/>
        <w:ind w:firstLine="632" w:firstLineChars="300"/>
        <w:textAlignment w:val="auto"/>
        <w:rPr>
          <w:rFonts w:hint="eastAsia" w:ascii="仿宋" w:hAnsi="仿宋" w:eastAsia="仿宋" w:cs="仿宋"/>
          <w:color w:val="auto"/>
          <w:sz w:val="21"/>
          <w:szCs w:val="21"/>
          <w:highlight w:val="none"/>
        </w:rPr>
      </w:pPr>
      <w:bookmarkStart w:id="100" w:name="_Toc133414431"/>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行政通知功能</w:t>
      </w:r>
      <w:bookmarkEnd w:id="100"/>
    </w:p>
    <w:p w14:paraId="619DBF96">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（1）支持校级管理员发送校级/院级/行政班行政通知，可以设置是否开启审核流程，发送人可选择接受通知的人员角色（全体师生、教师、学生）；</w:t>
      </w:r>
    </w:p>
    <w:p w14:paraId="4EECAEF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（2）支持自定义填写发送人名称，支持添加文字、图片、文档、视频等内容；</w:t>
      </w:r>
    </w:p>
    <w:p w14:paraId="3FB3BC1C">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（3）可对本人发送的行政通知进行预览、查看送达人数、查看已读人数。</w:t>
      </w:r>
      <w:bookmarkStart w:id="101" w:name="_Toc15290"/>
      <w:bookmarkStart w:id="102" w:name="_Toc9952"/>
      <w:bookmarkStart w:id="103" w:name="_Toc4451"/>
    </w:p>
    <w:p w14:paraId="507357FB">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bCs/>
          <w:color w:val="auto"/>
          <w:highlight w:val="none"/>
          <w:lang w:val="en-US" w:eastAsia="zh-CN"/>
        </w:rPr>
      </w:pPr>
      <w:bookmarkStart w:id="104" w:name="_Toc133414432"/>
      <w:r>
        <w:rPr>
          <w:rFonts w:hint="eastAsia" w:ascii="仿宋" w:hAnsi="仿宋" w:eastAsia="仿宋" w:cs="仿宋"/>
          <w:b/>
          <w:bCs/>
          <w:color w:val="auto"/>
          <w:highlight w:val="none"/>
          <w:lang w:val="en-US" w:eastAsia="zh-CN"/>
        </w:rPr>
        <w:t>六、售后服务</w:t>
      </w:r>
      <w:bookmarkEnd w:id="104"/>
    </w:p>
    <w:p w14:paraId="66D51B9E">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1、质保期：1年的全免费质保服务。</w:t>
      </w:r>
    </w:p>
    <w:p w14:paraId="04660B49">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2、技术培训：质保期内每年不少于3次培训。</w:t>
      </w:r>
    </w:p>
    <w:p w14:paraId="56ED088A">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3、维修保障等要求：质保期内7×24小时免费上门服务，质保期内免费维护，质保期外提供有偿维护，具体费用与校方另行商议。</w:t>
      </w:r>
    </w:p>
    <w:p w14:paraId="0481544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4、依据用户问题轻重缓急，提供不同的响应时间，具体为：</w:t>
      </w:r>
    </w:p>
    <w:p w14:paraId="3B06364D">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（1）“严重错误”，严重影响用户正常使用的情况下，乙方将安排优先处理，在6小时内处理好或提出应急措施。处理时间：6小时内；</w:t>
      </w:r>
    </w:p>
    <w:p w14:paraId="1177501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（2）“一般错误”，一般系统错误，对用户使用平台无十分紧急的影响，乙方将在24小时内处理好或提出应急措施。处理时间：24小时内；</w:t>
      </w:r>
    </w:p>
    <w:p w14:paraId="5B33BB7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（3）“需求变化”，增加和改进功能，使用方便性调整，接到报告48小时内给予答复，并提出有关的意见。处理时间：48小时内。</w:t>
      </w:r>
    </w:p>
    <w:p w14:paraId="1DB398E7">
      <w:pPr>
        <w:pageBreakBefore w:val="0"/>
        <w:widowControl w:val="0"/>
        <w:kinsoku/>
        <w:wordWrap/>
        <w:overflowPunct/>
        <w:topLinePunct w:val="0"/>
        <w:autoSpaceDE/>
        <w:autoSpaceDN/>
        <w:bidi w:val="0"/>
        <w:adjustRightInd/>
        <w:snapToGrid/>
        <w:spacing w:line="300" w:lineRule="auto"/>
        <w:ind w:firstLine="56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七</w:t>
      </w:r>
      <w:r>
        <w:rPr>
          <w:rFonts w:hint="eastAsia" w:ascii="仿宋" w:hAnsi="仿宋" w:eastAsia="仿宋" w:cs="仿宋"/>
          <w:b/>
          <w:bCs/>
          <w:color w:val="auto"/>
          <w:highlight w:val="none"/>
        </w:rPr>
        <w:t>、演示</w:t>
      </w:r>
      <w:r>
        <w:rPr>
          <w:rFonts w:hint="eastAsia" w:ascii="仿宋" w:hAnsi="仿宋" w:eastAsia="仿宋" w:cs="仿宋"/>
          <w:b/>
          <w:bCs/>
          <w:color w:val="auto"/>
          <w:highlight w:val="none"/>
          <w:lang w:val="en-US" w:eastAsia="zh-CN"/>
        </w:rPr>
        <w:t>要求</w:t>
      </w:r>
      <w:r>
        <w:rPr>
          <w:rFonts w:hint="eastAsia" w:ascii="仿宋" w:hAnsi="仿宋" w:eastAsia="仿宋" w:cs="仿宋"/>
          <w:b/>
          <w:bCs/>
          <w:color w:val="auto"/>
          <w:highlight w:val="none"/>
        </w:rPr>
        <w:t>：</w:t>
      </w:r>
    </w:p>
    <w:p w14:paraId="7E27E3DF">
      <w:pPr>
        <w:pStyle w:val="27"/>
        <w:shd w:val="clear"/>
        <w:spacing w:line="288" w:lineRule="auto"/>
        <w:ind w:firstLine="406"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1、演示内容需为真人操作录制的视频，演示以PPT、非真人操作DEMO软件录制的视频、图片等视同未演示，不得分</w:t>
      </w:r>
      <w:r>
        <w:rPr>
          <w:rFonts w:hint="eastAsia" w:ascii="仿宋" w:hAnsi="仿宋" w:eastAsia="仿宋" w:cs="仿宋"/>
          <w:b/>
          <w:bCs/>
          <w:color w:val="auto"/>
          <w:sz w:val="21"/>
          <w:szCs w:val="21"/>
          <w:highlight w:val="none"/>
        </w:rPr>
        <w:t>。</w:t>
      </w:r>
    </w:p>
    <w:p w14:paraId="209AD7FE">
      <w:pPr>
        <w:pStyle w:val="27"/>
        <w:shd w:val="clear"/>
        <w:spacing w:line="288" w:lineRule="auto"/>
        <w:ind w:firstLine="406" w:firstLineChars="200"/>
        <w:rPr>
          <w:rFonts w:hint="eastAsia" w:ascii="仿宋" w:hAnsi="仿宋" w:eastAsia="仿宋" w:cs="仿宋"/>
          <w:b/>
          <w:color w:val="auto"/>
          <w:sz w:val="21"/>
          <w:szCs w:val="21"/>
          <w:highlight w:val="none"/>
          <w:lang w:bidi="ar"/>
        </w:rPr>
      </w:pPr>
      <w:r>
        <w:rPr>
          <w:rFonts w:hint="eastAsia" w:ascii="仿宋" w:hAnsi="仿宋" w:eastAsia="仿宋" w:cs="仿宋"/>
          <w:b/>
          <w:color w:val="auto"/>
          <w:sz w:val="21"/>
          <w:szCs w:val="21"/>
          <w:highlight w:val="none"/>
          <w:lang w:val="en-US" w:eastAsia="zh-CN" w:bidi="ar"/>
        </w:rPr>
        <w:t>2</w:t>
      </w:r>
      <w:r>
        <w:rPr>
          <w:rFonts w:hint="eastAsia" w:ascii="仿宋" w:hAnsi="仿宋" w:eastAsia="仿宋" w:cs="仿宋"/>
          <w:b/>
          <w:color w:val="auto"/>
          <w:sz w:val="21"/>
          <w:szCs w:val="21"/>
          <w:highlight w:val="none"/>
          <w:lang w:bidi="ar"/>
        </w:rPr>
        <w:t>、演示</w:t>
      </w:r>
      <w:r>
        <w:rPr>
          <w:rFonts w:hint="eastAsia" w:ascii="仿宋" w:hAnsi="仿宋" w:eastAsia="仿宋" w:cs="仿宋"/>
          <w:b/>
          <w:color w:val="auto"/>
          <w:sz w:val="21"/>
          <w:szCs w:val="21"/>
          <w:highlight w:val="none"/>
          <w:lang w:val="en-US" w:eastAsia="zh-CN" w:bidi="ar"/>
        </w:rPr>
        <w:t>方式</w:t>
      </w:r>
    </w:p>
    <w:p w14:paraId="4CFCE3F7">
      <w:pPr>
        <w:pStyle w:val="27"/>
        <w:shd w:val="clear"/>
        <w:spacing w:line="288" w:lineRule="auto"/>
        <w:ind w:firstLine="404" w:firstLineChars="200"/>
        <w:rPr>
          <w:rFonts w:hint="eastAsia" w:ascii="仿宋" w:hAnsi="仿宋" w:eastAsia="仿宋" w:cs="仿宋"/>
          <w:bCs/>
          <w:color w:val="auto"/>
          <w:sz w:val="21"/>
          <w:szCs w:val="21"/>
          <w:highlight w:val="none"/>
          <w:lang w:bidi="ar"/>
        </w:rPr>
      </w:pPr>
      <w:r>
        <w:rPr>
          <w:rFonts w:hint="eastAsia" w:ascii="仿宋" w:hAnsi="仿宋" w:eastAsia="仿宋" w:cs="仿宋"/>
          <w:bCs/>
          <w:color w:val="auto"/>
          <w:sz w:val="21"/>
          <w:szCs w:val="21"/>
          <w:highlight w:val="none"/>
          <w:lang w:val="en-US" w:eastAsia="zh-CN" w:bidi="ar"/>
        </w:rPr>
        <w:t>（1）</w:t>
      </w:r>
      <w:r>
        <w:rPr>
          <w:rFonts w:hint="eastAsia" w:ascii="仿宋" w:hAnsi="仿宋" w:eastAsia="仿宋" w:cs="仿宋"/>
          <w:bCs/>
          <w:color w:val="auto"/>
          <w:sz w:val="21"/>
          <w:szCs w:val="21"/>
          <w:highlight w:val="none"/>
          <w:lang w:bidi="ar"/>
        </w:rPr>
        <w:t>根据“电子交易/不见面开评标”原则，供应商需将以上演示及讲解过程录制</w:t>
      </w:r>
      <w:r>
        <w:rPr>
          <w:rFonts w:hint="eastAsia" w:ascii="仿宋" w:hAnsi="仿宋" w:eastAsia="仿宋" w:cs="仿宋"/>
          <w:bCs/>
          <w:color w:val="auto"/>
          <w:sz w:val="21"/>
          <w:szCs w:val="21"/>
          <w:highlight w:val="none"/>
          <w:lang w:val="en-US" w:eastAsia="zh-CN" w:bidi="ar"/>
        </w:rPr>
        <w:t>成</w:t>
      </w:r>
      <w:r>
        <w:rPr>
          <w:rFonts w:hint="eastAsia" w:ascii="仿宋" w:hAnsi="仿宋" w:eastAsia="仿宋" w:cs="仿宋"/>
          <w:bCs/>
          <w:color w:val="auto"/>
          <w:sz w:val="21"/>
          <w:szCs w:val="21"/>
          <w:highlight w:val="none"/>
          <w:lang w:bidi="ar"/>
        </w:rPr>
        <w:t>视频，演示时长不超过</w:t>
      </w:r>
      <w:r>
        <w:rPr>
          <w:rFonts w:hint="eastAsia" w:ascii="仿宋" w:hAnsi="仿宋" w:eastAsia="仿宋" w:cs="仿宋"/>
          <w:bCs/>
          <w:color w:val="auto"/>
          <w:sz w:val="21"/>
          <w:szCs w:val="21"/>
          <w:highlight w:val="none"/>
          <w:lang w:val="en-US" w:eastAsia="zh-CN" w:bidi="ar"/>
        </w:rPr>
        <w:t>20</w:t>
      </w:r>
      <w:r>
        <w:rPr>
          <w:rFonts w:hint="eastAsia" w:ascii="仿宋" w:hAnsi="仿宋" w:eastAsia="仿宋" w:cs="仿宋"/>
          <w:bCs/>
          <w:color w:val="auto"/>
          <w:sz w:val="21"/>
          <w:szCs w:val="21"/>
          <w:highlight w:val="none"/>
          <w:lang w:bidi="ar"/>
        </w:rPr>
        <w:t>分钟</w:t>
      </w:r>
      <w:r>
        <w:rPr>
          <w:rFonts w:hint="eastAsia" w:ascii="仿宋" w:hAnsi="仿宋" w:eastAsia="仿宋" w:cs="仿宋"/>
          <w:bCs/>
          <w:color w:val="auto"/>
          <w:sz w:val="21"/>
          <w:szCs w:val="21"/>
          <w:highlight w:val="none"/>
          <w:lang w:eastAsia="zh-CN" w:bidi="ar"/>
        </w:rPr>
        <w:t>，</w:t>
      </w:r>
      <w:r>
        <w:rPr>
          <w:rFonts w:hint="eastAsia" w:ascii="仿宋" w:hAnsi="仿宋" w:eastAsia="仿宋" w:cs="仿宋"/>
          <w:bCs/>
          <w:color w:val="auto"/>
          <w:sz w:val="21"/>
          <w:szCs w:val="21"/>
          <w:highlight w:val="none"/>
          <w:lang w:bidi="ar"/>
        </w:rPr>
        <w:t>以.mp4格式存储于U盘。</w:t>
      </w:r>
    </w:p>
    <w:p w14:paraId="153B1EE9">
      <w:pPr>
        <w:pStyle w:val="27"/>
        <w:shd w:val="clear"/>
        <w:spacing w:line="288" w:lineRule="auto"/>
        <w:ind w:firstLine="404" w:firstLineChars="200"/>
        <w:rPr>
          <w:rFonts w:hint="eastAsia" w:ascii="仿宋" w:hAnsi="仿宋" w:eastAsia="仿宋" w:cs="仿宋"/>
          <w:bCs/>
          <w:color w:val="auto"/>
          <w:sz w:val="21"/>
          <w:szCs w:val="21"/>
          <w:highlight w:val="none"/>
          <w:lang w:bidi="ar"/>
        </w:rPr>
      </w:pPr>
      <w:r>
        <w:rPr>
          <w:rFonts w:hint="eastAsia" w:ascii="仿宋" w:hAnsi="仿宋" w:eastAsia="仿宋" w:cs="仿宋"/>
          <w:bCs/>
          <w:color w:val="auto"/>
          <w:sz w:val="21"/>
          <w:szCs w:val="21"/>
          <w:highlight w:val="none"/>
          <w:lang w:val="en-US" w:eastAsia="zh-CN" w:bidi="ar"/>
        </w:rPr>
        <w:t>（2）</w:t>
      </w:r>
      <w:r>
        <w:rPr>
          <w:rFonts w:hint="eastAsia" w:ascii="仿宋" w:hAnsi="仿宋" w:eastAsia="仿宋" w:cs="仿宋"/>
          <w:bCs/>
          <w:color w:val="auto"/>
          <w:sz w:val="21"/>
          <w:szCs w:val="21"/>
          <w:highlight w:val="none"/>
          <w:lang w:bidi="ar"/>
        </w:rPr>
        <w:t>演示U盘以顺丰邮寄形式在响应截止时间前递交，演示U盘应当密封包装并在包装上标注演示U盘、响应项目名称、响应供应商名称并加盖公章。</w:t>
      </w:r>
    </w:p>
    <w:p w14:paraId="47BEBC3C">
      <w:pPr>
        <w:pStyle w:val="27"/>
        <w:shd w:val="clear"/>
        <w:spacing w:line="288" w:lineRule="auto"/>
        <w:ind w:firstLine="404" w:firstLineChars="200"/>
        <w:rPr>
          <w:rFonts w:hint="eastAsia" w:ascii="仿宋" w:hAnsi="仿宋" w:eastAsia="仿宋" w:cs="仿宋"/>
          <w:b w:val="0"/>
          <w:bCs w:val="0"/>
          <w:color w:val="auto"/>
          <w:sz w:val="21"/>
          <w:szCs w:val="21"/>
          <w:highlight w:val="none"/>
          <w:lang w:eastAsia="zh-CN" w:bidi="ar"/>
        </w:rPr>
      </w:pPr>
      <w:r>
        <w:rPr>
          <w:rFonts w:hint="eastAsia" w:ascii="仿宋" w:hAnsi="仿宋" w:eastAsia="仿宋" w:cs="仿宋"/>
          <w:b w:val="0"/>
          <w:bCs w:val="0"/>
          <w:color w:val="auto"/>
          <w:sz w:val="21"/>
          <w:szCs w:val="21"/>
          <w:highlight w:val="none"/>
        </w:rPr>
        <w:t>邮寄地址：</w:t>
      </w:r>
      <w:r>
        <w:rPr>
          <w:rFonts w:hint="eastAsia" w:ascii="仿宋" w:hAnsi="仿宋" w:eastAsia="仿宋" w:cs="仿宋"/>
          <w:b w:val="0"/>
          <w:bCs w:val="0"/>
          <w:color w:val="auto"/>
          <w:sz w:val="21"/>
          <w:szCs w:val="21"/>
          <w:highlight w:val="none"/>
          <w:lang w:val="en-US" w:eastAsia="zh-CN"/>
        </w:rPr>
        <w:t>宁波市海曙区翠柏路89号公共培训平台C座8楼</w:t>
      </w:r>
      <w:r>
        <w:rPr>
          <w:rFonts w:hint="eastAsia" w:ascii="仿宋" w:hAnsi="仿宋" w:eastAsia="仿宋" w:cs="仿宋"/>
          <w:b w:val="0"/>
          <w:bCs w:val="0"/>
          <w:color w:val="auto"/>
          <w:sz w:val="21"/>
          <w:szCs w:val="21"/>
          <w:highlight w:val="none"/>
        </w:rPr>
        <w:t>，浙江省成套招标代理有限公司（</w:t>
      </w:r>
      <w:r>
        <w:rPr>
          <w:rFonts w:hint="eastAsia" w:ascii="仿宋" w:hAnsi="仿宋" w:eastAsia="仿宋" w:cs="仿宋"/>
          <w:b w:val="0"/>
          <w:bCs w:val="0"/>
          <w:color w:val="auto"/>
          <w:sz w:val="21"/>
          <w:szCs w:val="21"/>
          <w:highlight w:val="none"/>
          <w:lang w:val="en-US" w:eastAsia="zh-CN"/>
        </w:rPr>
        <w:t>马倩倩</w:t>
      </w:r>
      <w:r>
        <w:rPr>
          <w:rFonts w:hint="eastAsia" w:ascii="仿宋" w:hAnsi="仿宋" w:eastAsia="仿宋" w:cs="仿宋"/>
          <w:b w:val="0"/>
          <w:bCs w:val="0"/>
          <w:color w:val="auto"/>
          <w:sz w:val="21"/>
          <w:szCs w:val="21"/>
          <w:highlight w:val="none"/>
        </w:rPr>
        <w:t>）收，电话：</w:t>
      </w:r>
      <w:r>
        <w:rPr>
          <w:rFonts w:hint="eastAsia" w:ascii="仿宋" w:hAnsi="仿宋" w:eastAsia="仿宋" w:cs="仿宋"/>
          <w:b w:val="0"/>
          <w:bCs w:val="0"/>
          <w:color w:val="auto"/>
          <w:sz w:val="21"/>
          <w:szCs w:val="21"/>
          <w:highlight w:val="none"/>
          <w:lang w:val="en-US" w:eastAsia="zh-CN"/>
        </w:rPr>
        <w:t>13396671730</w:t>
      </w:r>
      <w:r>
        <w:rPr>
          <w:rFonts w:hint="eastAsia" w:ascii="仿宋" w:hAnsi="仿宋" w:eastAsia="仿宋" w:cs="仿宋"/>
          <w:b w:val="0"/>
          <w:bCs w:val="0"/>
          <w:color w:val="auto"/>
          <w:sz w:val="21"/>
          <w:szCs w:val="21"/>
          <w:highlight w:val="none"/>
          <w:lang w:eastAsia="zh-CN"/>
        </w:rPr>
        <w:t>。</w:t>
      </w:r>
    </w:p>
    <w:p w14:paraId="0DD107AE">
      <w:pPr>
        <w:pStyle w:val="27"/>
        <w:shd w:val="clear"/>
        <w:spacing w:line="288" w:lineRule="auto"/>
        <w:ind w:firstLineChars="200"/>
        <w:rPr>
          <w:rFonts w:hint="eastAsia" w:ascii="仿宋" w:hAnsi="仿宋" w:eastAsia="仿宋" w:cs="仿宋"/>
          <w:color w:val="auto"/>
          <w:highlight w:val="none"/>
        </w:rPr>
      </w:pPr>
      <w:r>
        <w:rPr>
          <w:rFonts w:hint="eastAsia" w:ascii="仿宋" w:hAnsi="仿宋" w:eastAsia="仿宋" w:cs="仿宋"/>
          <w:bCs/>
          <w:color w:val="auto"/>
          <w:spacing w:val="0"/>
          <w:sz w:val="21"/>
          <w:szCs w:val="21"/>
          <w:highlight w:val="none"/>
          <w:lang w:val="en-US" w:eastAsia="zh-CN" w:bidi="ar"/>
        </w:rPr>
        <w:t>（3）</w:t>
      </w:r>
      <w:r>
        <w:rPr>
          <w:rFonts w:hint="eastAsia" w:ascii="仿宋" w:hAnsi="仿宋" w:eastAsia="仿宋" w:cs="仿宋"/>
          <w:bCs/>
          <w:color w:val="auto"/>
          <w:spacing w:val="0"/>
          <w:sz w:val="21"/>
          <w:szCs w:val="21"/>
          <w:highlight w:val="none"/>
          <w:lang w:bidi="ar"/>
        </w:rPr>
        <w:t>未按磋商文件要求提供演示U盘造成专家无法正常评审的风险由供应商自行承担。</w:t>
      </w:r>
    </w:p>
    <w:p w14:paraId="61F70F1A">
      <w:pPr>
        <w:pStyle w:val="27"/>
        <w:numPr>
          <w:ilvl w:val="0"/>
          <w:numId w:val="3"/>
        </w:numPr>
        <w:shd w:val="clear"/>
        <w:spacing w:line="288" w:lineRule="auto"/>
        <w:ind w:firstLine="406" w:firstLineChars="200"/>
        <w:rPr>
          <w:rFonts w:hint="eastAsia" w:ascii="仿宋" w:hAnsi="仿宋" w:eastAsia="仿宋" w:cs="仿宋"/>
          <w:b/>
          <w:color w:val="auto"/>
          <w:sz w:val="21"/>
          <w:szCs w:val="21"/>
          <w:highlight w:val="none"/>
          <w:lang w:val="en-US" w:eastAsia="zh-CN" w:bidi="ar"/>
        </w:rPr>
      </w:pPr>
      <w:r>
        <w:rPr>
          <w:rFonts w:hint="eastAsia" w:ascii="仿宋" w:hAnsi="仿宋" w:eastAsia="仿宋" w:cs="仿宋"/>
          <w:b/>
          <w:color w:val="auto"/>
          <w:sz w:val="21"/>
          <w:szCs w:val="21"/>
          <w:highlight w:val="none"/>
          <w:lang w:val="en-US" w:eastAsia="zh-CN" w:bidi="ar"/>
        </w:rPr>
        <w:t>演示内容如下：</w:t>
      </w:r>
    </w:p>
    <w:p w14:paraId="0E28DF49">
      <w:pPr>
        <w:keepNext w:val="0"/>
        <w:keepLines w:val="0"/>
        <w:pageBreakBefore w:val="0"/>
        <w:widowControl w:val="0"/>
        <w:kinsoku/>
        <w:wordWrap/>
        <w:overflowPunct/>
        <w:topLinePunct w:val="0"/>
        <w:autoSpaceDE/>
        <w:autoSpaceDN/>
        <w:bidi w:val="0"/>
        <w:adjustRightInd/>
        <w:snapToGrid/>
        <w:spacing w:line="300" w:lineRule="auto"/>
        <w:ind w:firstLine="404" w:firstLineChars="200"/>
        <w:jc w:val="both"/>
        <w:textAlignment w:val="auto"/>
        <w:rPr>
          <w:rFonts w:hint="eastAsia" w:ascii="仿宋" w:hAnsi="仿宋" w:eastAsia="仿宋" w:cs="仿宋"/>
          <w:bCs/>
          <w:color w:val="auto"/>
          <w:spacing w:val="-4"/>
          <w:kern w:val="2"/>
          <w:sz w:val="21"/>
          <w:szCs w:val="21"/>
          <w:highlight w:val="none"/>
          <w:lang w:val="en-US" w:eastAsia="zh-CN" w:bidi="ar"/>
        </w:rPr>
      </w:pPr>
      <w:r>
        <w:rPr>
          <w:rFonts w:hint="eastAsia" w:ascii="仿宋" w:hAnsi="仿宋" w:eastAsia="仿宋" w:cs="仿宋"/>
          <w:bCs/>
          <w:color w:val="auto"/>
          <w:spacing w:val="-4"/>
          <w:kern w:val="2"/>
          <w:sz w:val="21"/>
          <w:szCs w:val="21"/>
          <w:highlight w:val="none"/>
          <w:lang w:val="en-US" w:eastAsia="zh-CN" w:bidi="ar"/>
        </w:rPr>
        <w:t>（1）为降低教师使用门槛，智慧教学功能可以插件形式内置于常用教学软件PPT当中，教师无需通过其他程序应用或者打开新的网页，即可实现备课和相关学习资料的制作推送；可在教学课件中一键式插入清华大学等双一流高校的MOOC视频，也可以通过粘贴视频网页链接插入优酷、腾讯等第三方视频，相关视频网页链接自动识别成为视屏播放框直接在课件中播放；</w:t>
      </w:r>
    </w:p>
    <w:p w14:paraId="498B3CEE">
      <w:pPr>
        <w:keepNext w:val="0"/>
        <w:keepLines w:val="0"/>
        <w:pageBreakBefore w:val="0"/>
        <w:widowControl w:val="0"/>
        <w:kinsoku/>
        <w:wordWrap/>
        <w:overflowPunct/>
        <w:topLinePunct w:val="0"/>
        <w:autoSpaceDE/>
        <w:autoSpaceDN/>
        <w:bidi w:val="0"/>
        <w:adjustRightInd/>
        <w:snapToGrid/>
        <w:spacing w:line="300" w:lineRule="auto"/>
        <w:ind w:firstLine="404" w:firstLineChars="200"/>
        <w:jc w:val="both"/>
        <w:textAlignment w:val="auto"/>
        <w:rPr>
          <w:rFonts w:hint="eastAsia" w:ascii="仿宋" w:hAnsi="仿宋" w:eastAsia="仿宋" w:cs="仿宋"/>
          <w:bCs/>
          <w:color w:val="auto"/>
          <w:spacing w:val="-4"/>
          <w:kern w:val="2"/>
          <w:sz w:val="21"/>
          <w:szCs w:val="21"/>
          <w:highlight w:val="none"/>
          <w:lang w:val="en-US" w:eastAsia="zh-CN" w:bidi="ar"/>
        </w:rPr>
      </w:pPr>
      <w:r>
        <w:rPr>
          <w:rFonts w:hint="eastAsia" w:ascii="仿宋" w:hAnsi="仿宋" w:eastAsia="仿宋" w:cs="仿宋"/>
          <w:bCs/>
          <w:color w:val="auto"/>
          <w:spacing w:val="-4"/>
          <w:kern w:val="2"/>
          <w:sz w:val="21"/>
          <w:szCs w:val="21"/>
          <w:highlight w:val="none"/>
          <w:lang w:val="en-US" w:eastAsia="zh-CN" w:bidi="ar"/>
        </w:rPr>
        <w:t>（2）支持教师可以切换成学生身份查看学生的学习页面，包括课堂教学的实时直播内容画面，包括音视频、PPT、板书等内容。</w:t>
      </w:r>
    </w:p>
    <w:p w14:paraId="036FCC46">
      <w:pPr>
        <w:keepNext w:val="0"/>
        <w:keepLines w:val="0"/>
        <w:pageBreakBefore w:val="0"/>
        <w:widowControl w:val="0"/>
        <w:kinsoku/>
        <w:wordWrap/>
        <w:overflowPunct/>
        <w:topLinePunct w:val="0"/>
        <w:autoSpaceDE/>
        <w:autoSpaceDN/>
        <w:bidi w:val="0"/>
        <w:adjustRightInd/>
        <w:snapToGrid/>
        <w:spacing w:line="300" w:lineRule="auto"/>
        <w:ind w:firstLine="404" w:firstLineChars="200"/>
        <w:jc w:val="both"/>
        <w:textAlignment w:val="auto"/>
        <w:rPr>
          <w:rFonts w:hint="eastAsia" w:ascii="仿宋" w:hAnsi="仿宋" w:eastAsia="仿宋" w:cs="仿宋"/>
          <w:bCs/>
          <w:color w:val="auto"/>
          <w:spacing w:val="-4"/>
          <w:kern w:val="2"/>
          <w:sz w:val="21"/>
          <w:szCs w:val="21"/>
          <w:highlight w:val="none"/>
          <w:lang w:val="en-US" w:eastAsia="zh-CN" w:bidi="ar"/>
        </w:rPr>
      </w:pPr>
      <w:r>
        <w:rPr>
          <w:rFonts w:hint="eastAsia" w:ascii="仿宋" w:hAnsi="仿宋" w:eastAsia="仿宋" w:cs="仿宋"/>
          <w:bCs/>
          <w:color w:val="auto"/>
          <w:spacing w:val="-4"/>
          <w:kern w:val="2"/>
          <w:sz w:val="21"/>
          <w:szCs w:val="21"/>
          <w:highlight w:val="none"/>
          <w:lang w:val="en-US" w:eastAsia="zh-CN" w:bidi="ar"/>
        </w:rPr>
        <w:t>（3）投稿投屏：课堂中，无需老师发布任何教学活动，学生可以随时通过投稿将图片、文字、视频等发送至教师端，教师可实时查看学生投稿并进行投屏；课堂习题投屏可以展示题目、隐藏正确答案；主观题/投稿投屏可隐藏学生姓名，更好地保护学生的隐私。</w:t>
      </w:r>
    </w:p>
    <w:p w14:paraId="7E86B5F4">
      <w:pPr>
        <w:keepNext w:val="0"/>
        <w:keepLines w:val="0"/>
        <w:pageBreakBefore w:val="0"/>
        <w:widowControl w:val="0"/>
        <w:kinsoku/>
        <w:wordWrap/>
        <w:overflowPunct/>
        <w:topLinePunct w:val="0"/>
        <w:autoSpaceDE/>
        <w:autoSpaceDN/>
        <w:bidi w:val="0"/>
        <w:adjustRightInd/>
        <w:snapToGrid/>
        <w:spacing w:line="300" w:lineRule="auto"/>
        <w:ind w:firstLine="404" w:firstLineChars="200"/>
        <w:jc w:val="both"/>
        <w:textAlignment w:val="auto"/>
        <w:rPr>
          <w:rFonts w:hint="eastAsia" w:ascii="仿宋" w:hAnsi="仿宋" w:eastAsia="仿宋" w:cs="仿宋"/>
          <w:bCs/>
          <w:color w:val="auto"/>
          <w:spacing w:val="-4"/>
          <w:kern w:val="2"/>
          <w:sz w:val="21"/>
          <w:szCs w:val="21"/>
          <w:highlight w:val="none"/>
          <w:lang w:val="en-US" w:eastAsia="zh-CN" w:bidi="ar"/>
        </w:rPr>
      </w:pPr>
      <w:r>
        <w:rPr>
          <w:rFonts w:hint="eastAsia" w:ascii="仿宋" w:hAnsi="仿宋" w:eastAsia="仿宋" w:cs="仿宋"/>
          <w:bCs/>
          <w:color w:val="auto"/>
          <w:spacing w:val="-4"/>
          <w:kern w:val="2"/>
          <w:sz w:val="21"/>
          <w:szCs w:val="21"/>
          <w:highlight w:val="none"/>
          <w:lang w:val="en-US" w:eastAsia="zh-CN" w:bidi="ar"/>
        </w:rPr>
        <w:t>（4）课堂中支持学生在每一页教学课件上进行关键词标注，教师可同步收到本班同学的课堂反馈信息，及时发现问题解决问题，课后学生可以利用标注数据查看每一堂课的知识盲点、重难点。</w:t>
      </w:r>
    </w:p>
    <w:p w14:paraId="1483136A">
      <w:pPr>
        <w:keepNext w:val="0"/>
        <w:keepLines w:val="0"/>
        <w:pageBreakBefore w:val="0"/>
        <w:widowControl w:val="0"/>
        <w:kinsoku/>
        <w:wordWrap/>
        <w:overflowPunct/>
        <w:topLinePunct w:val="0"/>
        <w:autoSpaceDE/>
        <w:autoSpaceDN/>
        <w:bidi w:val="0"/>
        <w:adjustRightInd/>
        <w:snapToGrid/>
        <w:spacing w:line="300" w:lineRule="auto"/>
        <w:ind w:firstLine="404" w:firstLineChars="200"/>
        <w:jc w:val="both"/>
        <w:textAlignment w:val="auto"/>
        <w:rPr>
          <w:rFonts w:hint="eastAsia" w:ascii="仿宋" w:hAnsi="仿宋" w:eastAsia="仿宋" w:cs="仿宋"/>
          <w:bCs/>
          <w:color w:val="auto"/>
          <w:spacing w:val="-4"/>
          <w:kern w:val="2"/>
          <w:sz w:val="21"/>
          <w:szCs w:val="21"/>
          <w:highlight w:val="none"/>
          <w:lang w:val="en-US" w:eastAsia="zh-CN" w:bidi="ar"/>
        </w:rPr>
      </w:pPr>
      <w:r>
        <w:rPr>
          <w:rFonts w:hint="eastAsia" w:ascii="仿宋" w:hAnsi="仿宋" w:eastAsia="仿宋" w:cs="仿宋"/>
          <w:bCs/>
          <w:color w:val="auto"/>
          <w:spacing w:val="-4"/>
          <w:kern w:val="2"/>
          <w:sz w:val="21"/>
          <w:szCs w:val="21"/>
          <w:highlight w:val="none"/>
          <w:lang w:val="en-US" w:eastAsia="zh-CN" w:bidi="ar"/>
        </w:rPr>
        <w:t>（5）支持课堂中随时调用板书页，板书内容在学生端作为独立页面嵌入到PPT课件中，课上板书内容实时投屏，课中及课后学生均观看板书书写过程。</w:t>
      </w:r>
    </w:p>
    <w:p w14:paraId="6DFACCE5">
      <w:pPr>
        <w:keepNext w:val="0"/>
        <w:keepLines w:val="0"/>
        <w:pageBreakBefore w:val="0"/>
        <w:widowControl w:val="0"/>
        <w:kinsoku/>
        <w:wordWrap/>
        <w:overflowPunct/>
        <w:topLinePunct w:val="0"/>
        <w:autoSpaceDE/>
        <w:autoSpaceDN/>
        <w:bidi w:val="0"/>
        <w:adjustRightInd/>
        <w:snapToGrid/>
        <w:spacing w:line="300" w:lineRule="auto"/>
        <w:ind w:firstLine="404" w:firstLineChars="200"/>
        <w:jc w:val="both"/>
        <w:textAlignment w:val="auto"/>
        <w:rPr>
          <w:rFonts w:hint="eastAsia" w:ascii="仿宋" w:hAnsi="仿宋" w:eastAsia="仿宋" w:cs="仿宋"/>
          <w:bCs/>
          <w:color w:val="auto"/>
          <w:spacing w:val="-4"/>
          <w:kern w:val="2"/>
          <w:sz w:val="21"/>
          <w:szCs w:val="21"/>
          <w:highlight w:val="none"/>
          <w:lang w:val="en-US" w:eastAsia="zh-CN" w:bidi="ar"/>
        </w:rPr>
      </w:pPr>
      <w:r>
        <w:rPr>
          <w:rFonts w:hint="eastAsia" w:ascii="仿宋" w:hAnsi="仿宋" w:eastAsia="仿宋" w:cs="仿宋"/>
          <w:bCs/>
          <w:color w:val="auto"/>
          <w:spacing w:val="-4"/>
          <w:kern w:val="2"/>
          <w:sz w:val="21"/>
          <w:szCs w:val="21"/>
          <w:highlight w:val="none"/>
          <w:lang w:val="en-US" w:eastAsia="zh-CN" w:bidi="ar"/>
        </w:rPr>
        <w:t>（6）教师直播授课画面实时同步至学生端，学生端听课页面直播视频与课件、习题等内容可实现同页面显示，方便学生及时参与答题互动。</w:t>
      </w:r>
    </w:p>
    <w:p w14:paraId="71FE7539">
      <w:pPr>
        <w:keepNext w:val="0"/>
        <w:keepLines w:val="0"/>
        <w:pageBreakBefore w:val="0"/>
        <w:widowControl w:val="0"/>
        <w:kinsoku/>
        <w:wordWrap/>
        <w:overflowPunct/>
        <w:topLinePunct w:val="0"/>
        <w:autoSpaceDE/>
        <w:autoSpaceDN/>
        <w:bidi w:val="0"/>
        <w:adjustRightInd/>
        <w:snapToGrid/>
        <w:spacing w:line="300" w:lineRule="auto"/>
        <w:ind w:firstLine="404" w:firstLineChars="200"/>
        <w:jc w:val="both"/>
        <w:textAlignment w:val="auto"/>
        <w:rPr>
          <w:rFonts w:hint="eastAsia" w:ascii="仿宋" w:hAnsi="仿宋" w:eastAsia="仿宋" w:cs="仿宋"/>
          <w:bCs/>
          <w:color w:val="auto"/>
          <w:spacing w:val="-4"/>
          <w:kern w:val="2"/>
          <w:sz w:val="21"/>
          <w:szCs w:val="21"/>
          <w:highlight w:val="none"/>
          <w:lang w:val="en-US" w:eastAsia="zh-CN" w:bidi="ar"/>
        </w:rPr>
      </w:pPr>
      <w:r>
        <w:rPr>
          <w:rFonts w:hint="eastAsia" w:ascii="仿宋" w:hAnsi="仿宋" w:eastAsia="仿宋" w:cs="仿宋"/>
          <w:bCs/>
          <w:color w:val="auto"/>
          <w:spacing w:val="-4"/>
          <w:kern w:val="2"/>
          <w:sz w:val="21"/>
          <w:szCs w:val="21"/>
          <w:highlight w:val="none"/>
          <w:lang w:val="en-US" w:eastAsia="zh-CN" w:bidi="ar"/>
        </w:rPr>
        <w:t>（7）课堂报告：系统实时记录课堂上的教学数据，结束授课后自动生成课堂数据报告并推到教师和学生手机端。教师课堂报告提供授课、发题、课堂互动节奏图谱，按时间维度顺序呈现课程活动分布，呈现对应时段学生活跃度，帮助教师评估自身课堂，打磨授课节奏。课堂报告提供学生课堂快照，内容包括课堂排名、课堂得分、活跃指数；统计近期课堂表现，包括习题得分、试卷得分、课堂加分、互动数据等；按时间轴记录学生课堂动态，包括进入课堂、参与互动、离开课堂等的时间记录，统计进出课堂次数、课堂停留时长及参与直播时长。</w:t>
      </w:r>
    </w:p>
    <w:p w14:paraId="299CAC32">
      <w:pPr>
        <w:keepNext w:val="0"/>
        <w:keepLines w:val="0"/>
        <w:pageBreakBefore w:val="0"/>
        <w:widowControl w:val="0"/>
        <w:kinsoku/>
        <w:wordWrap/>
        <w:overflowPunct/>
        <w:topLinePunct w:val="0"/>
        <w:autoSpaceDE/>
        <w:autoSpaceDN/>
        <w:bidi w:val="0"/>
        <w:adjustRightInd/>
        <w:snapToGrid/>
        <w:spacing w:line="300" w:lineRule="auto"/>
        <w:ind w:firstLine="404" w:firstLineChars="200"/>
        <w:jc w:val="both"/>
        <w:textAlignment w:val="auto"/>
        <w:rPr>
          <w:rFonts w:hint="eastAsia" w:ascii="仿宋" w:hAnsi="仿宋" w:eastAsia="仿宋" w:cs="仿宋"/>
          <w:bCs/>
          <w:color w:val="auto"/>
          <w:spacing w:val="-4"/>
          <w:kern w:val="2"/>
          <w:sz w:val="21"/>
          <w:szCs w:val="21"/>
          <w:highlight w:val="none"/>
          <w:lang w:val="en-US" w:eastAsia="zh-CN" w:bidi="ar"/>
        </w:rPr>
      </w:pPr>
      <w:r>
        <w:rPr>
          <w:rFonts w:hint="eastAsia" w:ascii="仿宋" w:hAnsi="仿宋" w:eastAsia="仿宋" w:cs="仿宋"/>
          <w:bCs/>
          <w:color w:val="auto"/>
          <w:spacing w:val="-4"/>
          <w:kern w:val="2"/>
          <w:sz w:val="21"/>
          <w:szCs w:val="21"/>
          <w:highlight w:val="none"/>
          <w:lang w:val="en-US" w:eastAsia="zh-CN" w:bidi="ar"/>
        </w:rPr>
        <w:t>（8）教学及课堂健康度分析：平台结合学生绑定情况、师生活跃情况、班级活跃情况、班级互动情况综合评估教学健康度，为教学管理者提供数据参考；结合学生出勤、课堂内容、教学互动、作业考核等数据综合评估课堂健康度，为管理员提供课堂评教参考数据。</w:t>
      </w:r>
    </w:p>
    <w:p w14:paraId="63E31633">
      <w:pPr>
        <w:keepNext w:val="0"/>
        <w:keepLines w:val="0"/>
        <w:pageBreakBefore w:val="0"/>
        <w:widowControl w:val="0"/>
        <w:kinsoku/>
        <w:wordWrap/>
        <w:overflowPunct/>
        <w:topLinePunct w:val="0"/>
        <w:autoSpaceDE/>
        <w:autoSpaceDN/>
        <w:bidi w:val="0"/>
        <w:adjustRightInd/>
        <w:snapToGrid/>
        <w:spacing w:line="300" w:lineRule="auto"/>
        <w:ind w:firstLine="404" w:firstLineChars="200"/>
        <w:jc w:val="both"/>
        <w:textAlignment w:val="auto"/>
        <w:rPr>
          <w:rFonts w:hint="eastAsia" w:ascii="仿宋" w:hAnsi="仿宋" w:eastAsia="仿宋" w:cs="仿宋"/>
          <w:bCs/>
          <w:color w:val="auto"/>
          <w:spacing w:val="-4"/>
          <w:kern w:val="2"/>
          <w:sz w:val="21"/>
          <w:szCs w:val="21"/>
          <w:highlight w:val="none"/>
          <w:lang w:val="en-US" w:eastAsia="zh-CN" w:bidi="ar"/>
        </w:rPr>
      </w:pPr>
      <w:r>
        <w:rPr>
          <w:rFonts w:hint="eastAsia" w:ascii="仿宋" w:hAnsi="仿宋" w:eastAsia="仿宋" w:cs="仿宋"/>
          <w:bCs/>
          <w:color w:val="auto"/>
          <w:spacing w:val="-4"/>
          <w:kern w:val="2"/>
          <w:sz w:val="21"/>
          <w:szCs w:val="21"/>
          <w:highlight w:val="none"/>
          <w:lang w:val="en-US" w:eastAsia="zh-CN" w:bidi="ar"/>
        </w:rPr>
        <w:t>（9）支持管理员以督导身份进入正在授课的课堂，查看当前堂课的课程信息、签到情况、互动情况，观看课堂学生端实时画面，参与课堂互动，产生的学习行为数据不会被记录，不会影响老师正常教学。</w:t>
      </w:r>
    </w:p>
    <w:p w14:paraId="79744E4F">
      <w:pPr>
        <w:pStyle w:val="27"/>
        <w:keepNext w:val="0"/>
        <w:keepLines w:val="0"/>
        <w:pageBreakBefore w:val="0"/>
        <w:widowControl w:val="0"/>
        <w:numPr>
          <w:ilvl w:val="0"/>
          <w:numId w:val="0"/>
        </w:numPr>
        <w:shd w:val="clear"/>
        <w:kinsoku/>
        <w:wordWrap/>
        <w:overflowPunct/>
        <w:topLinePunct w:val="0"/>
        <w:autoSpaceDE/>
        <w:autoSpaceDN/>
        <w:bidi w:val="0"/>
        <w:adjustRightInd/>
        <w:snapToGrid/>
        <w:spacing w:line="300" w:lineRule="auto"/>
        <w:ind w:firstLine="404" w:firstLineChars="200"/>
        <w:jc w:val="both"/>
        <w:textAlignment w:val="auto"/>
        <w:rPr>
          <w:rFonts w:hint="default" w:ascii="仿宋" w:hAnsi="仿宋" w:eastAsia="仿宋" w:cs="仿宋"/>
          <w:b/>
          <w:color w:val="auto"/>
          <w:sz w:val="21"/>
          <w:szCs w:val="21"/>
          <w:highlight w:val="none"/>
          <w:lang w:val="en-US" w:eastAsia="zh-CN" w:bidi="ar"/>
        </w:rPr>
      </w:pPr>
      <w:r>
        <w:rPr>
          <w:rFonts w:hint="eastAsia" w:ascii="仿宋" w:hAnsi="仿宋" w:eastAsia="仿宋" w:cs="仿宋"/>
          <w:bCs/>
          <w:color w:val="auto"/>
          <w:spacing w:val="-4"/>
          <w:kern w:val="2"/>
          <w:sz w:val="21"/>
          <w:szCs w:val="21"/>
          <w:highlight w:val="none"/>
          <w:lang w:val="en-US" w:eastAsia="zh-CN" w:bidi="ar"/>
        </w:rPr>
        <w:t>（10）提供英文版操作界面，方便英语专业、留学生及外国师生开展混合式教学。</w:t>
      </w:r>
    </w:p>
    <w:p w14:paraId="30A90D50">
      <w:pPr>
        <w:shd w:val="clear"/>
        <w:adjustRightInd w:val="0"/>
        <w:snapToGrid w:val="0"/>
        <w:spacing w:line="288" w:lineRule="auto"/>
        <w:outlineLvl w:val="1"/>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八</w:t>
      </w:r>
      <w:r>
        <w:rPr>
          <w:rFonts w:hint="eastAsia" w:ascii="仿宋" w:hAnsi="仿宋" w:eastAsia="仿宋" w:cs="仿宋"/>
          <w:b/>
          <w:bCs/>
          <w:color w:val="auto"/>
          <w:highlight w:val="none"/>
        </w:rPr>
        <w:t>、</w:t>
      </w:r>
      <w:bookmarkEnd w:id="101"/>
      <w:bookmarkEnd w:id="102"/>
      <w:bookmarkEnd w:id="103"/>
      <w:bookmarkStart w:id="105" w:name="_Toc14478"/>
      <w:bookmarkStart w:id="106" w:name="_Toc31100"/>
      <w:r>
        <w:rPr>
          <w:rFonts w:hint="eastAsia" w:ascii="仿宋" w:hAnsi="仿宋" w:eastAsia="仿宋" w:cs="仿宋"/>
          <w:b/>
          <w:bCs/>
          <w:color w:val="auto"/>
          <w:highlight w:val="none"/>
          <w:lang w:val="en-US" w:eastAsia="zh-CN"/>
        </w:rPr>
        <w:t>商务要求</w:t>
      </w:r>
      <w:r>
        <w:rPr>
          <w:rFonts w:hint="eastAsia" w:ascii="仿宋" w:hAnsi="仿宋" w:eastAsia="仿宋" w:cs="仿宋"/>
          <w:b/>
          <w:bCs/>
          <w:color w:val="auto"/>
          <w:highlight w:val="none"/>
        </w:rPr>
        <w:t>：</w:t>
      </w:r>
    </w:p>
    <w:tbl>
      <w:tblPr>
        <w:tblStyle w:val="28"/>
        <w:tblW w:w="9637"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8102"/>
      </w:tblGrid>
      <w:tr w14:paraId="0C0CCFE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35" w:type="dxa"/>
            <w:noWrap w:val="0"/>
            <w:vAlign w:val="center"/>
          </w:tcPr>
          <w:p w14:paraId="62EEA3AE">
            <w:pPr>
              <w:shd w:val="clear"/>
              <w:adjustRightInd w:val="0"/>
              <w:snapToGrid w:val="0"/>
              <w:spacing w:line="440" w:lineRule="exact"/>
              <w:jc w:val="center"/>
              <w:rPr>
                <w:rFonts w:hint="eastAsia" w:ascii="仿宋" w:hAnsi="仿宋" w:eastAsia="仿宋" w:cs="仿宋"/>
                <w:b/>
                <w:color w:val="auto"/>
                <w:sz w:val="21"/>
                <w:szCs w:val="21"/>
                <w:highlight w:val="none"/>
              </w:rPr>
            </w:pPr>
            <w:bookmarkStart w:id="107" w:name="_Hlk45005608"/>
            <w:r>
              <w:rPr>
                <w:rFonts w:hint="eastAsia" w:ascii="仿宋" w:hAnsi="仿宋" w:eastAsia="仿宋" w:cs="仿宋"/>
                <w:b/>
                <w:color w:val="auto"/>
                <w:sz w:val="21"/>
                <w:szCs w:val="21"/>
                <w:highlight w:val="none"/>
              </w:rPr>
              <w:t>▲履约保证金</w:t>
            </w:r>
          </w:p>
        </w:tc>
        <w:tc>
          <w:tcPr>
            <w:tcW w:w="8102" w:type="dxa"/>
            <w:noWrap w:val="0"/>
            <w:vAlign w:val="center"/>
          </w:tcPr>
          <w:p w14:paraId="0A09DA8B">
            <w:pPr>
              <w:shd w:val="clear"/>
              <w:adjustRightInd w:val="0"/>
              <w:snapToGrid w:val="0"/>
              <w:spacing w:line="440" w:lineRule="exac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无</w:t>
            </w:r>
          </w:p>
        </w:tc>
      </w:tr>
      <w:tr w14:paraId="216D53B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35" w:type="dxa"/>
            <w:noWrap w:val="0"/>
            <w:vAlign w:val="center"/>
          </w:tcPr>
          <w:p w14:paraId="735C5A63">
            <w:pPr>
              <w:shd w:val="clear"/>
              <w:adjustRightInd w:val="0"/>
              <w:snapToGrid w:val="0"/>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▲付款方式</w:t>
            </w:r>
          </w:p>
        </w:tc>
        <w:tc>
          <w:tcPr>
            <w:tcW w:w="8102" w:type="dxa"/>
            <w:noWrap w:val="0"/>
            <w:vAlign w:val="center"/>
          </w:tcPr>
          <w:p w14:paraId="70953D41">
            <w:pPr>
              <w:shd w:val="clear"/>
              <w:autoSpaceDE w:val="0"/>
              <w:autoSpaceDN w:val="0"/>
              <w:adjustRightInd w:val="0"/>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1.合同生效以及具备实施条件后7个工作日内，采购人向供应商支付合同总价40%的预付款；</w:t>
            </w:r>
            <w:r>
              <w:rPr>
                <w:rFonts w:hint="eastAsia" w:ascii="仿宋" w:hAnsi="仿宋" w:eastAsia="仿宋" w:cs="仿宋"/>
                <w:color w:val="auto"/>
                <w:kern w:val="0"/>
                <w:sz w:val="21"/>
                <w:szCs w:val="21"/>
                <w:highlight w:val="none"/>
                <w:lang w:val="en-US" w:eastAsia="zh-CN"/>
              </w:rPr>
              <w:t>项目履约完成且</w:t>
            </w:r>
            <w:r>
              <w:rPr>
                <w:rFonts w:hint="eastAsia" w:ascii="仿宋" w:hAnsi="仿宋" w:eastAsia="仿宋" w:cs="仿宋"/>
                <w:color w:val="auto"/>
                <w:kern w:val="0"/>
                <w:sz w:val="21"/>
                <w:szCs w:val="21"/>
                <w:highlight w:val="none"/>
              </w:rPr>
              <w:t>采购人验收合格后，收到发票后7个工作日内，采购人向供应商支付至合同总价的100%。</w:t>
            </w:r>
          </w:p>
          <w:p w14:paraId="4501548B">
            <w:pPr>
              <w:shd w:val="clear"/>
              <w:autoSpaceDE w:val="0"/>
              <w:autoSpaceDN w:val="0"/>
              <w:adjustRightInd w:val="0"/>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2.在签订合同时，供应商明确表示无需预付款或者主动要求降低预付款比例的，可不支付或降低预付款比例。</w:t>
            </w:r>
          </w:p>
        </w:tc>
      </w:tr>
      <w:tr w14:paraId="3C350B4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35" w:type="dxa"/>
            <w:shd w:val="clear" w:color="auto" w:fill="auto"/>
            <w:noWrap w:val="0"/>
            <w:vAlign w:val="center"/>
          </w:tcPr>
          <w:p w14:paraId="5F6A365E">
            <w:pPr>
              <w:shd w:val="clear"/>
              <w:spacing w:line="360" w:lineRule="exact"/>
              <w:jc w:val="center"/>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bidi="ar"/>
              </w:rPr>
              <w:t>履约验收</w:t>
            </w:r>
          </w:p>
        </w:tc>
        <w:tc>
          <w:tcPr>
            <w:tcW w:w="8102" w:type="dxa"/>
            <w:shd w:val="clear" w:color="auto" w:fill="auto"/>
            <w:noWrap w:val="0"/>
            <w:vAlign w:val="center"/>
          </w:tcPr>
          <w:p w14:paraId="01E5CA55">
            <w:pPr>
              <w:shd w:val="clear"/>
              <w:adjustRightInd w:val="0"/>
              <w:snapToGrid w:val="0"/>
              <w:spacing w:line="288" w:lineRule="auto"/>
              <w:jc w:val="both"/>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sz w:val="21"/>
                <w:szCs w:val="21"/>
                <w:highlight w:val="none"/>
                <w:lang w:bidi="ar"/>
              </w:rPr>
              <w:t>项目</w:t>
            </w:r>
            <w:r>
              <w:rPr>
                <w:rFonts w:hint="eastAsia" w:ascii="仿宋" w:hAnsi="仿宋" w:eastAsia="仿宋" w:cs="仿宋"/>
                <w:color w:val="auto"/>
                <w:sz w:val="21"/>
                <w:szCs w:val="21"/>
                <w:highlight w:val="none"/>
                <w:lang w:val="en-US" w:eastAsia="zh-CN" w:bidi="ar"/>
              </w:rPr>
              <w:t>履约</w:t>
            </w:r>
            <w:r>
              <w:rPr>
                <w:rFonts w:hint="eastAsia" w:ascii="仿宋" w:hAnsi="仿宋" w:eastAsia="仿宋" w:cs="仿宋"/>
                <w:color w:val="auto"/>
                <w:sz w:val="21"/>
                <w:szCs w:val="21"/>
                <w:highlight w:val="none"/>
                <w:lang w:bidi="ar"/>
              </w:rPr>
              <w:t>完成以后，须向采购人提交项目验收申请，采购人</w:t>
            </w:r>
            <w:r>
              <w:rPr>
                <w:rFonts w:hint="eastAsia" w:ascii="仿宋" w:hAnsi="仿宋" w:eastAsia="仿宋" w:cs="仿宋"/>
                <w:color w:val="auto"/>
                <w:sz w:val="21"/>
                <w:szCs w:val="21"/>
                <w:highlight w:val="none"/>
                <w:lang w:val="en-US" w:eastAsia="zh-CN" w:bidi="ar"/>
              </w:rPr>
              <w:t>组织</w:t>
            </w:r>
            <w:r>
              <w:rPr>
                <w:rFonts w:hint="eastAsia" w:ascii="仿宋" w:hAnsi="仿宋" w:eastAsia="仿宋" w:cs="仿宋"/>
                <w:color w:val="auto"/>
                <w:sz w:val="21"/>
                <w:szCs w:val="21"/>
                <w:highlight w:val="none"/>
                <w:lang w:bidi="ar"/>
              </w:rPr>
              <w:t>项目验收</w:t>
            </w:r>
            <w:r>
              <w:rPr>
                <w:rFonts w:hint="eastAsia" w:ascii="仿宋" w:hAnsi="仿宋" w:eastAsia="仿宋" w:cs="仿宋"/>
                <w:color w:val="auto"/>
                <w:sz w:val="21"/>
                <w:szCs w:val="21"/>
                <w:highlight w:val="none"/>
                <w:lang w:eastAsia="zh-CN" w:bidi="ar"/>
              </w:rPr>
              <w:t>。</w:t>
            </w:r>
          </w:p>
        </w:tc>
      </w:tr>
      <w:bookmarkEnd w:id="105"/>
      <w:bookmarkEnd w:id="106"/>
      <w:bookmarkEnd w:id="107"/>
    </w:tbl>
    <w:p w14:paraId="37587AFA">
      <w:pPr>
        <w:shd w:val="clear"/>
        <w:adjustRightInd w:val="0"/>
        <w:snapToGrid w:val="0"/>
        <w:spacing w:line="288"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highlight w:val="none"/>
        </w:rPr>
        <w:br w:type="page"/>
      </w:r>
      <w:bookmarkStart w:id="108" w:name="_Toc3747"/>
      <w:bookmarkStart w:id="109" w:name="_Toc3307"/>
      <w:bookmarkStart w:id="110" w:name="_Toc4159"/>
      <w:bookmarkStart w:id="111" w:name="_Toc2083"/>
      <w:bookmarkStart w:id="112" w:name="_Toc2599"/>
      <w:bookmarkStart w:id="113" w:name="_Toc31862"/>
      <w:bookmarkStart w:id="114" w:name="_Toc31552"/>
      <w:r>
        <w:rPr>
          <w:rFonts w:hint="eastAsia" w:ascii="仿宋" w:hAnsi="仿宋" w:eastAsia="仿宋" w:cs="仿宋"/>
          <w:b/>
          <w:bCs/>
          <w:color w:val="auto"/>
          <w:sz w:val="32"/>
          <w:szCs w:val="32"/>
          <w:highlight w:val="none"/>
        </w:rPr>
        <w:t>第三章  供应商须知</w:t>
      </w:r>
      <w:bookmarkEnd w:id="108"/>
      <w:bookmarkEnd w:id="109"/>
      <w:bookmarkEnd w:id="110"/>
      <w:bookmarkEnd w:id="111"/>
      <w:bookmarkEnd w:id="112"/>
      <w:bookmarkEnd w:id="113"/>
      <w:bookmarkEnd w:id="114"/>
    </w:p>
    <w:p w14:paraId="49723F8D">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bookmarkStart w:id="115" w:name="_Toc31020"/>
      <w:bookmarkStart w:id="116" w:name="_Toc32532"/>
      <w:bookmarkStart w:id="117" w:name="_Toc19309"/>
      <w:r>
        <w:rPr>
          <w:rFonts w:hint="eastAsia" w:ascii="仿宋" w:hAnsi="仿宋" w:eastAsia="仿宋" w:cs="仿宋"/>
          <w:b/>
          <w:bCs/>
          <w:color w:val="auto"/>
          <w:sz w:val="21"/>
          <w:szCs w:val="21"/>
          <w:highlight w:val="none"/>
        </w:rPr>
        <w:t>供应商须知前附表</w:t>
      </w:r>
      <w:bookmarkEnd w:id="115"/>
      <w:bookmarkEnd w:id="116"/>
      <w:bookmarkEnd w:id="11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978"/>
        <w:gridCol w:w="6156"/>
      </w:tblGrid>
      <w:tr w14:paraId="06BA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777E34A2">
            <w:pPr>
              <w:shd w:val="clear"/>
              <w:adjustRightInd w:val="0"/>
              <w:snapToGrid w:val="0"/>
              <w:spacing w:line="44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条款号</w:t>
            </w:r>
          </w:p>
        </w:tc>
        <w:tc>
          <w:tcPr>
            <w:tcW w:w="1978" w:type="dxa"/>
            <w:noWrap w:val="0"/>
            <w:vAlign w:val="center"/>
          </w:tcPr>
          <w:p w14:paraId="25877DDC">
            <w:pPr>
              <w:shd w:val="clear"/>
              <w:adjustRightInd w:val="0"/>
              <w:snapToGrid w:val="0"/>
              <w:spacing w:line="44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内容</w:t>
            </w:r>
          </w:p>
        </w:tc>
        <w:tc>
          <w:tcPr>
            <w:tcW w:w="6156" w:type="dxa"/>
            <w:noWrap w:val="0"/>
            <w:vAlign w:val="center"/>
          </w:tcPr>
          <w:p w14:paraId="7E43C153">
            <w:pPr>
              <w:shd w:val="clear"/>
              <w:adjustRightInd w:val="0"/>
              <w:snapToGrid w:val="0"/>
              <w:spacing w:line="44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说明与要求</w:t>
            </w:r>
          </w:p>
        </w:tc>
      </w:tr>
      <w:tr w14:paraId="4B9C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12632E99">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p>
        </w:tc>
        <w:tc>
          <w:tcPr>
            <w:tcW w:w="1978" w:type="dxa"/>
            <w:noWrap w:val="0"/>
            <w:vAlign w:val="center"/>
          </w:tcPr>
          <w:p w14:paraId="519C9F6B">
            <w:pPr>
              <w:shd w:val="clear"/>
              <w:snapToGrid w:val="0"/>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w:t>
            </w:r>
          </w:p>
        </w:tc>
        <w:tc>
          <w:tcPr>
            <w:tcW w:w="6156" w:type="dxa"/>
            <w:noWrap w:val="0"/>
            <w:vAlign w:val="center"/>
          </w:tcPr>
          <w:p w14:paraId="4ECC6A32">
            <w:pPr>
              <w:shd w:val="clear"/>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sym w:font="Wingdings 2" w:char="F0A3"/>
            </w:r>
            <w:r>
              <w:rPr>
                <w:rFonts w:hint="eastAsia" w:ascii="仿宋" w:hAnsi="仿宋" w:eastAsia="仿宋" w:cs="仿宋"/>
                <w:color w:val="auto"/>
                <w:kern w:val="0"/>
                <w:sz w:val="21"/>
                <w:szCs w:val="21"/>
                <w:highlight w:val="none"/>
              </w:rPr>
              <w:t xml:space="preserve"> A</w:t>
            </w:r>
            <w:r>
              <w:rPr>
                <w:rFonts w:hint="eastAsia" w:ascii="仿宋" w:hAnsi="仿宋" w:eastAsia="仿宋" w:cs="仿宋"/>
                <w:color w:val="auto"/>
                <w:sz w:val="21"/>
                <w:szCs w:val="21"/>
                <w:highlight w:val="none"/>
              </w:rPr>
              <w:t>货物类，单一产品或</w:t>
            </w:r>
            <w:r>
              <w:rPr>
                <w:rFonts w:hint="eastAsia" w:ascii="仿宋" w:hAnsi="仿宋" w:eastAsia="仿宋" w:cs="仿宋"/>
                <w:color w:val="auto"/>
                <w:kern w:val="0"/>
                <w:sz w:val="21"/>
                <w:szCs w:val="21"/>
                <w:highlight w:val="none"/>
              </w:rPr>
              <w:t>核心产品为：</w:t>
            </w:r>
            <w:r>
              <w:rPr>
                <w:rFonts w:hint="eastAsia" w:ascii="仿宋" w:hAnsi="仿宋" w:eastAsia="仿宋" w:cs="仿宋"/>
                <w:b/>
                <w:bCs/>
                <w:color w:val="auto"/>
                <w:kern w:val="0"/>
                <w:sz w:val="21"/>
                <w:szCs w:val="21"/>
                <w:highlight w:val="none"/>
                <w:u w:val="single"/>
                <w:lang w:bidi="ar"/>
              </w:rPr>
              <w:t xml:space="preserve">  </w:t>
            </w:r>
          </w:p>
          <w:p w14:paraId="0C7774AB">
            <w:pPr>
              <w:shd w:val="clea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sym w:font="Wingdings 2" w:char="F052"/>
            </w:r>
            <w:r>
              <w:rPr>
                <w:rFonts w:hint="eastAsia" w:ascii="仿宋" w:hAnsi="仿宋" w:eastAsia="仿宋" w:cs="仿宋"/>
                <w:color w:val="auto"/>
                <w:kern w:val="0"/>
                <w:sz w:val="21"/>
                <w:szCs w:val="21"/>
                <w:highlight w:val="none"/>
              </w:rPr>
              <w:t xml:space="preserve"> B</w:t>
            </w:r>
            <w:r>
              <w:rPr>
                <w:rFonts w:hint="eastAsia" w:ascii="仿宋" w:hAnsi="仿宋" w:eastAsia="仿宋" w:cs="仿宋"/>
                <w:color w:val="auto"/>
                <w:sz w:val="21"/>
                <w:szCs w:val="21"/>
                <w:highlight w:val="none"/>
              </w:rPr>
              <w:t>服务类。</w:t>
            </w:r>
          </w:p>
        </w:tc>
      </w:tr>
      <w:tr w14:paraId="0FF3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09197962">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w:t>
            </w:r>
          </w:p>
        </w:tc>
        <w:tc>
          <w:tcPr>
            <w:tcW w:w="1978" w:type="dxa"/>
            <w:noWrap w:val="0"/>
            <w:vAlign w:val="center"/>
          </w:tcPr>
          <w:p w14:paraId="06845EAA">
            <w:pPr>
              <w:shd w:val="clear"/>
              <w:snapToGrid w:val="0"/>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采购标的对应的中小企业划分标准所属行业</w:t>
            </w:r>
          </w:p>
        </w:tc>
        <w:tc>
          <w:tcPr>
            <w:tcW w:w="6156" w:type="dxa"/>
            <w:noWrap w:val="0"/>
            <w:vAlign w:val="center"/>
          </w:tcPr>
          <w:p w14:paraId="58E9E2A8">
            <w:pPr>
              <w:shd w:val="clear"/>
              <w:snapToGrid w:val="0"/>
              <w:spacing w:line="440" w:lineRule="exact"/>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标的：</w:t>
            </w:r>
            <w:r>
              <w:rPr>
                <w:rFonts w:hint="eastAsia" w:ascii="仿宋" w:hAnsi="仿宋" w:eastAsia="仿宋" w:cs="仿宋"/>
                <w:color w:val="auto"/>
                <w:kern w:val="0"/>
                <w:sz w:val="21"/>
                <w:szCs w:val="21"/>
                <w:highlight w:val="none"/>
                <w:u w:val="single"/>
                <w:lang w:eastAsia="zh-CN"/>
              </w:rPr>
              <w:t>智慧教学工具</w:t>
            </w:r>
            <w:r>
              <w:rPr>
                <w:rFonts w:hint="eastAsia" w:ascii="仿宋" w:hAnsi="仿宋" w:eastAsia="仿宋" w:cs="仿宋"/>
                <w:color w:val="auto"/>
                <w:kern w:val="0"/>
                <w:sz w:val="21"/>
                <w:szCs w:val="21"/>
                <w:highlight w:val="none"/>
                <w:u w:val="single"/>
              </w:rPr>
              <w:t>采购</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软件和信息技术服务业</w:t>
            </w:r>
            <w:r>
              <w:rPr>
                <w:rFonts w:hint="eastAsia" w:ascii="仿宋" w:hAnsi="仿宋" w:eastAsia="仿宋" w:cs="仿宋"/>
                <w:color w:val="auto"/>
                <w:kern w:val="0"/>
                <w:sz w:val="21"/>
                <w:szCs w:val="21"/>
                <w:highlight w:val="none"/>
              </w:rPr>
              <w:t>。</w:t>
            </w:r>
          </w:p>
          <w:p w14:paraId="5C40A9E7">
            <w:pPr>
              <w:pStyle w:val="3"/>
              <w:shd w:val="clear"/>
              <w:tabs>
                <w:tab w:val="left" w:pos="432"/>
              </w:tabs>
              <w:spacing w:before="12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b/>
                <w:bCs/>
                <w:color w:val="auto"/>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667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147E9B8F">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rPr>
              <w:t>）</w:t>
            </w:r>
          </w:p>
        </w:tc>
        <w:tc>
          <w:tcPr>
            <w:tcW w:w="1978" w:type="dxa"/>
            <w:noWrap w:val="0"/>
            <w:vAlign w:val="center"/>
          </w:tcPr>
          <w:p w14:paraId="39A15658">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适用范围</w:t>
            </w:r>
          </w:p>
        </w:tc>
        <w:tc>
          <w:tcPr>
            <w:tcW w:w="6156" w:type="dxa"/>
            <w:noWrap w:val="0"/>
            <w:vAlign w:val="center"/>
          </w:tcPr>
          <w:p w14:paraId="54FB2435">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本磋商文件适用于</w:t>
            </w:r>
            <w:r>
              <w:rPr>
                <w:rFonts w:hint="eastAsia" w:ascii="仿宋" w:hAnsi="仿宋" w:eastAsia="仿宋" w:cs="仿宋"/>
                <w:color w:val="auto"/>
                <w:sz w:val="21"/>
                <w:szCs w:val="21"/>
                <w:highlight w:val="none"/>
                <w:lang w:eastAsia="zh-CN"/>
              </w:rPr>
              <w:t>浙江万里学院智慧教学工具采购</w:t>
            </w:r>
            <w:r>
              <w:rPr>
                <w:rFonts w:hint="eastAsia" w:ascii="仿宋" w:hAnsi="仿宋" w:eastAsia="仿宋" w:cs="仿宋"/>
                <w:color w:val="auto"/>
                <w:sz w:val="21"/>
                <w:szCs w:val="21"/>
                <w:highlight w:val="none"/>
              </w:rPr>
              <w:t>项目的磋商、评审、成交、验收、合同履约、付款等（法律、法规另有规定的，从其规定）。</w:t>
            </w:r>
          </w:p>
        </w:tc>
      </w:tr>
      <w:tr w14:paraId="7EC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66" w:type="dxa"/>
            <w:noWrap w:val="0"/>
            <w:vAlign w:val="center"/>
          </w:tcPr>
          <w:p w14:paraId="0EE55AA4">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四</w:t>
            </w:r>
            <w:r>
              <w:rPr>
                <w:rFonts w:hint="eastAsia" w:ascii="仿宋" w:hAnsi="仿宋" w:eastAsia="仿宋" w:cs="仿宋"/>
                <w:color w:val="auto"/>
                <w:sz w:val="21"/>
                <w:szCs w:val="21"/>
                <w:highlight w:val="none"/>
              </w:rPr>
              <w:t>）</w:t>
            </w:r>
          </w:p>
        </w:tc>
        <w:tc>
          <w:tcPr>
            <w:tcW w:w="1978" w:type="dxa"/>
            <w:noWrap w:val="0"/>
            <w:vAlign w:val="center"/>
          </w:tcPr>
          <w:p w14:paraId="55080239">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采购方式</w:t>
            </w:r>
          </w:p>
        </w:tc>
        <w:tc>
          <w:tcPr>
            <w:tcW w:w="6156" w:type="dxa"/>
            <w:noWrap w:val="0"/>
            <w:vAlign w:val="center"/>
          </w:tcPr>
          <w:p w14:paraId="0514C06C">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本次采购采用竞争性磋商（线上电子交易）方式进行。</w:t>
            </w:r>
          </w:p>
        </w:tc>
      </w:tr>
      <w:tr w14:paraId="40E1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3B4221A8">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五</w:t>
            </w:r>
            <w:r>
              <w:rPr>
                <w:rFonts w:hint="eastAsia" w:ascii="仿宋" w:hAnsi="仿宋" w:eastAsia="仿宋" w:cs="仿宋"/>
                <w:color w:val="auto"/>
                <w:sz w:val="21"/>
                <w:szCs w:val="21"/>
                <w:highlight w:val="none"/>
              </w:rPr>
              <w:t>）</w:t>
            </w:r>
          </w:p>
        </w:tc>
        <w:tc>
          <w:tcPr>
            <w:tcW w:w="1978" w:type="dxa"/>
            <w:noWrap w:val="0"/>
            <w:vAlign w:val="center"/>
          </w:tcPr>
          <w:p w14:paraId="23A621C6">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竞争性磋商委托</w:t>
            </w:r>
          </w:p>
        </w:tc>
        <w:tc>
          <w:tcPr>
            <w:tcW w:w="6156" w:type="dxa"/>
            <w:noWrap w:val="0"/>
            <w:vAlign w:val="center"/>
          </w:tcPr>
          <w:p w14:paraId="6A01A4C3">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1.▲供应商授权代表必须为供应商本单位在职职工，并提供2025年1月1日至今任意一月社保缴纳证明（授权代表为法定代表人可不提供）。</w:t>
            </w:r>
          </w:p>
          <w:p w14:paraId="6F1AAD85">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2.如供应商代表不是法定代表人，须提供法定代表人授权委托书（格式详见磋商文件第六章）。</w:t>
            </w:r>
          </w:p>
        </w:tc>
      </w:tr>
      <w:tr w14:paraId="66E5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228C1889">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六</w:t>
            </w:r>
            <w:r>
              <w:rPr>
                <w:rFonts w:hint="eastAsia" w:ascii="仿宋" w:hAnsi="仿宋" w:eastAsia="仿宋" w:cs="仿宋"/>
                <w:color w:val="auto"/>
                <w:sz w:val="21"/>
                <w:szCs w:val="21"/>
                <w:highlight w:val="none"/>
              </w:rPr>
              <w:t>）</w:t>
            </w:r>
          </w:p>
        </w:tc>
        <w:tc>
          <w:tcPr>
            <w:tcW w:w="1978" w:type="dxa"/>
            <w:noWrap w:val="0"/>
            <w:vAlign w:val="center"/>
          </w:tcPr>
          <w:p w14:paraId="64A58262">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磋商费用</w:t>
            </w:r>
          </w:p>
        </w:tc>
        <w:tc>
          <w:tcPr>
            <w:tcW w:w="6156" w:type="dxa"/>
            <w:noWrap w:val="0"/>
            <w:vAlign w:val="center"/>
          </w:tcPr>
          <w:p w14:paraId="11C687D0">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1.不论磋商结果如何，供应商均应自行承担所有与磋商有关的全部费用。</w:t>
            </w:r>
          </w:p>
          <w:p w14:paraId="51D61821">
            <w:pPr>
              <w:shd w:val="clear"/>
              <w:adjustRightInd w:val="0"/>
              <w:snapToGrid w:val="0"/>
              <w:spacing w:line="440" w:lineRule="exact"/>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rPr>
              <w:t>2.成交供应商在成交通知书发出之日起七个工作日内，向采购代理机构交纳代理服务费。</w:t>
            </w:r>
            <w:r>
              <w:rPr>
                <w:rFonts w:hint="eastAsia" w:ascii="仿宋" w:hAnsi="仿宋" w:eastAsia="仿宋" w:cs="仿宋"/>
                <w:color w:val="auto"/>
                <w:sz w:val="21"/>
                <w:szCs w:val="21"/>
                <w:highlight w:val="none"/>
                <w:lang w:bidi="ar"/>
              </w:rPr>
              <w:t>汇入以下账户 ：</w:t>
            </w:r>
          </w:p>
          <w:p w14:paraId="7933677C">
            <w:pPr>
              <w:shd w:val="clear"/>
              <w:adjustRightInd w:val="0"/>
              <w:snapToGrid w:val="0"/>
              <w:spacing w:line="440" w:lineRule="exact"/>
              <w:jc w:val="left"/>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bidi="ar"/>
              </w:rPr>
              <w:t>户 名：浙江省成套招标代理有限公司</w:t>
            </w:r>
            <w:r>
              <w:rPr>
                <w:rFonts w:hint="eastAsia" w:ascii="仿宋" w:hAnsi="仿宋" w:eastAsia="仿宋" w:cs="仿宋"/>
                <w:color w:val="auto"/>
                <w:sz w:val="21"/>
                <w:szCs w:val="21"/>
                <w:highlight w:val="none"/>
                <w:lang w:val="en-US" w:eastAsia="zh-CN" w:bidi="ar"/>
              </w:rPr>
              <w:t>宁波分公司</w:t>
            </w:r>
          </w:p>
          <w:p w14:paraId="5A37AB7E">
            <w:pPr>
              <w:shd w:val="clear"/>
              <w:adjustRightInd w:val="0"/>
              <w:snapToGrid w:val="0"/>
              <w:spacing w:line="440" w:lineRule="exact"/>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 xml:space="preserve">开 户：宁波银行明州支行 </w:t>
            </w:r>
          </w:p>
          <w:p w14:paraId="333C1B7D">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账 号：33010122000503094</w:t>
            </w:r>
          </w:p>
          <w:p w14:paraId="237ED721">
            <w:pPr>
              <w:shd w:val="clear"/>
              <w:adjustRightInd w:val="0"/>
              <w:snapToGrid w:val="0"/>
              <w:spacing w:line="440" w:lineRule="exact"/>
              <w:rPr>
                <w:rFonts w:hint="eastAsia" w:ascii="仿宋" w:hAnsi="仿宋" w:eastAsia="仿宋" w:cs="仿宋"/>
                <w:color w:val="auto"/>
                <w:sz w:val="21"/>
                <w:szCs w:val="21"/>
                <w:highlight w:val="none"/>
              </w:rPr>
            </w:pPr>
            <w:bookmarkStart w:id="118" w:name="_Hlk71808378"/>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.招标代理服务费按下表下浮25%向</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人收取，不低于3000元。</w:t>
            </w:r>
          </w:p>
          <w:bookmarkEnd w:id="118"/>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2396"/>
            </w:tblGrid>
            <w:tr w14:paraId="47A7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9" w:type="dxa"/>
                  <w:tcBorders>
                    <w:top w:val="single" w:color="auto" w:sz="4" w:space="0"/>
                    <w:left w:val="single" w:color="auto" w:sz="4" w:space="0"/>
                    <w:bottom w:val="single" w:color="auto" w:sz="4" w:space="0"/>
                    <w:right w:val="single" w:color="auto" w:sz="4" w:space="0"/>
                  </w:tcBorders>
                  <w:noWrap w:val="0"/>
                  <w:vAlign w:val="center"/>
                </w:tcPr>
                <w:p w14:paraId="38B126C0">
                  <w:pPr>
                    <w:shd w:val="clear"/>
                    <w:adjustRightInd w:val="0"/>
                    <w:snapToGrid w:val="0"/>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成交金额（万元）</w:t>
                  </w:r>
                </w:p>
              </w:tc>
              <w:tc>
                <w:tcPr>
                  <w:tcW w:w="2396" w:type="dxa"/>
                  <w:tcBorders>
                    <w:top w:val="single" w:color="auto" w:sz="4" w:space="0"/>
                    <w:left w:val="nil"/>
                    <w:bottom w:val="single" w:color="auto" w:sz="4" w:space="0"/>
                    <w:right w:val="single" w:color="auto" w:sz="4" w:space="0"/>
                  </w:tcBorders>
                  <w:noWrap w:val="0"/>
                  <w:vAlign w:val="center"/>
                </w:tcPr>
                <w:p w14:paraId="2A73AB0F">
                  <w:pPr>
                    <w:shd w:val="clear"/>
                    <w:adjustRightInd w:val="0"/>
                    <w:snapToGrid w:val="0"/>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收费标准（费率，%）</w:t>
                  </w:r>
                </w:p>
              </w:tc>
            </w:tr>
            <w:tr w14:paraId="2424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9" w:type="dxa"/>
                  <w:tcBorders>
                    <w:top w:val="single" w:color="auto" w:sz="4" w:space="0"/>
                    <w:left w:val="single" w:color="auto" w:sz="4" w:space="0"/>
                    <w:bottom w:val="single" w:color="auto" w:sz="4" w:space="0"/>
                    <w:right w:val="single" w:color="auto" w:sz="4" w:space="0"/>
                  </w:tcBorders>
                  <w:noWrap w:val="0"/>
                  <w:vAlign w:val="center"/>
                </w:tcPr>
                <w:p w14:paraId="2B554875">
                  <w:pPr>
                    <w:shd w:val="clear"/>
                    <w:adjustRightInd w:val="0"/>
                    <w:snapToGrid w:val="0"/>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100以下</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w:t>
                  </w:r>
                </w:p>
              </w:tc>
              <w:tc>
                <w:tcPr>
                  <w:tcW w:w="2396" w:type="dxa"/>
                  <w:tcBorders>
                    <w:top w:val="single" w:color="auto" w:sz="4" w:space="0"/>
                    <w:left w:val="nil"/>
                    <w:bottom w:val="single" w:color="auto" w:sz="4" w:space="0"/>
                    <w:right w:val="single" w:color="auto" w:sz="4" w:space="0"/>
                  </w:tcBorders>
                  <w:noWrap w:val="0"/>
                  <w:vAlign w:val="center"/>
                </w:tcPr>
                <w:p w14:paraId="5F2F63AF">
                  <w:pPr>
                    <w:shd w:val="clear"/>
                    <w:adjustRightInd w:val="0"/>
                    <w:snapToGrid w:val="0"/>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r>
            <w:tr w14:paraId="6F3C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9" w:type="dxa"/>
                  <w:tcBorders>
                    <w:top w:val="single" w:color="auto" w:sz="4" w:space="0"/>
                    <w:left w:val="single" w:color="auto" w:sz="4" w:space="0"/>
                    <w:bottom w:val="single" w:color="auto" w:sz="4" w:space="0"/>
                    <w:right w:val="single" w:color="auto" w:sz="4" w:space="0"/>
                  </w:tcBorders>
                  <w:noWrap w:val="0"/>
                  <w:vAlign w:val="center"/>
                </w:tcPr>
                <w:p w14:paraId="30D961B9">
                  <w:pPr>
                    <w:shd w:val="clear"/>
                    <w:adjustRightInd w:val="0"/>
                    <w:snapToGrid w:val="0"/>
                    <w:spacing w:line="440" w:lineRule="exact"/>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rPr>
                    <w:t>100-500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w:t>
                  </w:r>
                </w:p>
              </w:tc>
              <w:tc>
                <w:tcPr>
                  <w:tcW w:w="2396" w:type="dxa"/>
                  <w:tcBorders>
                    <w:top w:val="single" w:color="auto" w:sz="4" w:space="0"/>
                    <w:left w:val="nil"/>
                    <w:bottom w:val="single" w:color="auto" w:sz="4" w:space="0"/>
                    <w:right w:val="single" w:color="auto" w:sz="4" w:space="0"/>
                  </w:tcBorders>
                  <w:noWrap w:val="0"/>
                  <w:vAlign w:val="center"/>
                </w:tcPr>
                <w:p w14:paraId="474C8864">
                  <w:pPr>
                    <w:shd w:val="clear"/>
                    <w:adjustRightInd w:val="0"/>
                    <w:snapToGrid w:val="0"/>
                    <w:spacing w:line="440" w:lineRule="exact"/>
                    <w:jc w:val="center"/>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rPr>
                    <w:t>0.9</w:t>
                  </w:r>
                </w:p>
              </w:tc>
            </w:tr>
          </w:tbl>
          <w:p w14:paraId="41B6F8EA">
            <w:pPr>
              <w:shd w:val="clear"/>
              <w:adjustRightInd w:val="0"/>
              <w:snapToGrid w:val="0"/>
              <w:spacing w:line="440" w:lineRule="exact"/>
              <w:ind w:firstLine="420" w:firstLineChars="200"/>
              <w:jc w:val="left"/>
              <w:rPr>
                <w:rFonts w:hint="eastAsia" w:ascii="仿宋" w:hAnsi="仿宋" w:eastAsia="仿宋" w:cs="仿宋"/>
                <w:color w:val="auto"/>
                <w:sz w:val="21"/>
                <w:szCs w:val="21"/>
                <w:highlight w:val="none"/>
              </w:rPr>
            </w:pPr>
          </w:p>
        </w:tc>
      </w:tr>
      <w:tr w14:paraId="6A49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46401A5B">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七</w:t>
            </w:r>
            <w:r>
              <w:rPr>
                <w:rFonts w:hint="eastAsia" w:ascii="仿宋" w:hAnsi="仿宋" w:eastAsia="仿宋" w:cs="仿宋"/>
                <w:color w:val="auto"/>
                <w:sz w:val="21"/>
                <w:szCs w:val="21"/>
                <w:highlight w:val="none"/>
              </w:rPr>
              <w:t>）</w:t>
            </w:r>
          </w:p>
        </w:tc>
        <w:tc>
          <w:tcPr>
            <w:tcW w:w="1978" w:type="dxa"/>
            <w:noWrap w:val="0"/>
            <w:vAlign w:val="center"/>
          </w:tcPr>
          <w:p w14:paraId="00E9BE26">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磋商保证金（元）</w:t>
            </w:r>
          </w:p>
        </w:tc>
        <w:tc>
          <w:tcPr>
            <w:tcW w:w="6156" w:type="dxa"/>
            <w:noWrap w:val="0"/>
            <w:vAlign w:val="center"/>
          </w:tcPr>
          <w:p w14:paraId="6B3B1981">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w:t>
            </w:r>
          </w:p>
        </w:tc>
      </w:tr>
      <w:tr w14:paraId="603C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0015525E">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八</w:t>
            </w:r>
            <w:r>
              <w:rPr>
                <w:rFonts w:hint="eastAsia" w:ascii="仿宋" w:hAnsi="仿宋" w:eastAsia="仿宋" w:cs="仿宋"/>
                <w:color w:val="auto"/>
                <w:sz w:val="21"/>
                <w:szCs w:val="21"/>
                <w:highlight w:val="none"/>
              </w:rPr>
              <w:t>）</w:t>
            </w:r>
          </w:p>
        </w:tc>
        <w:tc>
          <w:tcPr>
            <w:tcW w:w="1978" w:type="dxa"/>
            <w:noWrap w:val="0"/>
            <w:vAlign w:val="center"/>
          </w:tcPr>
          <w:p w14:paraId="25D16B1C">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联合体响应</w:t>
            </w:r>
          </w:p>
        </w:tc>
        <w:tc>
          <w:tcPr>
            <w:tcW w:w="6156" w:type="dxa"/>
            <w:noWrap w:val="0"/>
            <w:vAlign w:val="center"/>
          </w:tcPr>
          <w:p w14:paraId="71AF444E">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接受联合体响应。</w:t>
            </w:r>
          </w:p>
        </w:tc>
      </w:tr>
      <w:tr w14:paraId="6587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4BCB504A">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九</w:t>
            </w:r>
            <w:r>
              <w:rPr>
                <w:rFonts w:hint="eastAsia" w:ascii="仿宋" w:hAnsi="仿宋" w:eastAsia="仿宋" w:cs="仿宋"/>
                <w:color w:val="auto"/>
                <w:sz w:val="21"/>
                <w:szCs w:val="21"/>
                <w:highlight w:val="none"/>
              </w:rPr>
              <w:t>）</w:t>
            </w:r>
          </w:p>
        </w:tc>
        <w:tc>
          <w:tcPr>
            <w:tcW w:w="1978" w:type="dxa"/>
            <w:noWrap w:val="0"/>
            <w:vAlign w:val="center"/>
          </w:tcPr>
          <w:p w14:paraId="044E5E6A">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转包与分包</w:t>
            </w:r>
          </w:p>
        </w:tc>
        <w:tc>
          <w:tcPr>
            <w:tcW w:w="6156" w:type="dxa"/>
            <w:noWrap w:val="0"/>
            <w:vAlign w:val="center"/>
          </w:tcPr>
          <w:p w14:paraId="7C5B8173">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1.本项目不允许转包。</w:t>
            </w:r>
          </w:p>
          <w:p w14:paraId="0E04CE97">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允许分包，不适宜分包的理由是：</w:t>
            </w:r>
            <w:r>
              <w:rPr>
                <w:rFonts w:hint="eastAsia" w:ascii="仿宋" w:hAnsi="仿宋" w:eastAsia="仿宋" w:cs="仿宋"/>
                <w:color w:val="auto"/>
                <w:sz w:val="21"/>
                <w:szCs w:val="21"/>
                <w:highlight w:val="none"/>
                <w:u w:val="single"/>
              </w:rPr>
              <w:t>服务内容整体不可分割</w:t>
            </w:r>
            <w:r>
              <w:rPr>
                <w:rFonts w:hint="eastAsia" w:ascii="仿宋" w:hAnsi="仿宋" w:eastAsia="仿宋" w:cs="仿宋"/>
                <w:color w:val="auto"/>
                <w:sz w:val="21"/>
                <w:szCs w:val="21"/>
                <w:highlight w:val="none"/>
              </w:rPr>
              <w:t>。</w:t>
            </w:r>
          </w:p>
        </w:tc>
      </w:tr>
      <w:tr w14:paraId="5A9D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6979B895">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w:t>
            </w:r>
          </w:p>
        </w:tc>
        <w:tc>
          <w:tcPr>
            <w:tcW w:w="1978" w:type="dxa"/>
            <w:noWrap w:val="0"/>
            <w:vAlign w:val="center"/>
          </w:tcPr>
          <w:p w14:paraId="08B5E2F2">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信用记录</w:t>
            </w:r>
          </w:p>
        </w:tc>
        <w:tc>
          <w:tcPr>
            <w:tcW w:w="6156" w:type="dxa"/>
            <w:noWrap w:val="0"/>
            <w:vAlign w:val="center"/>
          </w:tcPr>
          <w:p w14:paraId="0E363EB0">
            <w:pPr>
              <w:shd w:val="clear"/>
              <w:adjustRightInd w:val="0"/>
              <w:snapToGrid w:val="0"/>
              <w:spacing w:line="440" w:lineRule="exact"/>
              <w:rPr>
                <w:rFonts w:hint="eastAsia" w:ascii="仿宋" w:hAnsi="仿宋" w:eastAsia="仿宋" w:cs="仿宋"/>
                <w:bCs/>
                <w:color w:val="auto"/>
                <w:sz w:val="21"/>
                <w:szCs w:val="21"/>
                <w:highlight w:val="none"/>
              </w:rPr>
            </w:pPr>
            <w:bookmarkStart w:id="119" w:name="_Hlk71808489"/>
            <w:r>
              <w:rPr>
                <w:rFonts w:hint="eastAsia" w:ascii="仿宋" w:hAnsi="仿宋" w:eastAsia="仿宋" w:cs="仿宋"/>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ascii="仿宋" w:hAnsi="仿宋" w:eastAsia="仿宋" w:cs="仿宋"/>
                <w:color w:val="auto"/>
                <w:sz w:val="21"/>
                <w:szCs w:val="21"/>
                <w:highlight w:val="none"/>
              </w:rPr>
              <w:t>信息查询的截止时点：响应截止时间。</w:t>
            </w:r>
          </w:p>
          <w:bookmarkEnd w:id="119"/>
          <w:p w14:paraId="3C2F6559">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（1）查询渠道：“信用中国”（www.creditchina.gov.cn）、“中国政府采购网”（www.ccgp.gov.cn）。</w:t>
            </w:r>
          </w:p>
          <w:p w14:paraId="0C7B8DD6">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（2）信用信息查询记录和证据留存具体方式：现场查询的供应商的信用记录、查询结果经确认后将与采购文件一起存档。</w:t>
            </w:r>
          </w:p>
          <w:p w14:paraId="34550523">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（3）信用信息的使用规则：供应商被列入失信被执行人、</w:t>
            </w:r>
            <w:r>
              <w:rPr>
                <w:rFonts w:hint="eastAsia" w:ascii="仿宋" w:hAnsi="仿宋" w:eastAsia="仿宋" w:cs="仿宋"/>
                <w:color w:val="auto"/>
                <w:sz w:val="21"/>
                <w:szCs w:val="21"/>
                <w:highlight w:val="none"/>
                <w:lang w:eastAsia="zh-CN"/>
              </w:rPr>
              <w:t>重大税收违法失信主体</w:t>
            </w:r>
            <w:r>
              <w:rPr>
                <w:rFonts w:hint="eastAsia" w:ascii="仿宋" w:hAnsi="仿宋" w:eastAsia="仿宋" w:cs="仿宋"/>
                <w:color w:val="auto"/>
                <w:sz w:val="21"/>
                <w:szCs w:val="21"/>
                <w:highlight w:val="none"/>
              </w:rPr>
              <w:t>、政府采购严重违法失信行为记录名单的，拒绝其参与政府采购活动。</w:t>
            </w:r>
          </w:p>
          <w:p w14:paraId="3248DDD9">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005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6B46734C">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w:t>
            </w:r>
            <w:r>
              <w:rPr>
                <w:rFonts w:hint="eastAsia" w:ascii="仿宋" w:hAnsi="仿宋" w:eastAsia="仿宋" w:cs="仿宋"/>
                <w:color w:val="auto"/>
                <w:sz w:val="21"/>
                <w:szCs w:val="21"/>
                <w:highlight w:val="none"/>
                <w:lang w:val="en-US" w:eastAsia="zh-CN"/>
              </w:rPr>
              <w:t>一</w:t>
            </w:r>
            <w:r>
              <w:rPr>
                <w:rFonts w:hint="eastAsia" w:ascii="仿宋" w:hAnsi="仿宋" w:eastAsia="仿宋" w:cs="仿宋"/>
                <w:color w:val="auto"/>
                <w:sz w:val="21"/>
                <w:szCs w:val="21"/>
                <w:highlight w:val="none"/>
              </w:rPr>
              <w:t>）</w:t>
            </w:r>
          </w:p>
        </w:tc>
        <w:tc>
          <w:tcPr>
            <w:tcW w:w="1978" w:type="dxa"/>
            <w:noWrap w:val="0"/>
            <w:vAlign w:val="center"/>
          </w:tcPr>
          <w:p w14:paraId="688C3D4F">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资格审查要求的资格证明材料</w:t>
            </w:r>
          </w:p>
        </w:tc>
        <w:tc>
          <w:tcPr>
            <w:tcW w:w="6156" w:type="dxa"/>
            <w:noWrap w:val="0"/>
            <w:vAlign w:val="center"/>
          </w:tcPr>
          <w:p w14:paraId="67E7120E">
            <w:pPr>
              <w:shd w:val="clear"/>
              <w:adjustRightInd w:val="0"/>
              <w:snapToGrid w:val="0"/>
              <w:spacing w:line="44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资格审查要求的资格证明材料(均需加盖公章)：</w:t>
            </w:r>
          </w:p>
          <w:p w14:paraId="28BEA2B4">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（1）符合参加政府采购活动应当具备的一般条件的承诺函。</w:t>
            </w:r>
          </w:p>
          <w:p w14:paraId="279E6CE3">
            <w:pPr>
              <w:shd w:val="clear"/>
              <w:adjustRightInd w:val="0"/>
              <w:snapToGrid w:val="0"/>
              <w:spacing w:line="44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（2）落实政府采购政策需满足的资格要求：</w:t>
            </w:r>
            <w:r>
              <w:rPr>
                <w:rFonts w:hint="eastAsia" w:ascii="仿宋" w:hAnsi="仿宋" w:eastAsia="仿宋" w:cs="仿宋"/>
                <w:color w:val="auto"/>
                <w:sz w:val="21"/>
                <w:szCs w:val="21"/>
                <w:highlight w:val="none"/>
                <w:lang w:val="en-US" w:eastAsia="zh-CN"/>
              </w:rPr>
              <w:t>无。</w:t>
            </w:r>
          </w:p>
          <w:p w14:paraId="3E6A3B6D">
            <w:pPr>
              <w:shd w:val="clear"/>
              <w:adjustRightInd w:val="0"/>
              <w:snapToGrid w:val="0"/>
              <w:spacing w:line="440" w:lineRule="exact"/>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（3）本项目的特定资格要求证明材料：无。</w:t>
            </w:r>
          </w:p>
        </w:tc>
      </w:tr>
      <w:tr w14:paraId="5906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2A9CD156">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w:t>
            </w: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rPr>
              <w:t>）</w:t>
            </w:r>
          </w:p>
        </w:tc>
        <w:tc>
          <w:tcPr>
            <w:tcW w:w="1978" w:type="dxa"/>
            <w:noWrap w:val="0"/>
            <w:vAlign w:val="center"/>
          </w:tcPr>
          <w:p w14:paraId="70447F39">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响应文件份数</w:t>
            </w:r>
          </w:p>
        </w:tc>
        <w:tc>
          <w:tcPr>
            <w:tcW w:w="6156" w:type="dxa"/>
            <w:noWrap w:val="0"/>
            <w:vAlign w:val="center"/>
          </w:tcPr>
          <w:p w14:paraId="6B4DCCDA">
            <w:pPr>
              <w:shd w:val="clear"/>
              <w:adjustRightInd w:val="0"/>
              <w:snapToGrid w:val="0"/>
              <w:spacing w:line="44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电子加密响应文件：政府采购云平台在线上传一份。</w:t>
            </w:r>
          </w:p>
          <w:p w14:paraId="609D493A">
            <w:pPr>
              <w:shd w:val="clear"/>
              <w:adjustRightInd w:val="0"/>
              <w:snapToGrid w:val="0"/>
              <w:spacing w:line="44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备份响应文件：响应文件开启时间前送达（邮寄地址：</w:t>
            </w:r>
            <w:r>
              <w:rPr>
                <w:rFonts w:hint="eastAsia" w:ascii="仿宋" w:hAnsi="仿宋" w:eastAsia="仿宋" w:cs="仿宋"/>
                <w:b/>
                <w:bCs/>
                <w:color w:val="auto"/>
                <w:sz w:val="21"/>
                <w:szCs w:val="21"/>
                <w:highlight w:val="none"/>
                <w:lang w:val="en-US" w:eastAsia="zh-CN"/>
              </w:rPr>
              <w:t>宁波市海曙区翠柏路89号公共培训平台C座8楼</w:t>
            </w:r>
            <w:r>
              <w:rPr>
                <w:rFonts w:hint="eastAsia" w:ascii="仿宋" w:hAnsi="仿宋" w:eastAsia="仿宋" w:cs="仿宋"/>
                <w:b/>
                <w:bCs/>
                <w:color w:val="auto"/>
                <w:sz w:val="21"/>
                <w:szCs w:val="21"/>
                <w:highlight w:val="none"/>
              </w:rPr>
              <w:t>，浙江省成套招标代理有限公司（</w:t>
            </w:r>
            <w:r>
              <w:rPr>
                <w:rFonts w:hint="eastAsia" w:ascii="仿宋" w:hAnsi="仿宋" w:eastAsia="仿宋" w:cs="仿宋"/>
                <w:b/>
                <w:bCs/>
                <w:color w:val="auto"/>
                <w:sz w:val="21"/>
                <w:szCs w:val="21"/>
                <w:highlight w:val="none"/>
                <w:lang w:val="en-US" w:eastAsia="zh-CN"/>
              </w:rPr>
              <w:t>马倩倩</w:t>
            </w:r>
            <w:r>
              <w:rPr>
                <w:rFonts w:hint="eastAsia" w:ascii="仿宋" w:hAnsi="仿宋" w:eastAsia="仿宋" w:cs="仿宋"/>
                <w:b/>
                <w:bCs/>
                <w:color w:val="auto"/>
                <w:sz w:val="21"/>
                <w:szCs w:val="21"/>
                <w:highlight w:val="none"/>
              </w:rPr>
              <w:t>）收，电话：</w:t>
            </w:r>
            <w:r>
              <w:rPr>
                <w:rFonts w:hint="eastAsia" w:ascii="仿宋" w:hAnsi="仿宋" w:eastAsia="仿宋" w:cs="仿宋"/>
                <w:b/>
                <w:bCs/>
                <w:color w:val="auto"/>
                <w:sz w:val="21"/>
                <w:szCs w:val="21"/>
                <w:highlight w:val="none"/>
                <w:lang w:val="en-US" w:eastAsia="zh-CN"/>
              </w:rPr>
              <w:t>13396671730</w:t>
            </w:r>
            <w:r>
              <w:rPr>
                <w:rFonts w:hint="eastAsia" w:ascii="仿宋" w:hAnsi="仿宋" w:eastAsia="仿宋" w:cs="仿宋"/>
                <w:b/>
                <w:bCs/>
                <w:color w:val="auto"/>
                <w:sz w:val="21"/>
                <w:szCs w:val="21"/>
                <w:highlight w:val="none"/>
              </w:rPr>
              <w:t>，寄出后将（快递单号、项目名称、公司名称、联系方式等相关信息）发至</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475993598@qq</w:t>
            </w:r>
            <w:r>
              <w:rPr>
                <w:rFonts w:hint="eastAsia" w:ascii="仿宋" w:hAnsi="仿宋" w:eastAsia="仿宋" w:cs="仿宋"/>
                <w:b/>
                <w:bCs/>
                <w:color w:val="auto"/>
                <w:sz w:val="21"/>
                <w:szCs w:val="21"/>
                <w:highlight w:val="none"/>
              </w:rPr>
              <w:t>.com，以便查收）。</w:t>
            </w:r>
          </w:p>
          <w:p w14:paraId="1BE9EB27">
            <w:pPr>
              <w:shd w:val="clear"/>
              <w:adjustRightInd w:val="0"/>
              <w:snapToGrid w:val="0"/>
              <w:spacing w:line="44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特别说明：双休日和法定节假日不收件，供应商自行承担邮寄风险。采购人、采购机构不强制或变相强制投标人提交备份投标文件。</w:t>
            </w:r>
          </w:p>
        </w:tc>
      </w:tr>
      <w:tr w14:paraId="2B84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3CF7A345">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（十五）</w:t>
            </w:r>
          </w:p>
        </w:tc>
        <w:tc>
          <w:tcPr>
            <w:tcW w:w="1978" w:type="dxa"/>
            <w:noWrap w:val="0"/>
            <w:vAlign w:val="center"/>
          </w:tcPr>
          <w:p w14:paraId="21616B81">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磋商报价</w:t>
            </w:r>
          </w:p>
        </w:tc>
        <w:tc>
          <w:tcPr>
            <w:tcW w:w="6156" w:type="dxa"/>
            <w:noWrap w:val="0"/>
            <w:vAlign w:val="center"/>
          </w:tcPr>
          <w:p w14:paraId="16A9CA03">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1.报价应按磋商文件要求的格式编制、填写报价内容（可自行增行），未按磋商文件要求编制、填写的响应文件可能被拒绝。</w:t>
            </w:r>
          </w:p>
          <w:p w14:paraId="094EEBC6">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2.本次磋商采用人民币报价。</w:t>
            </w:r>
          </w:p>
          <w:p w14:paraId="7B388619">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3.最后磋商报价是履行合同的最终价格。</w:t>
            </w:r>
          </w:p>
          <w:p w14:paraId="525C989C">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▲4.采购人将以合同形式有偿取得货物或服务，不接受供应商给予的赠品、回扣或者与采购无关的其他商品、服务。</w:t>
            </w:r>
          </w:p>
          <w:p w14:paraId="3A3A52DC">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5.供应商初次报价低于项目预算50%的，应当在报价文件中提供“报价不影响产品质量或者诚信履约”的说明材料。最终报价低于50%的，应当在最终报价环节提供“报价不影响产品质量或者诚信履约”的说明材料。</w:t>
            </w:r>
          </w:p>
        </w:tc>
      </w:tr>
      <w:tr w14:paraId="1DF4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5E4E4A91">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（十六）</w:t>
            </w:r>
          </w:p>
        </w:tc>
        <w:tc>
          <w:tcPr>
            <w:tcW w:w="1978" w:type="dxa"/>
            <w:noWrap w:val="0"/>
            <w:vAlign w:val="center"/>
          </w:tcPr>
          <w:p w14:paraId="1C98E9B9">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响应有效期</w:t>
            </w:r>
          </w:p>
        </w:tc>
        <w:tc>
          <w:tcPr>
            <w:tcW w:w="6156" w:type="dxa"/>
            <w:noWrap w:val="0"/>
            <w:vAlign w:val="center"/>
          </w:tcPr>
          <w:p w14:paraId="0F1BBB14">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▲从提交响应文件的截止之日起90天。在原响应有效期满之前，如果出现特殊情况，采购人或采购代理机构以书面形式通知供应商延长响应有效期。</w:t>
            </w:r>
          </w:p>
        </w:tc>
      </w:tr>
      <w:tr w14:paraId="07CE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56D6DD3A">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（十七）</w:t>
            </w:r>
          </w:p>
        </w:tc>
        <w:tc>
          <w:tcPr>
            <w:tcW w:w="1978" w:type="dxa"/>
            <w:noWrap w:val="0"/>
            <w:vAlign w:val="center"/>
          </w:tcPr>
          <w:p w14:paraId="00CA6305">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评审方法和评审标准</w:t>
            </w:r>
          </w:p>
        </w:tc>
        <w:tc>
          <w:tcPr>
            <w:tcW w:w="6156" w:type="dxa"/>
            <w:noWrap w:val="0"/>
            <w:vAlign w:val="center"/>
          </w:tcPr>
          <w:p w14:paraId="555B103E">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详见“第四章 评审方法和评审标准”。</w:t>
            </w:r>
          </w:p>
        </w:tc>
      </w:tr>
      <w:tr w14:paraId="7C54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3D554D01">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（十八）</w:t>
            </w:r>
          </w:p>
        </w:tc>
        <w:tc>
          <w:tcPr>
            <w:tcW w:w="1978" w:type="dxa"/>
            <w:noWrap w:val="0"/>
            <w:vAlign w:val="center"/>
          </w:tcPr>
          <w:p w14:paraId="43E19F03">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评审结果公示</w:t>
            </w:r>
          </w:p>
        </w:tc>
        <w:tc>
          <w:tcPr>
            <w:tcW w:w="6156" w:type="dxa"/>
            <w:noWrap w:val="0"/>
            <w:vAlign w:val="center"/>
          </w:tcPr>
          <w:p w14:paraId="43BE747F">
            <w:pPr>
              <w:shd w:val="clear"/>
              <w:adjustRightInd w:val="0"/>
              <w:snapToGrid w:val="0"/>
              <w:spacing w:line="44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评审结果公示媒体：浙江政府采（http://zfcg.czt.zj.gov.cn）。</w:t>
            </w:r>
          </w:p>
        </w:tc>
      </w:tr>
      <w:tr w14:paraId="672A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53F5B6D0">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（十九）</w:t>
            </w:r>
          </w:p>
        </w:tc>
        <w:tc>
          <w:tcPr>
            <w:tcW w:w="1978" w:type="dxa"/>
            <w:noWrap w:val="0"/>
            <w:vAlign w:val="center"/>
          </w:tcPr>
          <w:p w14:paraId="177DA307">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签订合同</w:t>
            </w:r>
          </w:p>
        </w:tc>
        <w:tc>
          <w:tcPr>
            <w:tcW w:w="6156" w:type="dxa"/>
            <w:noWrap w:val="0"/>
            <w:vAlign w:val="center"/>
          </w:tcPr>
          <w:p w14:paraId="39338986">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成交通知书发出之日起30日内。</w:t>
            </w:r>
          </w:p>
        </w:tc>
      </w:tr>
      <w:tr w14:paraId="0D40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4F50E58F">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（二十）</w:t>
            </w:r>
          </w:p>
        </w:tc>
        <w:tc>
          <w:tcPr>
            <w:tcW w:w="1978" w:type="dxa"/>
            <w:noWrap w:val="0"/>
            <w:vAlign w:val="center"/>
          </w:tcPr>
          <w:p w14:paraId="3595B351">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采购计划文号</w:t>
            </w:r>
          </w:p>
        </w:tc>
        <w:tc>
          <w:tcPr>
            <w:tcW w:w="6156" w:type="dxa"/>
            <w:noWrap w:val="0"/>
            <w:vAlign w:val="center"/>
          </w:tcPr>
          <w:p w14:paraId="6FBC09AE">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[2025]42861号</w:t>
            </w:r>
          </w:p>
        </w:tc>
      </w:tr>
      <w:tr w14:paraId="057F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vMerge w:val="restart"/>
            <w:noWrap w:val="0"/>
            <w:vAlign w:val="center"/>
          </w:tcPr>
          <w:p w14:paraId="331DA082">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（二十一）</w:t>
            </w:r>
          </w:p>
        </w:tc>
        <w:tc>
          <w:tcPr>
            <w:tcW w:w="1978" w:type="dxa"/>
            <w:vMerge w:val="restart"/>
            <w:noWrap w:val="0"/>
            <w:vAlign w:val="center"/>
          </w:tcPr>
          <w:p w14:paraId="1E80DDA8">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特别说明</w:t>
            </w:r>
          </w:p>
        </w:tc>
        <w:tc>
          <w:tcPr>
            <w:tcW w:w="6156" w:type="dxa"/>
            <w:noWrap w:val="0"/>
            <w:vAlign w:val="center"/>
          </w:tcPr>
          <w:p w14:paraId="1B1792B3">
            <w:pPr>
              <w:shd w:val="clear"/>
              <w:spacing w:line="440" w:lineRule="exact"/>
              <w:rPr>
                <w:rFonts w:hint="eastAsia" w:ascii="仿宋" w:hAnsi="仿宋" w:eastAsia="仿宋" w:cs="仿宋"/>
                <w:snapToGrid w:val="0"/>
                <w:color w:val="auto"/>
                <w:kern w:val="28"/>
                <w:sz w:val="21"/>
                <w:szCs w:val="21"/>
                <w:highlight w:val="none"/>
              </w:rPr>
            </w:pPr>
            <w:r>
              <w:rPr>
                <w:rFonts w:hint="eastAsia" w:ascii="仿宋" w:hAnsi="仿宋" w:eastAsia="仿宋" w:cs="仿宋"/>
                <w:color w:val="auto"/>
                <w:kern w:val="0"/>
                <w:sz w:val="21"/>
                <w:szCs w:val="21"/>
                <w:highlight w:val="none"/>
              </w:rPr>
              <w:sym w:font="Wingdings" w:char="00A8"/>
            </w:r>
            <w:r>
              <w:rPr>
                <w:rFonts w:hint="eastAsia" w:ascii="仿宋" w:hAnsi="仿宋" w:eastAsia="仿宋" w:cs="仿宋"/>
                <w:snapToGrid w:val="0"/>
                <w:color w:val="auto"/>
                <w:kern w:val="28"/>
                <w:sz w:val="21"/>
                <w:szCs w:val="21"/>
                <w:highlight w:val="none"/>
              </w:rPr>
              <w:t>联合体响应的，联合体各方分别提供与联合体协议中规定的分工内容相应的业绩证明材料，业绩数量以提供材料较少的一方为准。</w:t>
            </w:r>
          </w:p>
          <w:p w14:paraId="7A185E01">
            <w:pPr>
              <w:shd w:val="clear"/>
              <w:spacing w:line="440" w:lineRule="exact"/>
              <w:rPr>
                <w:rFonts w:hint="eastAsia" w:ascii="仿宋" w:hAnsi="仿宋" w:eastAsia="仿宋" w:cs="仿宋"/>
                <w:snapToGrid w:val="0"/>
                <w:color w:val="auto"/>
                <w:kern w:val="28"/>
                <w:sz w:val="21"/>
                <w:szCs w:val="21"/>
                <w:highlight w:val="none"/>
              </w:rPr>
            </w:pPr>
            <w:r>
              <w:rPr>
                <w:rFonts w:hint="eastAsia" w:ascii="仿宋" w:hAnsi="仿宋" w:eastAsia="仿宋" w:cs="仿宋"/>
                <w:color w:val="auto"/>
                <w:kern w:val="0"/>
                <w:sz w:val="21"/>
                <w:szCs w:val="21"/>
                <w:highlight w:val="none"/>
              </w:rPr>
              <w:sym w:font="Wingdings" w:char="00A8"/>
            </w:r>
            <w:r>
              <w:rPr>
                <w:rFonts w:hint="eastAsia" w:ascii="仿宋" w:hAnsi="仿宋" w:eastAsia="仿宋" w:cs="仿宋"/>
                <w:color w:val="auto"/>
                <w:kern w:val="28"/>
                <w:sz w:val="21"/>
                <w:szCs w:val="21"/>
                <w:highlight w:val="none"/>
              </w:rPr>
              <w:t>联合体响应的，由联合体牵头方出具相应的业绩证明材料。</w:t>
            </w:r>
          </w:p>
        </w:tc>
      </w:tr>
      <w:tr w14:paraId="689F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vMerge w:val="continue"/>
            <w:noWrap w:val="0"/>
            <w:vAlign w:val="center"/>
          </w:tcPr>
          <w:p w14:paraId="5DA06CED">
            <w:pPr>
              <w:shd w:val="clear"/>
              <w:adjustRightInd w:val="0"/>
              <w:snapToGrid w:val="0"/>
              <w:spacing w:line="440" w:lineRule="exact"/>
              <w:jc w:val="center"/>
              <w:rPr>
                <w:rFonts w:hint="eastAsia" w:ascii="仿宋" w:hAnsi="仿宋" w:eastAsia="仿宋" w:cs="仿宋"/>
                <w:color w:val="auto"/>
                <w:sz w:val="21"/>
                <w:szCs w:val="21"/>
                <w:highlight w:val="none"/>
              </w:rPr>
            </w:pPr>
          </w:p>
        </w:tc>
        <w:tc>
          <w:tcPr>
            <w:tcW w:w="1978" w:type="dxa"/>
            <w:vMerge w:val="continue"/>
            <w:noWrap w:val="0"/>
            <w:vAlign w:val="center"/>
          </w:tcPr>
          <w:p w14:paraId="7D548D78">
            <w:pPr>
              <w:shd w:val="clear"/>
              <w:adjustRightInd w:val="0"/>
              <w:snapToGrid w:val="0"/>
              <w:spacing w:line="440" w:lineRule="exact"/>
              <w:jc w:val="center"/>
              <w:rPr>
                <w:rFonts w:hint="eastAsia" w:ascii="仿宋" w:hAnsi="仿宋" w:eastAsia="仿宋" w:cs="仿宋"/>
                <w:color w:val="auto"/>
                <w:sz w:val="21"/>
                <w:szCs w:val="21"/>
                <w:highlight w:val="none"/>
              </w:rPr>
            </w:pPr>
          </w:p>
        </w:tc>
        <w:tc>
          <w:tcPr>
            <w:tcW w:w="6156" w:type="dxa"/>
            <w:noWrap w:val="0"/>
            <w:vAlign w:val="center"/>
          </w:tcPr>
          <w:p w14:paraId="3DCF5AA8">
            <w:pPr>
              <w:shd w:val="clear"/>
              <w:spacing w:line="440" w:lineRule="exact"/>
              <w:rPr>
                <w:rFonts w:hint="eastAsia" w:ascii="仿宋" w:hAnsi="仿宋" w:eastAsia="仿宋" w:cs="仿宋"/>
                <w:snapToGrid w:val="0"/>
                <w:color w:val="auto"/>
                <w:kern w:val="28"/>
                <w:sz w:val="21"/>
                <w:szCs w:val="21"/>
                <w:highlight w:val="none"/>
              </w:rPr>
            </w:pPr>
            <w:r>
              <w:rPr>
                <w:rFonts w:hint="eastAsia" w:ascii="仿宋" w:hAnsi="仿宋" w:eastAsia="仿宋" w:cs="仿宋"/>
                <w:color w:val="auto"/>
                <w:kern w:val="0"/>
                <w:sz w:val="21"/>
                <w:szCs w:val="21"/>
                <w:highlight w:val="none"/>
              </w:rPr>
              <w:sym w:font="Wingdings" w:char="00A8"/>
            </w:r>
            <w:r>
              <w:rPr>
                <w:rFonts w:hint="eastAsia" w:ascii="仿宋" w:hAnsi="仿宋" w:eastAsia="仿宋" w:cs="仿宋"/>
                <w:snapToGrid w:val="0"/>
                <w:color w:val="auto"/>
                <w:kern w:val="28"/>
                <w:sz w:val="21"/>
                <w:szCs w:val="21"/>
                <w:highlight w:val="none"/>
              </w:rPr>
              <w:t>联合体响应的，联合体各方均需按磋商文件第四部分评审标准要求提供资信证明文件，否则视为不符合相关要求。</w:t>
            </w:r>
          </w:p>
          <w:p w14:paraId="5EBBD31C">
            <w:pPr>
              <w:shd w:val="clea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sym w:font="Wingdings" w:char="00A8"/>
            </w:r>
            <w:r>
              <w:rPr>
                <w:rFonts w:hint="eastAsia" w:ascii="仿宋" w:hAnsi="仿宋" w:eastAsia="仿宋" w:cs="仿宋"/>
                <w:snapToGrid w:val="0"/>
                <w:color w:val="auto"/>
                <w:kern w:val="28"/>
                <w:sz w:val="21"/>
                <w:szCs w:val="21"/>
                <w:highlight w:val="none"/>
              </w:rPr>
              <w:t>联合体响应的，联合体中有一方或者联合体成员根据分工按磋商文件第四部分评审标准要求提供资信证明文件的，视为符合了相关要求。</w:t>
            </w:r>
          </w:p>
        </w:tc>
      </w:tr>
    </w:tbl>
    <w:p w14:paraId="79F94277">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bookmarkStart w:id="120" w:name="_Toc20531"/>
      <w:bookmarkStart w:id="121" w:name="_Toc8486"/>
      <w:bookmarkStart w:id="122" w:name="_Toc20158"/>
      <w:r>
        <w:rPr>
          <w:rFonts w:hint="eastAsia" w:ascii="仿宋" w:hAnsi="仿宋" w:eastAsia="仿宋" w:cs="仿宋"/>
          <w:b/>
          <w:bCs/>
          <w:color w:val="auto"/>
          <w:sz w:val="21"/>
          <w:szCs w:val="21"/>
          <w:highlight w:val="none"/>
          <w:lang w:bidi="ar"/>
        </w:rPr>
        <w:t>一、总则</w:t>
      </w:r>
      <w:bookmarkEnd w:id="120"/>
      <w:bookmarkEnd w:id="121"/>
      <w:bookmarkEnd w:id="122"/>
    </w:p>
    <w:p w14:paraId="47C9617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供应商应仔细阅读磋商文件的所有内容，按照磋商文件的要求提交响应文件，并对所提供的全部资料的真实性承担法律责任。</w:t>
      </w:r>
    </w:p>
    <w:p w14:paraId="6CC5EB23">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123" w:name="_Toc20845"/>
      <w:r>
        <w:rPr>
          <w:rFonts w:hint="eastAsia" w:ascii="仿宋" w:hAnsi="仿宋" w:eastAsia="仿宋" w:cs="仿宋"/>
          <w:b/>
          <w:bCs/>
          <w:color w:val="auto"/>
          <w:sz w:val="21"/>
          <w:szCs w:val="21"/>
          <w:highlight w:val="none"/>
          <w:lang w:bidi="ar"/>
        </w:rPr>
        <w:t>（一）适用范围</w:t>
      </w:r>
      <w:bookmarkEnd w:id="123"/>
    </w:p>
    <w:p w14:paraId="78DBEC20">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本磋商文件适用</w:t>
      </w:r>
      <w:r>
        <w:rPr>
          <w:rFonts w:hint="eastAsia" w:ascii="仿宋" w:hAnsi="仿宋" w:eastAsia="仿宋" w:cs="仿宋"/>
          <w:b/>
          <w:bCs/>
          <w:color w:val="auto"/>
          <w:sz w:val="21"/>
          <w:szCs w:val="21"/>
          <w:highlight w:val="none"/>
          <w:lang w:eastAsia="zh-CN" w:bidi="ar"/>
        </w:rPr>
        <w:t>智慧教学工具</w:t>
      </w:r>
      <w:r>
        <w:rPr>
          <w:rFonts w:hint="eastAsia" w:ascii="仿宋" w:hAnsi="仿宋" w:eastAsia="仿宋" w:cs="仿宋"/>
          <w:b/>
          <w:bCs/>
          <w:color w:val="auto"/>
          <w:sz w:val="21"/>
          <w:szCs w:val="21"/>
          <w:highlight w:val="none"/>
          <w:lang w:bidi="ar"/>
        </w:rPr>
        <w:t>采购</w:t>
      </w:r>
      <w:r>
        <w:rPr>
          <w:rFonts w:hint="eastAsia" w:ascii="仿宋" w:hAnsi="仿宋" w:eastAsia="仿宋" w:cs="仿宋"/>
          <w:color w:val="auto"/>
          <w:sz w:val="21"/>
          <w:szCs w:val="21"/>
          <w:highlight w:val="none"/>
          <w:lang w:bidi="ar"/>
        </w:rPr>
        <w:t>项目的磋商、评审、成交、验收、合同履约、付款等（法律、法规另有规定的，从其规定）。</w:t>
      </w:r>
    </w:p>
    <w:p w14:paraId="17C22E87">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124" w:name="_Toc1771"/>
      <w:r>
        <w:rPr>
          <w:rFonts w:hint="eastAsia" w:ascii="仿宋" w:hAnsi="仿宋" w:eastAsia="仿宋" w:cs="仿宋"/>
          <w:b/>
          <w:bCs/>
          <w:color w:val="auto"/>
          <w:sz w:val="21"/>
          <w:szCs w:val="21"/>
          <w:highlight w:val="none"/>
          <w:lang w:bidi="ar"/>
        </w:rPr>
        <w:t>（二）定义</w:t>
      </w:r>
      <w:bookmarkEnd w:id="124"/>
    </w:p>
    <w:p w14:paraId="204B1C9B">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1.“采购人”系指</w:t>
      </w:r>
      <w:r>
        <w:rPr>
          <w:rFonts w:hint="eastAsia" w:ascii="仿宋" w:hAnsi="仿宋" w:eastAsia="仿宋" w:cs="仿宋"/>
          <w:color w:val="auto"/>
          <w:sz w:val="21"/>
          <w:szCs w:val="21"/>
          <w:highlight w:val="none"/>
          <w:lang w:eastAsia="zh-CN" w:bidi="ar"/>
        </w:rPr>
        <w:t>浙江万里学院</w:t>
      </w:r>
      <w:r>
        <w:rPr>
          <w:rFonts w:hint="eastAsia" w:ascii="仿宋" w:hAnsi="仿宋" w:eastAsia="仿宋" w:cs="仿宋"/>
          <w:color w:val="auto"/>
          <w:sz w:val="21"/>
          <w:szCs w:val="21"/>
          <w:highlight w:val="none"/>
          <w:lang w:bidi="ar"/>
        </w:rPr>
        <w:t>。</w:t>
      </w:r>
    </w:p>
    <w:p w14:paraId="72C1B2C5">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2.“采购代理机构”系指组织本次竞争性磋商的浙江省成套招标代理有限公司。</w:t>
      </w:r>
    </w:p>
    <w:p w14:paraId="0E85BB7C">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3.“供应商”系指提交响应文件和报价、参与竞争性磋商采购活动的法人、其他组织或者自然人。</w:t>
      </w:r>
    </w:p>
    <w:p w14:paraId="559A407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4.“负责人”系指法人企业的法定负责人，或其他组织为法律、行政法规规定代表单位行使职权的主要负责人，或自然人本人。</w:t>
      </w:r>
    </w:p>
    <w:p w14:paraId="016A9F7B">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5.“书面形式”包括合同书、信件和数据电文(包括电报、电传、传真、电子数据交换和电子邮件)等可以有形地表现所载内容的形式。</w:t>
      </w:r>
    </w:p>
    <w:p w14:paraId="1CF01579">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6.“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09C0BBEC">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7.“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14:paraId="5E43845B">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磋商文件对响应文件签署、盖章的要求适用于电子签名。</w:t>
      </w:r>
    </w:p>
    <w:p w14:paraId="45600D2C">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8.“▲”系指实质性要求条款，“★”系指重要技术指标。“</w:t>
      </w:r>
      <w:r>
        <w:rPr>
          <w:rFonts w:hint="eastAsia" w:ascii="仿宋" w:hAnsi="仿宋" w:eastAsia="仿宋" w:cs="仿宋"/>
          <w:color w:val="auto"/>
          <w:kern w:val="0"/>
          <w:sz w:val="21"/>
          <w:szCs w:val="21"/>
          <w:highlight w:val="none"/>
        </w:rPr>
        <w:sym w:font="Wingdings" w:char="00FE"/>
      </w:r>
      <w:r>
        <w:rPr>
          <w:rFonts w:hint="eastAsia" w:ascii="仿宋" w:hAnsi="仿宋" w:eastAsia="仿宋" w:cs="仿宋"/>
          <w:color w:val="auto"/>
          <w:sz w:val="21"/>
          <w:szCs w:val="21"/>
          <w:highlight w:val="none"/>
          <w:lang w:bidi="ar"/>
        </w:rPr>
        <w:t>” 系指适用本项目的要求，“</w:t>
      </w:r>
      <w:r>
        <w:rPr>
          <w:rFonts w:hint="eastAsia" w:ascii="仿宋" w:hAnsi="仿宋" w:eastAsia="仿宋" w:cs="仿宋"/>
          <w:color w:val="auto"/>
          <w:kern w:val="0"/>
          <w:sz w:val="21"/>
          <w:szCs w:val="21"/>
          <w:highlight w:val="none"/>
        </w:rPr>
        <w:sym w:font="Wingdings" w:char="00A8"/>
      </w:r>
      <w:r>
        <w:rPr>
          <w:rFonts w:hint="eastAsia" w:ascii="仿宋" w:hAnsi="仿宋" w:eastAsia="仿宋" w:cs="仿宋"/>
          <w:color w:val="auto"/>
          <w:sz w:val="21"/>
          <w:szCs w:val="21"/>
          <w:highlight w:val="none"/>
          <w:lang w:bidi="ar"/>
        </w:rPr>
        <w:t>” 系指不适用本项目的要求。</w:t>
      </w:r>
    </w:p>
    <w:p w14:paraId="11D9026E">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125" w:name="_Toc17284"/>
      <w:r>
        <w:rPr>
          <w:rFonts w:hint="eastAsia" w:ascii="仿宋" w:hAnsi="仿宋" w:eastAsia="仿宋" w:cs="仿宋"/>
          <w:b/>
          <w:bCs/>
          <w:color w:val="auto"/>
          <w:sz w:val="21"/>
          <w:szCs w:val="21"/>
          <w:highlight w:val="none"/>
          <w:lang w:bidi="ar"/>
        </w:rPr>
        <w:t>（三）采购方式</w:t>
      </w:r>
      <w:bookmarkEnd w:id="125"/>
    </w:p>
    <w:p w14:paraId="4B64F4CD">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本次采购采用竞争性磋商（线上电子交易）方式进行。</w:t>
      </w:r>
    </w:p>
    <w:p w14:paraId="321894FC">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126" w:name="_Toc30063"/>
      <w:r>
        <w:rPr>
          <w:rFonts w:hint="eastAsia" w:ascii="仿宋" w:hAnsi="仿宋" w:eastAsia="仿宋" w:cs="仿宋"/>
          <w:b/>
          <w:bCs/>
          <w:color w:val="auto"/>
          <w:sz w:val="21"/>
          <w:szCs w:val="21"/>
          <w:highlight w:val="none"/>
          <w:lang w:bidi="ar"/>
        </w:rPr>
        <w:t>（四）竞争性磋商委托</w:t>
      </w:r>
      <w:bookmarkEnd w:id="126"/>
    </w:p>
    <w:p w14:paraId="383FDAEE">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1.▲供应商授权代表必须为供应商本单位在职职工，并提供2025年1月1日至今任意一月社保缴纳证明（授权代表为法定代表人可不提供）。</w:t>
      </w:r>
    </w:p>
    <w:p w14:paraId="5A20A0D0">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2.▲如供应商代表不是法定代表人，须提供法定代表人授权委托书（格式详见磋商文件第六章）。</w:t>
      </w:r>
    </w:p>
    <w:p w14:paraId="5BF53697">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127" w:name="_Toc27578"/>
      <w:r>
        <w:rPr>
          <w:rFonts w:hint="eastAsia" w:ascii="仿宋" w:hAnsi="仿宋" w:eastAsia="仿宋" w:cs="仿宋"/>
          <w:b/>
          <w:bCs/>
          <w:color w:val="auto"/>
          <w:sz w:val="21"/>
          <w:szCs w:val="21"/>
          <w:highlight w:val="none"/>
          <w:lang w:bidi="ar"/>
        </w:rPr>
        <w:t>（五）磋商费用</w:t>
      </w:r>
      <w:bookmarkEnd w:id="127"/>
    </w:p>
    <w:p w14:paraId="4BC10C2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1.不论磋商结果如何，供应商均应自行承担所有与磋商有关的全部费用。</w:t>
      </w:r>
    </w:p>
    <w:p w14:paraId="31C0BAC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2.成交供应商在成交通知书发出之日起七个工作日内，向采购代理机构交纳代理服务费。</w:t>
      </w:r>
    </w:p>
    <w:p w14:paraId="77EEA25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3.成交供应商逾期支付代理服务费，须承担代理服务费每日百分之三的违约金，逾期十日未支付的，采购代理机构有权向</w:t>
      </w:r>
      <w:r>
        <w:rPr>
          <w:rFonts w:hint="eastAsia" w:ascii="仿宋" w:hAnsi="仿宋" w:eastAsia="仿宋" w:cs="仿宋"/>
          <w:color w:val="auto"/>
          <w:sz w:val="21"/>
          <w:szCs w:val="21"/>
          <w:highlight w:val="none"/>
          <w:lang w:val="en-US" w:eastAsia="zh-CN" w:bidi="ar"/>
        </w:rPr>
        <w:t>宁波</w:t>
      </w:r>
      <w:r>
        <w:rPr>
          <w:rFonts w:hint="eastAsia" w:ascii="仿宋" w:hAnsi="仿宋" w:eastAsia="仿宋" w:cs="仿宋"/>
          <w:color w:val="auto"/>
          <w:sz w:val="21"/>
          <w:szCs w:val="21"/>
          <w:highlight w:val="none"/>
          <w:lang w:bidi="ar"/>
        </w:rPr>
        <w:t>仲裁委员会对成交供应商提起仲裁，仲裁费用（包括仲裁受理费和仲裁处理费）均由成交供应商承担。</w:t>
      </w:r>
    </w:p>
    <w:p w14:paraId="0FE1E99D">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4.代理服务费收费标准（差额累进）：详见须知前附表。</w:t>
      </w:r>
    </w:p>
    <w:p w14:paraId="18E6D56D">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5.磋商保证金（元）：无。</w:t>
      </w:r>
    </w:p>
    <w:p w14:paraId="5CEAAF4A">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128" w:name="_Toc23335"/>
      <w:r>
        <w:rPr>
          <w:rFonts w:hint="eastAsia" w:ascii="仿宋" w:hAnsi="仿宋" w:eastAsia="仿宋" w:cs="仿宋"/>
          <w:b/>
          <w:bCs/>
          <w:color w:val="auto"/>
          <w:sz w:val="21"/>
          <w:szCs w:val="21"/>
          <w:highlight w:val="none"/>
          <w:lang w:bidi="ar"/>
        </w:rPr>
        <w:t>（六）联合体响应</w:t>
      </w:r>
      <w:bookmarkEnd w:id="128"/>
    </w:p>
    <w:p w14:paraId="01EF96B5">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bookmarkStart w:id="129" w:name="_Toc29347"/>
      <w:r>
        <w:rPr>
          <w:rFonts w:hint="eastAsia" w:ascii="仿宋" w:hAnsi="仿宋" w:eastAsia="仿宋" w:cs="仿宋"/>
          <w:color w:val="auto"/>
          <w:sz w:val="21"/>
          <w:szCs w:val="21"/>
          <w:highlight w:val="none"/>
          <w:lang w:bidi="ar"/>
        </w:rPr>
        <w:t>1.是否接受联合体响应：详见《第一章 竞争性磋商公告》。</w:t>
      </w:r>
    </w:p>
    <w:p w14:paraId="3554ED9F">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2.接受联合体响应的，组成联合体的各方应遵守以下规定：</w:t>
      </w:r>
    </w:p>
    <w:p w14:paraId="671A2FBE">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两个以上的自然人、法人或者其他组织可以组成一个联合体，以一个供应商的身份共同参加政府采购。以联合体形式参加政府采购的，应当在响应文件中提交《联合协议》，载明联合体各方承担的工作和义务。未提交有效的《联合协议》的联合体投标无效。</w:t>
      </w:r>
    </w:p>
    <w:p w14:paraId="6BAF9975">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（2）联合体各方应当共同与采购人签订采购合同，就采购合同约定的事项对采购人承担连带责任。</w:t>
      </w:r>
    </w:p>
    <w:p w14:paraId="1819FA65">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联合体中有同类资质的供应商按照联合体分工承担相同工作的，按照资质等级较低的供应商确定资质等级（联合体投标的，联合体各方分别提供与联合体协议中规定的分工内容相应的业绩证明材料，业绩数量以提供材料较少的一方为准）。以联合体形式参加政府采购活动的，联合体各方不得再单独参加或者与其他供应商另外组成联合体参加同一合同项下的政府采购活动。以联合体形式参加政府采购活动，联合体各方均为中小企业的，联合体视同中小企业。其中，联合体各方均为小微企业的，联合体视同小微企业。</w:t>
      </w:r>
    </w:p>
    <w:p w14:paraId="38737118">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5D1AA2AF">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（5）联合体形式参加政府采购的，履约保证金、采购代理服务费可由牵头人（主办方）一方缴纳，也可以由联合体各方按联合投标协议书约定共同缴纳。</w:t>
      </w:r>
    </w:p>
    <w:p w14:paraId="41D81100">
      <w:pPr>
        <w:shd w:val="clear"/>
        <w:adjustRightInd w:val="0"/>
        <w:snapToGrid w:val="0"/>
        <w:spacing w:line="360" w:lineRule="auto"/>
        <w:outlineLvl w:val="2"/>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（七）转包与分包</w:t>
      </w:r>
      <w:bookmarkEnd w:id="129"/>
    </w:p>
    <w:p w14:paraId="5CAA7B51">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1.本项目不允许转包。</w:t>
      </w:r>
    </w:p>
    <w:p w14:paraId="53D198C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2.本项目不允许分包，不适宜分包的理由是：</w:t>
      </w:r>
      <w:r>
        <w:rPr>
          <w:rFonts w:hint="eastAsia" w:ascii="仿宋" w:hAnsi="仿宋" w:eastAsia="仿宋" w:cs="仿宋"/>
          <w:color w:val="auto"/>
          <w:sz w:val="21"/>
          <w:szCs w:val="21"/>
          <w:highlight w:val="none"/>
          <w:u w:val="single"/>
          <w:lang w:bidi="ar"/>
        </w:rPr>
        <w:t>服务内容整体不可分割</w:t>
      </w:r>
      <w:r>
        <w:rPr>
          <w:rFonts w:hint="eastAsia" w:ascii="仿宋" w:hAnsi="仿宋" w:eastAsia="仿宋" w:cs="仿宋"/>
          <w:color w:val="auto"/>
          <w:sz w:val="21"/>
          <w:szCs w:val="21"/>
          <w:highlight w:val="none"/>
        </w:rPr>
        <w:t>。</w:t>
      </w:r>
    </w:p>
    <w:p w14:paraId="2305C2F4">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130" w:name="_Toc9434"/>
      <w:r>
        <w:rPr>
          <w:rFonts w:hint="eastAsia" w:ascii="仿宋" w:hAnsi="仿宋" w:eastAsia="仿宋" w:cs="仿宋"/>
          <w:b/>
          <w:bCs/>
          <w:color w:val="auto"/>
          <w:sz w:val="21"/>
          <w:szCs w:val="21"/>
          <w:highlight w:val="none"/>
          <w:lang w:bidi="ar"/>
        </w:rPr>
        <w:t>（八）质疑和投诉</w:t>
      </w:r>
      <w:bookmarkEnd w:id="130"/>
    </w:p>
    <w:p w14:paraId="3B9E6365">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1.供应商认为采购文件、采购过程、中标或者成交结果使自己的权益受到损害的，可以在知道或者应知其权益受到损害之日起7个工作日内，</w:t>
      </w:r>
      <w:r>
        <w:rPr>
          <w:rFonts w:hint="eastAsia" w:ascii="仿宋" w:hAnsi="仿宋" w:eastAsia="仿宋" w:cs="仿宋"/>
          <w:color w:val="auto"/>
          <w:sz w:val="21"/>
          <w:szCs w:val="21"/>
          <w:highlight w:val="none"/>
        </w:rPr>
        <w:t>以书面形式向采购代理机构提出质疑</w:t>
      </w:r>
      <w:r>
        <w:rPr>
          <w:rFonts w:hint="eastAsia" w:ascii="仿宋" w:hAnsi="仿宋" w:eastAsia="仿宋" w:cs="仿宋"/>
          <w:color w:val="auto"/>
          <w:sz w:val="21"/>
          <w:szCs w:val="21"/>
          <w:highlight w:val="none"/>
          <w:lang w:bidi="ar"/>
        </w:rPr>
        <w:t>。质疑供应商对采购人、采购代理机构的答复不满意，或者采购人、采购代理机构未在规定时间内作出答复的，可以在答复期满后15个工作日内向采购公告中载明的政府采购监督管理部门提起投诉。</w:t>
      </w:r>
    </w:p>
    <w:p w14:paraId="23E8DA42">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2.供应商提出质疑应当提交质疑函和必要的证明材料，质疑函范本、投诉书范本请到浙江政府采购网下载专区下载。质疑函应当包括下列内容：</w:t>
      </w:r>
    </w:p>
    <w:p w14:paraId="747F634B">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（1）供应商的姓名或者名称、地址、邮编、联系人及联系电话。</w:t>
      </w:r>
    </w:p>
    <w:p w14:paraId="14C53FE1">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（2）质疑项目的名称、编号。</w:t>
      </w:r>
    </w:p>
    <w:p w14:paraId="4E998437">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（3）具体、明确的质疑事项和与质疑事项相关的请求。</w:t>
      </w:r>
    </w:p>
    <w:p w14:paraId="07F726E1">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（4）事实依据。</w:t>
      </w:r>
    </w:p>
    <w:p w14:paraId="444C2A09">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（5）必要的法律依据。</w:t>
      </w:r>
    </w:p>
    <w:p w14:paraId="38136A4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（6）提出质疑的日期。</w:t>
      </w:r>
    </w:p>
    <w:p w14:paraId="5262E327">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供应商为自然人的，应当由本人签名。供应商为法人或者其他组织的，应当由法定代表人、主要负责人，或者其授权代表签名或者盖章，并加盖公章。</w:t>
      </w:r>
    </w:p>
    <w:p w14:paraId="3C134E85">
      <w:pPr>
        <w:shd w:val="clear"/>
        <w:adjustRightInd w:val="0"/>
        <w:snapToGrid w:val="0"/>
        <w:spacing w:line="360"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bidi="ar"/>
        </w:rPr>
        <w:t>3.提出质疑的供应商应当是参与本项目磋商响应活动的供应商。</w:t>
      </w:r>
      <w:r>
        <w:rPr>
          <w:rFonts w:hint="eastAsia" w:ascii="仿宋" w:hAnsi="仿宋" w:eastAsia="仿宋" w:cs="仿宋"/>
          <w:b/>
          <w:bCs/>
          <w:color w:val="auto"/>
          <w:sz w:val="21"/>
          <w:szCs w:val="21"/>
          <w:highlight w:val="none"/>
          <w:lang w:bidi="ar"/>
        </w:rPr>
        <w:t>供应商在法定质疑期内应一次性提出针对同一采购程序环节的质疑。</w:t>
      </w:r>
    </w:p>
    <w:p w14:paraId="64774719">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4.根据《政府采购质疑和投诉办法》第三十七条的规定，投诉人在全国范围12个月内三次以上投诉查无实据的，由财政部门列入不良行为记录名单。</w:t>
      </w:r>
    </w:p>
    <w:p w14:paraId="5A6F349C">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投诉人有下列行为之一的，属于虚假、恶意投诉，由财政部门列入不良行为记录名单，禁止其1至3年内参加政府采购活动：</w:t>
      </w:r>
    </w:p>
    <w:p w14:paraId="7ACA01C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（1）捏造事实。</w:t>
      </w:r>
    </w:p>
    <w:p w14:paraId="646189BD">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（2）提供虚假材料。</w:t>
      </w:r>
    </w:p>
    <w:p w14:paraId="15836BB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（3）以非法手段取得证明材料。证据来源的合法性存在明显疑问，投诉人无法证明其取得方式合法的，视为以非法手段取得证明材料。</w:t>
      </w:r>
    </w:p>
    <w:p w14:paraId="179B9EE3">
      <w:pPr>
        <w:shd w:val="clear"/>
        <w:adjustRightInd w:val="0"/>
        <w:snapToGrid w:val="0"/>
        <w:spacing w:line="360" w:lineRule="auto"/>
        <w:outlineLvl w:val="2"/>
        <w:rPr>
          <w:rFonts w:hint="eastAsia" w:ascii="仿宋" w:hAnsi="仿宋" w:eastAsia="仿宋" w:cs="仿宋"/>
          <w:b/>
          <w:color w:val="auto"/>
          <w:kern w:val="0"/>
          <w:sz w:val="21"/>
          <w:szCs w:val="21"/>
          <w:highlight w:val="none"/>
        </w:rPr>
      </w:pPr>
      <w:bookmarkStart w:id="131" w:name="_Toc26211"/>
      <w:r>
        <w:rPr>
          <w:rFonts w:hint="eastAsia" w:ascii="仿宋" w:hAnsi="仿宋" w:eastAsia="仿宋" w:cs="仿宋"/>
          <w:b/>
          <w:color w:val="auto"/>
          <w:kern w:val="0"/>
          <w:sz w:val="21"/>
          <w:szCs w:val="21"/>
          <w:highlight w:val="none"/>
          <w:lang w:bidi="ar"/>
        </w:rPr>
        <w:t>（九）采购项目需要落实的政府采购政策</w:t>
      </w:r>
      <w:bookmarkEnd w:id="131"/>
    </w:p>
    <w:p w14:paraId="13437300">
      <w:pPr>
        <w:shd w:val="clear"/>
        <w:adjustRightInd w:val="0"/>
        <w:snapToGrid w:val="0"/>
        <w:spacing w:line="360" w:lineRule="auto"/>
        <w:ind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1.支持中小企业发展</w:t>
      </w:r>
    </w:p>
    <w:p w14:paraId="0FF4ED3C">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2021FC3">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符合中小企业划分标准的个体工商户，在政府采购活动中视同中小企业。</w:t>
      </w:r>
    </w:p>
    <w:p w14:paraId="32BC3AFA">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在政府采购活动中，供应商提供的货物、工程或者服务符合下列情形的，享受中小企业扶持政策：</w:t>
      </w:r>
    </w:p>
    <w:p w14:paraId="712DC482">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05844BE">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在货物采购项目中，供应商提供的货物既有中小企业制造货物，也有大型企业制造货物的，不享受中小企业扶持政策。</w:t>
      </w:r>
    </w:p>
    <w:p w14:paraId="2BB05A7D">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以联合体形式参加政府采购活动，联合体各方均为中小企业的，联合体视同中小企业。其中，联合体各方均为小微企业的，联合体视同小微企业。</w:t>
      </w:r>
    </w:p>
    <w:p w14:paraId="1CDB80C5">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CA33E48">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bidi="ar"/>
        </w:rPr>
        <w:t>符合《关于促进残疾人就业政府采购政策的通知》（财库〔2017〕141号）规定的条件并提供《残疾人福利性单位声明函》的残疾人福利性单位视同小型、微型企业。</w:t>
      </w:r>
    </w:p>
    <w:p w14:paraId="7ECC4196">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bidi="ar"/>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75F8AF6">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52C5AC6">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中小企业享受扶持政策获得政府采购合同的，小微企业不得将合同分包给大中型企业，中型企业不得将合同分包给大型企业。</w:t>
      </w:r>
    </w:p>
    <w:p w14:paraId="4C110B63">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0CA84C45">
      <w:pPr>
        <w:shd w:val="clear"/>
        <w:adjustRightInd w:val="0"/>
        <w:snapToGrid w:val="0"/>
        <w:spacing w:line="360" w:lineRule="auto"/>
        <w:rPr>
          <w:rFonts w:hint="eastAsia" w:ascii="仿宋" w:hAnsi="仿宋" w:eastAsia="仿宋" w:cs="仿宋"/>
          <w:color w:val="auto"/>
          <w:sz w:val="21"/>
          <w:szCs w:val="21"/>
          <w:highlight w:val="none"/>
        </w:rPr>
      </w:pPr>
    </w:p>
    <w:p w14:paraId="4BE73169">
      <w:pPr>
        <w:shd w:val="clear"/>
        <w:adjustRightInd w:val="0"/>
        <w:snapToGrid w:val="0"/>
        <w:spacing w:line="360" w:lineRule="auto"/>
        <w:jc w:val="center"/>
        <w:outlineLvl w:val="1"/>
        <w:rPr>
          <w:rFonts w:hint="eastAsia" w:ascii="仿宋" w:hAnsi="仿宋" w:eastAsia="仿宋" w:cs="仿宋"/>
          <w:b/>
          <w:bCs/>
          <w:color w:val="auto"/>
          <w:sz w:val="21"/>
          <w:szCs w:val="21"/>
          <w:highlight w:val="none"/>
        </w:rPr>
      </w:pPr>
      <w:bookmarkStart w:id="132" w:name="_Toc4366"/>
      <w:bookmarkStart w:id="133" w:name="_Toc4778"/>
      <w:bookmarkStart w:id="134" w:name="_Toc22518"/>
      <w:r>
        <w:rPr>
          <w:rFonts w:hint="eastAsia" w:ascii="仿宋" w:hAnsi="仿宋" w:eastAsia="仿宋" w:cs="仿宋"/>
          <w:b/>
          <w:bCs/>
          <w:color w:val="auto"/>
          <w:sz w:val="21"/>
          <w:szCs w:val="21"/>
          <w:highlight w:val="none"/>
          <w:lang w:bidi="ar"/>
        </w:rPr>
        <w:br w:type="page"/>
      </w:r>
      <w:r>
        <w:rPr>
          <w:rFonts w:hint="eastAsia" w:ascii="仿宋" w:hAnsi="仿宋" w:eastAsia="仿宋" w:cs="仿宋"/>
          <w:b/>
          <w:bCs/>
          <w:color w:val="auto"/>
          <w:sz w:val="21"/>
          <w:szCs w:val="21"/>
          <w:highlight w:val="none"/>
          <w:lang w:bidi="ar"/>
        </w:rPr>
        <w:t>二、磋商文件</w:t>
      </w:r>
      <w:bookmarkEnd w:id="132"/>
      <w:bookmarkEnd w:id="133"/>
      <w:bookmarkEnd w:id="134"/>
    </w:p>
    <w:p w14:paraId="4F7832D5">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（一）磋商文件的构成</w:t>
      </w:r>
    </w:p>
    <w:p w14:paraId="11F4DEA5">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本磋商文件由以下部分组成：</w:t>
      </w:r>
    </w:p>
    <w:p w14:paraId="6130024A">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1.采购邀请。</w:t>
      </w:r>
    </w:p>
    <w:p w14:paraId="79555E9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2.采购需求。</w:t>
      </w:r>
    </w:p>
    <w:p w14:paraId="2856258F">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3.供应商须知</w:t>
      </w:r>
    </w:p>
    <w:p w14:paraId="781FF41B">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4.评审方法和评审标准。</w:t>
      </w:r>
    </w:p>
    <w:p w14:paraId="763EC3DE">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5.拟签订的合同文本。</w:t>
      </w:r>
    </w:p>
    <w:p w14:paraId="5737C79A">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6.响应文件格式。</w:t>
      </w:r>
    </w:p>
    <w:p w14:paraId="0A356FCA">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7.本项目磋商文件的澄清、答复、修改、补充的内容。</w:t>
      </w:r>
    </w:p>
    <w:p w14:paraId="67A97854">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（二）供应商的风险</w:t>
      </w:r>
    </w:p>
    <w:p w14:paraId="608EF650">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供应商没有按照磋商文件要求提供全部资料，或者供应商没有对磋商文件在各方面作出实质性响应是供应商的风险，并可能导致其响应被拒绝。</w:t>
      </w:r>
    </w:p>
    <w:p w14:paraId="73F213FC">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（三）磋商文件的澄清与修改</w:t>
      </w:r>
    </w:p>
    <w:p w14:paraId="1ECDF1BF">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1.已获取采购文件的潜在供应商，若有问题需要澄清，应于响应文件提交（上传）截止时间前，以书面形式向采购代理机构提出。</w:t>
      </w:r>
    </w:p>
    <w:p w14:paraId="66569B35">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412936C">
      <w:pPr>
        <w:shd w:val="clear"/>
        <w:adjustRightInd w:val="0"/>
        <w:snapToGrid w:val="0"/>
        <w:spacing w:line="360" w:lineRule="auto"/>
        <w:ind w:firstLine="420" w:firstLineChars="200"/>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lang w:bidi="ar"/>
        </w:rPr>
        <w:t>3.磋商文件澄清、答复、修改、补充的内容为磋商文件的组成部分。当磋商文件与磋商文件的答复、澄清、修改、补充通知就同一内容的表述不一致时，以最后发出的文件为准。</w:t>
      </w:r>
    </w:p>
    <w:p w14:paraId="543B7F25">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4.磋商文件的澄清、答复、修改、补充都应该通过本采购代理机构以法定形式发布，采购人非通过本机构，不得擅自澄清、答复、修改、补充磋商文件。</w:t>
      </w:r>
    </w:p>
    <w:p w14:paraId="5F967CD2">
      <w:pPr>
        <w:shd w:val="clear"/>
        <w:adjustRightInd w:val="0"/>
        <w:snapToGrid w:val="0"/>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bidi="ar"/>
        </w:rPr>
        <w:t>5.▲响应文件未按磋商文件的澄清、修改的内容编制，又不符合实质性要求的，响应无效。</w:t>
      </w:r>
    </w:p>
    <w:p w14:paraId="0D9BB09A">
      <w:pPr>
        <w:shd w:val="clear"/>
        <w:adjustRightInd w:val="0"/>
        <w:snapToGrid w:val="0"/>
        <w:spacing w:line="360" w:lineRule="auto"/>
        <w:jc w:val="center"/>
        <w:outlineLvl w:val="1"/>
        <w:rPr>
          <w:rFonts w:hint="eastAsia" w:ascii="仿宋" w:hAnsi="仿宋" w:eastAsia="仿宋" w:cs="仿宋"/>
          <w:b/>
          <w:bCs/>
          <w:color w:val="auto"/>
          <w:sz w:val="21"/>
          <w:szCs w:val="21"/>
          <w:highlight w:val="none"/>
        </w:rPr>
      </w:pPr>
      <w:bookmarkStart w:id="135" w:name="_Toc9298"/>
      <w:bookmarkStart w:id="136" w:name="_Toc18945"/>
      <w:bookmarkStart w:id="137" w:name="_Toc3808"/>
      <w:r>
        <w:rPr>
          <w:rFonts w:hint="eastAsia" w:ascii="仿宋" w:hAnsi="仿宋" w:eastAsia="仿宋" w:cs="仿宋"/>
          <w:b/>
          <w:bCs/>
          <w:color w:val="auto"/>
          <w:sz w:val="21"/>
          <w:szCs w:val="21"/>
          <w:highlight w:val="none"/>
          <w:lang w:bidi="ar"/>
        </w:rPr>
        <w:br w:type="page"/>
      </w:r>
      <w:r>
        <w:rPr>
          <w:rFonts w:hint="eastAsia" w:ascii="仿宋" w:hAnsi="仿宋" w:eastAsia="仿宋" w:cs="仿宋"/>
          <w:b/>
          <w:bCs/>
          <w:color w:val="auto"/>
          <w:sz w:val="21"/>
          <w:szCs w:val="21"/>
          <w:highlight w:val="none"/>
          <w:lang w:bidi="ar"/>
        </w:rPr>
        <w:t>三、响应文件的编制</w:t>
      </w:r>
      <w:bookmarkEnd w:id="135"/>
      <w:bookmarkEnd w:id="136"/>
      <w:bookmarkEnd w:id="137"/>
    </w:p>
    <w:p w14:paraId="29B81110">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（一）响应文件的组成</w:t>
      </w:r>
    </w:p>
    <w:p w14:paraId="24198A4C">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响应文件（电子加密响应文件）由</w:t>
      </w:r>
      <w:r>
        <w:rPr>
          <w:rFonts w:hint="eastAsia" w:ascii="仿宋" w:hAnsi="仿宋" w:eastAsia="仿宋" w:cs="仿宋"/>
          <w:b/>
          <w:color w:val="auto"/>
          <w:sz w:val="21"/>
          <w:szCs w:val="21"/>
          <w:highlight w:val="none"/>
          <w:lang w:bidi="ar"/>
        </w:rPr>
        <w:t>资格文件、报价文件、商务技术文件三部分</w:t>
      </w:r>
      <w:r>
        <w:rPr>
          <w:rFonts w:hint="eastAsia" w:ascii="仿宋" w:hAnsi="仿宋" w:eastAsia="仿宋" w:cs="仿宋"/>
          <w:bCs/>
          <w:color w:val="auto"/>
          <w:sz w:val="21"/>
          <w:szCs w:val="21"/>
          <w:highlight w:val="none"/>
          <w:lang w:bidi="ar"/>
        </w:rPr>
        <w:t>组成（格式详见磋商文件第六章）。供应商应将响应文件各部分</w:t>
      </w:r>
      <w:r>
        <w:rPr>
          <w:rFonts w:hint="eastAsia" w:ascii="仿宋" w:hAnsi="仿宋" w:eastAsia="仿宋" w:cs="仿宋"/>
          <w:b/>
          <w:color w:val="auto"/>
          <w:sz w:val="21"/>
          <w:szCs w:val="21"/>
          <w:highlight w:val="none"/>
          <w:lang w:bidi="ar"/>
        </w:rPr>
        <w:t>分别上传</w:t>
      </w:r>
      <w:r>
        <w:rPr>
          <w:rFonts w:hint="eastAsia" w:ascii="仿宋" w:hAnsi="仿宋" w:eastAsia="仿宋" w:cs="仿宋"/>
          <w:bCs/>
          <w:color w:val="auto"/>
          <w:sz w:val="21"/>
          <w:szCs w:val="21"/>
          <w:highlight w:val="none"/>
          <w:lang w:bidi="ar"/>
        </w:rPr>
        <w:t>至政府采购云平台指定位置。</w:t>
      </w:r>
    </w:p>
    <w:p w14:paraId="72AE3AF6">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响应文件组成：详见“第六章  响应文件格式”目录。</w:t>
      </w:r>
    </w:p>
    <w:p w14:paraId="645A5393">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（二）响应文件的签署和份数</w:t>
      </w:r>
    </w:p>
    <w:p w14:paraId="6122B28C">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98BD92A">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2.响应文件须由供应商在规定位置加盖公章，供应商应写全称。</w:t>
      </w:r>
    </w:p>
    <w:p w14:paraId="26A95D1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3.响应文件不得涂改，若有修改错漏处，须由供应商加盖公章，或者由法定代表人或其授权的代表签名。响应文件因字迹潦草或表达不清所引起的后果由供应商负责。</w:t>
      </w:r>
    </w:p>
    <w:p w14:paraId="2EAE3BB7">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4.响应文件份数：</w:t>
      </w:r>
    </w:p>
    <w:p w14:paraId="3EE93561">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电子加密响应文件：政府采购云平台在线上传一份。备份响应文件：密封包装后EMS或顺丰邮寄形式递交一份（邮寄地址：</w:t>
      </w:r>
      <w:r>
        <w:rPr>
          <w:rFonts w:hint="eastAsia" w:ascii="仿宋" w:hAnsi="仿宋" w:eastAsia="仿宋" w:cs="仿宋"/>
          <w:b/>
          <w:bCs/>
          <w:color w:val="auto"/>
          <w:sz w:val="21"/>
          <w:szCs w:val="21"/>
          <w:highlight w:val="none"/>
          <w:lang w:eastAsia="zh-CN" w:bidi="ar"/>
        </w:rPr>
        <w:t>宁波市海曙区翠柏路89号公共培训平台C座8楼</w:t>
      </w:r>
      <w:r>
        <w:rPr>
          <w:rFonts w:hint="eastAsia" w:ascii="仿宋" w:hAnsi="仿宋" w:eastAsia="仿宋" w:cs="仿宋"/>
          <w:b/>
          <w:bCs/>
          <w:color w:val="auto"/>
          <w:sz w:val="21"/>
          <w:szCs w:val="21"/>
          <w:highlight w:val="none"/>
          <w:lang w:bidi="ar"/>
        </w:rPr>
        <w:t>，浙江省成套招标代理有限公司（</w:t>
      </w:r>
      <w:r>
        <w:rPr>
          <w:rFonts w:hint="eastAsia" w:ascii="仿宋" w:hAnsi="仿宋" w:eastAsia="仿宋" w:cs="仿宋"/>
          <w:b/>
          <w:bCs/>
          <w:color w:val="auto"/>
          <w:sz w:val="21"/>
          <w:szCs w:val="21"/>
          <w:highlight w:val="none"/>
          <w:lang w:val="en-US" w:eastAsia="zh-CN" w:bidi="ar"/>
        </w:rPr>
        <w:t>马倩倩</w:t>
      </w:r>
      <w:r>
        <w:rPr>
          <w:rFonts w:hint="eastAsia" w:ascii="仿宋" w:hAnsi="仿宋" w:eastAsia="仿宋" w:cs="仿宋"/>
          <w:b/>
          <w:bCs/>
          <w:color w:val="auto"/>
          <w:sz w:val="21"/>
          <w:szCs w:val="21"/>
          <w:highlight w:val="none"/>
          <w:lang w:bidi="ar"/>
        </w:rPr>
        <w:t>）收，电话：</w:t>
      </w:r>
      <w:r>
        <w:rPr>
          <w:rFonts w:hint="eastAsia" w:ascii="仿宋" w:hAnsi="仿宋" w:eastAsia="仿宋" w:cs="仿宋"/>
          <w:b/>
          <w:bCs/>
          <w:color w:val="auto"/>
          <w:sz w:val="21"/>
          <w:szCs w:val="21"/>
          <w:highlight w:val="none"/>
          <w:lang w:val="en-US" w:eastAsia="zh-CN" w:bidi="ar"/>
        </w:rPr>
        <w:t>13396671730</w:t>
      </w:r>
      <w:r>
        <w:rPr>
          <w:rFonts w:hint="eastAsia" w:ascii="仿宋" w:hAnsi="仿宋" w:eastAsia="仿宋" w:cs="仿宋"/>
          <w:b/>
          <w:bCs/>
          <w:color w:val="auto"/>
          <w:sz w:val="21"/>
          <w:szCs w:val="21"/>
          <w:highlight w:val="none"/>
          <w:lang w:bidi="ar"/>
        </w:rPr>
        <w:t>，寄出后将（快递单号、项目名称、公司名称、联系方式等相关信息）发至：</w:t>
      </w:r>
      <w:r>
        <w:rPr>
          <w:rFonts w:hint="eastAsia" w:ascii="仿宋" w:hAnsi="仿宋" w:eastAsia="仿宋" w:cs="仿宋"/>
          <w:b/>
          <w:bCs/>
          <w:color w:val="auto"/>
          <w:sz w:val="21"/>
          <w:szCs w:val="21"/>
          <w:highlight w:val="none"/>
          <w:lang w:val="en-US" w:eastAsia="zh-CN" w:bidi="ar"/>
        </w:rPr>
        <w:t>475993598</w:t>
      </w:r>
      <w:r>
        <w:rPr>
          <w:rFonts w:hint="eastAsia" w:ascii="仿宋" w:hAnsi="仿宋" w:eastAsia="仿宋" w:cs="仿宋"/>
          <w:b/>
          <w:bCs/>
          <w:color w:val="auto"/>
          <w:sz w:val="21"/>
          <w:szCs w:val="21"/>
          <w:highlight w:val="none"/>
          <w:lang w:bidi="ar"/>
        </w:rPr>
        <w:t>@</w:t>
      </w:r>
      <w:r>
        <w:rPr>
          <w:rFonts w:hint="eastAsia" w:ascii="仿宋" w:hAnsi="仿宋" w:eastAsia="仿宋" w:cs="仿宋"/>
          <w:b/>
          <w:bCs/>
          <w:color w:val="auto"/>
          <w:sz w:val="21"/>
          <w:szCs w:val="21"/>
          <w:highlight w:val="none"/>
          <w:lang w:val="en-US" w:eastAsia="zh-CN" w:bidi="ar"/>
        </w:rPr>
        <w:t>qq</w:t>
      </w:r>
      <w:r>
        <w:rPr>
          <w:rFonts w:hint="eastAsia" w:ascii="仿宋" w:hAnsi="仿宋" w:eastAsia="仿宋" w:cs="仿宋"/>
          <w:b/>
          <w:bCs/>
          <w:color w:val="auto"/>
          <w:sz w:val="21"/>
          <w:szCs w:val="21"/>
          <w:highlight w:val="none"/>
          <w:lang w:bidi="ar"/>
        </w:rPr>
        <w:t>.com，以便查收）。</w:t>
      </w:r>
    </w:p>
    <w:p w14:paraId="62B76E64">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特别说明：双休日和法定节假日不收件，供应商自行承担邮寄风险。</w:t>
      </w:r>
    </w:p>
    <w:p w14:paraId="0E25AB8D">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备注：</w:t>
      </w:r>
      <w:r>
        <w:rPr>
          <w:rFonts w:hint="eastAsia" w:ascii="仿宋" w:hAnsi="仿宋" w:eastAsia="仿宋" w:cs="仿宋"/>
          <w:b/>
          <w:bCs/>
          <w:color w:val="auto"/>
          <w:sz w:val="21"/>
          <w:szCs w:val="21"/>
          <w:highlight w:val="none"/>
        </w:rPr>
        <w:t>采购人、采购机构不强制或变相强制投标人提交备份投标文件。</w:t>
      </w:r>
    </w:p>
    <w:p w14:paraId="1593BC8D">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（三）响应文件的上传、递交、修改和撤回</w:t>
      </w:r>
    </w:p>
    <w:p w14:paraId="76A8B47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1.响应文件的上传、递交：</w:t>
      </w:r>
    </w:p>
    <w:p w14:paraId="1DCED500">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（1）电子加密响应文件的上传：</w:t>
      </w:r>
    </w:p>
    <w:p w14:paraId="13E8D3B1">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▲1）供应商应在响应文件提交截止时间前将电子加密响应文件成功上传至政府采购云平台，否则响应无效。</w:t>
      </w:r>
    </w:p>
    <w:p w14:paraId="75857234">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2）电子加密响应文件成功上传后，供应商可自行打印响应文件接收回执。</w:t>
      </w:r>
    </w:p>
    <w:p w14:paraId="03EF4F72">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（2）备份响应文件的密封包装、递交：</w:t>
      </w:r>
    </w:p>
    <w:p w14:paraId="6A34CE8D">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1）供应商在政府采购云平台完成电子加密响应文件的上传后，可以EMS或顺丰邮寄形式在响应文件提交截止时间前递交以介质（U盘）存储的数据电文形式的备份响应文件。</w:t>
      </w:r>
    </w:p>
    <w:p w14:paraId="45C558D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2）备份响应文件应当密封包装并在包装上标注响应项目名称、供应商名称并加盖公章（非电子签章），供应商逾期送达或者未密封包装的备份响应文件采购代理机构将予以拒收。</w:t>
      </w:r>
    </w:p>
    <w:p w14:paraId="529DF19C">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▲3）通过政府采购云平台成功上传的电子加密响应文件已按时解密的，备份响应文件自动失效。</w:t>
      </w:r>
    </w:p>
    <w:p w14:paraId="3846C247">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▲4）响应截止时间前，供应商仅递交备份响应文件而未将电子加密响应文件成功上传至政府采购云平台的，响应无效。</w:t>
      </w:r>
    </w:p>
    <w:p w14:paraId="2E81761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F458569">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3.供应商因未在线参加开标而导致电子加密响应文件无法按时解密等一切后果由供应商自行承担。</w:t>
      </w:r>
    </w:p>
    <w:p w14:paraId="4E22F71E">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4.供应商应按照磋商文件和政府采购云平台的要求，根据响应文件的组成规定的内容及顺序通过政采云电子交易客户端（政采云响应客户端）编制加密响应文件。</w:t>
      </w:r>
    </w:p>
    <w:p w14:paraId="2715E229">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备注：</w:t>
      </w:r>
    </w:p>
    <w:p w14:paraId="6633E118">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供应商可通过浙江省“电子交易/不见面开评标”学习专题提前进行专题学习，熟悉操作，避免影响采购活动（https://edu.zcygov.cn/luban/e-biding）。</w:t>
      </w:r>
    </w:p>
    <w:p w14:paraId="14D17556">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（四）响应文件的语言及计量</w:t>
      </w:r>
    </w:p>
    <w:p w14:paraId="2F86650B">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2C8CA258">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（五）磋商报价</w:t>
      </w:r>
    </w:p>
    <w:p w14:paraId="03B90BF5">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1.报价应按磋商文件要求的格式编制、填写报价内容（可自行增行），未按磋商文件要求编制、填写的响应文件可能被拒绝。</w:t>
      </w:r>
    </w:p>
    <w:p w14:paraId="58FE610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2.本次磋商采用人民币报价。</w:t>
      </w:r>
    </w:p>
    <w:p w14:paraId="3F40CBE7">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3.最后磋商报价是履行合同的最终价格，有关本项目实施所涉及的一切费用均计入报价。</w:t>
      </w:r>
    </w:p>
    <w:p w14:paraId="2F7B9F88">
      <w:pPr>
        <w:pStyle w:val="23"/>
        <w:widowControl w:val="0"/>
        <w:shd w:val="clear"/>
        <w:adjustRightInd w:val="0"/>
        <w:snapToGrid w:val="0"/>
        <w:spacing w:before="0" w:beforeAutospacing="0" w:after="0" w:afterAutospacing="0" w:line="360" w:lineRule="auto"/>
        <w:ind w:firstLine="424" w:firstLineChars="202"/>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bidi="ar"/>
        </w:rPr>
        <w:t>▲4.采购人将以合同形式有偿取得货物或服务，不接受供应商给予的赠品、回扣或者与采购无关的其他商品、服务。</w:t>
      </w:r>
    </w:p>
    <w:p w14:paraId="209E6297">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（六）响应有效期</w:t>
      </w:r>
    </w:p>
    <w:p w14:paraId="065CECBF">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▲从提交响应文件的截止之日起90天。在原响应有效期满之前，如果出现特殊情况，采购人或采购代理机构以书面形式通知供应商延长响应有效期。</w:t>
      </w:r>
    </w:p>
    <w:p w14:paraId="4498B1CA">
      <w:pPr>
        <w:shd w:val="clear"/>
        <w:adjustRightInd w:val="0"/>
        <w:snapToGrid w:val="0"/>
        <w:spacing w:line="360"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br w:type="page"/>
      </w:r>
      <w:bookmarkStart w:id="138" w:name="_Toc25348"/>
      <w:bookmarkStart w:id="139" w:name="_Toc214"/>
      <w:bookmarkStart w:id="140" w:name="_Toc23561"/>
      <w:r>
        <w:rPr>
          <w:rFonts w:hint="eastAsia" w:ascii="仿宋" w:hAnsi="仿宋" w:eastAsia="仿宋" w:cs="仿宋"/>
          <w:b/>
          <w:bCs/>
          <w:color w:val="auto"/>
          <w:sz w:val="21"/>
          <w:szCs w:val="21"/>
          <w:highlight w:val="none"/>
          <w:lang w:bidi="ar"/>
        </w:rPr>
        <w:t>四、响应无效的情形</w:t>
      </w:r>
      <w:bookmarkEnd w:id="138"/>
      <w:bookmarkEnd w:id="139"/>
      <w:bookmarkEnd w:id="140"/>
    </w:p>
    <w:p w14:paraId="54C184CE">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1.在资格审查时，如发现下列情形之一的，响应文件将被视为无效</w:t>
      </w:r>
    </w:p>
    <w:p w14:paraId="7B072E7A">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（1）资格证明材料不全的，或者不符合磋商文件要求的。</w:t>
      </w:r>
    </w:p>
    <w:p w14:paraId="3F43393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（2）供应商不具备磋商文件中规定的资格要求的。</w:t>
      </w:r>
    </w:p>
    <w:p w14:paraId="06256710">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（3）资格文件未按要求签署、盖章的。</w:t>
      </w:r>
    </w:p>
    <w:p w14:paraId="70BED607">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2.在符合性审查、商务技术评审时，如发现下列情形之一的，响应文件将被视为无效</w:t>
      </w:r>
    </w:p>
    <w:p w14:paraId="2E0739E2">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（1）商务技术文件未按要求签署、盖章的。</w:t>
      </w:r>
    </w:p>
    <w:p w14:paraId="2D90DA4D">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（2）未提供或未按要求提供响应函、法定代表人授权委托书。</w:t>
      </w:r>
    </w:p>
    <w:p w14:paraId="0214D3A7">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（3）法定代表人委托授权代表参加响应但未提供符合要求的授权代表社保缴纳证明的。</w:t>
      </w:r>
    </w:p>
    <w:p w14:paraId="7FD82812">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（4）未提供采购需求偏离表的。</w:t>
      </w:r>
    </w:p>
    <w:p w14:paraId="13D69A23">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（5）明显不符合磋商文件要求，或负偏离达到规定数目的。</w:t>
      </w:r>
    </w:p>
    <w:p w14:paraId="44198E8C">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（6）响应技术方案不明确，存在一个或一个以上备选（替代）</w:t>
      </w:r>
      <w:r>
        <w:rPr>
          <w:rFonts w:hint="eastAsia" w:ascii="仿宋" w:hAnsi="仿宋" w:eastAsia="仿宋" w:cs="仿宋"/>
          <w:color w:val="auto"/>
          <w:sz w:val="21"/>
          <w:szCs w:val="21"/>
          <w:highlight w:val="none"/>
          <w:lang w:val="en-US" w:eastAsia="zh-CN" w:bidi="ar"/>
        </w:rPr>
        <w:t>技术方</w:t>
      </w:r>
      <w:r>
        <w:rPr>
          <w:rFonts w:hint="eastAsia" w:ascii="仿宋" w:hAnsi="仿宋" w:eastAsia="仿宋" w:cs="仿宋"/>
          <w:color w:val="auto"/>
          <w:sz w:val="21"/>
          <w:szCs w:val="21"/>
          <w:highlight w:val="none"/>
          <w:lang w:bidi="ar"/>
        </w:rPr>
        <w:t>案的。</w:t>
      </w:r>
    </w:p>
    <w:p w14:paraId="7B0199D3">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（7）响应文件含有采购人不能接受的附加条件的。</w:t>
      </w:r>
    </w:p>
    <w:p w14:paraId="15ED5EDC">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（8）响应文件中法人授权书所载内容与本项目内容有异的。</w:t>
      </w:r>
    </w:p>
    <w:p w14:paraId="43699BA5">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（9）未响应磋商文件“▲”标记条款要求的，响应无效。</w:t>
      </w:r>
    </w:p>
    <w:p w14:paraId="20E8A256">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（10）法律、法规和磋商文件规定的其他无效情形。</w:t>
      </w:r>
    </w:p>
    <w:p w14:paraId="25159224">
      <w:pPr>
        <w:shd w:val="clear"/>
        <w:adjustRightInd w:val="0"/>
        <w:snapToGrid w:val="0"/>
        <w:spacing w:line="360" w:lineRule="auto"/>
        <w:ind w:firstLine="422" w:firstLineChars="200"/>
        <w:jc w:val="left"/>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3.在磋商评审时，如发现下列情形之一的，视为退出磋商，响应无效</w:t>
      </w:r>
    </w:p>
    <w:p w14:paraId="5B4FF3C0">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（1）未按规定时间提交磋商记录。</w:t>
      </w:r>
    </w:p>
    <w:p w14:paraId="0DFA9C3E">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（2）磋商记录未响应磋商内容或要求的。</w:t>
      </w:r>
    </w:p>
    <w:p w14:paraId="57AF6175">
      <w:pPr>
        <w:shd w:val="clear"/>
        <w:adjustRightInd w:val="0"/>
        <w:snapToGrid w:val="0"/>
        <w:spacing w:line="360" w:lineRule="auto"/>
        <w:ind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4.在报价评审时，如发现下列情形之一的，响应文件将被视为无效</w:t>
      </w:r>
    </w:p>
    <w:p w14:paraId="56F6E814">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（1）最后报价超过磋商文件中规定的预算金额或最高限价的。</w:t>
      </w:r>
    </w:p>
    <w:p w14:paraId="19047439">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（2）所提交的最后报价中出现不是唯一的、有选择性的报价的。</w:t>
      </w:r>
    </w:p>
    <w:p w14:paraId="66EB994C">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（3）最后报价填写不完整或字迹不能辨认或有漏项的。</w:t>
      </w:r>
    </w:p>
    <w:p w14:paraId="2F0F4A1C">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（4）供应商对根据修正原则修正后的最后报价不确认的。</w:t>
      </w:r>
    </w:p>
    <w:p w14:paraId="545FBC13">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（5）未按规定提交最后报价的，视为退出磋商，响应无效。</w:t>
      </w:r>
    </w:p>
    <w:p w14:paraId="583D7C4B">
      <w:pPr>
        <w:widowControl/>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特别说明：磋商小组认为供应商的最后报价明显低于其他供应商最后报价，有可能影响产品质量或者不能诚信履约的，应当要求其在磋商小组要求的时间内提供书面说明，必要时提交相关证明材料。供应商不能证明其最后报价合理性的，磋商小组应当将其作为无效响应处理。</w:t>
      </w:r>
    </w:p>
    <w:p w14:paraId="0BCC7E89">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5.有下列情形之一的，视为供应商串通，其响应无效</w:t>
      </w:r>
    </w:p>
    <w:p w14:paraId="27A04665">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（1）不同供应商的响应文件由同一单位或者个人编制。</w:t>
      </w:r>
    </w:p>
    <w:p w14:paraId="2D3B4791">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（2）不同供应商委托同一单位或者个人办理磋商事宜。</w:t>
      </w:r>
    </w:p>
    <w:p w14:paraId="52DB771A">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（3）不同供应商的响应文件载明的项目管理成员或者联系人员为同一人。</w:t>
      </w:r>
    </w:p>
    <w:p w14:paraId="6B88E00C">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（4）不同供应商的响应文件异常一致或者最后报价呈规律性差异。</w:t>
      </w:r>
    </w:p>
    <w:p w14:paraId="667AF32A">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（5）不同供应商的响应文件相互混装。</w:t>
      </w:r>
    </w:p>
    <w:p w14:paraId="0A5853A1">
      <w:pPr>
        <w:shd w:val="clear"/>
        <w:adjustRightInd w:val="0"/>
        <w:snapToGrid w:val="0"/>
        <w:spacing w:line="288" w:lineRule="auto"/>
        <w:ind w:firstLine="398" w:firstLineChars="200"/>
        <w:rPr>
          <w:rFonts w:hint="eastAsia" w:ascii="仿宋" w:hAnsi="仿宋" w:eastAsia="仿宋" w:cs="仿宋"/>
          <w:b/>
          <w:bCs/>
          <w:color w:val="auto"/>
          <w:sz w:val="21"/>
          <w:szCs w:val="21"/>
          <w:highlight w:val="none"/>
        </w:rPr>
      </w:pPr>
      <w:r>
        <w:rPr>
          <w:rFonts w:hint="eastAsia" w:ascii="仿宋" w:hAnsi="仿宋" w:eastAsia="仿宋" w:cs="仿宋"/>
          <w:b/>
          <w:color w:val="auto"/>
          <w:spacing w:val="-6"/>
          <w:sz w:val="21"/>
          <w:szCs w:val="21"/>
          <w:highlight w:val="none"/>
        </w:rPr>
        <w:t>6.</w:t>
      </w:r>
      <w:r>
        <w:rPr>
          <w:rFonts w:hint="eastAsia" w:ascii="仿宋" w:hAnsi="仿宋" w:eastAsia="仿宋" w:cs="仿宋"/>
          <w:b/>
          <w:bCs/>
          <w:color w:val="auto"/>
          <w:sz w:val="21"/>
          <w:szCs w:val="21"/>
          <w:highlight w:val="none"/>
        </w:rPr>
        <w:t>参与同一个采购包（标项）的供应商存在下列情形之一且无法合理解释的，其响应文件无效：</w:t>
      </w:r>
    </w:p>
    <w:p w14:paraId="02332913">
      <w:pPr>
        <w:shd w:val="clear"/>
        <w:adjustRightInd w:val="0"/>
        <w:snapToGrid w:val="0"/>
        <w:spacing w:line="288"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（1）不同供应商的电子响应文件上传计算机的网卡MAC地址或硬盘序列号等硬件信息相同的；</w:t>
      </w:r>
    </w:p>
    <w:p w14:paraId="3E620056">
      <w:pPr>
        <w:shd w:val="clear"/>
        <w:adjustRightInd w:val="0"/>
        <w:snapToGrid w:val="0"/>
        <w:spacing w:line="288"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（2）上传的电子响应文件若出现使用本项目其他响应供应商的数字证书加密的，或者加盖本项目其他响应供应商的电子印章的；</w:t>
      </w:r>
    </w:p>
    <w:p w14:paraId="49FFE900">
      <w:pPr>
        <w:shd w:val="clear"/>
        <w:adjustRightInd w:val="0"/>
        <w:snapToGrid w:val="0"/>
        <w:spacing w:line="288"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（3）不同供应商的响应文件的内容存在3处（含）以上错误一致的；</w:t>
      </w:r>
    </w:p>
    <w:p w14:paraId="4E70EE46">
      <w:pPr>
        <w:shd w:val="clear"/>
        <w:adjustRightInd w:val="0"/>
        <w:snapToGrid w:val="0"/>
        <w:spacing w:line="288"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（4）不同供应商联系人为同一人或不同联系人的联系电话一致的。</w:t>
      </w:r>
    </w:p>
    <w:p w14:paraId="7846149F">
      <w:pPr>
        <w:pStyle w:val="27"/>
        <w:shd w:val="clear"/>
        <w:rPr>
          <w:rFonts w:hint="eastAsia" w:ascii="仿宋" w:hAnsi="仿宋" w:eastAsia="仿宋" w:cs="仿宋"/>
          <w:color w:val="auto"/>
          <w:highlight w:val="none"/>
        </w:rPr>
      </w:pPr>
    </w:p>
    <w:p w14:paraId="71AEC00C">
      <w:pPr>
        <w:shd w:val="clear"/>
        <w:adjustRightInd w:val="0"/>
        <w:snapToGrid w:val="0"/>
        <w:spacing w:line="360" w:lineRule="auto"/>
        <w:jc w:val="center"/>
        <w:outlineLvl w:val="1"/>
        <w:rPr>
          <w:rFonts w:hint="eastAsia" w:ascii="仿宋" w:hAnsi="仿宋" w:eastAsia="仿宋" w:cs="仿宋"/>
          <w:b/>
          <w:bCs/>
          <w:color w:val="auto"/>
          <w:sz w:val="21"/>
          <w:szCs w:val="21"/>
          <w:highlight w:val="none"/>
        </w:rPr>
      </w:pPr>
      <w:bookmarkStart w:id="141" w:name="_Toc8287"/>
      <w:bookmarkStart w:id="142" w:name="_Toc3984"/>
      <w:bookmarkStart w:id="143" w:name="_Toc1084"/>
      <w:r>
        <w:rPr>
          <w:rFonts w:hint="eastAsia" w:ascii="仿宋" w:hAnsi="仿宋" w:eastAsia="仿宋" w:cs="仿宋"/>
          <w:b/>
          <w:bCs/>
          <w:color w:val="auto"/>
          <w:sz w:val="21"/>
          <w:szCs w:val="21"/>
          <w:highlight w:val="none"/>
          <w:lang w:bidi="ar"/>
        </w:rPr>
        <w:br w:type="page"/>
      </w:r>
      <w:r>
        <w:rPr>
          <w:rFonts w:hint="eastAsia" w:ascii="仿宋" w:hAnsi="仿宋" w:eastAsia="仿宋" w:cs="仿宋"/>
          <w:b/>
          <w:bCs/>
          <w:color w:val="auto"/>
          <w:sz w:val="21"/>
          <w:szCs w:val="21"/>
          <w:highlight w:val="none"/>
          <w:lang w:bidi="ar"/>
        </w:rPr>
        <w:t>五、响应文件开启</w:t>
      </w:r>
      <w:bookmarkEnd w:id="141"/>
      <w:bookmarkEnd w:id="142"/>
      <w:bookmarkEnd w:id="143"/>
    </w:p>
    <w:p w14:paraId="419EFED7">
      <w:pPr>
        <w:shd w:val="clear"/>
        <w:autoSpaceDE w:val="0"/>
        <w:autoSpaceDN w:val="0"/>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采购代理机构按照磋商文件规定的时间通过电子交易平台组织开启，所有供应商均应当准时在线参加。供应商不足3家的，不得开启。</w:t>
      </w:r>
    </w:p>
    <w:p w14:paraId="742C5EB5">
      <w:pPr>
        <w:shd w:val="clear"/>
        <w:autoSpaceDE w:val="0"/>
        <w:autoSpaceDN w:val="0"/>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开启时，电子交易平台按开启时间自动提取所有响应文件。采购人或代理机构依托电子交易平台发起开始解密指令，供应商按照平台提示和磋商文件的规定在半小时内完成在线解密。</w:t>
      </w:r>
    </w:p>
    <w:p w14:paraId="3FB5A4B4">
      <w:pPr>
        <w:shd w:val="clear"/>
        <w:adjustRightInd w:val="0"/>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bidi="ar"/>
        </w:rPr>
        <w:t>响应文件未按时解密，供应商提供了备份响应文件的，以备份响应文件作为依据，否则视为响应文件撤回。响应文件已按时解密的，备份响应文件自动失效。</w:t>
      </w:r>
    </w:p>
    <w:p w14:paraId="437AF765">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 xml:space="preserve"> </w:t>
      </w:r>
    </w:p>
    <w:p w14:paraId="7E242894">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特别说明：如遇政府采购云平台电子化开启或评审程序调整的，按调整后程序执行。</w:t>
      </w:r>
    </w:p>
    <w:p w14:paraId="6FFDFEED">
      <w:pPr>
        <w:shd w:val="clear"/>
        <w:adjustRightInd w:val="0"/>
        <w:snapToGrid w:val="0"/>
        <w:spacing w:line="360" w:lineRule="auto"/>
        <w:rPr>
          <w:rFonts w:hint="eastAsia" w:ascii="仿宋" w:hAnsi="仿宋" w:eastAsia="仿宋" w:cs="仿宋"/>
          <w:color w:val="auto"/>
          <w:sz w:val="21"/>
          <w:szCs w:val="21"/>
          <w:highlight w:val="none"/>
        </w:rPr>
      </w:pPr>
    </w:p>
    <w:p w14:paraId="1E7B053F">
      <w:pPr>
        <w:shd w:val="clear"/>
        <w:adjustRightInd w:val="0"/>
        <w:snapToGrid w:val="0"/>
        <w:spacing w:line="360" w:lineRule="auto"/>
        <w:jc w:val="center"/>
        <w:outlineLvl w:val="1"/>
        <w:rPr>
          <w:rFonts w:hint="eastAsia" w:ascii="仿宋" w:hAnsi="仿宋" w:eastAsia="仿宋" w:cs="仿宋"/>
          <w:b/>
          <w:bCs/>
          <w:color w:val="auto"/>
          <w:sz w:val="21"/>
          <w:szCs w:val="21"/>
          <w:highlight w:val="none"/>
        </w:rPr>
      </w:pPr>
      <w:bookmarkStart w:id="144" w:name="_Toc5170"/>
      <w:bookmarkStart w:id="145" w:name="_Toc15451"/>
      <w:bookmarkStart w:id="146" w:name="_Toc23435"/>
      <w:r>
        <w:rPr>
          <w:rFonts w:hint="eastAsia" w:ascii="仿宋" w:hAnsi="仿宋" w:eastAsia="仿宋" w:cs="仿宋"/>
          <w:b/>
          <w:bCs/>
          <w:color w:val="auto"/>
          <w:sz w:val="21"/>
          <w:szCs w:val="21"/>
          <w:highlight w:val="none"/>
          <w:lang w:bidi="ar"/>
        </w:rPr>
        <w:br w:type="page"/>
      </w:r>
      <w:r>
        <w:rPr>
          <w:rFonts w:hint="eastAsia" w:ascii="仿宋" w:hAnsi="仿宋" w:eastAsia="仿宋" w:cs="仿宋"/>
          <w:b/>
          <w:bCs/>
          <w:color w:val="auto"/>
          <w:sz w:val="21"/>
          <w:szCs w:val="21"/>
          <w:highlight w:val="none"/>
          <w:lang w:bidi="ar"/>
        </w:rPr>
        <w:t>六、评审程序</w:t>
      </w:r>
      <w:bookmarkEnd w:id="144"/>
      <w:bookmarkEnd w:id="145"/>
      <w:bookmarkEnd w:id="146"/>
    </w:p>
    <w:p w14:paraId="3472B9B9">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486EE39B">
      <w:pPr>
        <w:widowControl/>
        <w:shd w:val="clear"/>
        <w:adjustRightInd w:val="0"/>
        <w:snapToGrid w:val="0"/>
        <w:spacing w:line="360" w:lineRule="auto"/>
        <w:ind w:firstLine="422" w:firstLineChars="200"/>
        <w:jc w:val="left"/>
        <w:rPr>
          <w:rFonts w:hint="eastAsia" w:ascii="仿宋" w:hAnsi="仿宋" w:eastAsia="仿宋" w:cs="仿宋"/>
          <w:b/>
          <w:color w:val="auto"/>
          <w:sz w:val="21"/>
          <w:szCs w:val="21"/>
          <w:highlight w:val="none"/>
          <w:lang w:bidi="ar"/>
        </w:rPr>
      </w:pPr>
      <w:r>
        <w:rPr>
          <w:rFonts w:hint="eastAsia" w:ascii="仿宋" w:hAnsi="仿宋" w:eastAsia="仿宋" w:cs="仿宋"/>
          <w:b/>
          <w:color w:val="auto"/>
          <w:sz w:val="21"/>
          <w:szCs w:val="21"/>
          <w:highlight w:val="none"/>
          <w:lang w:bidi="ar"/>
        </w:rPr>
        <w:t>（一）磋商小组的组成</w:t>
      </w:r>
    </w:p>
    <w:p w14:paraId="750E117D">
      <w:pPr>
        <w:pStyle w:val="7"/>
        <w:shd w:val="clear"/>
        <w:spacing w:line="360" w:lineRule="auto"/>
        <w:ind w:firstLine="420" w:firstLineChars="200"/>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磋商小组由采购人代表和评审专家共3及以上单数组成，其中评审专家人数不得少于磋商小组成员总数的2/3。</w:t>
      </w:r>
    </w:p>
    <w:p w14:paraId="3FE1E9DD">
      <w:pPr>
        <w:widowControl/>
        <w:shd w:val="clear"/>
        <w:adjustRightInd w:val="0"/>
        <w:snapToGrid w:val="0"/>
        <w:spacing w:line="360" w:lineRule="auto"/>
        <w:ind w:firstLine="422" w:firstLineChars="20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bidi="ar"/>
        </w:rPr>
        <w:t>（二）资格审查</w:t>
      </w:r>
    </w:p>
    <w:p w14:paraId="61DC2540">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响应文件开启后，</w:t>
      </w:r>
      <w:r>
        <w:rPr>
          <w:rFonts w:hint="eastAsia" w:ascii="仿宋" w:hAnsi="仿宋" w:eastAsia="仿宋" w:cs="仿宋"/>
          <w:color w:val="auto"/>
          <w:sz w:val="21"/>
          <w:szCs w:val="21"/>
          <w:highlight w:val="none"/>
          <w:lang w:bidi="ar"/>
        </w:rPr>
        <w:t>磋商小组依据法律法规和磋商文件的规定，对供应商的资格条件进行审查。</w:t>
      </w:r>
    </w:p>
    <w:p w14:paraId="47A82BE9">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对未通过资格审查的供应商，磋商小组告知其未通过的原因。</w:t>
      </w:r>
    </w:p>
    <w:p w14:paraId="1F57090F">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通过资格审查的供应商不足3家的，不再评标。</w:t>
      </w:r>
    </w:p>
    <w:p w14:paraId="6ED41715">
      <w:pPr>
        <w:shd w:val="clear"/>
        <w:adjustRightInd w:val="0"/>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bidi="ar"/>
        </w:rPr>
        <w:t>（三）信用信息查询</w:t>
      </w:r>
    </w:p>
    <w:p w14:paraId="7559AD76">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根据财库[2016]125号《关于在政府采购活动中查询及使用信用记录有关问题的通知》要求，采购代理机构会对供应商信用记录进行查询并甄别。信用信息查询的截止时点：响应截止时间。</w:t>
      </w:r>
    </w:p>
    <w:p w14:paraId="4499A4C3">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（1）查询渠道：“信用中国”（www.creditchina.gov.cn）、“中国政府采购网”（www.ccgp.gov.cn）。</w:t>
      </w:r>
    </w:p>
    <w:p w14:paraId="6ADBA23B">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（2）</w:t>
      </w:r>
      <w:r>
        <w:rPr>
          <w:rFonts w:hint="eastAsia" w:ascii="仿宋" w:hAnsi="仿宋" w:eastAsia="仿宋" w:cs="仿宋"/>
          <w:color w:val="auto"/>
          <w:sz w:val="21"/>
          <w:szCs w:val="21"/>
          <w:highlight w:val="none"/>
        </w:rPr>
        <w:t>信用信息查询记录和证据留存具体方式：现场查询的供应商的信用记录、查询结果经确认后将与采购文件一起存档</w:t>
      </w:r>
      <w:r>
        <w:rPr>
          <w:rFonts w:hint="eastAsia" w:ascii="仿宋" w:hAnsi="仿宋" w:eastAsia="仿宋" w:cs="仿宋"/>
          <w:color w:val="auto"/>
          <w:kern w:val="0"/>
          <w:sz w:val="21"/>
          <w:szCs w:val="21"/>
          <w:highlight w:val="none"/>
          <w:lang w:bidi="ar"/>
        </w:rPr>
        <w:t>。</w:t>
      </w:r>
    </w:p>
    <w:p w14:paraId="1F29507E">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（3）信用信息的使用规则：供应商被列入失信被执行人、</w:t>
      </w:r>
      <w:r>
        <w:rPr>
          <w:rFonts w:hint="eastAsia" w:ascii="仿宋" w:hAnsi="仿宋" w:eastAsia="仿宋" w:cs="仿宋"/>
          <w:color w:val="auto"/>
          <w:kern w:val="0"/>
          <w:sz w:val="21"/>
          <w:szCs w:val="21"/>
          <w:highlight w:val="none"/>
          <w:lang w:eastAsia="zh-CN" w:bidi="ar"/>
        </w:rPr>
        <w:t>重大税收违法失信主体</w:t>
      </w:r>
      <w:r>
        <w:rPr>
          <w:rFonts w:hint="eastAsia" w:ascii="仿宋" w:hAnsi="仿宋" w:eastAsia="仿宋" w:cs="仿宋"/>
          <w:color w:val="auto"/>
          <w:kern w:val="0"/>
          <w:sz w:val="21"/>
          <w:szCs w:val="21"/>
          <w:highlight w:val="none"/>
          <w:lang w:bidi="ar"/>
        </w:rPr>
        <w:t>、政府采购严重违法失信行为记录名单的，拒绝其参与政府采购活动。</w:t>
      </w:r>
    </w:p>
    <w:p w14:paraId="7FDB694F">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0D3D4E">
      <w:pPr>
        <w:shd w:val="clear"/>
        <w:adjustRightInd w:val="0"/>
        <w:snapToGrid w:val="0"/>
        <w:spacing w:line="360" w:lineRule="auto"/>
        <w:ind w:firstLine="426" w:firstLineChars="20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bidi="ar"/>
        </w:rPr>
        <w:t>（四）符合性审查</w:t>
      </w:r>
    </w:p>
    <w:p w14:paraId="38337531">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磋商小组对符合资格的供应商的响应文件进行符合性审查，以确定其是否满足磋商文件的符合性审查要求。</w:t>
      </w:r>
    </w:p>
    <w:p w14:paraId="104F11E2">
      <w:pPr>
        <w:shd w:val="clear"/>
        <w:adjustRightInd w:val="0"/>
        <w:snapToGrid w:val="0"/>
        <w:spacing w:line="360" w:lineRule="auto"/>
        <w:ind w:firstLine="426" w:firstLineChars="202"/>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bidi="ar"/>
        </w:rPr>
        <w:t>（五）磋商</w:t>
      </w:r>
    </w:p>
    <w:p w14:paraId="198EDDB5">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磋商小组所有成员应当集中与单一供应商分别进行磋商，并给予所有参加磋商的供应商平等的磋商机会。</w:t>
      </w:r>
    </w:p>
    <w:p w14:paraId="3B23F129">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在磋商过程中，磋商小组可以根据磋商文件和磋商情况实质性变动采购需求中的技术、服务要求以及合同草案条款，但不得变动磋商文件中的其他内容。实质性变动的内容，须经采购人代表确认。</w:t>
      </w:r>
    </w:p>
    <w:p w14:paraId="317B82E2">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对磋商文件作出的实质性变动是磋商文件的有效组成部分，磋商小组通过政府采购云平台以书面形式同时通知所有参加磋商的供应商。</w:t>
      </w:r>
    </w:p>
    <w:p w14:paraId="433C13CC">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供应商应当按照磋商文件的变动情况和磋商小组的要求通过政府采购云平台提交磋商记录，并由其法定代表人或授权代表签名或者加盖公章。</w:t>
      </w:r>
    </w:p>
    <w:p w14:paraId="65808F45">
      <w:pPr>
        <w:shd w:val="clear"/>
        <w:adjustRightInd w:val="0"/>
        <w:snapToGrid w:val="0"/>
        <w:spacing w:line="360" w:lineRule="auto"/>
        <w:ind w:firstLine="426" w:firstLineChars="202"/>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bidi="ar"/>
        </w:rPr>
        <w:t>（六）最后报价</w:t>
      </w:r>
    </w:p>
    <w:p w14:paraId="62CE07BF">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磋商文件能够详细列明采购标的的技术、服务要求的，磋商结束后，磋商小组应当要求所有实质性响应的供应商在规定时间内提交最后报价，提交最后报价的供应商不得少于3家。</w:t>
      </w:r>
    </w:p>
    <w:p w14:paraId="2A95325E">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3355111">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最后报价是供应商响应文件的有效组成部分。符合《政府采购竞争性磋商采购方式管理暂行办法》（财库〔2014〕214号）第三条第一、四项情形的，提交最后报价的供应商可以为2家。</w:t>
      </w:r>
    </w:p>
    <w:p w14:paraId="613D50AF">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最后报价的修正原则：</w:t>
      </w:r>
    </w:p>
    <w:p w14:paraId="16B427AD">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磋商小组对响应文件的最后报价进行审核，对发现计算、书写等错误的，按以下原则进行修正：</w:t>
      </w:r>
    </w:p>
    <w:p w14:paraId="18C3DA74">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1.《最后报价一览表》与响应文件中响应内容不一致的，以《最后报价一览表》为准。</w:t>
      </w:r>
    </w:p>
    <w:p w14:paraId="11F302EC">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2.大写金额和小写金额不一致的，以大写金额为准。</w:t>
      </w:r>
    </w:p>
    <w:p w14:paraId="5D0EFC38">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3.单价金额小数点或者百分比有明显错位的，以《最后报价一览表》的总价为准，并修改单价。</w:t>
      </w:r>
    </w:p>
    <w:p w14:paraId="12F2F6C5">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4.总价金额与按单价汇总金额不一致的，以单价金额计算结果为准。</w:t>
      </w:r>
    </w:p>
    <w:p w14:paraId="6F7D6F90">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5.同时出现两种以上不一致的，按照前款规定的顺序修正。</w:t>
      </w:r>
    </w:p>
    <w:p w14:paraId="1CE3BE45">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6.以修正后的总价作为最后报价。</w:t>
      </w:r>
    </w:p>
    <w:p w14:paraId="441C2B7D">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▲供应商对根据修正原则修正后的最后报价不确认的，响应无效。</w:t>
      </w:r>
    </w:p>
    <w:p w14:paraId="72E01433">
      <w:pPr>
        <w:shd w:val="clear"/>
        <w:adjustRightInd w:val="0"/>
        <w:snapToGrid w:val="0"/>
        <w:spacing w:line="360" w:lineRule="auto"/>
        <w:ind w:firstLine="426" w:firstLineChars="20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bidi="ar"/>
        </w:rPr>
        <w:t>（七）综合评分</w:t>
      </w:r>
    </w:p>
    <w:p w14:paraId="6F00F327">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经磋商确定最终采购需求和提交最后报价的供应商后，由磋商小组采用</w:t>
      </w:r>
      <w:r>
        <w:rPr>
          <w:rFonts w:hint="eastAsia" w:ascii="仿宋" w:hAnsi="仿宋" w:eastAsia="仿宋" w:cs="仿宋"/>
          <w:b/>
          <w:bCs/>
          <w:color w:val="auto"/>
          <w:kern w:val="0"/>
          <w:sz w:val="21"/>
          <w:szCs w:val="21"/>
          <w:highlight w:val="none"/>
          <w:lang w:bidi="ar"/>
        </w:rPr>
        <w:t>综合评分法</w:t>
      </w:r>
      <w:r>
        <w:rPr>
          <w:rFonts w:hint="eastAsia" w:ascii="仿宋" w:hAnsi="仿宋" w:eastAsia="仿宋" w:cs="仿宋"/>
          <w:color w:val="auto"/>
          <w:kern w:val="0"/>
          <w:sz w:val="21"/>
          <w:szCs w:val="21"/>
          <w:highlight w:val="none"/>
          <w:lang w:bidi="ar"/>
        </w:rPr>
        <w:t>对提交最后报价的供应商的响应文件和最后报价进行综合评分。</w:t>
      </w:r>
    </w:p>
    <w:p w14:paraId="4EE738A8">
      <w:pPr>
        <w:shd w:val="clear"/>
        <w:adjustRightInd w:val="0"/>
        <w:snapToGrid w:val="0"/>
        <w:spacing w:line="360" w:lineRule="auto"/>
        <w:ind w:firstLine="426" w:firstLineChars="20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bidi="ar"/>
        </w:rPr>
        <w:t>（八）汇总商务技术得分</w:t>
      </w:r>
    </w:p>
    <w:p w14:paraId="2A4BEAF9">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磋商小组各成员独立对提交最后报价的供应商的商务技术文件进行评价，并汇总商务技术得分情况。</w:t>
      </w:r>
    </w:p>
    <w:p w14:paraId="0A0EF21E">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22F09F8">
      <w:pPr>
        <w:shd w:val="clear"/>
        <w:adjustRightInd w:val="0"/>
        <w:snapToGrid w:val="0"/>
        <w:spacing w:line="360" w:lineRule="auto"/>
        <w:ind w:firstLine="426" w:firstLineChars="20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bidi="ar"/>
        </w:rPr>
        <w:t>（九）排序与推荐</w:t>
      </w:r>
    </w:p>
    <w:p w14:paraId="2F0977C8">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小组应当根据综合评分情况，按照评审得分由高到低顺序推荐3名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由磋商小组举手表决，按少数服从多数原则最终确定排名顺序。</w:t>
      </w:r>
    </w:p>
    <w:p w14:paraId="4E428494">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提供相同品牌产品且通过资格审查、符合性审查的不同供应商参加同一合同项下磋商的，按一家供应商计算，评审后得分最高的同品牌供应商获得成交供应商推荐资格。评审得分相同的，由磋商小组按照磋商文件规定的方式确定一个供应商获得成交供应商推荐资格，磋商文件未规定的采取随机抽取方式确定，其他同品牌供应商不作为成交候选人。</w:t>
      </w:r>
    </w:p>
    <w:p w14:paraId="28846A5E">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非单一产品采购项目，采购人应当根据采购项目</w:t>
      </w:r>
      <w:r>
        <w:rPr>
          <w:rFonts w:hint="eastAsia" w:ascii="仿宋" w:hAnsi="仿宋" w:eastAsia="仿宋" w:cs="仿宋"/>
          <w:color w:val="auto"/>
          <w:kern w:val="0"/>
          <w:sz w:val="21"/>
          <w:szCs w:val="21"/>
          <w:highlight w:val="none"/>
          <w:lang w:eastAsia="zh-CN" w:bidi="ar"/>
        </w:rPr>
        <w:t>的</w:t>
      </w:r>
      <w:r>
        <w:rPr>
          <w:rFonts w:hint="eastAsia" w:ascii="仿宋" w:hAnsi="仿宋" w:eastAsia="仿宋" w:cs="仿宋"/>
          <w:color w:val="auto"/>
          <w:kern w:val="0"/>
          <w:sz w:val="21"/>
          <w:szCs w:val="21"/>
          <w:highlight w:val="none"/>
          <w:lang w:bidi="ar"/>
        </w:rPr>
        <w:t>技术构成、产品价格比重等合理确定核心产品，并在磋商文件中载明。多家供应商提供的核心产品品牌相同的，按前款规定处理。</w:t>
      </w:r>
    </w:p>
    <w:p w14:paraId="766D2DA2">
      <w:pPr>
        <w:shd w:val="clear"/>
        <w:adjustRightInd w:val="0"/>
        <w:snapToGrid w:val="0"/>
        <w:spacing w:line="360" w:lineRule="auto"/>
        <w:ind w:firstLine="426" w:firstLineChars="20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bidi="ar"/>
        </w:rPr>
        <w:t>（十）编写评标报告</w:t>
      </w:r>
    </w:p>
    <w:p w14:paraId="62955A64">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59F72B4B">
      <w:pPr>
        <w:widowControl/>
        <w:shd w:val="clear"/>
        <w:adjustRightInd w:val="0"/>
        <w:snapToGrid w:val="0"/>
        <w:spacing w:line="360" w:lineRule="auto"/>
        <w:jc w:val="left"/>
        <w:rPr>
          <w:rFonts w:hint="eastAsia" w:ascii="仿宋" w:hAnsi="仿宋" w:eastAsia="仿宋" w:cs="仿宋"/>
          <w:b/>
          <w:color w:val="auto"/>
          <w:sz w:val="21"/>
          <w:szCs w:val="21"/>
          <w:highlight w:val="none"/>
        </w:rPr>
      </w:pPr>
    </w:p>
    <w:p w14:paraId="7174FE1E">
      <w:pPr>
        <w:shd w:val="clear"/>
        <w:adjustRightInd w:val="0"/>
        <w:snapToGrid w:val="0"/>
        <w:spacing w:line="360" w:lineRule="auto"/>
        <w:jc w:val="center"/>
        <w:outlineLvl w:val="1"/>
        <w:rPr>
          <w:rFonts w:hint="eastAsia" w:ascii="仿宋" w:hAnsi="仿宋" w:eastAsia="仿宋" w:cs="仿宋"/>
          <w:b/>
          <w:color w:val="auto"/>
          <w:sz w:val="21"/>
          <w:szCs w:val="21"/>
          <w:highlight w:val="none"/>
        </w:rPr>
      </w:pPr>
      <w:bookmarkStart w:id="147" w:name="_Toc25991"/>
      <w:bookmarkStart w:id="148" w:name="_Toc10268"/>
      <w:bookmarkStart w:id="149" w:name="_Toc23275"/>
      <w:r>
        <w:rPr>
          <w:rFonts w:hint="eastAsia" w:ascii="仿宋" w:hAnsi="仿宋" w:eastAsia="仿宋" w:cs="仿宋"/>
          <w:b/>
          <w:color w:val="auto"/>
          <w:sz w:val="21"/>
          <w:szCs w:val="21"/>
          <w:highlight w:val="none"/>
          <w:lang w:bidi="ar"/>
        </w:rPr>
        <w:br w:type="page"/>
      </w:r>
      <w:r>
        <w:rPr>
          <w:rFonts w:hint="eastAsia" w:ascii="仿宋" w:hAnsi="仿宋" w:eastAsia="仿宋" w:cs="仿宋"/>
          <w:b/>
          <w:color w:val="auto"/>
          <w:sz w:val="21"/>
          <w:szCs w:val="21"/>
          <w:highlight w:val="none"/>
          <w:lang w:bidi="ar"/>
        </w:rPr>
        <w:t>七、成交与合同</w:t>
      </w:r>
      <w:bookmarkEnd w:id="147"/>
      <w:bookmarkEnd w:id="148"/>
      <w:bookmarkEnd w:id="149"/>
    </w:p>
    <w:p w14:paraId="31FF4422">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（一）成交</w:t>
      </w:r>
    </w:p>
    <w:p w14:paraId="2A10568C">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20244C4">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2.采购代理机构在成交供应商确定后2个工作日内公告成交结果，同时向成交供应商发出成交通知书，并将磋商文件随成交结果同时公告。</w:t>
      </w:r>
    </w:p>
    <w:p w14:paraId="7CAEE720">
      <w:pPr>
        <w:shd w:val="clear"/>
        <w:adjustRightInd w:val="0"/>
        <w:snapToGrid w:val="0"/>
        <w:spacing w:line="360"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bidi="ar"/>
        </w:rPr>
        <w:t>3.评审结果公示媒体：浙江政府采购网（http://zfcg.czt.zj.gov.cn）。</w:t>
      </w:r>
    </w:p>
    <w:p w14:paraId="4F6CB049">
      <w:pPr>
        <w:shd w:val="clear"/>
        <w:adjustRightInd w:val="0"/>
        <w:snapToGrid w:val="0"/>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（二）合同授予</w:t>
      </w:r>
    </w:p>
    <w:p w14:paraId="077929E6">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E5C08CA">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3AD0AD9">
      <w:pPr>
        <w:shd w:val="clea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 </w:t>
      </w:r>
    </w:p>
    <w:p w14:paraId="77AD4B7D">
      <w:pPr>
        <w:shd w:val="clear"/>
        <w:adjustRightInd w:val="0"/>
        <w:snapToGrid w:val="0"/>
        <w:spacing w:line="360" w:lineRule="auto"/>
        <w:jc w:val="center"/>
        <w:outlineLvl w:val="1"/>
        <w:rPr>
          <w:rFonts w:hint="eastAsia" w:ascii="仿宋" w:hAnsi="仿宋" w:eastAsia="仿宋" w:cs="仿宋"/>
          <w:b/>
          <w:color w:val="auto"/>
          <w:sz w:val="21"/>
          <w:szCs w:val="21"/>
          <w:highlight w:val="none"/>
        </w:rPr>
      </w:pPr>
      <w:bookmarkStart w:id="150" w:name="_Toc28309"/>
      <w:bookmarkStart w:id="151" w:name="_Toc30128"/>
      <w:bookmarkStart w:id="152" w:name="_Toc14986"/>
      <w:r>
        <w:rPr>
          <w:rFonts w:hint="eastAsia" w:ascii="仿宋" w:hAnsi="仿宋" w:eastAsia="仿宋" w:cs="仿宋"/>
          <w:b/>
          <w:color w:val="auto"/>
          <w:sz w:val="21"/>
          <w:szCs w:val="21"/>
          <w:highlight w:val="none"/>
          <w:lang w:bidi="ar"/>
        </w:rPr>
        <w:br w:type="page"/>
      </w:r>
      <w:r>
        <w:rPr>
          <w:rFonts w:hint="eastAsia" w:ascii="仿宋" w:hAnsi="仿宋" w:eastAsia="仿宋" w:cs="仿宋"/>
          <w:b/>
          <w:color w:val="auto"/>
          <w:sz w:val="21"/>
          <w:szCs w:val="21"/>
          <w:highlight w:val="none"/>
          <w:lang w:bidi="ar"/>
        </w:rPr>
        <w:t>八、验  收</w:t>
      </w:r>
      <w:bookmarkEnd w:id="150"/>
      <w:bookmarkEnd w:id="151"/>
      <w:bookmarkEnd w:id="152"/>
    </w:p>
    <w:p w14:paraId="1EB1146B">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18EAE4F">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采购人可以邀请参加本项目的其他供应商或者第三方机构参与验收。参与验收的供应商或者第三方机构的意见作为验收书的参考资料一并存档。</w:t>
      </w:r>
    </w:p>
    <w:p w14:paraId="12A24639">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D1BDB3">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3F8711">
      <w:pPr>
        <w:shd w:val="clea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 </w:t>
      </w:r>
    </w:p>
    <w:p w14:paraId="07DC1F09">
      <w:pPr>
        <w:shd w:val="clear"/>
        <w:adjustRightInd w:val="0"/>
        <w:snapToGrid w:val="0"/>
        <w:spacing w:line="360" w:lineRule="auto"/>
        <w:jc w:val="center"/>
        <w:outlineLvl w:val="1"/>
        <w:rPr>
          <w:rFonts w:hint="eastAsia" w:ascii="仿宋" w:hAnsi="仿宋" w:eastAsia="仿宋" w:cs="仿宋"/>
          <w:b/>
          <w:bCs/>
          <w:color w:val="auto"/>
          <w:sz w:val="21"/>
          <w:szCs w:val="21"/>
          <w:highlight w:val="none"/>
        </w:rPr>
      </w:pPr>
      <w:bookmarkStart w:id="153" w:name="_Toc10913"/>
      <w:bookmarkStart w:id="154" w:name="_Toc14993"/>
      <w:bookmarkStart w:id="155" w:name="_Toc2819"/>
      <w:r>
        <w:rPr>
          <w:rFonts w:hint="eastAsia" w:ascii="仿宋" w:hAnsi="仿宋" w:eastAsia="仿宋" w:cs="仿宋"/>
          <w:b/>
          <w:bCs/>
          <w:color w:val="auto"/>
          <w:sz w:val="21"/>
          <w:szCs w:val="21"/>
          <w:highlight w:val="none"/>
          <w:lang w:bidi="ar"/>
        </w:rPr>
        <w:br w:type="page"/>
      </w:r>
      <w:r>
        <w:rPr>
          <w:rFonts w:hint="eastAsia" w:ascii="仿宋" w:hAnsi="仿宋" w:eastAsia="仿宋" w:cs="仿宋"/>
          <w:b/>
          <w:bCs/>
          <w:color w:val="auto"/>
          <w:sz w:val="21"/>
          <w:szCs w:val="21"/>
          <w:highlight w:val="none"/>
          <w:lang w:bidi="ar"/>
        </w:rPr>
        <w:t>九、可中止电子交易活动的情形</w:t>
      </w:r>
      <w:bookmarkEnd w:id="153"/>
      <w:bookmarkEnd w:id="154"/>
      <w:bookmarkEnd w:id="155"/>
    </w:p>
    <w:p w14:paraId="56D96F72">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采购过程中出现以下情形，导致电子交易平台无法正常运行，或者无法保证电子交易的公平、公正和安全时，采购代理机构可中止电子交易活动。</w:t>
      </w:r>
    </w:p>
    <w:p w14:paraId="55FB33D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1.电子交易平台发生故障而无法登录访问的。</w:t>
      </w:r>
    </w:p>
    <w:p w14:paraId="6D4D80D7">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2.电子交易平台应用或数据库出现错误，不能进行正常操作的。</w:t>
      </w:r>
    </w:p>
    <w:p w14:paraId="4BF3A1E6">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3.电子交易平台发现严重安全漏洞，有潜在泄密危险的。</w:t>
      </w:r>
    </w:p>
    <w:p w14:paraId="2581D03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4.病毒发作导致不能进行正常操作的。</w:t>
      </w:r>
    </w:p>
    <w:p w14:paraId="4E098D4D">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5.其他无法保证电子交易的公平、公正和安全的情况。</w:t>
      </w:r>
    </w:p>
    <w:p w14:paraId="471A1247">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出现前款规定情形，不影响采购公平、公正性的，采购代理机构可以待上述情形消除后继续组织电子交易活动。影响或可能影响采购公平、公正性的，应当重新采购。</w:t>
      </w:r>
    </w:p>
    <w:p w14:paraId="6E2AE76D">
      <w:pPr>
        <w:shd w:val="clear"/>
        <w:adjustRightInd w:val="0"/>
        <w:snapToGrid w:val="0"/>
        <w:spacing w:line="288" w:lineRule="auto"/>
        <w:outlineLvl w:val="9"/>
        <w:rPr>
          <w:rFonts w:hint="eastAsia" w:ascii="仿宋" w:hAnsi="仿宋" w:eastAsia="仿宋" w:cs="仿宋"/>
          <w:color w:val="auto"/>
          <w:sz w:val="21"/>
          <w:szCs w:val="21"/>
          <w:highlight w:val="none"/>
        </w:rPr>
      </w:pPr>
      <w:bookmarkStart w:id="156" w:name="_Toc30075"/>
      <w:bookmarkStart w:id="157" w:name="_Toc11891"/>
      <w:bookmarkStart w:id="158" w:name="_Toc17065"/>
      <w:bookmarkStart w:id="159" w:name="_Toc2552"/>
      <w:bookmarkStart w:id="160" w:name="_Toc148"/>
      <w:bookmarkStart w:id="161" w:name="_Toc566"/>
      <w:bookmarkStart w:id="162" w:name="_Toc29975"/>
      <w:r>
        <w:rPr>
          <w:rFonts w:hint="eastAsia" w:ascii="仿宋" w:hAnsi="仿宋" w:eastAsia="仿宋" w:cs="仿宋"/>
          <w:b/>
          <w:bCs/>
          <w:color w:val="auto"/>
          <w:sz w:val="32"/>
          <w:szCs w:val="32"/>
          <w:highlight w:val="none"/>
        </w:rPr>
        <w:br w:type="page"/>
      </w:r>
      <w:bookmarkEnd w:id="156"/>
      <w:bookmarkEnd w:id="157"/>
      <w:bookmarkEnd w:id="158"/>
      <w:bookmarkEnd w:id="159"/>
      <w:bookmarkEnd w:id="160"/>
      <w:bookmarkEnd w:id="161"/>
      <w:bookmarkEnd w:id="162"/>
    </w:p>
    <w:p w14:paraId="1620DEA5">
      <w:pPr>
        <w:shd w:val="clear"/>
        <w:adjustRightInd w:val="0"/>
        <w:snapToGrid w:val="0"/>
        <w:spacing w:line="288"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评审方法和评审标准</w:t>
      </w:r>
    </w:p>
    <w:p w14:paraId="72A5C91F">
      <w:pPr>
        <w:shd w:val="clear"/>
        <w:adjustRightInd w:val="0"/>
        <w:snapToGrid w:val="0"/>
        <w:spacing w:line="288" w:lineRule="auto"/>
        <w:outlineLvl w:val="1"/>
        <w:rPr>
          <w:rFonts w:hint="eastAsia" w:ascii="仿宋" w:hAnsi="仿宋" w:eastAsia="仿宋" w:cs="仿宋"/>
          <w:b/>
          <w:bCs/>
          <w:color w:val="auto"/>
          <w:sz w:val="21"/>
          <w:szCs w:val="21"/>
          <w:highlight w:val="none"/>
        </w:rPr>
      </w:pPr>
      <w:bookmarkStart w:id="163" w:name="_Toc11056"/>
      <w:bookmarkStart w:id="164" w:name="_Toc31576"/>
      <w:bookmarkStart w:id="165" w:name="_Toc27117"/>
      <w:r>
        <w:rPr>
          <w:rFonts w:hint="eastAsia" w:ascii="仿宋" w:hAnsi="仿宋" w:eastAsia="仿宋" w:cs="仿宋"/>
          <w:b/>
          <w:bCs/>
          <w:color w:val="auto"/>
          <w:sz w:val="21"/>
          <w:szCs w:val="21"/>
          <w:highlight w:val="none"/>
        </w:rPr>
        <w:t>一、评审方法</w:t>
      </w:r>
      <w:bookmarkEnd w:id="163"/>
      <w:bookmarkEnd w:id="164"/>
      <w:bookmarkEnd w:id="165"/>
    </w:p>
    <w:p w14:paraId="7462D57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本次评审采用综合评分法，总分为100分。评分过程中采用四舍五入法，并保留小数2位。</w:t>
      </w:r>
    </w:p>
    <w:p w14:paraId="581C17D9">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供应商评审综合得分=商务分+技术分+价格分</w:t>
      </w:r>
    </w:p>
    <w:p w14:paraId="276897F5">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商务分、技术分按照磋商小组成员的独立评分结果的算术平均分计算，计算公式为：商务分、技术分=（磋商小组所有成员评分合计数）/（磋商小组组成人员数）。</w:t>
      </w:r>
    </w:p>
    <w:p w14:paraId="0634EC1D">
      <w:pPr>
        <w:shd w:val="clear"/>
        <w:adjustRightInd w:val="0"/>
        <w:snapToGrid w:val="0"/>
        <w:spacing w:line="288" w:lineRule="auto"/>
        <w:outlineLvl w:val="1"/>
        <w:rPr>
          <w:rFonts w:hint="eastAsia" w:ascii="仿宋" w:hAnsi="仿宋" w:eastAsia="仿宋" w:cs="仿宋"/>
          <w:b/>
          <w:bCs/>
          <w:color w:val="auto"/>
          <w:sz w:val="21"/>
          <w:szCs w:val="21"/>
          <w:highlight w:val="none"/>
        </w:rPr>
      </w:pPr>
      <w:bookmarkStart w:id="166" w:name="_Toc20584"/>
      <w:bookmarkStart w:id="167" w:name="_Toc12885"/>
      <w:bookmarkStart w:id="168" w:name="_Toc24337"/>
      <w:r>
        <w:rPr>
          <w:rFonts w:hint="eastAsia" w:ascii="仿宋" w:hAnsi="仿宋" w:eastAsia="仿宋" w:cs="仿宋"/>
          <w:b/>
          <w:bCs/>
          <w:color w:val="auto"/>
          <w:sz w:val="21"/>
          <w:szCs w:val="21"/>
          <w:highlight w:val="none"/>
        </w:rPr>
        <w:t>二、评审标准</w:t>
      </w:r>
      <w:bookmarkEnd w:id="166"/>
      <w:bookmarkEnd w:id="167"/>
      <w:bookmarkEnd w:id="168"/>
    </w:p>
    <w:tbl>
      <w:tblPr>
        <w:tblStyle w:val="28"/>
        <w:tblW w:w="9609"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840"/>
        <w:gridCol w:w="7227"/>
      </w:tblGrid>
      <w:tr w14:paraId="2D9D6B7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42" w:type="dxa"/>
            <w:noWrap w:val="0"/>
            <w:vAlign w:val="center"/>
          </w:tcPr>
          <w:p w14:paraId="7986AD9D">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评审因素</w:t>
            </w:r>
          </w:p>
        </w:tc>
        <w:tc>
          <w:tcPr>
            <w:tcW w:w="840" w:type="dxa"/>
            <w:noWrap w:val="0"/>
            <w:vAlign w:val="center"/>
          </w:tcPr>
          <w:p w14:paraId="7779D863">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分值</w:t>
            </w:r>
          </w:p>
        </w:tc>
        <w:tc>
          <w:tcPr>
            <w:tcW w:w="7227" w:type="dxa"/>
            <w:noWrap w:val="0"/>
            <w:vAlign w:val="center"/>
          </w:tcPr>
          <w:p w14:paraId="6F7E6943">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评分细则</w:t>
            </w:r>
          </w:p>
        </w:tc>
      </w:tr>
      <w:tr w14:paraId="777FCAA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9" w:type="dxa"/>
            <w:gridSpan w:val="3"/>
            <w:noWrap w:val="0"/>
            <w:vAlign w:val="center"/>
          </w:tcPr>
          <w:p w14:paraId="5DE73C5C">
            <w:pPr>
              <w:shd w:val="clear"/>
              <w:adjustRightInd w:val="0"/>
              <w:snapToGrid w:val="0"/>
              <w:spacing w:line="288"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价格分（</w:t>
            </w:r>
            <w:r>
              <w:rPr>
                <w:rFonts w:hint="eastAsia" w:ascii="仿宋" w:hAnsi="仿宋" w:eastAsia="仿宋" w:cs="仿宋"/>
                <w:b/>
                <w:bCs/>
                <w:color w:val="auto"/>
                <w:sz w:val="21"/>
                <w:szCs w:val="21"/>
                <w:highlight w:val="none"/>
                <w:lang w:val="en-US" w:eastAsia="zh-CN"/>
              </w:rPr>
              <w:t>15分</w:t>
            </w:r>
            <w:r>
              <w:rPr>
                <w:rFonts w:hint="eastAsia" w:ascii="仿宋" w:hAnsi="仿宋" w:eastAsia="仿宋" w:cs="仿宋"/>
                <w:b/>
                <w:bCs/>
                <w:color w:val="auto"/>
                <w:sz w:val="21"/>
                <w:szCs w:val="21"/>
                <w:highlight w:val="none"/>
              </w:rPr>
              <w:t>）</w:t>
            </w:r>
          </w:p>
        </w:tc>
      </w:tr>
      <w:tr w14:paraId="597130E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noWrap w:val="0"/>
            <w:vAlign w:val="center"/>
          </w:tcPr>
          <w:p w14:paraId="55E8E95E">
            <w:pPr>
              <w:shd w:val="clear"/>
              <w:adjustRightInd w:val="0"/>
              <w:snapToGrid w:val="0"/>
              <w:jc w:val="center"/>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lang w:bidi="ar"/>
              </w:rPr>
              <w:t>最后磋商报价</w:t>
            </w:r>
          </w:p>
        </w:tc>
        <w:tc>
          <w:tcPr>
            <w:tcW w:w="840" w:type="dxa"/>
            <w:noWrap w:val="0"/>
            <w:vAlign w:val="center"/>
          </w:tcPr>
          <w:p w14:paraId="1F89DC9D">
            <w:pPr>
              <w:shd w:val="clear"/>
              <w:adjustRightInd w:val="0"/>
              <w:snapToGrid w:val="0"/>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color w:val="auto"/>
                <w:sz w:val="21"/>
                <w:szCs w:val="21"/>
                <w:highlight w:val="none"/>
                <w:lang w:val="en-US" w:eastAsia="zh-CN" w:bidi="ar"/>
              </w:rPr>
              <w:t>15</w:t>
            </w:r>
          </w:p>
        </w:tc>
        <w:tc>
          <w:tcPr>
            <w:tcW w:w="7227" w:type="dxa"/>
            <w:noWrap w:val="0"/>
            <w:vAlign w:val="center"/>
          </w:tcPr>
          <w:p w14:paraId="722790FE">
            <w:pPr>
              <w:shd w:val="clear"/>
              <w:adjustRightInd w:val="0"/>
              <w:snapToGrid w:val="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价格分统一采用低价优先法计算，即满足磋商文件要求且最后报价最低的供应商的价格为磋商基准价，其价格分为满分。</w:t>
            </w:r>
          </w:p>
          <w:p w14:paraId="6478EBC8">
            <w:pPr>
              <w:shd w:val="clear"/>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其他供应商的价格分统一按照下列公式计算：</w:t>
            </w:r>
          </w:p>
          <w:p w14:paraId="638F782E">
            <w:pPr>
              <w:shd w:val="clear"/>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磋商报价得分=（磋商基准价/最后磋商报价）×</w:t>
            </w:r>
            <w:r>
              <w:rPr>
                <w:rFonts w:hint="eastAsia" w:ascii="仿宋" w:hAnsi="仿宋" w:eastAsia="仿宋" w:cs="仿宋"/>
                <w:color w:val="auto"/>
                <w:sz w:val="21"/>
                <w:szCs w:val="21"/>
                <w:highlight w:val="none"/>
                <w:lang w:val="en-US" w:eastAsia="zh-CN" w:bidi="ar"/>
              </w:rPr>
              <w:t>15</w:t>
            </w:r>
            <w:r>
              <w:rPr>
                <w:rFonts w:hint="eastAsia" w:ascii="仿宋" w:hAnsi="仿宋" w:eastAsia="仿宋" w:cs="仿宋"/>
                <w:color w:val="auto"/>
                <w:sz w:val="21"/>
                <w:szCs w:val="21"/>
                <w:highlight w:val="none"/>
                <w:lang w:bidi="ar"/>
              </w:rPr>
              <w:t>%×100</w:t>
            </w:r>
          </w:p>
        </w:tc>
      </w:tr>
      <w:tr w14:paraId="3D68847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9" w:type="dxa"/>
            <w:gridSpan w:val="3"/>
            <w:noWrap w:val="0"/>
            <w:vAlign w:val="center"/>
          </w:tcPr>
          <w:p w14:paraId="61467F71">
            <w:pPr>
              <w:shd w:val="clear"/>
              <w:adjustRightInd w:val="0"/>
              <w:snapToGrid w:val="0"/>
              <w:spacing w:line="288"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商务分（</w:t>
            </w:r>
            <w:r>
              <w:rPr>
                <w:rFonts w:hint="eastAsia" w:ascii="仿宋" w:hAnsi="仿宋" w:eastAsia="仿宋" w:cs="仿宋"/>
                <w:b/>
                <w:bCs/>
                <w:color w:val="auto"/>
                <w:sz w:val="21"/>
                <w:szCs w:val="21"/>
                <w:highlight w:val="none"/>
                <w:lang w:val="en-US" w:eastAsia="zh-CN"/>
              </w:rPr>
              <w:t>7分</w:t>
            </w:r>
            <w:r>
              <w:rPr>
                <w:rFonts w:hint="eastAsia" w:ascii="仿宋" w:hAnsi="仿宋" w:eastAsia="仿宋" w:cs="仿宋"/>
                <w:b/>
                <w:bCs/>
                <w:color w:val="auto"/>
                <w:sz w:val="21"/>
                <w:szCs w:val="21"/>
                <w:highlight w:val="none"/>
              </w:rPr>
              <w:t>）</w:t>
            </w:r>
          </w:p>
        </w:tc>
      </w:tr>
      <w:tr w14:paraId="5AAABB8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42" w:type="dxa"/>
            <w:noWrap w:val="0"/>
            <w:vAlign w:val="center"/>
          </w:tcPr>
          <w:p w14:paraId="2716EF38">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业绩</w:t>
            </w:r>
          </w:p>
        </w:tc>
        <w:tc>
          <w:tcPr>
            <w:tcW w:w="840" w:type="dxa"/>
            <w:noWrap w:val="0"/>
            <w:vAlign w:val="center"/>
          </w:tcPr>
          <w:p w14:paraId="135DBFB4">
            <w:pPr>
              <w:shd w:val="clear"/>
              <w:adjustRightInd w:val="0"/>
              <w:snapToGrid w:val="0"/>
              <w:spacing w:line="288" w:lineRule="auto"/>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7227" w:type="dxa"/>
            <w:noWrap w:val="0"/>
            <w:vAlign w:val="center"/>
          </w:tcPr>
          <w:p w14:paraId="17BABA0E">
            <w:pPr>
              <w:shd w:val="clear"/>
              <w:adjustRightInd w:val="0"/>
              <w:snapToGrid w:val="0"/>
              <w:spacing w:line="288"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【客观分】</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自2022年1月1日以来（以合同签订时间为准）</w:t>
            </w:r>
            <w:r>
              <w:rPr>
                <w:rFonts w:hint="eastAsia" w:ascii="仿宋" w:hAnsi="仿宋" w:eastAsia="仿宋" w:cs="仿宋"/>
                <w:b/>
                <w:bCs/>
                <w:color w:val="auto"/>
                <w:kern w:val="0"/>
                <w:sz w:val="21"/>
                <w:szCs w:val="21"/>
                <w:highlight w:val="none"/>
                <w:lang w:val="en-US" w:eastAsia="zh-CN"/>
              </w:rPr>
              <w:t>具有同类项目</w:t>
            </w:r>
            <w:r>
              <w:rPr>
                <w:rFonts w:hint="eastAsia" w:ascii="仿宋" w:hAnsi="仿宋" w:eastAsia="仿宋" w:cs="仿宋"/>
                <w:color w:val="auto"/>
                <w:kern w:val="0"/>
                <w:sz w:val="21"/>
                <w:szCs w:val="21"/>
                <w:highlight w:val="none"/>
                <w:lang w:val="en-US" w:eastAsia="zh-CN"/>
              </w:rPr>
              <w:t>的</w:t>
            </w:r>
            <w:r>
              <w:rPr>
                <w:rFonts w:hint="eastAsia" w:ascii="仿宋" w:hAnsi="仿宋" w:eastAsia="仿宋" w:cs="仿宋"/>
                <w:color w:val="auto"/>
                <w:kern w:val="0"/>
                <w:sz w:val="21"/>
                <w:szCs w:val="21"/>
                <w:highlight w:val="none"/>
              </w:rPr>
              <w:t>合同业绩</w:t>
            </w:r>
            <w:r>
              <w:rPr>
                <w:rFonts w:hint="eastAsia" w:ascii="仿宋" w:hAnsi="仿宋" w:eastAsia="仿宋" w:cs="仿宋"/>
                <w:color w:val="auto"/>
                <w:sz w:val="21"/>
                <w:szCs w:val="21"/>
                <w:highlight w:val="none"/>
              </w:rPr>
              <w:t>（以提供的完整合同扫描件为准，未完整提供的不得分）：每提供1份合同业绩得0.5分，最高得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tc>
      </w:tr>
      <w:tr w14:paraId="51932BD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vMerge w:val="restart"/>
            <w:noWrap w:val="0"/>
            <w:vAlign w:val="center"/>
          </w:tcPr>
          <w:p w14:paraId="2EE6A7F8">
            <w:pPr>
              <w:shd w:val="clear"/>
              <w:adjustRightInd w:val="0"/>
              <w:snapToGrid w:val="0"/>
              <w:spacing w:line="288"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履约能力</w:t>
            </w:r>
          </w:p>
        </w:tc>
        <w:tc>
          <w:tcPr>
            <w:tcW w:w="840" w:type="dxa"/>
            <w:noWrap w:val="0"/>
            <w:vAlign w:val="center"/>
          </w:tcPr>
          <w:p w14:paraId="45DC78B5">
            <w:pPr>
              <w:shd w:val="clear"/>
              <w:adjustRightInd w:val="0"/>
              <w:snapToGrid w:val="0"/>
              <w:spacing w:line="288"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227" w:type="dxa"/>
            <w:noWrap w:val="0"/>
            <w:vAlign w:val="center"/>
          </w:tcPr>
          <w:p w14:paraId="542C6548">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【客观分】</w:t>
            </w:r>
            <w:r>
              <w:rPr>
                <w:rFonts w:hint="eastAsia" w:ascii="仿宋" w:hAnsi="仿宋" w:eastAsia="仿宋" w:cs="仿宋"/>
                <w:color w:val="auto"/>
                <w:sz w:val="21"/>
                <w:szCs w:val="21"/>
                <w:highlight w:val="none"/>
              </w:rPr>
              <w:t>供应商具有有效的ISO9001质量管理体系认证证书、ISO27001信息安全管理体系认证证书</w:t>
            </w:r>
            <w:r>
              <w:rPr>
                <w:rFonts w:hint="eastAsia" w:ascii="仿宋" w:hAnsi="仿宋" w:eastAsia="仿宋" w:cs="仿宋"/>
                <w:color w:val="auto"/>
                <w:sz w:val="21"/>
                <w:szCs w:val="21"/>
                <w:highlight w:val="none"/>
                <w:lang w:eastAsia="zh-CN"/>
              </w:rPr>
              <w:t>、ISO45001职业健康安全管理体系认证</w:t>
            </w:r>
            <w:r>
              <w:rPr>
                <w:rFonts w:hint="eastAsia" w:ascii="仿宋" w:hAnsi="仿宋" w:eastAsia="仿宋" w:cs="仿宋"/>
                <w:color w:val="auto"/>
                <w:sz w:val="21"/>
                <w:szCs w:val="21"/>
                <w:highlight w:val="none"/>
                <w:lang w:val="en-US" w:eastAsia="zh-CN"/>
              </w:rPr>
              <w:t>证书</w:t>
            </w:r>
            <w:r>
              <w:rPr>
                <w:rFonts w:hint="eastAsia" w:ascii="仿宋" w:hAnsi="仿宋" w:eastAsia="仿宋" w:cs="仿宋"/>
                <w:color w:val="auto"/>
                <w:sz w:val="21"/>
                <w:szCs w:val="21"/>
                <w:highlight w:val="none"/>
              </w:rPr>
              <w:t>，每提供一份得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分，最多得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14:paraId="0BC7BA10">
            <w:pPr>
              <w:shd w:val="clear"/>
              <w:wordWrap w:val="0"/>
              <w:topLinePunct/>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（提供证书扫描件及国家认证认可监督管理委员会官网（http://www.cnca.gov.cn/）查询截图，不提供不得分）。</w:t>
            </w:r>
          </w:p>
        </w:tc>
      </w:tr>
      <w:tr w14:paraId="7C0BAA5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vMerge w:val="continue"/>
            <w:noWrap w:val="0"/>
            <w:vAlign w:val="center"/>
          </w:tcPr>
          <w:p w14:paraId="14C36A01">
            <w:pPr>
              <w:shd w:val="clear"/>
              <w:adjustRightInd w:val="0"/>
              <w:snapToGrid w:val="0"/>
              <w:spacing w:line="288" w:lineRule="auto"/>
              <w:jc w:val="center"/>
              <w:rPr>
                <w:rFonts w:hint="eastAsia" w:ascii="仿宋" w:hAnsi="仿宋" w:eastAsia="仿宋" w:cs="仿宋"/>
                <w:b/>
                <w:bCs/>
                <w:color w:val="auto"/>
                <w:sz w:val="21"/>
                <w:szCs w:val="21"/>
                <w:highlight w:val="none"/>
                <w:lang w:val="en-US" w:eastAsia="zh-CN"/>
              </w:rPr>
            </w:pPr>
          </w:p>
        </w:tc>
        <w:tc>
          <w:tcPr>
            <w:tcW w:w="840" w:type="dxa"/>
            <w:noWrap w:val="0"/>
            <w:vAlign w:val="center"/>
          </w:tcPr>
          <w:p w14:paraId="5391C599">
            <w:pPr>
              <w:shd w:val="clear"/>
              <w:adjustRightInd w:val="0"/>
              <w:snapToGrid w:val="0"/>
              <w:spacing w:line="288" w:lineRule="auto"/>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227" w:type="dxa"/>
            <w:noWrap w:val="0"/>
            <w:vAlign w:val="center"/>
          </w:tcPr>
          <w:p w14:paraId="0678B196">
            <w:pPr>
              <w:shd w:val="clear"/>
              <w:wordWrap w:val="0"/>
              <w:topLinePunct/>
              <w:adjustRightInd w:val="0"/>
              <w:snapToGrid w:val="0"/>
              <w:spacing w:line="288"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【客观分】</w:t>
            </w:r>
            <w:r>
              <w:rPr>
                <w:rFonts w:hint="default"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lang w:val="en-US" w:eastAsia="zh-CN"/>
              </w:rPr>
              <w:t>22</w:t>
            </w:r>
            <w:r>
              <w:rPr>
                <w:rFonts w:hint="default" w:ascii="仿宋" w:hAnsi="仿宋" w:eastAsia="仿宋" w:cs="仿宋"/>
                <w:color w:val="auto"/>
                <w:sz w:val="21"/>
                <w:szCs w:val="21"/>
                <w:highlight w:val="none"/>
                <w:lang w:val="en-US" w:eastAsia="zh-CN"/>
              </w:rPr>
              <w:t>年至今，</w:t>
            </w:r>
            <w:r>
              <w:rPr>
                <w:rFonts w:hint="eastAsia" w:ascii="仿宋" w:hAnsi="仿宋" w:eastAsia="仿宋" w:cs="仿宋"/>
                <w:color w:val="auto"/>
                <w:sz w:val="21"/>
                <w:szCs w:val="21"/>
                <w:highlight w:val="none"/>
                <w:lang w:val="en-US" w:eastAsia="zh-CN"/>
              </w:rPr>
              <w:t>响应供应商（或系统开发商）具有</w:t>
            </w:r>
            <w:r>
              <w:rPr>
                <w:rFonts w:hint="default" w:ascii="仿宋" w:hAnsi="仿宋" w:eastAsia="仿宋" w:cs="仿宋"/>
                <w:color w:val="auto"/>
                <w:sz w:val="21"/>
                <w:szCs w:val="21"/>
                <w:highlight w:val="none"/>
                <w:lang w:val="en-US" w:eastAsia="zh-CN"/>
              </w:rPr>
              <w:t>自主知识产权的“国家级精品在线开放课程运行平台”运行的课程，成功获评线上一流本科课程数量大于300门得</w:t>
            </w:r>
            <w:r>
              <w:rPr>
                <w:rFonts w:hint="eastAsia" w:ascii="仿宋" w:hAnsi="仿宋" w:eastAsia="仿宋" w:cs="仿宋"/>
                <w:color w:val="auto"/>
                <w:sz w:val="21"/>
                <w:szCs w:val="21"/>
                <w:highlight w:val="none"/>
                <w:lang w:val="en-US" w:eastAsia="zh-CN"/>
              </w:rPr>
              <w:t>3</w:t>
            </w:r>
            <w:r>
              <w:rPr>
                <w:rFonts w:hint="default" w:ascii="仿宋" w:hAnsi="仿宋" w:eastAsia="仿宋" w:cs="仿宋"/>
                <w:color w:val="auto"/>
                <w:sz w:val="21"/>
                <w:szCs w:val="21"/>
                <w:highlight w:val="none"/>
                <w:lang w:val="en-US" w:eastAsia="zh-CN"/>
              </w:rPr>
              <w:t>分，大于150门得</w:t>
            </w:r>
            <w:r>
              <w:rPr>
                <w:rFonts w:hint="eastAsia" w:ascii="仿宋" w:hAnsi="仿宋" w:eastAsia="仿宋" w:cs="仿宋"/>
                <w:color w:val="auto"/>
                <w:sz w:val="21"/>
                <w:szCs w:val="21"/>
                <w:highlight w:val="none"/>
                <w:lang w:val="en-US" w:eastAsia="zh-CN"/>
              </w:rPr>
              <w:t>1</w:t>
            </w:r>
            <w:r>
              <w:rPr>
                <w:rFonts w:hint="default" w:ascii="仿宋" w:hAnsi="仿宋" w:eastAsia="仿宋" w:cs="仿宋"/>
                <w:color w:val="auto"/>
                <w:sz w:val="21"/>
                <w:szCs w:val="21"/>
                <w:highlight w:val="none"/>
                <w:lang w:val="en-US" w:eastAsia="zh-CN"/>
              </w:rPr>
              <w:t>分，否则不得分，满分</w:t>
            </w:r>
            <w:r>
              <w:rPr>
                <w:rFonts w:hint="eastAsia" w:ascii="仿宋" w:hAnsi="仿宋" w:eastAsia="仿宋" w:cs="仿宋"/>
                <w:color w:val="auto"/>
                <w:sz w:val="21"/>
                <w:szCs w:val="21"/>
                <w:highlight w:val="none"/>
                <w:lang w:val="en-US" w:eastAsia="zh-CN"/>
              </w:rPr>
              <w:t>3</w:t>
            </w:r>
            <w:r>
              <w:rPr>
                <w:rFonts w:hint="default" w:ascii="仿宋" w:hAnsi="仿宋" w:eastAsia="仿宋" w:cs="仿宋"/>
                <w:color w:val="auto"/>
                <w:sz w:val="21"/>
                <w:szCs w:val="21"/>
                <w:highlight w:val="none"/>
                <w:lang w:val="en-US" w:eastAsia="zh-CN"/>
              </w:rPr>
              <w:t>分。</w:t>
            </w:r>
          </w:p>
          <w:p w14:paraId="4ED77F2C">
            <w:pPr>
              <w:shd w:val="clear"/>
              <w:wordWrap w:val="0"/>
              <w:topLinePunct/>
              <w:adjustRightInd w:val="0"/>
              <w:snapToGrid w:val="0"/>
              <w:spacing w:line="288"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提供</w:t>
            </w:r>
            <w:r>
              <w:rPr>
                <w:rFonts w:hint="eastAsia" w:ascii="仿宋" w:hAnsi="仿宋" w:eastAsia="仿宋" w:cs="仿宋"/>
                <w:color w:val="auto"/>
                <w:sz w:val="21"/>
                <w:szCs w:val="21"/>
                <w:highlight w:val="none"/>
                <w:lang w:val="en-US" w:eastAsia="zh-CN"/>
              </w:rPr>
              <w:t>课程</w:t>
            </w:r>
            <w:r>
              <w:rPr>
                <w:rFonts w:hint="default" w:ascii="仿宋" w:hAnsi="仿宋" w:eastAsia="仿宋" w:cs="仿宋"/>
                <w:color w:val="auto"/>
                <w:sz w:val="21"/>
                <w:szCs w:val="21"/>
                <w:highlight w:val="none"/>
                <w:lang w:val="en-US" w:eastAsia="zh-CN"/>
              </w:rPr>
              <w:t>清单及证明文件</w:t>
            </w:r>
            <w:r>
              <w:rPr>
                <w:rFonts w:hint="eastAsia" w:ascii="仿宋" w:hAnsi="仿宋" w:eastAsia="仿宋" w:cs="仿宋"/>
                <w:color w:val="auto"/>
                <w:sz w:val="21"/>
                <w:szCs w:val="21"/>
                <w:highlight w:val="none"/>
                <w:lang w:val="en-US" w:eastAsia="zh-CN"/>
              </w:rPr>
              <w:t>）</w:t>
            </w:r>
          </w:p>
        </w:tc>
      </w:tr>
      <w:tr w14:paraId="59D053C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9" w:type="dxa"/>
            <w:gridSpan w:val="3"/>
            <w:noWrap w:val="0"/>
            <w:vAlign w:val="center"/>
          </w:tcPr>
          <w:p w14:paraId="2CB7929E">
            <w:pPr>
              <w:shd w:val="clear"/>
              <w:adjustRightInd w:val="0"/>
              <w:snapToGrid w:val="0"/>
              <w:spacing w:line="288"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技术分（</w:t>
            </w:r>
            <w:r>
              <w:rPr>
                <w:rFonts w:hint="eastAsia" w:ascii="仿宋" w:hAnsi="仿宋" w:eastAsia="仿宋" w:cs="仿宋"/>
                <w:b/>
                <w:bCs/>
                <w:color w:val="auto"/>
                <w:sz w:val="21"/>
                <w:szCs w:val="21"/>
                <w:highlight w:val="none"/>
                <w:lang w:val="en-US" w:eastAsia="zh-CN"/>
              </w:rPr>
              <w:t>78分</w:t>
            </w:r>
            <w:r>
              <w:rPr>
                <w:rFonts w:hint="eastAsia" w:ascii="仿宋" w:hAnsi="仿宋" w:eastAsia="仿宋" w:cs="仿宋"/>
                <w:b/>
                <w:bCs/>
                <w:color w:val="auto"/>
                <w:sz w:val="21"/>
                <w:szCs w:val="21"/>
                <w:highlight w:val="none"/>
              </w:rPr>
              <w:t>）</w:t>
            </w:r>
          </w:p>
        </w:tc>
      </w:tr>
      <w:tr w14:paraId="6C0435A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542" w:type="dxa"/>
            <w:noWrap w:val="0"/>
            <w:vAlign w:val="center"/>
          </w:tcPr>
          <w:p w14:paraId="51698A3F">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技术响应程度</w:t>
            </w:r>
          </w:p>
        </w:tc>
        <w:tc>
          <w:tcPr>
            <w:tcW w:w="840" w:type="dxa"/>
            <w:noWrap w:val="0"/>
            <w:vAlign w:val="center"/>
          </w:tcPr>
          <w:p w14:paraId="16640A6C">
            <w:pPr>
              <w:shd w:val="clear"/>
              <w:adjustRightInd w:val="0"/>
              <w:snapToGrid w:val="0"/>
              <w:spacing w:line="288" w:lineRule="auto"/>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30</w:t>
            </w:r>
          </w:p>
        </w:tc>
        <w:tc>
          <w:tcPr>
            <w:tcW w:w="7227" w:type="dxa"/>
            <w:noWrap w:val="0"/>
            <w:vAlign w:val="center"/>
          </w:tcPr>
          <w:p w14:paraId="2BE6F05B">
            <w:pPr>
              <w:pStyle w:val="6"/>
              <w:shd w:val="clear"/>
              <w:ind w:left="0" w:leftChars="0" w:firstLine="0" w:firstLineChars="0"/>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rPr>
              <w:t>【客观分】</w:t>
            </w:r>
            <w:r>
              <w:rPr>
                <w:rFonts w:hint="eastAsia" w:ascii="仿宋" w:hAnsi="仿宋" w:eastAsia="仿宋" w:cs="仿宋"/>
                <w:color w:val="auto"/>
                <w:kern w:val="0"/>
                <w:sz w:val="21"/>
                <w:szCs w:val="21"/>
                <w:highlight w:val="none"/>
                <w:lang w:val="en-US" w:eastAsia="zh-CN"/>
              </w:rPr>
              <w:t>供应商需</w:t>
            </w:r>
            <w:r>
              <w:rPr>
                <w:rFonts w:hint="eastAsia" w:ascii="仿宋" w:hAnsi="仿宋" w:eastAsia="仿宋" w:cs="仿宋"/>
                <w:color w:val="auto"/>
                <w:kern w:val="0"/>
                <w:sz w:val="21"/>
                <w:szCs w:val="21"/>
                <w:highlight w:val="none"/>
                <w:lang w:bidi="ar"/>
              </w:rPr>
              <w:t>对</w:t>
            </w:r>
            <w:r>
              <w:rPr>
                <w:rFonts w:hint="eastAsia" w:ascii="仿宋" w:hAnsi="仿宋" w:eastAsia="仿宋" w:cs="仿宋"/>
                <w:color w:val="auto"/>
                <w:sz w:val="21"/>
                <w:szCs w:val="21"/>
                <w:highlight w:val="none"/>
              </w:rPr>
              <w:t>磋商文件</w:t>
            </w:r>
            <w:r>
              <w:rPr>
                <w:rFonts w:hint="eastAsia" w:ascii="仿宋" w:hAnsi="仿宋" w:eastAsia="仿宋" w:cs="仿宋"/>
                <w:color w:val="auto"/>
                <w:kern w:val="0"/>
                <w:sz w:val="21"/>
                <w:szCs w:val="21"/>
                <w:highlight w:val="none"/>
                <w:lang w:val="en-US" w:eastAsia="zh-CN" w:bidi="ar"/>
              </w:rPr>
              <w:t>采购需求部分中功能要求逐条进行响应，标有“</w:t>
            </w: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的功能要求每</w:t>
            </w:r>
            <w:r>
              <w:rPr>
                <w:rFonts w:hint="eastAsia" w:ascii="仿宋" w:hAnsi="仿宋" w:eastAsia="仿宋" w:cs="仿宋"/>
                <w:color w:val="auto"/>
                <w:kern w:val="0"/>
                <w:sz w:val="21"/>
                <w:szCs w:val="21"/>
                <w:highlight w:val="none"/>
                <w:lang w:val="en-US" w:eastAsia="zh-CN" w:bidi="ar"/>
              </w:rPr>
              <w:t>负偏离一条</w:t>
            </w:r>
            <w:r>
              <w:rPr>
                <w:rFonts w:hint="eastAsia" w:ascii="仿宋" w:hAnsi="仿宋" w:eastAsia="仿宋" w:cs="仿宋"/>
                <w:color w:val="auto"/>
                <w:kern w:val="0"/>
                <w:sz w:val="21"/>
                <w:szCs w:val="21"/>
                <w:highlight w:val="none"/>
                <w:lang w:bidi="ar"/>
              </w:rPr>
              <w:t>减</w:t>
            </w: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bidi="ar"/>
              </w:rPr>
              <w:t>分,</w:t>
            </w:r>
            <w:r>
              <w:rPr>
                <w:rFonts w:hint="eastAsia" w:ascii="仿宋" w:hAnsi="仿宋" w:eastAsia="仿宋" w:cs="仿宋"/>
                <w:color w:val="auto"/>
                <w:kern w:val="0"/>
                <w:sz w:val="21"/>
                <w:szCs w:val="21"/>
                <w:highlight w:val="none"/>
                <w:lang w:val="en-US" w:eastAsia="zh-CN" w:bidi="ar"/>
              </w:rPr>
              <w:t>其他功能要求每负偏离一条减0.5分，</w:t>
            </w:r>
            <w:r>
              <w:rPr>
                <w:rFonts w:hint="eastAsia" w:ascii="仿宋" w:hAnsi="仿宋" w:eastAsia="仿宋" w:cs="仿宋"/>
                <w:color w:val="auto"/>
                <w:kern w:val="0"/>
                <w:sz w:val="21"/>
                <w:szCs w:val="21"/>
                <w:highlight w:val="none"/>
                <w:lang w:bidi="ar"/>
              </w:rPr>
              <w:t>扣完为止。</w:t>
            </w:r>
          </w:p>
        </w:tc>
      </w:tr>
      <w:tr w14:paraId="647DC57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42" w:type="dxa"/>
            <w:vMerge w:val="restart"/>
            <w:noWrap w:val="0"/>
            <w:vAlign w:val="center"/>
          </w:tcPr>
          <w:p w14:paraId="36C5F1EE">
            <w:pPr>
              <w:shd w:val="clear"/>
              <w:adjustRightInd w:val="0"/>
              <w:snapToGrid w:val="0"/>
              <w:jc w:val="center"/>
              <w:rPr>
                <w:rFonts w:hint="eastAsia" w:ascii="仿宋" w:hAnsi="仿宋" w:eastAsia="仿宋" w:cs="仿宋"/>
                <w:b/>
                <w:color w:val="auto"/>
                <w:sz w:val="21"/>
                <w:szCs w:val="21"/>
                <w:highlight w:val="none"/>
                <w:lang w:bidi="ar"/>
              </w:rPr>
            </w:pPr>
            <w:r>
              <w:rPr>
                <w:rFonts w:hint="eastAsia" w:ascii="仿宋" w:hAnsi="仿宋" w:eastAsia="仿宋" w:cs="仿宋"/>
                <w:b/>
                <w:bCs/>
                <w:color w:val="auto"/>
                <w:sz w:val="21"/>
                <w:szCs w:val="21"/>
                <w:highlight w:val="none"/>
                <w:lang w:val="en-US" w:eastAsia="zh-CN" w:bidi="ar"/>
              </w:rPr>
              <w:t>实施</w:t>
            </w:r>
            <w:r>
              <w:rPr>
                <w:rFonts w:hint="eastAsia" w:ascii="仿宋" w:hAnsi="仿宋" w:eastAsia="仿宋" w:cs="仿宋"/>
                <w:b/>
                <w:bCs/>
                <w:color w:val="auto"/>
                <w:sz w:val="21"/>
                <w:szCs w:val="21"/>
                <w:highlight w:val="none"/>
                <w:lang w:bidi="ar"/>
              </w:rPr>
              <w:t>方案</w:t>
            </w:r>
          </w:p>
        </w:tc>
        <w:tc>
          <w:tcPr>
            <w:tcW w:w="840" w:type="dxa"/>
            <w:noWrap w:val="0"/>
            <w:vAlign w:val="center"/>
          </w:tcPr>
          <w:p w14:paraId="7D892571">
            <w:pPr>
              <w:shd w:val="clear"/>
              <w:adjustRightInd w:val="0"/>
              <w:snapToGrid w:val="0"/>
              <w:jc w:val="center"/>
              <w:rPr>
                <w:rFonts w:hint="eastAsia" w:ascii="仿宋" w:hAnsi="仿宋" w:eastAsia="仿宋" w:cs="仿宋"/>
                <w:b/>
                <w:color w:val="auto"/>
                <w:sz w:val="21"/>
                <w:szCs w:val="21"/>
                <w:highlight w:val="none"/>
                <w:lang w:eastAsia="zh-CN" w:bidi="ar"/>
              </w:rPr>
            </w:pPr>
            <w:r>
              <w:rPr>
                <w:rFonts w:hint="eastAsia" w:ascii="仿宋" w:hAnsi="仿宋" w:eastAsia="仿宋" w:cs="仿宋"/>
                <w:b/>
                <w:bCs/>
                <w:color w:val="auto"/>
                <w:sz w:val="21"/>
                <w:szCs w:val="21"/>
                <w:highlight w:val="none"/>
                <w:lang w:val="en-US" w:eastAsia="zh-CN" w:bidi="ar"/>
              </w:rPr>
              <w:t>5</w:t>
            </w:r>
          </w:p>
        </w:tc>
        <w:tc>
          <w:tcPr>
            <w:tcW w:w="7227" w:type="dxa"/>
            <w:noWrap w:val="0"/>
            <w:vAlign w:val="center"/>
          </w:tcPr>
          <w:p w14:paraId="19EEDE62">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r>
              <w:rPr>
                <w:rFonts w:hint="eastAsia" w:ascii="仿宋" w:hAnsi="仿宋" w:eastAsia="仿宋" w:cs="仿宋"/>
                <w:color w:val="auto"/>
                <w:sz w:val="21"/>
                <w:szCs w:val="21"/>
                <w:highlight w:val="none"/>
                <w:lang w:eastAsia="zh-CN" w:bidi="ar"/>
              </w:rPr>
              <w:t>根据</w:t>
            </w:r>
            <w:r>
              <w:rPr>
                <w:rFonts w:hint="eastAsia" w:ascii="仿宋" w:hAnsi="仿宋" w:eastAsia="仿宋" w:cs="仿宋"/>
                <w:color w:val="auto"/>
                <w:sz w:val="21"/>
                <w:szCs w:val="21"/>
                <w:highlight w:val="none"/>
                <w:lang w:val="en-US" w:eastAsia="zh-CN" w:bidi="ar"/>
              </w:rPr>
              <w:t>供应商</w:t>
            </w:r>
            <w:r>
              <w:rPr>
                <w:rFonts w:hint="eastAsia" w:ascii="仿宋" w:hAnsi="仿宋" w:eastAsia="仿宋" w:cs="仿宋"/>
                <w:color w:val="auto"/>
                <w:sz w:val="21"/>
                <w:szCs w:val="21"/>
                <w:highlight w:val="none"/>
                <w:lang w:eastAsia="zh-CN" w:bidi="ar"/>
              </w:rPr>
              <w:t>提供的项目实施计划</w:t>
            </w:r>
            <w:r>
              <w:rPr>
                <w:rFonts w:hint="eastAsia" w:ascii="仿宋" w:hAnsi="仿宋" w:eastAsia="仿宋" w:cs="仿宋"/>
                <w:color w:val="auto"/>
                <w:sz w:val="21"/>
                <w:szCs w:val="21"/>
                <w:highlight w:val="none"/>
                <w:lang w:val="en-US" w:eastAsia="zh-CN" w:bidi="ar"/>
              </w:rPr>
              <w:t>的全面性</w:t>
            </w:r>
            <w:r>
              <w:rPr>
                <w:rFonts w:hint="eastAsia" w:ascii="仿宋" w:hAnsi="仿宋" w:eastAsia="仿宋" w:cs="仿宋"/>
                <w:color w:val="auto"/>
                <w:sz w:val="21"/>
                <w:szCs w:val="21"/>
                <w:highlight w:val="none"/>
                <w:lang w:eastAsia="zh-CN" w:bidi="ar"/>
              </w:rPr>
              <w:t>、流程明确程度及合理性进行评分。</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4,3,2,1,0）</w:t>
            </w:r>
          </w:p>
        </w:tc>
      </w:tr>
      <w:tr w14:paraId="0349996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42" w:type="dxa"/>
            <w:vMerge w:val="continue"/>
            <w:noWrap w:val="0"/>
            <w:vAlign w:val="center"/>
          </w:tcPr>
          <w:p w14:paraId="7E396662">
            <w:pPr>
              <w:shd w:val="clear"/>
              <w:adjustRightInd w:val="0"/>
              <w:snapToGrid w:val="0"/>
              <w:jc w:val="center"/>
              <w:rPr>
                <w:rFonts w:hint="eastAsia" w:ascii="仿宋" w:hAnsi="仿宋" w:eastAsia="仿宋" w:cs="仿宋"/>
                <w:b/>
                <w:bCs/>
                <w:color w:val="auto"/>
                <w:sz w:val="21"/>
                <w:szCs w:val="21"/>
                <w:highlight w:val="none"/>
                <w:lang w:val="en-US" w:eastAsia="zh-CN" w:bidi="ar"/>
              </w:rPr>
            </w:pPr>
          </w:p>
        </w:tc>
        <w:tc>
          <w:tcPr>
            <w:tcW w:w="840" w:type="dxa"/>
            <w:shd w:val="clear" w:color="auto" w:fill="auto"/>
            <w:noWrap w:val="0"/>
            <w:vAlign w:val="center"/>
          </w:tcPr>
          <w:p w14:paraId="50F680FA">
            <w:pPr>
              <w:shd w:val="clear"/>
              <w:adjustRightInd w:val="0"/>
              <w:snapToGrid w:val="0"/>
              <w:spacing w:line="288" w:lineRule="auto"/>
              <w:jc w:val="center"/>
              <w:rPr>
                <w:rFonts w:hint="eastAsia" w:ascii="仿宋" w:hAnsi="仿宋" w:eastAsia="仿宋" w:cs="仿宋"/>
                <w:b/>
                <w:color w:val="auto"/>
                <w:kern w:val="2"/>
                <w:sz w:val="21"/>
                <w:szCs w:val="21"/>
                <w:highlight w:val="none"/>
                <w:lang w:val="en-US" w:eastAsia="zh-CN" w:bidi="ar"/>
              </w:rPr>
            </w:pPr>
            <w:r>
              <w:rPr>
                <w:rFonts w:hint="eastAsia" w:ascii="仿宋" w:hAnsi="仿宋" w:eastAsia="仿宋" w:cs="仿宋"/>
                <w:b/>
                <w:bCs/>
                <w:color w:val="auto"/>
                <w:sz w:val="21"/>
                <w:szCs w:val="21"/>
                <w:highlight w:val="none"/>
                <w:lang w:val="en-US" w:eastAsia="zh-CN" w:bidi="ar"/>
              </w:rPr>
              <w:t>5</w:t>
            </w:r>
          </w:p>
        </w:tc>
        <w:tc>
          <w:tcPr>
            <w:tcW w:w="7227" w:type="dxa"/>
            <w:shd w:val="clear" w:color="auto" w:fill="auto"/>
            <w:noWrap w:val="0"/>
            <w:vAlign w:val="center"/>
          </w:tcPr>
          <w:p w14:paraId="693FB0BB">
            <w:pPr>
              <w:shd w:val="clear"/>
              <w:adjustRightInd w:val="0"/>
              <w:snapToGrid w:val="0"/>
              <w:spacing w:line="288"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sz w:val="21"/>
                <w:szCs w:val="21"/>
                <w:highlight w:val="none"/>
              </w:rPr>
              <w:t>【主观分】</w:t>
            </w:r>
            <w:r>
              <w:rPr>
                <w:rFonts w:hint="eastAsia" w:ascii="仿宋" w:hAnsi="仿宋" w:eastAsia="仿宋" w:cs="仿宋"/>
                <w:color w:val="auto"/>
                <w:sz w:val="21"/>
                <w:szCs w:val="21"/>
                <w:highlight w:val="none"/>
                <w:lang w:val="en-US" w:eastAsia="zh-CN"/>
              </w:rPr>
              <w:t>根据</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val="en-US" w:eastAsia="zh-CN" w:bidi="ar"/>
              </w:rPr>
              <w:t>提供的本项目系统与学校教务系统、学校统一身份认证系统对接方案的全面性、合理性及针对性进行评议</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4,3,2,1,0）</w:t>
            </w:r>
          </w:p>
        </w:tc>
      </w:tr>
      <w:tr w14:paraId="76FC2D1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vMerge w:val="continue"/>
            <w:noWrap w:val="0"/>
            <w:vAlign w:val="center"/>
          </w:tcPr>
          <w:p w14:paraId="205ED80B">
            <w:pPr>
              <w:shd w:val="clear"/>
              <w:adjustRightInd w:val="0"/>
              <w:snapToGrid w:val="0"/>
              <w:jc w:val="center"/>
              <w:rPr>
                <w:rFonts w:hint="eastAsia" w:ascii="仿宋" w:hAnsi="仿宋" w:eastAsia="仿宋" w:cs="仿宋"/>
                <w:b/>
                <w:bCs/>
                <w:color w:val="auto"/>
                <w:sz w:val="21"/>
                <w:szCs w:val="21"/>
                <w:highlight w:val="none"/>
                <w:lang w:bidi="ar"/>
              </w:rPr>
            </w:pPr>
          </w:p>
        </w:tc>
        <w:tc>
          <w:tcPr>
            <w:tcW w:w="840" w:type="dxa"/>
            <w:noWrap w:val="0"/>
            <w:vAlign w:val="center"/>
          </w:tcPr>
          <w:p w14:paraId="53787D20">
            <w:pPr>
              <w:shd w:val="clear"/>
              <w:adjustRightInd w:val="0"/>
              <w:snapToGrid w:val="0"/>
              <w:spacing w:line="288" w:lineRule="auto"/>
              <w:jc w:val="center"/>
              <w:rPr>
                <w:rFonts w:hint="eastAsia" w:ascii="仿宋" w:hAnsi="仿宋" w:eastAsia="仿宋" w:cs="仿宋"/>
                <w:b/>
                <w:color w:val="auto"/>
                <w:sz w:val="21"/>
                <w:szCs w:val="21"/>
                <w:highlight w:val="none"/>
                <w:lang w:val="en-US" w:eastAsia="zh-CN" w:bidi="ar"/>
              </w:rPr>
            </w:pPr>
            <w:r>
              <w:rPr>
                <w:rFonts w:hint="eastAsia" w:ascii="仿宋" w:hAnsi="仿宋" w:eastAsia="仿宋" w:cs="仿宋"/>
                <w:b/>
                <w:color w:val="auto"/>
                <w:sz w:val="21"/>
                <w:szCs w:val="21"/>
                <w:highlight w:val="none"/>
                <w:lang w:val="en-US" w:eastAsia="zh-CN" w:bidi="ar"/>
              </w:rPr>
              <w:t>5</w:t>
            </w:r>
          </w:p>
        </w:tc>
        <w:tc>
          <w:tcPr>
            <w:tcW w:w="7227" w:type="dxa"/>
            <w:noWrap w:val="0"/>
            <w:vAlign w:val="center"/>
          </w:tcPr>
          <w:p w14:paraId="7D4FBB47">
            <w:pPr>
              <w:shd w:val="clear"/>
              <w:adjustRightInd w:val="0"/>
              <w:snapToGrid w:val="0"/>
              <w:spacing w:line="288" w:lineRule="auto"/>
              <w:rPr>
                <w:rFonts w:hint="default" w:ascii="仿宋" w:hAnsi="仿宋" w:eastAsia="仿宋" w:cs="仿宋"/>
                <w:color w:val="auto"/>
                <w:sz w:val="21"/>
                <w:szCs w:val="21"/>
                <w:highlight w:val="none"/>
                <w:lang w:val="en-US" w:bidi="ar"/>
              </w:rPr>
            </w:pPr>
            <w:r>
              <w:rPr>
                <w:rFonts w:hint="eastAsia" w:ascii="仿宋" w:hAnsi="仿宋" w:eastAsia="仿宋" w:cs="仿宋"/>
                <w:color w:val="auto"/>
                <w:sz w:val="21"/>
                <w:szCs w:val="21"/>
                <w:highlight w:val="none"/>
              </w:rPr>
              <w:t>【主观分】</w:t>
            </w:r>
            <w:r>
              <w:rPr>
                <w:rFonts w:hint="default" w:ascii="仿宋" w:hAnsi="仿宋" w:eastAsia="仿宋" w:cs="仿宋"/>
                <w:color w:val="auto"/>
                <w:sz w:val="21"/>
                <w:szCs w:val="21"/>
                <w:highlight w:val="none"/>
                <w:lang w:val="en-US" w:bidi="ar"/>
              </w:rPr>
              <w:t>根据投标人提供的服务方案和措施合理性、完善性，满足采购需求的程度进行评分。</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4,3,2,1,0）</w:t>
            </w:r>
          </w:p>
        </w:tc>
      </w:tr>
      <w:tr w14:paraId="1777FDF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noWrap w:val="0"/>
            <w:vAlign w:val="center"/>
          </w:tcPr>
          <w:p w14:paraId="7EDFE963">
            <w:pPr>
              <w:shd w:val="clear"/>
              <w:adjustRightInd w:val="0"/>
              <w:snapToGrid w:val="0"/>
              <w:spacing w:line="288" w:lineRule="auto"/>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质量保障措施</w:t>
            </w:r>
          </w:p>
        </w:tc>
        <w:tc>
          <w:tcPr>
            <w:tcW w:w="840" w:type="dxa"/>
            <w:noWrap w:val="0"/>
            <w:vAlign w:val="center"/>
          </w:tcPr>
          <w:p w14:paraId="3267C667">
            <w:pPr>
              <w:shd w:val="clear"/>
              <w:adjustRightInd w:val="0"/>
              <w:snapToGrid w:val="0"/>
              <w:spacing w:line="288" w:lineRule="auto"/>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5</w:t>
            </w:r>
          </w:p>
        </w:tc>
        <w:tc>
          <w:tcPr>
            <w:tcW w:w="7227" w:type="dxa"/>
            <w:noWrap w:val="0"/>
            <w:vAlign w:val="center"/>
          </w:tcPr>
          <w:p w14:paraId="16296900">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【主观分】根据供应商</w:t>
            </w:r>
            <w:r>
              <w:rPr>
                <w:rFonts w:hint="eastAsia" w:ascii="仿宋" w:hAnsi="仿宋" w:eastAsia="仿宋" w:cs="仿宋"/>
                <w:color w:val="auto"/>
                <w:sz w:val="21"/>
                <w:szCs w:val="21"/>
                <w:highlight w:val="none"/>
                <w:lang w:val="en-US" w:eastAsia="zh-CN" w:bidi="ar"/>
              </w:rPr>
              <w:t>针对本项目</w:t>
            </w:r>
            <w:r>
              <w:rPr>
                <w:rFonts w:hint="eastAsia" w:ascii="仿宋" w:hAnsi="仿宋" w:eastAsia="仿宋" w:cs="仿宋"/>
                <w:color w:val="auto"/>
                <w:sz w:val="21"/>
                <w:szCs w:val="21"/>
                <w:highlight w:val="none"/>
                <w:lang w:eastAsia="zh-CN" w:bidi="ar"/>
              </w:rPr>
              <w:t>提供</w:t>
            </w:r>
            <w:r>
              <w:rPr>
                <w:rFonts w:hint="eastAsia" w:ascii="仿宋" w:hAnsi="仿宋" w:eastAsia="仿宋" w:cs="仿宋"/>
                <w:color w:val="auto"/>
                <w:sz w:val="21"/>
                <w:szCs w:val="21"/>
                <w:highlight w:val="none"/>
                <w:lang w:val="en-US" w:eastAsia="zh-CN" w:bidi="ar"/>
              </w:rPr>
              <w:t>的质量保障</w:t>
            </w:r>
            <w:r>
              <w:rPr>
                <w:rFonts w:hint="eastAsia" w:ascii="仿宋" w:hAnsi="仿宋" w:eastAsia="仿宋" w:cs="仿宋"/>
                <w:color w:val="auto"/>
                <w:sz w:val="21"/>
                <w:szCs w:val="21"/>
                <w:highlight w:val="none"/>
                <w:lang w:eastAsia="zh-CN" w:bidi="ar"/>
              </w:rPr>
              <w:t>措施</w:t>
            </w:r>
            <w:r>
              <w:rPr>
                <w:rFonts w:hint="eastAsia" w:ascii="仿宋" w:hAnsi="仿宋" w:eastAsia="仿宋" w:cs="仿宋"/>
                <w:color w:val="auto"/>
                <w:sz w:val="21"/>
                <w:szCs w:val="21"/>
                <w:highlight w:val="none"/>
                <w:lang w:val="en-US" w:eastAsia="zh-CN" w:bidi="ar"/>
              </w:rPr>
              <w:t>的</w:t>
            </w:r>
            <w:r>
              <w:rPr>
                <w:rFonts w:hint="eastAsia" w:ascii="仿宋" w:hAnsi="仿宋" w:eastAsia="仿宋" w:cs="仿宋"/>
                <w:color w:val="auto"/>
                <w:sz w:val="21"/>
                <w:szCs w:val="21"/>
                <w:highlight w:val="none"/>
                <w:lang w:eastAsia="zh-CN" w:bidi="ar"/>
              </w:rPr>
              <w:t>合理性、完善性，满足采购需求的程度进行评分。</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bidi="ar"/>
              </w:rPr>
              <w:t>5,4,3,2,1,0</w:t>
            </w:r>
            <w:r>
              <w:rPr>
                <w:rFonts w:hint="eastAsia" w:ascii="仿宋" w:hAnsi="仿宋" w:eastAsia="仿宋" w:cs="仿宋"/>
                <w:color w:val="auto"/>
                <w:sz w:val="21"/>
                <w:szCs w:val="21"/>
                <w:highlight w:val="none"/>
              </w:rPr>
              <w:t>）</w:t>
            </w:r>
          </w:p>
        </w:tc>
      </w:tr>
      <w:tr w14:paraId="43CFC0F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542" w:type="dxa"/>
            <w:noWrap w:val="0"/>
            <w:vAlign w:val="center"/>
          </w:tcPr>
          <w:p w14:paraId="062E3E48">
            <w:pPr>
              <w:shd w:val="clear"/>
              <w:adjustRightInd w:val="0"/>
              <w:snapToGrid w:val="0"/>
              <w:spacing w:line="288"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rPr>
              <w:t>培训方案</w:t>
            </w:r>
          </w:p>
        </w:tc>
        <w:tc>
          <w:tcPr>
            <w:tcW w:w="840" w:type="dxa"/>
            <w:noWrap w:val="0"/>
            <w:vAlign w:val="center"/>
          </w:tcPr>
          <w:p w14:paraId="41C2F5B0">
            <w:pPr>
              <w:shd w:val="clear"/>
              <w:adjustRightInd w:val="0"/>
              <w:snapToGrid w:val="0"/>
              <w:spacing w:line="288"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color w:val="auto"/>
                <w:sz w:val="21"/>
                <w:szCs w:val="21"/>
                <w:highlight w:val="none"/>
                <w:lang w:val="en-US" w:eastAsia="zh-CN" w:bidi="ar"/>
              </w:rPr>
              <w:t>4</w:t>
            </w:r>
          </w:p>
        </w:tc>
        <w:tc>
          <w:tcPr>
            <w:tcW w:w="7227" w:type="dxa"/>
            <w:noWrap w:val="0"/>
            <w:vAlign w:val="center"/>
          </w:tcPr>
          <w:p w14:paraId="71606A1F">
            <w:pPr>
              <w:shd w:val="clear"/>
              <w:adjustRightInd w:val="0"/>
              <w:snapToGrid w:val="0"/>
              <w:spacing w:line="288"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bidi="ar"/>
              </w:rPr>
              <w:t>【主观分】</w:t>
            </w:r>
            <w:r>
              <w:rPr>
                <w:rFonts w:hint="eastAsia" w:ascii="仿宋" w:hAnsi="仿宋" w:eastAsia="仿宋" w:cs="仿宋"/>
                <w:color w:val="auto"/>
                <w:sz w:val="21"/>
                <w:szCs w:val="21"/>
                <w:highlight w:val="none"/>
                <w:lang w:val="en-US" w:eastAsia="zh-CN" w:bidi="ar"/>
              </w:rPr>
              <w:t>根据</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培训计划情况</w:t>
            </w:r>
            <w:r>
              <w:rPr>
                <w:rFonts w:hint="eastAsia" w:ascii="仿宋" w:hAnsi="仿宋" w:eastAsia="仿宋" w:cs="仿宋"/>
                <w:color w:val="auto"/>
                <w:sz w:val="21"/>
                <w:szCs w:val="21"/>
                <w:highlight w:val="none"/>
                <w:lang w:val="en-US" w:eastAsia="zh-CN"/>
              </w:rPr>
              <w:t>进行评分</w:t>
            </w:r>
            <w:r>
              <w:rPr>
                <w:rFonts w:hint="eastAsia" w:ascii="仿宋" w:hAnsi="仿宋" w:eastAsia="仿宋" w:cs="仿宋"/>
                <w:color w:val="auto"/>
                <w:sz w:val="21"/>
                <w:szCs w:val="21"/>
                <w:highlight w:val="none"/>
              </w:rPr>
              <w:t>，包括培训计划的针对性，内容详细程度，科学合理性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bidi="ar"/>
              </w:rPr>
              <w:t>4,3,2,1,0</w:t>
            </w:r>
            <w:r>
              <w:rPr>
                <w:rFonts w:hint="eastAsia" w:ascii="仿宋" w:hAnsi="仿宋" w:eastAsia="仿宋" w:cs="仿宋"/>
                <w:color w:val="auto"/>
                <w:sz w:val="21"/>
                <w:szCs w:val="21"/>
                <w:highlight w:val="none"/>
              </w:rPr>
              <w:t>）</w:t>
            </w:r>
          </w:p>
        </w:tc>
      </w:tr>
      <w:tr w14:paraId="7B4607E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542" w:type="dxa"/>
            <w:vMerge w:val="restart"/>
            <w:noWrap w:val="0"/>
            <w:vAlign w:val="center"/>
          </w:tcPr>
          <w:p w14:paraId="1559B90A">
            <w:pPr>
              <w:shd w:val="clear"/>
              <w:adjustRightInd w:val="0"/>
              <w:snapToGrid w:val="0"/>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项目团队</w:t>
            </w:r>
          </w:p>
        </w:tc>
        <w:tc>
          <w:tcPr>
            <w:tcW w:w="840" w:type="dxa"/>
            <w:noWrap w:val="0"/>
            <w:vAlign w:val="center"/>
          </w:tcPr>
          <w:p w14:paraId="38941BC8">
            <w:pPr>
              <w:shd w:val="clear"/>
              <w:adjustRightInd w:val="0"/>
              <w:snapToGrid w:val="0"/>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5</w:t>
            </w:r>
          </w:p>
        </w:tc>
        <w:tc>
          <w:tcPr>
            <w:tcW w:w="7227" w:type="dxa"/>
            <w:noWrap w:val="0"/>
            <w:vAlign w:val="center"/>
          </w:tcPr>
          <w:p w14:paraId="60640423">
            <w:pPr>
              <w:shd w:val="clear"/>
              <w:adjustRightInd w:val="0"/>
              <w:snapToGrid w:val="0"/>
              <w:spacing w:line="288"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【主观分】</w:t>
            </w:r>
            <w:r>
              <w:rPr>
                <w:rFonts w:hint="eastAsia" w:ascii="仿宋" w:hAnsi="仿宋" w:eastAsia="仿宋" w:cs="仿宋"/>
                <w:color w:val="auto"/>
                <w:sz w:val="21"/>
                <w:szCs w:val="21"/>
                <w:highlight w:val="none"/>
                <w:lang w:val="en-US" w:eastAsia="zh-CN"/>
              </w:rPr>
              <w:t>供应商拟投入本项目团队人员的岗位配置、人数、类似软件服务项目经验、人员专业技术结构等情况进行评议。</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bidi="ar"/>
              </w:rPr>
              <w:t>5,4,3,2,1,0</w:t>
            </w:r>
            <w:r>
              <w:rPr>
                <w:rFonts w:hint="eastAsia" w:ascii="仿宋" w:hAnsi="仿宋" w:eastAsia="仿宋" w:cs="仿宋"/>
                <w:color w:val="auto"/>
                <w:sz w:val="21"/>
                <w:szCs w:val="21"/>
                <w:highlight w:val="none"/>
              </w:rPr>
              <w:t>）</w:t>
            </w:r>
          </w:p>
          <w:p w14:paraId="6C2FDA93">
            <w:pPr>
              <w:shd w:val="clear"/>
              <w:adjustRightInd w:val="0"/>
              <w:snapToGrid w:val="0"/>
              <w:spacing w:line="288"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拟派的项目团队人员须为供应商正式员工，提供供应商为其缴纳的近三个月内任意一个月的社保证明。</w:t>
            </w:r>
          </w:p>
        </w:tc>
      </w:tr>
      <w:tr w14:paraId="6EF4D16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noWrap w:val="0"/>
            <w:vAlign w:val="center"/>
          </w:tcPr>
          <w:p w14:paraId="02BB04D4">
            <w:pPr>
              <w:shd w:val="clear"/>
              <w:adjustRightInd w:val="0"/>
              <w:snapToGrid w:val="0"/>
              <w:spacing w:line="288" w:lineRule="auto"/>
              <w:jc w:val="center"/>
              <w:rPr>
                <w:rFonts w:hint="eastAsia" w:ascii="仿宋" w:hAnsi="仿宋" w:eastAsia="仿宋" w:cs="仿宋"/>
                <w:b/>
                <w:color w:val="auto"/>
                <w:sz w:val="21"/>
                <w:szCs w:val="21"/>
                <w:highlight w:val="none"/>
                <w:lang w:bidi="ar"/>
              </w:rPr>
            </w:pPr>
            <w:r>
              <w:rPr>
                <w:rFonts w:hint="eastAsia" w:ascii="仿宋" w:hAnsi="仿宋" w:eastAsia="仿宋" w:cs="仿宋"/>
                <w:b/>
                <w:color w:val="auto"/>
                <w:sz w:val="21"/>
                <w:szCs w:val="21"/>
                <w:highlight w:val="none"/>
                <w:lang w:bidi="ar"/>
              </w:rPr>
              <w:t>售后服务方案</w:t>
            </w:r>
          </w:p>
        </w:tc>
        <w:tc>
          <w:tcPr>
            <w:tcW w:w="840" w:type="dxa"/>
            <w:noWrap w:val="0"/>
            <w:vAlign w:val="center"/>
          </w:tcPr>
          <w:p w14:paraId="158615C0">
            <w:pPr>
              <w:shd w:val="clear"/>
              <w:adjustRightInd w:val="0"/>
              <w:snapToGrid w:val="0"/>
              <w:spacing w:line="288" w:lineRule="auto"/>
              <w:jc w:val="center"/>
              <w:rPr>
                <w:rFonts w:hint="eastAsia" w:ascii="仿宋" w:hAnsi="仿宋" w:eastAsia="仿宋" w:cs="仿宋"/>
                <w:b/>
                <w:color w:val="auto"/>
                <w:sz w:val="21"/>
                <w:szCs w:val="21"/>
                <w:highlight w:val="none"/>
                <w:lang w:eastAsia="zh-CN" w:bidi="ar"/>
              </w:rPr>
            </w:pPr>
            <w:r>
              <w:rPr>
                <w:rFonts w:hint="eastAsia" w:ascii="仿宋" w:hAnsi="仿宋" w:eastAsia="仿宋" w:cs="仿宋"/>
                <w:b/>
                <w:color w:val="auto"/>
                <w:sz w:val="21"/>
                <w:szCs w:val="21"/>
                <w:highlight w:val="none"/>
                <w:lang w:val="en-US" w:eastAsia="zh-CN" w:bidi="ar"/>
              </w:rPr>
              <w:t>4</w:t>
            </w:r>
          </w:p>
        </w:tc>
        <w:tc>
          <w:tcPr>
            <w:tcW w:w="7227" w:type="dxa"/>
            <w:noWrap w:val="0"/>
            <w:vAlign w:val="center"/>
          </w:tcPr>
          <w:p w14:paraId="675A4B20">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【主观分】</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提供的售后服务方案情况</w:t>
            </w:r>
            <w:r>
              <w:rPr>
                <w:rFonts w:hint="eastAsia" w:ascii="仿宋" w:hAnsi="仿宋" w:eastAsia="仿宋" w:cs="仿宋"/>
                <w:color w:val="auto"/>
                <w:sz w:val="21"/>
                <w:szCs w:val="21"/>
                <w:highlight w:val="none"/>
                <w:lang w:val="en-US" w:eastAsia="zh-CN"/>
              </w:rPr>
              <w:t>进行评分</w:t>
            </w:r>
            <w:r>
              <w:rPr>
                <w:rFonts w:hint="eastAsia" w:ascii="仿宋" w:hAnsi="仿宋" w:eastAsia="仿宋" w:cs="仿宋"/>
                <w:color w:val="auto"/>
                <w:sz w:val="21"/>
                <w:szCs w:val="21"/>
                <w:highlight w:val="none"/>
              </w:rPr>
              <w:t>，包括售后服务方案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全面合理，服务内容</w:t>
            </w:r>
            <w:r>
              <w:rPr>
                <w:rFonts w:hint="eastAsia" w:ascii="仿宋" w:hAnsi="仿宋" w:eastAsia="仿宋" w:cs="仿宋"/>
                <w:color w:val="auto"/>
                <w:sz w:val="21"/>
                <w:szCs w:val="21"/>
                <w:highlight w:val="none"/>
                <w:lang w:val="en-US" w:eastAsia="zh-CN"/>
              </w:rPr>
              <w:t>是否具有</w:t>
            </w:r>
            <w:r>
              <w:rPr>
                <w:rFonts w:hint="eastAsia" w:ascii="仿宋" w:hAnsi="仿宋" w:eastAsia="仿宋" w:cs="仿宋"/>
                <w:color w:val="auto"/>
                <w:sz w:val="21"/>
                <w:szCs w:val="21"/>
                <w:highlight w:val="none"/>
              </w:rPr>
              <w:t>针对性，响应时间</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迅速，技术支持服务力量</w:t>
            </w:r>
            <w:r>
              <w:rPr>
                <w:rFonts w:hint="eastAsia" w:ascii="仿宋" w:hAnsi="仿宋" w:eastAsia="仿宋" w:cs="仿宋"/>
                <w:color w:val="auto"/>
                <w:sz w:val="21"/>
                <w:szCs w:val="21"/>
                <w:highlight w:val="none"/>
                <w:lang w:val="en-US" w:eastAsia="zh-CN"/>
              </w:rPr>
              <w:t>情况。</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bidi="ar"/>
              </w:rPr>
              <w:t>4,3,2,1,0</w:t>
            </w:r>
            <w:r>
              <w:rPr>
                <w:rFonts w:hint="eastAsia" w:ascii="仿宋" w:hAnsi="仿宋" w:eastAsia="仿宋" w:cs="仿宋"/>
                <w:color w:val="auto"/>
                <w:sz w:val="21"/>
                <w:szCs w:val="21"/>
                <w:highlight w:val="none"/>
              </w:rPr>
              <w:t>）</w:t>
            </w:r>
          </w:p>
        </w:tc>
      </w:tr>
      <w:tr w14:paraId="2EA048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noWrap w:val="0"/>
            <w:vAlign w:val="center"/>
          </w:tcPr>
          <w:p w14:paraId="6A14BFBA">
            <w:pPr>
              <w:shd w:val="clear"/>
              <w:adjustRightInd w:val="0"/>
              <w:snapToGrid w:val="0"/>
              <w:jc w:val="center"/>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lang w:val="en-US" w:eastAsia="zh-CN" w:bidi="ar"/>
              </w:rPr>
              <w:t>功能</w:t>
            </w:r>
            <w:r>
              <w:rPr>
                <w:rFonts w:hint="eastAsia" w:ascii="仿宋" w:hAnsi="仿宋" w:eastAsia="仿宋" w:cs="仿宋"/>
                <w:b/>
                <w:color w:val="auto"/>
                <w:sz w:val="21"/>
                <w:szCs w:val="21"/>
                <w:highlight w:val="none"/>
                <w:lang w:bidi="ar"/>
              </w:rPr>
              <w:t>演示</w:t>
            </w:r>
          </w:p>
        </w:tc>
        <w:tc>
          <w:tcPr>
            <w:tcW w:w="840" w:type="dxa"/>
            <w:noWrap w:val="0"/>
            <w:vAlign w:val="center"/>
          </w:tcPr>
          <w:p w14:paraId="1B704110">
            <w:pPr>
              <w:shd w:val="clear"/>
              <w:adjustRightInd w:val="0"/>
              <w:snapToGrid w:val="0"/>
              <w:jc w:val="center"/>
              <w:rPr>
                <w:rFonts w:hint="default" w:ascii="仿宋" w:hAnsi="仿宋" w:eastAsia="仿宋" w:cs="仿宋"/>
                <w:b/>
                <w:color w:val="auto"/>
                <w:sz w:val="21"/>
                <w:szCs w:val="21"/>
                <w:highlight w:val="none"/>
                <w:lang w:val="en-US" w:eastAsia="zh-CN" w:bidi="ar"/>
              </w:rPr>
            </w:pPr>
            <w:r>
              <w:rPr>
                <w:rFonts w:hint="eastAsia" w:ascii="仿宋" w:hAnsi="仿宋" w:eastAsia="仿宋" w:cs="仿宋"/>
                <w:b/>
                <w:color w:val="auto"/>
                <w:sz w:val="21"/>
                <w:szCs w:val="21"/>
                <w:highlight w:val="none"/>
                <w:lang w:val="en-US" w:eastAsia="zh-CN" w:bidi="ar"/>
              </w:rPr>
              <w:t>15</w:t>
            </w:r>
          </w:p>
        </w:tc>
        <w:tc>
          <w:tcPr>
            <w:tcW w:w="7227" w:type="dxa"/>
            <w:noWrap w:val="0"/>
            <w:vAlign w:val="center"/>
          </w:tcPr>
          <w:p w14:paraId="6EC55A15">
            <w:pPr>
              <w:widowControl/>
              <w:shd w:val="clear"/>
              <w:spacing w:line="288" w:lineRule="auto"/>
              <w:textAlignment w:val="center"/>
              <w:rPr>
                <w:rFonts w:hint="eastAsia" w:ascii="仿宋" w:hAnsi="仿宋" w:eastAsia="仿宋" w:cs="仿宋"/>
                <w:bCs/>
                <w:color w:val="auto"/>
                <w:kern w:val="0"/>
                <w:sz w:val="21"/>
                <w:szCs w:val="21"/>
                <w:highlight w:val="none"/>
                <w:lang w:bidi="ar"/>
              </w:rPr>
            </w:pPr>
            <w:r>
              <w:rPr>
                <w:rFonts w:hint="eastAsia" w:ascii="仿宋" w:hAnsi="仿宋" w:eastAsia="仿宋" w:cs="仿宋"/>
                <w:color w:val="auto"/>
                <w:sz w:val="21"/>
                <w:szCs w:val="21"/>
                <w:highlight w:val="none"/>
                <w:lang w:bidi="ar"/>
              </w:rPr>
              <w:t>【主观分】</w:t>
            </w:r>
            <w:r>
              <w:rPr>
                <w:rFonts w:hint="eastAsia" w:ascii="仿宋" w:hAnsi="仿宋" w:eastAsia="仿宋" w:cs="仿宋"/>
                <w:bCs/>
                <w:color w:val="auto"/>
                <w:kern w:val="0"/>
                <w:sz w:val="21"/>
                <w:szCs w:val="21"/>
                <w:highlight w:val="none"/>
                <w:lang w:bidi="ar"/>
              </w:rPr>
              <w:t>根据本项目的功能要求提供系统主要功能演示，专家组根据以下演示内容的内容齐全、界面友好、操作便捷、过程流畅进行评审，</w:t>
            </w:r>
            <w:r>
              <w:rPr>
                <w:rFonts w:hint="eastAsia" w:ascii="仿宋" w:hAnsi="仿宋" w:eastAsia="仿宋" w:cs="仿宋"/>
                <w:bCs/>
                <w:color w:val="auto"/>
                <w:kern w:val="0"/>
                <w:sz w:val="21"/>
                <w:szCs w:val="21"/>
                <w:highlight w:val="none"/>
                <w:lang w:val="en-US" w:eastAsia="zh-CN" w:bidi="ar"/>
              </w:rPr>
              <w:t>演示时间</w:t>
            </w:r>
            <w:r>
              <w:rPr>
                <w:rFonts w:hint="eastAsia" w:ascii="仿宋" w:hAnsi="仿宋" w:eastAsia="仿宋" w:cs="仿宋"/>
                <w:bCs/>
                <w:color w:val="auto"/>
                <w:kern w:val="0"/>
                <w:sz w:val="21"/>
                <w:szCs w:val="21"/>
                <w:highlight w:val="none"/>
                <w:lang w:bidi="ar"/>
              </w:rPr>
              <w:t>要求不超过</w:t>
            </w:r>
            <w:r>
              <w:rPr>
                <w:rFonts w:hint="eastAsia" w:ascii="仿宋" w:hAnsi="仿宋" w:eastAsia="仿宋" w:cs="仿宋"/>
                <w:bCs/>
                <w:color w:val="auto"/>
                <w:kern w:val="0"/>
                <w:sz w:val="21"/>
                <w:szCs w:val="21"/>
                <w:highlight w:val="none"/>
                <w:lang w:val="en-US" w:eastAsia="zh-CN" w:bidi="ar"/>
              </w:rPr>
              <w:t>20</w:t>
            </w:r>
            <w:r>
              <w:rPr>
                <w:rFonts w:hint="eastAsia" w:ascii="仿宋" w:hAnsi="仿宋" w:eastAsia="仿宋" w:cs="仿宋"/>
                <w:bCs/>
                <w:color w:val="auto"/>
                <w:kern w:val="0"/>
                <w:sz w:val="21"/>
                <w:szCs w:val="21"/>
                <w:highlight w:val="none"/>
                <w:lang w:bidi="ar"/>
              </w:rPr>
              <w:t>分钟：</w:t>
            </w:r>
            <w:r>
              <w:rPr>
                <w:rFonts w:hint="eastAsia" w:ascii="仿宋" w:hAnsi="仿宋" w:eastAsia="仿宋" w:cs="仿宋"/>
                <w:bCs/>
                <w:color w:val="auto"/>
                <w:kern w:val="0"/>
                <w:sz w:val="21"/>
                <w:szCs w:val="21"/>
                <w:highlight w:val="none"/>
                <w:lang w:bidi="ar"/>
              </w:rPr>
              <w:br w:type="textWrapping"/>
            </w:r>
            <w:r>
              <w:rPr>
                <w:rFonts w:hint="eastAsia" w:ascii="仿宋" w:hAnsi="仿宋" w:eastAsia="仿宋" w:cs="仿宋"/>
                <w:bCs/>
                <w:color w:val="auto"/>
                <w:kern w:val="0"/>
                <w:sz w:val="21"/>
                <w:szCs w:val="21"/>
                <w:highlight w:val="none"/>
                <w:lang w:bidi="ar"/>
              </w:rPr>
              <w:t>1、为降低教师使用门槛，智慧教学功能可以插件形式内置于常用教学软件PPT当中，教师无需通过其他程序应用或者打开新的网页，即可实现备课和相关学习资料的制作推送；可在教学课件中一键式插入清华大学等双一流高校的MOOC视频，也可</w:t>
            </w:r>
            <w:bookmarkStart w:id="231" w:name="_GoBack"/>
            <w:bookmarkEnd w:id="231"/>
            <w:r>
              <w:rPr>
                <w:rFonts w:hint="eastAsia" w:ascii="仿宋" w:hAnsi="仿宋" w:eastAsia="仿宋" w:cs="仿宋"/>
                <w:bCs/>
                <w:color w:val="auto"/>
                <w:kern w:val="0"/>
                <w:sz w:val="21"/>
                <w:szCs w:val="21"/>
                <w:highlight w:val="none"/>
                <w:lang w:bidi="ar"/>
              </w:rPr>
              <w:t>以通过粘贴视频网页链接插入优酷、腾讯等第三方视频，相关视频网页链接自动识别成为视屏播放框直接在课件中播放</w:t>
            </w:r>
            <w:r>
              <w:rPr>
                <w:rFonts w:hint="eastAsia" w:ascii="仿宋" w:hAnsi="仿宋" w:eastAsia="仿宋" w:cs="仿宋"/>
                <w:bCs/>
                <w:color w:val="auto"/>
                <w:kern w:val="0"/>
                <w:sz w:val="21"/>
                <w:szCs w:val="21"/>
                <w:highlight w:val="none"/>
                <w:lang w:eastAsia="zh-CN" w:bidi="ar"/>
              </w:rPr>
              <w:t>。</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1.5，1，</w:t>
            </w:r>
            <w:r>
              <w:rPr>
                <w:rFonts w:hint="eastAsia" w:ascii="仿宋" w:hAnsi="仿宋" w:eastAsia="仿宋" w:cs="仿宋"/>
                <w:color w:val="auto"/>
                <w:sz w:val="21"/>
                <w:szCs w:val="21"/>
                <w:highlight w:val="none"/>
                <w:lang w:val="en-US" w:eastAsia="zh-CN" w:bidi="ar"/>
              </w:rPr>
              <w:t>0.5</w:t>
            </w: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rPr>
              <w:t>）</w:t>
            </w:r>
          </w:p>
          <w:p w14:paraId="1B8FA178">
            <w:pPr>
              <w:widowControl/>
              <w:shd w:val="clear"/>
              <w:spacing w:line="288" w:lineRule="auto"/>
              <w:textAlignment w:val="cente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2、支持教师可以切换成学生身份查看学生的学习页面，包括课堂教学的实时直播内容画面，包括音视频、PPT、板书等内容。</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1.5，1，</w:t>
            </w:r>
            <w:r>
              <w:rPr>
                <w:rFonts w:hint="eastAsia" w:ascii="仿宋" w:hAnsi="仿宋" w:eastAsia="仿宋" w:cs="仿宋"/>
                <w:color w:val="auto"/>
                <w:sz w:val="21"/>
                <w:szCs w:val="21"/>
                <w:highlight w:val="none"/>
                <w:lang w:val="en-US" w:eastAsia="zh-CN" w:bidi="ar"/>
              </w:rPr>
              <w:t>0.5</w:t>
            </w: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rPr>
              <w:t>）</w:t>
            </w:r>
          </w:p>
          <w:p w14:paraId="45113C3B">
            <w:pPr>
              <w:widowControl/>
              <w:shd w:val="clear"/>
              <w:spacing w:line="288" w:lineRule="auto"/>
              <w:textAlignment w:val="cente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3、投稿投屏：课堂中，无需老师发布任何教学活动，学生可以随时通过投稿将图片、文字、视频等发送至教师端，教师可实时查看学生投稿并进行投屏；课堂习题投屏可以展示题目、隐藏正确答案；主观题/投稿投屏可隐藏学生姓名，更好地保护学生的隐私。</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1.5，1，</w:t>
            </w:r>
            <w:r>
              <w:rPr>
                <w:rFonts w:hint="eastAsia" w:ascii="仿宋" w:hAnsi="仿宋" w:eastAsia="仿宋" w:cs="仿宋"/>
                <w:color w:val="auto"/>
                <w:sz w:val="21"/>
                <w:szCs w:val="21"/>
                <w:highlight w:val="none"/>
                <w:lang w:val="en-US" w:eastAsia="zh-CN" w:bidi="ar"/>
              </w:rPr>
              <w:t>0.5</w:t>
            </w: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rPr>
              <w:t>）</w:t>
            </w:r>
          </w:p>
          <w:p w14:paraId="49AF4B84">
            <w:pPr>
              <w:widowControl/>
              <w:shd w:val="clear"/>
              <w:spacing w:line="288" w:lineRule="auto"/>
              <w:textAlignment w:val="cente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4、课堂中支持学生在每一页教学课件上进行关键词标注，教师可同步收到本班同学的课堂反馈信息，及时发现问题解决问题，课后学生可以利用标注数据查看每一堂课的知识盲点、重难点。</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1.5，1，</w:t>
            </w:r>
            <w:r>
              <w:rPr>
                <w:rFonts w:hint="eastAsia" w:ascii="仿宋" w:hAnsi="仿宋" w:eastAsia="仿宋" w:cs="仿宋"/>
                <w:color w:val="auto"/>
                <w:sz w:val="21"/>
                <w:szCs w:val="21"/>
                <w:highlight w:val="none"/>
                <w:lang w:val="en-US" w:eastAsia="zh-CN" w:bidi="ar"/>
              </w:rPr>
              <w:t>0.5</w:t>
            </w: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rPr>
              <w:t>）</w:t>
            </w:r>
          </w:p>
          <w:p w14:paraId="361061EA">
            <w:pPr>
              <w:widowControl/>
              <w:shd w:val="clear"/>
              <w:spacing w:line="288" w:lineRule="auto"/>
              <w:textAlignment w:val="cente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5、</w:t>
            </w:r>
            <w:r>
              <w:rPr>
                <w:rFonts w:hint="eastAsia" w:ascii="仿宋" w:hAnsi="仿宋" w:eastAsia="仿宋" w:cs="仿宋"/>
                <w:bCs/>
                <w:color w:val="auto"/>
                <w:kern w:val="0"/>
                <w:sz w:val="21"/>
                <w:szCs w:val="21"/>
                <w:highlight w:val="none"/>
                <w:lang w:bidi="ar"/>
              </w:rPr>
              <w:tab/>
            </w:r>
            <w:r>
              <w:rPr>
                <w:rFonts w:hint="eastAsia" w:ascii="仿宋" w:hAnsi="仿宋" w:eastAsia="仿宋" w:cs="仿宋"/>
                <w:bCs/>
                <w:color w:val="auto"/>
                <w:kern w:val="0"/>
                <w:sz w:val="21"/>
                <w:szCs w:val="21"/>
                <w:highlight w:val="none"/>
                <w:lang w:bidi="ar"/>
              </w:rPr>
              <w:t>支持课堂中随时调用板书页，板书内容在学生端作为独立页面嵌入到PPT课件中，课上板书内容实时投屏，课中及课后学生均观看板书书写过程。</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1.5，1，</w:t>
            </w:r>
            <w:r>
              <w:rPr>
                <w:rFonts w:hint="eastAsia" w:ascii="仿宋" w:hAnsi="仿宋" w:eastAsia="仿宋" w:cs="仿宋"/>
                <w:color w:val="auto"/>
                <w:sz w:val="21"/>
                <w:szCs w:val="21"/>
                <w:highlight w:val="none"/>
                <w:lang w:val="en-US" w:eastAsia="zh-CN" w:bidi="ar"/>
              </w:rPr>
              <w:t>0.5</w:t>
            </w: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rPr>
              <w:t>）</w:t>
            </w:r>
          </w:p>
          <w:p w14:paraId="59730F33">
            <w:pPr>
              <w:widowControl/>
              <w:shd w:val="clear"/>
              <w:spacing w:line="288" w:lineRule="auto"/>
              <w:textAlignment w:val="cente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6、教师直播授课画面实时同步至学生端，学生端听课页面直播视频与课件、习题等内容可实现同页面显示，方便学生及时参与答题互动。</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1.5，1，</w:t>
            </w:r>
            <w:r>
              <w:rPr>
                <w:rFonts w:hint="eastAsia" w:ascii="仿宋" w:hAnsi="仿宋" w:eastAsia="仿宋" w:cs="仿宋"/>
                <w:color w:val="auto"/>
                <w:sz w:val="21"/>
                <w:szCs w:val="21"/>
                <w:highlight w:val="none"/>
                <w:lang w:val="en-US" w:eastAsia="zh-CN" w:bidi="ar"/>
              </w:rPr>
              <w:t>0.5</w:t>
            </w: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rPr>
              <w:t>）</w:t>
            </w:r>
          </w:p>
          <w:p w14:paraId="480E7568">
            <w:pPr>
              <w:widowControl/>
              <w:shd w:val="clear"/>
              <w:spacing w:line="288" w:lineRule="auto"/>
              <w:textAlignment w:val="cente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7、课堂报告：系统实时记录课堂上的教学数据，结束授课后自动生成课堂数据报告并推到教师和学生手机端。教师课堂报告提供授课、发题、课堂互动节奏图谱，按时间维度顺序呈现课程活动分布，呈现对应时段学生活跃度，帮助教师评估自身课堂，打磨授课节奏。课堂报告提供学生课堂快照，内容包括课堂排名、课堂得分、活跃指数；统计近期课堂表现，包括习题得分、试卷得分、课堂加分、互动数据等；按时间轴记录学生课堂动态，包括进入课堂、参与互动、离开课堂等的时间记录，统计进出课堂次数、课堂停留时长及参与直播时长。</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1.5，1，</w:t>
            </w:r>
            <w:r>
              <w:rPr>
                <w:rFonts w:hint="eastAsia" w:ascii="仿宋" w:hAnsi="仿宋" w:eastAsia="仿宋" w:cs="仿宋"/>
                <w:color w:val="auto"/>
                <w:sz w:val="21"/>
                <w:szCs w:val="21"/>
                <w:highlight w:val="none"/>
                <w:lang w:val="en-US" w:eastAsia="zh-CN" w:bidi="ar"/>
              </w:rPr>
              <w:t>0.5</w:t>
            </w: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rPr>
              <w:t>）</w:t>
            </w:r>
          </w:p>
          <w:p w14:paraId="7D295E0B">
            <w:pPr>
              <w:widowControl/>
              <w:shd w:val="clear"/>
              <w:spacing w:line="288" w:lineRule="auto"/>
              <w:textAlignment w:val="cente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8、</w:t>
            </w:r>
            <w:r>
              <w:rPr>
                <w:rFonts w:hint="eastAsia" w:ascii="仿宋" w:hAnsi="仿宋" w:eastAsia="仿宋" w:cs="仿宋"/>
                <w:bCs/>
                <w:color w:val="auto"/>
                <w:kern w:val="0"/>
                <w:sz w:val="21"/>
                <w:szCs w:val="21"/>
                <w:highlight w:val="none"/>
                <w:lang w:bidi="ar"/>
              </w:rPr>
              <w:tab/>
            </w:r>
            <w:r>
              <w:rPr>
                <w:rFonts w:hint="eastAsia" w:ascii="仿宋" w:hAnsi="仿宋" w:eastAsia="仿宋" w:cs="仿宋"/>
                <w:bCs/>
                <w:color w:val="auto"/>
                <w:kern w:val="0"/>
                <w:sz w:val="21"/>
                <w:szCs w:val="21"/>
                <w:highlight w:val="none"/>
                <w:lang w:bidi="ar"/>
              </w:rPr>
              <w:t>教学及课堂健康度分析：平台结合学生绑定情况、师生活跃情况、班级活跃情况、班级互动情况综合评估教学健康度，为教学管理者提供数据参考；结合学生出勤、课堂内容、教学互动、作业考核等数据综合评估课堂健康度，为管理员提供课堂评教参考数据。</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1.5，1，</w:t>
            </w:r>
            <w:r>
              <w:rPr>
                <w:rFonts w:hint="eastAsia" w:ascii="仿宋" w:hAnsi="仿宋" w:eastAsia="仿宋" w:cs="仿宋"/>
                <w:color w:val="auto"/>
                <w:sz w:val="21"/>
                <w:szCs w:val="21"/>
                <w:highlight w:val="none"/>
                <w:lang w:val="en-US" w:eastAsia="zh-CN" w:bidi="ar"/>
              </w:rPr>
              <w:t>0.5</w:t>
            </w: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rPr>
              <w:t>）</w:t>
            </w:r>
          </w:p>
          <w:p w14:paraId="46C8A80A">
            <w:pPr>
              <w:widowControl/>
              <w:shd w:val="clear"/>
              <w:spacing w:line="288" w:lineRule="auto"/>
              <w:textAlignment w:val="center"/>
              <w:rPr>
                <w:rFonts w:hint="eastAsia" w:ascii="仿宋" w:hAnsi="仿宋" w:eastAsia="仿宋" w:cs="仿宋"/>
                <w:bCs/>
                <w:color w:val="auto"/>
                <w:kern w:val="0"/>
                <w:sz w:val="21"/>
                <w:szCs w:val="21"/>
                <w:highlight w:val="none"/>
                <w:lang w:bidi="ar"/>
              </w:rPr>
            </w:pPr>
            <w:r>
              <w:rPr>
                <w:rFonts w:hint="eastAsia" w:ascii="仿宋" w:hAnsi="仿宋" w:eastAsia="仿宋" w:cs="仿宋"/>
                <w:bCs/>
                <w:color w:val="auto"/>
                <w:kern w:val="0"/>
                <w:sz w:val="21"/>
                <w:szCs w:val="21"/>
                <w:highlight w:val="none"/>
                <w:lang w:bidi="ar"/>
              </w:rPr>
              <w:t>9、</w:t>
            </w:r>
            <w:r>
              <w:rPr>
                <w:rFonts w:hint="eastAsia" w:ascii="仿宋" w:hAnsi="仿宋" w:eastAsia="仿宋" w:cs="仿宋"/>
                <w:bCs/>
                <w:color w:val="auto"/>
                <w:kern w:val="0"/>
                <w:sz w:val="21"/>
                <w:szCs w:val="21"/>
                <w:highlight w:val="none"/>
                <w:lang w:bidi="ar"/>
              </w:rPr>
              <w:tab/>
            </w:r>
            <w:r>
              <w:rPr>
                <w:rFonts w:hint="eastAsia" w:ascii="仿宋" w:hAnsi="仿宋" w:eastAsia="仿宋" w:cs="仿宋"/>
                <w:bCs/>
                <w:color w:val="auto"/>
                <w:kern w:val="0"/>
                <w:sz w:val="21"/>
                <w:szCs w:val="21"/>
                <w:highlight w:val="none"/>
                <w:lang w:bidi="ar"/>
              </w:rPr>
              <w:t>支持管理员以督导身份进入正在授课的课堂，查看当前堂课的课程信息、签到情况、互动情况，观看课堂学生端实时画面，参与课堂互动，产生的学习行为数据不会被记录，不会影响老师正常教学。</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1.5，1，</w:t>
            </w:r>
            <w:r>
              <w:rPr>
                <w:rFonts w:hint="eastAsia" w:ascii="仿宋" w:hAnsi="仿宋" w:eastAsia="仿宋" w:cs="仿宋"/>
                <w:color w:val="auto"/>
                <w:sz w:val="21"/>
                <w:szCs w:val="21"/>
                <w:highlight w:val="none"/>
                <w:lang w:val="en-US" w:eastAsia="zh-CN" w:bidi="ar"/>
              </w:rPr>
              <w:t>0.5</w:t>
            </w: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rPr>
              <w:t>）</w:t>
            </w:r>
          </w:p>
          <w:p w14:paraId="55058082">
            <w:pPr>
              <w:widowControl/>
              <w:shd w:val="clear"/>
              <w:spacing w:line="288" w:lineRule="auto"/>
              <w:textAlignment w:val="center"/>
              <w:rPr>
                <w:rFonts w:hint="eastAsia" w:ascii="仿宋" w:hAnsi="仿宋" w:eastAsia="仿宋" w:cs="仿宋"/>
                <w:color w:val="auto"/>
                <w:sz w:val="21"/>
                <w:szCs w:val="21"/>
                <w:highlight w:val="none"/>
                <w:lang w:eastAsia="zh-CN"/>
              </w:rPr>
            </w:pPr>
            <w:r>
              <w:rPr>
                <w:rFonts w:hint="eastAsia" w:ascii="仿宋" w:hAnsi="仿宋" w:eastAsia="仿宋" w:cs="仿宋"/>
                <w:bCs/>
                <w:color w:val="auto"/>
                <w:kern w:val="0"/>
                <w:sz w:val="21"/>
                <w:szCs w:val="21"/>
                <w:highlight w:val="none"/>
                <w:lang w:bidi="ar"/>
              </w:rPr>
              <w:t>10、提供英文版操作界面，方便英语专业、留学生及外国师生开展混合式教学。</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1.5，1，</w:t>
            </w:r>
            <w:r>
              <w:rPr>
                <w:rFonts w:hint="eastAsia" w:ascii="仿宋" w:hAnsi="仿宋" w:eastAsia="仿宋" w:cs="仿宋"/>
                <w:color w:val="auto"/>
                <w:sz w:val="21"/>
                <w:szCs w:val="21"/>
                <w:highlight w:val="none"/>
                <w:lang w:val="en-US" w:eastAsia="zh-CN" w:bidi="ar"/>
              </w:rPr>
              <w:t>0.5</w:t>
            </w: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rPr>
              <w:t>）</w:t>
            </w:r>
          </w:p>
        </w:tc>
      </w:tr>
    </w:tbl>
    <w:p w14:paraId="11058615">
      <w:pPr>
        <w:shd w:val="clea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p>
    <w:p w14:paraId="3A8A4EEF">
      <w:pPr>
        <w:shd w:val="clear"/>
        <w:rPr>
          <w:rFonts w:hint="eastAsia" w:ascii="仿宋" w:hAnsi="仿宋" w:eastAsia="仿宋" w:cs="仿宋"/>
          <w:color w:val="auto"/>
          <w:highlight w:val="none"/>
        </w:rPr>
      </w:pPr>
    </w:p>
    <w:p w14:paraId="0ECC35D2">
      <w:pPr>
        <w:shd w:val="clear"/>
        <w:adjustRightInd w:val="0"/>
        <w:snapToGrid w:val="0"/>
        <w:spacing w:line="288" w:lineRule="auto"/>
        <w:jc w:val="center"/>
        <w:outlineLvl w:val="0"/>
        <w:rPr>
          <w:rFonts w:hint="eastAsia" w:ascii="仿宋" w:hAnsi="仿宋" w:eastAsia="仿宋" w:cs="仿宋"/>
          <w:b/>
          <w:bCs/>
          <w:color w:val="auto"/>
          <w:sz w:val="32"/>
          <w:szCs w:val="32"/>
          <w:highlight w:val="none"/>
        </w:rPr>
      </w:pPr>
      <w:bookmarkStart w:id="169" w:name="_Toc16710"/>
      <w:bookmarkStart w:id="170" w:name="_Toc10679"/>
      <w:bookmarkStart w:id="171" w:name="_Toc25268"/>
      <w:bookmarkStart w:id="172" w:name="_Toc24744"/>
      <w:bookmarkStart w:id="173" w:name="_Toc5658"/>
      <w:bookmarkStart w:id="174" w:name="_Toc17541"/>
      <w:bookmarkStart w:id="175" w:name="_Toc14756"/>
      <w:r>
        <w:rPr>
          <w:rFonts w:hint="eastAsia" w:ascii="仿宋" w:hAnsi="仿宋" w:eastAsia="仿宋" w:cs="仿宋"/>
          <w:b/>
          <w:bCs/>
          <w:color w:val="auto"/>
          <w:sz w:val="32"/>
          <w:szCs w:val="32"/>
          <w:highlight w:val="none"/>
        </w:rPr>
        <w:t>第五章  拟签订的合同文本</w:t>
      </w:r>
      <w:bookmarkEnd w:id="169"/>
      <w:bookmarkEnd w:id="170"/>
      <w:bookmarkEnd w:id="171"/>
      <w:bookmarkEnd w:id="172"/>
      <w:bookmarkEnd w:id="173"/>
      <w:bookmarkEnd w:id="174"/>
      <w:bookmarkEnd w:id="175"/>
    </w:p>
    <w:p w14:paraId="222F55F3">
      <w:pPr>
        <w:shd w:val="clear"/>
        <w:adjustRightInd w:val="0"/>
        <w:snapToGrid w:val="0"/>
        <w:spacing w:line="288" w:lineRule="auto"/>
        <w:jc w:val="center"/>
        <w:rPr>
          <w:rFonts w:hint="eastAsia" w:ascii="仿宋" w:hAnsi="仿宋" w:eastAsia="仿宋" w:cs="仿宋"/>
          <w:b/>
          <w:bCs/>
          <w:color w:val="auto"/>
          <w:sz w:val="21"/>
          <w:szCs w:val="21"/>
          <w:highlight w:val="none"/>
          <w:lang w:eastAsia="zh-CN"/>
        </w:rPr>
      </w:pPr>
    </w:p>
    <w:p w14:paraId="3DC155EB">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智慧教学工具采购</w:t>
      </w:r>
      <w:r>
        <w:rPr>
          <w:rFonts w:hint="eastAsia" w:ascii="仿宋" w:hAnsi="仿宋" w:eastAsia="仿宋" w:cs="仿宋"/>
          <w:b/>
          <w:bCs/>
          <w:color w:val="auto"/>
          <w:sz w:val="21"/>
          <w:szCs w:val="21"/>
          <w:highlight w:val="none"/>
        </w:rPr>
        <w:t>项目政府采购合同</w:t>
      </w:r>
    </w:p>
    <w:p w14:paraId="5B9E18AE">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合同编号</w:t>
      </w:r>
    </w:p>
    <w:p w14:paraId="64B7ADC9">
      <w:pPr>
        <w:shd w:val="clear"/>
        <w:spacing w:line="288" w:lineRule="auto"/>
        <w:rPr>
          <w:rFonts w:hint="eastAsia" w:ascii="仿宋" w:hAnsi="仿宋" w:eastAsia="仿宋" w:cs="仿宋"/>
          <w:color w:val="auto"/>
          <w:spacing w:val="-6"/>
          <w:sz w:val="21"/>
          <w:szCs w:val="21"/>
          <w:highlight w:val="none"/>
          <w:u w:val="single"/>
        </w:rPr>
      </w:pPr>
      <w:r>
        <w:rPr>
          <w:rFonts w:hint="eastAsia" w:ascii="仿宋" w:hAnsi="仿宋" w:eastAsia="仿宋" w:cs="仿宋"/>
          <w:color w:val="auto"/>
          <w:spacing w:val="-6"/>
          <w:sz w:val="21"/>
          <w:szCs w:val="21"/>
          <w:highlight w:val="none"/>
        </w:rPr>
        <w:t xml:space="preserve">甲方（需方）： </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u w:val="single"/>
          <w:lang w:eastAsia="zh-CN"/>
        </w:rPr>
        <w:t>浙江万里学院</w:t>
      </w:r>
      <w:r>
        <w:rPr>
          <w:rFonts w:hint="eastAsia" w:ascii="仿宋" w:hAnsi="仿宋" w:eastAsia="仿宋" w:cs="仿宋"/>
          <w:color w:val="auto"/>
          <w:spacing w:val="-6"/>
          <w:sz w:val="21"/>
          <w:szCs w:val="21"/>
          <w:highlight w:val="none"/>
          <w:u w:val="single"/>
        </w:rPr>
        <w:t xml:space="preserve">       </w:t>
      </w:r>
    </w:p>
    <w:p w14:paraId="39A5DA42">
      <w:pPr>
        <w:shd w:val="clear"/>
        <w:snapToGrid w:val="0"/>
        <w:spacing w:line="288" w:lineRule="auto"/>
        <w:rPr>
          <w:rFonts w:hint="eastAsia" w:ascii="仿宋" w:hAnsi="仿宋" w:eastAsia="仿宋" w:cs="仿宋"/>
          <w:color w:val="auto"/>
          <w:spacing w:val="-6"/>
          <w:sz w:val="21"/>
          <w:szCs w:val="21"/>
          <w:highlight w:val="none"/>
          <w:u w:val="single"/>
        </w:rPr>
      </w:pPr>
      <w:r>
        <w:rPr>
          <w:rFonts w:hint="eastAsia" w:ascii="仿宋" w:hAnsi="仿宋" w:eastAsia="仿宋" w:cs="仿宋"/>
          <w:color w:val="auto"/>
          <w:spacing w:val="-6"/>
          <w:sz w:val="21"/>
          <w:szCs w:val="21"/>
          <w:highlight w:val="none"/>
        </w:rPr>
        <w:t xml:space="preserve">乙方（供方）： </w:t>
      </w:r>
      <w:r>
        <w:rPr>
          <w:rFonts w:hint="eastAsia" w:ascii="仿宋" w:hAnsi="仿宋" w:eastAsia="仿宋" w:cs="仿宋"/>
          <w:color w:val="auto"/>
          <w:spacing w:val="-6"/>
          <w:sz w:val="21"/>
          <w:szCs w:val="21"/>
          <w:highlight w:val="none"/>
          <w:u w:val="single"/>
        </w:rPr>
        <w:t xml:space="preserve">                          </w:t>
      </w:r>
    </w:p>
    <w:p w14:paraId="1E11F2D4">
      <w:pPr>
        <w:shd w:val="clear"/>
        <w:spacing w:line="288" w:lineRule="auto"/>
        <w:rPr>
          <w:rFonts w:hint="eastAsia" w:ascii="仿宋" w:hAnsi="仿宋" w:eastAsia="仿宋" w:cs="仿宋"/>
          <w:color w:val="auto"/>
          <w:spacing w:val="-6"/>
          <w:sz w:val="21"/>
          <w:szCs w:val="21"/>
          <w:highlight w:val="none"/>
          <w:lang w:eastAsia="zh-CN"/>
        </w:rPr>
      </w:pPr>
      <w:r>
        <w:rPr>
          <w:rFonts w:hint="eastAsia" w:ascii="仿宋" w:hAnsi="仿宋" w:eastAsia="仿宋" w:cs="仿宋"/>
          <w:color w:val="auto"/>
          <w:spacing w:val="-6"/>
          <w:sz w:val="21"/>
          <w:szCs w:val="21"/>
          <w:highlight w:val="none"/>
        </w:rPr>
        <w:t>签约时间、地点：年  月   日，</w:t>
      </w:r>
      <w:r>
        <w:rPr>
          <w:rFonts w:hint="eastAsia" w:ascii="仿宋" w:hAnsi="仿宋" w:eastAsia="仿宋" w:cs="仿宋"/>
          <w:color w:val="auto"/>
          <w:spacing w:val="-6"/>
          <w:sz w:val="21"/>
          <w:szCs w:val="21"/>
          <w:highlight w:val="none"/>
          <w:u w:val="single"/>
          <w:lang w:val="en-US" w:eastAsia="zh-CN"/>
        </w:rPr>
        <w:t>宁波</w:t>
      </w:r>
    </w:p>
    <w:p w14:paraId="2F65803F">
      <w:pPr>
        <w:pStyle w:val="10"/>
        <w:shd w:val="clear"/>
        <w:spacing w:line="288" w:lineRule="auto"/>
        <w:rPr>
          <w:rFonts w:hint="eastAsia" w:ascii="仿宋" w:hAnsi="仿宋" w:eastAsia="仿宋" w:cs="仿宋"/>
          <w:color w:val="auto"/>
          <w:sz w:val="21"/>
          <w:szCs w:val="21"/>
          <w:highlight w:val="none"/>
        </w:rPr>
      </w:pPr>
    </w:p>
    <w:p w14:paraId="5E067452">
      <w:pPr>
        <w:pStyle w:val="70"/>
        <w:shd w:val="clear"/>
        <w:adjustRightInd w:val="0"/>
        <w:snapToGrid w:val="0"/>
        <w:spacing w:line="288" w:lineRule="auto"/>
        <w:ind w:firstLine="396" w:firstLineChars="200"/>
        <w:rPr>
          <w:rFonts w:hint="eastAsia" w:ascii="仿宋" w:hAnsi="仿宋" w:eastAsia="仿宋" w:cs="仿宋"/>
          <w:color w:val="auto"/>
          <w:highlight w:val="none"/>
          <w:lang w:val="zh-TW" w:eastAsia="zh-TW"/>
        </w:rPr>
      </w:pPr>
      <w:r>
        <w:rPr>
          <w:rFonts w:hint="eastAsia" w:ascii="仿宋" w:hAnsi="仿宋" w:eastAsia="仿宋" w:cs="仿宋"/>
          <w:color w:val="auto"/>
          <w:spacing w:val="-6"/>
          <w:highlight w:val="none"/>
          <w:u w:val="single"/>
          <w:lang w:eastAsia="zh-CN"/>
        </w:rPr>
        <w:t>智慧教学工具</w:t>
      </w:r>
      <w:r>
        <w:rPr>
          <w:rFonts w:hint="eastAsia" w:ascii="仿宋" w:hAnsi="仿宋" w:eastAsia="仿宋" w:cs="仿宋"/>
          <w:color w:val="auto"/>
          <w:spacing w:val="-6"/>
          <w:highlight w:val="none"/>
          <w:u w:val="single"/>
        </w:rPr>
        <w:t xml:space="preserve">采购项目 </w:t>
      </w:r>
      <w:r>
        <w:rPr>
          <w:rFonts w:hint="eastAsia" w:ascii="仿宋" w:hAnsi="仿宋" w:eastAsia="仿宋" w:cs="仿宋"/>
          <w:color w:val="auto"/>
          <w:spacing w:val="-6"/>
          <w:highlight w:val="none"/>
        </w:rPr>
        <w:t>（采购编号：</w:t>
      </w:r>
      <w:r>
        <w:rPr>
          <w:rFonts w:hint="eastAsia" w:ascii="仿宋" w:hAnsi="仿宋" w:eastAsia="仿宋" w:cs="仿宋"/>
          <w:color w:val="auto"/>
          <w:spacing w:val="-6"/>
          <w:highlight w:val="none"/>
          <w:lang w:eastAsia="zh-CN"/>
        </w:rPr>
        <w:t>CTZB-2025070007</w:t>
      </w:r>
      <w:r>
        <w:rPr>
          <w:rFonts w:hint="eastAsia" w:ascii="仿宋" w:hAnsi="仿宋" w:eastAsia="仿宋" w:cs="仿宋"/>
          <w:color w:val="auto"/>
          <w:spacing w:val="-6"/>
          <w:highlight w:val="none"/>
        </w:rPr>
        <w:t>）项目经</w:t>
      </w:r>
      <w:r>
        <w:rPr>
          <w:rFonts w:hint="eastAsia" w:ascii="仿宋" w:hAnsi="仿宋" w:eastAsia="仿宋" w:cs="仿宋"/>
          <w:color w:val="auto"/>
          <w:spacing w:val="-6"/>
          <w:highlight w:val="none"/>
          <w:u w:val="single"/>
        </w:rPr>
        <w:t xml:space="preserve"> 竞争性磋商 </w:t>
      </w:r>
      <w:r>
        <w:rPr>
          <w:rFonts w:hint="eastAsia" w:ascii="仿宋" w:hAnsi="仿宋" w:eastAsia="仿宋" w:cs="仿宋"/>
          <w:color w:val="auto"/>
          <w:spacing w:val="-6"/>
          <w:highlight w:val="none"/>
        </w:rPr>
        <w:t>，确定</w:t>
      </w:r>
      <w:r>
        <w:rPr>
          <w:rFonts w:hint="eastAsia" w:ascii="仿宋" w:hAnsi="仿宋" w:eastAsia="仿宋" w:cs="仿宋"/>
          <w:color w:val="auto"/>
          <w:spacing w:val="-6"/>
          <w:highlight w:val="none"/>
          <w:u w:val="single"/>
        </w:rPr>
        <w:t xml:space="preserve">   （供应商名称）</w:t>
      </w:r>
      <w:r>
        <w:rPr>
          <w:rFonts w:hint="eastAsia" w:ascii="仿宋" w:hAnsi="仿宋" w:eastAsia="仿宋" w:cs="仿宋"/>
          <w:color w:val="auto"/>
          <w:spacing w:val="-6"/>
          <w:highlight w:val="none"/>
        </w:rPr>
        <w:t>为服务单位。依据《中华人民共和国民法典》及相关法律法规，本着相互合作、互利互惠的原则，经充分协商，订立本合同。</w:t>
      </w:r>
      <w:r>
        <w:rPr>
          <w:rFonts w:hint="eastAsia" w:ascii="仿宋" w:hAnsi="仿宋" w:eastAsia="仿宋" w:cs="仿宋"/>
          <w:color w:val="auto"/>
          <w:highlight w:val="none"/>
          <w:lang w:val="zh-TW" w:eastAsia="zh-TW"/>
        </w:rPr>
        <w:t>下列文件构成本合同的组成部分，应该认为是一个整体，彼此相互解释，相互补充。</w:t>
      </w:r>
      <w:r>
        <w:rPr>
          <w:rFonts w:hint="eastAsia" w:ascii="仿宋" w:hAnsi="仿宋" w:eastAsia="仿宋" w:cs="仿宋"/>
          <w:color w:val="auto"/>
          <w:highlight w:val="none"/>
        </w:rPr>
        <w:t>这些文件包括但不限于：</w:t>
      </w:r>
    </w:p>
    <w:p w14:paraId="59471DF8">
      <w:pPr>
        <w:pStyle w:val="70"/>
        <w:shd w:val="clear"/>
        <w:adjustRightInd w:val="0"/>
        <w:snapToGrid w:val="0"/>
        <w:spacing w:line="288"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本合同协议书</w:t>
      </w:r>
    </w:p>
    <w:p w14:paraId="14FB237E">
      <w:pPr>
        <w:pStyle w:val="70"/>
        <w:shd w:val="clear"/>
        <w:adjustRightInd w:val="0"/>
        <w:snapToGrid w:val="0"/>
        <w:spacing w:line="288" w:lineRule="auto"/>
        <w:ind w:firstLine="420" w:firstLineChars="200"/>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2、成交</w:t>
      </w:r>
      <w:r>
        <w:rPr>
          <w:rFonts w:hint="eastAsia" w:ascii="仿宋" w:hAnsi="仿宋" w:eastAsia="仿宋" w:cs="仿宋"/>
          <w:color w:val="auto"/>
          <w:highlight w:val="none"/>
          <w:lang w:val="zh-TW" w:eastAsia="zh-TW"/>
        </w:rPr>
        <w:t>通知书</w:t>
      </w:r>
    </w:p>
    <w:p w14:paraId="5539C88B">
      <w:pPr>
        <w:pStyle w:val="70"/>
        <w:shd w:val="clear"/>
        <w:adjustRightInd w:val="0"/>
        <w:snapToGrid w:val="0"/>
        <w:spacing w:line="288" w:lineRule="auto"/>
        <w:ind w:firstLine="420" w:firstLineChars="200"/>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3、磋商响应</w:t>
      </w:r>
      <w:r>
        <w:rPr>
          <w:rFonts w:hint="eastAsia" w:ascii="仿宋" w:hAnsi="仿宋" w:eastAsia="仿宋" w:cs="仿宋"/>
          <w:color w:val="auto"/>
          <w:highlight w:val="none"/>
          <w:lang w:val="zh-TW" w:eastAsia="zh-TW"/>
        </w:rPr>
        <w:t>文件（含</w:t>
      </w:r>
      <w:r>
        <w:rPr>
          <w:rFonts w:hint="eastAsia" w:ascii="仿宋" w:hAnsi="仿宋" w:eastAsia="仿宋" w:cs="仿宋"/>
          <w:color w:val="auto"/>
          <w:highlight w:val="none"/>
        </w:rPr>
        <w:t>磋商承诺</w:t>
      </w:r>
      <w:r>
        <w:rPr>
          <w:rFonts w:hint="eastAsia" w:ascii="仿宋" w:hAnsi="仿宋" w:eastAsia="仿宋" w:cs="仿宋"/>
          <w:color w:val="auto"/>
          <w:highlight w:val="none"/>
          <w:lang w:val="zh-TW" w:eastAsia="zh-TW"/>
        </w:rPr>
        <w:t>文件）</w:t>
      </w:r>
    </w:p>
    <w:p w14:paraId="21AAF1AF">
      <w:pPr>
        <w:pStyle w:val="70"/>
        <w:shd w:val="clear"/>
        <w:adjustRightInd w:val="0"/>
        <w:snapToGrid w:val="0"/>
        <w:spacing w:line="288"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4、竞争性磋商</w:t>
      </w:r>
      <w:r>
        <w:rPr>
          <w:rFonts w:hint="eastAsia" w:ascii="仿宋" w:hAnsi="仿宋" w:eastAsia="仿宋" w:cs="仿宋"/>
          <w:color w:val="auto"/>
          <w:highlight w:val="none"/>
          <w:lang w:val="zh-TW" w:eastAsia="zh-TW"/>
        </w:rPr>
        <w:t>文件（含</w:t>
      </w:r>
      <w:r>
        <w:rPr>
          <w:rFonts w:hint="eastAsia" w:ascii="仿宋" w:hAnsi="仿宋" w:eastAsia="仿宋" w:cs="仿宋"/>
          <w:color w:val="auto"/>
          <w:highlight w:val="none"/>
          <w:lang w:val="zh-TW"/>
        </w:rPr>
        <w:t>采购</w:t>
      </w:r>
      <w:r>
        <w:rPr>
          <w:rFonts w:hint="eastAsia" w:ascii="仿宋" w:hAnsi="仿宋" w:eastAsia="仿宋" w:cs="仿宋"/>
          <w:color w:val="auto"/>
          <w:highlight w:val="none"/>
          <w:lang w:val="zh-TW" w:eastAsia="zh-TW"/>
        </w:rPr>
        <w:t>文件补充）</w:t>
      </w:r>
    </w:p>
    <w:p w14:paraId="78277F53">
      <w:pPr>
        <w:pStyle w:val="70"/>
        <w:shd w:val="clear"/>
        <w:adjustRightInd w:val="0"/>
        <w:snapToGrid w:val="0"/>
        <w:spacing w:line="288"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其他合同文件</w:t>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p>
    <w:p w14:paraId="03A3B50E">
      <w:pPr>
        <w:pStyle w:val="70"/>
        <w:shd w:val="clear"/>
        <w:adjustRightInd w:val="0"/>
        <w:snapToGrid w:val="0"/>
        <w:spacing w:line="288" w:lineRule="auto"/>
        <w:ind w:firstLine="420"/>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上述各项合同文件包括合同当事人就该项合同文件所作出的补充和修改，属于同一类内容的文件，应以最新签署的为准。</w:t>
      </w:r>
    </w:p>
    <w:p w14:paraId="3A55F54E">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第一条：建设内容（具体详见采购文件）</w:t>
      </w:r>
    </w:p>
    <w:p w14:paraId="5F813F52">
      <w:pPr>
        <w:pStyle w:val="65"/>
        <w:shd w:val="clear"/>
        <w:snapToGrid w:val="0"/>
        <w:spacing w:line="288" w:lineRule="auto"/>
        <w:ind w:firstLine="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清单如下：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085"/>
        <w:gridCol w:w="5062"/>
        <w:gridCol w:w="828"/>
      </w:tblGrid>
      <w:tr w14:paraId="3E6F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6314053E">
            <w:pPr>
              <w:shd w:val="clea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085" w:type="dxa"/>
            <w:noWrap w:val="0"/>
            <w:vAlign w:val="center"/>
          </w:tcPr>
          <w:p w14:paraId="2323C495">
            <w:pPr>
              <w:shd w:val="clea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tc>
        <w:tc>
          <w:tcPr>
            <w:tcW w:w="5062" w:type="dxa"/>
            <w:noWrap w:val="0"/>
            <w:vAlign w:val="center"/>
          </w:tcPr>
          <w:p w14:paraId="684BAF12">
            <w:pPr>
              <w:shd w:val="clea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项目说明</w:t>
            </w:r>
          </w:p>
        </w:tc>
        <w:tc>
          <w:tcPr>
            <w:tcW w:w="828" w:type="dxa"/>
            <w:noWrap w:val="0"/>
            <w:vAlign w:val="center"/>
          </w:tcPr>
          <w:p w14:paraId="28F45FF3">
            <w:pPr>
              <w:shd w:val="clea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1705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58D4C050">
            <w:pPr>
              <w:shd w:val="clear"/>
              <w:spacing w:line="288" w:lineRule="auto"/>
              <w:jc w:val="center"/>
              <w:rPr>
                <w:rFonts w:hint="eastAsia" w:ascii="仿宋" w:hAnsi="仿宋" w:eastAsia="仿宋" w:cs="仿宋"/>
                <w:color w:val="auto"/>
                <w:sz w:val="21"/>
                <w:szCs w:val="21"/>
                <w:highlight w:val="none"/>
              </w:rPr>
            </w:pPr>
          </w:p>
        </w:tc>
        <w:tc>
          <w:tcPr>
            <w:tcW w:w="2085" w:type="dxa"/>
            <w:noWrap w:val="0"/>
            <w:vAlign w:val="center"/>
          </w:tcPr>
          <w:p w14:paraId="4A2F9908">
            <w:pPr>
              <w:shd w:val="clear"/>
              <w:spacing w:line="288" w:lineRule="auto"/>
              <w:jc w:val="center"/>
              <w:rPr>
                <w:rFonts w:hint="eastAsia" w:ascii="仿宋" w:hAnsi="仿宋" w:eastAsia="仿宋" w:cs="仿宋"/>
                <w:color w:val="auto"/>
                <w:sz w:val="21"/>
                <w:szCs w:val="21"/>
                <w:highlight w:val="none"/>
              </w:rPr>
            </w:pPr>
          </w:p>
        </w:tc>
        <w:tc>
          <w:tcPr>
            <w:tcW w:w="5062" w:type="dxa"/>
            <w:noWrap w:val="0"/>
            <w:vAlign w:val="center"/>
          </w:tcPr>
          <w:p w14:paraId="2ACE5ECC">
            <w:pPr>
              <w:shd w:val="clear"/>
              <w:spacing w:line="288" w:lineRule="auto"/>
              <w:rPr>
                <w:rFonts w:hint="eastAsia" w:ascii="仿宋" w:hAnsi="仿宋" w:eastAsia="仿宋" w:cs="仿宋"/>
                <w:color w:val="auto"/>
                <w:sz w:val="21"/>
                <w:szCs w:val="21"/>
                <w:highlight w:val="none"/>
              </w:rPr>
            </w:pPr>
          </w:p>
        </w:tc>
        <w:tc>
          <w:tcPr>
            <w:tcW w:w="828" w:type="dxa"/>
            <w:noWrap w:val="0"/>
            <w:vAlign w:val="center"/>
          </w:tcPr>
          <w:p w14:paraId="7208159A">
            <w:pPr>
              <w:shd w:val="clear"/>
              <w:spacing w:line="288" w:lineRule="auto"/>
              <w:jc w:val="center"/>
              <w:rPr>
                <w:rFonts w:hint="eastAsia" w:ascii="仿宋" w:hAnsi="仿宋" w:eastAsia="仿宋" w:cs="仿宋"/>
                <w:color w:val="auto"/>
                <w:sz w:val="21"/>
                <w:szCs w:val="21"/>
                <w:highlight w:val="none"/>
              </w:rPr>
            </w:pPr>
          </w:p>
        </w:tc>
      </w:tr>
      <w:tr w14:paraId="3BD7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18840C9A">
            <w:pPr>
              <w:shd w:val="clear"/>
              <w:spacing w:line="288" w:lineRule="auto"/>
              <w:jc w:val="center"/>
              <w:rPr>
                <w:rFonts w:hint="eastAsia" w:ascii="仿宋" w:hAnsi="仿宋" w:eastAsia="仿宋" w:cs="仿宋"/>
                <w:color w:val="auto"/>
                <w:sz w:val="21"/>
                <w:szCs w:val="21"/>
                <w:highlight w:val="none"/>
              </w:rPr>
            </w:pPr>
          </w:p>
        </w:tc>
        <w:tc>
          <w:tcPr>
            <w:tcW w:w="2085" w:type="dxa"/>
            <w:noWrap w:val="0"/>
            <w:vAlign w:val="center"/>
          </w:tcPr>
          <w:p w14:paraId="2CD25682">
            <w:pPr>
              <w:shd w:val="clear"/>
              <w:spacing w:line="288" w:lineRule="auto"/>
              <w:jc w:val="center"/>
              <w:rPr>
                <w:rFonts w:hint="eastAsia" w:ascii="仿宋" w:hAnsi="仿宋" w:eastAsia="仿宋" w:cs="仿宋"/>
                <w:color w:val="auto"/>
                <w:sz w:val="21"/>
                <w:szCs w:val="21"/>
                <w:highlight w:val="none"/>
              </w:rPr>
            </w:pPr>
          </w:p>
        </w:tc>
        <w:tc>
          <w:tcPr>
            <w:tcW w:w="5062" w:type="dxa"/>
            <w:noWrap w:val="0"/>
            <w:vAlign w:val="center"/>
          </w:tcPr>
          <w:p w14:paraId="2D50D4D4">
            <w:pPr>
              <w:shd w:val="clear"/>
              <w:spacing w:line="288" w:lineRule="auto"/>
              <w:rPr>
                <w:rFonts w:hint="eastAsia" w:ascii="仿宋" w:hAnsi="仿宋" w:eastAsia="仿宋" w:cs="仿宋"/>
                <w:color w:val="auto"/>
                <w:sz w:val="21"/>
                <w:szCs w:val="21"/>
                <w:highlight w:val="none"/>
              </w:rPr>
            </w:pPr>
          </w:p>
        </w:tc>
        <w:tc>
          <w:tcPr>
            <w:tcW w:w="828" w:type="dxa"/>
            <w:noWrap w:val="0"/>
            <w:vAlign w:val="center"/>
          </w:tcPr>
          <w:p w14:paraId="51E57C1A">
            <w:pPr>
              <w:shd w:val="clear"/>
              <w:spacing w:line="288" w:lineRule="auto"/>
              <w:jc w:val="center"/>
              <w:rPr>
                <w:rFonts w:hint="eastAsia" w:ascii="仿宋" w:hAnsi="仿宋" w:eastAsia="仿宋" w:cs="仿宋"/>
                <w:color w:val="auto"/>
                <w:sz w:val="21"/>
                <w:szCs w:val="21"/>
                <w:highlight w:val="none"/>
              </w:rPr>
            </w:pPr>
          </w:p>
        </w:tc>
      </w:tr>
      <w:tr w14:paraId="0B73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33B92D18">
            <w:pPr>
              <w:shd w:val="clear"/>
              <w:spacing w:line="288" w:lineRule="auto"/>
              <w:jc w:val="center"/>
              <w:rPr>
                <w:rFonts w:hint="eastAsia" w:ascii="仿宋" w:hAnsi="仿宋" w:eastAsia="仿宋" w:cs="仿宋"/>
                <w:color w:val="auto"/>
                <w:sz w:val="21"/>
                <w:szCs w:val="21"/>
                <w:highlight w:val="none"/>
              </w:rPr>
            </w:pPr>
          </w:p>
        </w:tc>
        <w:tc>
          <w:tcPr>
            <w:tcW w:w="2085" w:type="dxa"/>
            <w:noWrap w:val="0"/>
            <w:vAlign w:val="center"/>
          </w:tcPr>
          <w:p w14:paraId="57DADF1E">
            <w:pPr>
              <w:shd w:val="clear"/>
              <w:spacing w:line="288" w:lineRule="auto"/>
              <w:jc w:val="center"/>
              <w:rPr>
                <w:rFonts w:hint="eastAsia" w:ascii="仿宋" w:hAnsi="仿宋" w:eastAsia="仿宋" w:cs="仿宋"/>
                <w:color w:val="auto"/>
                <w:sz w:val="21"/>
                <w:szCs w:val="21"/>
                <w:highlight w:val="none"/>
              </w:rPr>
            </w:pPr>
          </w:p>
        </w:tc>
        <w:tc>
          <w:tcPr>
            <w:tcW w:w="5062" w:type="dxa"/>
            <w:noWrap w:val="0"/>
            <w:vAlign w:val="center"/>
          </w:tcPr>
          <w:p w14:paraId="7B7C6445">
            <w:pPr>
              <w:shd w:val="clear"/>
              <w:spacing w:line="288" w:lineRule="auto"/>
              <w:rPr>
                <w:rFonts w:hint="eastAsia" w:ascii="仿宋" w:hAnsi="仿宋" w:eastAsia="仿宋" w:cs="仿宋"/>
                <w:color w:val="auto"/>
                <w:sz w:val="21"/>
                <w:szCs w:val="21"/>
                <w:highlight w:val="none"/>
              </w:rPr>
            </w:pPr>
          </w:p>
        </w:tc>
        <w:tc>
          <w:tcPr>
            <w:tcW w:w="828" w:type="dxa"/>
            <w:noWrap w:val="0"/>
            <w:vAlign w:val="center"/>
          </w:tcPr>
          <w:p w14:paraId="63BDA4DA">
            <w:pPr>
              <w:shd w:val="clear"/>
              <w:spacing w:line="288" w:lineRule="auto"/>
              <w:jc w:val="center"/>
              <w:rPr>
                <w:rFonts w:hint="eastAsia" w:ascii="仿宋" w:hAnsi="仿宋" w:eastAsia="仿宋" w:cs="仿宋"/>
                <w:color w:val="auto"/>
                <w:sz w:val="21"/>
                <w:szCs w:val="21"/>
                <w:highlight w:val="none"/>
              </w:rPr>
            </w:pPr>
          </w:p>
        </w:tc>
      </w:tr>
      <w:tr w14:paraId="4518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4BAC56D0">
            <w:pPr>
              <w:shd w:val="clear"/>
              <w:spacing w:line="288" w:lineRule="auto"/>
              <w:jc w:val="center"/>
              <w:rPr>
                <w:rFonts w:hint="eastAsia" w:ascii="仿宋" w:hAnsi="仿宋" w:eastAsia="仿宋" w:cs="仿宋"/>
                <w:color w:val="auto"/>
                <w:sz w:val="21"/>
                <w:szCs w:val="21"/>
                <w:highlight w:val="none"/>
              </w:rPr>
            </w:pPr>
          </w:p>
        </w:tc>
        <w:tc>
          <w:tcPr>
            <w:tcW w:w="2085" w:type="dxa"/>
            <w:noWrap w:val="0"/>
            <w:vAlign w:val="center"/>
          </w:tcPr>
          <w:p w14:paraId="14B3CE43">
            <w:pPr>
              <w:shd w:val="clear"/>
              <w:spacing w:line="288" w:lineRule="auto"/>
              <w:jc w:val="center"/>
              <w:rPr>
                <w:rFonts w:hint="eastAsia" w:ascii="仿宋" w:hAnsi="仿宋" w:eastAsia="仿宋" w:cs="仿宋"/>
                <w:color w:val="auto"/>
                <w:sz w:val="21"/>
                <w:szCs w:val="21"/>
                <w:highlight w:val="none"/>
              </w:rPr>
            </w:pPr>
          </w:p>
        </w:tc>
        <w:tc>
          <w:tcPr>
            <w:tcW w:w="5062" w:type="dxa"/>
            <w:noWrap w:val="0"/>
            <w:vAlign w:val="center"/>
          </w:tcPr>
          <w:p w14:paraId="4F31E348">
            <w:pPr>
              <w:shd w:val="clear"/>
              <w:spacing w:line="288" w:lineRule="auto"/>
              <w:rPr>
                <w:rFonts w:hint="eastAsia" w:ascii="仿宋" w:hAnsi="仿宋" w:eastAsia="仿宋" w:cs="仿宋"/>
                <w:color w:val="auto"/>
                <w:sz w:val="21"/>
                <w:szCs w:val="21"/>
                <w:highlight w:val="none"/>
              </w:rPr>
            </w:pPr>
          </w:p>
        </w:tc>
        <w:tc>
          <w:tcPr>
            <w:tcW w:w="828" w:type="dxa"/>
            <w:noWrap w:val="0"/>
            <w:vAlign w:val="center"/>
          </w:tcPr>
          <w:p w14:paraId="1DF91F52">
            <w:pPr>
              <w:shd w:val="clear"/>
              <w:spacing w:line="288" w:lineRule="auto"/>
              <w:jc w:val="center"/>
              <w:rPr>
                <w:rFonts w:hint="eastAsia" w:ascii="仿宋" w:hAnsi="仿宋" w:eastAsia="仿宋" w:cs="仿宋"/>
                <w:color w:val="auto"/>
                <w:sz w:val="21"/>
                <w:szCs w:val="21"/>
                <w:highlight w:val="none"/>
              </w:rPr>
            </w:pPr>
          </w:p>
        </w:tc>
      </w:tr>
      <w:tr w14:paraId="4983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02A76516">
            <w:pPr>
              <w:shd w:val="clear"/>
              <w:spacing w:line="288" w:lineRule="auto"/>
              <w:jc w:val="center"/>
              <w:rPr>
                <w:rFonts w:hint="eastAsia" w:ascii="仿宋" w:hAnsi="仿宋" w:eastAsia="仿宋" w:cs="仿宋"/>
                <w:color w:val="auto"/>
                <w:sz w:val="21"/>
                <w:szCs w:val="21"/>
                <w:highlight w:val="none"/>
              </w:rPr>
            </w:pPr>
          </w:p>
        </w:tc>
        <w:tc>
          <w:tcPr>
            <w:tcW w:w="2085" w:type="dxa"/>
            <w:noWrap w:val="0"/>
            <w:vAlign w:val="center"/>
          </w:tcPr>
          <w:p w14:paraId="71F81CDB">
            <w:pPr>
              <w:shd w:val="clear"/>
              <w:spacing w:line="288" w:lineRule="auto"/>
              <w:jc w:val="center"/>
              <w:rPr>
                <w:rFonts w:hint="eastAsia" w:ascii="仿宋" w:hAnsi="仿宋" w:eastAsia="仿宋" w:cs="仿宋"/>
                <w:color w:val="auto"/>
                <w:sz w:val="21"/>
                <w:szCs w:val="21"/>
                <w:highlight w:val="none"/>
              </w:rPr>
            </w:pPr>
          </w:p>
        </w:tc>
        <w:tc>
          <w:tcPr>
            <w:tcW w:w="5062" w:type="dxa"/>
            <w:noWrap w:val="0"/>
            <w:vAlign w:val="center"/>
          </w:tcPr>
          <w:p w14:paraId="6961E044">
            <w:pPr>
              <w:shd w:val="clear"/>
              <w:spacing w:line="288" w:lineRule="auto"/>
              <w:rPr>
                <w:rFonts w:hint="eastAsia" w:ascii="仿宋" w:hAnsi="仿宋" w:eastAsia="仿宋" w:cs="仿宋"/>
                <w:color w:val="auto"/>
                <w:sz w:val="21"/>
                <w:szCs w:val="21"/>
                <w:highlight w:val="none"/>
              </w:rPr>
            </w:pPr>
          </w:p>
        </w:tc>
        <w:tc>
          <w:tcPr>
            <w:tcW w:w="828" w:type="dxa"/>
            <w:noWrap w:val="0"/>
            <w:vAlign w:val="center"/>
          </w:tcPr>
          <w:p w14:paraId="786D0060">
            <w:pPr>
              <w:shd w:val="clear"/>
              <w:spacing w:line="288" w:lineRule="auto"/>
              <w:jc w:val="center"/>
              <w:rPr>
                <w:rFonts w:hint="eastAsia" w:ascii="仿宋" w:hAnsi="仿宋" w:eastAsia="仿宋" w:cs="仿宋"/>
                <w:color w:val="auto"/>
                <w:sz w:val="21"/>
                <w:szCs w:val="21"/>
                <w:highlight w:val="none"/>
              </w:rPr>
            </w:pPr>
          </w:p>
        </w:tc>
      </w:tr>
      <w:tr w14:paraId="3972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5EA2BA38">
            <w:pPr>
              <w:shd w:val="clear"/>
              <w:spacing w:line="288" w:lineRule="auto"/>
              <w:jc w:val="center"/>
              <w:rPr>
                <w:rFonts w:hint="eastAsia" w:ascii="仿宋" w:hAnsi="仿宋" w:eastAsia="仿宋" w:cs="仿宋"/>
                <w:color w:val="auto"/>
                <w:sz w:val="21"/>
                <w:szCs w:val="21"/>
                <w:highlight w:val="none"/>
              </w:rPr>
            </w:pPr>
          </w:p>
        </w:tc>
        <w:tc>
          <w:tcPr>
            <w:tcW w:w="2085" w:type="dxa"/>
            <w:noWrap w:val="0"/>
            <w:vAlign w:val="center"/>
          </w:tcPr>
          <w:p w14:paraId="3A04BC26">
            <w:pPr>
              <w:shd w:val="clear"/>
              <w:spacing w:line="288" w:lineRule="auto"/>
              <w:jc w:val="center"/>
              <w:rPr>
                <w:rFonts w:hint="eastAsia" w:ascii="仿宋" w:hAnsi="仿宋" w:eastAsia="仿宋" w:cs="仿宋"/>
                <w:color w:val="auto"/>
                <w:sz w:val="21"/>
                <w:szCs w:val="21"/>
                <w:highlight w:val="none"/>
              </w:rPr>
            </w:pPr>
          </w:p>
        </w:tc>
        <w:tc>
          <w:tcPr>
            <w:tcW w:w="5062" w:type="dxa"/>
            <w:noWrap w:val="0"/>
            <w:vAlign w:val="center"/>
          </w:tcPr>
          <w:p w14:paraId="71C20782">
            <w:pPr>
              <w:shd w:val="clear"/>
              <w:spacing w:line="288" w:lineRule="auto"/>
              <w:rPr>
                <w:rFonts w:hint="eastAsia" w:ascii="仿宋" w:hAnsi="仿宋" w:eastAsia="仿宋" w:cs="仿宋"/>
                <w:color w:val="auto"/>
                <w:sz w:val="21"/>
                <w:szCs w:val="21"/>
                <w:highlight w:val="none"/>
              </w:rPr>
            </w:pPr>
          </w:p>
        </w:tc>
        <w:tc>
          <w:tcPr>
            <w:tcW w:w="828" w:type="dxa"/>
            <w:noWrap w:val="0"/>
            <w:vAlign w:val="center"/>
          </w:tcPr>
          <w:p w14:paraId="49BC6388">
            <w:pPr>
              <w:shd w:val="clear"/>
              <w:spacing w:line="288" w:lineRule="auto"/>
              <w:jc w:val="center"/>
              <w:rPr>
                <w:rFonts w:hint="eastAsia" w:ascii="仿宋" w:hAnsi="仿宋" w:eastAsia="仿宋" w:cs="仿宋"/>
                <w:color w:val="auto"/>
                <w:sz w:val="21"/>
                <w:szCs w:val="21"/>
                <w:highlight w:val="none"/>
              </w:rPr>
            </w:pPr>
          </w:p>
        </w:tc>
      </w:tr>
    </w:tbl>
    <w:p w14:paraId="527E3927">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第二条：合同总价</w:t>
      </w:r>
    </w:p>
    <w:p w14:paraId="6315217B">
      <w:pPr>
        <w:widowControl/>
        <w:shd w:val="clear"/>
        <w:adjustRightInd w:val="0"/>
        <w:spacing w:line="288"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本项目合同总价为人民币    元整（¥    元）。</w:t>
      </w:r>
    </w:p>
    <w:p w14:paraId="59974C4C">
      <w:pPr>
        <w:widowControl/>
        <w:shd w:val="clear"/>
        <w:adjustRightInd w:val="0"/>
        <w:spacing w:line="288"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注：以上合同总价</w:t>
      </w:r>
      <w:r>
        <w:rPr>
          <w:rFonts w:hint="eastAsia" w:ascii="仿宋" w:hAnsi="仿宋" w:eastAsia="仿宋" w:cs="仿宋"/>
          <w:color w:val="auto"/>
          <w:kern w:val="0"/>
          <w:sz w:val="21"/>
          <w:szCs w:val="21"/>
          <w:highlight w:val="none"/>
        </w:rPr>
        <w:t>包括但不限于：系统调研、需求分析、系统开发、系统调试、验收、后续服务、增值税、招标代理费和其他所有税费等一切费用</w:t>
      </w:r>
      <w:r>
        <w:rPr>
          <w:rFonts w:hint="eastAsia" w:ascii="仿宋" w:hAnsi="仿宋" w:eastAsia="仿宋" w:cs="仿宋"/>
          <w:color w:val="auto"/>
          <w:kern w:val="0"/>
          <w:sz w:val="21"/>
          <w:szCs w:val="21"/>
          <w:highlight w:val="none"/>
          <w:lang w:val="zh-CN"/>
        </w:rPr>
        <w:t>。</w:t>
      </w:r>
    </w:p>
    <w:p w14:paraId="586E6100">
      <w:pPr>
        <w:shd w:val="clear"/>
        <w:autoSpaceDE w:val="0"/>
        <w:autoSpaceDN w:val="0"/>
        <w:adjustRightInd w:val="0"/>
        <w:spacing w:line="288" w:lineRule="auto"/>
        <w:ind w:firstLine="422" w:firstLineChars="200"/>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第三条：建设目标</w:t>
      </w:r>
    </w:p>
    <w:p w14:paraId="63FB8B9B">
      <w:pPr>
        <w:widowControl/>
        <w:shd w:val="clear"/>
        <w:adjustRightInd w:val="0"/>
        <w:spacing w:line="288" w:lineRule="auto"/>
        <w:ind w:firstLine="420" w:firstLineChars="200"/>
        <w:jc w:val="left"/>
        <w:rPr>
          <w:rFonts w:hint="eastAsia" w:ascii="仿宋" w:hAnsi="仿宋" w:eastAsia="仿宋" w:cs="仿宋"/>
          <w:color w:val="auto"/>
          <w:kern w:val="0"/>
          <w:sz w:val="21"/>
          <w:szCs w:val="21"/>
          <w:highlight w:val="none"/>
          <w:lang w:val="zh-CN"/>
        </w:rPr>
      </w:pPr>
    </w:p>
    <w:p w14:paraId="2F3B832B">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第四条：技术资料和保密约定</w:t>
      </w:r>
    </w:p>
    <w:p w14:paraId="57C294C4">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2EA3A27A">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应严格规范执行各项保密制度，对在项目招标、建设、质保各阶段取得采购人各类信息进行保密管理,做好有关保密工作。乙方保证项目实施过程中的有关信息、文件等对第三方保密，非经甲方同意，不得公开或向第三方提供。</w:t>
      </w:r>
    </w:p>
    <w:p w14:paraId="3B5BAC24">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第五条：知识产权</w:t>
      </w:r>
    </w:p>
    <w:p w14:paraId="5DC7C8A1">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乙方应保证所提供的软件或其任何一部分均不会侵犯任何第三方的知识产权，由此产生的知识产权纠纷由乙方解决、处理并承担全部后果；因此而给甲方造成损失的，由乙方负责赔偿。</w:t>
      </w:r>
    </w:p>
    <w:p w14:paraId="43F7046C">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第六条：合同履行时间</w:t>
      </w:r>
    </w:p>
    <w:p w14:paraId="4787CF76">
      <w:pPr>
        <w:shd w:val="clear"/>
        <w:snapToGrid w:val="0"/>
        <w:spacing w:line="288" w:lineRule="auto"/>
        <w:ind w:firstLine="420"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合同签订之日起</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lang w:val="en-US" w:eastAsia="zh-CN"/>
        </w:rPr>
        <w:t>月</w:t>
      </w:r>
      <w:r>
        <w:rPr>
          <w:rFonts w:hint="eastAsia" w:ascii="仿宋" w:hAnsi="仿宋" w:eastAsia="仿宋" w:cs="仿宋"/>
          <w:color w:val="auto"/>
          <w:spacing w:val="-6"/>
          <w:sz w:val="21"/>
          <w:szCs w:val="21"/>
          <w:highlight w:val="none"/>
        </w:rPr>
        <w:t>内交付使用。</w:t>
      </w:r>
    </w:p>
    <w:p w14:paraId="5AD91890">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第七条：售后服务保障或响应时间要求</w:t>
      </w:r>
    </w:p>
    <w:p w14:paraId="4A1225AD">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1.乙方提供</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none"/>
          <w:lang w:val="en-US" w:eastAsia="zh-CN"/>
        </w:rPr>
        <w:t>年</w:t>
      </w:r>
      <w:r>
        <w:rPr>
          <w:rFonts w:hint="eastAsia" w:ascii="仿宋" w:hAnsi="仿宋" w:eastAsia="仿宋" w:cs="仿宋"/>
          <w:color w:val="auto"/>
          <w:kern w:val="0"/>
          <w:sz w:val="21"/>
          <w:szCs w:val="21"/>
          <w:highlight w:val="none"/>
        </w:rPr>
        <w:t>的免费售后服务，售后服务期从验收合格之日起开始计算。</w:t>
      </w:r>
    </w:p>
    <w:p w14:paraId="23750DB1">
      <w:pPr>
        <w:shd w:val="clear"/>
        <w:autoSpaceDE w:val="0"/>
        <w:autoSpaceDN w:val="0"/>
        <w:adjustRightInd w:val="0"/>
        <w:spacing w:line="288" w:lineRule="auto"/>
        <w:ind w:firstLine="420" w:firstLineChars="200"/>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乙方提供7*24小时的技术支持服务，提供紧急联系人联系方式，随时接收学校提出的技术问题，并在24小时内提供解决方案</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紧急联系人：</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lang w:val="en-US" w:eastAsia="zh-CN"/>
        </w:rPr>
        <w:t xml:space="preserve"> 电话：</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lang w:val="en-US" w:eastAsia="zh-CN"/>
        </w:rPr>
        <w:t>。</w:t>
      </w:r>
    </w:p>
    <w:p w14:paraId="75AC9CF8">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3.乙方提供系统版本生命周期内的终身免费升级，在售后服务期内，提供持续的大版本免费更新服务。</w:t>
      </w:r>
    </w:p>
    <w:p w14:paraId="49765A91">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第八条：成果交付及验收</w:t>
      </w:r>
    </w:p>
    <w:p w14:paraId="7D7831BC">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1.交付成果和文档资料</w:t>
      </w:r>
    </w:p>
    <w:p w14:paraId="30552834">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本期项目的开发过程中和交付使用后，要求将各个阶段产生的全面、规范的成果和文档资料交付给甲方，而且要提供明确的交付清单。同时，成果和文档资料必须符合软件工程的相关要求。要交付的成果和文档资料主要包括以下部分：</w:t>
      </w:r>
    </w:p>
    <w:p w14:paraId="448A6886">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（1）可运行的系统。</w:t>
      </w:r>
    </w:p>
    <w:p w14:paraId="128F0B1E">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技术文档：包括项目开发中的各种技术文档，如开发环境配置说明、软件工具清单、需求分析说明、变更说明、系统设计说明、用户手册、测试用例、测试结果、系统维护说明、系统培训资料以及有关系统接口的技术说明等等。</w:t>
      </w:r>
    </w:p>
    <w:p w14:paraId="7BB6D337">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（3）管理文档：包括项目开发中的一些工作文档，如，计划、报告、讨论纲要、会议记录等。</w:t>
      </w:r>
    </w:p>
    <w:p w14:paraId="2E885780">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（4）版权归属及使用要求：</w:t>
      </w:r>
    </w:p>
    <w:p w14:paraId="439F15A6">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该系统的版权为甲方完全拥有。</w:t>
      </w:r>
    </w:p>
    <w:p w14:paraId="2CA9E29E">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2.本合同验收由甲方组织实施，验收过程中，乙方应派专业的技术人员协助甲方进行验收；</w:t>
      </w:r>
    </w:p>
    <w:p w14:paraId="182A1EA1">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3.验收合格标准：</w:t>
      </w:r>
    </w:p>
    <w:p w14:paraId="348AB69E">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（1）符合质量要求（符合采购文件要求、磋商承诺以及国家、行业有关技术规范和标准，提供合同的全部资料）；</w:t>
      </w:r>
    </w:p>
    <w:p w14:paraId="16DD5FBC">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sz w:val="21"/>
          <w:szCs w:val="21"/>
          <w:highlight w:val="none"/>
          <w:lang w:bidi="ar"/>
        </w:rPr>
        <w:t>在进行测试和验收过程中发现的问题已被解决并得到采购人的认可</w:t>
      </w:r>
      <w:r>
        <w:rPr>
          <w:rFonts w:hint="eastAsia" w:ascii="仿宋" w:hAnsi="仿宋" w:eastAsia="仿宋" w:cs="仿宋"/>
          <w:color w:val="auto"/>
          <w:kern w:val="0"/>
          <w:sz w:val="21"/>
          <w:szCs w:val="21"/>
          <w:highlight w:val="none"/>
        </w:rPr>
        <w:t>；</w:t>
      </w:r>
    </w:p>
    <w:p w14:paraId="4A4A8280">
      <w:pPr>
        <w:shd w:val="clear"/>
        <w:autoSpaceDE w:val="0"/>
        <w:autoSpaceDN w:val="0"/>
        <w:adjustRightInd w:val="0"/>
        <w:spacing w:line="288"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（3）合同中规定的所有过程材料均已交付；</w:t>
      </w:r>
    </w:p>
    <w:p w14:paraId="4AB66FCD">
      <w:pPr>
        <w:shd w:val="clear"/>
        <w:autoSpaceDE w:val="0"/>
        <w:autoSpaceDN w:val="0"/>
        <w:adjustRightInd w:val="0"/>
        <w:spacing w:line="288"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（4）所有相关的技术文件及资料均已提交并得到接受。</w:t>
      </w:r>
    </w:p>
    <w:p w14:paraId="34DA9BBF">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第九条：合同款的支付</w:t>
      </w:r>
    </w:p>
    <w:p w14:paraId="019E588B">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合同生效以及具备实施条件后7个工作日内，甲方向乙方支付合同总价40%的预付款；项目履约完成，经甲方验收合格后，收到发票后7个工作日内，甲方向乙方支付至合同总价的100%。</w:t>
      </w:r>
    </w:p>
    <w:p w14:paraId="4867A875">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第十条：违约责任</w:t>
      </w:r>
    </w:p>
    <w:p w14:paraId="6AB30844">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1.甲方逾期支付合同款的，自逾期之日起，向乙方每日偿付未付价款万分之二点一的滞纳金。</w:t>
      </w:r>
    </w:p>
    <w:p w14:paraId="0F689D8A">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2.乙方逾期履行合同的，自逾期之日起，向甲方每日偿付合同总价万分之二点一的滞纳金；每逾期1个月，乙方需支付合同总额20%作为违约金，同时甲方有权要求终止合同。</w:t>
      </w:r>
    </w:p>
    <w:p w14:paraId="5E44D4AF">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第十一条：不可抗力事件处理</w:t>
      </w:r>
    </w:p>
    <w:p w14:paraId="1FAD4722">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14:paraId="73D3F98F">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2.不可抗力事件发生后，应立即通知对方，并寄送有关权威机构出具的证明。</w:t>
      </w:r>
    </w:p>
    <w:p w14:paraId="4D9DBA21">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3.不可抗力事件延续120天以上，双方通过友好协商，确定是否继续履行合同。</w:t>
      </w:r>
    </w:p>
    <w:p w14:paraId="306634CE">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第十二条：争议解决</w:t>
      </w:r>
    </w:p>
    <w:p w14:paraId="6A18D1CA">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本合同未尽事宜由</w:t>
      </w:r>
      <w:r>
        <w:rPr>
          <w:rFonts w:hint="eastAsia" w:ascii="仿宋" w:hAnsi="仿宋" w:eastAsia="仿宋" w:cs="仿宋"/>
          <w:color w:val="auto"/>
          <w:kern w:val="0"/>
          <w:sz w:val="21"/>
          <w:szCs w:val="21"/>
          <w:highlight w:val="none"/>
          <w:lang w:eastAsia="zh-CN"/>
        </w:rPr>
        <w:t>双方</w:t>
      </w:r>
      <w:r>
        <w:rPr>
          <w:rFonts w:hint="eastAsia" w:ascii="仿宋" w:hAnsi="仿宋" w:eastAsia="仿宋" w:cs="仿宋"/>
          <w:color w:val="auto"/>
          <w:kern w:val="0"/>
          <w:sz w:val="21"/>
          <w:szCs w:val="21"/>
          <w:highlight w:val="none"/>
        </w:rPr>
        <w:t>协商解决，如协商不成，</w:t>
      </w:r>
      <w:r>
        <w:rPr>
          <w:rFonts w:hint="eastAsia" w:ascii="仿宋" w:hAnsi="仿宋" w:eastAsia="仿宋" w:cs="仿宋"/>
          <w:color w:val="auto"/>
          <w:kern w:val="0"/>
          <w:sz w:val="21"/>
          <w:szCs w:val="21"/>
          <w:highlight w:val="none"/>
          <w:lang w:eastAsia="zh-CN"/>
        </w:rPr>
        <w:t>双方</w:t>
      </w:r>
      <w:r>
        <w:rPr>
          <w:rFonts w:hint="eastAsia" w:ascii="仿宋" w:hAnsi="仿宋" w:eastAsia="仿宋" w:cs="仿宋"/>
          <w:color w:val="auto"/>
          <w:kern w:val="0"/>
          <w:sz w:val="21"/>
          <w:szCs w:val="21"/>
          <w:highlight w:val="none"/>
        </w:rPr>
        <w:t>同意将本合同引起的争议提交甲方所在地法院解决。</w:t>
      </w:r>
    </w:p>
    <w:p w14:paraId="0648781B">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第十三条：其它</w:t>
      </w:r>
    </w:p>
    <w:p w14:paraId="5C3CFFC7">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1.本合同所有附件、采购文件、响应文件、中标通知书通知书均为合同的有效组成部分，与本合同具有同等法律效力。</w:t>
      </w:r>
    </w:p>
    <w:p w14:paraId="728DEC2E">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2.在执行本合同的过程中，所有经双方签署确认的文件（包括会议纪要、补充协议、往来信函）即成为本合同的有效组成部分。</w:t>
      </w:r>
    </w:p>
    <w:p w14:paraId="2A872A71">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3.如一方地址、电话、传真号码有变更，应在变更当日内书面通知对方，否则，应承担相应责任。</w:t>
      </w:r>
    </w:p>
    <w:p w14:paraId="4F1E456C">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第十四条：合同生效</w:t>
      </w:r>
    </w:p>
    <w:p w14:paraId="2F8587C5">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w:t>
      </w:r>
      <w:r>
        <w:rPr>
          <w:rFonts w:hint="eastAsia" w:ascii="仿宋" w:hAnsi="仿宋" w:eastAsia="仿宋" w:cs="仿宋"/>
          <w:color w:val="auto"/>
          <w:kern w:val="0"/>
          <w:sz w:val="21"/>
          <w:szCs w:val="21"/>
          <w:highlight w:val="none"/>
          <w:lang w:eastAsia="zh-CN"/>
        </w:rPr>
        <w:t>双方</w:t>
      </w:r>
      <w:r>
        <w:rPr>
          <w:rFonts w:hint="eastAsia" w:ascii="仿宋" w:hAnsi="仿宋" w:eastAsia="仿宋" w:cs="仿宋"/>
          <w:color w:val="auto"/>
          <w:kern w:val="0"/>
          <w:sz w:val="21"/>
          <w:szCs w:val="21"/>
          <w:highlight w:val="none"/>
        </w:rPr>
        <w:t>法定代表人或授权代表签字并加电子签名/公章后生效。</w:t>
      </w:r>
    </w:p>
    <w:p w14:paraId="79273656">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2.合同执行中涉及采购资金和采购内容修改或补充的，须经财政部门审批，并签书面补充协议报政府采购监督管理部门备案，方可作为主合同不可分割的一部分。</w:t>
      </w:r>
    </w:p>
    <w:p w14:paraId="0D04A7F0">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3.本合同未尽事宜，遵照《民法典》有关条文执行。</w:t>
      </w:r>
    </w:p>
    <w:p w14:paraId="6F3BDEE7">
      <w:pPr>
        <w:shd w:val="clear"/>
        <w:snapToGrid w:val="0"/>
        <w:spacing w:line="288" w:lineRule="auto"/>
        <w:ind w:firstLine="420"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4.本合同一式   份，甲方执 叁 份，乙方执   份，采购代理机构执 壹 份，经</w:t>
      </w:r>
      <w:r>
        <w:rPr>
          <w:rFonts w:hint="eastAsia" w:ascii="仿宋" w:hAnsi="仿宋" w:eastAsia="仿宋" w:cs="仿宋"/>
          <w:color w:val="auto"/>
          <w:kern w:val="0"/>
          <w:sz w:val="21"/>
          <w:szCs w:val="21"/>
          <w:highlight w:val="none"/>
          <w:lang w:eastAsia="zh-CN"/>
        </w:rPr>
        <w:t>双方</w:t>
      </w:r>
      <w:r>
        <w:rPr>
          <w:rFonts w:hint="eastAsia" w:ascii="仿宋" w:hAnsi="仿宋" w:eastAsia="仿宋" w:cs="仿宋"/>
          <w:color w:val="auto"/>
          <w:kern w:val="0"/>
          <w:sz w:val="21"/>
          <w:szCs w:val="21"/>
          <w:highlight w:val="none"/>
        </w:rPr>
        <w:t>签字、盖公章并在乙方履约保证金到帐后生效</w:t>
      </w:r>
      <w:r>
        <w:rPr>
          <w:rFonts w:hint="eastAsia" w:ascii="仿宋" w:hAnsi="仿宋" w:eastAsia="仿宋" w:cs="仿宋"/>
          <w:color w:val="auto"/>
          <w:spacing w:val="-6"/>
          <w:sz w:val="21"/>
          <w:szCs w:val="21"/>
          <w:highlight w:val="none"/>
        </w:rPr>
        <w:t>。</w:t>
      </w: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gridCol w:w="3960"/>
      </w:tblGrid>
      <w:tr w14:paraId="5910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4320" w:type="dxa"/>
            <w:noWrap w:val="0"/>
            <w:vAlign w:val="center"/>
          </w:tcPr>
          <w:p w14:paraId="26BF44F3">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甲方（需方）：</w:t>
            </w:r>
            <w:r>
              <w:rPr>
                <w:rFonts w:hint="eastAsia" w:ascii="仿宋" w:hAnsi="仿宋" w:eastAsia="仿宋" w:cs="仿宋"/>
                <w:color w:val="auto"/>
                <w:spacing w:val="-6"/>
                <w:sz w:val="21"/>
                <w:szCs w:val="21"/>
                <w:highlight w:val="none"/>
                <w:lang w:eastAsia="zh-CN"/>
              </w:rPr>
              <w:t>浙江万里学院</w:t>
            </w:r>
            <w:r>
              <w:rPr>
                <w:rFonts w:hint="eastAsia" w:ascii="仿宋" w:hAnsi="仿宋" w:eastAsia="仿宋" w:cs="仿宋"/>
                <w:color w:val="auto"/>
                <w:spacing w:val="-6"/>
                <w:sz w:val="21"/>
                <w:szCs w:val="21"/>
                <w:highlight w:val="none"/>
              </w:rPr>
              <w:t>（公章）</w:t>
            </w:r>
          </w:p>
        </w:tc>
        <w:tc>
          <w:tcPr>
            <w:tcW w:w="3960" w:type="dxa"/>
            <w:noWrap w:val="0"/>
            <w:vAlign w:val="center"/>
          </w:tcPr>
          <w:p w14:paraId="44E776B0">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乙方（供方）：（公章）</w:t>
            </w:r>
          </w:p>
        </w:tc>
      </w:tr>
      <w:tr w14:paraId="58F7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320" w:type="dxa"/>
            <w:noWrap w:val="0"/>
            <w:vAlign w:val="center"/>
          </w:tcPr>
          <w:p w14:paraId="0FE89699">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甲方代表：</w:t>
            </w:r>
          </w:p>
          <w:p w14:paraId="65C9772C">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(签字）</w:t>
            </w:r>
          </w:p>
        </w:tc>
        <w:tc>
          <w:tcPr>
            <w:tcW w:w="3960" w:type="dxa"/>
            <w:noWrap w:val="0"/>
            <w:vAlign w:val="center"/>
          </w:tcPr>
          <w:p w14:paraId="1EC6AE66">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乙方代表：</w:t>
            </w:r>
          </w:p>
          <w:p w14:paraId="571F3BF9">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（签字）</w:t>
            </w:r>
          </w:p>
        </w:tc>
      </w:tr>
      <w:tr w14:paraId="7CAA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20" w:type="dxa"/>
            <w:noWrap w:val="0"/>
            <w:vAlign w:val="top"/>
          </w:tcPr>
          <w:p w14:paraId="6BDDCB62">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 xml:space="preserve">地址： </w:t>
            </w:r>
          </w:p>
        </w:tc>
        <w:tc>
          <w:tcPr>
            <w:tcW w:w="3960" w:type="dxa"/>
            <w:noWrap w:val="0"/>
            <w:vAlign w:val="center"/>
          </w:tcPr>
          <w:p w14:paraId="688D3222">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地址：</w:t>
            </w:r>
          </w:p>
        </w:tc>
      </w:tr>
      <w:tr w14:paraId="7D1F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20" w:type="dxa"/>
            <w:noWrap w:val="0"/>
            <w:vAlign w:val="top"/>
          </w:tcPr>
          <w:p w14:paraId="5338DE95">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电话：</w:t>
            </w:r>
          </w:p>
        </w:tc>
        <w:tc>
          <w:tcPr>
            <w:tcW w:w="3960" w:type="dxa"/>
            <w:noWrap w:val="0"/>
            <w:vAlign w:val="center"/>
          </w:tcPr>
          <w:p w14:paraId="778D33A7">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电话：</w:t>
            </w:r>
          </w:p>
        </w:tc>
      </w:tr>
      <w:tr w14:paraId="045C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20" w:type="dxa"/>
            <w:noWrap w:val="0"/>
            <w:vAlign w:val="top"/>
          </w:tcPr>
          <w:p w14:paraId="24E70214">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开户银行：</w:t>
            </w:r>
          </w:p>
        </w:tc>
        <w:tc>
          <w:tcPr>
            <w:tcW w:w="3960" w:type="dxa"/>
            <w:noWrap w:val="0"/>
            <w:vAlign w:val="center"/>
          </w:tcPr>
          <w:p w14:paraId="5ED485A7">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开户银行：</w:t>
            </w:r>
          </w:p>
        </w:tc>
      </w:tr>
      <w:tr w14:paraId="2547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20" w:type="dxa"/>
            <w:noWrap w:val="0"/>
            <w:vAlign w:val="top"/>
          </w:tcPr>
          <w:p w14:paraId="166EE5C6">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帐号：</w:t>
            </w:r>
          </w:p>
        </w:tc>
        <w:tc>
          <w:tcPr>
            <w:tcW w:w="3960" w:type="dxa"/>
            <w:noWrap w:val="0"/>
            <w:vAlign w:val="center"/>
          </w:tcPr>
          <w:p w14:paraId="60FE4DAD">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帐号：</w:t>
            </w:r>
          </w:p>
        </w:tc>
      </w:tr>
      <w:tr w14:paraId="7D1C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4320" w:type="dxa"/>
            <w:noWrap w:val="0"/>
            <w:vAlign w:val="center"/>
          </w:tcPr>
          <w:p w14:paraId="502B0AC2">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签字日期：        年    月    日</w:t>
            </w:r>
          </w:p>
        </w:tc>
        <w:tc>
          <w:tcPr>
            <w:tcW w:w="3960" w:type="dxa"/>
            <w:noWrap w:val="0"/>
            <w:vAlign w:val="center"/>
          </w:tcPr>
          <w:p w14:paraId="041DFD0C">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签字日期：        年    月    日</w:t>
            </w:r>
          </w:p>
        </w:tc>
      </w:tr>
    </w:tbl>
    <w:p w14:paraId="3F71D512">
      <w:pPr>
        <w:shd w:val="clear"/>
        <w:adjustRightInd w:val="0"/>
        <w:snapToGrid w:val="0"/>
        <w:spacing w:line="288"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color w:val="auto"/>
          <w:sz w:val="21"/>
          <w:szCs w:val="21"/>
          <w:highlight w:val="none"/>
        </w:rPr>
        <w:br w:type="page"/>
      </w:r>
      <w:bookmarkStart w:id="176" w:name="_Toc1796"/>
      <w:bookmarkStart w:id="177" w:name="_Toc30559"/>
      <w:bookmarkStart w:id="178" w:name="_Toc29822"/>
      <w:bookmarkStart w:id="179" w:name="_Toc29708"/>
      <w:bookmarkStart w:id="180" w:name="_Toc29941"/>
      <w:bookmarkStart w:id="181" w:name="_Toc9363"/>
      <w:bookmarkStart w:id="182" w:name="_Toc10393"/>
      <w:r>
        <w:rPr>
          <w:rFonts w:hint="eastAsia" w:ascii="仿宋" w:hAnsi="仿宋" w:eastAsia="仿宋" w:cs="仿宋"/>
          <w:b/>
          <w:bCs/>
          <w:color w:val="auto"/>
          <w:sz w:val="32"/>
          <w:szCs w:val="32"/>
          <w:highlight w:val="none"/>
        </w:rPr>
        <w:t>第六章  响应文件格式</w:t>
      </w:r>
      <w:bookmarkEnd w:id="176"/>
      <w:bookmarkEnd w:id="177"/>
      <w:bookmarkEnd w:id="178"/>
      <w:bookmarkEnd w:id="179"/>
      <w:bookmarkEnd w:id="180"/>
      <w:bookmarkEnd w:id="181"/>
      <w:bookmarkEnd w:id="182"/>
    </w:p>
    <w:p w14:paraId="39F1DB26">
      <w:pPr>
        <w:shd w:val="clear"/>
        <w:adjustRightInd w:val="0"/>
        <w:snapToGrid w:val="0"/>
        <w:spacing w:line="288" w:lineRule="auto"/>
        <w:rPr>
          <w:rFonts w:hint="eastAsia" w:ascii="仿宋" w:hAnsi="仿宋" w:eastAsia="仿宋" w:cs="仿宋"/>
          <w:color w:val="auto"/>
          <w:sz w:val="21"/>
          <w:szCs w:val="21"/>
          <w:highlight w:val="none"/>
        </w:rPr>
      </w:pPr>
    </w:p>
    <w:p w14:paraId="7008B193">
      <w:pPr>
        <w:shd w:val="clear"/>
        <w:adjustRightInd w:val="0"/>
        <w:snapToGrid w:val="0"/>
        <w:spacing w:line="288" w:lineRule="auto"/>
        <w:jc w:val="center"/>
        <w:rPr>
          <w:rFonts w:hint="eastAsia" w:ascii="仿宋" w:hAnsi="仿宋" w:eastAsia="仿宋" w:cs="仿宋"/>
          <w:b/>
          <w:bCs/>
          <w:color w:val="auto"/>
          <w:sz w:val="21"/>
          <w:szCs w:val="21"/>
          <w:highlight w:val="none"/>
        </w:rPr>
      </w:pPr>
    </w:p>
    <w:p w14:paraId="62B16A62">
      <w:pPr>
        <w:shd w:val="clear"/>
        <w:adjustRightInd w:val="0"/>
        <w:snapToGrid w:val="0"/>
        <w:spacing w:line="288"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2278B90A">
      <w:pPr>
        <w:shd w:val="clear"/>
        <w:adjustRightInd w:val="0"/>
        <w:snapToGrid w:val="0"/>
        <w:spacing w:line="288" w:lineRule="auto"/>
        <w:rPr>
          <w:rFonts w:hint="eastAsia" w:ascii="仿宋" w:hAnsi="仿宋" w:eastAsia="仿宋" w:cs="仿宋"/>
          <w:color w:val="auto"/>
          <w:sz w:val="21"/>
          <w:szCs w:val="21"/>
          <w:highlight w:val="none"/>
        </w:rPr>
      </w:pPr>
    </w:p>
    <w:p w14:paraId="0251CC0B">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bookmarkStart w:id="183" w:name="_Hlk71884160"/>
      <w:r>
        <w:rPr>
          <w:rFonts w:hint="eastAsia" w:ascii="仿宋" w:hAnsi="仿宋" w:eastAsia="仿宋" w:cs="仿宋"/>
          <w:b/>
          <w:bCs/>
          <w:color w:val="auto"/>
          <w:sz w:val="21"/>
          <w:szCs w:val="21"/>
          <w:highlight w:val="none"/>
        </w:rPr>
        <w:t>▲1.资格文件（单独上传）</w:t>
      </w:r>
    </w:p>
    <w:p w14:paraId="0277DBCF">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资格审查要求的资格证明材料(均需加盖公章)：</w:t>
      </w:r>
      <w:bookmarkEnd w:id="183"/>
    </w:p>
    <w:p w14:paraId="57319C82">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bookmarkStart w:id="184" w:name="_Hlk71884127"/>
      <w:r>
        <w:rPr>
          <w:rFonts w:hint="eastAsia" w:ascii="仿宋" w:hAnsi="仿宋" w:eastAsia="仿宋" w:cs="仿宋"/>
          <w:b/>
          <w:bCs/>
          <w:color w:val="auto"/>
          <w:sz w:val="21"/>
          <w:szCs w:val="21"/>
          <w:highlight w:val="none"/>
        </w:rPr>
        <w:t>（1）符合参加政府采购活动应当具备的一般条件的承诺函。</w:t>
      </w:r>
    </w:p>
    <w:p w14:paraId="2F3AB5A2">
      <w:pPr>
        <w:shd w:val="clear"/>
        <w:adjustRightInd w:val="0"/>
        <w:snapToGrid w:val="0"/>
        <w:spacing w:line="288" w:lineRule="auto"/>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（2）落实政府采购政策需满足的资格要求：</w:t>
      </w:r>
      <w:r>
        <w:rPr>
          <w:rFonts w:hint="eastAsia" w:ascii="仿宋" w:hAnsi="仿宋" w:eastAsia="仿宋" w:cs="仿宋"/>
          <w:b/>
          <w:bCs/>
          <w:color w:val="auto"/>
          <w:sz w:val="21"/>
          <w:szCs w:val="21"/>
          <w:highlight w:val="none"/>
          <w:lang w:val="en-US" w:eastAsia="zh-CN"/>
        </w:rPr>
        <w:t>如有。</w:t>
      </w:r>
    </w:p>
    <w:p w14:paraId="3401DA45">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（3）本项目的特定资格要求证明材料：</w:t>
      </w:r>
      <w:bookmarkEnd w:id="184"/>
      <w:r>
        <w:rPr>
          <w:rFonts w:hint="eastAsia" w:ascii="仿宋" w:hAnsi="仿宋" w:eastAsia="仿宋" w:cs="仿宋"/>
          <w:b/>
          <w:bCs/>
          <w:color w:val="auto"/>
          <w:sz w:val="21"/>
          <w:szCs w:val="21"/>
          <w:highlight w:val="none"/>
          <w:lang w:val="en-US" w:eastAsia="zh-CN"/>
        </w:rPr>
        <w:t>如有</w:t>
      </w:r>
      <w:r>
        <w:rPr>
          <w:rFonts w:hint="eastAsia" w:ascii="仿宋" w:hAnsi="仿宋" w:eastAsia="仿宋" w:cs="仿宋"/>
          <w:b/>
          <w:bCs/>
          <w:color w:val="auto"/>
          <w:sz w:val="21"/>
          <w:szCs w:val="21"/>
          <w:highlight w:val="none"/>
        </w:rPr>
        <w:t>。</w:t>
      </w:r>
    </w:p>
    <w:p w14:paraId="1147E86D">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w:t>
      </w:r>
      <w:r>
        <w:rPr>
          <w:rFonts w:hint="eastAsia" w:ascii="仿宋" w:hAnsi="仿宋" w:eastAsia="仿宋" w:cs="仿宋"/>
          <w:b/>
          <w:color w:val="auto"/>
          <w:sz w:val="21"/>
          <w:szCs w:val="21"/>
          <w:highlight w:val="none"/>
        </w:rPr>
        <w:t>以联合体形式响应的，提供联合协议及</w:t>
      </w:r>
      <w:r>
        <w:rPr>
          <w:rFonts w:hint="eastAsia" w:ascii="仿宋" w:hAnsi="仿宋" w:eastAsia="仿宋" w:cs="仿宋"/>
          <w:b/>
          <w:bCs/>
          <w:color w:val="auto"/>
          <w:sz w:val="21"/>
          <w:szCs w:val="21"/>
          <w:highlight w:val="none"/>
        </w:rPr>
        <w:t>联合体各方均应提供资格文件（1）、（2）材料。</w:t>
      </w:r>
    </w:p>
    <w:p w14:paraId="25E4234D">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2.报价文件</w:t>
      </w:r>
    </w:p>
    <w:p w14:paraId="7658E4DD">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（1）初次报价一览表。</w:t>
      </w:r>
    </w:p>
    <w:p w14:paraId="2CB9A196">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（2）报价情况说明（如有）。</w:t>
      </w:r>
    </w:p>
    <w:p w14:paraId="69073C87">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3.商务技术文件</w:t>
      </w:r>
    </w:p>
    <w:p w14:paraId="09D868BA">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（1）响应函。</w:t>
      </w:r>
    </w:p>
    <w:p w14:paraId="7D6FED84">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（2）授权委托书或法定代表人（单位负责人、自然人本人）身份证明。</w:t>
      </w:r>
    </w:p>
    <w:p w14:paraId="1914F016">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（3）采购需求偏离表。</w:t>
      </w:r>
    </w:p>
    <w:p w14:paraId="740DADF3">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（4）廉政承诺书。</w:t>
      </w:r>
    </w:p>
    <w:p w14:paraId="385004EE">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bookmarkStart w:id="185" w:name="_Hlk71884196"/>
      <w:r>
        <w:rPr>
          <w:rFonts w:hint="eastAsia" w:ascii="仿宋" w:hAnsi="仿宋" w:eastAsia="仿宋" w:cs="仿宋"/>
          <w:color w:val="auto"/>
          <w:sz w:val="21"/>
          <w:szCs w:val="21"/>
          <w:highlight w:val="none"/>
        </w:rPr>
        <w:t>（5）商务技术资料。</w:t>
      </w:r>
    </w:p>
    <w:p w14:paraId="059D4C88">
      <w:pPr>
        <w:shd w:val="clear"/>
        <w:adjustRightInd w:val="0"/>
        <w:snapToGrid w:val="0"/>
        <w:spacing w:line="288"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（6）技术方案</w:t>
      </w:r>
      <w:r>
        <w:rPr>
          <w:rFonts w:hint="eastAsia" w:ascii="仿宋" w:hAnsi="仿宋" w:eastAsia="仿宋" w:cs="仿宋"/>
          <w:color w:val="auto"/>
          <w:sz w:val="21"/>
          <w:szCs w:val="21"/>
          <w:highlight w:val="none"/>
          <w:lang w:eastAsia="zh-CN"/>
        </w:rPr>
        <w:t>。</w:t>
      </w:r>
    </w:p>
    <w:p w14:paraId="76E697FA">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（7）供应商需要说明的其他文件和材料。</w:t>
      </w:r>
    </w:p>
    <w:bookmarkEnd w:id="185"/>
    <w:p w14:paraId="0DE71E2F">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5F6D1D63">
      <w:pPr>
        <w:shd w:val="clear"/>
        <w:adjustRightInd w:val="0"/>
        <w:snapToGrid w:val="0"/>
        <w:spacing w:line="288" w:lineRule="auto"/>
        <w:rPr>
          <w:rFonts w:hint="eastAsia" w:ascii="仿宋" w:hAnsi="仿宋" w:eastAsia="仿宋" w:cs="仿宋"/>
          <w:color w:val="auto"/>
          <w:highlight w:val="none"/>
        </w:rPr>
      </w:pPr>
    </w:p>
    <w:p w14:paraId="437DBAFE">
      <w:pPr>
        <w:shd w:val="clear"/>
        <w:adjustRightInd w:val="0"/>
        <w:snapToGrid w:val="0"/>
        <w:spacing w:line="288" w:lineRule="auto"/>
        <w:jc w:val="center"/>
        <w:outlineLvl w:val="1"/>
        <w:rPr>
          <w:rFonts w:hint="eastAsia" w:ascii="仿宋" w:hAnsi="仿宋" w:eastAsia="仿宋" w:cs="仿宋"/>
          <w:b/>
          <w:bCs/>
          <w:color w:val="auto"/>
          <w:sz w:val="84"/>
          <w:szCs w:val="84"/>
          <w:highlight w:val="none"/>
        </w:rPr>
      </w:pPr>
      <w:bookmarkStart w:id="186" w:name="_Toc18243"/>
      <w:bookmarkStart w:id="187" w:name="_Toc14812"/>
      <w:bookmarkStart w:id="188" w:name="_Toc19719"/>
      <w:r>
        <w:rPr>
          <w:rFonts w:hint="eastAsia" w:ascii="仿宋" w:hAnsi="仿宋" w:eastAsia="仿宋" w:cs="仿宋"/>
          <w:b/>
          <w:bCs/>
          <w:color w:val="auto"/>
          <w:sz w:val="84"/>
          <w:szCs w:val="84"/>
          <w:highlight w:val="none"/>
        </w:rPr>
        <w:t>资格文件</w:t>
      </w:r>
      <w:bookmarkEnd w:id="186"/>
      <w:bookmarkEnd w:id="187"/>
      <w:bookmarkEnd w:id="188"/>
    </w:p>
    <w:p w14:paraId="4993E849">
      <w:pPr>
        <w:shd w:val="clear"/>
        <w:adjustRightInd w:val="0"/>
        <w:snapToGrid w:val="0"/>
        <w:spacing w:line="288" w:lineRule="auto"/>
        <w:jc w:val="center"/>
        <w:rPr>
          <w:rFonts w:hint="eastAsia" w:ascii="仿宋" w:hAnsi="仿宋" w:eastAsia="仿宋" w:cs="仿宋"/>
          <w:b/>
          <w:bCs/>
          <w:color w:val="auto"/>
          <w:sz w:val="21"/>
          <w:szCs w:val="21"/>
          <w:highlight w:val="none"/>
        </w:rPr>
      </w:pPr>
    </w:p>
    <w:p w14:paraId="1D4F7B13">
      <w:pPr>
        <w:shd w:val="clear"/>
        <w:adjustRightInd w:val="0"/>
        <w:snapToGrid w:val="0"/>
        <w:spacing w:line="288" w:lineRule="auto"/>
        <w:jc w:val="center"/>
        <w:rPr>
          <w:rFonts w:hint="eastAsia" w:ascii="仿宋" w:hAnsi="仿宋" w:eastAsia="仿宋" w:cs="仿宋"/>
          <w:b/>
          <w:bCs/>
          <w:color w:val="auto"/>
          <w:sz w:val="21"/>
          <w:szCs w:val="21"/>
          <w:highlight w:val="none"/>
        </w:rPr>
      </w:pPr>
    </w:p>
    <w:p w14:paraId="5F9F1C05">
      <w:pPr>
        <w:shd w:val="clear"/>
        <w:adjustRightInd w:val="0"/>
        <w:snapToGrid w:val="0"/>
        <w:spacing w:line="288" w:lineRule="auto"/>
        <w:jc w:val="center"/>
        <w:rPr>
          <w:rFonts w:hint="eastAsia" w:ascii="仿宋" w:hAnsi="仿宋" w:eastAsia="仿宋" w:cs="仿宋"/>
          <w:b/>
          <w:bCs/>
          <w:color w:val="auto"/>
          <w:sz w:val="21"/>
          <w:szCs w:val="21"/>
          <w:highlight w:val="none"/>
        </w:rPr>
      </w:pPr>
      <w:bookmarkStart w:id="189" w:name="_Hlk94097338"/>
      <w:r>
        <w:rPr>
          <w:rFonts w:hint="eastAsia" w:ascii="仿宋" w:hAnsi="仿宋" w:eastAsia="仿宋" w:cs="仿宋"/>
          <w:b/>
          <w:bCs/>
          <w:color w:val="auto"/>
          <w:sz w:val="21"/>
          <w:szCs w:val="21"/>
          <w:highlight w:val="none"/>
        </w:rPr>
        <w:t>资格审查要求的资格证明材料(均需加盖公章)</w:t>
      </w:r>
      <w:bookmarkEnd w:id="189"/>
    </w:p>
    <w:p w14:paraId="51CAED3A">
      <w:pPr>
        <w:shd w:val="clear"/>
        <w:adjustRightInd w:val="0"/>
        <w:snapToGrid w:val="0"/>
        <w:spacing w:line="288" w:lineRule="auto"/>
        <w:rPr>
          <w:rFonts w:hint="eastAsia" w:ascii="仿宋" w:hAnsi="仿宋" w:eastAsia="仿宋" w:cs="仿宋"/>
          <w:color w:val="auto"/>
          <w:sz w:val="21"/>
          <w:szCs w:val="21"/>
          <w:highlight w:val="none"/>
        </w:rPr>
      </w:pPr>
    </w:p>
    <w:p w14:paraId="444F27AE">
      <w:pPr>
        <w:shd w:val="clear"/>
        <w:adjustRightInd w:val="0"/>
        <w:snapToGrid w:val="0"/>
        <w:spacing w:line="288" w:lineRule="auto"/>
        <w:jc w:val="center"/>
        <w:outlineLvl w:val="1"/>
        <w:rPr>
          <w:rFonts w:hint="eastAsia" w:ascii="仿宋" w:hAnsi="仿宋" w:eastAsia="仿宋" w:cs="仿宋"/>
          <w:b/>
          <w:bCs/>
          <w:color w:val="auto"/>
          <w:sz w:val="21"/>
          <w:szCs w:val="21"/>
          <w:highlight w:val="none"/>
          <w:shd w:val="clear" w:color="auto" w:fill="FFFFFF"/>
        </w:rPr>
      </w:pPr>
      <w:bookmarkStart w:id="190" w:name="_Toc21832"/>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一</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符合参加政府采购活动应当具备的一般条件的承诺函</w:t>
      </w:r>
      <w:bookmarkEnd w:id="190"/>
    </w:p>
    <w:p w14:paraId="5BCC03D6">
      <w:pPr>
        <w:shd w:val="clear"/>
        <w:adjustRightInd w:val="0"/>
        <w:snapToGrid w:val="0"/>
        <w:spacing w:line="288" w:lineRule="auto"/>
        <w:rPr>
          <w:rFonts w:hint="eastAsia" w:ascii="仿宋" w:hAnsi="仿宋" w:eastAsia="仿宋" w:cs="仿宋"/>
          <w:color w:val="auto"/>
          <w:sz w:val="21"/>
          <w:szCs w:val="21"/>
          <w:highlight w:val="none"/>
          <w:shd w:val="clear" w:color="auto" w:fill="FFFFFF"/>
        </w:rPr>
      </w:pPr>
    </w:p>
    <w:p w14:paraId="6920F0F2">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致：</w:t>
      </w:r>
      <w:r>
        <w:rPr>
          <w:rFonts w:hint="eastAsia" w:ascii="仿宋" w:hAnsi="仿宋" w:eastAsia="仿宋" w:cs="仿宋"/>
          <w:b/>
          <w:bCs/>
          <w:color w:val="auto"/>
          <w:sz w:val="21"/>
          <w:szCs w:val="21"/>
          <w:highlight w:val="none"/>
          <w:lang w:eastAsia="zh-CN"/>
        </w:rPr>
        <w:t>浙江万里学院</w:t>
      </w:r>
      <w:r>
        <w:rPr>
          <w:rFonts w:hint="eastAsia" w:ascii="仿宋" w:hAnsi="仿宋" w:eastAsia="仿宋" w:cs="仿宋"/>
          <w:b/>
          <w:bCs/>
          <w:color w:val="auto"/>
          <w:sz w:val="21"/>
          <w:szCs w:val="21"/>
          <w:highlight w:val="none"/>
        </w:rPr>
        <w:t>、浙江省成套招标代理有限公司：</w:t>
      </w:r>
    </w:p>
    <w:p w14:paraId="083DF12D">
      <w:pPr>
        <w:shd w:val="clear"/>
        <w:adjustRightInd w:val="0"/>
        <w:snapToGrid w:val="0"/>
        <w:spacing w:line="288" w:lineRule="auto"/>
        <w:rPr>
          <w:rFonts w:hint="eastAsia" w:ascii="仿宋" w:hAnsi="仿宋" w:eastAsia="仿宋" w:cs="仿宋"/>
          <w:color w:val="auto"/>
          <w:sz w:val="21"/>
          <w:szCs w:val="21"/>
          <w:highlight w:val="none"/>
        </w:rPr>
      </w:pPr>
    </w:p>
    <w:p w14:paraId="282EF7F8">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w:t>
      </w:r>
      <w:r>
        <w:rPr>
          <w:rFonts w:hint="eastAsia" w:ascii="仿宋" w:hAnsi="仿宋" w:eastAsia="仿宋" w:cs="仿宋"/>
          <w:color w:val="auto"/>
          <w:sz w:val="21"/>
          <w:szCs w:val="21"/>
          <w:highlight w:val="none"/>
          <w:u w:val="single"/>
        </w:rPr>
        <w:t xml:space="preserve">（供应商名称）        </w:t>
      </w:r>
      <w:r>
        <w:rPr>
          <w:rFonts w:hint="eastAsia" w:ascii="仿宋" w:hAnsi="仿宋" w:eastAsia="仿宋" w:cs="仿宋"/>
          <w:color w:val="auto"/>
          <w:sz w:val="21"/>
          <w:szCs w:val="21"/>
          <w:highlight w:val="none"/>
        </w:rPr>
        <w:t>参加</w:t>
      </w:r>
      <w:r>
        <w:rPr>
          <w:rFonts w:hint="eastAsia" w:ascii="仿宋" w:hAnsi="仿宋" w:eastAsia="仿宋" w:cs="仿宋"/>
          <w:color w:val="auto"/>
          <w:sz w:val="21"/>
          <w:szCs w:val="21"/>
          <w:highlight w:val="none"/>
          <w:u w:val="single"/>
        </w:rPr>
        <w:t xml:space="preserve">（项目名称）        </w:t>
      </w:r>
      <w:r>
        <w:rPr>
          <w:rFonts w:hint="eastAsia" w:ascii="仿宋" w:hAnsi="仿宋" w:eastAsia="仿宋" w:cs="仿宋"/>
          <w:color w:val="auto"/>
          <w:sz w:val="21"/>
          <w:szCs w:val="21"/>
          <w:highlight w:val="none"/>
        </w:rPr>
        <w:t>项目的采购活动并承诺如下：</w:t>
      </w:r>
    </w:p>
    <w:p w14:paraId="4B745E98">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一、我方满足《中华人民共和国政府采购法》第二十二条规定：</w:t>
      </w:r>
    </w:p>
    <w:p w14:paraId="71F21E3C">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p w14:paraId="3023B3AA">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2、具有良好的商业信誉和健全的财务会计制度。</w:t>
      </w:r>
    </w:p>
    <w:p w14:paraId="7454A73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6D0CEA01">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14:paraId="20CB8C51">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5、参加本项目政府采购活动前三年内，在经营活动中</w:t>
      </w:r>
      <w:r>
        <w:rPr>
          <w:rFonts w:hint="eastAsia" w:ascii="仿宋" w:hAnsi="仿宋" w:eastAsia="仿宋" w:cs="仿宋"/>
          <w:b/>
          <w:bCs/>
          <w:color w:val="auto"/>
          <w:sz w:val="21"/>
          <w:szCs w:val="21"/>
          <w:highlight w:val="none"/>
          <w:u w:val="single"/>
        </w:rPr>
        <w:t xml:space="preserve">  没有  </w:t>
      </w:r>
      <w:r>
        <w:rPr>
          <w:rFonts w:hint="eastAsia" w:ascii="仿宋" w:hAnsi="仿宋" w:eastAsia="仿宋" w:cs="仿宋"/>
          <w:color w:val="auto"/>
          <w:sz w:val="21"/>
          <w:szCs w:val="21"/>
          <w:highlight w:val="none"/>
        </w:rPr>
        <w:t>重大违法记录（重大违法记录是指供应商因违法经营受到刑事处罚或者责令停产停业、吊销许可证或者执照、较大数额罚款等行政处罚）。</w:t>
      </w:r>
    </w:p>
    <w:p w14:paraId="4DCB0E85">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6、法律、行政法规规定的其他条件。</w:t>
      </w:r>
    </w:p>
    <w:p w14:paraId="59B2ED7A">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二、未被信用中国（www.creditchina.gov.cn)、中国政府采购网（www.ccgp.gov.cn）列入失信被执行人、</w:t>
      </w:r>
      <w:r>
        <w:rPr>
          <w:rFonts w:hint="eastAsia" w:ascii="仿宋" w:hAnsi="仿宋" w:eastAsia="仿宋" w:cs="仿宋"/>
          <w:color w:val="auto"/>
          <w:sz w:val="21"/>
          <w:szCs w:val="21"/>
          <w:highlight w:val="none"/>
          <w:lang w:eastAsia="zh-CN"/>
        </w:rPr>
        <w:t>重大税收违法失信主体</w:t>
      </w:r>
      <w:r>
        <w:rPr>
          <w:rFonts w:hint="eastAsia" w:ascii="仿宋" w:hAnsi="仿宋" w:eastAsia="仿宋" w:cs="仿宋"/>
          <w:color w:val="auto"/>
          <w:sz w:val="21"/>
          <w:szCs w:val="21"/>
          <w:highlight w:val="none"/>
        </w:rPr>
        <w:t>、政府采购严重违法失信行为记录名单。</w:t>
      </w:r>
    </w:p>
    <w:p w14:paraId="73866CC5">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三、不存在以下情况：</w:t>
      </w:r>
    </w:p>
    <w:p w14:paraId="78798226">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1、单位负责人为同一人或者存在直接控股、管理关系的不同供应商参加同一合同项下的政府采购活动的。</w:t>
      </w:r>
    </w:p>
    <w:p w14:paraId="548214DF">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2、为采购项目提供整体设计、规范编制或者项目管理、监理、检测等服务后再参加该采购项目的其他采购活动的。</w:t>
      </w:r>
    </w:p>
    <w:p w14:paraId="7DB84AD1">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四、以上事项如有虚假或隐瞒，我方愿意承担一切后果和责任。</w:t>
      </w:r>
    </w:p>
    <w:p w14:paraId="3F93908D">
      <w:pPr>
        <w:shd w:val="clear"/>
        <w:adjustRightInd w:val="0"/>
        <w:snapToGrid w:val="0"/>
        <w:spacing w:line="288" w:lineRule="auto"/>
        <w:rPr>
          <w:rFonts w:hint="eastAsia" w:ascii="仿宋" w:hAnsi="仿宋" w:eastAsia="仿宋" w:cs="仿宋"/>
          <w:color w:val="auto"/>
          <w:sz w:val="21"/>
          <w:szCs w:val="21"/>
          <w:highlight w:val="none"/>
        </w:rPr>
      </w:pPr>
    </w:p>
    <w:p w14:paraId="12B6F5BE">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供应商名称（电子签名/公章）：</w:t>
      </w:r>
    </w:p>
    <w:p w14:paraId="625C0A34">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日期：2025年  月  日</w:t>
      </w:r>
    </w:p>
    <w:p w14:paraId="18C3C0AA">
      <w:pPr>
        <w:widowControl/>
        <w:shd w:val="clear"/>
        <w:adjustRightInd w:val="0"/>
        <w:snapToGrid w:val="0"/>
        <w:spacing w:line="288" w:lineRule="auto"/>
        <w:jc w:val="left"/>
        <w:rPr>
          <w:rFonts w:hint="eastAsia" w:ascii="仿宋" w:hAnsi="仿宋" w:eastAsia="仿宋" w:cs="仿宋"/>
          <w:color w:val="auto"/>
          <w:sz w:val="21"/>
          <w:szCs w:val="21"/>
          <w:highlight w:val="none"/>
        </w:rPr>
      </w:pPr>
    </w:p>
    <w:p w14:paraId="5511B09D">
      <w:pPr>
        <w:widowControl/>
        <w:shd w:val="clear"/>
        <w:jc w:val="left"/>
        <w:rPr>
          <w:rFonts w:hint="eastAsia" w:ascii="仿宋" w:hAnsi="仿宋" w:eastAsia="仿宋" w:cs="仿宋"/>
          <w:b/>
          <w:color w:val="auto"/>
          <w:sz w:val="21"/>
          <w:szCs w:val="21"/>
          <w:highlight w:val="none"/>
        </w:rPr>
      </w:pPr>
      <w:bookmarkStart w:id="191" w:name="_Toc15019"/>
      <w:r>
        <w:rPr>
          <w:rFonts w:hint="eastAsia" w:ascii="仿宋" w:hAnsi="仿宋" w:eastAsia="仿宋" w:cs="仿宋"/>
          <w:b/>
          <w:color w:val="auto"/>
          <w:sz w:val="21"/>
          <w:szCs w:val="21"/>
          <w:highlight w:val="none"/>
        </w:rPr>
        <w:br w:type="page"/>
      </w:r>
    </w:p>
    <w:p w14:paraId="4A06A90F">
      <w:pPr>
        <w:shd w:val="clear"/>
        <w:adjustRightInd w:val="0"/>
        <w:snapToGrid w:val="0"/>
        <w:spacing w:line="276" w:lineRule="auto"/>
        <w:jc w:val="left"/>
        <w:outlineLvl w:val="1"/>
        <w:rPr>
          <w:rFonts w:hint="eastAsia" w:ascii="仿宋" w:hAnsi="仿宋" w:eastAsia="仿宋" w:cs="仿宋"/>
          <w:color w:val="auto"/>
          <w:highlight w:val="none"/>
          <w:lang w:eastAsia="zh-CN"/>
        </w:rPr>
      </w:pPr>
      <w:r>
        <w:rPr>
          <w:rFonts w:hint="eastAsia" w:ascii="仿宋" w:hAnsi="仿宋" w:eastAsia="仿宋" w:cs="仿宋"/>
          <w:b/>
          <w:color w:val="auto"/>
          <w:sz w:val="21"/>
          <w:szCs w:val="21"/>
          <w:highlight w:val="none"/>
        </w:rPr>
        <w:t>二</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落实政府采购政策需满足的资格要求：</w:t>
      </w:r>
      <w:bookmarkEnd w:id="191"/>
      <w:r>
        <w:rPr>
          <w:rFonts w:hint="eastAsia" w:ascii="仿宋" w:hAnsi="仿宋" w:eastAsia="仿宋" w:cs="仿宋"/>
          <w:b/>
          <w:color w:val="auto"/>
          <w:sz w:val="21"/>
          <w:szCs w:val="21"/>
          <w:highlight w:val="none"/>
          <w:lang w:val="en-US" w:eastAsia="zh-CN"/>
        </w:rPr>
        <w:t>如有</w:t>
      </w:r>
      <w:r>
        <w:rPr>
          <w:rFonts w:hint="eastAsia" w:ascii="仿宋" w:hAnsi="仿宋" w:eastAsia="仿宋" w:cs="仿宋"/>
          <w:b/>
          <w:color w:val="auto"/>
          <w:sz w:val="21"/>
          <w:szCs w:val="21"/>
          <w:highlight w:val="none"/>
        </w:rPr>
        <w:t>。</w:t>
      </w:r>
    </w:p>
    <w:p w14:paraId="082DD902">
      <w:pPr>
        <w:shd w:val="clear"/>
        <w:adjustRightInd w:val="0"/>
        <w:snapToGrid w:val="0"/>
        <w:spacing w:line="276" w:lineRule="auto"/>
        <w:jc w:val="left"/>
        <w:outlineLvl w:val="1"/>
        <w:rPr>
          <w:rFonts w:hint="eastAsia" w:ascii="仿宋" w:hAnsi="仿宋" w:eastAsia="仿宋" w:cs="仿宋"/>
          <w:b/>
          <w:color w:val="auto"/>
          <w:sz w:val="21"/>
          <w:szCs w:val="21"/>
          <w:highlight w:val="none"/>
        </w:rPr>
      </w:pPr>
      <w:bookmarkStart w:id="192" w:name="_Toc23640"/>
      <w:r>
        <w:rPr>
          <w:rFonts w:hint="eastAsia" w:ascii="仿宋" w:hAnsi="仿宋" w:eastAsia="仿宋" w:cs="仿宋"/>
          <w:b/>
          <w:color w:val="auto"/>
          <w:sz w:val="21"/>
          <w:szCs w:val="21"/>
          <w:highlight w:val="none"/>
        </w:rPr>
        <w:t>三、本项目的特定资格要求证明材料：</w:t>
      </w:r>
      <w:bookmarkEnd w:id="192"/>
      <w:r>
        <w:rPr>
          <w:rFonts w:hint="eastAsia" w:ascii="仿宋" w:hAnsi="仿宋" w:eastAsia="仿宋" w:cs="仿宋"/>
          <w:b/>
          <w:color w:val="auto"/>
          <w:sz w:val="21"/>
          <w:szCs w:val="21"/>
          <w:highlight w:val="none"/>
          <w:lang w:val="en-US" w:eastAsia="zh-CN"/>
        </w:rPr>
        <w:t>如有</w:t>
      </w:r>
      <w:r>
        <w:rPr>
          <w:rFonts w:hint="eastAsia" w:ascii="仿宋" w:hAnsi="仿宋" w:eastAsia="仿宋" w:cs="仿宋"/>
          <w:b/>
          <w:color w:val="auto"/>
          <w:sz w:val="21"/>
          <w:szCs w:val="21"/>
          <w:highlight w:val="none"/>
        </w:rPr>
        <w:t>。</w:t>
      </w:r>
    </w:p>
    <w:p w14:paraId="3E320266">
      <w:pPr>
        <w:shd w:val="clear"/>
        <w:adjustRightInd w:val="0"/>
        <w:snapToGrid w:val="0"/>
        <w:spacing w:line="276" w:lineRule="auto"/>
        <w:jc w:val="left"/>
        <w:outlineLvl w:val="1"/>
        <w:rPr>
          <w:rFonts w:hint="eastAsia" w:ascii="仿宋" w:hAnsi="仿宋" w:eastAsia="仿宋" w:cs="仿宋"/>
          <w:color w:val="auto"/>
          <w:sz w:val="21"/>
          <w:szCs w:val="21"/>
          <w:highlight w:val="none"/>
        </w:rPr>
      </w:pPr>
      <w:bookmarkStart w:id="193" w:name="_Toc22219"/>
      <w:r>
        <w:rPr>
          <w:rFonts w:hint="eastAsia" w:ascii="仿宋" w:hAnsi="仿宋" w:eastAsia="仿宋" w:cs="仿宋"/>
          <w:b/>
          <w:color w:val="auto"/>
          <w:sz w:val="21"/>
          <w:szCs w:val="21"/>
          <w:highlight w:val="none"/>
        </w:rPr>
        <w:t>四、以联合体形式参加的，提供联合协议（附件2），联合各方须均为中小企业。供应商不以联合体形式响应的，则不需要提供（格式详见附件）。</w:t>
      </w:r>
      <w:bookmarkEnd w:id="193"/>
      <w:r>
        <w:rPr>
          <w:rFonts w:hint="eastAsia" w:ascii="仿宋" w:hAnsi="仿宋" w:eastAsia="仿宋" w:cs="仿宋"/>
          <w:b/>
          <w:color w:val="auto"/>
          <w:sz w:val="21"/>
          <w:szCs w:val="21"/>
          <w:highlight w:val="none"/>
        </w:rPr>
        <w:t>合同分包的，提供分包意向协议（附件3），分包意向协议中所有供应商须均为中小企业。采购人不同意分包或者供应商成交后不以分包方式履行合同的，则不需要提供（格式详见附件）。</w:t>
      </w:r>
      <w:r>
        <w:rPr>
          <w:rFonts w:hint="eastAsia" w:ascii="仿宋" w:hAnsi="仿宋" w:eastAsia="仿宋" w:cs="仿宋"/>
          <w:color w:val="auto"/>
          <w:sz w:val="21"/>
          <w:szCs w:val="21"/>
          <w:highlight w:val="none"/>
        </w:rPr>
        <w:br w:type="page"/>
      </w:r>
    </w:p>
    <w:p w14:paraId="4E24C9BC">
      <w:pPr>
        <w:shd w:val="clear"/>
        <w:adjustRightInd w:val="0"/>
        <w:snapToGrid w:val="0"/>
        <w:spacing w:line="288" w:lineRule="auto"/>
        <w:rPr>
          <w:rFonts w:hint="eastAsia" w:ascii="仿宋" w:hAnsi="仿宋" w:eastAsia="仿宋" w:cs="仿宋"/>
          <w:color w:val="auto"/>
          <w:highlight w:val="none"/>
        </w:rPr>
      </w:pPr>
    </w:p>
    <w:p w14:paraId="51A15C7B">
      <w:pPr>
        <w:shd w:val="clear"/>
        <w:adjustRightInd w:val="0"/>
        <w:snapToGrid w:val="0"/>
        <w:spacing w:line="288" w:lineRule="auto"/>
        <w:jc w:val="center"/>
        <w:outlineLvl w:val="1"/>
        <w:rPr>
          <w:rFonts w:hint="eastAsia" w:ascii="仿宋" w:hAnsi="仿宋" w:eastAsia="仿宋" w:cs="仿宋"/>
          <w:b/>
          <w:bCs/>
          <w:color w:val="auto"/>
          <w:sz w:val="84"/>
          <w:szCs w:val="84"/>
          <w:highlight w:val="none"/>
        </w:rPr>
      </w:pPr>
      <w:bookmarkStart w:id="194" w:name="_Toc7213"/>
      <w:bookmarkStart w:id="195" w:name="_Toc11709"/>
      <w:bookmarkStart w:id="196" w:name="_Toc9903"/>
      <w:r>
        <w:rPr>
          <w:rFonts w:hint="eastAsia" w:ascii="仿宋" w:hAnsi="仿宋" w:eastAsia="仿宋" w:cs="仿宋"/>
          <w:b/>
          <w:bCs/>
          <w:color w:val="auto"/>
          <w:sz w:val="84"/>
          <w:szCs w:val="84"/>
          <w:highlight w:val="none"/>
        </w:rPr>
        <w:t>报价文件</w:t>
      </w:r>
      <w:bookmarkEnd w:id="194"/>
      <w:bookmarkEnd w:id="195"/>
      <w:bookmarkEnd w:id="196"/>
    </w:p>
    <w:p w14:paraId="7F98B4E6">
      <w:pPr>
        <w:shd w:val="clear"/>
        <w:adjustRightInd w:val="0"/>
        <w:snapToGrid w:val="0"/>
        <w:spacing w:line="288" w:lineRule="auto"/>
        <w:rPr>
          <w:rFonts w:hint="eastAsia" w:ascii="仿宋" w:hAnsi="仿宋" w:eastAsia="仿宋" w:cs="仿宋"/>
          <w:color w:val="auto"/>
          <w:highlight w:val="none"/>
        </w:rPr>
      </w:pPr>
    </w:p>
    <w:p w14:paraId="01D4A8E5">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bookmarkStart w:id="197" w:name="_Toc290"/>
      <w:bookmarkStart w:id="198" w:name="_Toc17160"/>
      <w:bookmarkStart w:id="199" w:name="_Toc9596"/>
      <w:bookmarkStart w:id="200" w:name="_Toc20328"/>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一、初次报价一览表</w:t>
      </w:r>
    </w:p>
    <w:p w14:paraId="065E7C57">
      <w:pPr>
        <w:shd w:val="clear"/>
        <w:adjustRightInd w:val="0"/>
        <w:snapToGrid w:val="0"/>
        <w:spacing w:line="288"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 购 人：</w:t>
      </w:r>
      <w:r>
        <w:rPr>
          <w:rFonts w:hint="eastAsia" w:ascii="仿宋" w:hAnsi="仿宋" w:eastAsia="仿宋" w:cs="仿宋"/>
          <w:color w:val="auto"/>
          <w:sz w:val="21"/>
          <w:szCs w:val="21"/>
          <w:highlight w:val="none"/>
          <w:lang w:eastAsia="zh-CN"/>
        </w:rPr>
        <w:t>浙江万里学院</w:t>
      </w:r>
    </w:p>
    <w:p w14:paraId="0A5AE80E">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智慧教学工具采购</w:t>
      </w:r>
    </w:p>
    <w:p w14:paraId="2A1F7C5B">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CTZB-2025070007</w:t>
      </w:r>
    </w:p>
    <w:tbl>
      <w:tblPr>
        <w:tblStyle w:val="28"/>
        <w:tblW w:w="0" w:type="auto"/>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258"/>
        <w:gridCol w:w="4567"/>
      </w:tblGrid>
      <w:tr w14:paraId="7703B82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7" w:type="dxa"/>
            <w:shd w:val="clear" w:color="auto" w:fill="auto"/>
            <w:noWrap w:val="0"/>
            <w:vAlign w:val="center"/>
          </w:tcPr>
          <w:p w14:paraId="5A06DDF8">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4258" w:type="dxa"/>
            <w:shd w:val="clear" w:color="auto" w:fill="auto"/>
            <w:noWrap w:val="0"/>
            <w:vAlign w:val="center"/>
          </w:tcPr>
          <w:p w14:paraId="6B39EE60">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标项</w:t>
            </w:r>
            <w:r>
              <w:rPr>
                <w:rFonts w:hint="eastAsia" w:ascii="仿宋" w:hAnsi="仿宋" w:eastAsia="仿宋" w:cs="仿宋"/>
                <w:b/>
                <w:bCs/>
                <w:color w:val="auto"/>
                <w:sz w:val="21"/>
                <w:szCs w:val="21"/>
                <w:highlight w:val="none"/>
              </w:rPr>
              <w:t>名称</w:t>
            </w:r>
          </w:p>
        </w:tc>
        <w:tc>
          <w:tcPr>
            <w:tcW w:w="4567" w:type="dxa"/>
            <w:noWrap w:val="0"/>
            <w:vAlign w:val="center"/>
          </w:tcPr>
          <w:p w14:paraId="7A750F2D">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总价</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人民币/</w:t>
            </w:r>
            <w:r>
              <w:rPr>
                <w:rFonts w:hint="eastAsia" w:ascii="仿宋" w:hAnsi="仿宋" w:eastAsia="仿宋" w:cs="仿宋"/>
                <w:b/>
                <w:bCs/>
                <w:color w:val="auto"/>
                <w:sz w:val="21"/>
                <w:szCs w:val="21"/>
                <w:highlight w:val="none"/>
              </w:rPr>
              <w:t>元）</w:t>
            </w:r>
          </w:p>
        </w:tc>
      </w:tr>
      <w:tr w14:paraId="2FB6CFC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77" w:type="dxa"/>
            <w:shd w:val="clear" w:color="auto" w:fill="auto"/>
            <w:noWrap w:val="0"/>
            <w:vAlign w:val="center"/>
          </w:tcPr>
          <w:p w14:paraId="295EBD25">
            <w:pPr>
              <w:shd w:val="clear"/>
              <w:adjustRightInd w:val="0"/>
              <w:snapToGrid w:val="0"/>
              <w:spacing w:line="288" w:lineRule="auto"/>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4258" w:type="dxa"/>
            <w:shd w:val="clear" w:color="auto" w:fill="auto"/>
            <w:noWrap w:val="0"/>
            <w:vAlign w:val="center"/>
          </w:tcPr>
          <w:p w14:paraId="367B72EA">
            <w:pPr>
              <w:shd w:val="clear"/>
              <w:adjustRightInd w:val="0"/>
              <w:snapToGrid w:val="0"/>
              <w:spacing w:line="288" w:lineRule="auto"/>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eastAsia="zh-CN"/>
              </w:rPr>
              <w:t>智慧教学工具采购</w:t>
            </w:r>
          </w:p>
        </w:tc>
        <w:tc>
          <w:tcPr>
            <w:tcW w:w="4567" w:type="dxa"/>
            <w:noWrap w:val="0"/>
            <w:vAlign w:val="center"/>
          </w:tcPr>
          <w:p w14:paraId="729DEA02">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小写：_________________________</w:t>
            </w:r>
          </w:p>
          <w:p w14:paraId="40E2BAFC">
            <w:pPr>
              <w:shd w:val="clear"/>
              <w:adjustRightInd w:val="0"/>
              <w:snapToGrid w:val="0"/>
              <w:spacing w:line="288" w:lineRule="auto"/>
              <w:rPr>
                <w:rFonts w:hint="eastAsia" w:ascii="仿宋" w:hAnsi="仿宋" w:eastAsia="仿宋" w:cs="仿宋"/>
                <w:b/>
                <w:bCs/>
                <w:color w:val="auto"/>
                <w:sz w:val="21"/>
                <w:szCs w:val="21"/>
                <w:highlight w:val="none"/>
              </w:rPr>
            </w:pPr>
          </w:p>
          <w:p w14:paraId="154EDDEF">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大写：_________________________</w:t>
            </w:r>
          </w:p>
        </w:tc>
      </w:tr>
      <w:tr w14:paraId="3AFB100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9502" w:type="dxa"/>
            <w:gridSpan w:val="3"/>
            <w:noWrap w:val="0"/>
            <w:vAlign w:val="center"/>
          </w:tcPr>
          <w:p w14:paraId="69766763">
            <w:pPr>
              <w:shd w:val="clear"/>
              <w:adjustRightInd w:val="0"/>
              <w:snapToGrid w:val="0"/>
              <w:spacing w:line="288" w:lineRule="auto"/>
              <w:jc w:val="left"/>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说明：</w:t>
            </w:r>
            <w:r>
              <w:rPr>
                <w:rFonts w:hint="eastAsia" w:ascii="仿宋" w:hAnsi="仿宋" w:eastAsia="仿宋" w:cs="仿宋"/>
                <w:bCs/>
                <w:color w:val="auto"/>
                <w:sz w:val="21"/>
                <w:szCs w:val="21"/>
                <w:highlight w:val="none"/>
                <w:lang w:val="zh-CN"/>
              </w:rPr>
              <w:t>有关本项目实施所涉及的一切费用均计入报价。合同总价不为零，采购人将以合同形式有偿取得货物或服务，不接受供应商给予的赠品、回扣或者与采购无关的其他商品、服务。</w:t>
            </w:r>
          </w:p>
        </w:tc>
      </w:tr>
    </w:tbl>
    <w:p w14:paraId="7E7D530A">
      <w:pPr>
        <w:shd w:val="clear"/>
        <w:adjustRightInd w:val="0"/>
        <w:snapToGrid w:val="0"/>
        <w:spacing w:line="288" w:lineRule="auto"/>
        <w:rPr>
          <w:rFonts w:hint="eastAsia" w:ascii="仿宋" w:hAnsi="仿宋" w:eastAsia="仿宋" w:cs="仿宋"/>
          <w:color w:val="auto"/>
          <w:sz w:val="21"/>
          <w:szCs w:val="21"/>
          <w:highlight w:val="none"/>
          <w:lang w:val="en-US" w:eastAsia="zh-CN"/>
        </w:rPr>
      </w:pPr>
    </w:p>
    <w:p w14:paraId="7310C662">
      <w:pPr>
        <w:shd w:val="clear"/>
        <w:adjustRightInd w:val="0"/>
        <w:snapToGrid w:val="0"/>
        <w:spacing w:line="288" w:lineRule="auto"/>
        <w:rPr>
          <w:rFonts w:hint="eastAsia" w:ascii="仿宋" w:hAnsi="仿宋" w:eastAsia="仿宋" w:cs="仿宋"/>
          <w:bCs/>
          <w:color w:val="auto"/>
          <w:sz w:val="21"/>
          <w:szCs w:val="21"/>
          <w:highlight w:val="none"/>
        </w:rPr>
      </w:pPr>
    </w:p>
    <w:p w14:paraId="6DA13A43">
      <w:pPr>
        <w:shd w:val="clear"/>
        <w:adjustRightInd w:val="0"/>
        <w:snapToGrid w:val="0"/>
        <w:spacing w:line="288" w:lineRule="auto"/>
        <w:rPr>
          <w:rFonts w:hint="eastAsia" w:ascii="仿宋" w:hAnsi="仿宋" w:eastAsia="仿宋" w:cs="仿宋"/>
          <w:bCs/>
          <w:color w:val="auto"/>
          <w:sz w:val="21"/>
          <w:szCs w:val="21"/>
          <w:highlight w:val="none"/>
        </w:rPr>
      </w:pPr>
    </w:p>
    <w:p w14:paraId="6ABF94B3">
      <w:pPr>
        <w:shd w:val="clear"/>
        <w:adjustRightInd w:val="0"/>
        <w:snapToGrid w:val="0"/>
        <w:spacing w:line="288" w:lineRule="auto"/>
        <w:rPr>
          <w:rFonts w:hint="eastAsia" w:ascii="仿宋" w:hAnsi="仿宋" w:eastAsia="仿宋" w:cs="仿宋"/>
          <w:bCs/>
          <w:color w:val="auto"/>
          <w:sz w:val="21"/>
          <w:szCs w:val="21"/>
          <w:highlight w:val="none"/>
        </w:rPr>
      </w:pPr>
    </w:p>
    <w:p w14:paraId="1DE4C3FB">
      <w:pPr>
        <w:shd w:val="clear"/>
        <w:adjustRightInd w:val="0"/>
        <w:snapToGrid w:val="0"/>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供应商名称（电子签名/公章）：</w:t>
      </w:r>
    </w:p>
    <w:p w14:paraId="5E6BD8E7">
      <w:pPr>
        <w:shd w:val="clear"/>
        <w:adjustRightInd w:val="0"/>
        <w:snapToGrid w:val="0"/>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日期：</w:t>
      </w:r>
      <w:r>
        <w:rPr>
          <w:rFonts w:hint="eastAsia" w:ascii="仿宋" w:hAnsi="仿宋" w:eastAsia="仿宋" w:cs="仿宋"/>
          <w:b/>
          <w:bCs/>
          <w:color w:val="auto"/>
          <w:sz w:val="21"/>
          <w:szCs w:val="21"/>
          <w:highlight w:val="none"/>
        </w:rPr>
        <w:t>2025年  月  日</w:t>
      </w:r>
    </w:p>
    <w:p w14:paraId="3EBC4401">
      <w:pPr>
        <w:shd w:val="clear"/>
        <w:rPr>
          <w:rFonts w:hint="eastAsia" w:ascii="仿宋" w:hAnsi="仿宋" w:eastAsia="仿宋" w:cs="仿宋"/>
          <w:bCs/>
          <w:color w:val="auto"/>
          <w:sz w:val="21"/>
          <w:szCs w:val="21"/>
          <w:highlight w:val="none"/>
        </w:rPr>
      </w:pPr>
    </w:p>
    <w:p w14:paraId="1F1DB32F">
      <w:pPr>
        <w:shd w:val="clear"/>
        <w:rPr>
          <w:rFonts w:hint="eastAsia" w:ascii="仿宋" w:hAnsi="仿宋" w:eastAsia="仿宋" w:cs="仿宋"/>
          <w:bCs/>
          <w:color w:val="auto"/>
          <w:sz w:val="21"/>
          <w:szCs w:val="21"/>
          <w:highlight w:val="none"/>
        </w:rPr>
      </w:pPr>
    </w:p>
    <w:p w14:paraId="54B05A48">
      <w:pPr>
        <w:shd w:val="clear"/>
        <w:rPr>
          <w:rFonts w:hint="eastAsia" w:ascii="仿宋" w:hAnsi="仿宋" w:eastAsia="仿宋" w:cs="仿宋"/>
          <w:bCs/>
          <w:color w:val="auto"/>
          <w:sz w:val="21"/>
          <w:szCs w:val="21"/>
          <w:highlight w:val="none"/>
        </w:rPr>
      </w:pPr>
    </w:p>
    <w:p w14:paraId="69DFE797">
      <w:pPr>
        <w:shd w:val="clear"/>
        <w:adjustRightInd w:val="0"/>
        <w:snapToGrid w:val="0"/>
        <w:spacing w:line="276" w:lineRule="auto"/>
        <w:outlineLvl w:val="1"/>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br w:type="page"/>
      </w:r>
      <w:r>
        <w:rPr>
          <w:rFonts w:hint="eastAsia" w:ascii="仿宋" w:hAnsi="仿宋" w:eastAsia="仿宋" w:cs="仿宋"/>
          <w:b/>
          <w:color w:val="auto"/>
          <w:sz w:val="21"/>
          <w:szCs w:val="21"/>
          <w:highlight w:val="none"/>
        </w:rPr>
        <w:t>二</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 xml:space="preserve">落实政府采购政策需满足的资格要求： </w:t>
      </w:r>
    </w:p>
    <w:p w14:paraId="0AB27AAA">
      <w:pPr>
        <w:shd w:val="clear"/>
        <w:adjustRightInd w:val="0"/>
        <w:snapToGrid w:val="0"/>
        <w:spacing w:line="288" w:lineRule="auto"/>
        <w:ind w:firstLine="498" w:firstLineChars="236"/>
        <w:jc w:val="center"/>
        <w:outlineLvl w:val="2"/>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（1）中小企业声明函（服务）（若属于中小企业）</w:t>
      </w:r>
    </w:p>
    <w:p w14:paraId="0A6604CC">
      <w:pPr>
        <w:shd w:val="clear"/>
        <w:adjustRightInd w:val="0"/>
        <w:snapToGrid w:val="0"/>
        <w:spacing w:line="288" w:lineRule="auto"/>
        <w:ind w:firstLine="498" w:firstLineChars="236"/>
        <w:rPr>
          <w:rFonts w:hint="eastAsia" w:ascii="仿宋" w:hAnsi="仿宋" w:eastAsia="仿宋" w:cs="仿宋"/>
          <w:b/>
          <w:color w:val="auto"/>
          <w:sz w:val="21"/>
          <w:szCs w:val="21"/>
          <w:highlight w:val="none"/>
        </w:rPr>
      </w:pPr>
    </w:p>
    <w:p w14:paraId="22266C68">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本公司（联合体）郑重声明，根据《政府采购促进中小企业发展管理办法》（财库﹝2020﹞46 号）的规定，本公司（联合体）参加</w:t>
      </w:r>
      <w:r>
        <w:rPr>
          <w:rFonts w:hint="eastAsia" w:ascii="仿宋" w:hAnsi="仿宋" w:eastAsia="仿宋" w:cs="仿宋"/>
          <w:color w:val="auto"/>
          <w:sz w:val="21"/>
          <w:szCs w:val="21"/>
          <w:highlight w:val="none"/>
          <w:u w:val="single"/>
          <w:lang w:eastAsia="zh-CN"/>
        </w:rPr>
        <w:t>浙江万里学院</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lang w:eastAsia="zh-CN"/>
        </w:rPr>
        <w:t>智慧教学工具采购</w:t>
      </w:r>
      <w:r>
        <w:rPr>
          <w:rFonts w:hint="eastAsia" w:ascii="仿宋" w:hAnsi="仿宋" w:eastAsia="仿宋" w:cs="仿宋"/>
          <w:color w:val="auto"/>
          <w:sz w:val="21"/>
          <w:szCs w:val="21"/>
          <w:highlight w:val="none"/>
          <w:u w:val="none"/>
        </w:rPr>
        <w:t>项目</w:t>
      </w:r>
      <w:r>
        <w:rPr>
          <w:rFonts w:hint="eastAsia" w:ascii="仿宋" w:hAnsi="仿宋" w:eastAsia="仿宋" w:cs="仿宋"/>
          <w:color w:val="auto"/>
          <w:sz w:val="21"/>
          <w:szCs w:val="21"/>
          <w:highlight w:val="none"/>
        </w:rPr>
        <w:t>采购活动，服务全部由符合政策要求的中小企业承接。相关企业（含联合体中的中小企业、签订分包意向协议的中小企业）的具体情况如下：</w:t>
      </w:r>
    </w:p>
    <w:p w14:paraId="2164AA67">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1.</w:t>
      </w:r>
      <w:r>
        <w:rPr>
          <w:rFonts w:hint="eastAsia" w:ascii="仿宋" w:hAnsi="仿宋" w:eastAsia="仿宋" w:cs="仿宋"/>
          <w:color w:val="auto"/>
          <w:highlight w:val="none"/>
        </w:rPr>
        <w:t xml:space="preserve"> </w:t>
      </w:r>
      <w:r>
        <w:rPr>
          <w:rFonts w:hint="eastAsia" w:ascii="仿宋" w:hAnsi="仿宋" w:eastAsia="仿宋" w:cs="仿宋"/>
          <w:color w:val="auto"/>
          <w:sz w:val="21"/>
          <w:szCs w:val="21"/>
          <w:highlight w:val="none"/>
          <w:u w:val="single"/>
          <w:lang w:eastAsia="zh-CN"/>
        </w:rPr>
        <w:t>智慧教学工具采购</w:t>
      </w:r>
      <w:r>
        <w:rPr>
          <w:rFonts w:hint="eastAsia" w:ascii="仿宋" w:hAnsi="仿宋" w:eastAsia="仿宋" w:cs="仿宋"/>
          <w:color w:val="auto"/>
          <w:sz w:val="21"/>
          <w:szCs w:val="21"/>
          <w:highlight w:val="none"/>
          <w:u w:val="none"/>
        </w:rPr>
        <w:t>项目，属于</w:t>
      </w:r>
      <w:r>
        <w:rPr>
          <w:rFonts w:hint="eastAsia" w:ascii="仿宋" w:hAnsi="仿宋" w:eastAsia="仿宋" w:cs="仿宋"/>
          <w:color w:val="auto"/>
          <w:sz w:val="21"/>
          <w:szCs w:val="21"/>
          <w:highlight w:val="none"/>
          <w:u w:val="single"/>
        </w:rPr>
        <w:t>软件和信息技术服务业；</w:t>
      </w:r>
      <w:r>
        <w:rPr>
          <w:rFonts w:hint="eastAsia" w:ascii="仿宋" w:hAnsi="仿宋" w:eastAsia="仿宋" w:cs="仿宋"/>
          <w:color w:val="auto"/>
          <w:sz w:val="21"/>
          <w:szCs w:val="21"/>
          <w:highlight w:val="none"/>
        </w:rPr>
        <w:t>承接企业为</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（中型企业、小型企业、微型企业）。</w:t>
      </w:r>
    </w:p>
    <w:p w14:paraId="2DFBCEFA">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以上企业，不属于大企业的分支机构，不存在控股股东为大企业的情形，也不存在与大企业的负责人为同一人的情形。</w:t>
      </w:r>
    </w:p>
    <w:p w14:paraId="2ECEA73B">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本企业对上述声明内容的真实性负责。如有虚假，将依法承担相应责任。</w:t>
      </w:r>
    </w:p>
    <w:p w14:paraId="649254AD">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企业名称（盖章）：</w:t>
      </w:r>
    </w:p>
    <w:p w14:paraId="0CC2F0E2">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190A4983">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p>
    <w:p w14:paraId="65DB8275">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0400ADF9">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1.从业人员、营业收入、资产总额填报上一年度数据，无上一年度数据的新成立企业可不填报。</w:t>
      </w:r>
    </w:p>
    <w:p w14:paraId="77E3DEA5">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2.中小企业参加政府采购活动，应当出具财库〔2020〕46号文件规定的《中小企业声明函》，否则不得享受相关中小企业扶持政策。</w:t>
      </w:r>
    </w:p>
    <w:p w14:paraId="191722E5">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3.本项目仅以《中小企业声明函》作为评判供应商是否属于中小企业的唯一依据。</w:t>
      </w:r>
    </w:p>
    <w:p w14:paraId="075347EC">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4.供应商提供《中小企业声明函》内容不实的，属于提供虚假材料谋取中标、成交，依照《中华人民共和国政府采购法》等国家有关规定追究相应责任。</w:t>
      </w:r>
    </w:p>
    <w:p w14:paraId="1FDC6219">
      <w:pPr>
        <w:shd w:val="clear"/>
        <w:adjustRightInd w:val="0"/>
        <w:snapToGrid w:val="0"/>
        <w:spacing w:line="288" w:lineRule="auto"/>
        <w:ind w:firstLine="495" w:firstLineChars="236"/>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5.《中小企业声明函》填写不全（从业人员、营业收入、资产总额在中小企业划型标准规定中不涉及的除外），或未按照《中小企业声明函》要求填写的，视为未提供《中小企业声明函》，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color w:val="auto"/>
          <w:sz w:val="21"/>
          <w:szCs w:val="22"/>
          <w:highlight w:val="none"/>
          <w:u w:val="single"/>
        </w:rPr>
        <w:t>不享受中</w:t>
      </w:r>
      <w:r>
        <w:rPr>
          <w:rFonts w:hint="eastAsia" w:ascii="仿宋" w:hAnsi="仿宋" w:eastAsia="仿宋" w:cs="仿宋"/>
          <w:color w:val="auto"/>
          <w:sz w:val="21"/>
          <w:szCs w:val="21"/>
          <w:highlight w:val="none"/>
          <w:u w:val="single"/>
        </w:rPr>
        <w:t>小企业扶持政策。</w:t>
      </w:r>
    </w:p>
    <w:p w14:paraId="1F7EAD1E">
      <w:pPr>
        <w:shd w:val="clear"/>
        <w:adjustRightInd w:val="0"/>
        <w:snapToGrid w:val="0"/>
        <w:spacing w:line="288" w:lineRule="auto"/>
        <w:ind w:firstLine="495" w:firstLineChars="236"/>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6.如项目包含“多件”标的物的，需按标的物项数逐项填写。</w:t>
      </w:r>
    </w:p>
    <w:p w14:paraId="171D52B3">
      <w:pPr>
        <w:widowControl/>
        <w:shd w:val="clear"/>
        <w:adjustRightInd w:val="0"/>
        <w:snapToGrid w:val="0"/>
        <w:spacing w:line="288" w:lineRule="auto"/>
        <w:ind w:firstLine="469" w:firstLineChars="236"/>
        <w:jc w:val="center"/>
        <w:outlineLvl w:val="2"/>
        <w:rPr>
          <w:rFonts w:hint="eastAsia" w:ascii="仿宋" w:hAnsi="仿宋" w:eastAsia="仿宋" w:cs="仿宋"/>
          <w:color w:val="auto"/>
          <w:kern w:val="0"/>
          <w:sz w:val="21"/>
          <w:szCs w:val="21"/>
          <w:highlight w:val="none"/>
        </w:rPr>
      </w:pPr>
      <w:r>
        <w:rPr>
          <w:rFonts w:hint="eastAsia" w:ascii="仿宋" w:hAnsi="仿宋" w:eastAsia="仿宋" w:cs="仿宋"/>
          <w:b/>
          <w:color w:val="auto"/>
          <w:spacing w:val="-6"/>
          <w:sz w:val="21"/>
          <w:szCs w:val="21"/>
          <w:highlight w:val="none"/>
        </w:rPr>
        <w:br w:type="page"/>
      </w:r>
      <w:r>
        <w:rPr>
          <w:rFonts w:hint="eastAsia" w:ascii="仿宋" w:hAnsi="仿宋" w:eastAsia="仿宋" w:cs="仿宋"/>
          <w:b/>
          <w:bCs/>
          <w:color w:val="auto"/>
          <w:sz w:val="21"/>
          <w:szCs w:val="21"/>
          <w:highlight w:val="none"/>
        </w:rPr>
        <w:t>（2）</w:t>
      </w:r>
      <w:r>
        <w:rPr>
          <w:rFonts w:hint="eastAsia" w:ascii="仿宋" w:hAnsi="仿宋" w:eastAsia="仿宋" w:cs="仿宋"/>
          <w:b/>
          <w:color w:val="auto"/>
          <w:spacing w:val="-6"/>
          <w:sz w:val="21"/>
          <w:szCs w:val="21"/>
          <w:highlight w:val="none"/>
        </w:rPr>
        <w:t>属于监狱企业的证明文件（若属于监狱企业）</w:t>
      </w:r>
    </w:p>
    <w:p w14:paraId="0062B61F">
      <w:pPr>
        <w:shd w:val="clear"/>
        <w:adjustRightInd w:val="0"/>
        <w:snapToGrid w:val="0"/>
        <w:spacing w:line="288" w:lineRule="auto"/>
        <w:rPr>
          <w:rFonts w:hint="eastAsia" w:ascii="仿宋" w:hAnsi="仿宋" w:eastAsia="仿宋" w:cs="仿宋"/>
          <w:color w:val="auto"/>
          <w:kern w:val="0"/>
          <w:sz w:val="21"/>
          <w:szCs w:val="21"/>
          <w:highlight w:val="none"/>
        </w:rPr>
      </w:pPr>
    </w:p>
    <w:p w14:paraId="28DF9408">
      <w:pPr>
        <w:shd w:val="clear"/>
        <w:adjustRightInd w:val="0"/>
        <w:snapToGrid w:val="0"/>
        <w:spacing w:line="288" w:lineRule="auto"/>
        <w:ind w:firstLine="373" w:firstLineChars="177"/>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rPr>
        <w:t>监狱企业参加政府采购活动时，应当提供由省级以上监狱管理局、戒毒管理局（含新疆生产建设兵团）出具的属于监狱企业的证明文件。</w:t>
      </w:r>
    </w:p>
    <w:p w14:paraId="0ABD699D">
      <w:pPr>
        <w:shd w:val="clear"/>
        <w:adjustRightInd w:val="0"/>
        <w:snapToGrid w:val="0"/>
        <w:spacing w:line="288" w:lineRule="auto"/>
        <w:rPr>
          <w:rFonts w:hint="eastAsia" w:ascii="仿宋" w:hAnsi="仿宋" w:eastAsia="仿宋" w:cs="仿宋"/>
          <w:color w:val="auto"/>
          <w:sz w:val="21"/>
          <w:szCs w:val="21"/>
          <w:highlight w:val="none"/>
        </w:rPr>
      </w:pPr>
    </w:p>
    <w:p w14:paraId="70D19566">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1960B519">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21733D2">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二、在政府采购活动中，监狱企业视同小型、微型企业，享受预留份额、评审中价格扣除等政府采购促进中小企业发展的政府采购政策。</w:t>
      </w:r>
    </w:p>
    <w:p w14:paraId="4582BDE4">
      <w:pPr>
        <w:widowControl/>
        <w:shd w:val="clear"/>
        <w:adjustRightInd w:val="0"/>
        <w:snapToGrid w:val="0"/>
        <w:spacing w:line="288" w:lineRule="auto"/>
        <w:jc w:val="center"/>
        <w:outlineLvl w:val="2"/>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br w:type="page"/>
      </w:r>
      <w:r>
        <w:rPr>
          <w:rFonts w:hint="eastAsia" w:ascii="仿宋" w:hAnsi="仿宋" w:eastAsia="仿宋" w:cs="仿宋"/>
          <w:b/>
          <w:color w:val="auto"/>
          <w:spacing w:val="-6"/>
          <w:sz w:val="21"/>
          <w:szCs w:val="21"/>
          <w:highlight w:val="none"/>
        </w:rPr>
        <w:t>（3）残疾人福利性单位声明函（若属于残疾人福利性单位）</w:t>
      </w:r>
    </w:p>
    <w:p w14:paraId="75F82934">
      <w:pPr>
        <w:shd w:val="clear"/>
        <w:adjustRightInd w:val="0"/>
        <w:snapToGrid w:val="0"/>
        <w:spacing w:line="288" w:lineRule="auto"/>
        <w:rPr>
          <w:rFonts w:hint="eastAsia" w:ascii="仿宋" w:hAnsi="仿宋" w:eastAsia="仿宋" w:cs="仿宋"/>
          <w:b/>
          <w:color w:val="auto"/>
          <w:spacing w:val="6"/>
          <w:sz w:val="21"/>
          <w:szCs w:val="21"/>
          <w:highlight w:val="none"/>
        </w:rPr>
      </w:pPr>
    </w:p>
    <w:p w14:paraId="2327D2C7">
      <w:pPr>
        <w:shd w:val="clear"/>
        <w:adjustRightInd w:val="0"/>
        <w:snapToGrid w:val="0"/>
        <w:spacing w:line="288" w:lineRule="auto"/>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本单位郑重声明，根据《财政部 民政部 中国残疾人联合会关于促进残疾人就业政府采购政策的通知》（财库</w:t>
      </w:r>
      <w:r>
        <w:rPr>
          <w:rFonts w:hint="eastAsia" w:ascii="仿宋" w:hAnsi="仿宋" w:eastAsia="仿宋" w:cs="仿宋"/>
          <w:color w:val="auto"/>
          <w:sz w:val="21"/>
          <w:szCs w:val="21"/>
          <w:highlight w:val="none"/>
        </w:rPr>
        <w:t>〔2017〕 141</w:t>
      </w:r>
      <w:r>
        <w:rPr>
          <w:rFonts w:hint="eastAsia" w:ascii="仿宋" w:hAnsi="仿宋" w:eastAsia="仿宋" w:cs="仿宋"/>
          <w:color w:val="auto"/>
          <w:spacing w:val="6"/>
          <w:sz w:val="21"/>
          <w:szCs w:val="21"/>
          <w:highlight w:val="none"/>
        </w:rPr>
        <w:t>号）的规定，</w:t>
      </w:r>
      <w:r>
        <w:rPr>
          <w:rFonts w:hint="eastAsia" w:ascii="仿宋" w:hAnsi="仿宋" w:eastAsia="仿宋" w:cs="仿宋"/>
          <w:b/>
          <w:bCs/>
          <w:color w:val="auto"/>
          <w:spacing w:val="6"/>
          <w:sz w:val="21"/>
          <w:szCs w:val="21"/>
          <w:highlight w:val="none"/>
        </w:rPr>
        <w:t>本单位为符合条件的残疾人福利性单位</w:t>
      </w:r>
      <w:r>
        <w:rPr>
          <w:rFonts w:hint="eastAsia" w:ascii="仿宋" w:hAnsi="仿宋" w:eastAsia="仿宋" w:cs="仿宋"/>
          <w:color w:val="auto"/>
          <w:spacing w:val="6"/>
          <w:sz w:val="21"/>
          <w:szCs w:val="21"/>
          <w:highlight w:val="none"/>
        </w:rPr>
        <w:t>，且本单位参加______（采购人）单位的______（项目名称）项目采购活动提供本单位服务。</w:t>
      </w:r>
    </w:p>
    <w:p w14:paraId="4918C125">
      <w:pPr>
        <w:shd w:val="clear"/>
        <w:adjustRightInd w:val="0"/>
        <w:snapToGrid w:val="0"/>
        <w:spacing w:line="288" w:lineRule="auto"/>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本单位对上述声明的真实性负责。如有虚假，将依法承担相应责任。</w:t>
      </w:r>
    </w:p>
    <w:p w14:paraId="3D2FC2A7">
      <w:pPr>
        <w:shd w:val="clear"/>
        <w:tabs>
          <w:tab w:val="left" w:pos="4860"/>
        </w:tabs>
        <w:adjustRightInd w:val="0"/>
        <w:snapToGrid w:val="0"/>
        <w:spacing w:line="288" w:lineRule="auto"/>
        <w:ind w:right="1560" w:firstLine="444" w:firstLineChars="200"/>
        <w:rPr>
          <w:rFonts w:hint="eastAsia" w:ascii="仿宋" w:hAnsi="仿宋" w:eastAsia="仿宋" w:cs="仿宋"/>
          <w:color w:val="auto"/>
          <w:spacing w:val="6"/>
          <w:sz w:val="21"/>
          <w:szCs w:val="21"/>
          <w:highlight w:val="none"/>
        </w:rPr>
      </w:pPr>
    </w:p>
    <w:p w14:paraId="1B123253">
      <w:pPr>
        <w:shd w:val="clear"/>
        <w:tabs>
          <w:tab w:val="left" w:pos="4860"/>
        </w:tabs>
        <w:adjustRightInd w:val="0"/>
        <w:snapToGrid w:val="0"/>
        <w:spacing w:line="288" w:lineRule="auto"/>
        <w:ind w:right="1560" w:firstLine="446" w:firstLineChars="20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供应商名称（电子签名/公章）：</w:t>
      </w:r>
    </w:p>
    <w:p w14:paraId="138614CD">
      <w:pPr>
        <w:shd w:val="clear"/>
        <w:tabs>
          <w:tab w:val="left" w:pos="4860"/>
        </w:tabs>
        <w:adjustRightInd w:val="0"/>
        <w:snapToGrid w:val="0"/>
        <w:spacing w:line="288" w:lineRule="auto"/>
        <w:ind w:right="1560" w:firstLine="446" w:firstLineChars="20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  期：</w:t>
      </w:r>
      <w:r>
        <w:rPr>
          <w:rFonts w:hint="eastAsia" w:ascii="仿宋" w:hAnsi="仿宋" w:eastAsia="仿宋" w:cs="仿宋"/>
          <w:b/>
          <w:bCs/>
          <w:color w:val="auto"/>
          <w:sz w:val="21"/>
          <w:szCs w:val="21"/>
          <w:highlight w:val="none"/>
        </w:rPr>
        <w:t>2025年  月  日</w:t>
      </w:r>
    </w:p>
    <w:p w14:paraId="531897F8">
      <w:pPr>
        <w:shd w:val="clear"/>
        <w:adjustRightInd w:val="0"/>
        <w:snapToGrid w:val="0"/>
        <w:spacing w:line="288" w:lineRule="auto"/>
        <w:rPr>
          <w:rFonts w:hint="eastAsia" w:ascii="仿宋" w:hAnsi="仿宋" w:eastAsia="仿宋" w:cs="仿宋"/>
          <w:color w:val="auto"/>
          <w:sz w:val="21"/>
          <w:szCs w:val="21"/>
          <w:highlight w:val="none"/>
        </w:rPr>
      </w:pPr>
    </w:p>
    <w:p w14:paraId="11CD0D14">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49D14AC9">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一、享受政府采购支持政策的残疾人福利性单位应当同时满足以下条件：</w:t>
      </w:r>
    </w:p>
    <w:p w14:paraId="789A8168">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（一）安置的残疾人占本单位在职职工人数的比例不低于25%（含25%），并且安置的残疾人人数不少于10人（含10人）；</w:t>
      </w:r>
    </w:p>
    <w:p w14:paraId="434876E3">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（二）依法与安置的每位残疾人签订了一年以上（含一年）的劳动合同或服务协议；</w:t>
      </w:r>
    </w:p>
    <w:p w14:paraId="407D5D74">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（三）为安置的每位残疾人按月足额缴纳了基本养老保险、基本医疗保险、失业保险、工伤保险和生育保险等社会保险费；</w:t>
      </w:r>
    </w:p>
    <w:p w14:paraId="6AF1E993">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（四）通过银行等金融机构向安置的每位残疾人，按月支付了不低于单位所在区县适用的经省级人民政府批准的月最低工资标准的工资；</w:t>
      </w:r>
    </w:p>
    <w:p w14:paraId="60EEA111">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261C2808">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2EEB23B">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二、符合条件的残疾人福利性单位在参加政府采购活动时，应当提供财库[2017]141号文件规定的《残疾人福利性单位声明函》，并对声明的真实性负责。</w:t>
      </w:r>
    </w:p>
    <w:p w14:paraId="14221FD7">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三、在政府采购活动中，残疾人福利性单位视同小型、微型企业，享受预留份额、评审中价格扣除等促进中小企业发展的政府采购政策。</w:t>
      </w:r>
    </w:p>
    <w:p w14:paraId="5CA61C6A">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注：残疾人福利性单位属于小型、微型企业的，不重复享受政策。</w:t>
      </w:r>
    </w:p>
    <w:p w14:paraId="4CC57B61">
      <w:pPr>
        <w:pStyle w:val="10"/>
        <w:shd w:val="clear"/>
        <w:rPr>
          <w:rFonts w:hint="eastAsia" w:ascii="仿宋" w:hAnsi="仿宋" w:eastAsia="仿宋" w:cs="仿宋"/>
          <w:color w:val="auto"/>
          <w:highlight w:val="none"/>
        </w:rPr>
      </w:pPr>
    </w:p>
    <w:p w14:paraId="71B91CB9">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三、报价情况说明（如有）</w:t>
      </w:r>
    </w:p>
    <w:p w14:paraId="1B6C3A40">
      <w:pPr>
        <w:pStyle w:val="84"/>
        <w:keepNext w:val="0"/>
        <w:pageBreakBefore w:val="0"/>
        <w:shd w:val="clear"/>
        <w:tabs>
          <w:tab w:val="clear" w:pos="720"/>
        </w:tabs>
        <w:snapToGrid w:val="0"/>
        <w:spacing w:before="120" w:after="120"/>
        <w:ind w:firstLine="643"/>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如供应商最后报价低于项目预算50%的，应当提交文本文档，详细阐述不影响产品质量或者诚信履约的具体原因。</w:t>
      </w:r>
    </w:p>
    <w:p w14:paraId="1A457348">
      <w:pPr>
        <w:shd w:val="clear"/>
        <w:rPr>
          <w:rFonts w:hint="eastAsia" w:ascii="仿宋" w:hAnsi="仿宋" w:eastAsia="仿宋" w:cs="仿宋"/>
          <w:bCs/>
          <w:color w:val="auto"/>
          <w:sz w:val="21"/>
          <w:szCs w:val="21"/>
          <w:highlight w:val="none"/>
        </w:rPr>
      </w:pPr>
    </w:p>
    <w:p w14:paraId="02F83969">
      <w:pPr>
        <w:shd w:val="clear"/>
        <w:rPr>
          <w:rFonts w:hint="eastAsia" w:ascii="仿宋" w:hAnsi="仿宋" w:eastAsia="仿宋" w:cs="仿宋"/>
          <w:color w:val="auto"/>
          <w:highlight w:val="none"/>
        </w:rPr>
      </w:pPr>
    </w:p>
    <w:bookmarkEnd w:id="197"/>
    <w:bookmarkEnd w:id="198"/>
    <w:bookmarkEnd w:id="199"/>
    <w:bookmarkEnd w:id="200"/>
    <w:p w14:paraId="379F7627">
      <w:pPr>
        <w:shd w:val="clear"/>
        <w:rPr>
          <w:rFonts w:hint="eastAsia" w:ascii="仿宋" w:hAnsi="仿宋" w:eastAsia="仿宋" w:cs="仿宋"/>
          <w:b/>
          <w:color w:val="auto"/>
          <w:sz w:val="21"/>
          <w:szCs w:val="21"/>
          <w:highlight w:val="none"/>
        </w:rPr>
      </w:pPr>
      <w:bookmarkStart w:id="201" w:name="_Toc8603"/>
      <w:bookmarkStart w:id="202" w:name="_Toc6428"/>
      <w:bookmarkStart w:id="203" w:name="_Toc3484"/>
    </w:p>
    <w:p w14:paraId="76ACF880">
      <w:pPr>
        <w:shd w:val="clear"/>
        <w:adjustRightInd w:val="0"/>
        <w:snapToGrid w:val="0"/>
        <w:spacing w:line="288" w:lineRule="auto"/>
        <w:ind w:firstLine="498" w:firstLineChars="236"/>
        <w:jc w:val="center"/>
        <w:outlineLvl w:val="1"/>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br w:type="page"/>
      </w:r>
    </w:p>
    <w:p w14:paraId="08FE6317">
      <w:pPr>
        <w:shd w:val="clear"/>
        <w:rPr>
          <w:rFonts w:hint="eastAsia" w:ascii="仿宋" w:hAnsi="仿宋" w:eastAsia="仿宋" w:cs="仿宋"/>
          <w:b/>
          <w:color w:val="auto"/>
          <w:sz w:val="21"/>
          <w:szCs w:val="21"/>
          <w:highlight w:val="none"/>
        </w:rPr>
      </w:pPr>
    </w:p>
    <w:p w14:paraId="64DB3389">
      <w:pPr>
        <w:shd w:val="clear"/>
        <w:rPr>
          <w:rFonts w:hint="eastAsia" w:ascii="仿宋" w:hAnsi="仿宋" w:eastAsia="仿宋" w:cs="仿宋"/>
          <w:b/>
          <w:color w:val="auto"/>
          <w:sz w:val="21"/>
          <w:szCs w:val="21"/>
          <w:highlight w:val="none"/>
        </w:rPr>
      </w:pPr>
    </w:p>
    <w:p w14:paraId="22170493">
      <w:pPr>
        <w:shd w:val="clear"/>
        <w:rPr>
          <w:rFonts w:hint="eastAsia" w:ascii="仿宋" w:hAnsi="仿宋" w:eastAsia="仿宋" w:cs="仿宋"/>
          <w:b/>
          <w:color w:val="auto"/>
          <w:sz w:val="21"/>
          <w:szCs w:val="21"/>
          <w:highlight w:val="none"/>
        </w:rPr>
      </w:pPr>
    </w:p>
    <w:p w14:paraId="16D4E02A">
      <w:pPr>
        <w:shd w:val="clear"/>
        <w:rPr>
          <w:rFonts w:hint="eastAsia" w:ascii="仿宋" w:hAnsi="仿宋" w:eastAsia="仿宋" w:cs="仿宋"/>
          <w:b/>
          <w:color w:val="auto"/>
          <w:sz w:val="21"/>
          <w:szCs w:val="21"/>
          <w:highlight w:val="none"/>
        </w:rPr>
      </w:pPr>
    </w:p>
    <w:p w14:paraId="23CD452A">
      <w:pPr>
        <w:shd w:val="clear"/>
        <w:rPr>
          <w:rFonts w:hint="eastAsia" w:ascii="仿宋" w:hAnsi="仿宋" w:eastAsia="仿宋" w:cs="仿宋"/>
          <w:b/>
          <w:color w:val="auto"/>
          <w:sz w:val="21"/>
          <w:szCs w:val="21"/>
          <w:highlight w:val="none"/>
        </w:rPr>
      </w:pPr>
    </w:p>
    <w:p w14:paraId="18AF5A24">
      <w:pPr>
        <w:shd w:val="clear"/>
        <w:rPr>
          <w:rFonts w:hint="eastAsia" w:ascii="仿宋" w:hAnsi="仿宋" w:eastAsia="仿宋" w:cs="仿宋"/>
          <w:b/>
          <w:color w:val="auto"/>
          <w:sz w:val="21"/>
          <w:szCs w:val="21"/>
          <w:highlight w:val="none"/>
        </w:rPr>
      </w:pPr>
    </w:p>
    <w:p w14:paraId="4AAD4358">
      <w:pPr>
        <w:shd w:val="clear"/>
        <w:rPr>
          <w:rFonts w:hint="eastAsia" w:ascii="仿宋" w:hAnsi="仿宋" w:eastAsia="仿宋" w:cs="仿宋"/>
          <w:b/>
          <w:color w:val="auto"/>
          <w:sz w:val="21"/>
          <w:szCs w:val="21"/>
          <w:highlight w:val="none"/>
        </w:rPr>
      </w:pPr>
    </w:p>
    <w:p w14:paraId="2D6DBC0F">
      <w:pPr>
        <w:shd w:val="clear"/>
        <w:rPr>
          <w:rFonts w:hint="eastAsia" w:ascii="仿宋" w:hAnsi="仿宋" w:eastAsia="仿宋" w:cs="仿宋"/>
          <w:b/>
          <w:color w:val="auto"/>
          <w:sz w:val="21"/>
          <w:szCs w:val="21"/>
          <w:highlight w:val="none"/>
        </w:rPr>
      </w:pPr>
    </w:p>
    <w:p w14:paraId="2CE0A383">
      <w:pPr>
        <w:shd w:val="clear"/>
        <w:rPr>
          <w:rFonts w:hint="eastAsia" w:ascii="仿宋" w:hAnsi="仿宋" w:eastAsia="仿宋" w:cs="仿宋"/>
          <w:b/>
          <w:color w:val="auto"/>
          <w:sz w:val="21"/>
          <w:szCs w:val="21"/>
          <w:highlight w:val="none"/>
        </w:rPr>
      </w:pPr>
    </w:p>
    <w:p w14:paraId="56A14B4A">
      <w:pPr>
        <w:shd w:val="clear"/>
        <w:rPr>
          <w:rFonts w:hint="eastAsia" w:ascii="仿宋" w:hAnsi="仿宋" w:eastAsia="仿宋" w:cs="仿宋"/>
          <w:b/>
          <w:color w:val="auto"/>
          <w:sz w:val="21"/>
          <w:szCs w:val="21"/>
          <w:highlight w:val="none"/>
        </w:rPr>
      </w:pPr>
    </w:p>
    <w:p w14:paraId="14E1396D">
      <w:pPr>
        <w:shd w:val="clear"/>
        <w:rPr>
          <w:rFonts w:hint="eastAsia" w:ascii="仿宋" w:hAnsi="仿宋" w:eastAsia="仿宋" w:cs="仿宋"/>
          <w:b/>
          <w:color w:val="auto"/>
          <w:sz w:val="21"/>
          <w:szCs w:val="21"/>
          <w:highlight w:val="none"/>
        </w:rPr>
      </w:pPr>
    </w:p>
    <w:p w14:paraId="295F9859">
      <w:pPr>
        <w:shd w:val="clear"/>
        <w:rPr>
          <w:rFonts w:hint="eastAsia" w:ascii="仿宋" w:hAnsi="仿宋" w:eastAsia="仿宋" w:cs="仿宋"/>
          <w:b/>
          <w:color w:val="auto"/>
          <w:sz w:val="21"/>
          <w:szCs w:val="21"/>
          <w:highlight w:val="none"/>
        </w:rPr>
      </w:pPr>
    </w:p>
    <w:p w14:paraId="1ECCC4A1">
      <w:pPr>
        <w:shd w:val="clear"/>
        <w:jc w:val="center"/>
        <w:outlineLvl w:val="1"/>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商务技术文件</w:t>
      </w:r>
      <w:bookmarkEnd w:id="201"/>
      <w:bookmarkEnd w:id="202"/>
      <w:bookmarkEnd w:id="203"/>
    </w:p>
    <w:p w14:paraId="3A162EC2">
      <w:pPr>
        <w:shd w:val="clear"/>
        <w:adjustRightInd w:val="0"/>
        <w:snapToGrid w:val="0"/>
        <w:spacing w:line="288" w:lineRule="auto"/>
        <w:rPr>
          <w:rFonts w:hint="eastAsia" w:ascii="仿宋" w:hAnsi="仿宋" w:eastAsia="仿宋" w:cs="仿宋"/>
          <w:color w:val="auto"/>
          <w:highlight w:val="none"/>
        </w:rPr>
      </w:pPr>
    </w:p>
    <w:p w14:paraId="3C56E43A">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bookmarkStart w:id="204" w:name="_Toc31700"/>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一、响应函</w:t>
      </w:r>
      <w:bookmarkEnd w:id="204"/>
    </w:p>
    <w:p w14:paraId="5390183B">
      <w:pPr>
        <w:shd w:val="clear"/>
        <w:adjustRightInd w:val="0"/>
        <w:snapToGrid w:val="0"/>
        <w:spacing w:line="288" w:lineRule="auto"/>
        <w:rPr>
          <w:rFonts w:hint="eastAsia" w:ascii="仿宋" w:hAnsi="仿宋" w:eastAsia="仿宋" w:cs="仿宋"/>
          <w:color w:val="auto"/>
          <w:highlight w:val="none"/>
        </w:rPr>
      </w:pPr>
    </w:p>
    <w:p w14:paraId="130AC70F">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致：</w:t>
      </w:r>
      <w:r>
        <w:rPr>
          <w:rFonts w:hint="eastAsia" w:ascii="仿宋" w:hAnsi="仿宋" w:eastAsia="仿宋" w:cs="仿宋"/>
          <w:b/>
          <w:bCs/>
          <w:color w:val="auto"/>
          <w:sz w:val="21"/>
          <w:szCs w:val="21"/>
          <w:highlight w:val="none"/>
          <w:lang w:eastAsia="zh-CN"/>
        </w:rPr>
        <w:t>浙江万里学院</w:t>
      </w:r>
      <w:r>
        <w:rPr>
          <w:rFonts w:hint="eastAsia" w:ascii="仿宋" w:hAnsi="仿宋" w:eastAsia="仿宋" w:cs="仿宋"/>
          <w:b/>
          <w:bCs/>
          <w:color w:val="auto"/>
          <w:sz w:val="21"/>
          <w:szCs w:val="21"/>
          <w:highlight w:val="none"/>
        </w:rPr>
        <w:t>、浙江省成套招标代理有限公司</w:t>
      </w:r>
    </w:p>
    <w:p w14:paraId="58470125">
      <w:pPr>
        <w:shd w:val="clear"/>
        <w:adjustRightInd w:val="0"/>
        <w:snapToGrid w:val="0"/>
        <w:spacing w:line="288" w:lineRule="auto"/>
        <w:rPr>
          <w:rFonts w:hint="eastAsia" w:ascii="仿宋" w:hAnsi="仿宋" w:eastAsia="仿宋" w:cs="仿宋"/>
          <w:color w:val="auto"/>
          <w:sz w:val="21"/>
          <w:szCs w:val="21"/>
          <w:highlight w:val="none"/>
        </w:rPr>
      </w:pPr>
    </w:p>
    <w:p w14:paraId="088CC52F">
      <w:pPr>
        <w:shd w:val="clear"/>
        <w:wordWrap w:val="0"/>
        <w:overflowPunct w:val="0"/>
        <w:autoSpaceDE w:val="0"/>
        <w:autoSpaceDN w:val="0"/>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我方参加 </w:t>
      </w:r>
      <w:r>
        <w:rPr>
          <w:rFonts w:hint="eastAsia" w:ascii="仿宋" w:hAnsi="仿宋" w:eastAsia="仿宋" w:cs="仿宋"/>
          <w:bCs/>
          <w:color w:val="auto"/>
          <w:sz w:val="21"/>
          <w:szCs w:val="21"/>
          <w:highlight w:val="none"/>
          <w:u w:val="single"/>
          <w:lang w:eastAsia="zh-CN"/>
        </w:rPr>
        <w:t>智慧教学工具采购</w:t>
      </w:r>
      <w:r>
        <w:rPr>
          <w:rFonts w:hint="eastAsia" w:ascii="仿宋" w:hAnsi="仿宋" w:eastAsia="仿宋" w:cs="仿宋"/>
          <w:color w:val="auto"/>
          <w:sz w:val="21"/>
          <w:szCs w:val="21"/>
          <w:highlight w:val="none"/>
          <w:u w:val="single"/>
        </w:rPr>
        <w:t>（项目编号</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lang w:eastAsia="zh-CN"/>
        </w:rPr>
        <w:t>CTZB-2025070007</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项目，为此，我方提交电子加密响应文件一份、以介质（U盘）存储的数据电文形式的</w:t>
      </w:r>
      <w:r>
        <w:rPr>
          <w:rFonts w:hint="eastAsia" w:ascii="仿宋" w:hAnsi="仿宋" w:eastAsia="仿宋" w:cs="仿宋"/>
          <w:color w:val="auto"/>
          <w:sz w:val="21"/>
          <w:szCs w:val="21"/>
          <w:highlight w:val="none"/>
          <w:u w:val="single"/>
        </w:rPr>
        <w:t>备份响应文件1份（如有）</w:t>
      </w:r>
      <w:r>
        <w:rPr>
          <w:rFonts w:hint="eastAsia" w:ascii="仿宋" w:hAnsi="仿宋" w:eastAsia="仿宋" w:cs="仿宋"/>
          <w:color w:val="auto"/>
          <w:sz w:val="21"/>
          <w:szCs w:val="21"/>
          <w:highlight w:val="none"/>
        </w:rPr>
        <w:t>。宣布同意如下：</w:t>
      </w:r>
    </w:p>
    <w:p w14:paraId="2BEE6988">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740BD56A">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2.我方在磋商响应之前已经与贵方进行了充分的沟通，完全理解并接受磋商文件的各项规定和要求，对磋商文件的合理性、合法性不再有异议。</w:t>
      </w:r>
    </w:p>
    <w:p w14:paraId="687EFE4E">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3.响应有效期自提交响应文件的截止之日起</w:t>
      </w:r>
      <w:r>
        <w:rPr>
          <w:rFonts w:hint="eastAsia" w:ascii="仿宋" w:hAnsi="仿宋" w:eastAsia="仿宋" w:cs="仿宋"/>
          <w:color w:val="auto"/>
          <w:sz w:val="21"/>
          <w:szCs w:val="21"/>
          <w:highlight w:val="none"/>
          <w:u w:val="single"/>
        </w:rPr>
        <w:t>90天</w:t>
      </w:r>
      <w:r>
        <w:rPr>
          <w:rFonts w:hint="eastAsia" w:ascii="仿宋" w:hAnsi="仿宋" w:eastAsia="仿宋" w:cs="仿宋"/>
          <w:color w:val="auto"/>
          <w:sz w:val="21"/>
          <w:szCs w:val="21"/>
          <w:highlight w:val="none"/>
        </w:rPr>
        <w:t>。</w:t>
      </w:r>
    </w:p>
    <w:p w14:paraId="6FFA8CD8">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79A41598">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5.我方同意按照贵方要求提供与磋商有关的一切数据或资料。</w:t>
      </w:r>
    </w:p>
    <w:p w14:paraId="343802AE">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6.与本磋商有关的一切正式往来信函联系：</w:t>
      </w:r>
    </w:p>
    <w:tbl>
      <w:tblPr>
        <w:tblStyle w:val="2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6358"/>
      </w:tblGrid>
      <w:tr w14:paraId="3A82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noWrap w:val="0"/>
            <w:vAlign w:val="top"/>
          </w:tcPr>
          <w:p w14:paraId="4DA0B2B4">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6358" w:type="dxa"/>
            <w:noWrap w:val="0"/>
            <w:vAlign w:val="top"/>
          </w:tcPr>
          <w:p w14:paraId="5A557831">
            <w:pPr>
              <w:shd w:val="clear"/>
              <w:adjustRightInd w:val="0"/>
              <w:snapToGrid w:val="0"/>
              <w:spacing w:line="288" w:lineRule="auto"/>
              <w:rPr>
                <w:rFonts w:hint="eastAsia" w:ascii="仿宋" w:hAnsi="仿宋" w:eastAsia="仿宋" w:cs="仿宋"/>
                <w:color w:val="auto"/>
                <w:sz w:val="21"/>
                <w:szCs w:val="21"/>
                <w:highlight w:val="none"/>
              </w:rPr>
            </w:pPr>
          </w:p>
        </w:tc>
      </w:tr>
      <w:tr w14:paraId="7674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noWrap w:val="0"/>
            <w:vAlign w:val="top"/>
          </w:tcPr>
          <w:p w14:paraId="282E0EC7">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职务：</w:t>
            </w:r>
          </w:p>
        </w:tc>
        <w:tc>
          <w:tcPr>
            <w:tcW w:w="6358" w:type="dxa"/>
            <w:noWrap w:val="0"/>
            <w:vAlign w:val="top"/>
          </w:tcPr>
          <w:p w14:paraId="7910F827">
            <w:pPr>
              <w:shd w:val="clear"/>
              <w:adjustRightInd w:val="0"/>
              <w:snapToGrid w:val="0"/>
              <w:spacing w:line="288" w:lineRule="auto"/>
              <w:rPr>
                <w:rFonts w:hint="eastAsia" w:ascii="仿宋" w:hAnsi="仿宋" w:eastAsia="仿宋" w:cs="仿宋"/>
                <w:color w:val="auto"/>
                <w:sz w:val="21"/>
                <w:szCs w:val="21"/>
                <w:highlight w:val="none"/>
              </w:rPr>
            </w:pPr>
          </w:p>
        </w:tc>
      </w:tr>
      <w:tr w14:paraId="1C86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noWrap w:val="0"/>
            <w:vAlign w:val="top"/>
          </w:tcPr>
          <w:p w14:paraId="0EFEC841">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手机：</w:t>
            </w:r>
          </w:p>
        </w:tc>
        <w:tc>
          <w:tcPr>
            <w:tcW w:w="6358" w:type="dxa"/>
            <w:noWrap w:val="0"/>
            <w:vAlign w:val="top"/>
          </w:tcPr>
          <w:p w14:paraId="2E54BD8B">
            <w:pPr>
              <w:shd w:val="clear"/>
              <w:adjustRightInd w:val="0"/>
              <w:snapToGrid w:val="0"/>
              <w:spacing w:line="288" w:lineRule="auto"/>
              <w:rPr>
                <w:rFonts w:hint="eastAsia" w:ascii="仿宋" w:hAnsi="仿宋" w:eastAsia="仿宋" w:cs="仿宋"/>
                <w:color w:val="auto"/>
                <w:sz w:val="21"/>
                <w:szCs w:val="21"/>
                <w:highlight w:val="none"/>
              </w:rPr>
            </w:pPr>
          </w:p>
        </w:tc>
      </w:tr>
      <w:tr w14:paraId="41B9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noWrap w:val="0"/>
            <w:vAlign w:val="top"/>
          </w:tcPr>
          <w:p w14:paraId="0695480B">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6358" w:type="dxa"/>
            <w:noWrap w:val="0"/>
            <w:vAlign w:val="top"/>
          </w:tcPr>
          <w:p w14:paraId="7405AA8D">
            <w:pPr>
              <w:shd w:val="clear"/>
              <w:adjustRightInd w:val="0"/>
              <w:snapToGrid w:val="0"/>
              <w:spacing w:line="288" w:lineRule="auto"/>
              <w:rPr>
                <w:rFonts w:hint="eastAsia" w:ascii="仿宋" w:hAnsi="仿宋" w:eastAsia="仿宋" w:cs="仿宋"/>
                <w:color w:val="auto"/>
                <w:sz w:val="21"/>
                <w:szCs w:val="21"/>
                <w:highlight w:val="none"/>
              </w:rPr>
            </w:pPr>
          </w:p>
        </w:tc>
      </w:tr>
      <w:tr w14:paraId="06B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noWrap w:val="0"/>
            <w:vAlign w:val="top"/>
          </w:tcPr>
          <w:p w14:paraId="4FA40A51">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tc>
        <w:tc>
          <w:tcPr>
            <w:tcW w:w="6358" w:type="dxa"/>
            <w:noWrap w:val="0"/>
            <w:vAlign w:val="top"/>
          </w:tcPr>
          <w:p w14:paraId="553C3A11">
            <w:pPr>
              <w:shd w:val="clear"/>
              <w:adjustRightInd w:val="0"/>
              <w:snapToGrid w:val="0"/>
              <w:spacing w:line="288" w:lineRule="auto"/>
              <w:rPr>
                <w:rFonts w:hint="eastAsia" w:ascii="仿宋" w:hAnsi="仿宋" w:eastAsia="仿宋" w:cs="仿宋"/>
                <w:color w:val="auto"/>
                <w:sz w:val="21"/>
                <w:szCs w:val="21"/>
                <w:highlight w:val="none"/>
              </w:rPr>
            </w:pPr>
          </w:p>
        </w:tc>
      </w:tr>
      <w:tr w14:paraId="3800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noWrap w:val="0"/>
            <w:vAlign w:val="top"/>
          </w:tcPr>
          <w:p w14:paraId="456FDAA2">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c>
          <w:tcPr>
            <w:tcW w:w="6358" w:type="dxa"/>
            <w:noWrap w:val="0"/>
            <w:vAlign w:val="top"/>
          </w:tcPr>
          <w:p w14:paraId="3986DA89">
            <w:pPr>
              <w:shd w:val="clear"/>
              <w:adjustRightInd w:val="0"/>
              <w:snapToGrid w:val="0"/>
              <w:spacing w:line="288" w:lineRule="auto"/>
              <w:rPr>
                <w:rFonts w:hint="eastAsia" w:ascii="仿宋" w:hAnsi="仿宋" w:eastAsia="仿宋" w:cs="仿宋"/>
                <w:color w:val="auto"/>
                <w:sz w:val="21"/>
                <w:szCs w:val="21"/>
                <w:highlight w:val="none"/>
              </w:rPr>
            </w:pPr>
          </w:p>
        </w:tc>
      </w:tr>
      <w:tr w14:paraId="2B94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81" w:type="dxa"/>
            <w:noWrap w:val="0"/>
            <w:vAlign w:val="top"/>
          </w:tcPr>
          <w:p w14:paraId="71A0DA0F">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银行账号：</w:t>
            </w:r>
          </w:p>
        </w:tc>
        <w:tc>
          <w:tcPr>
            <w:tcW w:w="6358" w:type="dxa"/>
            <w:noWrap w:val="0"/>
            <w:vAlign w:val="top"/>
          </w:tcPr>
          <w:p w14:paraId="24479216">
            <w:pPr>
              <w:shd w:val="clear"/>
              <w:adjustRightInd w:val="0"/>
              <w:snapToGrid w:val="0"/>
              <w:spacing w:line="288" w:lineRule="auto"/>
              <w:rPr>
                <w:rFonts w:hint="eastAsia" w:ascii="仿宋" w:hAnsi="仿宋" w:eastAsia="仿宋" w:cs="仿宋"/>
                <w:color w:val="auto"/>
                <w:sz w:val="21"/>
                <w:szCs w:val="21"/>
                <w:highlight w:val="none"/>
              </w:rPr>
            </w:pPr>
          </w:p>
        </w:tc>
      </w:tr>
    </w:tbl>
    <w:p w14:paraId="16BACF48">
      <w:pPr>
        <w:shd w:val="clear"/>
        <w:adjustRightInd w:val="0"/>
        <w:snapToGrid w:val="0"/>
        <w:spacing w:line="288" w:lineRule="auto"/>
        <w:rPr>
          <w:rFonts w:hint="eastAsia" w:ascii="仿宋" w:hAnsi="仿宋" w:eastAsia="仿宋" w:cs="仿宋"/>
          <w:color w:val="auto"/>
          <w:sz w:val="21"/>
          <w:szCs w:val="21"/>
          <w:highlight w:val="none"/>
        </w:rPr>
      </w:pPr>
    </w:p>
    <w:p w14:paraId="31280820">
      <w:pPr>
        <w:shd w:val="clear"/>
        <w:adjustRightInd w:val="0"/>
        <w:snapToGrid w:val="0"/>
        <w:spacing w:line="288" w:lineRule="auto"/>
        <w:rPr>
          <w:rFonts w:hint="eastAsia" w:ascii="仿宋" w:hAnsi="仿宋" w:eastAsia="仿宋" w:cs="仿宋"/>
          <w:color w:val="auto"/>
          <w:sz w:val="21"/>
          <w:szCs w:val="21"/>
          <w:highlight w:val="none"/>
        </w:rPr>
      </w:pPr>
    </w:p>
    <w:p w14:paraId="083790AC">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供应商名称（电子签名/公章）：</w:t>
      </w:r>
    </w:p>
    <w:p w14:paraId="243A4D1C">
      <w:pPr>
        <w:widowControl/>
        <w:shd w:val="clear"/>
        <w:adjustRightInd w:val="0"/>
        <w:snapToGrid w:val="0"/>
        <w:spacing w:line="288" w:lineRule="auto"/>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日期：2025年  月  日</w:t>
      </w:r>
      <w:r>
        <w:rPr>
          <w:rFonts w:hint="eastAsia" w:ascii="仿宋" w:hAnsi="仿宋" w:eastAsia="仿宋" w:cs="仿宋"/>
          <w:color w:val="auto"/>
          <w:sz w:val="21"/>
          <w:szCs w:val="21"/>
          <w:highlight w:val="none"/>
        </w:rPr>
        <w:br w:type="page"/>
      </w:r>
    </w:p>
    <w:p w14:paraId="4F7D67D9">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bookmarkStart w:id="205" w:name="_Toc12753"/>
      <w:r>
        <w:rPr>
          <w:rFonts w:hint="eastAsia" w:ascii="仿宋" w:hAnsi="仿宋" w:eastAsia="仿宋" w:cs="仿宋"/>
          <w:b/>
          <w:bCs/>
          <w:color w:val="auto"/>
          <w:sz w:val="21"/>
          <w:szCs w:val="21"/>
          <w:highlight w:val="none"/>
        </w:rPr>
        <w:t>二、授权委托书或法定代表人（单位负责人、自然人本人）身份证明</w:t>
      </w:r>
      <w:bookmarkEnd w:id="205"/>
    </w:p>
    <w:p w14:paraId="202DB2BE">
      <w:pPr>
        <w:pStyle w:val="13"/>
        <w:shd w:val="clear"/>
        <w:adjustRightInd w:val="0"/>
        <w:snapToGrid w:val="0"/>
        <w:spacing w:before="163" w:after="163" w:line="300" w:lineRule="auto"/>
        <w:jc w:val="center"/>
        <w:rPr>
          <w:rFonts w:hint="eastAsia" w:ascii="仿宋" w:hAnsi="仿宋" w:eastAsia="仿宋" w:cs="仿宋"/>
          <w:b/>
          <w:bCs/>
          <w:color w:val="auto"/>
          <w:sz w:val="21"/>
          <w:szCs w:val="21"/>
          <w:highlight w:val="none"/>
          <w:lang w:val="zh-TW" w:eastAsia="zh-TW"/>
        </w:rPr>
      </w:pPr>
      <w:bookmarkStart w:id="206" w:name="_Toc21143"/>
      <w:bookmarkStart w:id="207" w:name="_Toc19623"/>
      <w:bookmarkStart w:id="208" w:name="_Toc3833"/>
      <w:r>
        <w:rPr>
          <w:rFonts w:hint="eastAsia" w:ascii="仿宋" w:hAnsi="仿宋" w:eastAsia="仿宋" w:cs="仿宋"/>
          <w:b/>
          <w:bCs/>
          <w:color w:val="auto"/>
          <w:sz w:val="21"/>
          <w:szCs w:val="21"/>
          <w:highlight w:val="none"/>
          <w:lang w:val="zh-TW" w:eastAsia="zh-TW"/>
        </w:rPr>
        <w:t>授权</w:t>
      </w:r>
      <w:r>
        <w:rPr>
          <w:rFonts w:hint="eastAsia" w:ascii="仿宋" w:hAnsi="仿宋" w:eastAsia="仿宋" w:cs="仿宋"/>
          <w:b/>
          <w:bCs/>
          <w:color w:val="auto"/>
          <w:sz w:val="21"/>
          <w:szCs w:val="21"/>
          <w:highlight w:val="none"/>
        </w:rPr>
        <w:t>委托</w:t>
      </w:r>
      <w:r>
        <w:rPr>
          <w:rFonts w:hint="eastAsia" w:ascii="仿宋" w:hAnsi="仿宋" w:eastAsia="仿宋" w:cs="仿宋"/>
          <w:b/>
          <w:bCs/>
          <w:color w:val="auto"/>
          <w:sz w:val="21"/>
          <w:szCs w:val="21"/>
          <w:highlight w:val="none"/>
          <w:lang w:val="zh-TW" w:eastAsia="zh-TW"/>
        </w:rPr>
        <w:t>书（适用于非联合体投标）</w:t>
      </w:r>
      <w:bookmarkEnd w:id="206"/>
      <w:bookmarkEnd w:id="207"/>
      <w:bookmarkEnd w:id="208"/>
    </w:p>
    <w:p w14:paraId="3C4F37E1">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val="zh-TW" w:eastAsia="zh-CN"/>
        </w:rPr>
        <w:t>浙江万里学院</w:t>
      </w:r>
      <w:r>
        <w:rPr>
          <w:rFonts w:hint="eastAsia" w:ascii="仿宋" w:hAnsi="仿宋" w:eastAsia="仿宋" w:cs="仿宋"/>
          <w:color w:val="auto"/>
          <w:sz w:val="21"/>
          <w:szCs w:val="21"/>
          <w:highlight w:val="none"/>
          <w:u w:val="single"/>
          <w:lang w:val="zh-TW" w:eastAsia="zh-TW"/>
        </w:rPr>
        <w:t>：</w:t>
      </w:r>
    </w:p>
    <w:p w14:paraId="2DCD5D1A">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u w:val="single"/>
          <w:lang w:val="zh-TW" w:eastAsia="zh-TW"/>
        </w:rPr>
      </w:pPr>
      <w:r>
        <w:rPr>
          <w:rFonts w:hint="eastAsia" w:ascii="仿宋" w:hAnsi="仿宋" w:eastAsia="仿宋" w:cs="仿宋"/>
          <w:color w:val="auto"/>
          <w:sz w:val="21"/>
          <w:szCs w:val="21"/>
          <w:highlight w:val="none"/>
          <w:u w:val="single"/>
          <w:lang w:val="zh-TW" w:eastAsia="zh-TW"/>
        </w:rPr>
        <w:t>浙江省成套招标代理有限公司：</w:t>
      </w:r>
    </w:p>
    <w:p w14:paraId="230D3DAA">
      <w:pPr>
        <w:pStyle w:val="13"/>
        <w:shd w:val="clear"/>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现委托我单位在职员工</w:t>
      </w:r>
      <w:r>
        <w:rPr>
          <w:rFonts w:hint="eastAsia" w:ascii="仿宋" w:hAnsi="仿宋" w:eastAsia="仿宋" w:cs="仿宋"/>
          <w:color w:val="auto"/>
          <w:sz w:val="21"/>
          <w:szCs w:val="21"/>
          <w:highlight w:val="none"/>
          <w:u w:val="single"/>
        </w:rPr>
        <w:t>（授权代表姓名）</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（身份证号）   </w:t>
      </w:r>
      <w:r>
        <w:rPr>
          <w:rFonts w:hint="eastAsia" w:ascii="仿宋" w:hAnsi="仿宋" w:eastAsia="仿宋" w:cs="仿宋"/>
          <w:color w:val="auto"/>
          <w:sz w:val="21"/>
          <w:szCs w:val="21"/>
          <w:highlight w:val="none"/>
        </w:rPr>
        <w:t>（手机号：   ），为我单位的授权代表，以我方名义处理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（项目编号）政府采购投标活动中的一切事宜，其法律后果由我方承担。</w:t>
      </w:r>
    </w:p>
    <w:p w14:paraId="03DB18DF">
      <w:pPr>
        <w:pStyle w:val="13"/>
        <w:shd w:val="clear"/>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委托期限：自   年 月  日起至  年  月  日止。</w:t>
      </w:r>
    </w:p>
    <w:p w14:paraId="4348C381">
      <w:pPr>
        <w:pStyle w:val="13"/>
        <w:shd w:val="clear"/>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特此告知。</w:t>
      </w:r>
    </w:p>
    <w:p w14:paraId="1CC1D494">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供应商全称（电子签名/公章）：</w:t>
      </w:r>
    </w:p>
    <w:p w14:paraId="43D28535">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lang w:val="zh-TW" w:eastAsia="zh-TW"/>
        </w:rPr>
      </w:pPr>
      <w:r>
        <w:rPr>
          <w:rFonts w:hint="eastAsia" w:ascii="仿宋" w:hAnsi="仿宋" w:eastAsia="仿宋" w:cs="仿宋"/>
          <w:color w:val="auto"/>
          <w:kern w:val="0"/>
          <w:sz w:val="21"/>
          <w:szCs w:val="21"/>
          <w:highlight w:val="none"/>
          <w:lang w:val="zh-TW" w:eastAsia="zh-TW"/>
        </w:rPr>
        <w:t>日期：202</w:t>
      </w:r>
      <w:r>
        <w:rPr>
          <w:rFonts w:hint="eastAsia" w:ascii="仿宋" w:hAnsi="仿宋" w:eastAsia="仿宋" w:cs="仿宋"/>
          <w:color w:val="auto"/>
          <w:kern w:val="0"/>
          <w:sz w:val="21"/>
          <w:szCs w:val="21"/>
          <w:highlight w:val="none"/>
          <w:lang w:val="zh-TW"/>
        </w:rPr>
        <w:t>5</w:t>
      </w:r>
      <w:r>
        <w:rPr>
          <w:rFonts w:hint="eastAsia" w:ascii="仿宋" w:hAnsi="仿宋" w:eastAsia="仿宋" w:cs="仿宋"/>
          <w:color w:val="auto"/>
          <w:kern w:val="0"/>
          <w:sz w:val="21"/>
          <w:szCs w:val="21"/>
          <w:highlight w:val="none"/>
          <w:lang w:val="zh-TW" w:eastAsia="zh-TW"/>
        </w:rPr>
        <w:t>年  月  日</w:t>
      </w:r>
    </w:p>
    <w:p w14:paraId="6D56E8F8">
      <w:pPr>
        <w:shd w:val="clear"/>
        <w:spacing w:line="360" w:lineRule="auto"/>
        <w:rPr>
          <w:rFonts w:hint="eastAsia" w:ascii="仿宋" w:hAnsi="仿宋" w:eastAsia="仿宋" w:cs="仿宋"/>
          <w:b/>
          <w:i/>
          <w:color w:val="auto"/>
          <w:kern w:val="0"/>
          <w:szCs w:val="22"/>
          <w:highlight w:val="none"/>
        </w:rPr>
      </w:pPr>
    </w:p>
    <w:p w14:paraId="7DE27355">
      <w:pPr>
        <w:shd w:val="clear"/>
        <w:spacing w:line="360" w:lineRule="auto"/>
        <w:rPr>
          <w:rFonts w:hint="eastAsia" w:ascii="仿宋" w:hAnsi="仿宋" w:eastAsia="仿宋" w:cs="仿宋"/>
          <w:b/>
          <w:i/>
          <w:color w:val="auto"/>
          <w:kern w:val="0"/>
          <w:szCs w:val="22"/>
          <w:highlight w:val="none"/>
        </w:rPr>
      </w:pPr>
    </w:p>
    <w:p w14:paraId="1580362B">
      <w:pPr>
        <w:shd w:val="clear"/>
        <w:spacing w:line="360" w:lineRule="auto"/>
        <w:rPr>
          <w:rFonts w:hint="eastAsia" w:ascii="仿宋" w:hAnsi="仿宋" w:eastAsia="仿宋" w:cs="仿宋"/>
          <w:b/>
          <w:i/>
          <w:color w:val="auto"/>
          <w:kern w:val="0"/>
          <w:szCs w:val="22"/>
          <w:highlight w:val="none"/>
        </w:rPr>
      </w:pPr>
    </w:p>
    <w:p w14:paraId="24737BBB">
      <w:pPr>
        <w:shd w:val="clear"/>
        <w:spacing w:line="360" w:lineRule="auto"/>
        <w:rPr>
          <w:rFonts w:hint="eastAsia" w:ascii="仿宋" w:hAnsi="仿宋" w:eastAsia="仿宋" w:cs="仿宋"/>
          <w:b/>
          <w:iCs/>
          <w:color w:val="auto"/>
          <w:kern w:val="0"/>
          <w:sz w:val="21"/>
          <w:szCs w:val="21"/>
          <w:highlight w:val="none"/>
        </w:rPr>
      </w:pPr>
      <w:r>
        <w:rPr>
          <w:rFonts w:hint="eastAsia" w:ascii="仿宋" w:hAnsi="仿宋" w:eastAsia="仿宋" w:cs="仿宋"/>
          <w:b/>
          <w:iCs/>
          <w:color w:val="auto"/>
          <w:kern w:val="0"/>
          <w:sz w:val="21"/>
          <w:szCs w:val="21"/>
          <w:highlight w:val="none"/>
        </w:rPr>
        <w:t>后附证明材料（证明材料不齐全的，视为无效授权）：</w:t>
      </w:r>
    </w:p>
    <w:p w14:paraId="287C0894">
      <w:pPr>
        <w:shd w:val="clear"/>
        <w:spacing w:line="360" w:lineRule="auto"/>
        <w:ind w:firstLine="420" w:firstLineChars="200"/>
        <w:rPr>
          <w:rFonts w:hint="eastAsia" w:ascii="仿宋" w:hAnsi="仿宋" w:eastAsia="仿宋" w:cs="仿宋"/>
          <w:iCs/>
          <w:color w:val="auto"/>
          <w:kern w:val="0"/>
          <w:sz w:val="21"/>
          <w:szCs w:val="21"/>
          <w:highlight w:val="none"/>
        </w:rPr>
      </w:pPr>
      <w:r>
        <w:rPr>
          <w:rFonts w:hint="eastAsia" w:ascii="仿宋" w:hAnsi="仿宋" w:eastAsia="仿宋" w:cs="仿宋"/>
          <w:iCs/>
          <w:color w:val="auto"/>
          <w:kern w:val="0"/>
          <w:sz w:val="21"/>
          <w:szCs w:val="21"/>
          <w:highlight w:val="none"/>
        </w:rPr>
        <w:t>1、被授权人（授权代表）身份证</w:t>
      </w:r>
      <w:r>
        <w:rPr>
          <w:rFonts w:hint="eastAsia" w:ascii="仿宋" w:hAnsi="仿宋" w:eastAsia="仿宋" w:cs="仿宋"/>
          <w:iCs/>
          <w:color w:val="auto"/>
          <w:kern w:val="0"/>
          <w:sz w:val="21"/>
          <w:szCs w:val="21"/>
          <w:highlight w:val="none"/>
          <w:lang w:eastAsia="zh-CN"/>
        </w:rPr>
        <w:t>复印件</w:t>
      </w:r>
      <w:r>
        <w:rPr>
          <w:rFonts w:hint="eastAsia" w:ascii="仿宋" w:hAnsi="仿宋" w:eastAsia="仿宋" w:cs="仿宋"/>
          <w:iCs/>
          <w:color w:val="auto"/>
          <w:kern w:val="0"/>
          <w:sz w:val="21"/>
          <w:szCs w:val="21"/>
          <w:highlight w:val="none"/>
        </w:rPr>
        <w:t>（正反面均须提供）。</w:t>
      </w:r>
    </w:p>
    <w:p w14:paraId="6B61C3B6">
      <w:pPr>
        <w:shd w:val="clear"/>
        <w:spacing w:line="360" w:lineRule="auto"/>
        <w:ind w:firstLine="420" w:firstLineChars="200"/>
        <w:rPr>
          <w:rFonts w:hint="eastAsia" w:ascii="仿宋" w:hAnsi="仿宋" w:eastAsia="仿宋" w:cs="仿宋"/>
          <w:iCs/>
          <w:color w:val="auto"/>
          <w:kern w:val="0"/>
          <w:sz w:val="21"/>
          <w:szCs w:val="21"/>
          <w:highlight w:val="none"/>
        </w:rPr>
      </w:pPr>
      <w:r>
        <w:rPr>
          <w:rFonts w:hint="eastAsia" w:ascii="仿宋" w:hAnsi="仿宋" w:eastAsia="仿宋" w:cs="仿宋"/>
          <w:iCs/>
          <w:color w:val="auto"/>
          <w:kern w:val="0"/>
          <w:sz w:val="21"/>
          <w:szCs w:val="21"/>
          <w:highlight w:val="none"/>
        </w:rPr>
        <w:t>2、被授权人（授权代表）2025年1月1日至今任意一个月的个人社保缴纳证明。</w:t>
      </w:r>
    </w:p>
    <w:p w14:paraId="429E9E44">
      <w:pPr>
        <w:pStyle w:val="13"/>
        <w:shd w:val="clear"/>
        <w:adjustRightInd w:val="0"/>
        <w:snapToGrid w:val="0"/>
        <w:spacing w:before="163" w:after="163" w:line="300" w:lineRule="auto"/>
        <w:jc w:val="center"/>
        <w:rPr>
          <w:rFonts w:hint="eastAsia" w:ascii="仿宋" w:hAnsi="仿宋" w:eastAsia="仿宋" w:cs="仿宋"/>
          <w:b/>
          <w:bCs/>
          <w:color w:val="auto"/>
          <w:sz w:val="21"/>
          <w:szCs w:val="21"/>
          <w:highlight w:val="none"/>
          <w:lang w:val="zh-TW" w:eastAsia="zh-TW"/>
        </w:rPr>
      </w:pPr>
      <w:bookmarkStart w:id="209" w:name="_Toc7459"/>
      <w:bookmarkStart w:id="210" w:name="_Toc3197"/>
      <w:bookmarkStart w:id="211" w:name="_Toc12514"/>
      <w:r>
        <w:rPr>
          <w:rFonts w:hint="eastAsia" w:ascii="仿宋" w:hAnsi="仿宋" w:eastAsia="仿宋" w:cs="仿宋"/>
          <w:b/>
          <w:bCs/>
          <w:color w:val="auto"/>
          <w:sz w:val="28"/>
          <w:szCs w:val="28"/>
          <w:highlight w:val="none"/>
          <w:lang w:val="zh-TW" w:eastAsia="zh-TW"/>
        </w:rPr>
        <w:br w:type="page"/>
      </w:r>
      <w:r>
        <w:rPr>
          <w:rFonts w:hint="eastAsia" w:ascii="仿宋" w:hAnsi="仿宋" w:eastAsia="仿宋" w:cs="仿宋"/>
          <w:b/>
          <w:bCs/>
          <w:color w:val="auto"/>
          <w:sz w:val="21"/>
          <w:szCs w:val="21"/>
          <w:highlight w:val="none"/>
          <w:lang w:val="zh-TW" w:eastAsia="zh-TW"/>
        </w:rPr>
        <w:t>授权</w:t>
      </w:r>
      <w:r>
        <w:rPr>
          <w:rFonts w:hint="eastAsia" w:ascii="仿宋" w:hAnsi="仿宋" w:eastAsia="仿宋" w:cs="仿宋"/>
          <w:b/>
          <w:bCs/>
          <w:color w:val="auto"/>
          <w:sz w:val="21"/>
          <w:szCs w:val="21"/>
          <w:highlight w:val="none"/>
        </w:rPr>
        <w:t>委托</w:t>
      </w:r>
      <w:r>
        <w:rPr>
          <w:rFonts w:hint="eastAsia" w:ascii="仿宋" w:hAnsi="仿宋" w:eastAsia="仿宋" w:cs="仿宋"/>
          <w:b/>
          <w:bCs/>
          <w:color w:val="auto"/>
          <w:sz w:val="21"/>
          <w:szCs w:val="21"/>
          <w:highlight w:val="none"/>
          <w:lang w:val="zh-TW" w:eastAsia="zh-TW"/>
        </w:rPr>
        <w:t>书（适用于联合体投标）</w:t>
      </w:r>
      <w:bookmarkEnd w:id="209"/>
      <w:bookmarkEnd w:id="210"/>
      <w:bookmarkEnd w:id="211"/>
    </w:p>
    <w:p w14:paraId="365C1CE9">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val="zh-TW" w:eastAsia="zh-CN"/>
        </w:rPr>
        <w:t>浙江万里学院</w:t>
      </w:r>
      <w:r>
        <w:rPr>
          <w:rFonts w:hint="eastAsia" w:ascii="仿宋" w:hAnsi="仿宋" w:eastAsia="仿宋" w:cs="仿宋"/>
          <w:color w:val="auto"/>
          <w:sz w:val="21"/>
          <w:szCs w:val="21"/>
          <w:highlight w:val="none"/>
          <w:u w:val="single"/>
          <w:lang w:val="zh-TW" w:eastAsia="zh-TW"/>
        </w:rPr>
        <w:t>：</w:t>
      </w:r>
    </w:p>
    <w:p w14:paraId="10342B9B">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u w:val="single"/>
          <w:lang w:val="zh-TW" w:eastAsia="zh-TW"/>
        </w:rPr>
      </w:pPr>
      <w:r>
        <w:rPr>
          <w:rFonts w:hint="eastAsia" w:ascii="仿宋" w:hAnsi="仿宋" w:eastAsia="仿宋" w:cs="仿宋"/>
          <w:color w:val="auto"/>
          <w:sz w:val="21"/>
          <w:szCs w:val="21"/>
          <w:highlight w:val="none"/>
          <w:u w:val="single"/>
          <w:lang w:val="zh-TW" w:eastAsia="zh-TW"/>
        </w:rPr>
        <w:t>浙江省成套招标代理有限公司：</w:t>
      </w:r>
    </w:p>
    <w:p w14:paraId="08050744">
      <w:pPr>
        <w:pStyle w:val="13"/>
        <w:shd w:val="clear"/>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现委托我单位在职员工</w:t>
      </w:r>
      <w:r>
        <w:rPr>
          <w:rFonts w:hint="eastAsia" w:ascii="仿宋" w:hAnsi="仿宋" w:eastAsia="仿宋" w:cs="仿宋"/>
          <w:color w:val="auto"/>
          <w:sz w:val="21"/>
          <w:szCs w:val="21"/>
          <w:highlight w:val="none"/>
          <w:u w:val="single"/>
        </w:rPr>
        <w:t>（授权代表姓名）</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（身份证号）   </w:t>
      </w:r>
      <w:r>
        <w:rPr>
          <w:rFonts w:hint="eastAsia" w:ascii="仿宋" w:hAnsi="仿宋" w:eastAsia="仿宋" w:cs="仿宋"/>
          <w:color w:val="auto"/>
          <w:sz w:val="21"/>
          <w:szCs w:val="21"/>
          <w:highlight w:val="none"/>
        </w:rPr>
        <w:t>（手机号：   ），为我单位的授权代表，以我方名义处理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（项目编号）政府采购投标活动中的一切事宜，其法律后果由我方承担。</w:t>
      </w:r>
    </w:p>
    <w:p w14:paraId="1F5CF497">
      <w:pPr>
        <w:pStyle w:val="13"/>
        <w:shd w:val="clear"/>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委托期限：自   年 月  日起至  年  月  日止。</w:t>
      </w:r>
    </w:p>
    <w:p w14:paraId="49E3367D">
      <w:pPr>
        <w:pStyle w:val="13"/>
        <w:shd w:val="clear"/>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特此告知。</w:t>
      </w:r>
    </w:p>
    <w:p w14:paraId="6EF4B631">
      <w:pPr>
        <w:pStyle w:val="13"/>
        <w:shd w:val="clear"/>
        <w:adjustRightInd w:val="0"/>
        <w:snapToGrid w:val="0"/>
        <w:spacing w:beforeLines="0" w:afterLines="0" w:line="360" w:lineRule="auto"/>
        <w:ind w:firstLine="420" w:firstLineChars="200"/>
        <w:rPr>
          <w:rFonts w:hint="eastAsia" w:ascii="仿宋" w:hAnsi="仿宋" w:eastAsia="仿宋" w:cs="仿宋"/>
          <w:color w:val="auto"/>
          <w:kern w:val="0"/>
          <w:sz w:val="21"/>
          <w:szCs w:val="21"/>
          <w:highlight w:val="none"/>
          <w:lang w:val="zh-TW" w:eastAsia="zh-TW"/>
        </w:rPr>
      </w:pPr>
      <w:r>
        <w:rPr>
          <w:rFonts w:hint="eastAsia" w:ascii="仿宋" w:hAnsi="仿宋" w:eastAsia="仿宋" w:cs="仿宋"/>
          <w:color w:val="auto"/>
          <w:kern w:val="0"/>
          <w:sz w:val="21"/>
          <w:szCs w:val="21"/>
          <w:highlight w:val="none"/>
          <w:lang w:val="zh-TW" w:eastAsia="zh-TW"/>
        </w:rPr>
        <w:t>联合体成员名称(电子签名/公章)：</w:t>
      </w:r>
    </w:p>
    <w:p w14:paraId="4AA1810C">
      <w:pPr>
        <w:pStyle w:val="13"/>
        <w:shd w:val="clear"/>
        <w:adjustRightInd w:val="0"/>
        <w:snapToGrid w:val="0"/>
        <w:spacing w:beforeLines="0" w:afterLines="0" w:line="360" w:lineRule="auto"/>
        <w:ind w:firstLine="420" w:firstLineChars="200"/>
        <w:rPr>
          <w:rFonts w:hint="eastAsia" w:ascii="仿宋" w:hAnsi="仿宋" w:eastAsia="仿宋" w:cs="仿宋"/>
          <w:color w:val="auto"/>
          <w:kern w:val="0"/>
          <w:sz w:val="21"/>
          <w:szCs w:val="21"/>
          <w:highlight w:val="none"/>
          <w:lang w:val="zh-TW" w:eastAsia="zh-TW"/>
        </w:rPr>
      </w:pPr>
      <w:r>
        <w:rPr>
          <w:rFonts w:hint="eastAsia" w:ascii="仿宋" w:hAnsi="仿宋" w:eastAsia="仿宋" w:cs="仿宋"/>
          <w:color w:val="auto"/>
          <w:kern w:val="0"/>
          <w:sz w:val="21"/>
          <w:szCs w:val="21"/>
          <w:highlight w:val="none"/>
          <w:lang w:val="zh-TW" w:eastAsia="zh-TW"/>
        </w:rPr>
        <w:t>联合体成员名称(电子签名/公章)：</w:t>
      </w:r>
    </w:p>
    <w:p w14:paraId="0A6F2D53">
      <w:pPr>
        <w:pStyle w:val="13"/>
        <w:shd w:val="clear"/>
        <w:adjustRightInd w:val="0"/>
        <w:snapToGrid w:val="0"/>
        <w:spacing w:beforeLines="0" w:afterLines="0" w:line="360" w:lineRule="auto"/>
        <w:ind w:firstLine="420" w:firstLineChars="200"/>
        <w:rPr>
          <w:rFonts w:hint="eastAsia" w:ascii="仿宋" w:hAnsi="仿宋" w:eastAsia="仿宋" w:cs="仿宋"/>
          <w:color w:val="auto"/>
          <w:kern w:val="0"/>
          <w:sz w:val="21"/>
          <w:szCs w:val="21"/>
          <w:highlight w:val="none"/>
          <w:lang w:val="zh-TW" w:eastAsia="zh-TW"/>
        </w:rPr>
      </w:pPr>
      <w:r>
        <w:rPr>
          <w:rFonts w:hint="eastAsia" w:ascii="仿宋" w:hAnsi="仿宋" w:eastAsia="仿宋" w:cs="仿宋"/>
          <w:color w:val="auto"/>
          <w:kern w:val="0"/>
          <w:sz w:val="21"/>
          <w:szCs w:val="21"/>
          <w:highlight w:val="none"/>
          <w:lang w:val="zh-TW" w:eastAsia="zh-TW"/>
        </w:rPr>
        <w:t>……</w:t>
      </w:r>
    </w:p>
    <w:p w14:paraId="679EE7D8">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lang w:val="zh-TW" w:eastAsia="zh-TW"/>
        </w:rPr>
      </w:pPr>
      <w:r>
        <w:rPr>
          <w:rFonts w:hint="eastAsia" w:ascii="仿宋" w:hAnsi="仿宋" w:eastAsia="仿宋" w:cs="仿宋"/>
          <w:color w:val="auto"/>
          <w:kern w:val="0"/>
          <w:sz w:val="21"/>
          <w:szCs w:val="21"/>
          <w:highlight w:val="none"/>
          <w:lang w:val="zh-TW" w:eastAsia="zh-TW"/>
        </w:rPr>
        <w:t>日期：202</w:t>
      </w:r>
      <w:r>
        <w:rPr>
          <w:rFonts w:hint="eastAsia" w:ascii="仿宋" w:hAnsi="仿宋" w:eastAsia="仿宋" w:cs="仿宋"/>
          <w:color w:val="auto"/>
          <w:kern w:val="0"/>
          <w:sz w:val="21"/>
          <w:szCs w:val="21"/>
          <w:highlight w:val="none"/>
          <w:lang w:val="zh-TW"/>
        </w:rPr>
        <w:t>5</w:t>
      </w:r>
      <w:r>
        <w:rPr>
          <w:rFonts w:hint="eastAsia" w:ascii="仿宋" w:hAnsi="仿宋" w:eastAsia="仿宋" w:cs="仿宋"/>
          <w:color w:val="auto"/>
          <w:kern w:val="0"/>
          <w:sz w:val="21"/>
          <w:szCs w:val="21"/>
          <w:highlight w:val="none"/>
          <w:lang w:val="zh-TW" w:eastAsia="zh-TW"/>
        </w:rPr>
        <w:t>年  月  日</w:t>
      </w:r>
    </w:p>
    <w:p w14:paraId="0F604A18">
      <w:pPr>
        <w:pStyle w:val="13"/>
        <w:shd w:val="clear"/>
        <w:snapToGrid w:val="0"/>
        <w:spacing w:before="163" w:after="163" w:line="360" w:lineRule="auto"/>
        <w:ind w:firstLine="480"/>
        <w:rPr>
          <w:rFonts w:hint="eastAsia" w:ascii="仿宋" w:hAnsi="仿宋" w:eastAsia="仿宋" w:cs="仿宋"/>
          <w:color w:val="auto"/>
          <w:sz w:val="21"/>
          <w:szCs w:val="21"/>
          <w:highlight w:val="none"/>
        </w:rPr>
      </w:pPr>
    </w:p>
    <w:p w14:paraId="05BDF58A">
      <w:pPr>
        <w:shd w:val="clear"/>
        <w:rPr>
          <w:rFonts w:hint="eastAsia" w:ascii="仿宋" w:hAnsi="仿宋" w:eastAsia="仿宋" w:cs="仿宋"/>
          <w:color w:val="auto"/>
          <w:sz w:val="21"/>
          <w:szCs w:val="21"/>
          <w:highlight w:val="none"/>
        </w:rPr>
      </w:pPr>
    </w:p>
    <w:p w14:paraId="726ECB55">
      <w:pPr>
        <w:shd w:val="clear"/>
        <w:rPr>
          <w:rFonts w:hint="eastAsia" w:ascii="仿宋" w:hAnsi="仿宋" w:eastAsia="仿宋" w:cs="仿宋"/>
          <w:color w:val="auto"/>
          <w:sz w:val="21"/>
          <w:szCs w:val="21"/>
          <w:highlight w:val="none"/>
        </w:rPr>
      </w:pPr>
    </w:p>
    <w:p w14:paraId="3E3BDDC4">
      <w:pPr>
        <w:shd w:val="clear"/>
        <w:rPr>
          <w:rFonts w:hint="eastAsia" w:ascii="仿宋" w:hAnsi="仿宋" w:eastAsia="仿宋" w:cs="仿宋"/>
          <w:color w:val="auto"/>
          <w:sz w:val="21"/>
          <w:szCs w:val="21"/>
          <w:highlight w:val="none"/>
        </w:rPr>
      </w:pPr>
    </w:p>
    <w:p w14:paraId="118A327D">
      <w:pPr>
        <w:shd w:val="clea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『编制说明』：</w:t>
      </w:r>
    </w:p>
    <w:p w14:paraId="77C31617">
      <w:pPr>
        <w:shd w:val="clear"/>
        <w:spacing w:line="360" w:lineRule="auto"/>
        <w:ind w:firstLine="371" w:firstLineChars="17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1.《授权委托书》适用于法定代表人（单位负责人、自然人本人）以外的人员代表供应商参加投标。</w:t>
      </w:r>
    </w:p>
    <w:p w14:paraId="0784064F">
      <w:pPr>
        <w:shd w:val="clear"/>
        <w:spacing w:line="360" w:lineRule="auto"/>
        <w:ind w:firstLine="371" w:firstLineChars="17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2.供应商为联合体的，联合体各方均需加盖公章或电子签名。</w:t>
      </w:r>
    </w:p>
    <w:p w14:paraId="60DCA26B">
      <w:pPr>
        <w:pStyle w:val="10"/>
        <w:shd w:val="clear"/>
        <w:ind w:firstLine="0"/>
        <w:rPr>
          <w:rFonts w:hint="eastAsia" w:ascii="仿宋" w:hAnsi="仿宋" w:eastAsia="仿宋" w:cs="仿宋"/>
          <w:color w:val="auto"/>
          <w:spacing w:val="0"/>
          <w:highlight w:val="none"/>
        </w:rPr>
      </w:pPr>
    </w:p>
    <w:p w14:paraId="20466B46">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1EFF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9320" w:type="dxa"/>
            <w:noWrap w:val="0"/>
            <w:vAlign w:val="top"/>
          </w:tcPr>
          <w:p w14:paraId="42E90505">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w:t>
            </w:r>
          </w:p>
          <w:p w14:paraId="2C94F4E6">
            <w:pPr>
              <w:shd w:val="clear"/>
              <w:adjustRightInd w:val="0"/>
              <w:snapToGrid w:val="0"/>
              <w:spacing w:line="288" w:lineRule="auto"/>
              <w:rPr>
                <w:rFonts w:hint="eastAsia" w:ascii="仿宋" w:hAnsi="仿宋" w:eastAsia="仿宋" w:cs="仿宋"/>
                <w:color w:val="auto"/>
                <w:sz w:val="21"/>
                <w:szCs w:val="21"/>
                <w:highlight w:val="none"/>
              </w:rPr>
            </w:pPr>
          </w:p>
          <w:p w14:paraId="4878A01D">
            <w:pPr>
              <w:shd w:val="clear"/>
              <w:adjustRightInd w:val="0"/>
              <w:snapToGrid w:val="0"/>
              <w:spacing w:line="288" w:lineRule="auto"/>
              <w:rPr>
                <w:rFonts w:hint="eastAsia" w:ascii="仿宋" w:hAnsi="仿宋" w:eastAsia="仿宋" w:cs="仿宋"/>
                <w:color w:val="auto"/>
                <w:sz w:val="21"/>
                <w:szCs w:val="21"/>
                <w:highlight w:val="none"/>
              </w:rPr>
            </w:pPr>
          </w:p>
          <w:p w14:paraId="755D7A73">
            <w:pPr>
              <w:shd w:val="clear"/>
              <w:adjustRightInd w:val="0"/>
              <w:snapToGrid w:val="0"/>
              <w:spacing w:line="288" w:lineRule="auto"/>
              <w:rPr>
                <w:rFonts w:hint="eastAsia" w:ascii="仿宋" w:hAnsi="仿宋" w:eastAsia="仿宋" w:cs="仿宋"/>
                <w:color w:val="auto"/>
                <w:sz w:val="21"/>
                <w:szCs w:val="21"/>
                <w:highlight w:val="none"/>
              </w:rPr>
            </w:pPr>
          </w:p>
          <w:p w14:paraId="0D0E39B6">
            <w:pPr>
              <w:shd w:val="clear"/>
              <w:adjustRightInd w:val="0"/>
              <w:snapToGrid w:val="0"/>
              <w:spacing w:line="288" w:lineRule="auto"/>
              <w:rPr>
                <w:rFonts w:hint="eastAsia" w:ascii="仿宋" w:hAnsi="仿宋" w:eastAsia="仿宋" w:cs="仿宋"/>
                <w:color w:val="auto"/>
                <w:sz w:val="21"/>
                <w:szCs w:val="21"/>
                <w:highlight w:val="none"/>
              </w:rPr>
            </w:pPr>
          </w:p>
          <w:p w14:paraId="5668164B">
            <w:pPr>
              <w:shd w:val="clear"/>
              <w:adjustRightInd w:val="0"/>
              <w:snapToGrid w:val="0"/>
              <w:spacing w:line="288" w:lineRule="auto"/>
              <w:rPr>
                <w:rFonts w:hint="eastAsia" w:ascii="仿宋" w:hAnsi="仿宋" w:eastAsia="仿宋" w:cs="仿宋"/>
                <w:color w:val="auto"/>
                <w:sz w:val="21"/>
                <w:szCs w:val="21"/>
                <w:highlight w:val="none"/>
              </w:rPr>
            </w:pPr>
          </w:p>
          <w:p w14:paraId="0A9C12D6">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授权代表身份证明：</w:t>
            </w:r>
          </w:p>
          <w:p w14:paraId="1FE3F8E7">
            <w:pPr>
              <w:shd w:val="clear"/>
              <w:adjustRightInd w:val="0"/>
              <w:snapToGrid w:val="0"/>
              <w:spacing w:line="288" w:lineRule="auto"/>
              <w:rPr>
                <w:rFonts w:hint="eastAsia" w:ascii="仿宋" w:hAnsi="仿宋" w:eastAsia="仿宋" w:cs="仿宋"/>
                <w:color w:val="auto"/>
                <w:sz w:val="21"/>
                <w:szCs w:val="21"/>
                <w:highlight w:val="none"/>
              </w:rPr>
            </w:pPr>
          </w:p>
          <w:p w14:paraId="59644BC5">
            <w:pPr>
              <w:shd w:val="clear"/>
              <w:adjustRightInd w:val="0"/>
              <w:snapToGrid w:val="0"/>
              <w:spacing w:line="288" w:lineRule="auto"/>
              <w:rPr>
                <w:rFonts w:hint="eastAsia" w:ascii="仿宋" w:hAnsi="仿宋" w:eastAsia="仿宋" w:cs="仿宋"/>
                <w:color w:val="auto"/>
                <w:sz w:val="21"/>
                <w:szCs w:val="21"/>
                <w:highlight w:val="none"/>
              </w:rPr>
            </w:pPr>
          </w:p>
          <w:p w14:paraId="7BEE9A1F">
            <w:pPr>
              <w:shd w:val="clear"/>
              <w:adjustRightInd w:val="0"/>
              <w:snapToGrid w:val="0"/>
              <w:spacing w:line="288" w:lineRule="auto"/>
              <w:rPr>
                <w:rFonts w:hint="eastAsia" w:ascii="仿宋" w:hAnsi="仿宋" w:eastAsia="仿宋" w:cs="仿宋"/>
                <w:color w:val="auto"/>
                <w:sz w:val="21"/>
                <w:szCs w:val="21"/>
                <w:highlight w:val="none"/>
              </w:rPr>
            </w:pPr>
          </w:p>
          <w:p w14:paraId="0DAB14B8">
            <w:pPr>
              <w:shd w:val="clear"/>
              <w:adjustRightInd w:val="0"/>
              <w:snapToGrid w:val="0"/>
              <w:spacing w:line="288" w:lineRule="auto"/>
              <w:rPr>
                <w:rFonts w:hint="eastAsia" w:ascii="仿宋" w:hAnsi="仿宋" w:eastAsia="仿宋" w:cs="仿宋"/>
                <w:color w:val="auto"/>
                <w:sz w:val="21"/>
                <w:szCs w:val="21"/>
                <w:highlight w:val="none"/>
              </w:rPr>
            </w:pPr>
          </w:p>
        </w:tc>
      </w:tr>
    </w:tbl>
    <w:p w14:paraId="69D6FD92">
      <w:pPr>
        <w:shd w:val="clear"/>
        <w:adjustRightInd w:val="0"/>
        <w:snapToGrid w:val="0"/>
        <w:spacing w:line="288" w:lineRule="auto"/>
        <w:rPr>
          <w:rFonts w:hint="eastAsia" w:ascii="仿宋" w:hAnsi="仿宋" w:eastAsia="仿宋" w:cs="仿宋"/>
          <w:color w:val="auto"/>
          <w:sz w:val="21"/>
          <w:szCs w:val="21"/>
          <w:highlight w:val="none"/>
        </w:rPr>
      </w:pPr>
    </w:p>
    <w:p w14:paraId="023E6D07">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p>
    <w:p w14:paraId="67BA4C11">
      <w:pPr>
        <w:shd w:val="clear"/>
        <w:autoSpaceDE w:val="0"/>
        <w:autoSpaceDN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zh-CN"/>
        </w:rPr>
        <w:t>法定代表人、单位负责人或自然人本人</w:t>
      </w:r>
      <w:r>
        <w:rPr>
          <w:rFonts w:hint="eastAsia" w:ascii="仿宋" w:hAnsi="仿宋" w:eastAsia="仿宋" w:cs="仿宋"/>
          <w:b/>
          <w:color w:val="auto"/>
          <w:sz w:val="21"/>
          <w:szCs w:val="21"/>
          <w:highlight w:val="none"/>
        </w:rPr>
        <w:t>的身份证明（适用于法定代表人、单位负责人或者自然人本人代表供应商参加投标）</w:t>
      </w:r>
    </w:p>
    <w:p w14:paraId="5D74276C">
      <w:pPr>
        <w:pStyle w:val="68"/>
        <w:shd w:val="clear"/>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身份证件扫描件：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454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9040" w:type="dxa"/>
            <w:noWrap w:val="0"/>
            <w:vAlign w:val="top"/>
          </w:tcPr>
          <w:p w14:paraId="2D241A07">
            <w:pPr>
              <w:pStyle w:val="68"/>
              <w:shd w:val="clear"/>
              <w:adjustRightInd w:val="0"/>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正面：                                 反面：</w:t>
            </w:r>
          </w:p>
          <w:p w14:paraId="19B566AF">
            <w:pPr>
              <w:pStyle w:val="68"/>
              <w:shd w:val="clear"/>
              <w:adjustRightInd w:val="0"/>
              <w:spacing w:line="360" w:lineRule="auto"/>
              <w:rPr>
                <w:rFonts w:hint="eastAsia" w:ascii="仿宋" w:hAnsi="仿宋" w:eastAsia="仿宋" w:cs="仿宋"/>
                <w:bCs/>
                <w:color w:val="auto"/>
                <w:highlight w:val="none"/>
              </w:rPr>
            </w:pPr>
          </w:p>
        </w:tc>
      </w:tr>
    </w:tbl>
    <w:p w14:paraId="47B0E58C">
      <w:pPr>
        <w:pStyle w:val="13"/>
        <w:shd w:val="clear"/>
        <w:adjustRightInd w:val="0"/>
        <w:snapToGrid w:val="0"/>
        <w:spacing w:before="163" w:after="163" w:line="360" w:lineRule="auto"/>
        <w:ind w:firstLine="420"/>
        <w:rPr>
          <w:rFonts w:hint="eastAsia" w:ascii="仿宋" w:hAnsi="仿宋" w:eastAsia="仿宋" w:cs="仿宋"/>
          <w:color w:val="auto"/>
          <w:sz w:val="21"/>
          <w:szCs w:val="21"/>
          <w:highlight w:val="none"/>
          <w:lang w:val="zh-TW" w:eastAsia="zh-TW"/>
        </w:rPr>
      </w:pPr>
    </w:p>
    <w:p w14:paraId="758768E9">
      <w:pPr>
        <w:pStyle w:val="13"/>
        <w:shd w:val="clear"/>
        <w:adjustRightInd w:val="0"/>
        <w:snapToGrid w:val="0"/>
        <w:spacing w:before="163" w:after="163"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供应商全称（盖单位公章）：</w:t>
      </w:r>
    </w:p>
    <w:p w14:paraId="79B1AE25">
      <w:pPr>
        <w:shd w:val="clear"/>
        <w:ind w:right="-142" w:rightChars="-59" w:firstLine="420" w:firstLineChars="200"/>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TW"/>
        </w:rPr>
        <w:t>日期：202</w:t>
      </w:r>
      <w:r>
        <w:rPr>
          <w:rFonts w:hint="eastAsia" w:ascii="仿宋" w:hAnsi="仿宋" w:eastAsia="仿宋" w:cs="仿宋"/>
          <w:color w:val="auto"/>
          <w:sz w:val="21"/>
          <w:szCs w:val="21"/>
          <w:highlight w:val="none"/>
          <w:lang w:val="zh-TW"/>
        </w:rPr>
        <w:t>5</w:t>
      </w:r>
      <w:r>
        <w:rPr>
          <w:rFonts w:hint="eastAsia" w:ascii="仿宋" w:hAnsi="仿宋" w:eastAsia="仿宋" w:cs="仿宋"/>
          <w:color w:val="auto"/>
          <w:sz w:val="21"/>
          <w:szCs w:val="21"/>
          <w:highlight w:val="none"/>
          <w:lang w:val="zh-TW" w:eastAsia="zh-TW"/>
        </w:rPr>
        <w:t>年  月  日</w:t>
      </w:r>
    </w:p>
    <w:p w14:paraId="30E1BF6A">
      <w:pPr>
        <w:shd w:val="clear"/>
        <w:adjustRightInd w:val="0"/>
        <w:snapToGrid w:val="0"/>
        <w:spacing w:line="288" w:lineRule="auto"/>
        <w:rPr>
          <w:rFonts w:hint="eastAsia" w:ascii="仿宋" w:hAnsi="仿宋" w:eastAsia="仿宋" w:cs="仿宋"/>
          <w:color w:val="auto"/>
          <w:sz w:val="21"/>
          <w:szCs w:val="21"/>
          <w:highlight w:val="none"/>
        </w:rPr>
      </w:pPr>
    </w:p>
    <w:p w14:paraId="1130AABA">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bookmarkStart w:id="212" w:name="_Toc28829"/>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三、</w:t>
      </w:r>
      <w:bookmarkEnd w:id="212"/>
      <w:r>
        <w:rPr>
          <w:rFonts w:hint="eastAsia" w:ascii="仿宋" w:hAnsi="仿宋" w:eastAsia="仿宋" w:cs="仿宋"/>
          <w:b/>
          <w:bCs/>
          <w:color w:val="auto"/>
          <w:sz w:val="21"/>
          <w:szCs w:val="21"/>
          <w:highlight w:val="none"/>
        </w:rPr>
        <w:t>采购需求偏离表</w:t>
      </w:r>
    </w:p>
    <w:p w14:paraId="6DEB3B43">
      <w:pPr>
        <w:shd w:val="clear"/>
        <w:adjustRightInd w:val="0"/>
        <w:snapToGrid w:val="0"/>
        <w:spacing w:line="288"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 购 人：</w:t>
      </w:r>
      <w:r>
        <w:rPr>
          <w:rFonts w:hint="eastAsia" w:ascii="仿宋" w:hAnsi="仿宋" w:eastAsia="仿宋" w:cs="仿宋"/>
          <w:color w:val="auto"/>
          <w:sz w:val="21"/>
          <w:szCs w:val="21"/>
          <w:highlight w:val="none"/>
          <w:lang w:eastAsia="zh-CN"/>
        </w:rPr>
        <w:t>浙江万里学院</w:t>
      </w:r>
    </w:p>
    <w:p w14:paraId="3ACD46FC">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智慧教学工具采购</w:t>
      </w:r>
    </w:p>
    <w:p w14:paraId="3DFAE8C8">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CTZB-2025070007</w:t>
      </w:r>
    </w:p>
    <w:tbl>
      <w:tblPr>
        <w:tblStyle w:val="28"/>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3221"/>
        <w:gridCol w:w="2854"/>
        <w:gridCol w:w="2360"/>
      </w:tblGrid>
      <w:tr w14:paraId="32C5AF1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66330658">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221" w:type="dxa"/>
            <w:noWrap w:val="0"/>
            <w:vAlign w:val="center"/>
          </w:tcPr>
          <w:p w14:paraId="0B9EE38B">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磋商文件要求</w:t>
            </w:r>
          </w:p>
        </w:tc>
        <w:tc>
          <w:tcPr>
            <w:tcW w:w="2854" w:type="dxa"/>
            <w:noWrap w:val="0"/>
            <w:vAlign w:val="center"/>
          </w:tcPr>
          <w:p w14:paraId="7C996D5F">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响应内容</w:t>
            </w:r>
          </w:p>
        </w:tc>
        <w:tc>
          <w:tcPr>
            <w:tcW w:w="2360" w:type="dxa"/>
            <w:noWrap w:val="0"/>
            <w:vAlign w:val="center"/>
          </w:tcPr>
          <w:p w14:paraId="4A2DEF39">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是否偏离（提供说明）</w:t>
            </w:r>
          </w:p>
        </w:tc>
      </w:tr>
      <w:tr w14:paraId="5FD19AE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noWrap w:val="0"/>
            <w:vAlign w:val="center"/>
          </w:tcPr>
          <w:p w14:paraId="16EE280C">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采购资金的支付方式、时间、条件</w:t>
            </w:r>
          </w:p>
        </w:tc>
      </w:tr>
      <w:tr w14:paraId="4AC686A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5538FEBA">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221" w:type="dxa"/>
            <w:noWrap w:val="0"/>
            <w:vAlign w:val="center"/>
          </w:tcPr>
          <w:p w14:paraId="4058E31F">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219A9919">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59E60A5B">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7A1991C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27D883D5">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221" w:type="dxa"/>
            <w:noWrap w:val="0"/>
            <w:vAlign w:val="center"/>
          </w:tcPr>
          <w:p w14:paraId="15817D29">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41008610">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76C50D20">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1AB601D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6AE6BCFA">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3221" w:type="dxa"/>
            <w:noWrap w:val="0"/>
            <w:vAlign w:val="center"/>
          </w:tcPr>
          <w:p w14:paraId="04EB4755">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79646C10">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570B2BC3">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79BDFFDB">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noWrap w:val="0"/>
            <w:vAlign w:val="center"/>
          </w:tcPr>
          <w:p w14:paraId="434DE6BF">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服务要求</w:t>
            </w:r>
          </w:p>
        </w:tc>
      </w:tr>
      <w:tr w14:paraId="709ECC4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7AEA3568">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221" w:type="dxa"/>
            <w:noWrap w:val="0"/>
            <w:vAlign w:val="center"/>
          </w:tcPr>
          <w:p w14:paraId="7BD8E99D">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1BE2FBC1">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19878E00">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1A044BF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79DA731C">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221" w:type="dxa"/>
            <w:noWrap w:val="0"/>
            <w:vAlign w:val="center"/>
          </w:tcPr>
          <w:p w14:paraId="3A355950">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6A75BA91">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264A4D55">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542B1421">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087546E2">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3221" w:type="dxa"/>
            <w:noWrap w:val="0"/>
            <w:vAlign w:val="center"/>
          </w:tcPr>
          <w:p w14:paraId="138AB237">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19C9E396">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5FC6ED50">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300D9A5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noWrap w:val="0"/>
            <w:vAlign w:val="center"/>
          </w:tcPr>
          <w:p w14:paraId="191ABC1C">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技术要求</w:t>
            </w:r>
          </w:p>
        </w:tc>
      </w:tr>
      <w:tr w14:paraId="6FC627D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35839E7C">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3221" w:type="dxa"/>
            <w:noWrap w:val="0"/>
            <w:vAlign w:val="center"/>
          </w:tcPr>
          <w:p w14:paraId="51BD1349">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3C759582">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3606C642">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5CCFBCD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0EB5091E">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3221" w:type="dxa"/>
            <w:noWrap w:val="0"/>
            <w:vAlign w:val="center"/>
          </w:tcPr>
          <w:p w14:paraId="59A2DF1D">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5709EABD">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30350719">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2EAB6DC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4265008B">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3221" w:type="dxa"/>
            <w:noWrap w:val="0"/>
            <w:vAlign w:val="center"/>
          </w:tcPr>
          <w:p w14:paraId="283925BE">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51E3C54F">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4E960734">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170E588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3D6E9720">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3221" w:type="dxa"/>
            <w:noWrap w:val="0"/>
            <w:vAlign w:val="center"/>
          </w:tcPr>
          <w:p w14:paraId="2CADE177">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37D39155">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42A8131C">
            <w:pPr>
              <w:shd w:val="clear"/>
              <w:adjustRightInd w:val="0"/>
              <w:snapToGrid w:val="0"/>
              <w:spacing w:line="288" w:lineRule="auto"/>
              <w:jc w:val="center"/>
              <w:rPr>
                <w:rFonts w:hint="eastAsia" w:ascii="仿宋" w:hAnsi="仿宋" w:eastAsia="仿宋" w:cs="仿宋"/>
                <w:color w:val="auto"/>
                <w:sz w:val="21"/>
                <w:szCs w:val="21"/>
                <w:highlight w:val="none"/>
              </w:rPr>
            </w:pPr>
          </w:p>
        </w:tc>
      </w:tr>
    </w:tbl>
    <w:p w14:paraId="71847ECD">
      <w:pPr>
        <w:shd w:val="clear"/>
        <w:adjustRightInd w:val="0"/>
        <w:snapToGrid w:val="0"/>
        <w:spacing w:line="288" w:lineRule="auto"/>
        <w:rPr>
          <w:rFonts w:hint="eastAsia" w:ascii="仿宋" w:hAnsi="仿宋" w:eastAsia="仿宋" w:cs="仿宋"/>
          <w:b/>
          <w:bCs/>
          <w:color w:val="auto"/>
          <w:sz w:val="21"/>
          <w:szCs w:val="21"/>
          <w:highlight w:val="none"/>
        </w:rPr>
      </w:pPr>
    </w:p>
    <w:p w14:paraId="1109D4BA">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供应商名称（电子签名/公章）：</w:t>
      </w:r>
    </w:p>
    <w:p w14:paraId="0EC96FEB">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日期：2025年  月  日</w:t>
      </w:r>
    </w:p>
    <w:p w14:paraId="121FEB1A">
      <w:pPr>
        <w:shd w:val="clear"/>
        <w:adjustRightInd w:val="0"/>
        <w:snapToGrid w:val="0"/>
        <w:spacing w:line="288" w:lineRule="auto"/>
        <w:rPr>
          <w:rFonts w:hint="eastAsia" w:ascii="仿宋" w:hAnsi="仿宋" w:eastAsia="仿宋" w:cs="仿宋"/>
          <w:b/>
          <w:bCs/>
          <w:color w:val="auto"/>
          <w:sz w:val="21"/>
          <w:szCs w:val="21"/>
          <w:highlight w:val="none"/>
        </w:rPr>
      </w:pPr>
    </w:p>
    <w:p w14:paraId="0CFF81C5">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填表说明：</w:t>
      </w:r>
    </w:p>
    <w:p w14:paraId="0B0DE38F">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1.本表根据第二章《</w:t>
      </w:r>
      <w:r>
        <w:rPr>
          <w:rFonts w:hint="eastAsia" w:ascii="仿宋" w:hAnsi="仿宋" w:eastAsia="仿宋" w:cs="仿宋"/>
          <w:b/>
          <w:bCs/>
          <w:color w:val="auto"/>
          <w:sz w:val="21"/>
          <w:szCs w:val="21"/>
          <w:highlight w:val="none"/>
          <w:lang w:val="en-US" w:eastAsia="zh-CN"/>
        </w:rPr>
        <w:t>采购</w:t>
      </w:r>
      <w:r>
        <w:rPr>
          <w:rFonts w:hint="eastAsia" w:ascii="仿宋" w:hAnsi="仿宋" w:eastAsia="仿宋" w:cs="仿宋"/>
          <w:b/>
          <w:bCs/>
          <w:color w:val="auto"/>
          <w:sz w:val="21"/>
          <w:szCs w:val="21"/>
          <w:highlight w:val="none"/>
        </w:rPr>
        <w:t>需求》</w:t>
      </w:r>
      <w:r>
        <w:rPr>
          <w:rFonts w:hint="eastAsia" w:ascii="仿宋" w:hAnsi="仿宋" w:eastAsia="仿宋" w:cs="仿宋"/>
          <w:b/>
          <w:bCs/>
          <w:color w:val="auto"/>
          <w:sz w:val="21"/>
          <w:szCs w:val="21"/>
          <w:highlight w:val="none"/>
          <w:lang w:val="en-US" w:eastAsia="zh-CN"/>
        </w:rPr>
        <w:t>中相关内容制作</w:t>
      </w:r>
      <w:r>
        <w:rPr>
          <w:rFonts w:hint="eastAsia" w:ascii="仿宋" w:hAnsi="仿宋" w:eastAsia="仿宋" w:cs="仿宋"/>
          <w:b/>
          <w:bCs/>
          <w:color w:val="auto"/>
          <w:sz w:val="21"/>
          <w:szCs w:val="21"/>
          <w:highlight w:val="none"/>
        </w:rPr>
        <w:t>。</w:t>
      </w:r>
    </w:p>
    <w:p w14:paraId="2A377EF7">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2.偏离系指：正偏离（高于采购需求）、负偏离（低于采购需求）、无偏离（满足采购需求）。</w:t>
      </w:r>
    </w:p>
    <w:p w14:paraId="2828B47C">
      <w:pPr>
        <w:spacing w:line="360" w:lineRule="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3.若无偏离应在本表空白处醒目地注明“无服务条款偏离，完全响应采购文件要求”的类似字样。</w:t>
      </w:r>
    </w:p>
    <w:p w14:paraId="08523B89">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如不填写或未如实填写，自行承担磋商响应风险。</w:t>
      </w:r>
    </w:p>
    <w:p w14:paraId="1D687048">
      <w:pPr>
        <w:pStyle w:val="13"/>
        <w:shd w:val="clear"/>
        <w:adjustRightInd w:val="0"/>
        <w:snapToGrid w:val="0"/>
        <w:spacing w:before="163" w:after="163" w:line="300"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bookmarkStart w:id="213" w:name="_Toc24677"/>
      <w:r>
        <w:rPr>
          <w:rFonts w:hint="eastAsia" w:ascii="仿宋" w:hAnsi="仿宋" w:eastAsia="仿宋" w:cs="仿宋"/>
          <w:b/>
          <w:bCs/>
          <w:color w:val="auto"/>
          <w:sz w:val="21"/>
          <w:szCs w:val="21"/>
          <w:highlight w:val="none"/>
        </w:rPr>
        <w:t>四、廉政承诺书</w:t>
      </w:r>
      <w:bookmarkEnd w:id="213"/>
    </w:p>
    <w:p w14:paraId="6B79B334">
      <w:pPr>
        <w:shd w:val="clea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浙江万里学院</w:t>
      </w:r>
      <w:r>
        <w:rPr>
          <w:rFonts w:hint="eastAsia" w:ascii="仿宋" w:hAnsi="仿宋" w:eastAsia="仿宋" w:cs="仿宋"/>
          <w:color w:val="auto"/>
          <w:sz w:val="21"/>
          <w:szCs w:val="21"/>
          <w:highlight w:val="none"/>
        </w:rPr>
        <w:t>：</w:t>
      </w:r>
    </w:p>
    <w:p w14:paraId="03B647E7">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我单位响应</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浙江万里学院</w:t>
      </w:r>
      <w:r>
        <w:rPr>
          <w:rFonts w:hint="eastAsia" w:ascii="仿宋" w:hAnsi="仿宋" w:eastAsia="仿宋" w:cs="仿宋"/>
          <w:color w:val="auto"/>
          <w:sz w:val="21"/>
          <w:szCs w:val="21"/>
          <w:highlight w:val="none"/>
        </w:rPr>
        <w:t xml:space="preserve">（采购人） </w:t>
      </w:r>
      <w:r>
        <w:rPr>
          <w:rFonts w:hint="eastAsia" w:ascii="仿宋" w:hAnsi="仿宋" w:eastAsia="仿宋" w:cs="仿宋"/>
          <w:color w:val="auto"/>
          <w:sz w:val="21"/>
          <w:szCs w:val="21"/>
          <w:highlight w:val="none"/>
          <w:u w:val="single"/>
        </w:rPr>
        <w:t xml:space="preserve">            项目</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（项目编号）采购要求参加磋商。在这次磋商过程中和成交后，我们将严格遵守国家法律法规要求，并郑重承诺：</w:t>
      </w:r>
    </w:p>
    <w:p w14:paraId="60C2DD49">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一、不向项目有关人员及部门赠送礼金礼物、有价证券、回扣以及中介费、介绍费、咨询费等好处费。</w:t>
      </w:r>
    </w:p>
    <w:p w14:paraId="7CC83C61">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二、不为项目有关人员及部门报销应由你方单位或个人支付的费用。</w:t>
      </w:r>
    </w:p>
    <w:p w14:paraId="2754005D">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三、不向项目有关人员及部门提供有可能影响公正的宴请和健身娱乐等活动。</w:t>
      </w:r>
    </w:p>
    <w:p w14:paraId="4E02F5B9">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四、不为项目有关人员及部门出国（境）、旅游等提供方便。</w:t>
      </w:r>
    </w:p>
    <w:p w14:paraId="6D4E9125">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五、不为项目有关人员个人装修住房、婚丧嫁娶、配偶子女工作安排等提供好处。</w:t>
      </w:r>
    </w:p>
    <w:p w14:paraId="6F05DE38">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如违反上述承诺，你单位有权立即取消我单位投标、成交资格，有权拒绝我单位在一定时期内进入你单位进行项目建设或其他经营活动，并通报同级政府采购监督管理部门。由此引起的相应损失均由我单位承担。</w:t>
      </w:r>
    </w:p>
    <w:p w14:paraId="2C814E65">
      <w:pPr>
        <w:shd w:val="clear"/>
        <w:rPr>
          <w:rFonts w:hint="eastAsia" w:ascii="仿宋" w:hAnsi="仿宋" w:eastAsia="仿宋" w:cs="仿宋"/>
          <w:color w:val="auto"/>
          <w:sz w:val="21"/>
          <w:szCs w:val="21"/>
          <w:highlight w:val="none"/>
        </w:rPr>
      </w:pPr>
    </w:p>
    <w:p w14:paraId="2A31BC9F">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供应商名称（电子签名/公章）：</w:t>
      </w:r>
    </w:p>
    <w:p w14:paraId="18EE1C1E">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日期：2025年  月  日</w:t>
      </w:r>
    </w:p>
    <w:p w14:paraId="0A781F03">
      <w:pPr>
        <w:shd w:val="clear"/>
        <w:adjustRightInd w:val="0"/>
        <w:snapToGrid w:val="0"/>
        <w:spacing w:line="288" w:lineRule="auto"/>
        <w:rPr>
          <w:rFonts w:hint="eastAsia" w:ascii="仿宋" w:hAnsi="仿宋" w:eastAsia="仿宋" w:cs="仿宋"/>
          <w:b/>
          <w:color w:val="auto"/>
          <w:sz w:val="21"/>
          <w:szCs w:val="21"/>
          <w:highlight w:val="none"/>
        </w:rPr>
      </w:pPr>
    </w:p>
    <w:p w14:paraId="4CD34DFC">
      <w:pPr>
        <w:pStyle w:val="13"/>
        <w:shd w:val="clear"/>
        <w:adjustRightInd w:val="0"/>
        <w:snapToGrid w:val="0"/>
        <w:spacing w:before="163" w:after="163" w:line="300"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bookmarkStart w:id="214" w:name="_Toc24885"/>
      <w:bookmarkStart w:id="215" w:name="_Toc26598"/>
      <w:r>
        <w:rPr>
          <w:rFonts w:hint="eastAsia" w:ascii="仿宋" w:hAnsi="仿宋" w:eastAsia="仿宋" w:cs="仿宋"/>
          <w:b/>
          <w:bCs/>
          <w:color w:val="auto"/>
          <w:sz w:val="21"/>
          <w:szCs w:val="21"/>
          <w:highlight w:val="none"/>
        </w:rPr>
        <w:t>五、供应商类似业绩一览表</w:t>
      </w:r>
      <w:bookmarkEnd w:id="214"/>
    </w:p>
    <w:p w14:paraId="1E8CDCFB">
      <w:pPr>
        <w:shd w:val="clear"/>
        <w:adjustRightInd w:val="0"/>
        <w:snapToGrid w:val="0"/>
        <w:spacing w:line="288"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 购 人：</w:t>
      </w:r>
      <w:r>
        <w:rPr>
          <w:rFonts w:hint="eastAsia" w:ascii="仿宋" w:hAnsi="仿宋" w:eastAsia="仿宋" w:cs="仿宋"/>
          <w:color w:val="auto"/>
          <w:sz w:val="21"/>
          <w:szCs w:val="21"/>
          <w:highlight w:val="none"/>
          <w:lang w:eastAsia="zh-CN"/>
        </w:rPr>
        <w:t>浙江万里学院</w:t>
      </w:r>
    </w:p>
    <w:p w14:paraId="70CC0C31">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智慧教学工具采购</w:t>
      </w:r>
    </w:p>
    <w:p w14:paraId="0B302B8B">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CTZB-2025070007</w:t>
      </w:r>
    </w:p>
    <w:tbl>
      <w:tblPr>
        <w:tblStyle w:val="28"/>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321"/>
        <w:gridCol w:w="1992"/>
        <w:gridCol w:w="1309"/>
        <w:gridCol w:w="937"/>
        <w:gridCol w:w="1572"/>
        <w:gridCol w:w="1256"/>
      </w:tblGrid>
      <w:tr w14:paraId="4343317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811" w:type="dxa"/>
            <w:noWrap w:val="0"/>
            <w:vAlign w:val="center"/>
          </w:tcPr>
          <w:p w14:paraId="15A5F7D1">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321" w:type="dxa"/>
            <w:noWrap w:val="0"/>
            <w:vAlign w:val="center"/>
          </w:tcPr>
          <w:p w14:paraId="0E3830B2">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合同甲方</w:t>
            </w:r>
          </w:p>
        </w:tc>
        <w:tc>
          <w:tcPr>
            <w:tcW w:w="1992" w:type="dxa"/>
            <w:noWrap w:val="0"/>
            <w:vAlign w:val="center"/>
          </w:tcPr>
          <w:p w14:paraId="42755C17">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项目名称</w:t>
            </w:r>
          </w:p>
        </w:tc>
        <w:tc>
          <w:tcPr>
            <w:tcW w:w="1309" w:type="dxa"/>
            <w:noWrap w:val="0"/>
            <w:vAlign w:val="center"/>
          </w:tcPr>
          <w:p w14:paraId="5154F42C">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合同金额</w:t>
            </w:r>
          </w:p>
          <w:p w14:paraId="146D7566">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（万元）</w:t>
            </w:r>
          </w:p>
        </w:tc>
        <w:tc>
          <w:tcPr>
            <w:tcW w:w="937" w:type="dxa"/>
            <w:noWrap w:val="0"/>
            <w:vAlign w:val="center"/>
          </w:tcPr>
          <w:p w14:paraId="1092A975">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合同签订时间</w:t>
            </w:r>
          </w:p>
        </w:tc>
        <w:tc>
          <w:tcPr>
            <w:tcW w:w="1572" w:type="dxa"/>
            <w:noWrap w:val="0"/>
            <w:vAlign w:val="center"/>
          </w:tcPr>
          <w:p w14:paraId="44828827">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合同履行时间</w:t>
            </w:r>
          </w:p>
        </w:tc>
        <w:tc>
          <w:tcPr>
            <w:tcW w:w="1256" w:type="dxa"/>
            <w:noWrap w:val="0"/>
            <w:vAlign w:val="center"/>
          </w:tcPr>
          <w:p w14:paraId="49C82548">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附件页码</w:t>
            </w:r>
          </w:p>
        </w:tc>
      </w:tr>
      <w:tr w14:paraId="667134E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noWrap w:val="0"/>
            <w:vAlign w:val="center"/>
          </w:tcPr>
          <w:p w14:paraId="65476AF0">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21" w:type="dxa"/>
            <w:noWrap w:val="0"/>
            <w:vAlign w:val="center"/>
          </w:tcPr>
          <w:p w14:paraId="266E192C">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992" w:type="dxa"/>
            <w:noWrap w:val="0"/>
            <w:vAlign w:val="center"/>
          </w:tcPr>
          <w:p w14:paraId="27379699">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09" w:type="dxa"/>
            <w:noWrap w:val="0"/>
            <w:vAlign w:val="center"/>
          </w:tcPr>
          <w:p w14:paraId="68CA9EFA">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937" w:type="dxa"/>
            <w:noWrap w:val="0"/>
            <w:vAlign w:val="center"/>
          </w:tcPr>
          <w:p w14:paraId="7111E51C">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572" w:type="dxa"/>
            <w:noWrap w:val="0"/>
            <w:vAlign w:val="center"/>
          </w:tcPr>
          <w:p w14:paraId="21713207">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256" w:type="dxa"/>
            <w:noWrap w:val="0"/>
            <w:vAlign w:val="center"/>
          </w:tcPr>
          <w:p w14:paraId="6FBDA7F5">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38AEC31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noWrap w:val="0"/>
            <w:vAlign w:val="center"/>
          </w:tcPr>
          <w:p w14:paraId="37F63266">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21" w:type="dxa"/>
            <w:noWrap w:val="0"/>
            <w:vAlign w:val="center"/>
          </w:tcPr>
          <w:p w14:paraId="23CE47DF">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992" w:type="dxa"/>
            <w:noWrap w:val="0"/>
            <w:vAlign w:val="center"/>
          </w:tcPr>
          <w:p w14:paraId="2EBEF146">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09" w:type="dxa"/>
            <w:noWrap w:val="0"/>
            <w:vAlign w:val="center"/>
          </w:tcPr>
          <w:p w14:paraId="6BC76728">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937" w:type="dxa"/>
            <w:noWrap w:val="0"/>
            <w:vAlign w:val="center"/>
          </w:tcPr>
          <w:p w14:paraId="271D00D8">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572" w:type="dxa"/>
            <w:noWrap w:val="0"/>
            <w:vAlign w:val="center"/>
          </w:tcPr>
          <w:p w14:paraId="744D765F">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256" w:type="dxa"/>
            <w:noWrap w:val="0"/>
            <w:vAlign w:val="center"/>
          </w:tcPr>
          <w:p w14:paraId="4233DF7D">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336ECBC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noWrap w:val="0"/>
            <w:vAlign w:val="center"/>
          </w:tcPr>
          <w:p w14:paraId="3ACB3C7D">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21" w:type="dxa"/>
            <w:noWrap w:val="0"/>
            <w:vAlign w:val="center"/>
          </w:tcPr>
          <w:p w14:paraId="19A2B8DF">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992" w:type="dxa"/>
            <w:noWrap w:val="0"/>
            <w:vAlign w:val="center"/>
          </w:tcPr>
          <w:p w14:paraId="4B189CA5">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09" w:type="dxa"/>
            <w:noWrap w:val="0"/>
            <w:vAlign w:val="center"/>
          </w:tcPr>
          <w:p w14:paraId="6C111D43">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937" w:type="dxa"/>
            <w:noWrap w:val="0"/>
            <w:vAlign w:val="center"/>
          </w:tcPr>
          <w:p w14:paraId="5D261992">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572" w:type="dxa"/>
            <w:noWrap w:val="0"/>
            <w:vAlign w:val="center"/>
          </w:tcPr>
          <w:p w14:paraId="43CE9FDA">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256" w:type="dxa"/>
            <w:noWrap w:val="0"/>
            <w:vAlign w:val="center"/>
          </w:tcPr>
          <w:p w14:paraId="6CB1662F">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49DD049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811" w:type="dxa"/>
            <w:noWrap w:val="0"/>
            <w:vAlign w:val="center"/>
          </w:tcPr>
          <w:p w14:paraId="3BCC4D07">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21" w:type="dxa"/>
            <w:noWrap w:val="0"/>
            <w:vAlign w:val="center"/>
          </w:tcPr>
          <w:p w14:paraId="58B69B87">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992" w:type="dxa"/>
            <w:noWrap w:val="0"/>
            <w:vAlign w:val="center"/>
          </w:tcPr>
          <w:p w14:paraId="6A09F750">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09" w:type="dxa"/>
            <w:noWrap w:val="0"/>
            <w:vAlign w:val="center"/>
          </w:tcPr>
          <w:p w14:paraId="65ED4893">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937" w:type="dxa"/>
            <w:noWrap w:val="0"/>
            <w:vAlign w:val="center"/>
          </w:tcPr>
          <w:p w14:paraId="440734D1">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572" w:type="dxa"/>
            <w:noWrap w:val="0"/>
            <w:vAlign w:val="center"/>
          </w:tcPr>
          <w:p w14:paraId="4B916D30">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256" w:type="dxa"/>
            <w:noWrap w:val="0"/>
            <w:vAlign w:val="center"/>
          </w:tcPr>
          <w:p w14:paraId="7411A964">
            <w:pPr>
              <w:shd w:val="clear"/>
              <w:adjustRightInd w:val="0"/>
              <w:snapToGrid w:val="0"/>
              <w:spacing w:line="288" w:lineRule="auto"/>
              <w:jc w:val="center"/>
              <w:rPr>
                <w:rFonts w:hint="eastAsia" w:ascii="仿宋" w:hAnsi="仿宋" w:eastAsia="仿宋" w:cs="仿宋"/>
                <w:color w:val="auto"/>
                <w:sz w:val="21"/>
                <w:szCs w:val="21"/>
                <w:highlight w:val="none"/>
              </w:rPr>
            </w:pPr>
          </w:p>
        </w:tc>
      </w:tr>
    </w:tbl>
    <w:p w14:paraId="6864A96C">
      <w:pPr>
        <w:shd w:val="clear"/>
        <w:adjustRightInd w:val="0"/>
        <w:snapToGrid w:val="0"/>
        <w:spacing w:line="288" w:lineRule="auto"/>
        <w:rPr>
          <w:rFonts w:hint="eastAsia" w:ascii="仿宋" w:hAnsi="仿宋" w:eastAsia="仿宋" w:cs="仿宋"/>
          <w:color w:val="auto"/>
          <w:sz w:val="21"/>
          <w:szCs w:val="21"/>
          <w:highlight w:val="none"/>
        </w:rPr>
      </w:pPr>
    </w:p>
    <w:p w14:paraId="468C89B5">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43794E68">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1.供应商须提供上述业绩合同扫描件；</w:t>
      </w:r>
    </w:p>
    <w:p w14:paraId="3327DE4E">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2.所有合同扫描件应清晰，应能体现合同签订时间、双方签名盖章等内容；</w:t>
      </w:r>
    </w:p>
    <w:p w14:paraId="21654BC9">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3.供应商应在不涉及商业秘密的前提下尽可能提供详细的合同扫描件内容。</w:t>
      </w:r>
    </w:p>
    <w:p w14:paraId="0236EEBC">
      <w:pPr>
        <w:shd w:val="clear"/>
        <w:adjustRightInd w:val="0"/>
        <w:snapToGrid w:val="0"/>
        <w:spacing w:line="288" w:lineRule="auto"/>
        <w:rPr>
          <w:rFonts w:hint="eastAsia" w:ascii="仿宋" w:hAnsi="仿宋" w:eastAsia="仿宋" w:cs="仿宋"/>
          <w:color w:val="auto"/>
          <w:sz w:val="21"/>
          <w:szCs w:val="21"/>
          <w:highlight w:val="none"/>
        </w:rPr>
      </w:pPr>
    </w:p>
    <w:p w14:paraId="714DA2FB">
      <w:pPr>
        <w:shd w:val="clear"/>
        <w:adjustRightInd w:val="0"/>
        <w:snapToGrid w:val="0"/>
        <w:spacing w:line="288" w:lineRule="auto"/>
        <w:rPr>
          <w:rFonts w:hint="eastAsia" w:ascii="仿宋" w:hAnsi="仿宋" w:eastAsia="仿宋" w:cs="仿宋"/>
          <w:color w:val="auto"/>
          <w:sz w:val="21"/>
          <w:szCs w:val="21"/>
          <w:highlight w:val="none"/>
        </w:rPr>
      </w:pPr>
    </w:p>
    <w:p w14:paraId="02AF4606">
      <w:pPr>
        <w:shd w:val="clear"/>
        <w:adjustRightInd w:val="0"/>
        <w:snapToGrid w:val="0"/>
        <w:spacing w:line="288" w:lineRule="auto"/>
        <w:rPr>
          <w:rFonts w:hint="eastAsia" w:ascii="仿宋" w:hAnsi="仿宋" w:eastAsia="仿宋" w:cs="仿宋"/>
          <w:color w:val="auto"/>
          <w:sz w:val="21"/>
          <w:szCs w:val="21"/>
          <w:highlight w:val="none"/>
        </w:rPr>
      </w:pPr>
    </w:p>
    <w:p w14:paraId="07C7CD91">
      <w:pPr>
        <w:shd w:val="clear"/>
        <w:adjustRightInd w:val="0"/>
        <w:snapToGrid w:val="0"/>
        <w:spacing w:line="288" w:lineRule="auto"/>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供应商名称（电子签名/公章）：</w:t>
      </w:r>
    </w:p>
    <w:p w14:paraId="5B34658B">
      <w:pPr>
        <w:shd w:val="clear"/>
        <w:adjustRightInd w:val="0"/>
        <w:snapToGrid w:val="0"/>
        <w:spacing w:line="288" w:lineRule="auto"/>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日期：2025年  月  日</w:t>
      </w:r>
    </w:p>
    <w:p w14:paraId="5B788124">
      <w:pPr>
        <w:pStyle w:val="13"/>
        <w:shd w:val="clear"/>
        <w:adjustRightInd w:val="0"/>
        <w:snapToGrid w:val="0"/>
        <w:spacing w:before="163" w:after="163" w:line="300"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六、服务团队</w:t>
      </w:r>
    </w:p>
    <w:p w14:paraId="38C0094B">
      <w:pPr>
        <w:pStyle w:val="70"/>
        <w:shd w:val="clear"/>
        <w:spacing w:line="288" w:lineRule="auto"/>
        <w:jc w:val="center"/>
        <w:rPr>
          <w:rFonts w:hint="eastAsia" w:ascii="仿宋" w:hAnsi="仿宋" w:eastAsia="仿宋" w:cs="仿宋"/>
          <w:color w:val="auto"/>
          <w:highlight w:val="none"/>
          <w:lang w:val="zh-TW"/>
        </w:rPr>
      </w:pPr>
      <w:r>
        <w:rPr>
          <w:rFonts w:hint="eastAsia" w:ascii="仿宋" w:hAnsi="仿宋" w:eastAsia="仿宋" w:cs="仿宋"/>
          <w:color w:val="auto"/>
          <w:highlight w:val="none"/>
        </w:rPr>
        <w:t>投入本项目人员情况表</w:t>
      </w:r>
      <w:r>
        <w:rPr>
          <w:rFonts w:hint="eastAsia" w:ascii="仿宋" w:hAnsi="仿宋" w:eastAsia="仿宋" w:cs="仿宋"/>
          <w:color w:val="auto"/>
          <w:highlight w:val="none"/>
          <w:lang w:val="zh-TW"/>
        </w:rPr>
        <w:t>（参考格式）</w:t>
      </w:r>
    </w:p>
    <w:tbl>
      <w:tblPr>
        <w:tblStyle w:val="28"/>
        <w:tblW w:w="0" w:type="auto"/>
        <w:jc w:val="center"/>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shd w:val="clear" w:color="auto" w:fill="FFFFFF"/>
        <w:tblLayout w:type="fixed"/>
        <w:tblCellMar>
          <w:top w:w="0" w:type="dxa"/>
          <w:left w:w="0" w:type="dxa"/>
          <w:bottom w:w="0" w:type="dxa"/>
          <w:right w:w="0" w:type="dxa"/>
        </w:tblCellMar>
      </w:tblPr>
      <w:tblGrid>
        <w:gridCol w:w="711"/>
        <w:gridCol w:w="1611"/>
        <w:gridCol w:w="678"/>
        <w:gridCol w:w="855"/>
        <w:gridCol w:w="2789"/>
        <w:gridCol w:w="1608"/>
        <w:gridCol w:w="1375"/>
      </w:tblGrid>
      <w:tr w14:paraId="3E9F11EC">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tblCellMar>
            <w:top w:w="0" w:type="dxa"/>
            <w:left w:w="0" w:type="dxa"/>
            <w:bottom w:w="0" w:type="dxa"/>
            <w:right w:w="0" w:type="dxa"/>
          </w:tblCellMar>
        </w:tblPrEx>
        <w:trPr>
          <w:trHeight w:val="32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CB8E27C">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序号</w:t>
            </w: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59D525C0">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姓  名</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8DC6462">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性别</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2F0C7914">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年龄</w:t>
            </w: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65EA026C">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资质证书</w:t>
            </w: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2485BBC8">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拟派</w:t>
            </w:r>
            <w:r>
              <w:rPr>
                <w:rFonts w:hint="eastAsia" w:ascii="仿宋" w:hAnsi="仿宋" w:eastAsia="仿宋" w:cs="仿宋"/>
                <w:color w:val="auto"/>
                <w:highlight w:val="none"/>
                <w:lang w:val="zh-TW" w:eastAsia="zh-TW"/>
              </w:rPr>
              <w:t>岗位</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53F83FB4">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对应页码</w:t>
            </w:r>
          </w:p>
        </w:tc>
      </w:tr>
      <w:tr w14:paraId="50C0FE0E">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shd w:val="clear" w:color="auto" w:fill="FFFFFF"/>
          <w:tblCellMar>
            <w:top w:w="0" w:type="dxa"/>
            <w:left w:w="0" w:type="dxa"/>
            <w:bottom w:w="0" w:type="dxa"/>
            <w:right w:w="0" w:type="dxa"/>
          </w:tblCellMar>
        </w:tblPrEx>
        <w:trPr>
          <w:trHeight w:val="30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388E8EB">
            <w:pPr>
              <w:shd w:val="clear"/>
              <w:spacing w:line="288" w:lineRule="auto"/>
              <w:rPr>
                <w:rFonts w:hint="eastAsia" w:ascii="仿宋" w:hAnsi="仿宋" w:eastAsia="仿宋" w:cs="仿宋"/>
                <w:color w:val="auto"/>
                <w:sz w:val="21"/>
                <w:szCs w:val="21"/>
                <w:highlight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754CE252">
            <w:pPr>
              <w:shd w:val="clear"/>
              <w:spacing w:line="288" w:lineRule="auto"/>
              <w:rPr>
                <w:rFonts w:hint="eastAsia" w:ascii="仿宋" w:hAnsi="仿宋" w:eastAsia="仿宋" w:cs="仿宋"/>
                <w:color w:val="auto"/>
                <w:sz w:val="21"/>
                <w:szCs w:val="21"/>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EFD0EB8">
            <w:pPr>
              <w:shd w:val="clear"/>
              <w:spacing w:line="288" w:lineRule="auto"/>
              <w:rPr>
                <w:rFonts w:hint="eastAsia" w:ascii="仿宋" w:hAnsi="仿宋" w:eastAsia="仿宋" w:cs="仿宋"/>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2516DEB">
            <w:pPr>
              <w:shd w:val="clear"/>
              <w:spacing w:line="288" w:lineRule="auto"/>
              <w:rPr>
                <w:rFonts w:hint="eastAsia" w:ascii="仿宋" w:hAnsi="仿宋" w:eastAsia="仿宋" w:cs="仿宋"/>
                <w:color w:val="auto"/>
                <w:sz w:val="21"/>
                <w:szCs w:val="21"/>
                <w:highlight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7428CE7">
            <w:pPr>
              <w:shd w:val="clear"/>
              <w:spacing w:line="288" w:lineRule="auto"/>
              <w:rPr>
                <w:rFonts w:hint="eastAsia" w:ascii="仿宋" w:hAnsi="仿宋" w:eastAsia="仿宋" w:cs="仿宋"/>
                <w:color w:val="auto"/>
                <w:sz w:val="21"/>
                <w:szCs w:val="21"/>
                <w:highlight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0964449">
            <w:pPr>
              <w:shd w:val="clear"/>
              <w:spacing w:line="288" w:lineRule="auto"/>
              <w:rPr>
                <w:rFonts w:hint="eastAsia" w:ascii="仿宋" w:hAnsi="仿宋" w:eastAsia="仿宋" w:cs="仿宋"/>
                <w:color w:val="auto"/>
                <w:sz w:val="21"/>
                <w:szCs w:val="21"/>
                <w:highlight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6735074F">
            <w:pPr>
              <w:shd w:val="clear"/>
              <w:spacing w:line="288" w:lineRule="auto"/>
              <w:rPr>
                <w:rFonts w:hint="eastAsia" w:ascii="仿宋" w:hAnsi="仿宋" w:eastAsia="仿宋" w:cs="仿宋"/>
                <w:color w:val="auto"/>
                <w:sz w:val="21"/>
                <w:szCs w:val="21"/>
                <w:highlight w:val="none"/>
              </w:rPr>
            </w:pPr>
          </w:p>
        </w:tc>
      </w:tr>
      <w:tr w14:paraId="5F30B68A">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tblCellMar>
            <w:top w:w="0" w:type="dxa"/>
            <w:left w:w="0" w:type="dxa"/>
            <w:bottom w:w="0" w:type="dxa"/>
            <w:right w:w="0" w:type="dxa"/>
          </w:tblCellMar>
        </w:tblPrEx>
        <w:trPr>
          <w:trHeight w:val="30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712E628">
            <w:pPr>
              <w:shd w:val="clear"/>
              <w:spacing w:line="288" w:lineRule="auto"/>
              <w:rPr>
                <w:rFonts w:hint="eastAsia" w:ascii="仿宋" w:hAnsi="仿宋" w:eastAsia="仿宋" w:cs="仿宋"/>
                <w:color w:val="auto"/>
                <w:sz w:val="21"/>
                <w:szCs w:val="21"/>
                <w:highlight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F3C9260">
            <w:pPr>
              <w:shd w:val="clear"/>
              <w:spacing w:line="288" w:lineRule="auto"/>
              <w:rPr>
                <w:rFonts w:hint="eastAsia" w:ascii="仿宋" w:hAnsi="仿宋" w:eastAsia="仿宋" w:cs="仿宋"/>
                <w:color w:val="auto"/>
                <w:sz w:val="21"/>
                <w:szCs w:val="21"/>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5F112CB">
            <w:pPr>
              <w:shd w:val="clear"/>
              <w:spacing w:line="288" w:lineRule="auto"/>
              <w:rPr>
                <w:rFonts w:hint="eastAsia" w:ascii="仿宋" w:hAnsi="仿宋" w:eastAsia="仿宋" w:cs="仿宋"/>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0498B513">
            <w:pPr>
              <w:shd w:val="clear"/>
              <w:spacing w:line="288" w:lineRule="auto"/>
              <w:rPr>
                <w:rFonts w:hint="eastAsia" w:ascii="仿宋" w:hAnsi="仿宋" w:eastAsia="仿宋" w:cs="仿宋"/>
                <w:color w:val="auto"/>
                <w:sz w:val="21"/>
                <w:szCs w:val="21"/>
                <w:highlight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7A344628">
            <w:pPr>
              <w:shd w:val="clear"/>
              <w:spacing w:line="288" w:lineRule="auto"/>
              <w:rPr>
                <w:rFonts w:hint="eastAsia" w:ascii="仿宋" w:hAnsi="仿宋" w:eastAsia="仿宋" w:cs="仿宋"/>
                <w:color w:val="auto"/>
                <w:sz w:val="21"/>
                <w:szCs w:val="21"/>
                <w:highlight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E2C2D72">
            <w:pPr>
              <w:shd w:val="clear"/>
              <w:spacing w:line="288" w:lineRule="auto"/>
              <w:rPr>
                <w:rFonts w:hint="eastAsia" w:ascii="仿宋" w:hAnsi="仿宋" w:eastAsia="仿宋" w:cs="仿宋"/>
                <w:color w:val="auto"/>
                <w:sz w:val="21"/>
                <w:szCs w:val="21"/>
                <w:highlight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97EE244">
            <w:pPr>
              <w:shd w:val="clear"/>
              <w:spacing w:line="288" w:lineRule="auto"/>
              <w:rPr>
                <w:rFonts w:hint="eastAsia" w:ascii="仿宋" w:hAnsi="仿宋" w:eastAsia="仿宋" w:cs="仿宋"/>
                <w:color w:val="auto"/>
                <w:sz w:val="21"/>
                <w:szCs w:val="21"/>
                <w:highlight w:val="none"/>
              </w:rPr>
            </w:pPr>
          </w:p>
        </w:tc>
      </w:tr>
      <w:tr w14:paraId="4BE7D904">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shd w:val="clear" w:color="auto" w:fill="FFFFFF"/>
          <w:tblCellMar>
            <w:top w:w="0" w:type="dxa"/>
            <w:left w:w="0" w:type="dxa"/>
            <w:bottom w:w="0" w:type="dxa"/>
            <w:right w:w="0" w:type="dxa"/>
          </w:tblCellMar>
        </w:tblPrEx>
        <w:trPr>
          <w:trHeight w:val="30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379BC80">
            <w:pPr>
              <w:shd w:val="clear"/>
              <w:spacing w:line="288" w:lineRule="auto"/>
              <w:rPr>
                <w:rFonts w:hint="eastAsia" w:ascii="仿宋" w:hAnsi="仿宋" w:eastAsia="仿宋" w:cs="仿宋"/>
                <w:color w:val="auto"/>
                <w:sz w:val="21"/>
                <w:szCs w:val="21"/>
                <w:highlight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5F43058">
            <w:pPr>
              <w:shd w:val="clear"/>
              <w:spacing w:line="288" w:lineRule="auto"/>
              <w:rPr>
                <w:rFonts w:hint="eastAsia" w:ascii="仿宋" w:hAnsi="仿宋" w:eastAsia="仿宋" w:cs="仿宋"/>
                <w:color w:val="auto"/>
                <w:sz w:val="21"/>
                <w:szCs w:val="21"/>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0D208870">
            <w:pPr>
              <w:shd w:val="clear"/>
              <w:spacing w:line="288" w:lineRule="auto"/>
              <w:rPr>
                <w:rFonts w:hint="eastAsia" w:ascii="仿宋" w:hAnsi="仿宋" w:eastAsia="仿宋" w:cs="仿宋"/>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394CB9D">
            <w:pPr>
              <w:shd w:val="clear"/>
              <w:spacing w:line="288" w:lineRule="auto"/>
              <w:rPr>
                <w:rFonts w:hint="eastAsia" w:ascii="仿宋" w:hAnsi="仿宋" w:eastAsia="仿宋" w:cs="仿宋"/>
                <w:color w:val="auto"/>
                <w:sz w:val="21"/>
                <w:szCs w:val="21"/>
                <w:highlight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DD2F7CD">
            <w:pPr>
              <w:shd w:val="clear"/>
              <w:spacing w:line="288" w:lineRule="auto"/>
              <w:rPr>
                <w:rFonts w:hint="eastAsia" w:ascii="仿宋" w:hAnsi="仿宋" w:eastAsia="仿宋" w:cs="仿宋"/>
                <w:color w:val="auto"/>
                <w:sz w:val="21"/>
                <w:szCs w:val="21"/>
                <w:highlight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599FB1F2">
            <w:pPr>
              <w:shd w:val="clear"/>
              <w:spacing w:line="288" w:lineRule="auto"/>
              <w:rPr>
                <w:rFonts w:hint="eastAsia" w:ascii="仿宋" w:hAnsi="仿宋" w:eastAsia="仿宋" w:cs="仿宋"/>
                <w:color w:val="auto"/>
                <w:sz w:val="21"/>
                <w:szCs w:val="21"/>
                <w:highlight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2FA82A9F">
            <w:pPr>
              <w:shd w:val="clear"/>
              <w:spacing w:line="288" w:lineRule="auto"/>
              <w:rPr>
                <w:rFonts w:hint="eastAsia" w:ascii="仿宋" w:hAnsi="仿宋" w:eastAsia="仿宋" w:cs="仿宋"/>
                <w:color w:val="auto"/>
                <w:sz w:val="21"/>
                <w:szCs w:val="21"/>
                <w:highlight w:val="none"/>
              </w:rPr>
            </w:pPr>
          </w:p>
        </w:tc>
      </w:tr>
      <w:tr w14:paraId="26CE3C54">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shd w:val="clear" w:color="auto" w:fill="FFFFFF"/>
          <w:tblCellMar>
            <w:top w:w="0" w:type="dxa"/>
            <w:left w:w="0" w:type="dxa"/>
            <w:bottom w:w="0" w:type="dxa"/>
            <w:right w:w="0" w:type="dxa"/>
          </w:tblCellMar>
        </w:tblPrEx>
        <w:trPr>
          <w:trHeight w:val="30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66B7FF9">
            <w:pPr>
              <w:shd w:val="clear"/>
              <w:spacing w:line="288" w:lineRule="auto"/>
              <w:rPr>
                <w:rFonts w:hint="eastAsia" w:ascii="仿宋" w:hAnsi="仿宋" w:eastAsia="仿宋" w:cs="仿宋"/>
                <w:color w:val="auto"/>
                <w:sz w:val="21"/>
                <w:szCs w:val="21"/>
                <w:highlight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6FC0A53">
            <w:pPr>
              <w:shd w:val="clear"/>
              <w:spacing w:line="288" w:lineRule="auto"/>
              <w:rPr>
                <w:rFonts w:hint="eastAsia" w:ascii="仿宋" w:hAnsi="仿宋" w:eastAsia="仿宋" w:cs="仿宋"/>
                <w:color w:val="auto"/>
                <w:sz w:val="21"/>
                <w:szCs w:val="21"/>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208FB67">
            <w:pPr>
              <w:shd w:val="clear"/>
              <w:spacing w:line="288" w:lineRule="auto"/>
              <w:rPr>
                <w:rFonts w:hint="eastAsia" w:ascii="仿宋" w:hAnsi="仿宋" w:eastAsia="仿宋" w:cs="仿宋"/>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7D1C1B4">
            <w:pPr>
              <w:shd w:val="clear"/>
              <w:spacing w:line="288" w:lineRule="auto"/>
              <w:rPr>
                <w:rFonts w:hint="eastAsia" w:ascii="仿宋" w:hAnsi="仿宋" w:eastAsia="仿宋" w:cs="仿宋"/>
                <w:color w:val="auto"/>
                <w:sz w:val="21"/>
                <w:szCs w:val="21"/>
                <w:highlight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6D624F0">
            <w:pPr>
              <w:shd w:val="clear"/>
              <w:spacing w:line="288" w:lineRule="auto"/>
              <w:rPr>
                <w:rFonts w:hint="eastAsia" w:ascii="仿宋" w:hAnsi="仿宋" w:eastAsia="仿宋" w:cs="仿宋"/>
                <w:color w:val="auto"/>
                <w:sz w:val="21"/>
                <w:szCs w:val="21"/>
                <w:highlight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63259334">
            <w:pPr>
              <w:shd w:val="clear"/>
              <w:spacing w:line="288" w:lineRule="auto"/>
              <w:rPr>
                <w:rFonts w:hint="eastAsia" w:ascii="仿宋" w:hAnsi="仿宋" w:eastAsia="仿宋" w:cs="仿宋"/>
                <w:color w:val="auto"/>
                <w:sz w:val="21"/>
                <w:szCs w:val="21"/>
                <w:highlight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F49F36A">
            <w:pPr>
              <w:shd w:val="clear"/>
              <w:spacing w:line="288" w:lineRule="auto"/>
              <w:rPr>
                <w:rFonts w:hint="eastAsia" w:ascii="仿宋" w:hAnsi="仿宋" w:eastAsia="仿宋" w:cs="仿宋"/>
                <w:color w:val="auto"/>
                <w:sz w:val="21"/>
                <w:szCs w:val="21"/>
                <w:highlight w:val="none"/>
              </w:rPr>
            </w:pPr>
          </w:p>
        </w:tc>
      </w:tr>
      <w:tr w14:paraId="7399D233">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shd w:val="clear" w:color="auto" w:fill="FFFFFF"/>
          <w:tblCellMar>
            <w:top w:w="0" w:type="dxa"/>
            <w:left w:w="0" w:type="dxa"/>
            <w:bottom w:w="0" w:type="dxa"/>
            <w:right w:w="0" w:type="dxa"/>
          </w:tblCellMar>
        </w:tblPrEx>
        <w:trPr>
          <w:trHeight w:val="30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5040F005">
            <w:pPr>
              <w:shd w:val="clear"/>
              <w:spacing w:line="288" w:lineRule="auto"/>
              <w:rPr>
                <w:rFonts w:hint="eastAsia" w:ascii="仿宋" w:hAnsi="仿宋" w:eastAsia="仿宋" w:cs="仿宋"/>
                <w:color w:val="auto"/>
                <w:sz w:val="21"/>
                <w:szCs w:val="21"/>
                <w:highlight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66F0F1C1">
            <w:pPr>
              <w:shd w:val="clear"/>
              <w:spacing w:line="288" w:lineRule="auto"/>
              <w:rPr>
                <w:rFonts w:hint="eastAsia" w:ascii="仿宋" w:hAnsi="仿宋" w:eastAsia="仿宋" w:cs="仿宋"/>
                <w:color w:val="auto"/>
                <w:sz w:val="21"/>
                <w:szCs w:val="21"/>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5ADC3717">
            <w:pPr>
              <w:shd w:val="clear"/>
              <w:spacing w:line="288" w:lineRule="auto"/>
              <w:rPr>
                <w:rFonts w:hint="eastAsia" w:ascii="仿宋" w:hAnsi="仿宋" w:eastAsia="仿宋" w:cs="仿宋"/>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51A7C4F6">
            <w:pPr>
              <w:shd w:val="clear"/>
              <w:spacing w:line="288" w:lineRule="auto"/>
              <w:rPr>
                <w:rFonts w:hint="eastAsia" w:ascii="仿宋" w:hAnsi="仿宋" w:eastAsia="仿宋" w:cs="仿宋"/>
                <w:color w:val="auto"/>
                <w:sz w:val="21"/>
                <w:szCs w:val="21"/>
                <w:highlight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00B8FD20">
            <w:pPr>
              <w:shd w:val="clear"/>
              <w:spacing w:line="288" w:lineRule="auto"/>
              <w:rPr>
                <w:rFonts w:hint="eastAsia" w:ascii="仿宋" w:hAnsi="仿宋" w:eastAsia="仿宋" w:cs="仿宋"/>
                <w:color w:val="auto"/>
                <w:sz w:val="21"/>
                <w:szCs w:val="21"/>
                <w:highlight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7907A0A8">
            <w:pPr>
              <w:shd w:val="clear"/>
              <w:spacing w:line="288" w:lineRule="auto"/>
              <w:rPr>
                <w:rFonts w:hint="eastAsia" w:ascii="仿宋" w:hAnsi="仿宋" w:eastAsia="仿宋" w:cs="仿宋"/>
                <w:color w:val="auto"/>
                <w:sz w:val="21"/>
                <w:szCs w:val="21"/>
                <w:highlight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7E55F4FD">
            <w:pPr>
              <w:shd w:val="clear"/>
              <w:spacing w:line="288" w:lineRule="auto"/>
              <w:rPr>
                <w:rFonts w:hint="eastAsia" w:ascii="仿宋" w:hAnsi="仿宋" w:eastAsia="仿宋" w:cs="仿宋"/>
                <w:color w:val="auto"/>
                <w:sz w:val="21"/>
                <w:szCs w:val="21"/>
                <w:highlight w:val="none"/>
              </w:rPr>
            </w:pPr>
          </w:p>
        </w:tc>
      </w:tr>
    </w:tbl>
    <w:p w14:paraId="44AA92E0">
      <w:pPr>
        <w:pStyle w:val="69"/>
        <w:shd w:val="clear"/>
        <w:adjustRightInd w:val="0"/>
        <w:snapToGrid w:val="0"/>
        <w:spacing w:line="288" w:lineRule="auto"/>
        <w:ind w:firstLine="0" w:firstLineChars="0"/>
        <w:rPr>
          <w:rFonts w:hint="eastAsia" w:ascii="仿宋" w:hAnsi="仿宋" w:eastAsia="仿宋" w:cs="仿宋"/>
          <w:color w:val="auto"/>
          <w:sz w:val="21"/>
          <w:szCs w:val="21"/>
          <w:highlight w:val="none"/>
        </w:rPr>
      </w:pPr>
    </w:p>
    <w:p w14:paraId="0FBA832B">
      <w:pPr>
        <w:shd w:val="clear"/>
        <w:adjustRightInd w:val="0"/>
        <w:snapToGrid w:val="0"/>
        <w:spacing w:line="288" w:lineRule="auto"/>
        <w:rPr>
          <w:rFonts w:hint="eastAsia" w:ascii="仿宋" w:hAnsi="仿宋" w:eastAsia="仿宋" w:cs="仿宋"/>
          <w:b/>
          <w:bCs/>
          <w:color w:val="auto"/>
          <w:spacing w:val="-6"/>
          <w:sz w:val="21"/>
          <w:szCs w:val="21"/>
          <w:highlight w:val="none"/>
        </w:rPr>
      </w:pPr>
    </w:p>
    <w:p w14:paraId="1EF57A0F">
      <w:pPr>
        <w:shd w:val="clear"/>
        <w:adjustRightInd w:val="0"/>
        <w:snapToGrid w:val="0"/>
        <w:spacing w:line="288" w:lineRule="auto"/>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供应商名称（电子签名/公章）：</w:t>
      </w:r>
    </w:p>
    <w:p w14:paraId="5544F6DE">
      <w:pPr>
        <w:shd w:val="clear"/>
        <w:adjustRightInd w:val="0"/>
        <w:snapToGrid w:val="0"/>
        <w:spacing w:line="288" w:lineRule="auto"/>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2424B452">
      <w:pPr>
        <w:pStyle w:val="13"/>
        <w:shd w:val="clear"/>
        <w:adjustRightInd w:val="0"/>
        <w:snapToGrid w:val="0"/>
        <w:spacing w:before="163" w:after="163" w:line="300"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七、</w:t>
      </w:r>
      <w:bookmarkEnd w:id="215"/>
      <w:r>
        <w:rPr>
          <w:rFonts w:hint="eastAsia" w:ascii="仿宋" w:hAnsi="仿宋" w:eastAsia="仿宋" w:cs="仿宋"/>
          <w:b/>
          <w:bCs/>
          <w:color w:val="auto"/>
          <w:sz w:val="21"/>
          <w:szCs w:val="21"/>
          <w:highlight w:val="none"/>
        </w:rPr>
        <w:t>技术方案</w:t>
      </w:r>
    </w:p>
    <w:p w14:paraId="2AA4A5C8">
      <w:pPr>
        <w:pStyle w:val="13"/>
        <w:shd w:val="clear"/>
        <w:adjustRightInd w:val="0"/>
        <w:snapToGrid w:val="0"/>
        <w:spacing w:before="163" w:after="163" w:line="300"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八、供应商需要说明的其他文件和材料（如有）</w:t>
      </w:r>
    </w:p>
    <w:p w14:paraId="76E2AD24">
      <w:pPr>
        <w:pStyle w:val="13"/>
        <w:shd w:val="clear"/>
        <w:adjustRightInd w:val="0"/>
        <w:snapToGrid w:val="0"/>
        <w:spacing w:before="163" w:after="163" w:line="300" w:lineRule="auto"/>
        <w:jc w:val="center"/>
        <w:outlineLvl w:val="1"/>
        <w:rPr>
          <w:rFonts w:hint="eastAsia" w:ascii="仿宋" w:hAnsi="仿宋" w:eastAsia="仿宋" w:cs="仿宋"/>
          <w:b/>
          <w:color w:val="auto"/>
          <w:kern w:val="0"/>
          <w:sz w:val="21"/>
          <w:szCs w:val="21"/>
          <w:highlight w:val="none"/>
        </w:rPr>
      </w:pPr>
      <w:bookmarkStart w:id="216" w:name="_Toc10331"/>
      <w:r>
        <w:rPr>
          <w:rFonts w:hint="eastAsia" w:ascii="仿宋" w:hAnsi="仿宋" w:eastAsia="仿宋" w:cs="仿宋"/>
          <w:b/>
          <w:color w:val="auto"/>
          <w:kern w:val="0"/>
          <w:sz w:val="21"/>
          <w:szCs w:val="21"/>
          <w:highlight w:val="none"/>
        </w:rPr>
        <w:br w:type="page"/>
      </w:r>
      <w:r>
        <w:rPr>
          <w:rFonts w:hint="eastAsia" w:ascii="仿宋" w:hAnsi="仿宋" w:eastAsia="仿宋" w:cs="仿宋"/>
          <w:b/>
          <w:bCs/>
          <w:color w:val="auto"/>
          <w:sz w:val="21"/>
          <w:szCs w:val="21"/>
          <w:highlight w:val="none"/>
        </w:rPr>
        <w:t>九、其他</w:t>
      </w:r>
    </w:p>
    <w:p w14:paraId="42F5438E">
      <w:pPr>
        <w:shd w:val="clear"/>
        <w:suppressAutoHyphens/>
        <w:spacing w:line="288" w:lineRule="auto"/>
        <w:jc w:val="center"/>
        <w:rPr>
          <w:rFonts w:hint="eastAsia" w:ascii="仿宋" w:hAnsi="仿宋" w:eastAsia="仿宋" w:cs="仿宋"/>
          <w:b/>
          <w:color w:val="auto"/>
          <w:spacing w:val="-6"/>
          <w:kern w:val="0"/>
          <w:sz w:val="21"/>
          <w:szCs w:val="21"/>
          <w:highlight w:val="none"/>
        </w:rPr>
      </w:pPr>
      <w:bookmarkStart w:id="217" w:name="_Toc14668"/>
      <w:bookmarkStart w:id="218" w:name="_Toc12983"/>
      <w:bookmarkStart w:id="219" w:name="_Toc22480"/>
      <w:r>
        <w:rPr>
          <w:rFonts w:hint="eastAsia" w:ascii="仿宋" w:hAnsi="仿宋" w:eastAsia="仿宋" w:cs="仿宋"/>
          <w:b/>
          <w:color w:val="auto"/>
          <w:spacing w:val="-6"/>
          <w:kern w:val="0"/>
          <w:sz w:val="21"/>
          <w:szCs w:val="21"/>
          <w:highlight w:val="none"/>
        </w:rPr>
        <w:t>最后报价一览表</w:t>
      </w:r>
    </w:p>
    <w:p w14:paraId="583FA46E">
      <w:pPr>
        <w:shd w:val="clear"/>
        <w:suppressAutoHyphens/>
        <w:spacing w:line="288" w:lineRule="auto"/>
        <w:jc w:val="center"/>
        <w:rPr>
          <w:rFonts w:hint="eastAsia" w:ascii="仿宋" w:hAnsi="仿宋" w:eastAsia="仿宋" w:cs="仿宋"/>
          <w:b/>
          <w:color w:val="auto"/>
          <w:spacing w:val="-6"/>
          <w:kern w:val="0"/>
          <w:sz w:val="21"/>
          <w:szCs w:val="21"/>
          <w:highlight w:val="none"/>
        </w:rPr>
      </w:pPr>
    </w:p>
    <w:p w14:paraId="7016CA98">
      <w:pPr>
        <w:shd w:val="clear"/>
        <w:adjustRightInd w:val="0"/>
        <w:snapToGrid w:val="0"/>
        <w:spacing w:line="288"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 购 人：</w:t>
      </w:r>
      <w:r>
        <w:rPr>
          <w:rFonts w:hint="eastAsia" w:ascii="仿宋" w:hAnsi="仿宋" w:eastAsia="仿宋" w:cs="仿宋"/>
          <w:color w:val="auto"/>
          <w:sz w:val="21"/>
          <w:szCs w:val="21"/>
          <w:highlight w:val="none"/>
          <w:lang w:eastAsia="zh-CN"/>
        </w:rPr>
        <w:t>浙江万里学院</w:t>
      </w:r>
    </w:p>
    <w:p w14:paraId="52CD4D1A">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智慧教学工具采购</w:t>
      </w:r>
    </w:p>
    <w:p w14:paraId="7B2185F9">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CTZB-2025070007</w:t>
      </w:r>
    </w:p>
    <w:tbl>
      <w:tblPr>
        <w:tblStyle w:val="28"/>
        <w:tblW w:w="9918"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39"/>
        <w:gridCol w:w="3166"/>
        <w:gridCol w:w="1011"/>
        <w:gridCol w:w="1323"/>
        <w:gridCol w:w="1871"/>
      </w:tblGrid>
      <w:tr w14:paraId="072F830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noWrap w:val="0"/>
            <w:vAlign w:val="center"/>
          </w:tcPr>
          <w:p w14:paraId="2240EFB4">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839" w:type="dxa"/>
            <w:shd w:val="clear" w:color="auto" w:fill="auto"/>
            <w:noWrap w:val="0"/>
            <w:vAlign w:val="center"/>
          </w:tcPr>
          <w:p w14:paraId="62F5AFEF">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名称</w:t>
            </w:r>
          </w:p>
        </w:tc>
        <w:tc>
          <w:tcPr>
            <w:tcW w:w="3166" w:type="dxa"/>
            <w:shd w:val="clear" w:color="auto" w:fill="FFFFFF"/>
            <w:noWrap w:val="0"/>
            <w:vAlign w:val="center"/>
          </w:tcPr>
          <w:p w14:paraId="14199FD8">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具体服务</w:t>
            </w:r>
          </w:p>
        </w:tc>
        <w:tc>
          <w:tcPr>
            <w:tcW w:w="1011" w:type="dxa"/>
            <w:shd w:val="clear" w:color="auto" w:fill="FFFFFF"/>
            <w:noWrap w:val="0"/>
            <w:vAlign w:val="center"/>
          </w:tcPr>
          <w:p w14:paraId="69024A08">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c>
          <w:tcPr>
            <w:tcW w:w="1323" w:type="dxa"/>
            <w:noWrap w:val="0"/>
            <w:vAlign w:val="center"/>
          </w:tcPr>
          <w:p w14:paraId="0BB95286">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单价（元）</w:t>
            </w:r>
          </w:p>
        </w:tc>
        <w:tc>
          <w:tcPr>
            <w:tcW w:w="1871" w:type="dxa"/>
            <w:noWrap w:val="0"/>
            <w:vAlign w:val="center"/>
          </w:tcPr>
          <w:p w14:paraId="2CEC5D02">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金额（元）</w:t>
            </w:r>
          </w:p>
        </w:tc>
      </w:tr>
      <w:tr w14:paraId="4C0B03F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noWrap w:val="0"/>
            <w:vAlign w:val="center"/>
          </w:tcPr>
          <w:p w14:paraId="68A4808F">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39" w:type="dxa"/>
            <w:shd w:val="clear" w:color="auto" w:fill="auto"/>
            <w:noWrap w:val="0"/>
            <w:vAlign w:val="center"/>
          </w:tcPr>
          <w:p w14:paraId="4E13DD6F">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3166" w:type="dxa"/>
            <w:shd w:val="clear" w:color="auto" w:fill="FFFFFF"/>
            <w:noWrap w:val="0"/>
            <w:vAlign w:val="center"/>
          </w:tcPr>
          <w:p w14:paraId="40E19D61">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011" w:type="dxa"/>
            <w:shd w:val="clear" w:color="auto" w:fill="FFFFFF"/>
            <w:noWrap w:val="0"/>
            <w:vAlign w:val="center"/>
          </w:tcPr>
          <w:p w14:paraId="7DBE6101">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323" w:type="dxa"/>
            <w:noWrap w:val="0"/>
            <w:vAlign w:val="center"/>
          </w:tcPr>
          <w:p w14:paraId="06277B30">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71" w:type="dxa"/>
            <w:noWrap w:val="0"/>
            <w:vAlign w:val="center"/>
          </w:tcPr>
          <w:p w14:paraId="0D0FF621">
            <w:pPr>
              <w:shd w:val="clear"/>
              <w:adjustRightInd w:val="0"/>
              <w:snapToGrid w:val="0"/>
              <w:spacing w:line="288" w:lineRule="auto"/>
              <w:jc w:val="center"/>
              <w:rPr>
                <w:rFonts w:hint="eastAsia" w:ascii="仿宋" w:hAnsi="仿宋" w:eastAsia="仿宋" w:cs="仿宋"/>
                <w:b/>
                <w:bCs/>
                <w:color w:val="auto"/>
                <w:sz w:val="21"/>
                <w:szCs w:val="21"/>
                <w:highlight w:val="none"/>
              </w:rPr>
            </w:pPr>
          </w:p>
        </w:tc>
      </w:tr>
      <w:tr w14:paraId="67A1DC6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noWrap w:val="0"/>
            <w:vAlign w:val="center"/>
          </w:tcPr>
          <w:p w14:paraId="30AF587B">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39" w:type="dxa"/>
            <w:shd w:val="clear" w:color="auto" w:fill="auto"/>
            <w:noWrap w:val="0"/>
            <w:vAlign w:val="center"/>
          </w:tcPr>
          <w:p w14:paraId="0244AF45">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3166" w:type="dxa"/>
            <w:shd w:val="clear" w:color="auto" w:fill="FFFFFF"/>
            <w:noWrap w:val="0"/>
            <w:vAlign w:val="center"/>
          </w:tcPr>
          <w:p w14:paraId="290DBD08">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011" w:type="dxa"/>
            <w:shd w:val="clear" w:color="auto" w:fill="FFFFFF"/>
            <w:noWrap w:val="0"/>
            <w:vAlign w:val="center"/>
          </w:tcPr>
          <w:p w14:paraId="7A1F6ED5">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323" w:type="dxa"/>
            <w:noWrap w:val="0"/>
            <w:vAlign w:val="center"/>
          </w:tcPr>
          <w:p w14:paraId="3C195FBF">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71" w:type="dxa"/>
            <w:noWrap w:val="0"/>
            <w:vAlign w:val="center"/>
          </w:tcPr>
          <w:p w14:paraId="6904A3A7">
            <w:pPr>
              <w:shd w:val="clear"/>
              <w:adjustRightInd w:val="0"/>
              <w:snapToGrid w:val="0"/>
              <w:spacing w:line="288" w:lineRule="auto"/>
              <w:jc w:val="center"/>
              <w:rPr>
                <w:rFonts w:hint="eastAsia" w:ascii="仿宋" w:hAnsi="仿宋" w:eastAsia="仿宋" w:cs="仿宋"/>
                <w:b/>
                <w:bCs/>
                <w:color w:val="auto"/>
                <w:sz w:val="21"/>
                <w:szCs w:val="21"/>
                <w:highlight w:val="none"/>
              </w:rPr>
            </w:pPr>
          </w:p>
        </w:tc>
      </w:tr>
      <w:tr w14:paraId="5C2447E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noWrap w:val="0"/>
            <w:vAlign w:val="center"/>
          </w:tcPr>
          <w:p w14:paraId="57CD8207">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39" w:type="dxa"/>
            <w:shd w:val="clear" w:color="auto" w:fill="auto"/>
            <w:noWrap w:val="0"/>
            <w:vAlign w:val="center"/>
          </w:tcPr>
          <w:p w14:paraId="06273C96">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3166" w:type="dxa"/>
            <w:shd w:val="clear" w:color="auto" w:fill="FFFFFF"/>
            <w:noWrap w:val="0"/>
            <w:vAlign w:val="center"/>
          </w:tcPr>
          <w:p w14:paraId="44477598">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011" w:type="dxa"/>
            <w:shd w:val="clear" w:color="auto" w:fill="FFFFFF"/>
            <w:noWrap w:val="0"/>
            <w:vAlign w:val="center"/>
          </w:tcPr>
          <w:p w14:paraId="510E1673">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323" w:type="dxa"/>
            <w:noWrap w:val="0"/>
            <w:vAlign w:val="center"/>
          </w:tcPr>
          <w:p w14:paraId="20C05C0D">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71" w:type="dxa"/>
            <w:noWrap w:val="0"/>
            <w:vAlign w:val="center"/>
          </w:tcPr>
          <w:p w14:paraId="4A5549E6">
            <w:pPr>
              <w:shd w:val="clear"/>
              <w:adjustRightInd w:val="0"/>
              <w:snapToGrid w:val="0"/>
              <w:spacing w:line="288" w:lineRule="auto"/>
              <w:jc w:val="center"/>
              <w:rPr>
                <w:rFonts w:hint="eastAsia" w:ascii="仿宋" w:hAnsi="仿宋" w:eastAsia="仿宋" w:cs="仿宋"/>
                <w:b/>
                <w:bCs/>
                <w:color w:val="auto"/>
                <w:sz w:val="21"/>
                <w:szCs w:val="21"/>
                <w:highlight w:val="none"/>
              </w:rPr>
            </w:pPr>
          </w:p>
        </w:tc>
      </w:tr>
      <w:tr w14:paraId="269D498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noWrap w:val="0"/>
            <w:vAlign w:val="center"/>
          </w:tcPr>
          <w:p w14:paraId="16B99DE8">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39" w:type="dxa"/>
            <w:shd w:val="clear" w:color="auto" w:fill="auto"/>
            <w:noWrap w:val="0"/>
            <w:vAlign w:val="center"/>
          </w:tcPr>
          <w:p w14:paraId="443D996D">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3166" w:type="dxa"/>
            <w:shd w:val="clear" w:color="auto" w:fill="FFFFFF"/>
            <w:noWrap w:val="0"/>
            <w:vAlign w:val="center"/>
          </w:tcPr>
          <w:p w14:paraId="6BE1EEEC">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011" w:type="dxa"/>
            <w:shd w:val="clear" w:color="auto" w:fill="FFFFFF"/>
            <w:noWrap w:val="0"/>
            <w:vAlign w:val="center"/>
          </w:tcPr>
          <w:p w14:paraId="5230562B">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323" w:type="dxa"/>
            <w:noWrap w:val="0"/>
            <w:vAlign w:val="center"/>
          </w:tcPr>
          <w:p w14:paraId="17926835">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71" w:type="dxa"/>
            <w:noWrap w:val="0"/>
            <w:vAlign w:val="center"/>
          </w:tcPr>
          <w:p w14:paraId="58F9ADCF">
            <w:pPr>
              <w:shd w:val="clear"/>
              <w:adjustRightInd w:val="0"/>
              <w:snapToGrid w:val="0"/>
              <w:spacing w:line="288" w:lineRule="auto"/>
              <w:jc w:val="center"/>
              <w:rPr>
                <w:rFonts w:hint="eastAsia" w:ascii="仿宋" w:hAnsi="仿宋" w:eastAsia="仿宋" w:cs="仿宋"/>
                <w:b/>
                <w:bCs/>
                <w:color w:val="auto"/>
                <w:sz w:val="21"/>
                <w:szCs w:val="21"/>
                <w:highlight w:val="none"/>
              </w:rPr>
            </w:pPr>
          </w:p>
        </w:tc>
      </w:tr>
      <w:tr w14:paraId="055D3B0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noWrap w:val="0"/>
            <w:vAlign w:val="center"/>
          </w:tcPr>
          <w:p w14:paraId="5CD7B685">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39" w:type="dxa"/>
            <w:shd w:val="clear" w:color="auto" w:fill="auto"/>
            <w:noWrap w:val="0"/>
            <w:vAlign w:val="center"/>
          </w:tcPr>
          <w:p w14:paraId="562C1572">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3166" w:type="dxa"/>
            <w:shd w:val="clear" w:color="auto" w:fill="FFFFFF"/>
            <w:noWrap w:val="0"/>
            <w:vAlign w:val="center"/>
          </w:tcPr>
          <w:p w14:paraId="6A831B11">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011" w:type="dxa"/>
            <w:shd w:val="clear" w:color="auto" w:fill="FFFFFF"/>
            <w:noWrap w:val="0"/>
            <w:vAlign w:val="center"/>
          </w:tcPr>
          <w:p w14:paraId="4EE0EA29">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323" w:type="dxa"/>
            <w:noWrap w:val="0"/>
            <w:vAlign w:val="center"/>
          </w:tcPr>
          <w:p w14:paraId="7A50B392">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71" w:type="dxa"/>
            <w:noWrap w:val="0"/>
            <w:vAlign w:val="center"/>
          </w:tcPr>
          <w:p w14:paraId="1814D5DB">
            <w:pPr>
              <w:shd w:val="clear"/>
              <w:adjustRightInd w:val="0"/>
              <w:snapToGrid w:val="0"/>
              <w:spacing w:line="288" w:lineRule="auto"/>
              <w:jc w:val="center"/>
              <w:rPr>
                <w:rFonts w:hint="eastAsia" w:ascii="仿宋" w:hAnsi="仿宋" w:eastAsia="仿宋" w:cs="仿宋"/>
                <w:b/>
                <w:bCs/>
                <w:color w:val="auto"/>
                <w:sz w:val="21"/>
                <w:szCs w:val="21"/>
                <w:highlight w:val="none"/>
              </w:rPr>
            </w:pPr>
          </w:p>
        </w:tc>
      </w:tr>
      <w:tr w14:paraId="38A35F3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18" w:type="dxa"/>
            <w:gridSpan w:val="6"/>
            <w:noWrap w:val="0"/>
            <w:vAlign w:val="center"/>
          </w:tcPr>
          <w:p w14:paraId="2A1DC4EC">
            <w:pPr>
              <w:shd w:val="clear"/>
              <w:adjustRightInd w:val="0"/>
              <w:snapToGrid w:val="0"/>
              <w:spacing w:line="288" w:lineRule="auto"/>
              <w:jc w:val="left"/>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说明：</w:t>
            </w:r>
            <w:r>
              <w:rPr>
                <w:rFonts w:hint="eastAsia" w:ascii="仿宋" w:hAnsi="仿宋" w:eastAsia="仿宋" w:cs="仿宋"/>
                <w:b/>
                <w:color w:val="auto"/>
                <w:sz w:val="21"/>
                <w:szCs w:val="21"/>
                <w:highlight w:val="none"/>
                <w:lang w:val="zh-CN"/>
              </w:rPr>
              <w:t>有关本项目实施所涉及的一切费用均计入报价。合同总价不为零，报价明细表中部分产品、服务单价为零的，视作已包含在总价中。采购人将以合同形式有偿取得货物或服务，不接受供应商给予的赠品、回扣或者与采购无关的其他商品、服务。采购内容未包含在《</w:t>
            </w:r>
            <w:r>
              <w:rPr>
                <w:rFonts w:hint="eastAsia" w:ascii="仿宋" w:hAnsi="仿宋" w:eastAsia="仿宋" w:cs="仿宋"/>
                <w:b/>
                <w:color w:val="auto"/>
                <w:sz w:val="21"/>
                <w:szCs w:val="21"/>
                <w:highlight w:val="none"/>
                <w:lang w:val="en-US" w:eastAsia="zh-CN"/>
              </w:rPr>
              <w:t>最后</w:t>
            </w:r>
            <w:r>
              <w:rPr>
                <w:rFonts w:hint="eastAsia" w:ascii="仿宋" w:hAnsi="仿宋" w:eastAsia="仿宋" w:cs="仿宋"/>
                <w:b/>
                <w:color w:val="auto"/>
                <w:sz w:val="21"/>
                <w:szCs w:val="21"/>
                <w:highlight w:val="none"/>
                <w:lang w:val="zh-CN"/>
              </w:rPr>
              <w:t>报价一览表》名称栏中，供应商不能作出合理解释的，视为响应文件含有采购人不能接受的附加条件的，响应无效。</w:t>
            </w:r>
          </w:p>
          <w:p w14:paraId="62DA6403">
            <w:pPr>
              <w:shd w:val="clear"/>
              <w:adjustRightInd w:val="0"/>
              <w:snapToGrid w:val="0"/>
              <w:spacing w:line="288" w:lineRule="auto"/>
              <w:jc w:val="center"/>
              <w:rPr>
                <w:rFonts w:hint="eastAsia" w:ascii="仿宋" w:hAnsi="仿宋" w:eastAsia="仿宋" w:cs="仿宋"/>
                <w:b/>
                <w:bCs/>
                <w:color w:val="auto"/>
                <w:sz w:val="21"/>
                <w:szCs w:val="21"/>
                <w:highlight w:val="none"/>
              </w:rPr>
            </w:pPr>
          </w:p>
          <w:p w14:paraId="7D18A6AC">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总价（人民币元）</w:t>
            </w:r>
          </w:p>
          <w:p w14:paraId="706ADB0F">
            <w:pPr>
              <w:shd w:val="clear"/>
              <w:adjustRightInd w:val="0"/>
              <w:snapToGrid w:val="0"/>
              <w:spacing w:line="288" w:lineRule="auto"/>
              <w:rPr>
                <w:rFonts w:hint="eastAsia" w:ascii="仿宋" w:hAnsi="仿宋" w:eastAsia="仿宋" w:cs="仿宋"/>
                <w:b/>
                <w:bCs/>
                <w:color w:val="auto"/>
                <w:sz w:val="21"/>
                <w:szCs w:val="21"/>
                <w:highlight w:val="none"/>
              </w:rPr>
            </w:pPr>
          </w:p>
          <w:p w14:paraId="3C67C879">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小写：_________________________</w:t>
            </w:r>
          </w:p>
          <w:p w14:paraId="166BF988">
            <w:pPr>
              <w:shd w:val="clear"/>
              <w:adjustRightInd w:val="0"/>
              <w:snapToGrid w:val="0"/>
              <w:spacing w:line="288" w:lineRule="auto"/>
              <w:rPr>
                <w:rFonts w:hint="eastAsia" w:ascii="仿宋" w:hAnsi="仿宋" w:eastAsia="仿宋" w:cs="仿宋"/>
                <w:b/>
                <w:bCs/>
                <w:color w:val="auto"/>
                <w:sz w:val="21"/>
                <w:szCs w:val="21"/>
                <w:highlight w:val="none"/>
              </w:rPr>
            </w:pPr>
          </w:p>
          <w:p w14:paraId="269B2903">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大写：_________________________</w:t>
            </w:r>
          </w:p>
          <w:p w14:paraId="4499044E">
            <w:pPr>
              <w:shd w:val="clear"/>
              <w:adjustRightInd w:val="0"/>
              <w:snapToGrid w:val="0"/>
              <w:spacing w:line="288" w:lineRule="auto"/>
              <w:rPr>
                <w:rFonts w:hint="eastAsia" w:ascii="仿宋" w:hAnsi="仿宋" w:eastAsia="仿宋" w:cs="仿宋"/>
                <w:b/>
                <w:bCs/>
                <w:color w:val="auto"/>
                <w:sz w:val="21"/>
                <w:szCs w:val="21"/>
                <w:highlight w:val="none"/>
              </w:rPr>
            </w:pPr>
          </w:p>
        </w:tc>
      </w:tr>
    </w:tbl>
    <w:p w14:paraId="0AB717C4">
      <w:pPr>
        <w:shd w:val="clear"/>
        <w:adjustRightInd w:val="0"/>
        <w:snapToGrid w:val="0"/>
        <w:spacing w:line="288" w:lineRule="auto"/>
        <w:rPr>
          <w:rFonts w:hint="eastAsia" w:ascii="仿宋" w:hAnsi="仿宋" w:eastAsia="仿宋" w:cs="仿宋"/>
          <w:color w:val="auto"/>
          <w:sz w:val="21"/>
          <w:szCs w:val="21"/>
          <w:highlight w:val="none"/>
        </w:rPr>
      </w:pPr>
    </w:p>
    <w:p w14:paraId="5FDCA4B1">
      <w:pPr>
        <w:pStyle w:val="10"/>
        <w:shd w:val="clear"/>
        <w:rPr>
          <w:rFonts w:hint="eastAsia" w:ascii="仿宋" w:hAnsi="仿宋" w:eastAsia="仿宋" w:cs="仿宋"/>
          <w:color w:val="auto"/>
          <w:spacing w:val="0"/>
          <w:sz w:val="21"/>
          <w:szCs w:val="21"/>
          <w:highlight w:val="none"/>
        </w:rPr>
      </w:pPr>
    </w:p>
    <w:p w14:paraId="3BE7242D">
      <w:pPr>
        <w:shd w:val="clear"/>
        <w:rPr>
          <w:rFonts w:hint="eastAsia" w:ascii="仿宋" w:hAnsi="仿宋" w:eastAsia="仿宋" w:cs="仿宋"/>
          <w:color w:val="auto"/>
          <w:highlight w:val="none"/>
        </w:rPr>
      </w:pPr>
    </w:p>
    <w:p w14:paraId="08FB6A37">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47235EE7">
      <w:pPr>
        <w:shd w:val="clear"/>
        <w:adjustRightInd w:val="0"/>
        <w:snapToGrid w:val="0"/>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1.此表在不改变格式要求的情况下，可自行增行。</w:t>
      </w:r>
    </w:p>
    <w:p w14:paraId="5C92DD62">
      <w:pPr>
        <w:shd w:val="clear"/>
        <w:adjustRightInd w:val="0"/>
        <w:snapToGrid w:val="0"/>
        <w:spacing w:line="288" w:lineRule="auto"/>
        <w:jc w:val="left"/>
        <w:rPr>
          <w:rFonts w:hint="eastAsia" w:ascii="仿宋" w:hAnsi="仿宋" w:eastAsia="仿宋" w:cs="仿宋"/>
          <w:b/>
          <w:color w:val="auto"/>
          <w:sz w:val="21"/>
          <w:szCs w:val="21"/>
          <w:highlight w:val="none"/>
        </w:rPr>
      </w:pPr>
      <w:r>
        <w:rPr>
          <w:rFonts w:hint="eastAsia" w:ascii="仿宋" w:hAnsi="仿宋" w:eastAsia="仿宋" w:cs="仿宋"/>
          <w:bCs/>
          <w:color w:val="auto"/>
          <w:sz w:val="21"/>
          <w:szCs w:val="21"/>
          <w:highlight w:val="none"/>
        </w:rPr>
        <w:t>2.有关本项目实施所涉及的一切费用均计入报价。</w:t>
      </w:r>
    </w:p>
    <w:p w14:paraId="71673157">
      <w:pPr>
        <w:shd w:val="clear"/>
        <w:spacing w:line="336" w:lineRule="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3.以上表格要求细分项目及报价，在“规格型号（或具体服务）”一栏中，货物类项目填写规格型号，服务类项目填写具体服务</w:t>
      </w:r>
      <w:r>
        <w:rPr>
          <w:rFonts w:hint="eastAsia" w:ascii="仿宋" w:hAnsi="仿宋" w:eastAsia="仿宋" w:cs="仿宋"/>
          <w:bCs/>
          <w:color w:val="auto"/>
          <w:sz w:val="21"/>
          <w:szCs w:val="21"/>
          <w:highlight w:val="none"/>
        </w:rPr>
        <w:t>。</w:t>
      </w:r>
    </w:p>
    <w:p w14:paraId="638C17D3">
      <w:pPr>
        <w:shd w:val="clear"/>
        <w:adjustRightInd w:val="0"/>
        <w:snapToGrid w:val="0"/>
        <w:spacing w:line="288" w:lineRule="auto"/>
        <w:rPr>
          <w:rFonts w:hint="eastAsia" w:ascii="仿宋" w:hAnsi="仿宋" w:eastAsia="仿宋" w:cs="仿宋"/>
          <w:bCs/>
          <w:color w:val="auto"/>
          <w:sz w:val="21"/>
          <w:szCs w:val="21"/>
          <w:highlight w:val="none"/>
        </w:rPr>
      </w:pPr>
    </w:p>
    <w:p w14:paraId="411E524D">
      <w:pPr>
        <w:shd w:val="clear"/>
        <w:adjustRightInd w:val="0"/>
        <w:snapToGrid w:val="0"/>
        <w:spacing w:line="288" w:lineRule="auto"/>
        <w:rPr>
          <w:rFonts w:hint="eastAsia" w:ascii="仿宋" w:hAnsi="仿宋" w:eastAsia="仿宋" w:cs="仿宋"/>
          <w:bCs/>
          <w:color w:val="auto"/>
          <w:sz w:val="21"/>
          <w:szCs w:val="21"/>
          <w:highlight w:val="none"/>
        </w:rPr>
      </w:pPr>
    </w:p>
    <w:p w14:paraId="2A596F38">
      <w:pPr>
        <w:shd w:val="clear"/>
        <w:adjustRightInd w:val="0"/>
        <w:snapToGrid w:val="0"/>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供应商名称（电子签名/公章）：</w:t>
      </w:r>
    </w:p>
    <w:p w14:paraId="54200204">
      <w:pPr>
        <w:shd w:val="clear"/>
        <w:adjustRightInd w:val="0"/>
        <w:snapToGrid w:val="0"/>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日期：2025年  月  日</w:t>
      </w:r>
    </w:p>
    <w:p w14:paraId="5E593CFB">
      <w:pPr>
        <w:pStyle w:val="80"/>
        <w:shd w:val="clear"/>
        <w:ind w:firstLine="422"/>
        <w:rPr>
          <w:rFonts w:hint="eastAsia" w:ascii="仿宋" w:hAnsi="仿宋" w:eastAsia="仿宋" w:cs="仿宋"/>
          <w:b/>
          <w:color w:val="auto"/>
          <w:sz w:val="21"/>
          <w:szCs w:val="21"/>
          <w:highlight w:val="none"/>
        </w:rPr>
      </w:pPr>
    </w:p>
    <w:p w14:paraId="76AEE761">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说明：此表在政采云开标当天最后报价时作为附件上传系统。</w:t>
      </w:r>
    </w:p>
    <w:p w14:paraId="5D46C889">
      <w:pPr>
        <w:shd w:val="clear"/>
        <w:adjustRightInd w:val="0"/>
        <w:snapToGrid w:val="0"/>
        <w:spacing w:line="288" w:lineRule="auto"/>
        <w:jc w:val="center"/>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r>
        <w:rPr>
          <w:rFonts w:hint="eastAsia" w:ascii="仿宋" w:hAnsi="仿宋" w:eastAsia="仿宋" w:cs="仿宋"/>
          <w:b/>
          <w:color w:val="auto"/>
          <w:sz w:val="21"/>
          <w:szCs w:val="21"/>
          <w:highlight w:val="none"/>
        </w:rPr>
        <w:t>十、附件</w:t>
      </w:r>
    </w:p>
    <w:p w14:paraId="51C24271">
      <w:pPr>
        <w:shd w:val="clear"/>
        <w:adjustRightInd w:val="0"/>
        <w:snapToGrid w:val="0"/>
        <w:spacing w:line="288" w:lineRule="auto"/>
        <w:outlineLvl w:val="2"/>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附件1：</w:t>
      </w:r>
      <w:r>
        <w:rPr>
          <w:rFonts w:hint="eastAsia" w:ascii="仿宋" w:hAnsi="仿宋" w:eastAsia="仿宋" w:cs="仿宋"/>
          <w:b/>
          <w:bCs/>
          <w:color w:val="auto"/>
          <w:sz w:val="21"/>
          <w:szCs w:val="21"/>
          <w:highlight w:val="none"/>
        </w:rPr>
        <w:t>业务专用章使用说明函</w:t>
      </w:r>
      <w:bookmarkEnd w:id="216"/>
      <w:bookmarkEnd w:id="217"/>
      <w:bookmarkEnd w:id="218"/>
      <w:bookmarkEnd w:id="219"/>
    </w:p>
    <w:p w14:paraId="7D538BFE">
      <w:pPr>
        <w:shd w:val="clear"/>
        <w:snapToGrid w:val="0"/>
        <w:spacing w:line="288" w:lineRule="auto"/>
        <w:rPr>
          <w:rFonts w:hint="eastAsia" w:ascii="仿宋" w:hAnsi="仿宋" w:eastAsia="仿宋" w:cs="仿宋"/>
          <w:color w:val="auto"/>
          <w:sz w:val="21"/>
          <w:szCs w:val="21"/>
          <w:highlight w:val="none"/>
          <w:u w:val="single"/>
        </w:rPr>
      </w:pPr>
    </w:p>
    <w:p w14:paraId="58810381">
      <w:pPr>
        <w:shd w:val="clear"/>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（采购人）、（采购代理机构）</w:t>
      </w:r>
    </w:p>
    <w:p w14:paraId="7C2BCCD4">
      <w:pPr>
        <w:shd w:val="clear"/>
        <w:snapToGrid w:val="0"/>
        <w:spacing w:line="288"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我方</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(供应商全称)是中华人民共和国依法登记注册的合法企业，</w:t>
      </w:r>
      <w:r>
        <w:rPr>
          <w:rFonts w:hint="eastAsia" w:ascii="仿宋" w:hAnsi="仿宋" w:eastAsia="仿宋" w:cs="仿宋"/>
          <w:bCs/>
          <w:color w:val="auto"/>
          <w:sz w:val="21"/>
          <w:szCs w:val="21"/>
          <w:highlight w:val="none"/>
        </w:rPr>
        <w:t>在参加</w:t>
      </w:r>
      <w:r>
        <w:rPr>
          <w:rFonts w:hint="eastAsia" w:ascii="仿宋" w:hAnsi="仿宋" w:eastAsia="仿宋" w:cs="仿宋"/>
          <w:color w:val="auto"/>
          <w:sz w:val="21"/>
          <w:szCs w:val="21"/>
          <w:highlight w:val="none"/>
        </w:rPr>
        <w:t>你方组织的</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u w:val="single"/>
        </w:rPr>
        <w:t>（项目编号）</w:t>
      </w:r>
      <w:r>
        <w:rPr>
          <w:rFonts w:hint="eastAsia" w:ascii="仿宋" w:hAnsi="仿宋" w:eastAsia="仿宋" w:cs="仿宋"/>
          <w:bCs/>
          <w:color w:val="auto"/>
          <w:sz w:val="21"/>
          <w:szCs w:val="21"/>
          <w:highlight w:val="none"/>
        </w:rPr>
        <w:t>响应（响应）活动中作如下说明：</w:t>
      </w:r>
      <w:r>
        <w:rPr>
          <w:rFonts w:hint="eastAsia" w:ascii="仿宋" w:hAnsi="仿宋" w:eastAsia="仿宋" w:cs="仿宋"/>
          <w:color w:val="auto"/>
          <w:sz w:val="21"/>
          <w:szCs w:val="21"/>
          <w:highlight w:val="none"/>
        </w:rPr>
        <w:t>我方所使用的</w:t>
      </w:r>
      <w:r>
        <w:rPr>
          <w:rFonts w:hint="eastAsia" w:ascii="仿宋" w:hAnsi="仿宋" w:eastAsia="仿宋" w:cs="仿宋"/>
          <w:color w:val="auto"/>
          <w:sz w:val="21"/>
          <w:szCs w:val="21"/>
          <w:highlight w:val="none"/>
          <w:u w:val="single"/>
        </w:rPr>
        <w:t>“XX专用章”</w:t>
      </w:r>
      <w:r>
        <w:rPr>
          <w:rFonts w:hint="eastAsia" w:ascii="仿宋" w:hAnsi="仿宋" w:eastAsia="仿宋" w:cs="仿宋"/>
          <w:color w:val="auto"/>
          <w:sz w:val="21"/>
          <w:szCs w:val="21"/>
          <w:highlight w:val="none"/>
        </w:rPr>
        <w:t>与法定名称章具有同等的法律效力，对使用</w:t>
      </w:r>
      <w:r>
        <w:rPr>
          <w:rFonts w:hint="eastAsia" w:ascii="仿宋" w:hAnsi="仿宋" w:eastAsia="仿宋" w:cs="仿宋"/>
          <w:color w:val="auto"/>
          <w:sz w:val="21"/>
          <w:szCs w:val="21"/>
          <w:highlight w:val="none"/>
          <w:u w:val="single"/>
        </w:rPr>
        <w:t>“XX专用章”</w:t>
      </w:r>
      <w:r>
        <w:rPr>
          <w:rFonts w:hint="eastAsia" w:ascii="仿宋" w:hAnsi="仿宋" w:eastAsia="仿宋" w:cs="仿宋"/>
          <w:color w:val="auto"/>
          <w:sz w:val="21"/>
          <w:szCs w:val="21"/>
          <w:highlight w:val="none"/>
        </w:rPr>
        <w:t>的行为予以完全承认，并愿意承担相应责任。</w:t>
      </w:r>
    </w:p>
    <w:p w14:paraId="1A9FFDC0">
      <w:pPr>
        <w:shd w:val="clear"/>
        <w:snapToGrid w:val="0"/>
        <w:spacing w:line="288"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特此说明。</w:t>
      </w:r>
    </w:p>
    <w:p w14:paraId="17544093">
      <w:pPr>
        <w:shd w:val="clear"/>
        <w:snapToGrid w:val="0"/>
        <w:spacing w:line="288" w:lineRule="auto"/>
        <w:ind w:right="480"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供应商（法定名称章）：</w:t>
      </w:r>
    </w:p>
    <w:p w14:paraId="228044C5">
      <w:pPr>
        <w:shd w:val="clear"/>
        <w:snapToGrid w:val="0"/>
        <w:spacing w:line="288" w:lineRule="auto"/>
        <w:ind w:right="1440"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       年     月     日</w:t>
      </w:r>
    </w:p>
    <w:p w14:paraId="162F00AA">
      <w:pPr>
        <w:shd w:val="clear"/>
        <w:snapToGrid w:val="0"/>
        <w:spacing w:line="288" w:lineRule="auto"/>
        <w:rPr>
          <w:rFonts w:hint="eastAsia" w:ascii="仿宋" w:hAnsi="仿宋" w:eastAsia="仿宋" w:cs="仿宋"/>
          <w:b/>
          <w:bCs/>
          <w:color w:val="auto"/>
          <w:sz w:val="21"/>
          <w:szCs w:val="21"/>
          <w:highlight w:val="none"/>
        </w:rPr>
      </w:pPr>
    </w:p>
    <w:p w14:paraId="3AA42114">
      <w:pPr>
        <w:shd w:val="clear"/>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附：</w:t>
      </w:r>
      <w:r>
        <w:rPr>
          <w:rFonts w:hint="eastAsia" w:ascii="仿宋" w:hAnsi="仿宋" w:eastAsia="仿宋" w:cs="仿宋"/>
          <w:color w:val="auto"/>
          <w:sz w:val="21"/>
          <w:szCs w:val="21"/>
          <w:highlight w:val="none"/>
        </w:rPr>
        <w:t>供应商法定名称章（印模）                供应商“XX专用章”（印模）</w:t>
      </w:r>
    </w:p>
    <w:p w14:paraId="2C421995">
      <w:pPr>
        <w:shd w:val="clear"/>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highlight w:val="none"/>
        </w:rPr>
        <mc:AlternateContent>
          <mc:Choice Requires="wps">
            <w:drawing>
              <wp:inline distT="0" distB="0" distL="0" distR="0">
                <wp:extent cx="2704465" cy="2253615"/>
                <wp:effectExtent l="5080" t="4445" r="14605" b="8890"/>
                <wp:docPr id="46576639"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矩形 4"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NeRvNYAAAAFAQAADwAAAAAAAAAB&#10;ACAAAAAiAAAAZHJzL2Rvd25yZXYueG1sUEsBAhQAFAAAAAgAh07iQFNQGNZLAgAAogQAAA4AAAAA&#10;AAAAAQAgAAAAJQEAAGRycy9lMm9Eb2MueG1sUEsFBgAAAAAGAAYAWQEAAOIFAAAAAA==&#10;">
                <v:fill on="t" focussize="0,0"/>
                <v:stroke color="#000000" miterlimit="2" joinstyle="miter"/>
                <v:imagedata o:title=""/>
                <o:lock v:ext="edit" rotation="t" aspectratio="t"/>
                <w10:wrap type="none"/>
                <w10:anchorlock/>
              </v:rect>
            </w:pict>
          </mc:Fallback>
        </mc:AlternateContent>
      </w:r>
      <w:r>
        <w:rPr>
          <w:rFonts w:hint="eastAsia" w:ascii="仿宋" w:hAnsi="仿宋" w:eastAsia="仿宋" w:cs="仿宋"/>
          <w:color w:val="auto"/>
          <w:sz w:val="21"/>
          <w:szCs w:val="21"/>
          <w:highlight w:val="none"/>
        </w:rPr>
        <w:t xml:space="preserve"> </w:t>
      </w:r>
      <w:r>
        <w:rPr>
          <w:rFonts w:hint="eastAsia" w:ascii="仿宋" w:hAnsi="仿宋" w:eastAsia="仿宋" w:cs="仿宋"/>
          <w:color w:val="auto"/>
          <w:highlight w:val="none"/>
        </w:rPr>
        <mc:AlternateContent>
          <mc:Choice Requires="wps">
            <w:drawing>
              <wp:inline distT="0" distB="0" distL="0" distR="0">
                <wp:extent cx="2647950" cy="2253615"/>
                <wp:effectExtent l="5080" t="4445" r="13970" b="8890"/>
                <wp:docPr id="1119095595"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矩形 2"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VSUy1AAAAAUBAAAPAAAAAAAAAAEA&#10;IAAAACIAAABkcnMvZG93bnJldi54bWxQSwECFAAUAAAACACHTuJAOkzxz0wCAACkBAAADgAAAAAA&#10;AAABACAAAAAjAQAAZHJzL2Uyb0RvYy54bWxQSwUGAAAAAAYABgBZAQAA4QUAAAAA&#10;">
                <v:fill on="t" focussize="0,0"/>
                <v:stroke color="#000000" miterlimit="2" joinstyle="miter"/>
                <v:imagedata o:title=""/>
                <o:lock v:ext="edit" rotation="t" aspectratio="t"/>
                <w10:wrap type="none"/>
                <w10:anchorlock/>
              </v:rect>
            </w:pict>
          </mc:Fallback>
        </mc:AlternateContent>
      </w:r>
    </w:p>
    <w:p w14:paraId="245FE62E">
      <w:pPr>
        <w:widowControl/>
        <w:shd w:val="clear"/>
        <w:jc w:val="left"/>
        <w:rPr>
          <w:rFonts w:hint="eastAsia" w:ascii="仿宋" w:hAnsi="仿宋" w:eastAsia="仿宋" w:cs="仿宋"/>
          <w:b/>
          <w:color w:val="auto"/>
          <w:sz w:val="21"/>
          <w:szCs w:val="21"/>
          <w:highlight w:val="none"/>
        </w:rPr>
      </w:pPr>
    </w:p>
    <w:p w14:paraId="1471ED64">
      <w:pPr>
        <w:shd w:val="clear"/>
        <w:snapToGrid w:val="0"/>
        <w:spacing w:line="288" w:lineRule="auto"/>
        <w:jc w:val="left"/>
        <w:outlineLvl w:val="2"/>
        <w:rPr>
          <w:rFonts w:hint="eastAsia" w:ascii="仿宋" w:hAnsi="仿宋" w:eastAsia="仿宋" w:cs="仿宋"/>
          <w:b/>
          <w:color w:val="auto"/>
          <w:kern w:val="0"/>
          <w:sz w:val="21"/>
          <w:szCs w:val="21"/>
          <w:highlight w:val="none"/>
          <w:lang w:val="zh-CN"/>
        </w:rPr>
      </w:pPr>
      <w:bookmarkStart w:id="220" w:name="_Toc23516"/>
      <w:bookmarkStart w:id="221" w:name="_Toc24386"/>
      <w:bookmarkStart w:id="222" w:name="_Toc24422"/>
      <w:bookmarkStart w:id="223" w:name="_Toc23208"/>
      <w:r>
        <w:rPr>
          <w:rFonts w:hint="eastAsia" w:ascii="仿宋" w:hAnsi="仿宋" w:eastAsia="仿宋" w:cs="仿宋"/>
          <w:b/>
          <w:color w:val="auto"/>
          <w:kern w:val="0"/>
          <w:sz w:val="21"/>
          <w:szCs w:val="21"/>
          <w:highlight w:val="none"/>
          <w:lang w:val="zh-CN"/>
        </w:rPr>
        <w:br w:type="page"/>
      </w:r>
      <w:r>
        <w:rPr>
          <w:rFonts w:hint="eastAsia" w:ascii="仿宋" w:hAnsi="仿宋" w:eastAsia="仿宋" w:cs="仿宋"/>
          <w:b/>
          <w:color w:val="auto"/>
          <w:kern w:val="0"/>
          <w:sz w:val="21"/>
          <w:szCs w:val="21"/>
          <w:highlight w:val="none"/>
          <w:lang w:val="zh-CN"/>
        </w:rPr>
        <w:t>附件2：联合协议</w:t>
      </w:r>
      <w:bookmarkEnd w:id="220"/>
      <w:bookmarkEnd w:id="221"/>
      <w:bookmarkEnd w:id="222"/>
      <w:bookmarkEnd w:id="223"/>
    </w:p>
    <w:p w14:paraId="1B9197E7">
      <w:pPr>
        <w:pStyle w:val="10"/>
        <w:shd w:val="clear"/>
        <w:rPr>
          <w:rFonts w:hint="eastAsia" w:ascii="仿宋" w:hAnsi="仿宋" w:eastAsia="仿宋" w:cs="仿宋"/>
          <w:color w:val="auto"/>
          <w:highlight w:val="none"/>
          <w:lang w:val="zh-CN"/>
        </w:rPr>
      </w:pPr>
    </w:p>
    <w:p w14:paraId="5DF2A04F">
      <w:pPr>
        <w:widowControl/>
        <w:shd w:val="clear"/>
        <w:snapToGrid w:val="0"/>
        <w:spacing w:line="288" w:lineRule="auto"/>
        <w:ind w:firstLine="424" w:firstLineChars="201"/>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（以联合体形式响应的，提供联合协议。供应商不以联合体形式响应的，则不需要提供）</w:t>
      </w:r>
    </w:p>
    <w:p w14:paraId="50FC3CCA">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（联合体所有成员名称）</w:t>
      </w:r>
      <w:r>
        <w:rPr>
          <w:rFonts w:hint="eastAsia" w:ascii="仿宋" w:hAnsi="仿宋" w:eastAsia="仿宋" w:cs="仿宋"/>
          <w:color w:val="auto"/>
          <w:kern w:val="0"/>
          <w:sz w:val="21"/>
          <w:szCs w:val="21"/>
          <w:highlight w:val="none"/>
        </w:rPr>
        <w:t>自愿</w:t>
      </w:r>
      <w:r>
        <w:rPr>
          <w:rFonts w:hint="eastAsia" w:ascii="仿宋" w:hAnsi="仿宋" w:eastAsia="仿宋" w:cs="仿宋"/>
          <w:color w:val="auto"/>
          <w:kern w:val="0"/>
          <w:sz w:val="21"/>
          <w:szCs w:val="21"/>
          <w:highlight w:val="none"/>
          <w:lang w:val="zh-CN"/>
        </w:rPr>
        <w:t>组成一个联合体，以一个供应商的身份</w:t>
      </w:r>
      <w:r>
        <w:rPr>
          <w:rFonts w:hint="eastAsia" w:ascii="仿宋" w:hAnsi="仿宋" w:eastAsia="仿宋" w:cs="仿宋"/>
          <w:color w:val="auto"/>
          <w:kern w:val="0"/>
          <w:sz w:val="21"/>
          <w:szCs w:val="21"/>
          <w:highlight w:val="none"/>
        </w:rPr>
        <w:t>参加</w:t>
      </w:r>
      <w:r>
        <w:rPr>
          <w:rFonts w:hint="eastAsia" w:ascii="仿宋" w:hAnsi="仿宋" w:eastAsia="仿宋" w:cs="仿宋"/>
          <w:color w:val="auto"/>
          <w:sz w:val="21"/>
          <w:szCs w:val="21"/>
          <w:highlight w:val="none"/>
        </w:rPr>
        <w:t>（项目名称）【招标编号：（采购编号）】</w:t>
      </w:r>
      <w:r>
        <w:rPr>
          <w:rFonts w:hint="eastAsia" w:ascii="仿宋" w:hAnsi="仿宋" w:eastAsia="仿宋" w:cs="仿宋"/>
          <w:color w:val="auto"/>
          <w:kern w:val="0"/>
          <w:sz w:val="21"/>
          <w:szCs w:val="21"/>
          <w:highlight w:val="none"/>
          <w:lang w:val="zh-CN"/>
        </w:rPr>
        <w:t>响应。</w:t>
      </w:r>
    </w:p>
    <w:p w14:paraId="159B24C8">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一、各方一致决定，</w:t>
      </w:r>
      <w:r>
        <w:rPr>
          <w:rFonts w:hint="eastAsia" w:ascii="仿宋" w:hAnsi="仿宋" w:eastAsia="仿宋" w:cs="仿宋"/>
          <w:color w:val="auto"/>
          <w:kern w:val="0"/>
          <w:sz w:val="21"/>
          <w:szCs w:val="21"/>
          <w:highlight w:val="none"/>
          <w:u w:val="single"/>
        </w:rPr>
        <w:t>（某联合体成员名称）</w:t>
      </w:r>
      <w:r>
        <w:rPr>
          <w:rFonts w:hint="eastAsia" w:ascii="仿宋" w:hAnsi="仿宋" w:eastAsia="仿宋" w:cs="仿宋"/>
          <w:color w:val="auto"/>
          <w:kern w:val="0"/>
          <w:sz w:val="21"/>
          <w:szCs w:val="21"/>
          <w:highlight w:val="none"/>
        </w:rPr>
        <w:t>为联合体</w:t>
      </w:r>
      <w:r>
        <w:rPr>
          <w:rFonts w:hint="eastAsia" w:ascii="仿宋" w:hAnsi="仿宋" w:eastAsia="仿宋" w:cs="仿宋"/>
          <w:color w:val="auto"/>
          <w:kern w:val="0"/>
          <w:sz w:val="21"/>
          <w:szCs w:val="21"/>
          <w:highlight w:val="none"/>
          <w:lang w:val="zh-CN"/>
        </w:rPr>
        <w:t>牵头人</w:t>
      </w:r>
      <w:r>
        <w:rPr>
          <w:rFonts w:hint="eastAsia" w:ascii="仿宋" w:hAnsi="仿宋" w:eastAsia="仿宋" w:cs="仿宋"/>
          <w:color w:val="auto"/>
          <w:sz w:val="21"/>
          <w:szCs w:val="21"/>
          <w:highlight w:val="none"/>
        </w:rPr>
        <w:t>，代表所有联合体成员负责响应和合同实施阶段的主办、协调工作</w:t>
      </w:r>
      <w:r>
        <w:rPr>
          <w:rFonts w:hint="eastAsia" w:ascii="仿宋" w:hAnsi="仿宋" w:eastAsia="仿宋" w:cs="仿宋"/>
          <w:color w:val="auto"/>
          <w:kern w:val="0"/>
          <w:sz w:val="21"/>
          <w:szCs w:val="21"/>
          <w:highlight w:val="none"/>
          <w:lang w:val="zh-CN"/>
        </w:rPr>
        <w:t>。</w:t>
      </w:r>
    </w:p>
    <w:p w14:paraId="00C05B08">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w:t>
      </w:r>
      <w:r>
        <w:rPr>
          <w:rFonts w:hint="eastAsia" w:ascii="仿宋" w:hAnsi="仿宋" w:eastAsia="仿宋" w:cs="仿宋"/>
          <w:color w:val="auto"/>
          <w:sz w:val="21"/>
          <w:szCs w:val="21"/>
          <w:highlight w:val="none"/>
        </w:rPr>
        <w:t>所有联合体成员各方签署授权书，授权书载明的</w:t>
      </w:r>
      <w:r>
        <w:rPr>
          <w:rFonts w:hint="eastAsia" w:ascii="仿宋" w:hAnsi="仿宋" w:eastAsia="仿宋" w:cs="仿宋"/>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5E49F6FF">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三、本次联合响应中，分工如下：</w:t>
      </w:r>
      <w:r>
        <w:rPr>
          <w:rFonts w:hint="eastAsia" w:ascii="仿宋" w:hAnsi="仿宋" w:eastAsia="仿宋" w:cs="仿宋"/>
          <w:color w:val="auto"/>
          <w:kern w:val="0"/>
          <w:sz w:val="21"/>
          <w:szCs w:val="21"/>
          <w:highlight w:val="none"/>
          <w:u w:val="single"/>
        </w:rPr>
        <w:t>（联合体其中一方成员名称）</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0C7122EC">
      <w:pPr>
        <w:shd w:val="clear"/>
        <w:snapToGrid w:val="0"/>
        <w:spacing w:line="288" w:lineRule="auto"/>
        <w:ind w:firstLine="422" w:firstLineChars="201"/>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四、</w:t>
      </w:r>
      <w:r>
        <w:rPr>
          <w:rFonts w:hint="eastAsia" w:ascii="仿宋" w:hAnsi="仿宋" w:eastAsia="仿宋" w:cs="仿宋"/>
          <w:color w:val="auto"/>
          <w:kern w:val="0"/>
          <w:sz w:val="21"/>
          <w:szCs w:val="21"/>
          <w:highlight w:val="none"/>
          <w:u w:val="single"/>
        </w:rPr>
        <w:t>（联合体其中一方成员名称）</w:t>
      </w:r>
      <w:r>
        <w:rPr>
          <w:rFonts w:hint="eastAsia" w:ascii="仿宋" w:hAnsi="仿宋" w:eastAsia="仿宋" w:cs="仿宋"/>
          <w:color w:val="auto"/>
          <w:kern w:val="0"/>
          <w:sz w:val="21"/>
          <w:szCs w:val="21"/>
          <w:highlight w:val="none"/>
        </w:rPr>
        <w:t>提供的全部货物由小微企业制造，其合同份额占到合同总金额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接受联合体响应的，联合体其中一方提供的货物全部由小微企业制造，且其合同份额占到合同总金额30%以上，对联合体报价给予3%的扣除）</w:t>
      </w:r>
    </w:p>
    <w:p w14:paraId="5620DE1F">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五、如果成交，</w:t>
      </w:r>
      <w:r>
        <w:rPr>
          <w:rFonts w:hint="eastAsia" w:ascii="仿宋" w:hAnsi="仿宋" w:eastAsia="仿宋" w:cs="仿宋"/>
          <w:color w:val="auto"/>
          <w:sz w:val="21"/>
          <w:szCs w:val="21"/>
          <w:highlight w:val="none"/>
        </w:rPr>
        <w:t>联合体各成员方共同与采购人签订合同，并就采购合同约定的事项对采购人承担连带责任。</w:t>
      </w:r>
    </w:p>
    <w:p w14:paraId="00B602A1">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六、有关本次联合响应的其他事宜：</w:t>
      </w:r>
    </w:p>
    <w:p w14:paraId="33999F1B">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1、联合体各方不再单独参加或者与其他供应商另外组成联合体参加同一合同项下的政府采购活动。</w:t>
      </w:r>
    </w:p>
    <w:p w14:paraId="7AD23685">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2、联合体中有同类资质的各方按照联合体分工承担相同工作的，按照资质等级较低的供应商确定资质等级。</w:t>
      </w:r>
    </w:p>
    <w:p w14:paraId="67E31CC3">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3、本协议提交采购人、采购机构后，联合体各方不得以任何形式对上述内容进行修改或撤销。</w:t>
      </w:r>
    </w:p>
    <w:p w14:paraId="425EEB89">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p>
    <w:p w14:paraId="7660ECBD">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p>
    <w:p w14:paraId="6B2D4E92">
      <w:pPr>
        <w:shd w:val="clear"/>
        <w:snapToGrid w:val="0"/>
        <w:spacing w:line="288" w:lineRule="auto"/>
        <w:ind w:firstLine="424" w:firstLineChars="201"/>
        <w:rPr>
          <w:rFonts w:hint="eastAsia" w:ascii="仿宋" w:hAnsi="仿宋" w:eastAsia="仿宋" w:cs="仿宋"/>
          <w:b/>
          <w:bCs/>
          <w:color w:val="auto"/>
          <w:kern w:val="0"/>
          <w:sz w:val="21"/>
          <w:szCs w:val="21"/>
          <w:highlight w:val="none"/>
          <w:lang w:val="zh-CN"/>
        </w:rPr>
      </w:pPr>
      <w:r>
        <w:rPr>
          <w:rFonts w:hint="eastAsia" w:ascii="仿宋" w:hAnsi="仿宋" w:eastAsia="仿宋" w:cs="仿宋"/>
          <w:b/>
          <w:bCs/>
          <w:color w:val="auto"/>
          <w:kern w:val="0"/>
          <w:sz w:val="21"/>
          <w:szCs w:val="21"/>
          <w:highlight w:val="none"/>
          <w:lang w:val="zh-CN"/>
        </w:rPr>
        <w:t>联合体成员名称(电子签名/公章)：</w:t>
      </w:r>
    </w:p>
    <w:p w14:paraId="521C82F9">
      <w:pPr>
        <w:shd w:val="clear"/>
        <w:snapToGrid w:val="0"/>
        <w:spacing w:line="288" w:lineRule="auto"/>
        <w:ind w:firstLine="424" w:firstLineChars="201"/>
        <w:rPr>
          <w:rFonts w:hint="eastAsia" w:ascii="仿宋" w:hAnsi="仿宋" w:eastAsia="仿宋" w:cs="仿宋"/>
          <w:b/>
          <w:bCs/>
          <w:color w:val="auto"/>
          <w:kern w:val="0"/>
          <w:sz w:val="21"/>
          <w:szCs w:val="21"/>
          <w:highlight w:val="none"/>
          <w:lang w:val="zh-CN"/>
        </w:rPr>
      </w:pPr>
    </w:p>
    <w:p w14:paraId="08FD7481">
      <w:pPr>
        <w:shd w:val="clear"/>
        <w:snapToGrid w:val="0"/>
        <w:spacing w:line="288" w:lineRule="auto"/>
        <w:ind w:firstLine="424" w:firstLineChars="201"/>
        <w:rPr>
          <w:rFonts w:hint="eastAsia" w:ascii="仿宋" w:hAnsi="仿宋" w:eastAsia="仿宋" w:cs="仿宋"/>
          <w:b/>
          <w:bCs/>
          <w:color w:val="auto"/>
          <w:sz w:val="21"/>
          <w:szCs w:val="21"/>
          <w:highlight w:val="none"/>
        </w:rPr>
      </w:pPr>
    </w:p>
    <w:p w14:paraId="20AFFD7F">
      <w:pPr>
        <w:shd w:val="clear"/>
        <w:snapToGrid w:val="0"/>
        <w:spacing w:line="288" w:lineRule="auto"/>
        <w:ind w:firstLine="424" w:firstLineChars="201"/>
        <w:rPr>
          <w:rFonts w:hint="eastAsia" w:ascii="仿宋" w:hAnsi="仿宋" w:eastAsia="仿宋" w:cs="仿宋"/>
          <w:b/>
          <w:bCs/>
          <w:color w:val="auto"/>
          <w:kern w:val="0"/>
          <w:sz w:val="21"/>
          <w:szCs w:val="21"/>
          <w:highlight w:val="none"/>
          <w:lang w:val="zh-CN"/>
        </w:rPr>
      </w:pPr>
      <w:r>
        <w:rPr>
          <w:rFonts w:hint="eastAsia" w:ascii="仿宋" w:hAnsi="仿宋" w:eastAsia="仿宋" w:cs="仿宋"/>
          <w:b/>
          <w:bCs/>
          <w:color w:val="auto"/>
          <w:kern w:val="0"/>
          <w:sz w:val="21"/>
          <w:szCs w:val="21"/>
          <w:highlight w:val="none"/>
          <w:lang w:val="zh-CN"/>
        </w:rPr>
        <w:t>日期：  年  月   日</w:t>
      </w:r>
    </w:p>
    <w:p w14:paraId="2A7F8496">
      <w:pPr>
        <w:widowControl/>
        <w:shd w:val="clear"/>
        <w:jc w:val="left"/>
        <w:rPr>
          <w:rFonts w:hint="eastAsia" w:ascii="仿宋" w:hAnsi="仿宋" w:eastAsia="仿宋" w:cs="仿宋"/>
          <w:b/>
          <w:color w:val="auto"/>
          <w:kern w:val="0"/>
          <w:sz w:val="21"/>
          <w:szCs w:val="21"/>
          <w:highlight w:val="none"/>
        </w:rPr>
      </w:pPr>
    </w:p>
    <w:p w14:paraId="73C1E573">
      <w:pPr>
        <w:shd w:val="clear"/>
        <w:snapToGrid w:val="0"/>
        <w:spacing w:line="288" w:lineRule="auto"/>
        <w:jc w:val="left"/>
        <w:outlineLvl w:val="2"/>
        <w:rPr>
          <w:rFonts w:hint="eastAsia" w:ascii="仿宋" w:hAnsi="仿宋" w:eastAsia="仿宋" w:cs="仿宋"/>
          <w:b/>
          <w:color w:val="auto"/>
          <w:kern w:val="0"/>
          <w:sz w:val="21"/>
          <w:szCs w:val="21"/>
          <w:highlight w:val="none"/>
        </w:rPr>
      </w:pPr>
      <w:bookmarkStart w:id="224" w:name="_Toc8476"/>
      <w:bookmarkStart w:id="225" w:name="_Toc5675"/>
      <w:bookmarkStart w:id="226" w:name="_Toc23454"/>
      <w:bookmarkStart w:id="227" w:name="_Toc30452"/>
      <w:r>
        <w:rPr>
          <w:rFonts w:hint="eastAsia" w:ascii="仿宋" w:hAnsi="仿宋" w:eastAsia="仿宋" w:cs="仿宋"/>
          <w:b/>
          <w:color w:val="auto"/>
          <w:kern w:val="0"/>
          <w:sz w:val="21"/>
          <w:szCs w:val="21"/>
          <w:highlight w:val="none"/>
        </w:rPr>
        <w:br w:type="page"/>
      </w:r>
      <w:r>
        <w:rPr>
          <w:rFonts w:hint="eastAsia" w:ascii="仿宋" w:hAnsi="仿宋" w:eastAsia="仿宋" w:cs="仿宋"/>
          <w:b/>
          <w:color w:val="auto"/>
          <w:kern w:val="0"/>
          <w:sz w:val="21"/>
          <w:szCs w:val="21"/>
          <w:highlight w:val="none"/>
        </w:rPr>
        <w:t>附件3：分包意向协议</w:t>
      </w:r>
      <w:bookmarkEnd w:id="224"/>
      <w:bookmarkEnd w:id="225"/>
      <w:bookmarkEnd w:id="226"/>
      <w:bookmarkEnd w:id="227"/>
    </w:p>
    <w:p w14:paraId="76347064">
      <w:pPr>
        <w:pStyle w:val="10"/>
        <w:shd w:val="clear"/>
        <w:rPr>
          <w:rFonts w:hint="eastAsia" w:ascii="仿宋" w:hAnsi="仿宋" w:eastAsia="仿宋" w:cs="仿宋"/>
          <w:color w:val="auto"/>
          <w:highlight w:val="none"/>
        </w:rPr>
      </w:pPr>
    </w:p>
    <w:p w14:paraId="3FA677BD">
      <w:pPr>
        <w:widowControl/>
        <w:shd w:val="clear"/>
        <w:snapToGrid w:val="0"/>
        <w:spacing w:line="288" w:lineRule="auto"/>
        <w:ind w:firstLine="422" w:firstLineChars="201"/>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1"/>
          <w:szCs w:val="21"/>
          <w:highlight w:val="none"/>
        </w:rPr>
        <w:t>）</w:t>
      </w:r>
    </w:p>
    <w:p w14:paraId="5B9759F4">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rPr>
        <w:t>（项目名称）【招标编号：（采购编号）】</w:t>
      </w:r>
      <w:r>
        <w:rPr>
          <w:rFonts w:hint="eastAsia" w:ascii="仿宋" w:hAnsi="仿宋" w:eastAsia="仿宋" w:cs="仿宋"/>
          <w:color w:val="auto"/>
          <w:kern w:val="0"/>
          <w:sz w:val="21"/>
          <w:szCs w:val="21"/>
          <w:highlight w:val="none"/>
          <w:lang w:val="zh-CN"/>
        </w:rPr>
        <w:t>的成交供应商，将依法采取分包方式履行合同。</w:t>
      </w: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 xml:space="preserve">。 </w:t>
      </w:r>
    </w:p>
    <w:p w14:paraId="202257AC">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14:paraId="7539E51C">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color w:val="auto"/>
          <w:sz w:val="21"/>
          <w:szCs w:val="21"/>
          <w:highlight w:val="none"/>
          <w:u w:val="single"/>
        </w:rPr>
        <w:t xml:space="preserve">   XX工作内容   </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（某分包供应商名称）</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u w:val="single"/>
        </w:rPr>
        <w:t>（某分包供应商名称），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14:paraId="09395F14">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p>
    <w:p w14:paraId="78A2B615">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二、分包工作履行期限、地点、方式</w:t>
      </w:r>
    </w:p>
    <w:p w14:paraId="05235B01">
      <w:pPr>
        <w:shd w:val="clear"/>
        <w:snapToGrid w:val="0"/>
        <w:spacing w:line="288" w:lineRule="auto"/>
        <w:ind w:firstLine="422" w:firstLineChars="201"/>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14:paraId="59670A6C">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三、质量</w:t>
      </w:r>
    </w:p>
    <w:p w14:paraId="250EF27E">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69C28F42">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四、价款或者报酬</w:t>
      </w:r>
    </w:p>
    <w:p w14:paraId="3E8C7AAE">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516373BA">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五、违约责任</w:t>
      </w:r>
    </w:p>
    <w:p w14:paraId="0B9A6B6D">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0AAED90A">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六、争议解决的办法</w:t>
      </w:r>
    </w:p>
    <w:p w14:paraId="06C094A5">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306DF7D8">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七、其他</w:t>
      </w:r>
    </w:p>
    <w:p w14:paraId="3104C342">
      <w:pPr>
        <w:shd w:val="clear"/>
        <w:snapToGrid w:val="0"/>
        <w:spacing w:line="288" w:lineRule="auto"/>
        <w:ind w:firstLine="422" w:firstLineChars="201"/>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u w:val="single"/>
        </w:rPr>
        <w:t>（分包供应商名称）提供的货物全部由小微企业制造，</w:t>
      </w:r>
      <w:r>
        <w:rPr>
          <w:rFonts w:hint="eastAsia" w:ascii="仿宋" w:hAnsi="仿宋" w:eastAsia="仿宋" w:cs="仿宋"/>
          <w:color w:val="auto"/>
          <w:kern w:val="0"/>
          <w:sz w:val="21"/>
          <w:szCs w:val="21"/>
          <w:highlight w:val="none"/>
        </w:rPr>
        <w:t>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sz w:val="21"/>
          <w:szCs w:val="21"/>
          <w:highlight w:val="none"/>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允许分包的，分包供应商提供的货物全部由小微企业制造，且其合同份额占到合同总金额30%以上的，对大中型企业的报价给予3%的扣除）</w:t>
      </w:r>
    </w:p>
    <w:p w14:paraId="319CC82A">
      <w:pPr>
        <w:shd w:val="clear"/>
        <w:snapToGrid w:val="0"/>
        <w:spacing w:line="288" w:lineRule="auto"/>
        <w:rPr>
          <w:rFonts w:hint="eastAsia" w:ascii="仿宋" w:hAnsi="仿宋" w:eastAsia="仿宋" w:cs="仿宋"/>
          <w:color w:val="auto"/>
          <w:kern w:val="0"/>
          <w:sz w:val="21"/>
          <w:szCs w:val="21"/>
          <w:highlight w:val="none"/>
          <w:lang w:val="zh-CN"/>
        </w:rPr>
      </w:pPr>
    </w:p>
    <w:p w14:paraId="46715361">
      <w:pPr>
        <w:shd w:val="clear"/>
        <w:snapToGrid w:val="0"/>
        <w:spacing w:line="288" w:lineRule="auto"/>
        <w:ind w:firstLine="422" w:firstLineChars="200"/>
        <w:rPr>
          <w:rFonts w:hint="eastAsia" w:ascii="仿宋" w:hAnsi="仿宋" w:eastAsia="仿宋" w:cs="仿宋"/>
          <w:b/>
          <w:bCs/>
          <w:color w:val="auto"/>
          <w:kern w:val="0"/>
          <w:sz w:val="21"/>
          <w:szCs w:val="21"/>
          <w:highlight w:val="none"/>
          <w:lang w:val="zh-CN"/>
        </w:rPr>
      </w:pPr>
      <w:r>
        <w:rPr>
          <w:rFonts w:hint="eastAsia" w:ascii="仿宋" w:hAnsi="仿宋" w:eastAsia="仿宋" w:cs="仿宋"/>
          <w:b/>
          <w:bCs/>
          <w:color w:val="auto"/>
          <w:kern w:val="0"/>
          <w:sz w:val="21"/>
          <w:szCs w:val="21"/>
          <w:highlight w:val="none"/>
          <w:lang w:val="zh-CN"/>
        </w:rPr>
        <w:t>供应商名称（电子签名/公章）：</w:t>
      </w:r>
    </w:p>
    <w:p w14:paraId="5490F6C6">
      <w:pPr>
        <w:shd w:val="clear"/>
        <w:snapToGrid w:val="0"/>
        <w:spacing w:line="288" w:lineRule="auto"/>
        <w:ind w:firstLine="424" w:firstLineChars="201"/>
        <w:rPr>
          <w:rFonts w:hint="eastAsia" w:ascii="仿宋" w:hAnsi="仿宋" w:eastAsia="仿宋" w:cs="仿宋"/>
          <w:b/>
          <w:bCs/>
          <w:color w:val="auto"/>
          <w:kern w:val="0"/>
          <w:sz w:val="21"/>
          <w:szCs w:val="21"/>
          <w:highlight w:val="none"/>
          <w:lang w:val="zh-CN"/>
        </w:rPr>
      </w:pPr>
    </w:p>
    <w:p w14:paraId="21B0752C">
      <w:pPr>
        <w:shd w:val="clear"/>
        <w:snapToGrid w:val="0"/>
        <w:spacing w:line="288" w:lineRule="auto"/>
        <w:ind w:firstLine="424" w:firstLineChars="201"/>
        <w:rPr>
          <w:rFonts w:hint="eastAsia" w:ascii="仿宋" w:hAnsi="仿宋" w:eastAsia="仿宋" w:cs="仿宋"/>
          <w:b/>
          <w:bCs/>
          <w:color w:val="auto"/>
          <w:kern w:val="0"/>
          <w:sz w:val="21"/>
          <w:szCs w:val="21"/>
          <w:highlight w:val="none"/>
          <w:lang w:val="zh-CN"/>
        </w:rPr>
      </w:pPr>
      <w:r>
        <w:rPr>
          <w:rFonts w:hint="eastAsia" w:ascii="仿宋" w:hAnsi="仿宋" w:eastAsia="仿宋" w:cs="仿宋"/>
          <w:b/>
          <w:bCs/>
          <w:color w:val="auto"/>
          <w:kern w:val="0"/>
          <w:sz w:val="21"/>
          <w:szCs w:val="21"/>
          <w:highlight w:val="none"/>
          <w:lang w:val="zh-CN"/>
        </w:rPr>
        <w:t>分包供应商名称：</w:t>
      </w:r>
    </w:p>
    <w:p w14:paraId="35886E0D">
      <w:pPr>
        <w:shd w:val="clear"/>
        <w:snapToGrid w:val="0"/>
        <w:spacing w:line="288" w:lineRule="auto"/>
        <w:rPr>
          <w:rFonts w:hint="eastAsia" w:ascii="仿宋" w:hAnsi="仿宋" w:eastAsia="仿宋" w:cs="仿宋"/>
          <w:b/>
          <w:bCs/>
          <w:color w:val="auto"/>
          <w:kern w:val="0"/>
          <w:sz w:val="21"/>
          <w:szCs w:val="21"/>
          <w:highlight w:val="none"/>
          <w:lang w:val="zh-CN"/>
        </w:rPr>
      </w:pPr>
    </w:p>
    <w:p w14:paraId="2410FA00">
      <w:pPr>
        <w:shd w:val="clear"/>
        <w:snapToGrid w:val="0"/>
        <w:spacing w:line="288" w:lineRule="auto"/>
        <w:ind w:firstLine="424" w:firstLineChars="201"/>
        <w:rPr>
          <w:rFonts w:hint="eastAsia" w:ascii="仿宋" w:hAnsi="仿宋" w:eastAsia="仿宋" w:cs="仿宋"/>
          <w:b/>
          <w:bCs/>
          <w:color w:val="auto"/>
          <w:kern w:val="0"/>
          <w:sz w:val="21"/>
          <w:szCs w:val="21"/>
          <w:highlight w:val="none"/>
          <w:lang w:val="zh-CN"/>
        </w:rPr>
      </w:pPr>
      <w:r>
        <w:rPr>
          <w:rFonts w:hint="eastAsia" w:ascii="仿宋" w:hAnsi="仿宋" w:eastAsia="仿宋" w:cs="仿宋"/>
          <w:b/>
          <w:bCs/>
          <w:color w:val="auto"/>
          <w:kern w:val="0"/>
          <w:sz w:val="21"/>
          <w:szCs w:val="21"/>
          <w:highlight w:val="none"/>
          <w:lang w:val="zh-CN"/>
        </w:rPr>
        <w:t>日期：  年  月   日</w:t>
      </w:r>
    </w:p>
    <w:p w14:paraId="57A394B7">
      <w:pPr>
        <w:shd w:val="clear"/>
        <w:snapToGrid w:val="0"/>
        <w:spacing w:line="288" w:lineRule="auto"/>
        <w:jc w:val="left"/>
        <w:outlineLvl w:val="2"/>
        <w:rPr>
          <w:rFonts w:hint="eastAsia" w:ascii="仿宋" w:hAnsi="仿宋" w:eastAsia="仿宋" w:cs="仿宋"/>
          <w:b/>
          <w:color w:val="auto"/>
          <w:sz w:val="32"/>
          <w:szCs w:val="32"/>
          <w:highlight w:val="none"/>
        </w:rPr>
      </w:pPr>
      <w:r>
        <w:rPr>
          <w:rFonts w:hint="eastAsia" w:ascii="仿宋" w:hAnsi="仿宋" w:eastAsia="仿宋" w:cs="仿宋"/>
          <w:b/>
          <w:bCs/>
          <w:color w:val="auto"/>
          <w:kern w:val="0"/>
          <w:sz w:val="21"/>
          <w:szCs w:val="21"/>
          <w:highlight w:val="none"/>
          <w:lang w:val="zh-CN"/>
        </w:rPr>
        <w:br w:type="page"/>
      </w:r>
      <w:bookmarkStart w:id="228" w:name="_Toc10678"/>
      <w:bookmarkStart w:id="229" w:name="_Toc25656"/>
      <w:bookmarkStart w:id="230" w:name="_Toc7397"/>
      <w:r>
        <w:rPr>
          <w:rFonts w:hint="eastAsia" w:ascii="仿宋" w:hAnsi="仿宋" w:eastAsia="仿宋" w:cs="仿宋"/>
          <w:b/>
          <w:color w:val="auto"/>
          <w:kern w:val="0"/>
          <w:sz w:val="21"/>
          <w:szCs w:val="21"/>
          <w:highlight w:val="none"/>
        </w:rPr>
        <w:t>附件4：投诉书范本及制作说明</w:t>
      </w:r>
      <w:bookmarkEnd w:id="228"/>
      <w:bookmarkEnd w:id="229"/>
      <w:bookmarkEnd w:id="230"/>
    </w:p>
    <w:p w14:paraId="2807E7BF">
      <w:pPr>
        <w:shd w:val="clear"/>
        <w:spacing w:line="360" w:lineRule="auto"/>
        <w:jc w:val="center"/>
        <w:rPr>
          <w:rFonts w:hint="eastAsia" w:ascii="仿宋" w:hAnsi="仿宋" w:eastAsia="仿宋" w:cs="仿宋"/>
          <w:b/>
          <w:color w:val="auto"/>
          <w:highlight w:val="none"/>
        </w:rPr>
      </w:pPr>
    </w:p>
    <w:p w14:paraId="4C14D937">
      <w:pPr>
        <w:shd w:val="clea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投诉书范本</w:t>
      </w:r>
    </w:p>
    <w:p w14:paraId="01E96E69">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一、投诉相关主体基本情况</w:t>
      </w:r>
    </w:p>
    <w:p w14:paraId="1E5B574A">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w:t>
      </w:r>
      <w:r>
        <w:rPr>
          <w:rFonts w:hint="eastAsia" w:ascii="仿宋" w:hAnsi="仿宋" w:eastAsia="仿宋" w:cs="仿宋"/>
          <w:color w:val="auto"/>
          <w:sz w:val="21"/>
          <w:szCs w:val="21"/>
          <w:highlight w:val="none"/>
          <w:u w:val="dotted"/>
        </w:rPr>
        <w:t xml:space="preserve">                                               </w:t>
      </w:r>
    </w:p>
    <w:p w14:paraId="164C1CD2">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85346D8">
      <w:pPr>
        <w:shd w:val="clear"/>
        <w:tabs>
          <w:tab w:val="left" w:pos="6510"/>
        </w:tabs>
        <w:spacing w:line="288"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法定代表人/主要负责人：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3667F3A7">
      <w:pPr>
        <w:shd w:val="clear"/>
        <w:tabs>
          <w:tab w:val="left" w:pos="6510"/>
        </w:tabs>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3995AEC5">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6C86E5A3">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dotted"/>
        </w:rPr>
        <w:t xml:space="preserve">                   </w:t>
      </w:r>
    </w:p>
    <w:p w14:paraId="227DA2AA">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被投诉人1：</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FBE2432">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3D326EA2">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571A535">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被投诉人2</w:t>
      </w:r>
    </w:p>
    <w:p w14:paraId="1F81DDCF">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724B67A9">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相关供应商：</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74A261DB">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526DAAB4">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34258C17">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二、投诉项目基本情况</w:t>
      </w:r>
    </w:p>
    <w:p w14:paraId="1B2E3B28">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dotted"/>
        </w:rPr>
        <w:t xml:space="preserve">                                        </w:t>
      </w:r>
    </w:p>
    <w:p w14:paraId="33869415">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5DFC368D">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1D66DBA7">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代理机构名称：</w:t>
      </w:r>
      <w:r>
        <w:rPr>
          <w:rFonts w:hint="eastAsia" w:ascii="仿宋" w:hAnsi="仿宋" w:eastAsia="仿宋" w:cs="仿宋"/>
          <w:color w:val="auto"/>
          <w:sz w:val="21"/>
          <w:szCs w:val="21"/>
          <w:highlight w:val="none"/>
          <w:u w:val="dotted"/>
        </w:rPr>
        <w:t xml:space="preserve">                                         </w:t>
      </w:r>
    </w:p>
    <w:p w14:paraId="578A141A">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采购文件公告: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7225E96C">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采购结果公告: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1EB11E59">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三、质疑基本情况</w:t>
      </w:r>
    </w:p>
    <w:p w14:paraId="1D7327D0">
      <w:pPr>
        <w:shd w:val="clear"/>
        <w:spacing w:line="288" w:lineRule="auto"/>
        <w:ind w:firstLine="420" w:firstLineChars="20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向</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提出质疑，质疑事项为：</w:t>
      </w:r>
      <w:r>
        <w:rPr>
          <w:rFonts w:hint="eastAsia" w:ascii="仿宋" w:hAnsi="仿宋" w:eastAsia="仿宋" w:cs="仿宋"/>
          <w:color w:val="auto"/>
          <w:sz w:val="21"/>
          <w:szCs w:val="21"/>
          <w:highlight w:val="none"/>
          <w:u w:val="dotted"/>
        </w:rPr>
        <w:t xml:space="preserve">                                </w:t>
      </w:r>
    </w:p>
    <w:p w14:paraId="3FA7346B">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22C8949E">
      <w:pPr>
        <w:shd w:val="clear"/>
        <w:spacing w:line="288"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采购人/代理机构</w:t>
      </w:r>
      <w:r>
        <w:rPr>
          <w:rFonts w:hint="eastAsia" w:ascii="仿宋" w:hAnsi="仿宋" w:eastAsia="仿宋" w:cs="仿宋"/>
          <w:color w:val="auto"/>
          <w:sz w:val="21"/>
          <w:szCs w:val="21"/>
          <w:highlight w:val="none"/>
        </w:rPr>
        <w:t>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日,就质疑事项作出了答复/没有在法定期限内作出答复。</w:t>
      </w:r>
    </w:p>
    <w:p w14:paraId="47E28B36">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四、投诉事项具体内容</w:t>
      </w:r>
    </w:p>
    <w:p w14:paraId="113EC869">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投诉事项 1：</w:t>
      </w:r>
      <w:r>
        <w:rPr>
          <w:rFonts w:hint="eastAsia" w:ascii="仿宋" w:hAnsi="仿宋" w:eastAsia="仿宋" w:cs="仿宋"/>
          <w:color w:val="auto"/>
          <w:sz w:val="21"/>
          <w:szCs w:val="21"/>
          <w:highlight w:val="none"/>
          <w:u w:val="dotted"/>
        </w:rPr>
        <w:t xml:space="preserve">                                       </w:t>
      </w:r>
    </w:p>
    <w:p w14:paraId="757107F1">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6CE3DD0D">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34B46B46">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4239138D">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7ACB7B4B">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投诉事项2</w:t>
      </w:r>
    </w:p>
    <w:p w14:paraId="36B982F4">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3A970FB9">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五、与投诉事项相关的投诉请求</w:t>
      </w:r>
    </w:p>
    <w:p w14:paraId="2FBE7988">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1E70A013">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p>
    <w:p w14:paraId="328F0467">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66076987">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3F28039A">
      <w:pPr>
        <w:shd w:val="clear"/>
        <w:spacing w:line="288" w:lineRule="auto"/>
        <w:rPr>
          <w:rFonts w:hint="eastAsia" w:ascii="仿宋" w:hAnsi="仿宋" w:eastAsia="仿宋" w:cs="仿宋"/>
          <w:b/>
          <w:color w:val="auto"/>
          <w:sz w:val="21"/>
          <w:szCs w:val="21"/>
          <w:highlight w:val="none"/>
        </w:rPr>
      </w:pPr>
    </w:p>
    <w:p w14:paraId="702686E9">
      <w:pPr>
        <w:shd w:val="clear"/>
        <w:spacing w:line="288" w:lineRule="auto"/>
        <w:rPr>
          <w:rFonts w:hint="eastAsia" w:ascii="仿宋" w:hAnsi="仿宋" w:eastAsia="仿宋" w:cs="仿宋"/>
          <w:b/>
          <w:color w:val="auto"/>
          <w:sz w:val="21"/>
          <w:szCs w:val="21"/>
          <w:highlight w:val="none"/>
        </w:rPr>
      </w:pPr>
    </w:p>
    <w:p w14:paraId="15637B64">
      <w:pPr>
        <w:shd w:val="clear"/>
        <w:spacing w:line="288"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投诉书制作说明：</w:t>
      </w:r>
    </w:p>
    <w:p w14:paraId="03580F4B">
      <w:pPr>
        <w:widowControl/>
        <w:shd w:val="clear"/>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1.投诉人提起投诉时，应当提交投诉书和必要的证明材料，并按照被投诉人和与投诉事项有关的供应商数量提供投诉书副本。</w:t>
      </w:r>
    </w:p>
    <w:p w14:paraId="51F168C8">
      <w:pPr>
        <w:widowControl/>
        <w:shd w:val="clear"/>
        <w:spacing w:line="288"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 w:val="21"/>
          <w:szCs w:val="21"/>
          <w:highlight w:val="none"/>
        </w:rPr>
        <w:t>投诉人签署的授权委托书。授权委托书应当载明代理人的姓名或者名称、代理事项、具体权限、期限和相关事项。</w:t>
      </w:r>
    </w:p>
    <w:p w14:paraId="2E97ACD5">
      <w:pPr>
        <w:widowControl/>
        <w:shd w:val="clear"/>
        <w:spacing w:line="288"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3.投诉人若对项目的某一分包进行投诉，投诉书应列明具体分包号。</w:t>
      </w:r>
    </w:p>
    <w:p w14:paraId="5940E843">
      <w:pPr>
        <w:widowControl/>
        <w:shd w:val="clear"/>
        <w:spacing w:line="288"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4.投诉书应简要列明质疑事项，质疑函、质疑答复等作为附件材料提供。</w:t>
      </w:r>
    </w:p>
    <w:p w14:paraId="5A5997D2">
      <w:pPr>
        <w:widowControl/>
        <w:shd w:val="clear"/>
        <w:spacing w:line="288"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5.投诉书的投诉事项应具体、明确，并有必要的事实依据和法律依据。</w:t>
      </w:r>
    </w:p>
    <w:p w14:paraId="62855CB4">
      <w:pPr>
        <w:widowControl/>
        <w:shd w:val="clear"/>
        <w:spacing w:line="288"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6.投诉书的投诉请求应与投诉事项相关。</w:t>
      </w:r>
    </w:p>
    <w:p w14:paraId="51F169C3">
      <w:pPr>
        <w:widowControl/>
        <w:shd w:val="clear"/>
        <w:spacing w:line="288"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2EE5EA83">
      <w:pPr>
        <w:shd w:val="clear"/>
        <w:rPr>
          <w:rFonts w:hint="eastAsia" w:ascii="仿宋" w:hAnsi="仿宋" w:eastAsia="仿宋" w:cs="仿宋"/>
          <w:color w:val="auto"/>
          <w:highlight w:val="none"/>
        </w:rPr>
      </w:pPr>
    </w:p>
    <w:p w14:paraId="1A07231E">
      <w:pPr>
        <w:rPr>
          <w:rFonts w:hint="eastAsia" w:ascii="仿宋" w:hAnsi="仿宋" w:eastAsia="仿宋" w:cs="仿宋"/>
          <w:color w:val="auto"/>
          <w:highlight w:val="none"/>
        </w:rPr>
      </w:pPr>
    </w:p>
    <w:sectPr>
      <w:footerReference r:id="rId8" w:type="default"/>
      <w:pgSz w:w="11906" w:h="16838"/>
      <w:pgMar w:top="1247" w:right="1247" w:bottom="1247" w:left="1247" w:header="850" w:footer="850"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1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0A0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A99BC">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3426">
    <w:pPr>
      <w:pStyle w:val="16"/>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647A5">
    <w:pPr>
      <w:pStyle w:val="16"/>
      <w:jc w:val="center"/>
      <w:rPr>
        <w:rFonts w:hint="eastAsia"/>
      </w:rPr>
    </w:pPr>
    <w:r>
      <w:fldChar w:fldCharType="begin"/>
    </w:r>
    <w:r>
      <w:instrText xml:space="preserve">PAGE   \* MERGEFORMAT</w:instrText>
    </w:r>
    <w:r>
      <w:fldChar w:fldCharType="separate"/>
    </w:r>
    <w:r>
      <w:rPr>
        <w:lang w:val="zh-CN"/>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CF1C">
    <w:pPr>
      <w:pStyle w:val="18"/>
      <w:keepNext w:val="0"/>
      <w:keepLines w:val="0"/>
      <w:pageBreakBefore w:val="0"/>
      <w:widowControl w:val="0"/>
      <w:pBdr>
        <w:bottom w:val="single" w:color="auto" w:sz="4" w:space="0"/>
      </w:pBdr>
      <w:kinsoku/>
      <w:wordWrap/>
      <w:overflowPunct/>
      <w:topLinePunct w:val="0"/>
      <w:bidi w:val="0"/>
      <w:adjustRightInd/>
      <w:snapToGrid w:val="0"/>
      <w:spacing w:after="0" w:afterLines="100"/>
      <w:jc w:val="left"/>
      <w:textAlignment w:val="auto"/>
      <w:rPr>
        <w:rFonts w:hint="eastAsia" w:ascii="仿宋" w:hAnsi="仿宋" w:eastAsia="仿宋" w:cs="仿宋"/>
        <w:iCs/>
      </w:rPr>
    </w:pPr>
    <w:r>
      <w:rPr>
        <w:rFonts w:hint="eastAsia"/>
      </w:rPr>
      <w:drawing>
        <wp:inline distT="0" distB="0" distL="114300" distR="114300">
          <wp:extent cx="283210" cy="285750"/>
          <wp:effectExtent l="0" t="0" r="2540" b="0"/>
          <wp:docPr id="2" name="图片 2" descr="成套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成套新logo"/>
                  <pic:cNvPicPr>
                    <a:picLocks noChangeAspect="1"/>
                  </pic:cNvPicPr>
                </pic:nvPicPr>
                <pic:blipFill>
                  <a:blip r:embed="rId1"/>
                  <a:stretch>
                    <a:fillRect/>
                  </a:stretch>
                </pic:blipFill>
                <pic:spPr>
                  <a:xfrm>
                    <a:off x="0" y="0"/>
                    <a:ext cx="283210" cy="285750"/>
                  </a:xfrm>
                  <a:prstGeom prst="rect">
                    <a:avLst/>
                  </a:prstGeom>
                  <a:noFill/>
                  <a:ln>
                    <a:noFill/>
                  </a:ln>
                </pic:spPr>
              </pic:pic>
            </a:graphicData>
          </a:graphic>
        </wp:inline>
      </w:drawing>
    </w:r>
    <w:r>
      <w:rPr>
        <w:rFonts w:hint="eastAsia"/>
      </w:rPr>
      <w:t xml:space="preserve">  </w:t>
    </w:r>
    <w:r>
      <w:rPr>
        <w:rFonts w:hint="eastAsia" w:ascii="仿宋" w:hAnsi="仿宋" w:eastAsia="仿宋" w:cs="仿宋"/>
        <w:iCs/>
      </w:rPr>
      <w:t xml:space="preserve">浙江省成套招标代理有限公司                                                   </w:t>
    </w:r>
    <w:r>
      <w:rPr>
        <w:rFonts w:hint="eastAsia" w:ascii="仿宋" w:hAnsi="仿宋" w:eastAsia="仿宋" w:cs="仿宋"/>
        <w:iCs/>
        <w:lang w:val="en-US" w:eastAsia="zh-CN"/>
      </w:rPr>
      <w:t xml:space="preserve">     竞争性磋商</w:t>
    </w:r>
    <w:r>
      <w:rPr>
        <w:rFonts w:hint="eastAsia" w:ascii="仿宋" w:hAnsi="仿宋" w:eastAsia="仿宋" w:cs="仿宋"/>
        <w:iCs/>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F29D6">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83FFF"/>
    <w:multiLevelType w:val="singleLevel"/>
    <w:tmpl w:val="8AF83FFF"/>
    <w:lvl w:ilvl="0" w:tentative="0">
      <w:start w:val="3"/>
      <w:numFmt w:val="decimal"/>
      <w:suff w:val="nothing"/>
      <w:lvlText w:val="%1、"/>
      <w:lvlJc w:val="left"/>
    </w:lvl>
  </w:abstractNum>
  <w:abstractNum w:abstractNumId="1">
    <w:nsid w:val="F8BD3CBA"/>
    <w:multiLevelType w:val="multilevel"/>
    <w:tmpl w:val="F8BD3CBA"/>
    <w:lvl w:ilvl="0" w:tentative="0">
      <w:start w:val="1"/>
      <w:numFmt w:val="chineseCountingThousand"/>
      <w:suff w:val="nothing"/>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lvlText w:val="%1.%2.%3.%4.%5.%6.%7.%8"/>
      <w:lvlJc w:val="left"/>
      <w:pPr>
        <w:ind w:left="4394" w:hanging="4394"/>
      </w:pPr>
      <w:rPr>
        <w:rFonts w:hint="eastAsia"/>
      </w:rPr>
    </w:lvl>
    <w:lvl w:ilvl="8" w:tentative="0">
      <w:start w:val="1"/>
      <w:numFmt w:val="decimal"/>
      <w:isLgl/>
      <w:lvlText w:val="%1.%2.%3.%4.%5.%6.%7.%8.%9"/>
      <w:lvlJc w:val="left"/>
      <w:pPr>
        <w:ind w:left="5102" w:hanging="5102"/>
      </w:pPr>
      <w:rPr>
        <w:rFonts w:hint="eastAsia"/>
      </w:rPr>
    </w:lvl>
  </w:abstractNum>
  <w:abstractNum w:abstractNumId="2">
    <w:nsid w:val="54C4B423"/>
    <w:multiLevelType w:val="singleLevel"/>
    <w:tmpl w:val="54C4B42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ZDg0MDc2MGM5YTUzZmExMzM5YjMyNzgxMThlNGQifQ=="/>
    <w:docVar w:name="KSO_WPS_MARK_KEY" w:val="5841e099-2ade-4920-b54d-ccff54884328"/>
  </w:docVars>
  <w:rsids>
    <w:rsidRoot w:val="00A00D7E"/>
    <w:rsid w:val="00020A03"/>
    <w:rsid w:val="00034BEF"/>
    <w:rsid w:val="0006404E"/>
    <w:rsid w:val="000A04EC"/>
    <w:rsid w:val="00105806"/>
    <w:rsid w:val="00122353"/>
    <w:rsid w:val="00126981"/>
    <w:rsid w:val="00150264"/>
    <w:rsid w:val="00173EAE"/>
    <w:rsid w:val="001B26E4"/>
    <w:rsid w:val="001D6C3B"/>
    <w:rsid w:val="00234018"/>
    <w:rsid w:val="00236886"/>
    <w:rsid w:val="00237F5A"/>
    <w:rsid w:val="00270694"/>
    <w:rsid w:val="00274DEB"/>
    <w:rsid w:val="002A42C8"/>
    <w:rsid w:val="002F3EB8"/>
    <w:rsid w:val="002F7BAD"/>
    <w:rsid w:val="0030391F"/>
    <w:rsid w:val="00306960"/>
    <w:rsid w:val="00310FB4"/>
    <w:rsid w:val="00323122"/>
    <w:rsid w:val="003462B6"/>
    <w:rsid w:val="003653E6"/>
    <w:rsid w:val="00374CD4"/>
    <w:rsid w:val="00394CBD"/>
    <w:rsid w:val="003973FB"/>
    <w:rsid w:val="00406280"/>
    <w:rsid w:val="00415D52"/>
    <w:rsid w:val="004244A4"/>
    <w:rsid w:val="0046666F"/>
    <w:rsid w:val="004C5784"/>
    <w:rsid w:val="004C5B21"/>
    <w:rsid w:val="004D0F6A"/>
    <w:rsid w:val="004D19F5"/>
    <w:rsid w:val="004F1B09"/>
    <w:rsid w:val="00515E35"/>
    <w:rsid w:val="00546185"/>
    <w:rsid w:val="00592D13"/>
    <w:rsid w:val="005B4A5D"/>
    <w:rsid w:val="005C1687"/>
    <w:rsid w:val="00612BBC"/>
    <w:rsid w:val="006337CD"/>
    <w:rsid w:val="00646E32"/>
    <w:rsid w:val="006720CC"/>
    <w:rsid w:val="006A50B0"/>
    <w:rsid w:val="006C515B"/>
    <w:rsid w:val="00705BF3"/>
    <w:rsid w:val="00712143"/>
    <w:rsid w:val="00742779"/>
    <w:rsid w:val="007639F5"/>
    <w:rsid w:val="00775160"/>
    <w:rsid w:val="007B6FE3"/>
    <w:rsid w:val="007D34D0"/>
    <w:rsid w:val="00806D1E"/>
    <w:rsid w:val="00815CDB"/>
    <w:rsid w:val="008249D1"/>
    <w:rsid w:val="0083379E"/>
    <w:rsid w:val="008628F6"/>
    <w:rsid w:val="00865DBD"/>
    <w:rsid w:val="00875CF9"/>
    <w:rsid w:val="008B3EBD"/>
    <w:rsid w:val="008E6DF3"/>
    <w:rsid w:val="008F5212"/>
    <w:rsid w:val="009003ED"/>
    <w:rsid w:val="00910557"/>
    <w:rsid w:val="00913833"/>
    <w:rsid w:val="00954952"/>
    <w:rsid w:val="009846A4"/>
    <w:rsid w:val="009D7629"/>
    <w:rsid w:val="009E337B"/>
    <w:rsid w:val="009F44B2"/>
    <w:rsid w:val="00A00D7E"/>
    <w:rsid w:val="00A2145F"/>
    <w:rsid w:val="00A43381"/>
    <w:rsid w:val="00A509FF"/>
    <w:rsid w:val="00A624AA"/>
    <w:rsid w:val="00A75BDA"/>
    <w:rsid w:val="00AA3873"/>
    <w:rsid w:val="00AA49E7"/>
    <w:rsid w:val="00AB1E0F"/>
    <w:rsid w:val="00B07033"/>
    <w:rsid w:val="00B071EC"/>
    <w:rsid w:val="00B80C9B"/>
    <w:rsid w:val="00B82408"/>
    <w:rsid w:val="00B91979"/>
    <w:rsid w:val="00BA1CCE"/>
    <w:rsid w:val="00BB68C8"/>
    <w:rsid w:val="00BF0E19"/>
    <w:rsid w:val="00C1746A"/>
    <w:rsid w:val="00C23179"/>
    <w:rsid w:val="00C25D41"/>
    <w:rsid w:val="00C37CB7"/>
    <w:rsid w:val="00C53C04"/>
    <w:rsid w:val="00C57B27"/>
    <w:rsid w:val="00C77F32"/>
    <w:rsid w:val="00CA1406"/>
    <w:rsid w:val="00CA3B98"/>
    <w:rsid w:val="00CA54AD"/>
    <w:rsid w:val="00CA5A00"/>
    <w:rsid w:val="00CC5D84"/>
    <w:rsid w:val="00CD2460"/>
    <w:rsid w:val="00CF6256"/>
    <w:rsid w:val="00D04460"/>
    <w:rsid w:val="00D23404"/>
    <w:rsid w:val="00DD04C2"/>
    <w:rsid w:val="00DD30E3"/>
    <w:rsid w:val="00DD6CE1"/>
    <w:rsid w:val="00E07DDF"/>
    <w:rsid w:val="00E125AB"/>
    <w:rsid w:val="00E37D12"/>
    <w:rsid w:val="00E47207"/>
    <w:rsid w:val="00E608CE"/>
    <w:rsid w:val="00E80488"/>
    <w:rsid w:val="00EE00FF"/>
    <w:rsid w:val="00EE499A"/>
    <w:rsid w:val="00F37931"/>
    <w:rsid w:val="00F52931"/>
    <w:rsid w:val="00F92E84"/>
    <w:rsid w:val="00FA1AA0"/>
    <w:rsid w:val="00FA1E51"/>
    <w:rsid w:val="00FB6CEA"/>
    <w:rsid w:val="0102778D"/>
    <w:rsid w:val="015B4DAC"/>
    <w:rsid w:val="0186020E"/>
    <w:rsid w:val="01B56C27"/>
    <w:rsid w:val="021A6C4F"/>
    <w:rsid w:val="0227311A"/>
    <w:rsid w:val="027405BD"/>
    <w:rsid w:val="02BA14F0"/>
    <w:rsid w:val="02C874AC"/>
    <w:rsid w:val="036D1000"/>
    <w:rsid w:val="03F62DA4"/>
    <w:rsid w:val="046B3792"/>
    <w:rsid w:val="04AF06BB"/>
    <w:rsid w:val="04E01E50"/>
    <w:rsid w:val="05250098"/>
    <w:rsid w:val="05AD6BC7"/>
    <w:rsid w:val="060D2627"/>
    <w:rsid w:val="06102881"/>
    <w:rsid w:val="07140111"/>
    <w:rsid w:val="075A6837"/>
    <w:rsid w:val="07780B4E"/>
    <w:rsid w:val="08E9552D"/>
    <w:rsid w:val="092A791F"/>
    <w:rsid w:val="0A1D7692"/>
    <w:rsid w:val="0A8235E3"/>
    <w:rsid w:val="0A884A60"/>
    <w:rsid w:val="0C8B29EE"/>
    <w:rsid w:val="0CE246C6"/>
    <w:rsid w:val="0D143EA3"/>
    <w:rsid w:val="0D1520DD"/>
    <w:rsid w:val="0D845C3B"/>
    <w:rsid w:val="0DE35C55"/>
    <w:rsid w:val="122D02D9"/>
    <w:rsid w:val="123C4CB9"/>
    <w:rsid w:val="12AA7B7B"/>
    <w:rsid w:val="13B54EBC"/>
    <w:rsid w:val="13F1288C"/>
    <w:rsid w:val="14005579"/>
    <w:rsid w:val="14DE5ECD"/>
    <w:rsid w:val="151A10E0"/>
    <w:rsid w:val="1571672E"/>
    <w:rsid w:val="15EC04AB"/>
    <w:rsid w:val="16D51CFA"/>
    <w:rsid w:val="19AC6D2E"/>
    <w:rsid w:val="1A197394"/>
    <w:rsid w:val="1A3B5E92"/>
    <w:rsid w:val="1AB601E2"/>
    <w:rsid w:val="1B1026FF"/>
    <w:rsid w:val="1BAD2B80"/>
    <w:rsid w:val="1C104F9B"/>
    <w:rsid w:val="1C507C76"/>
    <w:rsid w:val="1D5232E9"/>
    <w:rsid w:val="1DC87348"/>
    <w:rsid w:val="1DD72943"/>
    <w:rsid w:val="1DFE521F"/>
    <w:rsid w:val="1F0776F5"/>
    <w:rsid w:val="1F811E74"/>
    <w:rsid w:val="1F850636"/>
    <w:rsid w:val="202A40A9"/>
    <w:rsid w:val="203E7B55"/>
    <w:rsid w:val="20514A12"/>
    <w:rsid w:val="213A1F6F"/>
    <w:rsid w:val="21703D3E"/>
    <w:rsid w:val="22804172"/>
    <w:rsid w:val="228A1037"/>
    <w:rsid w:val="233D21DC"/>
    <w:rsid w:val="237815D0"/>
    <w:rsid w:val="23DD0BFC"/>
    <w:rsid w:val="24E64CAB"/>
    <w:rsid w:val="250E7CC6"/>
    <w:rsid w:val="25E90563"/>
    <w:rsid w:val="264B2FCC"/>
    <w:rsid w:val="270A3BC8"/>
    <w:rsid w:val="27261244"/>
    <w:rsid w:val="277013CA"/>
    <w:rsid w:val="2AAF1D7B"/>
    <w:rsid w:val="2C3A1B18"/>
    <w:rsid w:val="2C843083"/>
    <w:rsid w:val="2D285E15"/>
    <w:rsid w:val="2DDE38EA"/>
    <w:rsid w:val="2EB6331B"/>
    <w:rsid w:val="2EC549C2"/>
    <w:rsid w:val="303A3EAC"/>
    <w:rsid w:val="30907F59"/>
    <w:rsid w:val="327018CD"/>
    <w:rsid w:val="35325A82"/>
    <w:rsid w:val="367C4DD1"/>
    <w:rsid w:val="3775168B"/>
    <w:rsid w:val="397119C0"/>
    <w:rsid w:val="399F7A55"/>
    <w:rsid w:val="3AF67F25"/>
    <w:rsid w:val="3B336EDC"/>
    <w:rsid w:val="3C6D5069"/>
    <w:rsid w:val="3EA37633"/>
    <w:rsid w:val="3ECF305B"/>
    <w:rsid w:val="40926FFF"/>
    <w:rsid w:val="40A13D96"/>
    <w:rsid w:val="429726FC"/>
    <w:rsid w:val="42B56A05"/>
    <w:rsid w:val="438B4930"/>
    <w:rsid w:val="44620AC5"/>
    <w:rsid w:val="44F75B8E"/>
    <w:rsid w:val="451906CE"/>
    <w:rsid w:val="4565330A"/>
    <w:rsid w:val="46DF51CB"/>
    <w:rsid w:val="478B4B7E"/>
    <w:rsid w:val="480E531C"/>
    <w:rsid w:val="48570EBF"/>
    <w:rsid w:val="491312CF"/>
    <w:rsid w:val="49244A81"/>
    <w:rsid w:val="495518E8"/>
    <w:rsid w:val="499C5C2A"/>
    <w:rsid w:val="49E97107"/>
    <w:rsid w:val="4C83051A"/>
    <w:rsid w:val="4DE51ADA"/>
    <w:rsid w:val="4E957926"/>
    <w:rsid w:val="4ECF4C05"/>
    <w:rsid w:val="4F256531"/>
    <w:rsid w:val="4F360182"/>
    <w:rsid w:val="4F7C1CA3"/>
    <w:rsid w:val="4FF00C36"/>
    <w:rsid w:val="501656A9"/>
    <w:rsid w:val="507C3BFE"/>
    <w:rsid w:val="51356D1E"/>
    <w:rsid w:val="52846D9A"/>
    <w:rsid w:val="52B4767F"/>
    <w:rsid w:val="5369290D"/>
    <w:rsid w:val="53E6079D"/>
    <w:rsid w:val="546205F2"/>
    <w:rsid w:val="55A3253B"/>
    <w:rsid w:val="58111B8A"/>
    <w:rsid w:val="5840442C"/>
    <w:rsid w:val="5B57329D"/>
    <w:rsid w:val="5BBC1352"/>
    <w:rsid w:val="5C43681F"/>
    <w:rsid w:val="5E9309DC"/>
    <w:rsid w:val="5F4215C7"/>
    <w:rsid w:val="5F560C3E"/>
    <w:rsid w:val="5F7206A6"/>
    <w:rsid w:val="60552D8C"/>
    <w:rsid w:val="6059299E"/>
    <w:rsid w:val="60607DAB"/>
    <w:rsid w:val="61AF0D51"/>
    <w:rsid w:val="626C4E1E"/>
    <w:rsid w:val="62C96410"/>
    <w:rsid w:val="62F95F6B"/>
    <w:rsid w:val="63185E15"/>
    <w:rsid w:val="66233716"/>
    <w:rsid w:val="666D77B3"/>
    <w:rsid w:val="666F0290"/>
    <w:rsid w:val="67B53825"/>
    <w:rsid w:val="67E36C7A"/>
    <w:rsid w:val="699B4C9D"/>
    <w:rsid w:val="6A25326D"/>
    <w:rsid w:val="6A5424B9"/>
    <w:rsid w:val="6BC96206"/>
    <w:rsid w:val="6CBA18DE"/>
    <w:rsid w:val="6CEA3DAE"/>
    <w:rsid w:val="6D995997"/>
    <w:rsid w:val="6DC8062D"/>
    <w:rsid w:val="6DDE27D0"/>
    <w:rsid w:val="6E276AFF"/>
    <w:rsid w:val="710B095A"/>
    <w:rsid w:val="71190F5D"/>
    <w:rsid w:val="71526589"/>
    <w:rsid w:val="727F0E26"/>
    <w:rsid w:val="739D593D"/>
    <w:rsid w:val="74CA6436"/>
    <w:rsid w:val="74E070AB"/>
    <w:rsid w:val="74E6211C"/>
    <w:rsid w:val="75011284"/>
    <w:rsid w:val="752271D5"/>
    <w:rsid w:val="75E17EDC"/>
    <w:rsid w:val="793B7903"/>
    <w:rsid w:val="79D510B7"/>
    <w:rsid w:val="79FF3C35"/>
    <w:rsid w:val="7A2664CF"/>
    <w:rsid w:val="7ADB231E"/>
    <w:rsid w:val="7B0A53EC"/>
    <w:rsid w:val="7B3B19F2"/>
    <w:rsid w:val="7C395444"/>
    <w:rsid w:val="7CFC5A26"/>
    <w:rsid w:val="7DEA092A"/>
    <w:rsid w:val="7E0B0000"/>
    <w:rsid w:val="7E4F53E9"/>
    <w:rsid w:val="7E7942DE"/>
    <w:rsid w:val="7EEA7E01"/>
    <w:rsid w:val="7F1B7F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0" w:semiHidden="0"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link w:val="35"/>
    <w:qFormat/>
    <w:uiPriority w:val="0"/>
    <w:pPr>
      <w:keepNext/>
      <w:overflowPunct w:val="0"/>
      <w:autoSpaceDE w:val="0"/>
      <w:autoSpaceDN w:val="0"/>
      <w:adjustRightInd w:val="0"/>
      <w:snapToGrid w:val="0"/>
      <w:spacing w:before="240" w:after="240"/>
      <w:ind w:firstLine="402"/>
      <w:textAlignment w:val="baseline"/>
      <w:outlineLvl w:val="0"/>
    </w:pPr>
    <w:rPr>
      <w:rFonts w:ascii="Times New Roman" w:hAnsi="Times New Roman" w:cs="Times New Roman"/>
      <w:b/>
      <w:vanish/>
      <w:color w:val="000000"/>
      <w:kern w:val="28"/>
      <w:sz w:val="36"/>
      <w:szCs w:val="36"/>
    </w:rPr>
  </w:style>
  <w:style w:type="paragraph" w:styleId="3">
    <w:name w:val="heading 2"/>
    <w:basedOn w:val="1"/>
    <w:next w:val="1"/>
    <w:link w:val="36"/>
    <w:qFormat/>
    <w:uiPriority w:val="0"/>
    <w:pPr>
      <w:keepNext/>
      <w:keepLines/>
      <w:spacing w:line="360" w:lineRule="auto"/>
      <w:ind w:firstLine="200"/>
      <w:outlineLvl w:val="1"/>
    </w:pPr>
    <w:rPr>
      <w:rFonts w:ascii="Arial" w:hAnsi="Arial" w:eastAsia="Arial" w:cs="Arial"/>
      <w:b/>
      <w:bCs/>
      <w:color w:val="000000"/>
      <w:sz w:val="21"/>
      <w:szCs w:val="21"/>
    </w:rPr>
  </w:style>
  <w:style w:type="paragraph" w:styleId="4">
    <w:name w:val="heading 3"/>
    <w:basedOn w:val="1"/>
    <w:next w:val="1"/>
    <w:link w:val="37"/>
    <w:qFormat/>
    <w:uiPriority w:val="9"/>
    <w:pPr>
      <w:keepNext/>
      <w:keepLines/>
      <w:spacing w:line="416" w:lineRule="auto"/>
      <w:outlineLvl w:val="2"/>
    </w:pPr>
    <w:rPr>
      <w:rFonts w:ascii="Calibri" w:hAnsi="Calibri"/>
      <w:b/>
      <w:bCs/>
      <w:sz w:val="32"/>
      <w:szCs w:val="32"/>
    </w:rPr>
  </w:style>
  <w:style w:type="paragraph" w:styleId="5">
    <w:name w:val="heading 4"/>
    <w:basedOn w:val="1"/>
    <w:next w:val="1"/>
    <w:link w:val="38"/>
    <w:qFormat/>
    <w:uiPriority w:val="99"/>
    <w:pPr>
      <w:widowControl/>
      <w:spacing w:before="100" w:beforeAutospacing="1" w:after="100" w:afterAutospacing="1"/>
      <w:jc w:val="left"/>
      <w:outlineLvl w:val="3"/>
    </w:pPr>
    <w:rPr>
      <w:kern w:val="0"/>
      <w:szCs w:val="20"/>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6">
    <w:name w:val="Normal Indent"/>
    <w:basedOn w:val="1"/>
    <w:next w:val="1"/>
    <w:unhideWhenUsed/>
    <w:qFormat/>
    <w:uiPriority w:val="0"/>
    <w:pPr>
      <w:ind w:firstLine="420" w:firstLineChars="200"/>
    </w:pPr>
    <w:rPr>
      <w:rFonts w:ascii="Times New Roman" w:hAnsi="Times New Roman" w:cs="Times New Roman"/>
      <w:sz w:val="21"/>
      <w:szCs w:val="21"/>
    </w:rPr>
  </w:style>
  <w:style w:type="paragraph" w:styleId="7">
    <w:name w:val="annotation text"/>
    <w:basedOn w:val="1"/>
    <w:link w:val="39"/>
    <w:unhideWhenUsed/>
    <w:qFormat/>
    <w:uiPriority w:val="0"/>
    <w:pPr>
      <w:jc w:val="left"/>
    </w:pPr>
    <w:rPr>
      <w:rFonts w:ascii="Times New Roman" w:hAnsi="Times New Roman" w:cs="Times New Roman"/>
      <w:sz w:val="28"/>
    </w:rPr>
  </w:style>
  <w:style w:type="paragraph" w:styleId="8">
    <w:name w:val="Body Text 3"/>
    <w:basedOn w:val="1"/>
    <w:link w:val="40"/>
    <w:qFormat/>
    <w:uiPriority w:val="99"/>
    <w:pPr>
      <w:spacing w:line="440" w:lineRule="atLeast"/>
      <w:jc w:val="center"/>
    </w:pPr>
    <w:rPr>
      <w:rFonts w:ascii="楷体_GB2312" w:eastAsia="楷体_GB2312"/>
      <w:b/>
      <w:color w:val="000000"/>
      <w:sz w:val="30"/>
    </w:rPr>
  </w:style>
  <w:style w:type="paragraph" w:styleId="9">
    <w:name w:val="Body Text"/>
    <w:basedOn w:val="1"/>
    <w:next w:val="1"/>
    <w:link w:val="41"/>
    <w:unhideWhenUsed/>
    <w:qFormat/>
    <w:uiPriority w:val="0"/>
    <w:pPr>
      <w:spacing w:after="120"/>
    </w:pPr>
  </w:style>
  <w:style w:type="paragraph" w:styleId="10">
    <w:name w:val="Body Text Indent"/>
    <w:basedOn w:val="1"/>
    <w:next w:val="1"/>
    <w:link w:val="42"/>
    <w:qFormat/>
    <w:uiPriority w:val="0"/>
    <w:pPr>
      <w:spacing w:line="200" w:lineRule="atLeast"/>
      <w:ind w:firstLine="301"/>
    </w:pPr>
    <w:rPr>
      <w:rFonts w:hAnsi="Courier New" w:cs="Times New Roman"/>
      <w:spacing w:val="-4"/>
      <w:sz w:val="18"/>
      <w:szCs w:val="20"/>
    </w:rPr>
  </w:style>
  <w:style w:type="paragraph" w:styleId="11">
    <w:name w:val="index 4"/>
    <w:basedOn w:val="1"/>
    <w:next w:val="1"/>
    <w:unhideWhenUsed/>
    <w:qFormat/>
    <w:uiPriority w:val="99"/>
    <w:rPr>
      <w:rFonts w:ascii="Calibri" w:hAnsi="Calibri" w:cs="Times New Roman"/>
      <w:b/>
      <w:szCs w:val="22"/>
      <w:lang w:val="zh-CN"/>
    </w:rPr>
  </w:style>
  <w:style w:type="paragraph" w:styleId="12">
    <w:name w:val="toc 3"/>
    <w:basedOn w:val="1"/>
    <w:next w:val="1"/>
    <w:unhideWhenUsed/>
    <w:qFormat/>
    <w:uiPriority w:val="0"/>
    <w:pPr>
      <w:ind w:left="840" w:leftChars="400"/>
    </w:pPr>
  </w:style>
  <w:style w:type="paragraph" w:styleId="13">
    <w:name w:val="Plain Text"/>
    <w:basedOn w:val="1"/>
    <w:next w:val="9"/>
    <w:link w:val="43"/>
    <w:qFormat/>
    <w:uiPriority w:val="99"/>
    <w:pPr>
      <w:spacing w:beforeLines="50" w:afterLines="50" w:line="400" w:lineRule="atLeast"/>
    </w:pPr>
    <w:rPr>
      <w:rFonts w:hAnsi="Courier New" w:cs="Times New Roman"/>
    </w:rPr>
  </w:style>
  <w:style w:type="paragraph" w:styleId="14">
    <w:name w:val="Date"/>
    <w:basedOn w:val="1"/>
    <w:next w:val="1"/>
    <w:link w:val="44"/>
    <w:qFormat/>
    <w:uiPriority w:val="0"/>
    <w:pPr>
      <w:ind w:left="100" w:leftChars="2500"/>
    </w:pPr>
    <w:rPr>
      <w:szCs w:val="21"/>
      <w:lang w:val="zh-CN"/>
    </w:rPr>
  </w:style>
  <w:style w:type="paragraph" w:styleId="15">
    <w:name w:val="Balloon Text"/>
    <w:basedOn w:val="1"/>
    <w:link w:val="45"/>
    <w:qFormat/>
    <w:uiPriority w:val="0"/>
    <w:rPr>
      <w:rFonts w:cs="Times New Roman"/>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envelope return"/>
    <w:basedOn w:val="1"/>
    <w:unhideWhenUsed/>
    <w:qFormat/>
    <w:uiPriority w:val="99"/>
    <w:pPr>
      <w:snapToGrid w:val="0"/>
    </w:pPr>
    <w:rPr>
      <w:rFonts w:ascii="Cambria" w:hAnsi="Cambria" w:cs="Times New Roman"/>
    </w:rPr>
  </w:style>
  <w:style w:type="paragraph" w:styleId="18">
    <w:name w:val="header"/>
    <w:basedOn w:val="1"/>
    <w:link w:val="47"/>
    <w:unhideWhenUsed/>
    <w:qFormat/>
    <w:uiPriority w:val="99"/>
    <w:pPr>
      <w:tabs>
        <w:tab w:val="center" w:pos="4153"/>
        <w:tab w:val="right" w:pos="8306"/>
      </w:tabs>
      <w:snapToGrid w:val="0"/>
      <w:jc w:val="center"/>
    </w:pPr>
    <w:rPr>
      <w:sz w:val="18"/>
      <w:szCs w:val="18"/>
    </w:rPr>
  </w:style>
  <w:style w:type="paragraph" w:styleId="19">
    <w:name w:val="toc 1"/>
    <w:basedOn w:val="1"/>
    <w:next w:val="1"/>
    <w:unhideWhenUsed/>
    <w:qFormat/>
    <w:uiPriority w:val="0"/>
  </w:style>
  <w:style w:type="paragraph" w:styleId="20">
    <w:name w:val="toc 6"/>
    <w:basedOn w:val="1"/>
    <w:next w:val="1"/>
    <w:unhideWhenUsed/>
    <w:qFormat/>
    <w:uiPriority w:val="39"/>
    <w:rPr>
      <w:rFonts w:ascii="Calibri" w:hAnsi="Calibri"/>
      <w:sz w:val="22"/>
      <w:szCs w:val="22"/>
    </w:rPr>
  </w:style>
  <w:style w:type="paragraph" w:styleId="21">
    <w:name w:val="toc 2"/>
    <w:basedOn w:val="1"/>
    <w:next w:val="1"/>
    <w:unhideWhenUsed/>
    <w:qFormat/>
    <w:uiPriority w:val="0"/>
    <w:pPr>
      <w:ind w:left="420" w:leftChars="200"/>
    </w:pPr>
  </w:style>
  <w:style w:type="paragraph" w:styleId="22">
    <w:name w:val="Body Text 2"/>
    <w:basedOn w:val="1"/>
    <w:link w:val="48"/>
    <w:qFormat/>
    <w:uiPriority w:val="0"/>
    <w:pPr>
      <w:spacing w:after="120" w:line="480" w:lineRule="auto"/>
    </w:pPr>
  </w:style>
  <w:style w:type="paragraph" w:styleId="23">
    <w:name w:val="Normal (Web)"/>
    <w:basedOn w:val="1"/>
    <w:unhideWhenUsed/>
    <w:qFormat/>
    <w:uiPriority w:val="0"/>
    <w:pPr>
      <w:widowControl/>
      <w:spacing w:before="100" w:beforeAutospacing="1" w:after="100" w:afterAutospacing="1"/>
      <w:jc w:val="left"/>
    </w:pPr>
    <w:rPr>
      <w:kern w:val="0"/>
    </w:rPr>
  </w:style>
  <w:style w:type="paragraph" w:styleId="24">
    <w:name w:val="Title"/>
    <w:basedOn w:val="1"/>
    <w:next w:val="1"/>
    <w:link w:val="49"/>
    <w:qFormat/>
    <w:uiPriority w:val="0"/>
    <w:pPr>
      <w:tabs>
        <w:tab w:val="left" w:pos="1200"/>
      </w:tabs>
      <w:spacing w:after="624" w:afterLines="200"/>
      <w:ind w:left="1440" w:hanging="720"/>
      <w:jc w:val="center"/>
    </w:pPr>
    <w:rPr>
      <w:b/>
      <w:bCs/>
      <w:spacing w:val="60"/>
      <w:sz w:val="32"/>
    </w:rPr>
  </w:style>
  <w:style w:type="paragraph" w:styleId="25">
    <w:name w:val="annotation subject"/>
    <w:basedOn w:val="7"/>
    <w:next w:val="7"/>
    <w:link w:val="50"/>
    <w:unhideWhenUsed/>
    <w:qFormat/>
    <w:uiPriority w:val="0"/>
    <w:rPr>
      <w:rFonts w:ascii="宋体" w:hAnsi="宋体"/>
      <w:b/>
      <w:bCs/>
      <w:sz w:val="24"/>
    </w:rPr>
  </w:style>
  <w:style w:type="paragraph" w:styleId="26">
    <w:name w:val="Body Text First Indent"/>
    <w:basedOn w:val="9"/>
    <w:link w:val="51"/>
    <w:unhideWhenUsed/>
    <w:qFormat/>
    <w:uiPriority w:val="99"/>
    <w:pPr>
      <w:widowControl/>
      <w:ind w:firstLine="420" w:firstLineChars="100"/>
      <w:jc w:val="left"/>
    </w:pPr>
  </w:style>
  <w:style w:type="paragraph" w:styleId="27">
    <w:name w:val="Body Text First Indent 2"/>
    <w:basedOn w:val="10"/>
    <w:link w:val="52"/>
    <w:unhideWhenUsed/>
    <w:qFormat/>
    <w:uiPriority w:val="99"/>
    <w:pPr>
      <w:ind w:firstLine="420"/>
    </w:pPr>
  </w:style>
  <w:style w:type="table" w:styleId="29">
    <w:name w:val="Table Grid"/>
    <w:basedOn w:val="2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rPr>
      <w:rFonts w:ascii="Arial" w:hAnsi="Arial" w:eastAsia="黑体" w:cs="Arial"/>
      <w:snapToGrid w:val="0"/>
      <w:kern w:val="0"/>
      <w:szCs w:val="21"/>
    </w:rPr>
  </w:style>
  <w:style w:type="character" w:styleId="32">
    <w:name w:val="Hyperlink"/>
    <w:unhideWhenUsed/>
    <w:qFormat/>
    <w:uiPriority w:val="99"/>
    <w:rPr>
      <w:color w:val="0000FF"/>
      <w:u w:val="single"/>
    </w:rPr>
  </w:style>
  <w:style w:type="character" w:styleId="33">
    <w:name w:val="annotation reference"/>
    <w:unhideWhenUsed/>
    <w:qFormat/>
    <w:uiPriority w:val="99"/>
    <w:rPr>
      <w:sz w:val="21"/>
      <w:szCs w:val="21"/>
    </w:rPr>
  </w:style>
  <w:style w:type="character" w:styleId="34">
    <w:name w:val="HTML Sample"/>
    <w:unhideWhenUsed/>
    <w:qFormat/>
    <w:uiPriority w:val="0"/>
    <w:rPr>
      <w:rFonts w:ascii="Courier New" w:hAnsi="Courier New"/>
    </w:rPr>
  </w:style>
  <w:style w:type="character" w:customStyle="1" w:styleId="35">
    <w:name w:val="标题 1 字符"/>
    <w:link w:val="2"/>
    <w:qFormat/>
    <w:uiPriority w:val="0"/>
    <w:rPr>
      <w:rFonts w:ascii="Times New Roman" w:hAnsi="Times New Roman" w:eastAsia="宋体" w:cs="Times New Roman"/>
      <w:b/>
      <w:vanish/>
      <w:color w:val="000000"/>
      <w:kern w:val="28"/>
      <w:sz w:val="36"/>
      <w:szCs w:val="36"/>
    </w:rPr>
  </w:style>
  <w:style w:type="character" w:customStyle="1" w:styleId="36">
    <w:name w:val="标题 2 字符"/>
    <w:link w:val="3"/>
    <w:qFormat/>
    <w:uiPriority w:val="0"/>
    <w:rPr>
      <w:rFonts w:ascii="Arial" w:hAnsi="Arial" w:eastAsia="Arial" w:cs="Arial"/>
      <w:b/>
      <w:bCs/>
      <w:color w:val="000000"/>
      <w:szCs w:val="21"/>
    </w:rPr>
  </w:style>
  <w:style w:type="character" w:customStyle="1" w:styleId="37">
    <w:name w:val="标题 3 字符"/>
    <w:link w:val="4"/>
    <w:qFormat/>
    <w:uiPriority w:val="9"/>
    <w:rPr>
      <w:rFonts w:ascii="Calibri" w:hAnsi="Calibri" w:eastAsia="宋体" w:cs="宋体"/>
      <w:b/>
      <w:bCs/>
      <w:sz w:val="32"/>
      <w:szCs w:val="32"/>
    </w:rPr>
  </w:style>
  <w:style w:type="character" w:customStyle="1" w:styleId="38">
    <w:name w:val="标题 4 字符"/>
    <w:link w:val="5"/>
    <w:qFormat/>
    <w:uiPriority w:val="99"/>
    <w:rPr>
      <w:rFonts w:ascii="宋体" w:hAnsi="宋体" w:eastAsia="宋体" w:cs="宋体"/>
      <w:kern w:val="0"/>
      <w:sz w:val="24"/>
      <w:szCs w:val="20"/>
    </w:rPr>
  </w:style>
  <w:style w:type="character" w:customStyle="1" w:styleId="39">
    <w:name w:val="批注文字 字符"/>
    <w:link w:val="7"/>
    <w:qFormat/>
    <w:uiPriority w:val="99"/>
    <w:rPr>
      <w:rFonts w:ascii="Times New Roman" w:hAnsi="Times New Roman" w:eastAsia="宋体" w:cs="Times New Roman"/>
      <w:sz w:val="28"/>
      <w:szCs w:val="24"/>
    </w:rPr>
  </w:style>
  <w:style w:type="character" w:customStyle="1" w:styleId="40">
    <w:name w:val="正文文本 3 字符"/>
    <w:link w:val="8"/>
    <w:qFormat/>
    <w:uiPriority w:val="99"/>
    <w:rPr>
      <w:rFonts w:ascii="楷体_GB2312" w:hAnsi="宋体" w:eastAsia="楷体_GB2312" w:cs="宋体"/>
      <w:b/>
      <w:color w:val="000000"/>
      <w:sz w:val="30"/>
      <w:szCs w:val="24"/>
    </w:rPr>
  </w:style>
  <w:style w:type="character" w:customStyle="1" w:styleId="41">
    <w:name w:val="正文文本 字符"/>
    <w:link w:val="9"/>
    <w:qFormat/>
    <w:uiPriority w:val="0"/>
    <w:rPr>
      <w:rFonts w:ascii="宋体" w:hAnsi="宋体" w:eastAsia="宋体" w:cs="宋体"/>
      <w:sz w:val="24"/>
      <w:szCs w:val="24"/>
    </w:rPr>
  </w:style>
  <w:style w:type="character" w:customStyle="1" w:styleId="42">
    <w:name w:val="正文文本缩进 字符1"/>
    <w:link w:val="10"/>
    <w:qFormat/>
    <w:uiPriority w:val="0"/>
    <w:rPr>
      <w:rFonts w:ascii="宋体" w:hAnsi="Courier New" w:eastAsia="宋体" w:cs="Times New Roman"/>
      <w:spacing w:val="-4"/>
      <w:sz w:val="18"/>
      <w:szCs w:val="20"/>
    </w:rPr>
  </w:style>
  <w:style w:type="character" w:customStyle="1" w:styleId="43">
    <w:name w:val="纯文本 字符1"/>
    <w:link w:val="13"/>
    <w:qFormat/>
    <w:uiPriority w:val="99"/>
    <w:rPr>
      <w:rFonts w:ascii="宋体" w:hAnsi="Courier New" w:eastAsia="宋体" w:cs="Times New Roman"/>
      <w:sz w:val="24"/>
      <w:szCs w:val="24"/>
    </w:rPr>
  </w:style>
  <w:style w:type="character" w:customStyle="1" w:styleId="44">
    <w:name w:val="日期 字符"/>
    <w:link w:val="14"/>
    <w:qFormat/>
    <w:uiPriority w:val="0"/>
    <w:rPr>
      <w:rFonts w:ascii="宋体" w:hAnsi="宋体" w:eastAsia="宋体" w:cs="宋体"/>
      <w:sz w:val="24"/>
      <w:szCs w:val="21"/>
      <w:lang w:val="zh-CN"/>
    </w:rPr>
  </w:style>
  <w:style w:type="character" w:customStyle="1" w:styleId="45">
    <w:name w:val="批注框文本 字符"/>
    <w:link w:val="15"/>
    <w:qFormat/>
    <w:uiPriority w:val="0"/>
    <w:rPr>
      <w:rFonts w:ascii="宋体" w:hAnsi="宋体" w:eastAsia="宋体" w:cs="Times New Roman"/>
      <w:sz w:val="18"/>
      <w:szCs w:val="18"/>
    </w:rPr>
  </w:style>
  <w:style w:type="character" w:customStyle="1" w:styleId="46">
    <w:name w:val="页脚 字符"/>
    <w:link w:val="16"/>
    <w:qFormat/>
    <w:uiPriority w:val="99"/>
    <w:rPr>
      <w:sz w:val="18"/>
      <w:szCs w:val="18"/>
    </w:rPr>
  </w:style>
  <w:style w:type="character" w:customStyle="1" w:styleId="47">
    <w:name w:val="页眉 字符"/>
    <w:link w:val="18"/>
    <w:qFormat/>
    <w:uiPriority w:val="99"/>
    <w:rPr>
      <w:sz w:val="18"/>
      <w:szCs w:val="18"/>
    </w:rPr>
  </w:style>
  <w:style w:type="character" w:customStyle="1" w:styleId="48">
    <w:name w:val="正文文本 2 字符"/>
    <w:link w:val="22"/>
    <w:qFormat/>
    <w:uiPriority w:val="0"/>
    <w:rPr>
      <w:rFonts w:ascii="宋体" w:hAnsi="宋体" w:eastAsia="宋体" w:cs="宋体"/>
      <w:sz w:val="24"/>
      <w:szCs w:val="24"/>
    </w:rPr>
  </w:style>
  <w:style w:type="character" w:customStyle="1" w:styleId="49">
    <w:name w:val="标题 字符"/>
    <w:link w:val="24"/>
    <w:qFormat/>
    <w:uiPriority w:val="0"/>
    <w:rPr>
      <w:rFonts w:ascii="宋体" w:hAnsi="宋体" w:eastAsia="宋体" w:cs="宋体"/>
      <w:b/>
      <w:bCs/>
      <w:spacing w:val="60"/>
      <w:sz w:val="32"/>
      <w:szCs w:val="24"/>
    </w:rPr>
  </w:style>
  <w:style w:type="character" w:customStyle="1" w:styleId="50">
    <w:name w:val="批注主题 字符"/>
    <w:link w:val="25"/>
    <w:qFormat/>
    <w:uiPriority w:val="0"/>
    <w:rPr>
      <w:rFonts w:ascii="宋体" w:hAnsi="宋体" w:eastAsia="宋体" w:cs="Times New Roman"/>
      <w:b/>
      <w:bCs/>
      <w:sz w:val="24"/>
      <w:szCs w:val="24"/>
    </w:rPr>
  </w:style>
  <w:style w:type="character" w:customStyle="1" w:styleId="51">
    <w:name w:val="正文文本首行缩进 字符"/>
    <w:link w:val="26"/>
    <w:qFormat/>
    <w:uiPriority w:val="99"/>
    <w:rPr>
      <w:rFonts w:ascii="宋体" w:hAnsi="宋体" w:eastAsia="宋体" w:cs="宋体"/>
      <w:sz w:val="24"/>
      <w:szCs w:val="24"/>
    </w:rPr>
  </w:style>
  <w:style w:type="character" w:customStyle="1" w:styleId="52">
    <w:name w:val="正文文本首行缩进 2 字符"/>
    <w:link w:val="27"/>
    <w:qFormat/>
    <w:uiPriority w:val="99"/>
    <w:rPr>
      <w:rFonts w:ascii="宋体" w:hAnsi="Courier New" w:eastAsia="宋体" w:cs="Times New Roman"/>
      <w:spacing w:val="-4"/>
      <w:sz w:val="18"/>
      <w:szCs w:val="20"/>
    </w:rPr>
  </w:style>
  <w:style w:type="paragraph" w:customStyle="1" w:styleId="53">
    <w:name w:val="Default"/>
    <w:next w:val="5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5">
    <w:name w:val="正文文本缩进 字符"/>
    <w:qFormat/>
    <w:uiPriority w:val="0"/>
    <w:rPr>
      <w:rFonts w:ascii="宋体" w:hAnsi="宋体" w:eastAsia="宋体" w:cs="宋体"/>
      <w:sz w:val="24"/>
      <w:szCs w:val="24"/>
    </w:rPr>
  </w:style>
  <w:style w:type="character" w:customStyle="1" w:styleId="56">
    <w:name w:val="纯文本 字符"/>
    <w:qFormat/>
    <w:uiPriority w:val="0"/>
    <w:rPr>
      <w:rFonts w:ascii="等线" w:hAnsi="Courier New" w:cs="Courier New"/>
      <w:sz w:val="24"/>
      <w:szCs w:val="24"/>
    </w:rPr>
  </w:style>
  <w:style w:type="character" w:customStyle="1" w:styleId="57">
    <w:name w:val="16"/>
    <w:qFormat/>
    <w:uiPriority w:val="0"/>
    <w:rPr>
      <w:rFonts w:hint="default" w:ascii="Times New Roman" w:hAnsi="Times New Roman" w:cs="Times New Roman"/>
    </w:rPr>
  </w:style>
  <w:style w:type="character" w:customStyle="1" w:styleId="58">
    <w:name w:val="正文文本缩进 字符2"/>
    <w:qFormat/>
    <w:uiPriority w:val="0"/>
    <w:rPr>
      <w:rFonts w:ascii="宋体" w:hAnsi="Courier New"/>
      <w:spacing w:val="-4"/>
      <w:kern w:val="2"/>
      <w:sz w:val="18"/>
    </w:rPr>
  </w:style>
  <w:style w:type="character" w:customStyle="1" w:styleId="59">
    <w:name w:val="font31"/>
    <w:qFormat/>
    <w:uiPriority w:val="0"/>
    <w:rPr>
      <w:rFonts w:hint="default" w:ascii="Arial" w:hAnsi="Arial" w:cs="Arial"/>
      <w:color w:val="000000"/>
      <w:sz w:val="20"/>
      <w:szCs w:val="20"/>
      <w:u w:val="none"/>
    </w:rPr>
  </w:style>
  <w:style w:type="character" w:customStyle="1" w:styleId="60">
    <w:name w:val="font41"/>
    <w:qFormat/>
    <w:uiPriority w:val="0"/>
    <w:rPr>
      <w:rFonts w:hint="eastAsia" w:ascii="宋体" w:hAnsi="宋体" w:eastAsia="宋体" w:cs="宋体"/>
      <w:color w:val="000000"/>
      <w:sz w:val="24"/>
      <w:szCs w:val="24"/>
      <w:u w:val="none"/>
    </w:rPr>
  </w:style>
  <w:style w:type="character" w:customStyle="1" w:styleId="61">
    <w:name w:val="未处理的提及1"/>
    <w:unhideWhenUsed/>
    <w:qFormat/>
    <w:uiPriority w:val="99"/>
    <w:rPr>
      <w:color w:val="605E5C"/>
      <w:shd w:val="clear" w:color="auto" w:fill="E1DFDD"/>
    </w:rPr>
  </w:style>
  <w:style w:type="character" w:customStyle="1" w:styleId="62">
    <w:name w:val="15"/>
    <w:qFormat/>
    <w:uiPriority w:val="0"/>
    <w:rPr>
      <w:rFonts w:hint="default" w:ascii="Times New Roman" w:hAnsi="Times New Roman" w:cs="Times New Roman"/>
    </w:rPr>
  </w:style>
  <w:style w:type="paragraph" w:customStyle="1" w:styleId="6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自定义正文"/>
    <w:basedOn w:val="1"/>
    <w:qFormat/>
    <w:uiPriority w:val="0"/>
    <w:pPr>
      <w:spacing w:after="156" w:afterLines="50" w:line="360" w:lineRule="auto"/>
      <w:ind w:firstLine="200" w:firstLineChars="200"/>
      <w:jc w:val="left"/>
    </w:pPr>
    <w:rPr>
      <w:rFonts w:ascii="Times New Roman" w:hAnsi="Times New Roman" w:cs="Times New Roman"/>
    </w:rPr>
  </w:style>
  <w:style w:type="paragraph" w:customStyle="1" w:styleId="65">
    <w:name w:val="样式 小四 行距: 1.5 倍行距 首行缩进: 2 字符"/>
    <w:basedOn w:val="1"/>
    <w:qFormat/>
    <w:uiPriority w:val="0"/>
    <w:pPr>
      <w:spacing w:line="360" w:lineRule="auto"/>
      <w:ind w:firstLine="480" w:firstLineChars="200"/>
    </w:pPr>
    <w:rPr>
      <w:rFonts w:ascii="Times New Roman" w:hAnsi="Times New Roman" w:cs="Times New Roman"/>
    </w:rPr>
  </w:style>
  <w:style w:type="paragraph" w:customStyle="1" w:styleId="66">
    <w:name w:val="左对齐正文"/>
    <w:qFormat/>
    <w:uiPriority w:val="99"/>
    <w:rPr>
      <w:rFonts w:ascii="Calibri" w:hAnsi="Calibri" w:eastAsia="仿宋_GB2312" w:cs="Calibri"/>
      <w:kern w:val="2"/>
      <w:sz w:val="32"/>
      <w:szCs w:val="32"/>
      <w:lang w:val="en-US" w:eastAsia="zh-CN" w:bidi="ar-SA"/>
    </w:rPr>
  </w:style>
  <w:style w:type="paragraph" w:customStyle="1" w:styleId="67">
    <w:name w:val="无间隔1"/>
    <w:qFormat/>
    <w:uiPriority w:val="0"/>
    <w:rPr>
      <w:rFonts w:ascii="Times New Roman" w:hAnsi="Times New Roman" w:eastAsia="宋体" w:cs="Times New Roman"/>
      <w:sz w:val="22"/>
      <w:szCs w:val="22"/>
      <w:lang w:val="en-US" w:eastAsia="en-US" w:bidi="ar-SA"/>
    </w:rPr>
  </w:style>
  <w:style w:type="paragraph" w:customStyle="1" w:styleId="68">
    <w:name w:val="纯文本_0_0"/>
    <w:basedOn w:val="63"/>
    <w:qFormat/>
    <w:uiPriority w:val="0"/>
    <w:rPr>
      <w:rFonts w:ascii="宋体" w:hAnsi="Courier New"/>
      <w:szCs w:val="21"/>
    </w:rPr>
  </w:style>
  <w:style w:type="paragraph" w:customStyle="1" w:styleId="69">
    <w:name w:val="样式1"/>
    <w:basedOn w:val="1"/>
    <w:qFormat/>
    <w:uiPriority w:val="0"/>
    <w:pPr>
      <w:spacing w:line="360" w:lineRule="exact"/>
      <w:ind w:firstLine="200" w:firstLineChars="200"/>
    </w:pPr>
    <w:rPr>
      <w:rFonts w:ascii="Arial" w:hAnsi="Arial"/>
      <w:szCs w:val="20"/>
    </w:rPr>
  </w:style>
  <w:style w:type="paragraph" w:customStyle="1" w:styleId="70">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首行缩进"/>
    <w:basedOn w:val="1"/>
    <w:qFormat/>
    <w:uiPriority w:val="0"/>
    <w:pPr>
      <w:spacing w:line="360" w:lineRule="auto"/>
      <w:ind w:firstLine="480" w:firstLineChars="200"/>
    </w:pPr>
  </w:style>
  <w:style w:type="paragraph" w:customStyle="1" w:styleId="7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表格文字"/>
    <w:basedOn w:val="1"/>
    <w:next w:val="9"/>
    <w:qFormat/>
    <w:uiPriority w:val="99"/>
    <w:pPr>
      <w:spacing w:line="420" w:lineRule="atLeast"/>
      <w:textAlignment w:val="baseline"/>
    </w:pPr>
    <w:rPr>
      <w:rFonts w:ascii="Calibri" w:hAnsi="Calibri"/>
    </w:rPr>
  </w:style>
  <w:style w:type="paragraph" w:customStyle="1" w:styleId="7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6">
    <w:name w:val="样式 正文缩进 + 首行缩进: 2 字符"/>
    <w:qFormat/>
    <w:uiPriority w:val="0"/>
    <w:pPr>
      <w:spacing w:line="360" w:lineRule="auto"/>
      <w:ind w:firstLine="200"/>
    </w:pPr>
    <w:rPr>
      <w:rFonts w:ascii="Times New Roman" w:hAnsi="Times New Roman" w:eastAsia="仿宋" w:cs="Times New Roman"/>
      <w:sz w:val="24"/>
      <w:szCs w:val="24"/>
      <w:lang w:val="en-US" w:eastAsia="zh-CN" w:bidi="ar-SA"/>
    </w:rPr>
  </w:style>
  <w:style w:type="paragraph" w:customStyle="1" w:styleId="77">
    <w:name w:val="_Style 1"/>
    <w:qFormat/>
    <w:uiPriority w:val="0"/>
    <w:rPr>
      <w:rFonts w:ascii="Calibri" w:hAnsi="Calibri" w:eastAsia="宋体" w:cs="Times New Roman"/>
      <w:kern w:val="2"/>
      <w:sz w:val="28"/>
      <w:szCs w:val="22"/>
      <w:lang w:val="en-US" w:eastAsia="zh-CN" w:bidi="ar-SA"/>
    </w:rPr>
  </w:style>
  <w:style w:type="paragraph" w:customStyle="1" w:styleId="78">
    <w:name w:val="修订1"/>
    <w:semiHidden/>
    <w:qFormat/>
    <w:uiPriority w:val="99"/>
    <w:rPr>
      <w:rFonts w:ascii="宋体" w:hAnsi="宋体" w:eastAsia="宋体" w:cs="宋体"/>
      <w:kern w:val="2"/>
      <w:sz w:val="24"/>
      <w:szCs w:val="24"/>
      <w:lang w:val="en-US" w:eastAsia="zh-CN" w:bidi="ar-SA"/>
    </w:rPr>
  </w:style>
  <w:style w:type="paragraph" w:customStyle="1" w:styleId="79">
    <w:name w:val="列表段落1"/>
    <w:basedOn w:val="1"/>
    <w:qFormat/>
    <w:uiPriority w:val="0"/>
    <w:pPr>
      <w:ind w:firstLine="420" w:firstLineChars="200"/>
    </w:pPr>
    <w:rPr>
      <w:rFonts w:ascii="Calibri" w:hAnsi="Calibri" w:cs="Times New Roman"/>
      <w:sz w:val="21"/>
      <w:szCs w:val="21"/>
    </w:rPr>
  </w:style>
  <w:style w:type="paragraph" w:customStyle="1" w:styleId="80">
    <w:name w:val="正文空2字"/>
    <w:basedOn w:val="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列出段落1"/>
    <w:basedOn w:val="1"/>
    <w:qFormat/>
    <w:uiPriority w:val="99"/>
    <w:pPr>
      <w:ind w:firstLine="420" w:firstLineChars="200"/>
    </w:pPr>
  </w:style>
  <w:style w:type="paragraph" w:customStyle="1" w:styleId="82">
    <w:name w:val="正文2"/>
    <w:basedOn w:val="1"/>
    <w:qFormat/>
    <w:uiPriority w:val="0"/>
    <w:pPr>
      <w:spacing w:before="156" w:line="360" w:lineRule="auto"/>
      <w:ind w:firstLine="200" w:firstLineChars="200"/>
    </w:pPr>
    <w:rPr>
      <w:rFonts w:eastAsia="??"/>
      <w:szCs w:val="28"/>
    </w:rPr>
  </w:style>
  <w:style w:type="paragraph" w:customStyle="1" w:styleId="83">
    <w:name w:val="修订2"/>
    <w:unhideWhenUsed/>
    <w:qFormat/>
    <w:uiPriority w:val="99"/>
    <w:rPr>
      <w:rFonts w:ascii="宋体" w:hAnsi="宋体" w:eastAsia="宋体" w:cs="宋体"/>
      <w:kern w:val="2"/>
      <w:sz w:val="24"/>
      <w:szCs w:val="24"/>
      <w:lang w:val="en-US" w:eastAsia="zh-CN" w:bidi="ar-SA"/>
    </w:rPr>
  </w:style>
  <w:style w:type="paragraph" w:customStyle="1" w:styleId="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85">
    <w:name w:val="未处理的提及2"/>
    <w:unhideWhenUsed/>
    <w:qFormat/>
    <w:uiPriority w:val="99"/>
    <w:rPr>
      <w:color w:val="605E5C"/>
      <w:shd w:val="clear" w:color="auto" w:fill="E1DFDD"/>
    </w:rPr>
  </w:style>
  <w:style w:type="paragraph" w:customStyle="1" w:styleId="86">
    <w:name w:val="正文首行缩进两字"/>
    <w:qFormat/>
    <w:uiPriority w:val="99"/>
    <w:pPr>
      <w:spacing w:line="360" w:lineRule="auto"/>
    </w:pPr>
    <w:rPr>
      <w:rFonts w:ascii="Times New Roman" w:hAnsi="Times New Roman" w:eastAsia="宋体" w:cs="Times New Roman"/>
      <w:color w:val="000000"/>
      <w:sz w:val="24"/>
      <w:szCs w:val="24"/>
      <w:lang w:val="en-US" w:eastAsia="zh-CN" w:bidi="ar-SA"/>
    </w:rPr>
  </w:style>
  <w:style w:type="paragraph" w:customStyle="1" w:styleId="87">
    <w:name w:val="修订3"/>
    <w:unhideWhenUsed/>
    <w:qFormat/>
    <w:uiPriority w:val="99"/>
    <w:rPr>
      <w:rFonts w:ascii="宋体" w:hAnsi="宋体" w:eastAsia="宋体" w:cs="宋体"/>
      <w:kern w:val="2"/>
      <w:sz w:val="24"/>
      <w:szCs w:val="24"/>
      <w:lang w:val="en-US" w:eastAsia="zh-CN" w:bidi="ar-SA"/>
    </w:rPr>
  </w:style>
  <w:style w:type="paragraph" w:customStyle="1" w:styleId="88">
    <w:name w:val="21bc9c4b-6a32-43e5-beaa-fd2d792c5735"/>
    <w:basedOn w:val="2"/>
    <w:next w:val="89"/>
    <w:link w:val="90"/>
    <w:qFormat/>
    <w:uiPriority w:val="0"/>
    <w:pPr>
      <w:keepNext w:val="0"/>
      <w:widowControl/>
      <w:overflowPunct/>
      <w:autoSpaceDE/>
      <w:autoSpaceDN/>
      <w:snapToGrid/>
      <w:spacing w:before="0" w:after="0" w:line="288" w:lineRule="auto"/>
      <w:ind w:firstLine="0"/>
      <w:jc w:val="left"/>
      <w:textAlignment w:val="auto"/>
    </w:pPr>
    <w:rPr>
      <w:rFonts w:ascii="微软雅黑" w:hAnsi="微软雅黑" w:eastAsia="微软雅黑"/>
      <w:bCs/>
      <w:vanish w:val="0"/>
      <w:kern w:val="44"/>
      <w:sz w:val="32"/>
      <w:szCs w:val="48"/>
    </w:rPr>
  </w:style>
  <w:style w:type="paragraph" w:customStyle="1" w:styleId="89">
    <w:name w:val="acbfdd8b-e11b-4d36-88ff-6049b138f862"/>
    <w:basedOn w:val="1"/>
    <w:link w:val="91"/>
    <w:qFormat/>
    <w:uiPriority w:val="0"/>
    <w:pPr>
      <w:widowControl/>
      <w:adjustRightInd w:val="0"/>
      <w:spacing w:line="288" w:lineRule="auto"/>
      <w:jc w:val="left"/>
    </w:pPr>
    <w:rPr>
      <w:rFonts w:ascii="微软雅黑" w:hAnsi="微软雅黑" w:eastAsia="微软雅黑" w:cs="Times New Roman"/>
      <w:color w:val="000000"/>
      <w:kern w:val="44"/>
      <w:sz w:val="22"/>
    </w:rPr>
  </w:style>
  <w:style w:type="character" w:customStyle="1" w:styleId="90">
    <w:name w:val="21bc9c4b-6a32-43e5-beaa-fd2d792c5735 字符"/>
    <w:link w:val="88"/>
    <w:qFormat/>
    <w:uiPriority w:val="0"/>
    <w:rPr>
      <w:rFonts w:ascii="微软雅黑" w:hAnsi="微软雅黑" w:eastAsia="微软雅黑" w:cs="Times New Roman"/>
      <w:bCs/>
      <w:color w:val="000000"/>
      <w:kern w:val="44"/>
      <w:sz w:val="32"/>
      <w:szCs w:val="48"/>
    </w:rPr>
  </w:style>
  <w:style w:type="character" w:customStyle="1" w:styleId="91">
    <w:name w:val="acbfdd8b-e11b-4d36-88ff-6049b138f862 字符"/>
    <w:link w:val="89"/>
    <w:qFormat/>
    <w:uiPriority w:val="0"/>
    <w:rPr>
      <w:rFonts w:ascii="微软雅黑" w:hAnsi="微软雅黑" w:eastAsia="微软雅黑" w:cs="Times New Roman"/>
      <w:color w:val="000000"/>
      <w:kern w:val="44"/>
      <w:sz w:val="22"/>
      <w:szCs w:val="24"/>
    </w:rPr>
  </w:style>
  <w:style w:type="paragraph" w:customStyle="1" w:styleId="92">
    <w:name w:val="修订4"/>
    <w:unhideWhenUsed/>
    <w:qFormat/>
    <w:uiPriority w:val="99"/>
    <w:rPr>
      <w:rFonts w:ascii="宋体" w:hAnsi="宋体" w:eastAsia="宋体" w:cs="宋体"/>
      <w:kern w:val="2"/>
      <w:sz w:val="24"/>
      <w:szCs w:val="24"/>
      <w:lang w:val="en-US" w:eastAsia="zh-CN" w:bidi="ar-SA"/>
    </w:rPr>
  </w:style>
  <w:style w:type="paragraph" w:customStyle="1" w:styleId="93">
    <w:name w:val="Revision"/>
    <w:unhideWhenUsed/>
    <w:qFormat/>
    <w:uiPriority w:val="99"/>
    <w:rPr>
      <w:rFonts w:ascii="宋体" w:hAnsi="宋体" w:eastAsia="宋体" w:cs="宋体"/>
      <w:kern w:val="2"/>
      <w:sz w:val="24"/>
      <w:szCs w:val="24"/>
      <w:lang w:val="en-US" w:eastAsia="zh-CN" w:bidi="ar-SA"/>
    </w:rPr>
  </w:style>
  <w:style w:type="paragraph" w:customStyle="1" w:styleId="94">
    <w:name w:val="_Style 93"/>
    <w:unhideWhenUsed/>
    <w:qFormat/>
    <w:uiPriority w:val="99"/>
    <w:rPr>
      <w:rFonts w:ascii="宋体" w:hAnsi="宋体" w:eastAsia="宋体" w:cs="宋体"/>
      <w:kern w:val="2"/>
      <w:sz w:val="24"/>
      <w:szCs w:val="24"/>
      <w:lang w:val="en-US" w:eastAsia="zh-CN" w:bidi="ar-SA"/>
    </w:rPr>
  </w:style>
  <w:style w:type="paragraph" w:styleId="95">
    <w:name w:val="List Paragraph"/>
    <w:basedOn w:val="1"/>
    <w:qFormat/>
    <w:uiPriority w:val="34"/>
    <w:pPr>
      <w:ind w:firstLine="420" w:firstLineChars="200"/>
    </w:pPr>
  </w:style>
  <w:style w:type="paragraph" w:customStyle="1" w:styleId="96">
    <w:name w:val="Body text|1"/>
    <w:basedOn w:val="1"/>
    <w:qFormat/>
    <w:uiPriority w:val="0"/>
    <w:pPr>
      <w:spacing w:after="230" w:line="326" w:lineRule="auto"/>
      <w:ind w:firstLine="0" w:firstLineChars="0"/>
      <w:jc w:val="both"/>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GYDN</Company>
  <Pages>71</Pages>
  <Words>31187</Words>
  <Characters>32415</Characters>
  <Lines>1730</Lines>
  <Paragraphs>1697</Paragraphs>
  <TotalTime>28</TotalTime>
  <ScaleCrop>false</ScaleCrop>
  <LinksUpToDate>false</LinksUpToDate>
  <CharactersWithSpaces>32561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2025-04-30T11:30:00Z</dcterms:created>
  <dc:creator>CS ZZ</dc:creator>
  <cp:lastModifiedBy>Janove</cp:lastModifiedBy>
  <cp:lastPrinted>2025-07-10T03:02:00Z</cp:lastPrinted>
  <dcterms:modified xsi:type="dcterms:W3CDTF">2025-07-10T13:25:51Z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7FC5FD1FA4A049169F909B1F58662778_13</vt:lpwstr>
  </property>
  <property fmtid="{D5CDD505-2E9C-101B-9397-08002B2CF9AE}" pid="4" name="KSOTemplateDocerSaveRecord">
    <vt:lpwstr>eyJoZGlkIjoiMTcwNGYyYzk4MDdkZWI2YjNiMjQwYzk5YTY2NDhiZTYiLCJ1c2VySWQiOiI1Mjk4OTIxMzEifQ==</vt:lpwstr>
  </property>
</Properties>
</file>