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0292BE">
      <w:pPr>
        <w:adjustRightInd w:val="0"/>
        <w:snapToGrid w:val="0"/>
        <w:spacing w:line="288" w:lineRule="auto"/>
        <w:rPr>
          <w:rFonts w:hint="eastAsia" w:ascii="仿宋" w:hAnsi="仿宋" w:eastAsia="仿宋" w:cs="仿宋"/>
          <w:b/>
          <w:color w:val="auto"/>
          <w:sz w:val="44"/>
          <w:szCs w:val="44"/>
          <w:highlight w:val="none"/>
        </w:rPr>
      </w:pPr>
    </w:p>
    <w:p w14:paraId="54A6A3B1">
      <w:pPr>
        <w:shd w:val="clear"/>
        <w:adjustRightInd w:val="0"/>
        <w:snapToGrid w:val="0"/>
        <w:spacing w:line="288" w:lineRule="auto"/>
        <w:jc w:val="both"/>
        <w:rPr>
          <w:rFonts w:hint="eastAsia" w:ascii="仿宋" w:hAnsi="仿宋" w:eastAsia="仿宋" w:cs="仿宋"/>
          <w:b/>
          <w:bCs/>
          <w:color w:val="auto"/>
          <w:sz w:val="72"/>
          <w:szCs w:val="72"/>
          <w:highlight w:val="none"/>
        </w:rPr>
      </w:pPr>
    </w:p>
    <w:p w14:paraId="1B3DF902">
      <w:pPr>
        <w:shd w:val="clear"/>
        <w:adjustRightInd w:val="0"/>
        <w:snapToGrid w:val="0"/>
        <w:spacing w:line="288" w:lineRule="auto"/>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竞</w:t>
      </w:r>
      <w:r>
        <w:rPr>
          <w:rFonts w:hint="eastAsia" w:ascii="仿宋" w:hAnsi="仿宋" w:eastAsia="仿宋" w:cs="仿宋"/>
          <w:b/>
          <w:bCs/>
          <w:color w:val="auto"/>
          <w:sz w:val="72"/>
          <w:szCs w:val="72"/>
          <w:highlight w:val="none"/>
          <w:lang w:val="en-US" w:eastAsia="zh-CN"/>
        </w:rPr>
        <w:t xml:space="preserve"> </w:t>
      </w:r>
      <w:r>
        <w:rPr>
          <w:rFonts w:hint="eastAsia" w:ascii="仿宋" w:hAnsi="仿宋" w:eastAsia="仿宋" w:cs="仿宋"/>
          <w:b/>
          <w:bCs/>
          <w:color w:val="auto"/>
          <w:sz w:val="72"/>
          <w:szCs w:val="72"/>
          <w:highlight w:val="none"/>
        </w:rPr>
        <w:t>争</w:t>
      </w:r>
      <w:r>
        <w:rPr>
          <w:rFonts w:hint="eastAsia" w:ascii="仿宋" w:hAnsi="仿宋" w:eastAsia="仿宋" w:cs="仿宋"/>
          <w:b/>
          <w:bCs/>
          <w:color w:val="auto"/>
          <w:sz w:val="72"/>
          <w:szCs w:val="72"/>
          <w:highlight w:val="none"/>
          <w:lang w:val="en-US" w:eastAsia="zh-CN"/>
        </w:rPr>
        <w:t xml:space="preserve"> </w:t>
      </w:r>
      <w:r>
        <w:rPr>
          <w:rFonts w:hint="eastAsia" w:ascii="仿宋" w:hAnsi="仿宋" w:eastAsia="仿宋" w:cs="仿宋"/>
          <w:b/>
          <w:bCs/>
          <w:color w:val="auto"/>
          <w:sz w:val="72"/>
          <w:szCs w:val="72"/>
          <w:highlight w:val="none"/>
        </w:rPr>
        <w:t>性</w:t>
      </w:r>
      <w:r>
        <w:rPr>
          <w:rFonts w:hint="eastAsia" w:ascii="仿宋" w:hAnsi="仿宋" w:eastAsia="仿宋" w:cs="仿宋"/>
          <w:b/>
          <w:bCs/>
          <w:color w:val="auto"/>
          <w:sz w:val="72"/>
          <w:szCs w:val="72"/>
          <w:highlight w:val="none"/>
          <w:lang w:val="en-US" w:eastAsia="zh-CN"/>
        </w:rPr>
        <w:t xml:space="preserve"> </w:t>
      </w:r>
      <w:r>
        <w:rPr>
          <w:rFonts w:hint="eastAsia" w:ascii="仿宋" w:hAnsi="仿宋" w:eastAsia="仿宋" w:cs="仿宋"/>
          <w:b/>
          <w:bCs/>
          <w:color w:val="auto"/>
          <w:sz w:val="72"/>
          <w:szCs w:val="72"/>
          <w:highlight w:val="none"/>
        </w:rPr>
        <w:t>磋</w:t>
      </w:r>
      <w:r>
        <w:rPr>
          <w:rFonts w:hint="eastAsia" w:ascii="仿宋" w:hAnsi="仿宋" w:eastAsia="仿宋" w:cs="仿宋"/>
          <w:b/>
          <w:bCs/>
          <w:color w:val="auto"/>
          <w:sz w:val="72"/>
          <w:szCs w:val="72"/>
          <w:highlight w:val="none"/>
          <w:lang w:val="en-US" w:eastAsia="zh-CN"/>
        </w:rPr>
        <w:t xml:space="preserve"> </w:t>
      </w:r>
      <w:r>
        <w:rPr>
          <w:rFonts w:hint="eastAsia" w:ascii="仿宋" w:hAnsi="仿宋" w:eastAsia="仿宋" w:cs="仿宋"/>
          <w:b/>
          <w:bCs/>
          <w:color w:val="auto"/>
          <w:sz w:val="72"/>
          <w:szCs w:val="72"/>
          <w:highlight w:val="none"/>
        </w:rPr>
        <w:t>商</w:t>
      </w:r>
      <w:r>
        <w:rPr>
          <w:rFonts w:hint="eastAsia" w:ascii="仿宋" w:hAnsi="仿宋" w:eastAsia="仿宋" w:cs="仿宋"/>
          <w:b/>
          <w:bCs/>
          <w:color w:val="auto"/>
          <w:sz w:val="72"/>
          <w:szCs w:val="72"/>
          <w:highlight w:val="none"/>
          <w:lang w:val="en-US" w:eastAsia="zh-CN"/>
        </w:rPr>
        <w:t xml:space="preserve"> </w:t>
      </w:r>
      <w:r>
        <w:rPr>
          <w:rFonts w:hint="eastAsia" w:ascii="仿宋" w:hAnsi="仿宋" w:eastAsia="仿宋" w:cs="仿宋"/>
          <w:b/>
          <w:bCs/>
          <w:color w:val="auto"/>
          <w:sz w:val="72"/>
          <w:szCs w:val="72"/>
          <w:highlight w:val="none"/>
        </w:rPr>
        <w:t>文</w:t>
      </w:r>
      <w:r>
        <w:rPr>
          <w:rFonts w:hint="eastAsia" w:ascii="仿宋" w:hAnsi="仿宋" w:eastAsia="仿宋" w:cs="仿宋"/>
          <w:b/>
          <w:bCs/>
          <w:color w:val="auto"/>
          <w:sz w:val="72"/>
          <w:szCs w:val="72"/>
          <w:highlight w:val="none"/>
          <w:lang w:val="en-US" w:eastAsia="zh-CN"/>
        </w:rPr>
        <w:t xml:space="preserve"> </w:t>
      </w:r>
      <w:r>
        <w:rPr>
          <w:rFonts w:hint="eastAsia" w:ascii="仿宋" w:hAnsi="仿宋" w:eastAsia="仿宋" w:cs="仿宋"/>
          <w:b/>
          <w:bCs/>
          <w:color w:val="auto"/>
          <w:sz w:val="72"/>
          <w:szCs w:val="72"/>
          <w:highlight w:val="none"/>
        </w:rPr>
        <w:t>件</w:t>
      </w:r>
    </w:p>
    <w:p w14:paraId="41D3E114">
      <w:pPr>
        <w:shd w:val="clear"/>
        <w:adjustRightInd w:val="0"/>
        <w:snapToGrid w:val="0"/>
        <w:spacing w:line="288"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（线上电子交易）</w:t>
      </w:r>
    </w:p>
    <w:p w14:paraId="08AD13DF">
      <w:pPr>
        <w:shd w:val="clear"/>
        <w:adjustRightInd w:val="0"/>
        <w:snapToGrid w:val="0"/>
        <w:spacing w:line="288" w:lineRule="auto"/>
        <w:jc w:val="center"/>
        <w:rPr>
          <w:rFonts w:hint="eastAsia" w:ascii="仿宋" w:hAnsi="仿宋" w:eastAsia="仿宋" w:cs="仿宋"/>
          <w:b/>
          <w:bCs/>
          <w:color w:val="auto"/>
          <w:sz w:val="36"/>
          <w:szCs w:val="36"/>
          <w:highlight w:val="none"/>
        </w:rPr>
      </w:pPr>
    </w:p>
    <w:p w14:paraId="76D42D3D">
      <w:pPr>
        <w:pStyle w:val="27"/>
        <w:shd w:val="clear"/>
        <w:ind w:firstLine="0"/>
        <w:rPr>
          <w:rFonts w:hint="eastAsia" w:ascii="仿宋" w:hAnsi="仿宋" w:eastAsia="仿宋" w:cs="仿宋"/>
          <w:color w:val="auto"/>
          <w:spacing w:val="0"/>
          <w:highlight w:val="none"/>
        </w:rPr>
      </w:pPr>
    </w:p>
    <w:p w14:paraId="2632FF24">
      <w:pPr>
        <w:shd w:val="clear"/>
        <w:adjustRightInd w:val="0"/>
        <w:snapToGrid w:val="0"/>
        <w:spacing w:line="288" w:lineRule="auto"/>
        <w:jc w:val="center"/>
        <w:rPr>
          <w:rFonts w:hint="eastAsia" w:ascii="仿宋" w:hAnsi="仿宋" w:eastAsia="仿宋" w:cs="仿宋"/>
          <w:b/>
          <w:bCs/>
          <w:color w:val="auto"/>
          <w:sz w:val="36"/>
          <w:szCs w:val="36"/>
          <w:highlight w:val="none"/>
        </w:rPr>
      </w:pPr>
      <w:r>
        <w:rPr>
          <w:rFonts w:hint="eastAsia" w:ascii="仿宋" w:hAnsi="仿宋" w:eastAsia="仿宋" w:cs="仿宋"/>
          <w:b/>
          <w:color w:val="auto"/>
          <w:sz w:val="36"/>
          <w:highlight w:val="none"/>
        </w:rPr>
        <w:drawing>
          <wp:inline distT="0" distB="0" distL="114300" distR="114300">
            <wp:extent cx="1889760" cy="1470660"/>
            <wp:effectExtent l="0" t="0" r="15240" b="15240"/>
            <wp:docPr id="1" name="图片 1" descr="C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TLOGO"/>
                    <pic:cNvPicPr>
                      <a:picLocks noChangeAspect="1"/>
                    </pic:cNvPicPr>
                  </pic:nvPicPr>
                  <pic:blipFill>
                    <a:blip r:embed="rId10"/>
                    <a:stretch>
                      <a:fillRect/>
                    </a:stretch>
                  </pic:blipFill>
                  <pic:spPr>
                    <a:xfrm>
                      <a:off x="0" y="0"/>
                      <a:ext cx="1889760" cy="1470660"/>
                    </a:xfrm>
                    <a:prstGeom prst="rect">
                      <a:avLst/>
                    </a:prstGeom>
                    <a:noFill/>
                    <a:ln>
                      <a:noFill/>
                    </a:ln>
                  </pic:spPr>
                </pic:pic>
              </a:graphicData>
            </a:graphic>
          </wp:inline>
        </w:drawing>
      </w:r>
    </w:p>
    <w:p w14:paraId="6C12A294">
      <w:pPr>
        <w:shd w:val="clear"/>
        <w:adjustRightInd w:val="0"/>
        <w:snapToGrid w:val="0"/>
        <w:spacing w:line="288" w:lineRule="auto"/>
        <w:rPr>
          <w:rFonts w:hint="eastAsia" w:ascii="仿宋" w:hAnsi="仿宋" w:eastAsia="仿宋" w:cs="仿宋"/>
          <w:b/>
          <w:bCs/>
          <w:color w:val="auto"/>
          <w:sz w:val="30"/>
          <w:szCs w:val="30"/>
          <w:highlight w:val="none"/>
        </w:rPr>
      </w:pPr>
    </w:p>
    <w:p w14:paraId="5ED1EA74">
      <w:pPr>
        <w:pStyle w:val="27"/>
        <w:shd w:val="clear"/>
        <w:rPr>
          <w:rFonts w:hint="eastAsia" w:ascii="仿宋" w:hAnsi="仿宋" w:eastAsia="仿宋" w:cs="仿宋"/>
          <w:color w:val="auto"/>
          <w:highlight w:val="none"/>
        </w:rPr>
      </w:pPr>
    </w:p>
    <w:p w14:paraId="55AB50E3">
      <w:pPr>
        <w:shd w:val="clear"/>
        <w:adjustRightInd w:val="0"/>
        <w:snapToGrid w:val="0"/>
        <w:spacing w:line="360" w:lineRule="auto"/>
        <w:rPr>
          <w:rFonts w:hint="eastAsia" w:ascii="仿宋" w:hAnsi="仿宋" w:eastAsia="仿宋" w:cs="仿宋"/>
          <w:b/>
          <w:bCs/>
          <w:color w:val="auto"/>
          <w:sz w:val="30"/>
          <w:szCs w:val="30"/>
          <w:highlight w:val="none"/>
        </w:rPr>
      </w:pPr>
    </w:p>
    <w:p w14:paraId="79B10516">
      <w:pPr>
        <w:shd w:val="clear"/>
        <w:adjustRightInd w:val="0"/>
        <w:snapToGrid w:val="0"/>
        <w:spacing w:line="360" w:lineRule="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项目名称：</w:t>
      </w:r>
      <w:r>
        <w:rPr>
          <w:rFonts w:hint="eastAsia" w:ascii="仿宋" w:hAnsi="仿宋" w:eastAsia="仿宋" w:cs="仿宋"/>
          <w:b/>
          <w:bCs/>
          <w:color w:val="auto"/>
          <w:sz w:val="30"/>
          <w:szCs w:val="30"/>
          <w:highlight w:val="none"/>
          <w:lang w:eastAsia="zh-CN"/>
        </w:rPr>
        <w:t>金融数据库续建采购</w:t>
      </w:r>
    </w:p>
    <w:p w14:paraId="7B582AA8">
      <w:pPr>
        <w:shd w:val="clear"/>
        <w:adjustRightInd w:val="0"/>
        <w:snapToGrid w:val="0"/>
        <w:spacing w:line="360" w:lineRule="auto"/>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rPr>
        <w:t>项目编号：</w:t>
      </w:r>
      <w:r>
        <w:rPr>
          <w:rFonts w:hint="eastAsia" w:ascii="仿宋" w:hAnsi="仿宋" w:eastAsia="仿宋" w:cs="仿宋"/>
          <w:b/>
          <w:bCs/>
          <w:color w:val="auto"/>
          <w:sz w:val="30"/>
          <w:szCs w:val="30"/>
          <w:highlight w:val="none"/>
          <w:lang w:eastAsia="zh-CN"/>
        </w:rPr>
        <w:t>CTZB-2025070077</w:t>
      </w:r>
      <w:r>
        <w:rPr>
          <w:rFonts w:hint="eastAsia" w:ascii="仿宋" w:hAnsi="仿宋" w:eastAsia="仿宋" w:cs="仿宋"/>
          <w:b/>
          <w:bCs/>
          <w:color w:val="auto"/>
          <w:sz w:val="30"/>
          <w:szCs w:val="30"/>
          <w:highlight w:val="none"/>
          <w:lang w:eastAsia="zh-CN"/>
        </w:rPr>
        <w:tab/>
      </w:r>
    </w:p>
    <w:p w14:paraId="5A032861">
      <w:pPr>
        <w:shd w:val="clear"/>
        <w:adjustRightInd w:val="0"/>
        <w:snapToGrid w:val="0"/>
        <w:spacing w:line="360" w:lineRule="auto"/>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rPr>
        <w:t>采 购 人：</w:t>
      </w:r>
      <w:r>
        <w:rPr>
          <w:rFonts w:hint="eastAsia" w:ascii="仿宋" w:hAnsi="仿宋" w:eastAsia="仿宋" w:cs="仿宋"/>
          <w:b/>
          <w:bCs/>
          <w:color w:val="auto"/>
          <w:sz w:val="30"/>
          <w:szCs w:val="30"/>
          <w:highlight w:val="none"/>
          <w:lang w:eastAsia="zh-CN"/>
        </w:rPr>
        <w:t>浙江万里学院</w:t>
      </w:r>
    </w:p>
    <w:p w14:paraId="1D658ED5">
      <w:pPr>
        <w:shd w:val="clear"/>
        <w:adjustRightInd w:val="0"/>
        <w:snapToGrid w:val="0"/>
        <w:spacing w:line="360" w:lineRule="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采购代理机构：</w:t>
      </w:r>
      <w:bookmarkStart w:id="0" w:name="OLE_LINK6"/>
      <w:r>
        <w:rPr>
          <w:rFonts w:hint="eastAsia" w:ascii="仿宋" w:hAnsi="仿宋" w:eastAsia="仿宋" w:cs="仿宋"/>
          <w:b/>
          <w:bCs/>
          <w:color w:val="auto"/>
          <w:sz w:val="30"/>
          <w:szCs w:val="30"/>
          <w:highlight w:val="none"/>
        </w:rPr>
        <w:t>浙江省成套招标代理有限公司</w:t>
      </w:r>
      <w:bookmarkEnd w:id="0"/>
    </w:p>
    <w:p w14:paraId="0A6E9443">
      <w:pPr>
        <w:shd w:val="clear"/>
        <w:adjustRightInd w:val="0"/>
        <w:snapToGrid w:val="0"/>
        <w:spacing w:line="360" w:lineRule="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采购计划文号：[2025]29694号</w:t>
      </w:r>
    </w:p>
    <w:p w14:paraId="5B2C9BE6">
      <w:pPr>
        <w:shd w:val="clear"/>
        <w:adjustRightInd w:val="0"/>
        <w:snapToGrid w:val="0"/>
        <w:spacing w:line="288" w:lineRule="auto"/>
        <w:rPr>
          <w:rFonts w:hint="eastAsia" w:ascii="仿宋" w:hAnsi="仿宋" w:eastAsia="仿宋" w:cs="仿宋"/>
          <w:b/>
          <w:bCs/>
          <w:color w:val="auto"/>
          <w:sz w:val="30"/>
          <w:szCs w:val="30"/>
          <w:highlight w:val="none"/>
        </w:rPr>
      </w:pPr>
    </w:p>
    <w:p w14:paraId="5AF57AC8">
      <w:pPr>
        <w:pStyle w:val="27"/>
        <w:shd w:val="clear"/>
        <w:ind w:firstLine="0"/>
        <w:rPr>
          <w:rFonts w:hint="eastAsia" w:ascii="仿宋" w:hAnsi="仿宋" w:eastAsia="仿宋" w:cs="仿宋"/>
          <w:b/>
          <w:bCs/>
          <w:color w:val="auto"/>
          <w:spacing w:val="0"/>
          <w:sz w:val="30"/>
          <w:szCs w:val="30"/>
          <w:highlight w:val="none"/>
        </w:rPr>
      </w:pPr>
    </w:p>
    <w:p w14:paraId="408417F5">
      <w:pPr>
        <w:pStyle w:val="27"/>
        <w:shd w:val="clear"/>
        <w:ind w:firstLine="0"/>
        <w:rPr>
          <w:rFonts w:hint="eastAsia" w:ascii="仿宋" w:hAnsi="仿宋" w:eastAsia="仿宋" w:cs="仿宋"/>
          <w:b/>
          <w:bCs/>
          <w:color w:val="auto"/>
          <w:spacing w:val="0"/>
          <w:sz w:val="30"/>
          <w:szCs w:val="30"/>
          <w:highlight w:val="none"/>
        </w:rPr>
      </w:pPr>
    </w:p>
    <w:p w14:paraId="1938C1FE">
      <w:pPr>
        <w:pStyle w:val="27"/>
        <w:shd w:val="clear"/>
        <w:ind w:firstLine="0"/>
        <w:rPr>
          <w:rFonts w:hint="eastAsia" w:ascii="仿宋" w:hAnsi="仿宋" w:eastAsia="仿宋" w:cs="仿宋"/>
          <w:b/>
          <w:bCs/>
          <w:color w:val="auto"/>
          <w:spacing w:val="0"/>
          <w:sz w:val="30"/>
          <w:szCs w:val="30"/>
          <w:highlight w:val="none"/>
        </w:rPr>
      </w:pPr>
    </w:p>
    <w:p w14:paraId="755F79F6">
      <w:pPr>
        <w:shd w:val="clear"/>
        <w:adjustRightInd w:val="0"/>
        <w:snapToGrid w:val="0"/>
        <w:spacing w:line="288" w:lineRule="auto"/>
        <w:jc w:val="center"/>
        <w:rPr>
          <w:rFonts w:hint="eastAsia" w:ascii="仿宋" w:hAnsi="仿宋" w:eastAsia="仿宋" w:cs="仿宋"/>
          <w:b/>
          <w:bCs/>
          <w:color w:val="auto"/>
          <w:sz w:val="30"/>
          <w:szCs w:val="30"/>
          <w:highlight w:val="none"/>
        </w:rPr>
        <w:sectPr>
          <w:headerReference r:id="rId4" w:type="first"/>
          <w:footerReference r:id="rId6" w:type="first"/>
          <w:headerReference r:id="rId3" w:type="default"/>
          <w:footerReference r:id="rId5" w:type="default"/>
          <w:pgSz w:w="11906" w:h="16838"/>
          <w:pgMar w:top="1247" w:right="1247" w:bottom="1247" w:left="1247" w:header="850" w:footer="850" w:gutter="0"/>
          <w:cols w:space="720" w:num="1"/>
          <w:titlePg/>
          <w:docGrid w:type="lines" w:linePitch="326" w:charSpace="0"/>
        </w:sectPr>
      </w:pPr>
      <w:r>
        <w:rPr>
          <w:rFonts w:hint="eastAsia" w:ascii="仿宋" w:hAnsi="仿宋" w:eastAsia="仿宋" w:cs="仿宋"/>
          <w:b/>
          <w:bCs/>
          <w:color w:val="auto"/>
          <w:sz w:val="30"/>
          <w:szCs w:val="30"/>
          <w:highlight w:val="none"/>
        </w:rPr>
        <w:t>二〇二五年</w:t>
      </w:r>
      <w:r>
        <w:rPr>
          <w:rFonts w:hint="eastAsia" w:ascii="仿宋" w:hAnsi="仿宋" w:eastAsia="仿宋" w:cs="仿宋"/>
          <w:b/>
          <w:bCs/>
          <w:color w:val="auto"/>
          <w:sz w:val="30"/>
          <w:szCs w:val="30"/>
          <w:highlight w:val="none"/>
          <w:lang w:val="en-US" w:eastAsia="zh-CN"/>
        </w:rPr>
        <w:t>七</w:t>
      </w:r>
      <w:r>
        <w:rPr>
          <w:rFonts w:hint="eastAsia" w:ascii="仿宋" w:hAnsi="仿宋" w:eastAsia="仿宋" w:cs="仿宋"/>
          <w:b/>
          <w:bCs/>
          <w:color w:val="auto"/>
          <w:sz w:val="30"/>
          <w:szCs w:val="30"/>
          <w:highlight w:val="none"/>
        </w:rPr>
        <w:t>月</w:t>
      </w:r>
    </w:p>
    <w:p w14:paraId="7778D67E">
      <w:pPr>
        <w:widowControl/>
        <w:shd w:val="clear"/>
        <w:adjustRightInd w:val="0"/>
        <w:snapToGrid w:val="0"/>
        <w:spacing w:line="288" w:lineRule="auto"/>
        <w:rPr>
          <w:rFonts w:hint="eastAsia" w:ascii="仿宋" w:hAnsi="仿宋" w:eastAsia="仿宋" w:cs="仿宋"/>
          <w:b/>
          <w:bCs/>
          <w:color w:val="auto"/>
          <w:sz w:val="21"/>
          <w:szCs w:val="21"/>
          <w:highlight w:val="none"/>
        </w:rPr>
      </w:pPr>
    </w:p>
    <w:p w14:paraId="30CABF44">
      <w:pPr>
        <w:shd w:val="clear"/>
        <w:jc w:val="center"/>
        <w:rPr>
          <w:rFonts w:hint="eastAsia" w:ascii="仿宋" w:hAnsi="仿宋" w:eastAsia="仿宋" w:cs="仿宋"/>
          <w:color w:val="auto"/>
          <w:sz w:val="48"/>
          <w:szCs w:val="48"/>
          <w:highlight w:val="none"/>
        </w:rPr>
      </w:pPr>
    </w:p>
    <w:p w14:paraId="7EB135C6">
      <w:pPr>
        <w:shd w:val="clear"/>
        <w:jc w:val="center"/>
        <w:outlineLvl w:val="0"/>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目录</w:t>
      </w:r>
    </w:p>
    <w:p w14:paraId="594B3DE9">
      <w:pPr>
        <w:pStyle w:val="19"/>
        <w:shd w:val="clear"/>
        <w:tabs>
          <w:tab w:val="right" w:leader="dot" w:pos="9412"/>
        </w:tabs>
        <w:spacing w:line="480" w:lineRule="auto"/>
        <w:rPr>
          <w:rFonts w:hint="eastAsia" w:ascii="仿宋" w:hAnsi="仿宋" w:eastAsia="仿宋" w:cs="仿宋"/>
          <w:b/>
          <w:bCs/>
          <w:color w:val="auto"/>
          <w:sz w:val="28"/>
          <w:szCs w:val="28"/>
          <w:highlight w:val="none"/>
        </w:rPr>
      </w:pPr>
    </w:p>
    <w:p w14:paraId="1F19A83B">
      <w:pPr>
        <w:pStyle w:val="19"/>
        <w:shd w:val="clear"/>
        <w:tabs>
          <w:tab w:val="right" w:leader="dot" w:pos="9412"/>
        </w:tabs>
        <w:spacing w:line="480" w:lineRule="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TOC \o "1-1" \h \u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"_Toc25916"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rPr>
        <w:t>第一章  竞争性磋商公告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_Toc25916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651F8A1">
      <w:pPr>
        <w:pStyle w:val="19"/>
        <w:shd w:val="clear"/>
        <w:tabs>
          <w:tab w:val="right" w:leader="dot" w:pos="9412"/>
        </w:tabs>
        <w:spacing w:line="48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"_Toc29537"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rPr>
        <w:t>第二章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_Toc29537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3A064C8">
      <w:pPr>
        <w:pStyle w:val="19"/>
        <w:shd w:val="clear"/>
        <w:tabs>
          <w:tab w:val="right" w:leader="dot" w:pos="9412"/>
        </w:tabs>
        <w:spacing w:line="48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"_Toc3747"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rPr>
        <w:t>第三章  供应商须知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_Toc3747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7A74CF5">
      <w:pPr>
        <w:pStyle w:val="19"/>
        <w:shd w:val="clear"/>
        <w:tabs>
          <w:tab w:val="right" w:leader="dot" w:pos="9412"/>
        </w:tabs>
        <w:spacing w:line="480" w:lineRule="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"_Toc2552"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rPr>
        <w:t>第四章  评审方法和评审标准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31</w:t>
      </w:r>
    </w:p>
    <w:p w14:paraId="6443A072">
      <w:pPr>
        <w:pStyle w:val="19"/>
        <w:shd w:val="clear"/>
        <w:tabs>
          <w:tab w:val="right" w:leader="dot" w:pos="9412"/>
        </w:tabs>
        <w:spacing w:line="48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"_Toc5658"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rPr>
        <w:t>第五章  拟签订的合同文本</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_Toc5658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F6C22C3">
      <w:pPr>
        <w:pStyle w:val="19"/>
        <w:shd w:val="clear"/>
        <w:tabs>
          <w:tab w:val="right" w:leader="dot" w:pos="9412"/>
        </w:tabs>
        <w:spacing w:line="48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"_Toc1796"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rPr>
        <w:t>第六章  响应文件格式</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_Toc1796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ED6406F">
      <w:pPr>
        <w:shd w:val="clear"/>
        <w:adjustRightInd w:val="0"/>
        <w:snapToGrid w:val="0"/>
        <w:spacing w:line="480" w:lineRule="auto"/>
        <w:rPr>
          <w:rFonts w:hint="eastAsia" w:ascii="仿宋" w:hAnsi="仿宋" w:eastAsia="仿宋" w:cs="仿宋"/>
          <w:b/>
          <w:bCs/>
          <w:color w:val="auto"/>
          <w:sz w:val="28"/>
          <w:szCs w:val="28"/>
          <w:highlight w:val="none"/>
        </w:rPr>
      </w:pPr>
      <w:r>
        <w:rPr>
          <w:rFonts w:hint="eastAsia" w:ascii="仿宋" w:hAnsi="仿宋" w:eastAsia="仿宋" w:cs="仿宋"/>
          <w:bCs/>
          <w:color w:val="auto"/>
          <w:sz w:val="28"/>
          <w:szCs w:val="28"/>
          <w:highlight w:val="none"/>
        </w:rPr>
        <w:fldChar w:fldCharType="end"/>
      </w:r>
    </w:p>
    <w:p w14:paraId="4A80F3A1">
      <w:pPr>
        <w:shd w:val="clear"/>
        <w:adjustRightInd w:val="0"/>
        <w:snapToGrid w:val="0"/>
        <w:spacing w:line="288" w:lineRule="auto"/>
        <w:rPr>
          <w:rFonts w:hint="eastAsia" w:ascii="仿宋" w:hAnsi="仿宋" w:eastAsia="仿宋" w:cs="仿宋"/>
          <w:b/>
          <w:bCs/>
          <w:color w:val="auto"/>
          <w:sz w:val="30"/>
          <w:szCs w:val="30"/>
          <w:highlight w:val="none"/>
        </w:rPr>
      </w:pPr>
    </w:p>
    <w:p w14:paraId="4F041EB3">
      <w:pPr>
        <w:shd w:val="clear"/>
        <w:adjustRightInd w:val="0"/>
        <w:snapToGrid w:val="0"/>
        <w:spacing w:line="288" w:lineRule="auto"/>
        <w:jc w:val="center"/>
        <w:outlineLvl w:val="0"/>
        <w:rPr>
          <w:rFonts w:hint="eastAsia" w:ascii="仿宋" w:hAnsi="仿宋" w:eastAsia="仿宋" w:cs="仿宋"/>
          <w:b/>
          <w:bCs/>
          <w:color w:val="auto"/>
          <w:sz w:val="32"/>
          <w:szCs w:val="32"/>
          <w:highlight w:val="none"/>
        </w:rPr>
        <w:sectPr>
          <w:footerReference r:id="rId7" w:type="default"/>
          <w:pgSz w:w="11906" w:h="16838"/>
          <w:pgMar w:top="1247" w:right="1247" w:bottom="1247" w:left="1247" w:header="567" w:footer="850" w:gutter="0"/>
          <w:pgNumType w:start="1"/>
          <w:cols w:space="720" w:num="1"/>
          <w:docGrid w:type="lines" w:linePitch="326" w:charSpace="0"/>
        </w:sectPr>
      </w:pPr>
      <w:bookmarkStart w:id="1" w:name="_Toc1455"/>
      <w:bookmarkStart w:id="2" w:name="_Toc4348"/>
      <w:bookmarkStart w:id="3" w:name="_Toc1177"/>
      <w:bookmarkStart w:id="4" w:name="_Toc17664"/>
      <w:bookmarkStart w:id="5" w:name="_Toc3095"/>
      <w:bookmarkStart w:id="6" w:name="_Toc25916"/>
      <w:bookmarkStart w:id="7" w:name="_Toc25717"/>
    </w:p>
    <w:p w14:paraId="1B62CEB1">
      <w:pPr>
        <w:shd w:val="clear"/>
        <w:adjustRightInd w:val="0"/>
        <w:snapToGrid w:val="0"/>
        <w:spacing w:line="288"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b/>
          <w:bCs/>
          <w:color w:val="auto"/>
          <w:sz w:val="32"/>
          <w:szCs w:val="32"/>
          <w:highlight w:val="none"/>
        </w:rPr>
        <w:t xml:space="preserve">第一章  </w:t>
      </w:r>
      <w:bookmarkEnd w:id="1"/>
      <w:r>
        <w:rPr>
          <w:rFonts w:hint="eastAsia" w:ascii="仿宋" w:hAnsi="仿宋" w:eastAsia="仿宋" w:cs="仿宋"/>
          <w:b/>
          <w:bCs/>
          <w:color w:val="auto"/>
          <w:sz w:val="32"/>
          <w:szCs w:val="32"/>
          <w:highlight w:val="none"/>
        </w:rPr>
        <w:t>竞争性磋商公告</w:t>
      </w:r>
      <w:bookmarkEnd w:id="2"/>
      <w:bookmarkEnd w:id="3"/>
      <w:bookmarkEnd w:id="4"/>
      <w:bookmarkEnd w:id="5"/>
      <w:bookmarkEnd w:id="6"/>
      <w:bookmarkEnd w:id="7"/>
    </w:p>
    <w:p w14:paraId="5F69AB24">
      <w:pPr>
        <w:pBdr>
          <w:top w:val="single" w:color="auto" w:sz="4" w:space="1"/>
          <w:left w:val="single" w:color="auto" w:sz="4" w:space="4"/>
          <w:bottom w:val="single" w:color="auto" w:sz="4" w:space="1"/>
          <w:right w:val="single" w:color="auto" w:sz="4" w:space="4"/>
        </w:pBdr>
        <w:shd w:val="clear"/>
        <w:adjustRightInd w:val="0"/>
        <w:snapToGrid w:val="0"/>
        <w:spacing w:line="288" w:lineRule="auto"/>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项目概况</w:t>
      </w:r>
    </w:p>
    <w:p w14:paraId="2D92E64E">
      <w:pPr>
        <w:pBdr>
          <w:top w:val="single" w:color="auto" w:sz="4" w:space="1"/>
          <w:left w:val="single" w:color="auto" w:sz="4" w:space="4"/>
          <w:bottom w:val="single" w:color="auto" w:sz="4" w:space="1"/>
          <w:right w:val="single" w:color="auto" w:sz="4" w:space="4"/>
        </w:pBdr>
        <w:shd w:val="clear"/>
        <w:adjustRightInd w:val="0"/>
        <w:snapToGrid w:val="0"/>
        <w:spacing w:line="288" w:lineRule="auto"/>
        <w:ind w:firstLine="420" w:firstLineChars="200"/>
        <w:rPr>
          <w:rFonts w:hint="eastAsia" w:ascii="仿宋" w:hAnsi="仿宋" w:eastAsia="仿宋" w:cs="仿宋"/>
          <w:b/>
          <w:color w:val="auto"/>
          <w:sz w:val="21"/>
          <w:szCs w:val="21"/>
          <w:highlight w:val="none"/>
        </w:rPr>
      </w:pPr>
      <w:r>
        <w:rPr>
          <w:rFonts w:hint="eastAsia" w:ascii="仿宋" w:hAnsi="仿宋" w:eastAsia="仿宋" w:cs="仿宋"/>
          <w:b w:val="0"/>
          <w:bCs/>
          <w:color w:val="auto"/>
          <w:sz w:val="21"/>
          <w:szCs w:val="21"/>
          <w:highlight w:val="none"/>
          <w:u w:val="single"/>
        </w:rPr>
        <w:t>金融数据库续建采购</w:t>
      </w:r>
      <w:r>
        <w:rPr>
          <w:rFonts w:hint="eastAsia" w:ascii="仿宋" w:hAnsi="仿宋" w:eastAsia="仿宋" w:cs="仿宋"/>
          <w:b w:val="0"/>
          <w:bCs/>
          <w:color w:val="auto"/>
          <w:sz w:val="21"/>
          <w:szCs w:val="21"/>
          <w:highlight w:val="none"/>
          <w:u w:val="none"/>
        </w:rPr>
        <w:t>项目</w:t>
      </w:r>
      <w:r>
        <w:rPr>
          <w:rFonts w:hint="eastAsia" w:ascii="仿宋" w:hAnsi="仿宋" w:eastAsia="仿宋" w:cs="仿宋"/>
          <w:b w:val="0"/>
          <w:bCs/>
          <w:color w:val="auto"/>
          <w:sz w:val="21"/>
          <w:szCs w:val="21"/>
          <w:highlight w:val="none"/>
        </w:rPr>
        <w:t>的潜在供应商应在</w:t>
      </w:r>
      <w:r>
        <w:rPr>
          <w:rFonts w:hint="eastAsia" w:ascii="仿宋" w:hAnsi="仿宋" w:eastAsia="仿宋" w:cs="仿宋"/>
          <w:b w:val="0"/>
          <w:bCs/>
          <w:color w:val="auto"/>
          <w:sz w:val="21"/>
          <w:szCs w:val="21"/>
          <w:highlight w:val="none"/>
          <w:u w:val="single"/>
        </w:rPr>
        <w:t>政府采购云平台（https://www.zcygov.cn）</w:t>
      </w:r>
      <w:r>
        <w:rPr>
          <w:rFonts w:hint="eastAsia" w:ascii="仿宋" w:hAnsi="仿宋" w:eastAsia="仿宋" w:cs="仿宋"/>
          <w:b w:val="0"/>
          <w:bCs/>
          <w:color w:val="auto"/>
          <w:sz w:val="21"/>
          <w:szCs w:val="21"/>
          <w:highlight w:val="none"/>
        </w:rPr>
        <w:t>获取（下载）采购文件，并于</w:t>
      </w:r>
      <w:r>
        <w:rPr>
          <w:rFonts w:hint="eastAsia" w:ascii="仿宋" w:hAnsi="仿宋" w:eastAsia="仿宋" w:cs="仿宋"/>
          <w:b w:val="0"/>
          <w:bCs/>
          <w:color w:val="auto"/>
          <w:sz w:val="21"/>
          <w:szCs w:val="21"/>
          <w:highlight w:val="none"/>
          <w:u w:val="single"/>
        </w:rPr>
        <w:t>2025年</w:t>
      </w:r>
      <w:r>
        <w:rPr>
          <w:rFonts w:hint="eastAsia" w:ascii="仿宋" w:hAnsi="仿宋" w:eastAsia="仿宋" w:cs="仿宋"/>
          <w:b w:val="0"/>
          <w:bCs/>
          <w:color w:val="auto"/>
          <w:sz w:val="21"/>
          <w:szCs w:val="21"/>
          <w:highlight w:val="none"/>
          <w:u w:val="single"/>
          <w:lang w:val="en-US" w:eastAsia="zh-CN"/>
        </w:rPr>
        <w:t>7</w:t>
      </w:r>
      <w:r>
        <w:rPr>
          <w:rFonts w:hint="eastAsia" w:ascii="仿宋" w:hAnsi="仿宋" w:eastAsia="仿宋" w:cs="仿宋"/>
          <w:b w:val="0"/>
          <w:bCs/>
          <w:color w:val="auto"/>
          <w:sz w:val="21"/>
          <w:szCs w:val="21"/>
          <w:highlight w:val="none"/>
          <w:u w:val="single"/>
        </w:rPr>
        <w:t>月</w:t>
      </w:r>
      <w:r>
        <w:rPr>
          <w:rFonts w:hint="eastAsia" w:ascii="仿宋" w:hAnsi="仿宋" w:eastAsia="仿宋" w:cs="仿宋"/>
          <w:b w:val="0"/>
          <w:bCs/>
          <w:color w:val="auto"/>
          <w:sz w:val="21"/>
          <w:szCs w:val="21"/>
          <w:highlight w:val="none"/>
          <w:u w:val="single"/>
          <w:lang w:val="en-US" w:eastAsia="zh-CN"/>
        </w:rPr>
        <w:t>18</w:t>
      </w:r>
      <w:r>
        <w:rPr>
          <w:rFonts w:hint="eastAsia" w:ascii="仿宋" w:hAnsi="仿宋" w:eastAsia="仿宋" w:cs="仿宋"/>
          <w:b w:val="0"/>
          <w:bCs/>
          <w:color w:val="auto"/>
          <w:sz w:val="21"/>
          <w:szCs w:val="21"/>
          <w:highlight w:val="none"/>
          <w:u w:val="single"/>
        </w:rPr>
        <w:t>日</w:t>
      </w:r>
      <w:r>
        <w:rPr>
          <w:rFonts w:hint="eastAsia" w:ascii="仿宋" w:hAnsi="仿宋" w:eastAsia="仿宋" w:cs="仿宋"/>
          <w:b w:val="0"/>
          <w:bCs/>
          <w:color w:val="auto"/>
          <w:sz w:val="21"/>
          <w:szCs w:val="21"/>
          <w:highlight w:val="none"/>
          <w:u w:val="single"/>
          <w:lang w:val="en-US" w:eastAsia="zh-CN"/>
        </w:rPr>
        <w:t>9</w:t>
      </w:r>
      <w:r>
        <w:rPr>
          <w:rFonts w:hint="eastAsia" w:ascii="仿宋" w:hAnsi="仿宋" w:eastAsia="仿宋" w:cs="仿宋"/>
          <w:b w:val="0"/>
          <w:bCs/>
          <w:color w:val="auto"/>
          <w:sz w:val="21"/>
          <w:szCs w:val="21"/>
          <w:highlight w:val="none"/>
          <w:u w:val="single"/>
        </w:rPr>
        <w:t>:00:00</w:t>
      </w:r>
      <w:r>
        <w:rPr>
          <w:rFonts w:hint="eastAsia" w:ascii="仿宋" w:hAnsi="仿宋" w:eastAsia="仿宋" w:cs="仿宋"/>
          <w:b w:val="0"/>
          <w:bCs/>
          <w:color w:val="auto"/>
          <w:sz w:val="21"/>
          <w:szCs w:val="21"/>
          <w:highlight w:val="none"/>
        </w:rPr>
        <w:t>（北京时间）前提交（上传）响应文件。</w:t>
      </w:r>
    </w:p>
    <w:p w14:paraId="4F93B686">
      <w:pPr>
        <w:shd w:val="clear"/>
        <w:adjustRightInd w:val="0"/>
        <w:snapToGrid w:val="0"/>
        <w:spacing w:line="288" w:lineRule="auto"/>
        <w:rPr>
          <w:rFonts w:hint="eastAsia" w:ascii="仿宋" w:hAnsi="仿宋" w:eastAsia="仿宋" w:cs="仿宋"/>
          <w:b/>
          <w:color w:val="auto"/>
          <w:sz w:val="21"/>
          <w:szCs w:val="21"/>
          <w:highlight w:val="none"/>
        </w:rPr>
      </w:pPr>
      <w:bookmarkStart w:id="8" w:name="_Toc35393790"/>
      <w:bookmarkStart w:id="9" w:name="_Toc28359002"/>
      <w:bookmarkStart w:id="10" w:name="_Toc35393621"/>
      <w:bookmarkStart w:id="11" w:name="_Toc28359079"/>
      <w:bookmarkStart w:id="12" w:name="_Hlk24379207"/>
    </w:p>
    <w:p w14:paraId="78DF48E7">
      <w:pPr>
        <w:shd w:val="clear"/>
        <w:adjustRightInd w:val="0"/>
        <w:snapToGrid w:val="0"/>
        <w:spacing w:line="288"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一、项目基本情况</w:t>
      </w:r>
      <w:bookmarkEnd w:id="8"/>
      <w:bookmarkEnd w:id="9"/>
      <w:bookmarkEnd w:id="10"/>
      <w:bookmarkEnd w:id="11"/>
    </w:p>
    <w:p w14:paraId="263CB0FB">
      <w:pPr>
        <w:shd w:val="clear"/>
        <w:adjustRightInd w:val="0"/>
        <w:snapToGrid w:val="0"/>
        <w:spacing w:line="288" w:lineRule="auto"/>
        <w:ind w:firstLine="420" w:firstLineChars="200"/>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rPr>
        <w:t>1.项目编号：</w:t>
      </w:r>
      <w:r>
        <w:rPr>
          <w:rFonts w:hint="eastAsia" w:ascii="仿宋" w:hAnsi="仿宋" w:eastAsia="仿宋" w:cs="仿宋"/>
          <w:bCs/>
          <w:color w:val="auto"/>
          <w:sz w:val="21"/>
          <w:szCs w:val="21"/>
          <w:highlight w:val="none"/>
          <w:lang w:eastAsia="zh-CN"/>
        </w:rPr>
        <w:t>CTZB-2025070077</w:t>
      </w:r>
      <w:r>
        <w:rPr>
          <w:rFonts w:hint="eastAsia" w:ascii="仿宋" w:hAnsi="仿宋" w:eastAsia="仿宋" w:cs="仿宋"/>
          <w:bCs/>
          <w:color w:val="auto"/>
          <w:sz w:val="21"/>
          <w:szCs w:val="21"/>
          <w:highlight w:val="none"/>
          <w:lang w:eastAsia="zh-CN"/>
        </w:rPr>
        <w:tab/>
      </w:r>
    </w:p>
    <w:p w14:paraId="2AACFBF4">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2.项目名称：</w:t>
      </w:r>
      <w:r>
        <w:rPr>
          <w:rFonts w:hint="eastAsia" w:ascii="仿宋" w:hAnsi="仿宋" w:eastAsia="仿宋" w:cs="仿宋"/>
          <w:color w:val="auto"/>
          <w:sz w:val="21"/>
          <w:szCs w:val="21"/>
          <w:highlight w:val="none"/>
          <w:lang w:eastAsia="zh-CN"/>
        </w:rPr>
        <w:t>金融数据库续建采购</w:t>
      </w:r>
    </w:p>
    <w:p w14:paraId="08025FA6">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3.采购方式：竞争性磋商</w:t>
      </w:r>
      <w:bookmarkEnd w:id="12"/>
    </w:p>
    <w:p w14:paraId="343D8E10">
      <w:pPr>
        <w:shd w:val="clear"/>
        <w:adjustRightInd w:val="0"/>
        <w:snapToGrid w:val="0"/>
        <w:spacing w:line="288" w:lineRule="auto"/>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4.预算金额（元）：</w:t>
      </w:r>
      <w:r>
        <w:rPr>
          <w:rFonts w:hint="eastAsia" w:ascii="仿宋" w:hAnsi="仿宋" w:eastAsia="仿宋" w:cs="仿宋"/>
          <w:color w:val="auto"/>
          <w:sz w:val="21"/>
          <w:szCs w:val="21"/>
          <w:highlight w:val="none"/>
          <w:lang w:val="en-US" w:eastAsia="zh-CN"/>
        </w:rPr>
        <w:t>65</w:t>
      </w:r>
      <w:r>
        <w:rPr>
          <w:rFonts w:hint="eastAsia" w:ascii="仿宋" w:hAnsi="仿宋" w:eastAsia="仿宋" w:cs="仿宋"/>
          <w:color w:val="auto"/>
          <w:sz w:val="21"/>
          <w:szCs w:val="21"/>
          <w:highlight w:val="none"/>
          <w:lang w:eastAsia="zh-CN"/>
        </w:rPr>
        <w:t>0000.00</w:t>
      </w:r>
    </w:p>
    <w:p w14:paraId="669A938B">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5.最高限价（元）：</w:t>
      </w:r>
      <w:r>
        <w:rPr>
          <w:rFonts w:hint="eastAsia" w:ascii="仿宋" w:hAnsi="仿宋" w:eastAsia="仿宋" w:cs="仿宋"/>
          <w:color w:val="auto"/>
          <w:sz w:val="21"/>
          <w:szCs w:val="21"/>
          <w:highlight w:val="none"/>
          <w:lang w:val="en-US" w:eastAsia="zh-CN"/>
        </w:rPr>
        <w:t>65</w:t>
      </w:r>
      <w:r>
        <w:rPr>
          <w:rFonts w:hint="eastAsia" w:ascii="仿宋" w:hAnsi="仿宋" w:eastAsia="仿宋" w:cs="仿宋"/>
          <w:color w:val="auto"/>
          <w:sz w:val="21"/>
          <w:szCs w:val="21"/>
          <w:highlight w:val="none"/>
          <w:lang w:eastAsia="zh-CN"/>
        </w:rPr>
        <w:t>0000.00</w:t>
      </w:r>
      <w:r>
        <w:rPr>
          <w:rFonts w:hint="eastAsia" w:ascii="仿宋" w:hAnsi="仿宋" w:eastAsia="仿宋" w:cs="仿宋"/>
          <w:color w:val="auto"/>
          <w:sz w:val="21"/>
          <w:szCs w:val="21"/>
          <w:highlight w:val="none"/>
        </w:rPr>
        <w:t>，超过此最高限价作无效标处理。</w:t>
      </w:r>
    </w:p>
    <w:p w14:paraId="00287344">
      <w:pPr>
        <w:shd w:val="clear"/>
        <w:adjustRightInd w:val="0"/>
        <w:snapToGrid w:val="0"/>
        <w:spacing w:line="288" w:lineRule="auto"/>
        <w:ind w:firstLine="420" w:firstLineChars="200"/>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6.简要规格描述</w:t>
      </w:r>
      <w:r>
        <w:rPr>
          <w:rFonts w:hint="eastAsia" w:ascii="仿宋" w:hAnsi="仿宋" w:eastAsia="仿宋" w:cs="仿宋"/>
          <w:b/>
          <w:bCs/>
          <w:color w:val="auto"/>
          <w:sz w:val="21"/>
          <w:szCs w:val="21"/>
          <w:highlight w:val="none"/>
        </w:rPr>
        <w:t>：</w:t>
      </w:r>
      <w:r>
        <w:rPr>
          <w:rFonts w:hint="eastAsia" w:ascii="仿宋" w:hAnsi="仿宋" w:eastAsia="仿宋" w:cs="仿宋"/>
          <w:color w:val="auto"/>
          <w:sz w:val="21"/>
          <w:szCs w:val="21"/>
          <w:highlight w:val="none"/>
        </w:rPr>
        <w:t>详见第二章“采购需求”。</w:t>
      </w:r>
    </w:p>
    <w:p w14:paraId="67C1267F">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7.本项目</w:t>
      </w:r>
      <w:r>
        <w:rPr>
          <w:rFonts w:hint="eastAsia" w:ascii="仿宋" w:hAnsi="仿宋" w:eastAsia="仿宋" w:cs="仿宋"/>
          <w:b/>
          <w:bCs/>
          <w:color w:val="auto"/>
          <w:sz w:val="21"/>
          <w:szCs w:val="21"/>
          <w:highlight w:val="none"/>
          <w:u w:val="single"/>
          <w:lang w:val="en-US" w:eastAsia="zh-CN"/>
        </w:rPr>
        <w:t>不</w:t>
      </w:r>
      <w:r>
        <w:rPr>
          <w:rFonts w:hint="eastAsia" w:ascii="仿宋" w:hAnsi="仿宋" w:eastAsia="仿宋" w:cs="仿宋"/>
          <w:b/>
          <w:bCs/>
          <w:color w:val="auto"/>
          <w:sz w:val="21"/>
          <w:szCs w:val="21"/>
          <w:highlight w:val="none"/>
          <w:u w:val="single"/>
        </w:rPr>
        <w:t>接受</w:t>
      </w:r>
      <w:r>
        <w:rPr>
          <w:rFonts w:hint="eastAsia" w:ascii="仿宋" w:hAnsi="仿宋" w:eastAsia="仿宋" w:cs="仿宋"/>
          <w:color w:val="auto"/>
          <w:sz w:val="21"/>
          <w:szCs w:val="21"/>
          <w:highlight w:val="none"/>
        </w:rPr>
        <w:t>联合体响应。</w:t>
      </w:r>
    </w:p>
    <w:p w14:paraId="25364D6D">
      <w:pPr>
        <w:shd w:val="clear"/>
        <w:adjustRightInd w:val="0"/>
        <w:snapToGrid w:val="0"/>
        <w:spacing w:line="288" w:lineRule="auto"/>
        <w:ind w:firstLine="420" w:firstLineChars="200"/>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8.合同履约期限：</w:t>
      </w:r>
      <w:r>
        <w:rPr>
          <w:rFonts w:hint="eastAsia" w:ascii="仿宋" w:hAnsi="仿宋" w:eastAsia="仿宋" w:cs="仿宋"/>
          <w:color w:val="auto"/>
          <w:sz w:val="21"/>
          <w:szCs w:val="21"/>
          <w:highlight w:val="none"/>
          <w:lang w:val="en-US" w:eastAsia="zh-CN"/>
        </w:rPr>
        <w:t>详见采购需求。</w:t>
      </w:r>
    </w:p>
    <w:p w14:paraId="7F15CDB0">
      <w:pPr>
        <w:shd w:val="clear"/>
        <w:adjustRightInd w:val="0"/>
        <w:snapToGrid w:val="0"/>
        <w:spacing w:line="288" w:lineRule="auto"/>
        <w:rPr>
          <w:rFonts w:hint="eastAsia" w:ascii="仿宋" w:hAnsi="仿宋" w:eastAsia="仿宋" w:cs="仿宋"/>
          <w:b/>
          <w:color w:val="auto"/>
          <w:sz w:val="21"/>
          <w:szCs w:val="21"/>
          <w:highlight w:val="none"/>
        </w:rPr>
      </w:pPr>
      <w:bookmarkStart w:id="13" w:name="_Toc35393791"/>
      <w:bookmarkStart w:id="14" w:name="_Toc35393622"/>
      <w:bookmarkStart w:id="15" w:name="_Toc28359080"/>
      <w:bookmarkStart w:id="16" w:name="_Toc28359003"/>
      <w:r>
        <w:rPr>
          <w:rFonts w:hint="eastAsia" w:ascii="仿宋" w:hAnsi="仿宋" w:eastAsia="仿宋" w:cs="仿宋"/>
          <w:b/>
          <w:color w:val="auto"/>
          <w:sz w:val="21"/>
          <w:szCs w:val="21"/>
          <w:highlight w:val="none"/>
        </w:rPr>
        <w:t>二、申请人的资格要求：</w:t>
      </w:r>
      <w:bookmarkEnd w:id="13"/>
      <w:bookmarkEnd w:id="14"/>
      <w:bookmarkEnd w:id="15"/>
      <w:bookmarkEnd w:id="16"/>
      <w:r>
        <w:rPr>
          <w:rFonts w:hint="eastAsia" w:ascii="仿宋" w:hAnsi="仿宋" w:eastAsia="仿宋" w:cs="仿宋"/>
          <w:b/>
          <w:color w:val="auto"/>
          <w:sz w:val="21"/>
          <w:szCs w:val="21"/>
          <w:highlight w:val="none"/>
        </w:rPr>
        <w:tab/>
      </w:r>
    </w:p>
    <w:p w14:paraId="20B4B6D3">
      <w:pPr>
        <w:shd w:val="clear"/>
        <w:wordWrap w:val="0"/>
        <w:adjustRightInd w:val="0"/>
        <w:snapToGrid w:val="0"/>
        <w:spacing w:line="288" w:lineRule="auto"/>
        <w:ind w:firstLine="420" w:firstLineChars="200"/>
        <w:jc w:val="left"/>
        <w:rPr>
          <w:rFonts w:hint="eastAsia" w:ascii="仿宋" w:hAnsi="仿宋" w:eastAsia="仿宋" w:cs="仿宋"/>
          <w:color w:val="auto"/>
          <w:sz w:val="21"/>
          <w:szCs w:val="21"/>
          <w:highlight w:val="none"/>
        </w:rPr>
      </w:pPr>
      <w:bookmarkStart w:id="17" w:name="_Toc28359004"/>
      <w:bookmarkStart w:id="18" w:name="_Toc28359081"/>
      <w:r>
        <w:rPr>
          <w:rFonts w:hint="eastAsia" w:ascii="仿宋" w:hAnsi="仿宋" w:eastAsia="仿宋" w:cs="仿宋"/>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13CB868">
      <w:pPr>
        <w:shd w:val="clear"/>
        <w:adjustRightInd w:val="0"/>
        <w:snapToGrid w:val="0"/>
        <w:spacing w:line="288"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2.落实政府采购政策需满足的资格要求：</w:t>
      </w:r>
      <w:r>
        <w:rPr>
          <w:rFonts w:hint="eastAsia" w:ascii="仿宋" w:hAnsi="仿宋" w:eastAsia="仿宋" w:cs="仿宋"/>
          <w:color w:val="auto"/>
          <w:sz w:val="21"/>
          <w:szCs w:val="21"/>
          <w:highlight w:val="none"/>
          <w:lang w:val="en-US" w:eastAsia="zh-CN"/>
        </w:rPr>
        <w:t>无。</w:t>
      </w:r>
    </w:p>
    <w:p w14:paraId="0BC702CB">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3.本项目的特定资格要求：无。</w:t>
      </w:r>
    </w:p>
    <w:p w14:paraId="35C573F3">
      <w:pPr>
        <w:shd w:val="clear"/>
        <w:adjustRightInd w:val="0"/>
        <w:snapToGrid w:val="0"/>
        <w:spacing w:line="288" w:lineRule="auto"/>
        <w:rPr>
          <w:rFonts w:hint="eastAsia" w:ascii="仿宋" w:hAnsi="仿宋" w:eastAsia="仿宋" w:cs="仿宋"/>
          <w:b/>
          <w:color w:val="auto"/>
          <w:sz w:val="21"/>
          <w:szCs w:val="21"/>
          <w:highlight w:val="none"/>
        </w:rPr>
      </w:pPr>
      <w:bookmarkStart w:id="19" w:name="_Toc35393623"/>
      <w:bookmarkStart w:id="20" w:name="_Toc35393792"/>
      <w:r>
        <w:rPr>
          <w:rFonts w:hint="eastAsia" w:ascii="仿宋" w:hAnsi="仿宋" w:eastAsia="仿宋" w:cs="仿宋"/>
          <w:b/>
          <w:color w:val="auto"/>
          <w:sz w:val="21"/>
          <w:szCs w:val="21"/>
          <w:highlight w:val="none"/>
        </w:rPr>
        <w:t>三、获取（下载）采购文件</w:t>
      </w:r>
      <w:bookmarkEnd w:id="17"/>
      <w:bookmarkEnd w:id="18"/>
      <w:bookmarkEnd w:id="19"/>
      <w:bookmarkEnd w:id="20"/>
    </w:p>
    <w:p w14:paraId="58B9767C">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bookmarkStart w:id="21" w:name="_Toc28359082"/>
      <w:bookmarkStart w:id="22" w:name="_Toc28359005"/>
      <w:bookmarkStart w:id="23" w:name="_Toc35393793"/>
      <w:bookmarkStart w:id="24" w:name="_Toc35393624"/>
      <w:r>
        <w:rPr>
          <w:rFonts w:hint="eastAsia" w:ascii="仿宋" w:hAnsi="仿宋" w:eastAsia="仿宋" w:cs="仿宋"/>
          <w:color w:val="auto"/>
          <w:sz w:val="21"/>
          <w:szCs w:val="21"/>
          <w:highlight w:val="none"/>
        </w:rPr>
        <w:t>时间</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公告之日起</w:t>
      </w:r>
      <w:r>
        <w:rPr>
          <w:rFonts w:hint="eastAsia" w:ascii="仿宋" w:hAnsi="仿宋" w:eastAsia="仿宋" w:cs="仿宋"/>
          <w:color w:val="auto"/>
          <w:sz w:val="21"/>
          <w:szCs w:val="21"/>
          <w:highlight w:val="none"/>
        </w:rPr>
        <w:t>至2025年</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lang w:val="en-US" w:eastAsia="zh-CN"/>
        </w:rPr>
        <w:t>18</w:t>
      </w:r>
      <w:r>
        <w:rPr>
          <w:rFonts w:hint="eastAsia" w:ascii="仿宋" w:hAnsi="仿宋" w:eastAsia="仿宋" w:cs="仿宋"/>
          <w:color w:val="auto"/>
          <w:sz w:val="21"/>
          <w:szCs w:val="21"/>
          <w:highlight w:val="none"/>
        </w:rPr>
        <w:t>日，</w:t>
      </w:r>
      <w:r>
        <w:rPr>
          <w:rFonts w:hint="eastAsia" w:ascii="仿宋" w:hAnsi="仿宋" w:eastAsia="仿宋" w:cs="仿宋"/>
          <w:color w:val="auto"/>
          <w:sz w:val="21"/>
          <w:szCs w:val="21"/>
          <w:highlight w:val="none"/>
        </w:rPr>
        <w:t>每天上午00:00至12:00，下午12:00至23:59（北京时间，线上获取法定节假日均可，线下获取文件法定节假日除外）</w:t>
      </w:r>
    </w:p>
    <w:p w14:paraId="3F8DAE7B">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地点（网址）：政府采购云平台（https://www.zcygov.cn）</w:t>
      </w:r>
    </w:p>
    <w:p w14:paraId="493CC3B9">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方式：供应商登录政采云平台https://www.zcygov.cn/在线申请获取采购文件（进入“项目采购”应用，在获取采购文件菜单中选择项目，申请获取采购文件）</w:t>
      </w:r>
    </w:p>
    <w:p w14:paraId="74ECCDA2">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售价（元）：0</w:t>
      </w:r>
    </w:p>
    <w:p w14:paraId="75ADE6E1">
      <w:pPr>
        <w:shd w:val="clear"/>
        <w:adjustRightInd w:val="0"/>
        <w:snapToGrid w:val="0"/>
        <w:spacing w:line="288"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四、</w:t>
      </w:r>
      <w:bookmarkEnd w:id="21"/>
      <w:bookmarkEnd w:id="22"/>
      <w:bookmarkEnd w:id="23"/>
      <w:bookmarkEnd w:id="24"/>
      <w:r>
        <w:rPr>
          <w:rFonts w:hint="eastAsia" w:ascii="仿宋" w:hAnsi="仿宋" w:eastAsia="仿宋" w:cs="仿宋"/>
          <w:b/>
          <w:color w:val="auto"/>
          <w:sz w:val="21"/>
          <w:szCs w:val="21"/>
          <w:highlight w:val="none"/>
        </w:rPr>
        <w:t>响应文件提交（上传）</w:t>
      </w:r>
    </w:p>
    <w:p w14:paraId="5C6BE483">
      <w:pPr>
        <w:shd w:val="clear"/>
        <w:adjustRightInd w:val="0"/>
        <w:snapToGrid w:val="0"/>
        <w:spacing w:line="288" w:lineRule="auto"/>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截止</w:t>
      </w:r>
      <w:r>
        <w:rPr>
          <w:rFonts w:hint="eastAsia" w:ascii="仿宋" w:hAnsi="仿宋" w:eastAsia="仿宋" w:cs="仿宋"/>
          <w:color w:val="auto"/>
          <w:sz w:val="21"/>
          <w:szCs w:val="21"/>
          <w:highlight w:val="none"/>
        </w:rPr>
        <w:t>时间：2025年</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lang w:val="en-US" w:eastAsia="zh-CN"/>
        </w:rPr>
        <w:t>18</w:t>
      </w:r>
      <w:r>
        <w:rPr>
          <w:rFonts w:hint="eastAsia" w:ascii="仿宋" w:hAnsi="仿宋" w:eastAsia="仿宋" w:cs="仿宋"/>
          <w:color w:val="auto"/>
          <w:sz w:val="21"/>
          <w:szCs w:val="21"/>
          <w:highlight w:val="none"/>
        </w:rPr>
        <w:t>日</w:t>
      </w:r>
      <w:r>
        <w:rPr>
          <w:rFonts w:hint="eastAsia" w:ascii="仿宋" w:hAnsi="仿宋" w:eastAsia="仿宋" w:cs="仿宋"/>
          <w:bCs/>
          <w:color w:val="auto"/>
          <w:sz w:val="21"/>
          <w:szCs w:val="21"/>
          <w:highlight w:val="none"/>
          <w:lang w:val="en-US" w:eastAsia="zh-CN"/>
        </w:rPr>
        <w:t>9</w:t>
      </w:r>
      <w:r>
        <w:rPr>
          <w:rFonts w:hint="eastAsia" w:ascii="仿宋" w:hAnsi="仿宋" w:eastAsia="仿宋" w:cs="仿宋"/>
          <w:bCs/>
          <w:color w:val="auto"/>
          <w:sz w:val="21"/>
          <w:szCs w:val="21"/>
          <w:highlight w:val="none"/>
        </w:rPr>
        <w:t>:00:00（北京时间）</w:t>
      </w:r>
    </w:p>
    <w:p w14:paraId="156E2EF8">
      <w:pPr>
        <w:shd w:val="clear"/>
        <w:adjustRightInd w:val="0"/>
        <w:snapToGrid w:val="0"/>
        <w:spacing w:line="288" w:lineRule="auto"/>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地点</w:t>
      </w:r>
      <w:r>
        <w:rPr>
          <w:rFonts w:hint="eastAsia" w:ascii="仿宋" w:hAnsi="仿宋" w:eastAsia="仿宋" w:cs="仿宋"/>
          <w:color w:val="auto"/>
          <w:sz w:val="21"/>
          <w:szCs w:val="21"/>
          <w:highlight w:val="none"/>
        </w:rPr>
        <w:t>（网址）：政府采购云平台（https://www.zcygov.cn）</w:t>
      </w:r>
    </w:p>
    <w:p w14:paraId="7C646FEA">
      <w:pPr>
        <w:shd w:val="clear"/>
        <w:adjustRightInd w:val="0"/>
        <w:snapToGrid w:val="0"/>
        <w:spacing w:line="288" w:lineRule="auto"/>
        <w:rPr>
          <w:rFonts w:hint="eastAsia" w:ascii="仿宋" w:hAnsi="仿宋" w:eastAsia="仿宋" w:cs="仿宋"/>
          <w:b/>
          <w:color w:val="auto"/>
          <w:sz w:val="21"/>
          <w:szCs w:val="21"/>
          <w:highlight w:val="none"/>
        </w:rPr>
      </w:pPr>
      <w:bookmarkStart w:id="25" w:name="_Toc28359007"/>
      <w:bookmarkStart w:id="26" w:name="_Toc35393625"/>
      <w:bookmarkStart w:id="27" w:name="_Toc35393794"/>
      <w:bookmarkStart w:id="28" w:name="_Toc28359084"/>
      <w:r>
        <w:rPr>
          <w:rFonts w:hint="eastAsia" w:ascii="仿宋" w:hAnsi="仿宋" w:eastAsia="仿宋" w:cs="仿宋"/>
          <w:b/>
          <w:color w:val="auto"/>
          <w:sz w:val="21"/>
          <w:szCs w:val="21"/>
          <w:highlight w:val="none"/>
        </w:rPr>
        <w:t>五、响应文件开启</w:t>
      </w:r>
    </w:p>
    <w:p w14:paraId="2FE30B68">
      <w:pPr>
        <w:shd w:val="clear"/>
        <w:adjustRightInd w:val="0"/>
        <w:snapToGrid w:val="0"/>
        <w:spacing w:line="288" w:lineRule="auto"/>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开启时间：2025年</w:t>
      </w:r>
      <w:r>
        <w:rPr>
          <w:rFonts w:hint="eastAsia" w:ascii="仿宋" w:hAnsi="仿宋" w:eastAsia="仿宋" w:cs="仿宋"/>
          <w:bCs/>
          <w:color w:val="auto"/>
          <w:sz w:val="21"/>
          <w:szCs w:val="21"/>
          <w:highlight w:val="none"/>
          <w:lang w:val="en-US" w:eastAsia="zh-CN"/>
        </w:rPr>
        <w:t>7</w:t>
      </w:r>
      <w:r>
        <w:rPr>
          <w:rFonts w:hint="eastAsia" w:ascii="仿宋" w:hAnsi="仿宋" w:eastAsia="仿宋" w:cs="仿宋"/>
          <w:bCs/>
          <w:color w:val="auto"/>
          <w:sz w:val="21"/>
          <w:szCs w:val="21"/>
          <w:highlight w:val="none"/>
        </w:rPr>
        <w:t>月</w:t>
      </w:r>
      <w:r>
        <w:rPr>
          <w:rFonts w:hint="eastAsia" w:ascii="仿宋" w:hAnsi="仿宋" w:eastAsia="仿宋" w:cs="仿宋"/>
          <w:bCs/>
          <w:color w:val="auto"/>
          <w:sz w:val="21"/>
          <w:szCs w:val="21"/>
          <w:highlight w:val="none"/>
          <w:lang w:val="en-US" w:eastAsia="zh-CN"/>
        </w:rPr>
        <w:t>18</w:t>
      </w:r>
      <w:r>
        <w:rPr>
          <w:rFonts w:hint="eastAsia" w:ascii="仿宋" w:hAnsi="仿宋" w:eastAsia="仿宋" w:cs="仿宋"/>
          <w:bCs/>
          <w:color w:val="auto"/>
          <w:sz w:val="21"/>
          <w:szCs w:val="21"/>
          <w:highlight w:val="none"/>
        </w:rPr>
        <w:t>日</w:t>
      </w:r>
      <w:r>
        <w:rPr>
          <w:rFonts w:hint="eastAsia" w:ascii="仿宋" w:hAnsi="仿宋" w:eastAsia="仿宋" w:cs="仿宋"/>
          <w:bCs/>
          <w:color w:val="auto"/>
          <w:sz w:val="21"/>
          <w:szCs w:val="21"/>
          <w:highlight w:val="none"/>
          <w:lang w:val="en-US" w:eastAsia="zh-CN"/>
        </w:rPr>
        <w:t>9</w:t>
      </w:r>
      <w:r>
        <w:rPr>
          <w:rFonts w:hint="eastAsia" w:ascii="仿宋" w:hAnsi="仿宋" w:eastAsia="仿宋" w:cs="仿宋"/>
          <w:bCs/>
          <w:color w:val="auto"/>
          <w:sz w:val="21"/>
          <w:szCs w:val="21"/>
          <w:highlight w:val="none"/>
        </w:rPr>
        <w:t>:00:00（北京时间）</w:t>
      </w:r>
    </w:p>
    <w:p w14:paraId="6A91618E">
      <w:pPr>
        <w:shd w:val="clear"/>
        <w:adjustRightInd w:val="0"/>
        <w:snapToGrid w:val="0"/>
        <w:spacing w:line="288" w:lineRule="auto"/>
        <w:ind w:firstLine="420" w:firstLineChars="20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地点</w:t>
      </w:r>
      <w:r>
        <w:rPr>
          <w:rFonts w:hint="eastAsia" w:ascii="仿宋" w:hAnsi="仿宋" w:eastAsia="仿宋" w:cs="仿宋"/>
          <w:color w:val="auto"/>
          <w:sz w:val="21"/>
          <w:szCs w:val="21"/>
          <w:highlight w:val="none"/>
        </w:rPr>
        <w:t>（网址）：政府采购云平台（https://www.zcygov.cn）</w:t>
      </w:r>
    </w:p>
    <w:p w14:paraId="54B29C5E">
      <w:pPr>
        <w:shd w:val="clear"/>
        <w:adjustRightInd w:val="0"/>
        <w:snapToGrid w:val="0"/>
        <w:spacing w:line="288"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六、公告期限</w:t>
      </w:r>
      <w:bookmarkEnd w:id="25"/>
      <w:bookmarkEnd w:id="26"/>
      <w:bookmarkEnd w:id="27"/>
      <w:bookmarkEnd w:id="28"/>
    </w:p>
    <w:p w14:paraId="66C41381">
      <w:pPr>
        <w:shd w:val="clear"/>
        <w:adjustRightInd w:val="0"/>
        <w:snapToGri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自本公告发布之日起3个工作日。</w:t>
      </w:r>
    </w:p>
    <w:p w14:paraId="08806C6D">
      <w:pPr>
        <w:shd w:val="clear"/>
        <w:adjustRightInd w:val="0"/>
        <w:snapToGrid w:val="0"/>
        <w:spacing w:line="288" w:lineRule="auto"/>
        <w:rPr>
          <w:rFonts w:hint="eastAsia" w:ascii="仿宋" w:hAnsi="仿宋" w:eastAsia="仿宋" w:cs="仿宋"/>
          <w:b/>
          <w:color w:val="auto"/>
          <w:sz w:val="21"/>
          <w:szCs w:val="21"/>
          <w:highlight w:val="none"/>
        </w:rPr>
      </w:pPr>
      <w:bookmarkStart w:id="29" w:name="_Toc35393795"/>
      <w:bookmarkStart w:id="30" w:name="_Toc35393626"/>
      <w:r>
        <w:rPr>
          <w:rFonts w:hint="eastAsia" w:ascii="仿宋" w:hAnsi="仿宋" w:eastAsia="仿宋" w:cs="仿宋"/>
          <w:b/>
          <w:color w:val="auto"/>
          <w:sz w:val="21"/>
          <w:szCs w:val="21"/>
          <w:highlight w:val="none"/>
        </w:rPr>
        <w:t>七、其他补充事宜</w:t>
      </w:r>
      <w:bookmarkEnd w:id="29"/>
      <w:bookmarkEnd w:id="30"/>
    </w:p>
    <w:p w14:paraId="3A4B1E02">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bookmarkStart w:id="31" w:name="_Toc35393796"/>
      <w:bookmarkStart w:id="32" w:name="_Toc28359008"/>
      <w:bookmarkStart w:id="33" w:name="_Toc28359085"/>
      <w:bookmarkStart w:id="34" w:name="_Toc35393627"/>
      <w:r>
        <w:rPr>
          <w:rFonts w:hint="eastAsia" w:ascii="仿宋" w:hAnsi="仿宋" w:eastAsia="仿宋" w:cs="仿宋"/>
          <w:color w:val="auto"/>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w:t>
      </w:r>
      <w:bookmarkStart w:id="179" w:name="_GoBack"/>
      <w:r>
        <w:rPr>
          <w:rFonts w:hint="eastAsia" w:ascii="仿宋" w:hAnsi="仿宋" w:eastAsia="仿宋" w:cs="仿宋"/>
          <w:color w:val="auto"/>
          <w:sz w:val="21"/>
          <w:szCs w:val="21"/>
          <w:highlight w:val="none"/>
        </w:rPr>
        <w:t>开始实施，此前有关规定与上述文件内容不一致的，按上述文件要求执行。</w:t>
      </w:r>
    </w:p>
    <w:p w14:paraId="6C001A7C">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2.根据《浙江省财政厅关于进一步促进政府采购公平竞争打造最优营商环境的通知》（浙财采监</w:t>
      </w:r>
      <w:bookmarkEnd w:id="179"/>
      <w:r>
        <w:rPr>
          <w:rFonts w:hint="eastAsia" w:ascii="仿宋" w:hAnsi="仿宋" w:eastAsia="仿宋" w:cs="仿宋"/>
          <w:color w:val="auto"/>
          <w:sz w:val="21"/>
          <w:szCs w:val="21"/>
          <w:highlight w:val="none"/>
        </w:rPr>
        <w:t>（2021）22号）文件关于“健全行政裁决机制”要求，鼓励供应商在线提起询问，路径为：政采云-项目采购-询问质疑投诉-询问列表（选择上报采购代理机构）:鼓励供应商在线提起质疑，路径为：政采云-项目采购-询问质疑投诉-质疑列表（选择上报采购代理机构）。质疑供应商对在线质疑答复不满意的，可在线提起投诉，路径为：浙江政府服务网-政府采购投诉处理-在线办理。</w:t>
      </w:r>
    </w:p>
    <w:p w14:paraId="055C7C9B">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供应商认为采购文件使自己的权益受到损害的，可以自获取采购文件之日或者采购公告期限届满之日（公告期限届满后获取采购文件的，以公告期限届满之日为准）起7个工作日内，以书面形式向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DB8FE9B">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4.其他事项：</w:t>
      </w:r>
    </w:p>
    <w:p w14:paraId="3296E579">
      <w:pPr>
        <w:pStyle w:val="27"/>
        <w:shd w:val="clear"/>
        <w:rPr>
          <w:rFonts w:hint="eastAsia" w:ascii="仿宋" w:hAnsi="仿宋" w:eastAsia="仿宋" w:cs="仿宋"/>
          <w:color w:val="auto"/>
          <w:spacing w:val="0"/>
          <w:highlight w:val="none"/>
        </w:rPr>
      </w:pPr>
      <w:r>
        <w:rPr>
          <w:rFonts w:hint="eastAsia" w:ascii="仿宋" w:hAnsi="仿宋" w:eastAsia="仿宋" w:cs="仿宋"/>
          <w:color w:val="auto"/>
          <w:spacing w:val="0"/>
          <w:sz w:val="21"/>
          <w:szCs w:val="21"/>
          <w:highlight w:val="none"/>
        </w:rPr>
        <w:t>（1）需要落实的政府采购政策：包括节约资源、保护环境、支持科技创新、促进中小企业发展等。详见磋商文件的第三章-采购项目需要落实的政府采购政策。</w:t>
      </w:r>
    </w:p>
    <w:p w14:paraId="781FEB4F">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bookmarkStart w:id="35" w:name="_Hlk92271072"/>
      <w:r>
        <w:rPr>
          <w:rFonts w:hint="eastAsia" w:ascii="仿宋" w:hAnsi="仿宋" w:eastAsia="仿宋" w:cs="仿宋"/>
          <w:color w:val="auto"/>
          <w:sz w:val="21"/>
          <w:szCs w:val="21"/>
          <w:highlight w:val="none"/>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35"/>
    </w:p>
    <w:p w14:paraId="008B3F4C">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电子交易的说明:1）电子交易：本项目以数据电文形式，依托“政府采购云平台（www.zcygov.cn）”进行采购活动，不接受纸质响应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响应文件的制作：在“政采云电子交易客户端”中完成“填写基本信息”、“导入响应文件”、“标书关联”、“标书检查”、“电子签名”、“生成电子标书”等操作。5）采购人、采购代理机构将依托政采云平台完成本项目的电子交易活动，平台不接受未按本公告约定方式获取磋商文件的供应商进行响应活动。6）对未按上述方式获取磋商文件的供应商对该文件提出的质疑，采购人或采购代理机构将不予处理。7）不提供磋商文件纸质版。8）响应文件的传输提交：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9）响应文件的解密：供应商按照平台提示和磋商文件的规定在半小时内完成在线解密。通过“政府采购云平台”上传提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具体操作指南：详见政采云平台“服务中心-帮助文档-项目采购-操作流程-电子招投标-政府采购项目电子交易管理操作指南-供应商”。</w:t>
      </w:r>
    </w:p>
    <w:p w14:paraId="55011BA5">
      <w:pPr>
        <w:shd w:val="clear"/>
        <w:adjustRightInd w:val="0"/>
        <w:snapToGrid w:val="0"/>
        <w:spacing w:line="288"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八、凡对本次采购提出询问、质疑、投诉请按以下方式联系</w:t>
      </w:r>
      <w:bookmarkEnd w:id="31"/>
      <w:bookmarkEnd w:id="32"/>
      <w:bookmarkEnd w:id="33"/>
      <w:bookmarkEnd w:id="34"/>
      <w:r>
        <w:rPr>
          <w:rFonts w:hint="eastAsia" w:ascii="仿宋" w:hAnsi="仿宋" w:eastAsia="仿宋" w:cs="仿宋"/>
          <w:b/>
          <w:color w:val="auto"/>
          <w:sz w:val="21"/>
          <w:szCs w:val="21"/>
          <w:highlight w:val="none"/>
        </w:rPr>
        <w:t>。</w:t>
      </w:r>
    </w:p>
    <w:p w14:paraId="56C25AAF">
      <w:pPr>
        <w:shd w:val="clear"/>
        <w:adjustRightInd w:val="0"/>
        <w:snapToGrid w:val="0"/>
        <w:spacing w:line="288" w:lineRule="auto"/>
        <w:ind w:firstLine="424" w:firstLineChars="202"/>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1.采购人信息</w:t>
      </w:r>
    </w:p>
    <w:p w14:paraId="1D82C6F1">
      <w:pPr>
        <w:shd w:val="clear"/>
        <w:adjustRightInd w:val="0"/>
        <w:snapToGrid w:val="0"/>
        <w:spacing w:line="288" w:lineRule="auto"/>
        <w:ind w:firstLine="424" w:firstLineChars="202"/>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名称：</w:t>
      </w:r>
      <w:r>
        <w:rPr>
          <w:rFonts w:hint="eastAsia" w:ascii="仿宋" w:hAnsi="仿宋" w:eastAsia="仿宋" w:cs="仿宋"/>
          <w:color w:val="auto"/>
          <w:sz w:val="21"/>
          <w:szCs w:val="21"/>
          <w:highlight w:val="none"/>
          <w:lang w:eastAsia="zh-CN"/>
        </w:rPr>
        <w:t>浙江万里学院</w:t>
      </w:r>
    </w:p>
    <w:p w14:paraId="221CFFDA">
      <w:pPr>
        <w:shd w:val="clear"/>
        <w:adjustRightInd w:val="0"/>
        <w:snapToGrid w:val="0"/>
        <w:spacing w:line="288" w:lineRule="auto"/>
        <w:ind w:firstLine="424" w:firstLineChars="202"/>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地址：</w:t>
      </w:r>
      <w:r>
        <w:rPr>
          <w:rFonts w:hint="eastAsia" w:ascii="仿宋" w:hAnsi="仿宋" w:eastAsia="仿宋" w:cs="仿宋"/>
          <w:color w:val="auto"/>
          <w:sz w:val="21"/>
          <w:szCs w:val="21"/>
          <w:highlight w:val="none"/>
          <w:lang w:eastAsia="zh-CN"/>
        </w:rPr>
        <w:t>宁波市钱湖南路8号</w:t>
      </w:r>
    </w:p>
    <w:p w14:paraId="11FB9F38">
      <w:pPr>
        <w:shd w:val="clear"/>
        <w:adjustRightInd w:val="0"/>
        <w:snapToGrid w:val="0"/>
        <w:spacing w:line="288" w:lineRule="auto"/>
        <w:ind w:firstLine="424" w:firstLineChars="202"/>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项目联系人（询问）：</w:t>
      </w:r>
      <w:r>
        <w:rPr>
          <w:rFonts w:hint="eastAsia" w:ascii="仿宋" w:hAnsi="仿宋" w:eastAsia="仿宋" w:cs="仿宋"/>
          <w:color w:val="auto"/>
          <w:sz w:val="21"/>
          <w:szCs w:val="21"/>
          <w:highlight w:val="none"/>
          <w:lang w:eastAsia="zh-CN"/>
        </w:rPr>
        <w:t>于老师</w:t>
      </w:r>
    </w:p>
    <w:p w14:paraId="4AD4176D">
      <w:pPr>
        <w:shd w:val="clear"/>
        <w:adjustRightInd w:val="0"/>
        <w:snapToGrid w:val="0"/>
        <w:spacing w:line="288" w:lineRule="auto"/>
        <w:ind w:firstLine="424" w:firstLineChars="202"/>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项目联系方式（询问）：</w:t>
      </w:r>
      <w:r>
        <w:rPr>
          <w:rFonts w:hint="eastAsia" w:ascii="仿宋" w:hAnsi="仿宋" w:eastAsia="仿宋" w:cs="仿宋"/>
          <w:color w:val="auto"/>
          <w:sz w:val="21"/>
          <w:szCs w:val="21"/>
          <w:highlight w:val="none"/>
          <w:lang w:eastAsia="zh-CN"/>
        </w:rPr>
        <w:t>0574-88223169</w:t>
      </w:r>
    </w:p>
    <w:p w14:paraId="22562AE1">
      <w:pPr>
        <w:shd w:val="clear"/>
        <w:adjustRightInd w:val="0"/>
        <w:snapToGrid w:val="0"/>
        <w:spacing w:line="288" w:lineRule="auto"/>
        <w:ind w:firstLine="424" w:firstLineChars="202"/>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质疑联系人：</w:t>
      </w:r>
      <w:r>
        <w:rPr>
          <w:rFonts w:hint="eastAsia" w:ascii="仿宋" w:hAnsi="仿宋" w:eastAsia="仿宋" w:cs="仿宋"/>
          <w:color w:val="auto"/>
          <w:sz w:val="21"/>
          <w:szCs w:val="21"/>
          <w:highlight w:val="none"/>
          <w:lang w:val="en-US" w:eastAsia="zh-CN"/>
        </w:rPr>
        <w:t>肖</w:t>
      </w:r>
      <w:r>
        <w:rPr>
          <w:rFonts w:hint="eastAsia" w:ascii="仿宋" w:hAnsi="仿宋" w:eastAsia="仿宋" w:cs="仿宋"/>
          <w:color w:val="auto"/>
          <w:sz w:val="21"/>
          <w:szCs w:val="21"/>
          <w:highlight w:val="none"/>
        </w:rPr>
        <w:t>老师</w:t>
      </w:r>
    </w:p>
    <w:p w14:paraId="1AD90A27">
      <w:pPr>
        <w:shd w:val="clear"/>
        <w:adjustRightInd w:val="0"/>
        <w:snapToGrid w:val="0"/>
        <w:spacing w:line="288" w:lineRule="auto"/>
        <w:ind w:firstLine="424" w:firstLineChars="202"/>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质疑联系方式：</w:t>
      </w:r>
      <w:r>
        <w:rPr>
          <w:rFonts w:hint="eastAsia" w:ascii="仿宋" w:hAnsi="仿宋" w:eastAsia="仿宋" w:cs="仿宋"/>
          <w:color w:val="auto"/>
          <w:sz w:val="21"/>
          <w:szCs w:val="21"/>
          <w:highlight w:val="none"/>
          <w:lang w:eastAsia="zh-CN"/>
        </w:rPr>
        <w:t>0574-88260578</w:t>
      </w:r>
    </w:p>
    <w:p w14:paraId="102C58F4">
      <w:pPr>
        <w:shd w:val="clear"/>
        <w:adjustRightInd w:val="0"/>
        <w:snapToGrid w:val="0"/>
        <w:spacing w:line="288" w:lineRule="auto"/>
        <w:ind w:firstLine="424" w:firstLineChars="202"/>
        <w:rPr>
          <w:rFonts w:hint="eastAsia" w:ascii="仿宋" w:hAnsi="仿宋" w:eastAsia="仿宋" w:cs="仿宋"/>
          <w:color w:val="auto"/>
          <w:sz w:val="21"/>
          <w:szCs w:val="21"/>
          <w:highlight w:val="none"/>
        </w:rPr>
      </w:pPr>
    </w:p>
    <w:p w14:paraId="62059AFD">
      <w:pPr>
        <w:shd w:val="clear"/>
        <w:adjustRightInd w:val="0"/>
        <w:snapToGrid w:val="0"/>
        <w:spacing w:line="288" w:lineRule="auto"/>
        <w:ind w:firstLine="424" w:firstLineChars="202"/>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2.采购代理机构信息</w:t>
      </w:r>
    </w:p>
    <w:p w14:paraId="5B3C0D18">
      <w:pPr>
        <w:shd w:val="clear"/>
        <w:adjustRightInd w:val="0"/>
        <w:snapToGrid w:val="0"/>
        <w:spacing w:line="288" w:lineRule="auto"/>
        <w:ind w:firstLine="424" w:firstLineChars="202"/>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名称：浙江省成套招标代理有限公司</w:t>
      </w:r>
    </w:p>
    <w:p w14:paraId="4F7E3D76">
      <w:pPr>
        <w:shd w:val="clear"/>
        <w:adjustRightInd w:val="0"/>
        <w:snapToGrid w:val="0"/>
        <w:spacing w:line="288" w:lineRule="auto"/>
        <w:ind w:firstLine="424" w:firstLineChars="202"/>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地址：</w:t>
      </w:r>
      <w:r>
        <w:rPr>
          <w:rFonts w:hint="eastAsia" w:ascii="仿宋" w:hAnsi="仿宋" w:eastAsia="仿宋" w:cs="仿宋"/>
          <w:color w:val="auto"/>
          <w:sz w:val="21"/>
          <w:szCs w:val="21"/>
          <w:highlight w:val="none"/>
          <w:lang w:eastAsia="zh-CN"/>
        </w:rPr>
        <w:t>宁波市海曙区翠柏路89号公共培训平台C座8楼</w:t>
      </w:r>
    </w:p>
    <w:p w14:paraId="0F2B855F">
      <w:pPr>
        <w:shd w:val="clear"/>
        <w:adjustRightInd w:val="0"/>
        <w:snapToGrid w:val="0"/>
        <w:spacing w:line="288" w:lineRule="auto"/>
        <w:ind w:firstLine="424" w:firstLineChars="202"/>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项目联系人（询问）：</w:t>
      </w:r>
      <w:r>
        <w:rPr>
          <w:rFonts w:hint="eastAsia" w:ascii="仿宋" w:hAnsi="仿宋" w:eastAsia="仿宋" w:cs="仿宋"/>
          <w:color w:val="auto"/>
          <w:sz w:val="21"/>
          <w:szCs w:val="21"/>
          <w:highlight w:val="none"/>
          <w:lang w:val="en-US" w:eastAsia="zh-CN"/>
        </w:rPr>
        <w:t xml:space="preserve">马倩倩  </w:t>
      </w:r>
      <w:r>
        <w:rPr>
          <w:rFonts w:hint="eastAsia" w:ascii="仿宋" w:hAnsi="仿宋" w:eastAsia="仿宋" w:cs="仿宋"/>
          <w:color w:val="auto"/>
          <w:sz w:val="21"/>
          <w:szCs w:val="21"/>
          <w:highlight w:val="none"/>
          <w:lang w:eastAsia="zh-CN"/>
        </w:rPr>
        <w:t>求华勇</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lang w:eastAsia="zh-CN"/>
        </w:rPr>
        <w:t xml:space="preserve"> 陈彦</w:t>
      </w:r>
    </w:p>
    <w:p w14:paraId="39676A1D">
      <w:pPr>
        <w:shd w:val="clear"/>
        <w:adjustRightInd w:val="0"/>
        <w:snapToGrid w:val="0"/>
        <w:spacing w:line="288" w:lineRule="auto"/>
        <w:ind w:firstLine="424" w:firstLineChars="202"/>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项目联系方式（询问）：</w:t>
      </w:r>
      <w:r>
        <w:rPr>
          <w:rFonts w:hint="eastAsia" w:ascii="仿宋" w:hAnsi="仿宋" w:eastAsia="仿宋" w:cs="仿宋"/>
          <w:color w:val="auto"/>
          <w:sz w:val="21"/>
          <w:szCs w:val="21"/>
          <w:highlight w:val="none"/>
          <w:lang w:val="en-US" w:eastAsia="zh-CN"/>
        </w:rPr>
        <w:t>0574-87585921</w:t>
      </w:r>
    </w:p>
    <w:p w14:paraId="03F8B35C">
      <w:pPr>
        <w:shd w:val="clear"/>
        <w:adjustRightInd w:val="0"/>
        <w:snapToGrid w:val="0"/>
        <w:spacing w:line="288" w:lineRule="auto"/>
        <w:ind w:firstLine="424" w:firstLineChars="202"/>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质疑联系人：</w:t>
      </w:r>
      <w:r>
        <w:rPr>
          <w:rFonts w:hint="eastAsia" w:ascii="仿宋" w:hAnsi="仿宋" w:eastAsia="仿宋" w:cs="仿宋"/>
          <w:color w:val="auto"/>
          <w:sz w:val="21"/>
          <w:szCs w:val="21"/>
          <w:highlight w:val="none"/>
          <w:lang w:eastAsia="zh-CN"/>
        </w:rPr>
        <w:t>毛宇兰</w:t>
      </w:r>
    </w:p>
    <w:p w14:paraId="29DB526A">
      <w:pPr>
        <w:shd w:val="clear"/>
        <w:adjustRightInd w:val="0"/>
        <w:snapToGrid w:val="0"/>
        <w:spacing w:line="288" w:lineRule="auto"/>
        <w:ind w:firstLine="424" w:firstLineChars="202"/>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质疑联系方式：</w:t>
      </w:r>
      <w:r>
        <w:rPr>
          <w:rFonts w:hint="eastAsia" w:ascii="仿宋" w:hAnsi="仿宋" w:eastAsia="仿宋" w:cs="仿宋"/>
          <w:color w:val="auto"/>
          <w:sz w:val="21"/>
          <w:szCs w:val="21"/>
          <w:highlight w:val="none"/>
          <w:lang w:eastAsia="zh-CN"/>
        </w:rPr>
        <w:t>0574-87127713</w:t>
      </w:r>
    </w:p>
    <w:p w14:paraId="68D60DC6">
      <w:pPr>
        <w:shd w:val="clear"/>
        <w:adjustRightInd w:val="0"/>
        <w:snapToGrid w:val="0"/>
        <w:spacing w:line="288" w:lineRule="auto"/>
        <w:ind w:firstLine="424" w:firstLineChars="202"/>
        <w:rPr>
          <w:rFonts w:hint="eastAsia" w:ascii="仿宋" w:hAnsi="仿宋" w:eastAsia="仿宋" w:cs="仿宋"/>
          <w:color w:val="auto"/>
          <w:sz w:val="21"/>
          <w:szCs w:val="21"/>
          <w:highlight w:val="none"/>
        </w:rPr>
      </w:pPr>
    </w:p>
    <w:p w14:paraId="12FB36EB">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3.该项目由采购人处理采购争议。质疑环节，采购人委托采购代理机构处理的，可由采购代理机构答复。对质疑答复不满意的，向采购人内部设置的采购监督机构反映。</w:t>
      </w:r>
    </w:p>
    <w:p w14:paraId="12E252E0">
      <w:pPr>
        <w:shd w:val="clear"/>
        <w:adjustRightInd w:val="0"/>
        <w:snapToGri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政策咨询：何一平、冯华，0571-87058424、87055741</w:t>
      </w:r>
      <w:r>
        <w:rPr>
          <w:rFonts w:hint="eastAsia" w:ascii="仿宋" w:hAnsi="仿宋" w:eastAsia="仿宋" w:cs="仿宋"/>
          <w:color w:val="auto"/>
          <w:kern w:val="0"/>
          <w:sz w:val="21"/>
          <w:szCs w:val="21"/>
          <w:highlight w:val="none"/>
        </w:rPr>
        <w:t>。</w:t>
      </w:r>
    </w:p>
    <w:p w14:paraId="75213A32">
      <w:pPr>
        <w:shd w:val="clear"/>
        <w:adjustRightInd w:val="0"/>
        <w:snapToGrid w:val="0"/>
        <w:spacing w:line="288" w:lineRule="auto"/>
        <w:rPr>
          <w:rFonts w:hint="eastAsia" w:ascii="仿宋" w:hAnsi="仿宋" w:eastAsia="仿宋" w:cs="仿宋"/>
          <w:color w:val="auto"/>
          <w:sz w:val="21"/>
          <w:szCs w:val="21"/>
          <w:highlight w:val="none"/>
        </w:rPr>
      </w:pPr>
    </w:p>
    <w:p w14:paraId="6E423E61">
      <w:pPr>
        <w:shd w:val="clear"/>
        <w:adjustRightInd w:val="0"/>
        <w:snapToGrid w:val="0"/>
        <w:spacing w:line="288"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 xml:space="preserve">若对项目采购电子交易系统操作有疑问，可登录政采云（https://www.zcygov.cn/），点击右侧咨询小采，获取采小蜜智能服务管家帮助，或拨打政采云服务热线95763获取热线服务帮助。        </w:t>
      </w:r>
    </w:p>
    <w:p w14:paraId="7A4AFF54">
      <w:pPr>
        <w:shd w:val="clear"/>
        <w:adjustRightInd w:val="0"/>
        <w:snapToGrid w:val="0"/>
        <w:spacing w:line="288" w:lineRule="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CA问题联系电话（人工）：汇信CA 400-888-4636。天谷CA 400-087-8198。</w:t>
      </w:r>
    </w:p>
    <w:p w14:paraId="469E9209">
      <w:pPr>
        <w:shd w:val="clear"/>
        <w:adjustRightInd w:val="0"/>
        <w:snapToGrid w:val="0"/>
        <w:spacing w:line="288" w:lineRule="auto"/>
        <w:jc w:val="center"/>
        <w:outlineLvl w:val="0"/>
        <w:rPr>
          <w:rFonts w:hint="eastAsia" w:ascii="仿宋" w:hAnsi="仿宋" w:eastAsia="仿宋" w:cs="仿宋"/>
          <w:b/>
          <w:bCs/>
          <w:color w:val="auto"/>
          <w:sz w:val="32"/>
          <w:szCs w:val="32"/>
          <w:highlight w:val="none"/>
        </w:rPr>
      </w:pPr>
      <w:bookmarkStart w:id="36" w:name="_Toc1636"/>
      <w:bookmarkStart w:id="37" w:name="_Toc731"/>
      <w:bookmarkStart w:id="38" w:name="_Toc29537"/>
      <w:bookmarkStart w:id="39" w:name="_Toc21935"/>
      <w:bookmarkStart w:id="40" w:name="_Toc25784"/>
      <w:bookmarkStart w:id="41" w:name="_Toc11034"/>
      <w:bookmarkStart w:id="42" w:name="_Toc28092"/>
      <w:r>
        <w:rPr>
          <w:rFonts w:hint="eastAsia" w:ascii="仿宋" w:hAnsi="仿宋" w:eastAsia="仿宋" w:cs="仿宋"/>
          <w:b/>
          <w:bCs/>
          <w:color w:val="auto"/>
          <w:sz w:val="32"/>
          <w:szCs w:val="32"/>
          <w:highlight w:val="none"/>
        </w:rPr>
        <w:br w:type="page"/>
      </w:r>
      <w:r>
        <w:rPr>
          <w:rFonts w:hint="eastAsia" w:ascii="仿宋" w:hAnsi="仿宋" w:eastAsia="仿宋" w:cs="仿宋"/>
          <w:b/>
          <w:bCs/>
          <w:color w:val="auto"/>
          <w:sz w:val="32"/>
          <w:szCs w:val="32"/>
          <w:highlight w:val="none"/>
        </w:rPr>
        <w:t>第二章  采购需求</w:t>
      </w:r>
      <w:bookmarkEnd w:id="36"/>
      <w:bookmarkEnd w:id="37"/>
      <w:bookmarkEnd w:id="38"/>
      <w:bookmarkEnd w:id="39"/>
      <w:bookmarkEnd w:id="40"/>
      <w:bookmarkEnd w:id="41"/>
      <w:bookmarkEnd w:id="42"/>
    </w:p>
    <w:p w14:paraId="30A90D50">
      <w:pPr>
        <w:shd w:val="clear"/>
        <w:adjustRightInd w:val="0"/>
        <w:snapToGrid w:val="0"/>
        <w:spacing w:line="288" w:lineRule="auto"/>
        <w:outlineLvl w:val="1"/>
        <w:rPr>
          <w:rFonts w:hint="eastAsia" w:ascii="仿宋" w:hAnsi="仿宋" w:eastAsia="仿宋" w:cs="仿宋"/>
          <w:b/>
          <w:bCs/>
          <w:color w:val="auto"/>
          <w:highlight w:val="none"/>
        </w:rPr>
      </w:pPr>
      <w:bookmarkStart w:id="43" w:name="_Toc15290"/>
      <w:bookmarkStart w:id="44" w:name="_Toc9952"/>
      <w:bookmarkStart w:id="45" w:name="_Toc4451"/>
      <w:r>
        <w:rPr>
          <w:rFonts w:hint="eastAsia" w:ascii="仿宋" w:hAnsi="仿宋" w:eastAsia="仿宋" w:cs="仿宋"/>
          <w:b/>
          <w:bCs/>
          <w:color w:val="auto"/>
          <w:highlight w:val="none"/>
        </w:rPr>
        <w:t>一、</w:t>
      </w:r>
      <w:bookmarkEnd w:id="43"/>
      <w:bookmarkEnd w:id="44"/>
      <w:bookmarkEnd w:id="45"/>
      <w:bookmarkStart w:id="46" w:name="_Toc31100"/>
      <w:bookmarkStart w:id="47" w:name="_Toc14478"/>
      <w:r>
        <w:rPr>
          <w:rFonts w:hint="eastAsia" w:ascii="仿宋" w:hAnsi="仿宋" w:eastAsia="仿宋" w:cs="仿宋"/>
          <w:b/>
          <w:bCs/>
          <w:color w:val="auto"/>
          <w:highlight w:val="none"/>
          <w:lang w:val="en-US" w:eastAsia="zh-CN"/>
        </w:rPr>
        <w:t>商务要求</w:t>
      </w:r>
      <w:r>
        <w:rPr>
          <w:rFonts w:hint="eastAsia" w:ascii="仿宋" w:hAnsi="仿宋" w:eastAsia="仿宋" w:cs="仿宋"/>
          <w:b/>
          <w:bCs/>
          <w:color w:val="auto"/>
          <w:highlight w:val="none"/>
        </w:rPr>
        <w:t>：</w:t>
      </w:r>
    </w:p>
    <w:tbl>
      <w:tblPr>
        <w:tblStyle w:val="28"/>
        <w:tblW w:w="9637" w:type="dxa"/>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8102"/>
      </w:tblGrid>
      <w:tr w14:paraId="0C0CCFE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535" w:type="dxa"/>
            <w:noWrap w:val="0"/>
            <w:vAlign w:val="center"/>
          </w:tcPr>
          <w:p w14:paraId="62EEA3AE">
            <w:pPr>
              <w:shd w:val="clear"/>
              <w:adjustRightInd w:val="0"/>
              <w:snapToGrid w:val="0"/>
              <w:spacing w:line="440" w:lineRule="exact"/>
              <w:jc w:val="center"/>
              <w:rPr>
                <w:rFonts w:hint="eastAsia" w:ascii="仿宋" w:hAnsi="仿宋" w:eastAsia="仿宋" w:cs="仿宋"/>
                <w:b/>
                <w:color w:val="auto"/>
                <w:sz w:val="21"/>
                <w:szCs w:val="21"/>
                <w:highlight w:val="none"/>
              </w:rPr>
            </w:pPr>
            <w:bookmarkStart w:id="48" w:name="_Hlk45005608"/>
            <w:r>
              <w:rPr>
                <w:rFonts w:hint="eastAsia" w:ascii="仿宋" w:hAnsi="仿宋" w:eastAsia="仿宋" w:cs="仿宋"/>
                <w:b/>
                <w:color w:val="auto"/>
                <w:sz w:val="21"/>
                <w:szCs w:val="21"/>
                <w:highlight w:val="none"/>
              </w:rPr>
              <w:t>▲履约保证金</w:t>
            </w:r>
          </w:p>
        </w:tc>
        <w:tc>
          <w:tcPr>
            <w:tcW w:w="8102" w:type="dxa"/>
            <w:noWrap w:val="0"/>
            <w:vAlign w:val="center"/>
          </w:tcPr>
          <w:p w14:paraId="3BC8C206">
            <w:pPr>
              <w:shd w:val="clear"/>
              <w:adjustRightInd w:val="0"/>
              <w:snapToGrid w:val="0"/>
              <w:spacing w:line="440" w:lineRule="exac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1.合同签订时，成交供应商向采购人提交合同总价</w:t>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%的履约保证金，履约保证金在合同履约期间无违约情形的，项目</w:t>
            </w:r>
            <w:r>
              <w:rPr>
                <w:rFonts w:hint="eastAsia" w:ascii="仿宋" w:hAnsi="仿宋" w:eastAsia="仿宋" w:cs="仿宋"/>
                <w:color w:val="auto"/>
                <w:sz w:val="21"/>
                <w:szCs w:val="21"/>
                <w:highlight w:val="none"/>
              </w:rPr>
              <w:t>履约完成后</w:t>
            </w:r>
            <w:r>
              <w:rPr>
                <w:rFonts w:hint="eastAsia" w:ascii="仿宋" w:hAnsi="仿宋" w:eastAsia="仿宋" w:cs="仿宋"/>
                <w:color w:val="auto"/>
                <w:kern w:val="0"/>
                <w:sz w:val="21"/>
                <w:szCs w:val="21"/>
                <w:highlight w:val="none"/>
              </w:rPr>
              <w:t>，于一周内退还（不计息）。</w:t>
            </w:r>
          </w:p>
          <w:p w14:paraId="0A09DA8B">
            <w:pPr>
              <w:shd w:val="clear"/>
              <w:adjustRightInd w:val="0"/>
              <w:snapToGrid w:val="0"/>
              <w:spacing w:line="440" w:lineRule="exac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2.提交方式：支票、汇票、本票或金融机构、担保机构出具的保函等非现金形式。</w:t>
            </w:r>
          </w:p>
        </w:tc>
      </w:tr>
      <w:tr w14:paraId="216D53B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535" w:type="dxa"/>
            <w:noWrap w:val="0"/>
            <w:vAlign w:val="center"/>
          </w:tcPr>
          <w:p w14:paraId="735C5A63">
            <w:pPr>
              <w:shd w:val="clear"/>
              <w:adjustRightInd w:val="0"/>
              <w:snapToGrid w:val="0"/>
              <w:spacing w:line="44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▲付款方式</w:t>
            </w:r>
          </w:p>
        </w:tc>
        <w:tc>
          <w:tcPr>
            <w:tcW w:w="8102" w:type="dxa"/>
            <w:noWrap w:val="0"/>
            <w:vAlign w:val="center"/>
          </w:tcPr>
          <w:p w14:paraId="70953D41">
            <w:pPr>
              <w:shd w:val="clear"/>
              <w:autoSpaceDE w:val="0"/>
              <w:autoSpaceDN w:val="0"/>
              <w:adjustRightInd w:val="0"/>
              <w:snapToGrid w:val="0"/>
              <w:spacing w:line="440" w:lineRule="exact"/>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1.合同生效以及具备实施条件后7个工作日内，采购人向供应商支付合同总价40%的预付款；</w:t>
            </w:r>
            <w:r>
              <w:rPr>
                <w:rFonts w:hint="eastAsia" w:ascii="仿宋" w:hAnsi="仿宋" w:eastAsia="仿宋" w:cs="仿宋"/>
                <w:color w:val="auto"/>
                <w:kern w:val="0"/>
                <w:sz w:val="21"/>
                <w:szCs w:val="21"/>
                <w:highlight w:val="none"/>
                <w:lang w:val="en-US" w:eastAsia="zh-CN"/>
              </w:rPr>
              <w:t>项目履约完成且</w:t>
            </w:r>
            <w:r>
              <w:rPr>
                <w:rFonts w:hint="eastAsia" w:ascii="仿宋" w:hAnsi="仿宋" w:eastAsia="仿宋" w:cs="仿宋"/>
                <w:color w:val="auto"/>
                <w:kern w:val="0"/>
                <w:sz w:val="21"/>
                <w:szCs w:val="21"/>
                <w:highlight w:val="none"/>
              </w:rPr>
              <w:t>采购人验收合格后，收到发票后7个工作日内，采购人向供应商支付至合同总价的100%。</w:t>
            </w:r>
          </w:p>
          <w:p w14:paraId="4501548B">
            <w:pPr>
              <w:shd w:val="clear"/>
              <w:autoSpaceDE w:val="0"/>
              <w:autoSpaceDN w:val="0"/>
              <w:adjustRightInd w:val="0"/>
              <w:snapToGrid w:val="0"/>
              <w:spacing w:line="440" w:lineRule="exact"/>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2.在签订合同时，供应商明确表示无需预付款或者主动要求降低预付款比例的，可不支付或降低预付款比例。</w:t>
            </w:r>
          </w:p>
        </w:tc>
      </w:tr>
      <w:bookmarkEnd w:id="48"/>
    </w:tbl>
    <w:p w14:paraId="1B67A1D9">
      <w:pPr>
        <w:shd w:val="clear"/>
        <w:adjustRightInd w:val="0"/>
        <w:snapToGrid w:val="0"/>
        <w:spacing w:before="163" w:beforeLines="50" w:after="163" w:afterLines="50"/>
        <w:outlineLvl w:val="1"/>
        <w:rPr>
          <w:rFonts w:hint="eastAsia" w:ascii="仿宋" w:hAnsi="仿宋" w:eastAsia="仿宋" w:cs="仿宋"/>
          <w:b/>
          <w:bCs/>
          <w:color w:val="auto"/>
          <w:highlight w:val="none"/>
        </w:rPr>
      </w:pPr>
      <w:bookmarkStart w:id="49" w:name="_Toc3067"/>
      <w:bookmarkStart w:id="50" w:name="_Toc25406"/>
      <w:bookmarkStart w:id="51" w:name="_Toc21207"/>
      <w:bookmarkStart w:id="52" w:name="_Toc22248"/>
      <w:r>
        <w:rPr>
          <w:rFonts w:hint="eastAsia" w:ascii="仿宋" w:hAnsi="仿宋" w:eastAsia="仿宋" w:cs="仿宋"/>
          <w:b/>
          <w:bCs/>
          <w:color w:val="auto"/>
          <w:highlight w:val="none"/>
          <w:lang w:val="en-US" w:eastAsia="zh-CN"/>
        </w:rPr>
        <w:t>二</w:t>
      </w:r>
      <w:r>
        <w:rPr>
          <w:rFonts w:hint="eastAsia" w:ascii="仿宋" w:hAnsi="仿宋" w:eastAsia="仿宋" w:cs="仿宋"/>
          <w:b/>
          <w:bCs/>
          <w:color w:val="auto"/>
          <w:highlight w:val="none"/>
        </w:rPr>
        <w:t>、服务要求（技术要求里另有注明的以技术要求为准）：</w:t>
      </w:r>
      <w:bookmarkEnd w:id="49"/>
      <w:bookmarkEnd w:id="50"/>
      <w:bookmarkEnd w:id="51"/>
      <w:bookmarkEnd w:id="52"/>
    </w:p>
    <w:bookmarkEnd w:id="46"/>
    <w:bookmarkEnd w:id="47"/>
    <w:tbl>
      <w:tblPr>
        <w:tblStyle w:val="28"/>
        <w:tblW w:w="9625" w:type="dxa"/>
        <w:tblInd w:w="17"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8117"/>
      </w:tblGrid>
      <w:tr w14:paraId="5B49BBA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PrEx>
        <w:trPr>
          <w:trHeight w:val="600" w:hRule="atLeast"/>
        </w:trPr>
        <w:tc>
          <w:tcPr>
            <w:tcW w:w="1508" w:type="dxa"/>
            <w:noWrap w:val="0"/>
            <w:vAlign w:val="center"/>
          </w:tcPr>
          <w:p w14:paraId="0849C3B7">
            <w:pPr>
              <w:shd w:val="clear"/>
              <w:spacing w:line="360" w:lineRule="exact"/>
              <w:jc w:val="center"/>
              <w:rPr>
                <w:rFonts w:hint="default" w:ascii="仿宋" w:hAnsi="仿宋" w:eastAsia="仿宋" w:cs="仿宋"/>
                <w:b/>
                <w:bCs/>
                <w:color w:val="auto"/>
                <w:sz w:val="21"/>
                <w:szCs w:val="21"/>
                <w:highlight w:val="none"/>
                <w:lang w:val="en-US"/>
              </w:rPr>
            </w:pPr>
            <w:r>
              <w:rPr>
                <w:rFonts w:hint="eastAsia" w:ascii="仿宋" w:hAnsi="仿宋" w:eastAsia="仿宋" w:cs="仿宋"/>
                <w:b/>
                <w:bCs/>
                <w:color w:val="auto"/>
                <w:sz w:val="21"/>
                <w:szCs w:val="21"/>
                <w:highlight w:val="none"/>
                <w:lang w:val="en-US" w:eastAsia="zh-CN"/>
              </w:rPr>
              <w:t>服务期限</w:t>
            </w:r>
          </w:p>
        </w:tc>
        <w:tc>
          <w:tcPr>
            <w:tcW w:w="8117" w:type="dxa"/>
            <w:noWrap w:val="0"/>
            <w:vAlign w:val="center"/>
          </w:tcPr>
          <w:p w14:paraId="175D0239">
            <w:pPr>
              <w:shd w:val="clear"/>
              <w:spacing w:line="360" w:lineRule="exact"/>
              <w:rPr>
                <w:rFonts w:hint="eastAsia" w:ascii="仿宋" w:hAnsi="仿宋" w:eastAsia="仿宋" w:cs="仿宋"/>
                <w:color w:val="auto"/>
                <w:spacing w:val="-6"/>
                <w:sz w:val="21"/>
                <w:szCs w:val="21"/>
                <w:highlight w:val="none"/>
              </w:rPr>
            </w:pPr>
            <w:r>
              <w:rPr>
                <w:rFonts w:hint="eastAsia" w:ascii="仿宋" w:hAnsi="仿宋" w:eastAsia="仿宋" w:cs="仿宋"/>
                <w:color w:val="auto"/>
                <w:sz w:val="21"/>
                <w:szCs w:val="21"/>
                <w:highlight w:val="none"/>
              </w:rPr>
              <w:t>合同签订后</w:t>
            </w:r>
            <w:r>
              <w:rPr>
                <w:rFonts w:hint="eastAsia" w:ascii="仿宋" w:hAnsi="仿宋" w:eastAsia="仿宋" w:cs="仿宋"/>
                <w:color w:val="auto"/>
                <w:sz w:val="21"/>
                <w:szCs w:val="21"/>
                <w:highlight w:val="none"/>
                <w:lang w:val="en-US" w:eastAsia="zh-CN"/>
              </w:rPr>
              <w:t>1个月内数据库交付完成</w:t>
            </w:r>
            <w:r>
              <w:rPr>
                <w:rFonts w:hint="eastAsia" w:ascii="仿宋" w:hAnsi="仿宋" w:eastAsia="仿宋" w:cs="仿宋"/>
                <w:color w:val="auto"/>
                <w:sz w:val="21"/>
                <w:szCs w:val="21"/>
                <w:highlight w:val="none"/>
              </w:rPr>
              <w:t>。</w:t>
            </w:r>
          </w:p>
        </w:tc>
      </w:tr>
      <w:tr w14:paraId="6526A1E3">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508" w:type="dxa"/>
            <w:noWrap w:val="0"/>
            <w:vAlign w:val="center"/>
          </w:tcPr>
          <w:p w14:paraId="60B1DBE2">
            <w:pPr>
              <w:shd w:val="clear"/>
              <w:spacing w:line="360" w:lineRule="exact"/>
              <w:jc w:val="center"/>
              <w:rPr>
                <w:rFonts w:hint="default" w:ascii="仿宋" w:hAnsi="仿宋" w:eastAsia="仿宋" w:cs="仿宋"/>
                <w:b/>
                <w:bCs/>
                <w:color w:val="auto"/>
                <w:kern w:val="0"/>
                <w:sz w:val="21"/>
                <w:szCs w:val="21"/>
                <w:highlight w:val="none"/>
                <w:lang w:val="en-US" w:eastAsia="zh-CN"/>
              </w:rPr>
            </w:pPr>
            <w:r>
              <w:rPr>
                <w:rFonts w:hint="eastAsia" w:ascii="仿宋" w:hAnsi="仿宋" w:eastAsia="仿宋" w:cs="仿宋"/>
                <w:b/>
                <w:bCs/>
                <w:color w:val="auto"/>
                <w:kern w:val="0"/>
                <w:sz w:val="21"/>
                <w:szCs w:val="21"/>
                <w:highlight w:val="none"/>
                <w:lang w:val="en-US" w:eastAsia="zh-CN"/>
              </w:rPr>
              <w:t>授权及售后</w:t>
            </w:r>
          </w:p>
        </w:tc>
        <w:tc>
          <w:tcPr>
            <w:tcW w:w="8117" w:type="dxa"/>
            <w:noWrap w:val="0"/>
            <w:vAlign w:val="center"/>
          </w:tcPr>
          <w:p w14:paraId="01730CE8">
            <w:pPr>
              <w:shd w:val="clear"/>
              <w:spacing w:line="360" w:lineRule="exact"/>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数据库授权期限为5年，并提供授权期内相关售后及维护服务。</w:t>
            </w:r>
          </w:p>
        </w:tc>
      </w:tr>
      <w:tr w14:paraId="71A08E69">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307" w:hRule="atLeast"/>
        </w:trPr>
        <w:tc>
          <w:tcPr>
            <w:tcW w:w="1508" w:type="dxa"/>
            <w:noWrap w:val="0"/>
            <w:vAlign w:val="center"/>
          </w:tcPr>
          <w:p w14:paraId="71B3AA03">
            <w:pPr>
              <w:shd w:val="clear"/>
              <w:spacing w:line="360" w:lineRule="exact"/>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服务保障</w:t>
            </w:r>
          </w:p>
        </w:tc>
        <w:tc>
          <w:tcPr>
            <w:tcW w:w="8117" w:type="dxa"/>
            <w:noWrap w:val="0"/>
            <w:vAlign w:val="center"/>
          </w:tcPr>
          <w:p w14:paraId="0CA0E64A">
            <w:pPr>
              <w:shd w:val="clear"/>
              <w:spacing w:line="360" w:lineRule="exac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1.供应商保证在售后服务期内提供7*24小时的技术支持服务，提供紧急联系人联系方式，随时接收学校提出的技术问题，并在24小时内提供解决方案。</w:t>
            </w:r>
          </w:p>
          <w:p w14:paraId="73124B6E">
            <w:pPr>
              <w:shd w:val="clear"/>
              <w:spacing w:line="360" w:lineRule="exac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供应商保障在售后服务期内，各类故障应在1小时内响应，2小时内提供应急解决方案。影响系统正常使用的bug在学校提出后8小时内修正。系统安全漏洞的修复要在学校提出后24小时内解决。若供应商未能按时限解决问题，招标方有权自行处理，所发生费用由供应商承担。</w:t>
            </w:r>
          </w:p>
        </w:tc>
      </w:tr>
      <w:tr w14:paraId="2499D58F">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508" w:type="dxa"/>
            <w:noWrap w:val="0"/>
            <w:vAlign w:val="center"/>
          </w:tcPr>
          <w:p w14:paraId="278E4FD5">
            <w:pPr>
              <w:shd w:val="clear"/>
              <w:spacing w:line="360" w:lineRule="exact"/>
              <w:jc w:val="center"/>
              <w:rPr>
                <w:rFonts w:hint="eastAsia" w:ascii="仿宋" w:hAnsi="仿宋" w:eastAsia="仿宋" w:cs="仿宋"/>
                <w:b/>
                <w:bCs/>
                <w:color w:val="auto"/>
                <w:kern w:val="0"/>
                <w:sz w:val="21"/>
                <w:szCs w:val="21"/>
                <w:highlight w:val="none"/>
                <w:lang w:bidi="ar"/>
              </w:rPr>
            </w:pPr>
            <w:r>
              <w:rPr>
                <w:rFonts w:hint="eastAsia" w:ascii="仿宋" w:hAnsi="仿宋" w:eastAsia="仿宋" w:cs="仿宋"/>
                <w:b/>
                <w:bCs/>
                <w:color w:val="auto"/>
                <w:kern w:val="0"/>
                <w:sz w:val="21"/>
                <w:szCs w:val="21"/>
                <w:highlight w:val="none"/>
                <w:lang w:bidi="ar"/>
              </w:rPr>
              <w:t>履约验收</w:t>
            </w:r>
          </w:p>
        </w:tc>
        <w:tc>
          <w:tcPr>
            <w:tcW w:w="8117" w:type="dxa"/>
            <w:noWrap w:val="0"/>
            <w:vAlign w:val="center"/>
          </w:tcPr>
          <w:p w14:paraId="56D1F627">
            <w:pPr>
              <w:shd w:val="clear"/>
              <w:adjustRightInd w:val="0"/>
              <w:snapToGrid w:val="0"/>
              <w:spacing w:line="288" w:lineRule="auto"/>
              <w:jc w:val="both"/>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项目</w:t>
            </w:r>
            <w:r>
              <w:rPr>
                <w:rFonts w:hint="eastAsia" w:ascii="仿宋" w:hAnsi="仿宋" w:eastAsia="仿宋" w:cs="仿宋"/>
                <w:color w:val="auto"/>
                <w:sz w:val="21"/>
                <w:szCs w:val="21"/>
                <w:highlight w:val="none"/>
                <w:lang w:val="en-US" w:eastAsia="zh-CN" w:bidi="ar"/>
              </w:rPr>
              <w:t>履约</w:t>
            </w:r>
            <w:r>
              <w:rPr>
                <w:rFonts w:hint="eastAsia" w:ascii="仿宋" w:hAnsi="仿宋" w:eastAsia="仿宋" w:cs="仿宋"/>
                <w:color w:val="auto"/>
                <w:sz w:val="21"/>
                <w:szCs w:val="21"/>
                <w:highlight w:val="none"/>
                <w:lang w:bidi="ar"/>
              </w:rPr>
              <w:t>完成以后，须向采购人提交项目验收申请，采购人</w:t>
            </w:r>
            <w:r>
              <w:rPr>
                <w:rFonts w:hint="eastAsia" w:ascii="仿宋" w:hAnsi="仿宋" w:eastAsia="仿宋" w:cs="仿宋"/>
                <w:color w:val="auto"/>
                <w:sz w:val="21"/>
                <w:szCs w:val="21"/>
                <w:highlight w:val="none"/>
                <w:lang w:val="en-US" w:eastAsia="zh-CN" w:bidi="ar"/>
              </w:rPr>
              <w:t>组织</w:t>
            </w:r>
            <w:r>
              <w:rPr>
                <w:rFonts w:hint="eastAsia" w:ascii="仿宋" w:hAnsi="仿宋" w:eastAsia="仿宋" w:cs="仿宋"/>
                <w:color w:val="auto"/>
                <w:sz w:val="21"/>
                <w:szCs w:val="21"/>
                <w:highlight w:val="none"/>
                <w:lang w:bidi="ar"/>
              </w:rPr>
              <w:t>项目验收</w:t>
            </w:r>
            <w:r>
              <w:rPr>
                <w:rFonts w:hint="eastAsia" w:ascii="仿宋" w:hAnsi="仿宋" w:eastAsia="仿宋" w:cs="仿宋"/>
                <w:color w:val="auto"/>
                <w:sz w:val="21"/>
                <w:szCs w:val="21"/>
                <w:highlight w:val="none"/>
                <w:lang w:eastAsia="zh-CN" w:bidi="ar"/>
              </w:rPr>
              <w:t>。</w:t>
            </w:r>
          </w:p>
        </w:tc>
      </w:tr>
    </w:tbl>
    <w:p w14:paraId="6A846EE8">
      <w:pPr>
        <w:shd w:val="clear"/>
        <w:adjustRightInd w:val="0"/>
        <w:snapToGrid w:val="0"/>
        <w:spacing w:before="163" w:beforeLines="50" w:after="163" w:afterLines="50"/>
        <w:outlineLvl w:val="1"/>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三</w:t>
      </w:r>
      <w:r>
        <w:rPr>
          <w:rFonts w:hint="eastAsia" w:ascii="仿宋" w:hAnsi="仿宋" w:eastAsia="仿宋" w:cs="仿宋"/>
          <w:b/>
          <w:bCs/>
          <w:color w:val="auto"/>
          <w:highlight w:val="none"/>
        </w:rPr>
        <w:t>、技术要求</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数据库</w:t>
      </w:r>
      <w:r>
        <w:rPr>
          <w:rFonts w:hint="eastAsia" w:ascii="仿宋" w:hAnsi="仿宋" w:eastAsia="仿宋" w:cs="仿宋"/>
          <w:b/>
          <w:bCs/>
          <w:color w:val="auto"/>
          <w:highlight w:val="none"/>
          <w:lang w:eastAsia="zh-CN"/>
        </w:rPr>
        <w:t>功能</w:t>
      </w:r>
      <w:r>
        <w:rPr>
          <w:rFonts w:hint="eastAsia" w:ascii="仿宋" w:hAnsi="仿宋" w:eastAsia="仿宋" w:cs="仿宋"/>
          <w:b/>
          <w:bCs/>
          <w:color w:val="auto"/>
          <w:highlight w:val="none"/>
          <w:lang w:val="en-US" w:eastAsia="zh-CN"/>
        </w:rPr>
        <w:t>要求</w:t>
      </w:r>
      <w:r>
        <w:rPr>
          <w:rFonts w:hint="eastAsia" w:ascii="仿宋" w:hAnsi="仿宋" w:eastAsia="仿宋" w:cs="仿宋"/>
          <w:b/>
          <w:bCs/>
          <w:color w:val="auto"/>
          <w:highlight w:val="none"/>
          <w:lang w:eastAsia="zh-CN"/>
        </w:rPr>
        <w:t>）</w:t>
      </w:r>
    </w:p>
    <w:p w14:paraId="3D139645">
      <w:pPr>
        <w:pStyle w:val="95"/>
        <w:spacing w:line="360" w:lineRule="auto"/>
        <w:ind w:firstLine="5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1、股票</w:t>
      </w:r>
      <w:r>
        <w:rPr>
          <w:rFonts w:hint="eastAsia" w:ascii="仿宋" w:hAnsi="仿宋" w:eastAsia="仿宋" w:cs="仿宋"/>
          <w:color w:val="auto"/>
          <w:sz w:val="21"/>
          <w:szCs w:val="21"/>
          <w:highlight w:val="none"/>
          <w:lang w:val="en-US" w:eastAsia="zh-CN"/>
        </w:rPr>
        <w:t>模块</w:t>
      </w:r>
      <w:r>
        <w:rPr>
          <w:rFonts w:hint="eastAsia" w:ascii="仿宋" w:hAnsi="仿宋" w:eastAsia="仿宋" w:cs="仿宋"/>
          <w:color w:val="auto"/>
          <w:sz w:val="21"/>
          <w:szCs w:val="21"/>
          <w:highlight w:val="none"/>
        </w:rPr>
        <w:t>：</w:t>
      </w:r>
    </w:p>
    <w:p w14:paraId="11859494">
      <w:pPr>
        <w:pStyle w:val="95"/>
        <w:spacing w:line="360" w:lineRule="auto"/>
        <w:ind w:firstLine="5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提供具有行情，公告，深度资料，数据浏览器等基础功能，必须同时包含IPO问询函，分析师库，财务评级，概念产业链，产业链深度资料，境外上市备案专题，全球交易所专题，智能选股，行业报表，行业投资时钟，AI行业预测，估值模型满足香港、美国、银行、非上市等多场景的估值分析等；</w:t>
      </w:r>
    </w:p>
    <w:p w14:paraId="6AA07747">
      <w:pPr>
        <w:pStyle w:val="95"/>
        <w:spacing w:line="360" w:lineRule="auto"/>
        <w:ind w:firstLine="56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（2）提供上市公司的机构调研、ESG评级、APP</w:t>
      </w:r>
      <w:r>
        <w:rPr>
          <w:rFonts w:hint="eastAsia" w:ascii="仿宋" w:hAnsi="仿宋" w:eastAsia="仿宋" w:cs="仿宋"/>
          <w:color w:val="auto"/>
          <w:sz w:val="21"/>
          <w:szCs w:val="21"/>
          <w:highlight w:val="none"/>
          <w:lang w:val="en-US" w:eastAsia="zh-CN"/>
        </w:rPr>
        <w:t>使用情况统计</w:t>
      </w:r>
      <w:r>
        <w:rPr>
          <w:rFonts w:hint="eastAsia" w:ascii="仿宋" w:hAnsi="仿宋" w:eastAsia="仿宋" w:cs="仿宋"/>
          <w:color w:val="auto"/>
          <w:sz w:val="21"/>
          <w:szCs w:val="21"/>
          <w:highlight w:val="none"/>
        </w:rPr>
        <w:t>、持有证券资产、股权冻结、承诺履行、约定购回、关联交易、管理层状况及高管持股</w:t>
      </w:r>
      <w:r>
        <w:rPr>
          <w:rFonts w:hint="eastAsia" w:ascii="仿宋" w:hAnsi="仿宋" w:eastAsia="仿宋" w:cs="仿宋"/>
          <w:color w:val="auto"/>
          <w:sz w:val="21"/>
          <w:szCs w:val="21"/>
          <w:highlight w:val="none"/>
          <w:lang w:val="en-US" w:eastAsia="zh-CN"/>
        </w:rPr>
        <w:t>及报酬</w:t>
      </w:r>
      <w:r>
        <w:rPr>
          <w:rFonts w:hint="eastAsia" w:ascii="仿宋" w:hAnsi="仿宋" w:eastAsia="仿宋" w:cs="仿宋"/>
          <w:color w:val="auto"/>
          <w:sz w:val="21"/>
          <w:szCs w:val="21"/>
          <w:highlight w:val="none"/>
        </w:rPr>
        <w:t>、公司股权结构图谱、员工</w:t>
      </w:r>
      <w:r>
        <w:rPr>
          <w:rFonts w:hint="eastAsia" w:ascii="仿宋" w:hAnsi="仿宋" w:eastAsia="仿宋" w:cs="仿宋"/>
          <w:color w:val="auto"/>
          <w:sz w:val="21"/>
          <w:szCs w:val="21"/>
          <w:highlight w:val="none"/>
          <w:lang w:val="en-US" w:eastAsia="zh-CN"/>
        </w:rPr>
        <w:t>结构与薪酬变化、招聘信息</w:t>
      </w:r>
      <w:r>
        <w:rPr>
          <w:rFonts w:hint="eastAsia" w:ascii="仿宋" w:hAnsi="仿宋" w:eastAsia="仿宋" w:cs="仿宋"/>
          <w:color w:val="auto"/>
          <w:sz w:val="21"/>
          <w:szCs w:val="21"/>
          <w:highlight w:val="none"/>
        </w:rPr>
        <w:t>等数据。</w:t>
      </w:r>
      <w:r>
        <w:rPr>
          <w:rFonts w:hint="eastAsia" w:ascii="仿宋" w:hAnsi="仿宋" w:eastAsia="仿宋" w:cs="仿宋"/>
          <w:color w:val="auto"/>
          <w:sz w:val="21"/>
          <w:szCs w:val="21"/>
          <w:highlight w:val="none"/>
          <w:lang w:val="en-US" w:eastAsia="zh-CN"/>
        </w:rPr>
        <w:t>其中ESG评级数据包含公司自带评级体系以及三方ESG评级体系，三方ESG评级体系包含中国国新、华证指数、盟浪、妙盈科技、中诚信绿金、秩鼎等。</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需提供演示</w:t>
      </w:r>
      <w:r>
        <w:rPr>
          <w:rFonts w:hint="eastAsia" w:ascii="仿宋" w:hAnsi="仿宋" w:eastAsia="仿宋" w:cs="仿宋"/>
          <w:b/>
          <w:bCs/>
          <w:color w:val="auto"/>
          <w:sz w:val="21"/>
          <w:szCs w:val="21"/>
          <w:highlight w:val="none"/>
          <w:lang w:eastAsia="zh-CN"/>
        </w:rPr>
        <w:t>）</w:t>
      </w:r>
    </w:p>
    <w:p w14:paraId="63F79766">
      <w:pPr>
        <w:pStyle w:val="95"/>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（3）深度资料中提供人气数据、</w:t>
      </w:r>
      <w:r>
        <w:rPr>
          <w:rFonts w:hint="eastAsia" w:ascii="仿宋" w:hAnsi="仿宋" w:eastAsia="仿宋" w:cs="仿宋"/>
          <w:color w:val="auto"/>
          <w:sz w:val="21"/>
          <w:szCs w:val="21"/>
          <w:highlight w:val="none"/>
          <w:lang w:val="en-US" w:eastAsia="zh-CN"/>
        </w:rPr>
        <w:t>重大特殊事项</w:t>
      </w:r>
      <w:r>
        <w:rPr>
          <w:rFonts w:hint="eastAsia" w:ascii="仿宋" w:hAnsi="仿宋" w:eastAsia="仿宋" w:cs="仿宋"/>
          <w:color w:val="auto"/>
          <w:sz w:val="21"/>
          <w:szCs w:val="21"/>
          <w:highlight w:val="none"/>
        </w:rPr>
        <w:t>、重大资产运作等数据。</w:t>
      </w:r>
      <w:r>
        <w:rPr>
          <w:rFonts w:hint="eastAsia" w:ascii="仿宋" w:hAnsi="仿宋" w:eastAsia="仿宋" w:cs="仿宋"/>
          <w:color w:val="auto"/>
          <w:sz w:val="21"/>
          <w:szCs w:val="21"/>
          <w:highlight w:val="none"/>
          <w:lang w:val="en-US" w:eastAsia="zh-CN"/>
        </w:rPr>
        <w:t>其中人气数据包含实时排名和历史排名，实时排名包含近1小时人气和近24小时人气；历史排名指标周期包含近一天，近一周，近一月三个维度。</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需提供演示</w:t>
      </w:r>
      <w:r>
        <w:rPr>
          <w:rFonts w:hint="eastAsia" w:ascii="仿宋" w:hAnsi="仿宋" w:eastAsia="仿宋" w:cs="仿宋"/>
          <w:b/>
          <w:bCs/>
          <w:color w:val="auto"/>
          <w:sz w:val="21"/>
          <w:szCs w:val="21"/>
          <w:highlight w:val="none"/>
          <w:lang w:eastAsia="zh-CN"/>
        </w:rPr>
        <w:t>）</w:t>
      </w:r>
    </w:p>
    <w:p w14:paraId="64FBAEFA">
      <w:pPr>
        <w:pStyle w:val="95"/>
        <w:spacing w:line="360" w:lineRule="auto"/>
        <w:ind w:firstLine="56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（4）提供</w:t>
      </w:r>
      <w:r>
        <w:rPr>
          <w:rFonts w:hint="eastAsia" w:ascii="仿宋" w:hAnsi="仿宋" w:eastAsia="仿宋" w:cs="仿宋"/>
          <w:color w:val="auto"/>
          <w:sz w:val="21"/>
          <w:szCs w:val="21"/>
          <w:highlight w:val="none"/>
          <w:lang w:val="en-US" w:eastAsia="zh-CN"/>
        </w:rPr>
        <w:t>智能问财</w:t>
      </w:r>
      <w:r>
        <w:rPr>
          <w:rFonts w:hint="eastAsia" w:ascii="仿宋" w:hAnsi="仿宋" w:eastAsia="仿宋" w:cs="仿宋"/>
          <w:color w:val="auto"/>
          <w:sz w:val="21"/>
          <w:szCs w:val="21"/>
          <w:highlight w:val="none"/>
        </w:rPr>
        <w:t>自然语言</w:t>
      </w:r>
      <w:r>
        <w:rPr>
          <w:rFonts w:hint="eastAsia" w:ascii="仿宋" w:hAnsi="仿宋" w:eastAsia="仿宋" w:cs="仿宋"/>
          <w:color w:val="auto"/>
          <w:sz w:val="21"/>
          <w:szCs w:val="21"/>
          <w:highlight w:val="none"/>
          <w:lang w:val="en-US" w:eastAsia="zh-CN"/>
        </w:rPr>
        <w:t>搜索和AI对话功能</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包含研报图表、精选策略、产品搜索、短线复盘、策略回测、宏观经济等版块。</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需提供演示</w:t>
      </w:r>
      <w:r>
        <w:rPr>
          <w:rFonts w:hint="eastAsia" w:ascii="仿宋" w:hAnsi="仿宋" w:eastAsia="仿宋" w:cs="仿宋"/>
          <w:b/>
          <w:bCs/>
          <w:color w:val="auto"/>
          <w:sz w:val="21"/>
          <w:szCs w:val="21"/>
          <w:highlight w:val="none"/>
          <w:lang w:eastAsia="zh-CN"/>
        </w:rPr>
        <w:t>）</w:t>
      </w:r>
    </w:p>
    <w:p w14:paraId="5FD07C08">
      <w:pPr>
        <w:pStyle w:val="95"/>
        <w:spacing w:line="360" w:lineRule="auto"/>
        <w:ind w:firstLine="5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（5）提供</w:t>
      </w:r>
      <w:r>
        <w:rPr>
          <w:rFonts w:hint="eastAsia" w:ascii="仿宋" w:hAnsi="仿宋" w:eastAsia="仿宋" w:cs="仿宋"/>
          <w:color w:val="auto"/>
          <w:sz w:val="21"/>
          <w:szCs w:val="21"/>
          <w:highlight w:val="none"/>
          <w:lang w:val="en-US" w:eastAsia="zh-CN"/>
        </w:rPr>
        <w:t>量化研究数据，包括策略研究、因子策略、因子检测、因子库、研究平台、模拟交易、帮助文档等。因子库提供近900个基础因子，用户自由查看提供的因子分析报告及用户自定义因子分析报告；策略库提供8个大师系列策略以及问财策略，其中问财策略包含问财日级模板和问财分钟模板。</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需提供演示</w:t>
      </w:r>
      <w:r>
        <w:rPr>
          <w:rFonts w:hint="eastAsia" w:ascii="仿宋" w:hAnsi="仿宋" w:eastAsia="仿宋" w:cs="仿宋"/>
          <w:b/>
          <w:bCs/>
          <w:color w:val="auto"/>
          <w:sz w:val="21"/>
          <w:szCs w:val="21"/>
          <w:highlight w:val="none"/>
          <w:lang w:eastAsia="zh-CN"/>
        </w:rPr>
        <w:t>）</w:t>
      </w:r>
    </w:p>
    <w:p w14:paraId="3530E372">
      <w:pPr>
        <w:pStyle w:val="95"/>
        <w:spacing w:line="360" w:lineRule="auto"/>
        <w:ind w:firstLine="56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（6）提供PE/PBBands导出器、Beta计算器、WACC计算器、DDM计算器工具、组合风险、沪深/港股/美股估值模型Evaluator，模型构成不少于30张分析表。</w:t>
      </w:r>
    </w:p>
    <w:p w14:paraId="61130F50">
      <w:pPr>
        <w:pStyle w:val="95"/>
        <w:spacing w:line="360" w:lineRule="auto"/>
        <w:ind w:firstLine="5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（7）提供行业报表，行业数据全面，维度丰富，6个维度合计170+张报表，包括行业经济数据、行业公司资料、行业融资并购、行业二级市场、行业财务数据、行业特色数据</w:t>
      </w:r>
      <w:r>
        <w:rPr>
          <w:rFonts w:hint="eastAsia" w:ascii="仿宋" w:hAnsi="仿宋" w:eastAsia="仿宋" w:cs="仿宋"/>
          <w:color w:val="auto"/>
          <w:sz w:val="21"/>
          <w:szCs w:val="21"/>
          <w:highlight w:val="none"/>
          <w:lang w:eastAsia="zh-CN"/>
        </w:rPr>
        <w:t>。</w:t>
      </w:r>
    </w:p>
    <w:p w14:paraId="3263494E">
      <w:pPr>
        <w:pStyle w:val="95"/>
        <w:spacing w:line="360" w:lineRule="auto"/>
        <w:ind w:firstLine="5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2、债券：</w:t>
      </w:r>
    </w:p>
    <w:p w14:paraId="3179DF4D">
      <w:pPr>
        <w:pStyle w:val="95"/>
        <w:spacing w:line="360" w:lineRule="auto"/>
        <w:ind w:firstLine="5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提供基本资料、发行兑付条款、公司公告等等，必须同时具有债券监控，地方政府债专题、疫情防控债专题、可持续发展挂钩债券，区域信用评价，区域经济地图，发债主体信用睿评，票据实时行情，外汇行情多窗看板，发债主体分析，区域深度分析，城投平台分析，城投研究，ABS模块等；</w:t>
      </w:r>
    </w:p>
    <w:p w14:paraId="60663445">
      <w:pPr>
        <w:pStyle w:val="95"/>
        <w:spacing w:line="360" w:lineRule="auto"/>
        <w:ind w:firstLine="5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提供债券重大事件速览功能，应包含：信用债风险事件、行权事件、业绩报告等数据，其中信用债风险事件有债券违约、违约后清偿完毕、债项评级变更、债项隐含评级变更、主体评级变更、担保人评级变更、债项列入观察名单债券、主体列入观察名单债券。</w:t>
      </w:r>
    </w:p>
    <w:p w14:paraId="6D5FD30D">
      <w:pPr>
        <w:pStyle w:val="95"/>
        <w:spacing w:line="360" w:lineRule="auto"/>
        <w:ind w:firstLine="56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提供数智债券版块，包含信用睿评、智见区域、银行模型、区域深度分析，发债主体分析、企业风控。其中智见区域包含区域数智诊断驾驶舱、区域信用评价、区域经济地图、区域比较看板。</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需提供演示</w:t>
      </w:r>
      <w:r>
        <w:rPr>
          <w:rFonts w:hint="eastAsia" w:ascii="仿宋" w:hAnsi="仿宋" w:eastAsia="仿宋" w:cs="仿宋"/>
          <w:b/>
          <w:bCs/>
          <w:color w:val="auto"/>
          <w:sz w:val="21"/>
          <w:szCs w:val="21"/>
          <w:highlight w:val="none"/>
          <w:lang w:eastAsia="zh-CN"/>
        </w:rPr>
        <w:t>）</w:t>
      </w:r>
    </w:p>
    <w:p w14:paraId="0EC51C34">
      <w:pPr>
        <w:pStyle w:val="95"/>
        <w:spacing w:line="360" w:lineRule="auto"/>
        <w:ind w:firstLine="5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提供城投债、美元债券、铁道部债券、永续债、大额存单、产业债、高新技术产业债、文化创业产业债、疫情防控债等债券数据，其中疫情防控债含有交易市场结构图、债券类型结构图、发行人地区结构图、企业性质结构图、发行人行业结构图。</w:t>
      </w:r>
    </w:p>
    <w:p w14:paraId="7B4821D8">
      <w:pPr>
        <w:pStyle w:val="95"/>
        <w:spacing w:line="360" w:lineRule="auto"/>
        <w:ind w:firstLine="5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提供综合分析、质押式回购分析、买断式回购分析（单）、买断式回购分析（多）、拆借分析、持有期收益分析（单）、持有期收益分析（多）、可转债分析等债券计算器；提供债券模拟投资账户、债券组合管理、债券定价分析、债券进阶分析等分析工具。</w:t>
      </w:r>
    </w:p>
    <w:p w14:paraId="1180234C">
      <w:pPr>
        <w:pStyle w:val="95"/>
        <w:spacing w:line="360" w:lineRule="auto"/>
        <w:ind w:firstLine="5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提供债券日历功能，功能应支持新发债券、付息兑换、行权债券、评级变更、债券公告等数据以图文表形式展现，并支持一键Excel导出。其中新发债券分为发行、缴款、上市三个维度，发行量支持数据表和饼状图展示。</w:t>
      </w:r>
    </w:p>
    <w:p w14:paraId="3269507E">
      <w:pPr>
        <w:pStyle w:val="95"/>
        <w:spacing w:line="360" w:lineRule="auto"/>
        <w:ind w:firstLine="5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（7）提供债券估值功能，功能应支持最新动态估值、日内动态估值、历史动态估值查询、最新收盘估值、历史收盘估值查询、今日动态估值明细、近一月历史动态估值等债券估值数据。</w:t>
      </w:r>
    </w:p>
    <w:p w14:paraId="1F982CF7">
      <w:pPr>
        <w:pStyle w:val="95"/>
        <w:spacing w:line="360" w:lineRule="auto"/>
        <w:ind w:firstLine="5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提供全面的ABS数据，提供不少于4400个ABS产品，数据包含项目进度、项目列表、证券列表、存量统计、机构统计、评级研究、发行备案、定价分析、ABS报价、ABS企业库等。其中ABS企业库支持原始权益人从近三年主营业务收入增长、发行过公募债、近三年无法律诉讼事件等三类指标进行筛选。</w:t>
      </w:r>
    </w:p>
    <w:p w14:paraId="63BE67BF">
      <w:pPr>
        <w:pStyle w:val="95"/>
        <w:spacing w:line="360" w:lineRule="auto"/>
        <w:ind w:firstLine="5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提供中债估值、中证估值功能与实时数据。包括中国国债收益率曲线、中债中短期票据到期收益率、中债企业债到期收益率、中债非公开发行产业债到期收益率、中债可续期城投债到期收益率、中国次级可续期产业债到期收益率等。</w:t>
      </w:r>
    </w:p>
    <w:p w14:paraId="1619CE3D">
      <w:pPr>
        <w:pStyle w:val="95"/>
        <w:spacing w:line="360" w:lineRule="auto"/>
        <w:ind w:firstLine="5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（10）提供专题统计报表，11个模块数百张报表，包括：债券市场概况、一级市场、二级市场、公开市场操作、信用债、城投债、地方政府债、可转债、金融机构专题、机构资料、海外债券。</w:t>
      </w:r>
    </w:p>
    <w:p w14:paraId="5F1C02F3">
      <w:pPr>
        <w:pStyle w:val="95"/>
        <w:spacing w:line="360" w:lineRule="auto"/>
        <w:ind w:firstLine="5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3、企业库：提供企业查询，企业图谱，股权结构图谱，风险监控（舆情预警，大事提醒，司法风险，违规处罚），深度资料，PE/VC库，并购库，金融机构库等；</w:t>
      </w:r>
    </w:p>
    <w:p w14:paraId="3CF373B8">
      <w:pPr>
        <w:pStyle w:val="95"/>
        <w:spacing w:line="360" w:lineRule="auto"/>
        <w:ind w:firstLine="5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4、期货</w:t>
      </w:r>
      <w:r>
        <w:rPr>
          <w:rFonts w:hint="eastAsia" w:ascii="仿宋" w:hAnsi="仿宋" w:eastAsia="仿宋" w:cs="仿宋"/>
          <w:color w:val="auto"/>
          <w:sz w:val="21"/>
          <w:szCs w:val="21"/>
          <w:highlight w:val="none"/>
          <w:lang w:val="en-US" w:eastAsia="zh-CN"/>
        </w:rPr>
        <w:t>期权</w:t>
      </w:r>
      <w:r>
        <w:rPr>
          <w:rFonts w:hint="eastAsia" w:ascii="仿宋" w:hAnsi="仿宋" w:eastAsia="仿宋" w:cs="仿宋"/>
          <w:color w:val="auto"/>
          <w:sz w:val="21"/>
          <w:szCs w:val="21"/>
          <w:highlight w:val="none"/>
        </w:rPr>
        <w:t>：</w:t>
      </w:r>
    </w:p>
    <w:p w14:paraId="3BA18F21">
      <w:pPr>
        <w:pStyle w:val="95"/>
        <w:spacing w:line="360" w:lineRule="auto"/>
        <w:ind w:firstLine="5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提供资讯，行情，研究报告，产业数据库，分析工具等，分析工具应提供股指估值，估值套保，期权筛选，期权定价分析及价差矩阵可以查看同一品种不同合约之间每天的价差数据；</w:t>
      </w:r>
    </w:p>
    <w:p w14:paraId="407A61D8">
      <w:pPr>
        <w:pStyle w:val="95"/>
        <w:spacing w:line="360" w:lineRule="auto"/>
        <w:ind w:firstLine="5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提供上海期货交易所、大连商品交易所、郑州商品交易所、中国金融期货交易所、纽约商业期货交易所、纽约商品交易所、芝加哥期货交易所、伦敦洲际交易所、伦敦金属交易所、马来西亚衍生品交易所、新加坡证券交易所的合约基础、行情指标、技术指标、持仓指标、会员持仓、仓单指标等指标数据；应提供期权合约基础指标、期权行情指标及期权风险指标等期权数据。</w:t>
      </w:r>
    </w:p>
    <w:p w14:paraId="4722A014">
      <w:pPr>
        <w:pStyle w:val="95"/>
        <w:spacing w:line="360" w:lineRule="auto"/>
        <w:ind w:firstLine="5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（3）提供套利报价、套利分析、添加套利、季节分析、相关性分析、提油套利、股指估值、股指套保、历史波动率、期权筛选、期权定价分析等分析工具。</w:t>
      </w:r>
    </w:p>
    <w:p w14:paraId="41C55471">
      <w:pPr>
        <w:pStyle w:val="95"/>
        <w:spacing w:line="360" w:lineRule="auto"/>
        <w:ind w:firstLine="5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5、基金：</w:t>
      </w:r>
    </w:p>
    <w:p w14:paraId="0A67204E">
      <w:pPr>
        <w:pStyle w:val="95"/>
        <w:spacing w:line="360" w:lineRule="auto"/>
        <w:ind w:firstLine="5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1）提供基金资讯、研报、行情、公告、基金检索等基础功能以及基金分析工具（板块风向、股基联动、指数跟踪、持仓追踪、持债追踪），必须同时具有基金公司动态，基金经理图谱及动态，基金观点，基金经理市场动态，基金相似度索引，基金全景诊断，基金审核发行报表，持仓追踪等常用功能；</w:t>
      </w:r>
    </w:p>
    <w:p w14:paraId="6410FE81">
      <w:pPr>
        <w:pStyle w:val="95"/>
        <w:spacing w:line="360" w:lineRule="auto"/>
        <w:ind w:firstLine="5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（2）提供ETF基金综合分析功能，功能应包含基金行情不少于</w:t>
      </w:r>
      <w:r>
        <w:rPr>
          <w:rFonts w:hint="eastAsia" w:ascii="仿宋" w:hAnsi="仿宋" w:eastAsia="仿宋" w:cs="仿宋"/>
          <w:color w:val="auto"/>
          <w:sz w:val="21"/>
          <w:szCs w:val="21"/>
          <w:highlight w:val="none"/>
          <w:lang w:val="en-US" w:eastAsia="zh-CN"/>
        </w:rPr>
        <w:t>300</w:t>
      </w:r>
      <w:r>
        <w:rPr>
          <w:rFonts w:hint="eastAsia" w:ascii="仿宋" w:hAnsi="仿宋" w:eastAsia="仿宋" w:cs="仿宋"/>
          <w:color w:val="auto"/>
          <w:sz w:val="21"/>
          <w:szCs w:val="21"/>
          <w:highlight w:val="none"/>
        </w:rPr>
        <w:t>个，基金净值不少于</w:t>
      </w:r>
      <w:r>
        <w:rPr>
          <w:rFonts w:hint="eastAsia" w:ascii="仿宋" w:hAnsi="仿宋" w:eastAsia="仿宋" w:cs="仿宋"/>
          <w:color w:val="auto"/>
          <w:sz w:val="21"/>
          <w:szCs w:val="21"/>
          <w:highlight w:val="none"/>
          <w:lang w:val="en-US" w:eastAsia="zh-CN"/>
        </w:rPr>
        <w:t>300</w:t>
      </w:r>
      <w:r>
        <w:rPr>
          <w:rFonts w:hint="eastAsia" w:ascii="仿宋" w:hAnsi="仿宋" w:eastAsia="仿宋" w:cs="仿宋"/>
          <w:color w:val="auto"/>
          <w:sz w:val="21"/>
          <w:szCs w:val="21"/>
          <w:highlight w:val="none"/>
        </w:rPr>
        <w:t>个，标的跟踪分析不少于</w:t>
      </w:r>
      <w:r>
        <w:rPr>
          <w:rFonts w:hint="eastAsia" w:ascii="仿宋" w:hAnsi="仿宋" w:eastAsia="仿宋" w:cs="仿宋"/>
          <w:color w:val="auto"/>
          <w:sz w:val="21"/>
          <w:szCs w:val="21"/>
          <w:highlight w:val="none"/>
          <w:lang w:val="en-US" w:eastAsia="zh-CN"/>
        </w:rPr>
        <w:t>2000</w:t>
      </w:r>
      <w:r>
        <w:rPr>
          <w:rFonts w:hint="eastAsia" w:ascii="仿宋" w:hAnsi="仿宋" w:eastAsia="仿宋" w:cs="仿宋"/>
          <w:color w:val="auto"/>
          <w:sz w:val="21"/>
          <w:szCs w:val="21"/>
          <w:highlight w:val="none"/>
        </w:rPr>
        <w:t>个。</w:t>
      </w:r>
    </w:p>
    <w:p w14:paraId="42C48FB7">
      <w:pPr>
        <w:pStyle w:val="95"/>
        <w:spacing w:line="360" w:lineRule="auto"/>
        <w:ind w:firstLine="5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（3）提供ETF基金成份股信息、套利分析、申购与赎回清单、份额与资产净值分析；其中成分股信息需展示基金公告与基金新闻；其中申购与赎回清单支持一键导出PDF与Excel文本。</w:t>
      </w:r>
    </w:p>
    <w:p w14:paraId="63ADB4BD">
      <w:pPr>
        <w:pStyle w:val="95"/>
        <w:spacing w:line="360" w:lineRule="auto"/>
        <w:ind w:firstLine="56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（4）提供基金全景诊断、基金经理图谱、组合管理、定投计算、业绩表现、排行榜、仓位估算、等功能；其中全景诊断应包含综合诊断、业绩</w:t>
      </w:r>
      <w:r>
        <w:rPr>
          <w:rFonts w:hint="eastAsia" w:ascii="仿宋" w:hAnsi="仿宋" w:eastAsia="仿宋" w:cs="仿宋"/>
          <w:color w:val="auto"/>
          <w:sz w:val="21"/>
          <w:szCs w:val="21"/>
          <w:highlight w:val="none"/>
          <w:lang w:val="en-US" w:eastAsia="zh-CN"/>
        </w:rPr>
        <w:t>能力</w:t>
      </w:r>
      <w:r>
        <w:rPr>
          <w:rFonts w:hint="eastAsia" w:ascii="仿宋" w:hAnsi="仿宋" w:eastAsia="仿宋" w:cs="仿宋"/>
          <w:color w:val="auto"/>
          <w:sz w:val="21"/>
          <w:szCs w:val="21"/>
          <w:highlight w:val="none"/>
        </w:rPr>
        <w:t>、基本面诊断、基金基金诊断、基金公司诊断；其中基金经理图谱应用AI、特色数据、虚拟人等创新型可视化形式，形成基金经理图谱</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包含个人履历、业绩表现、合适管理规模、投资逻辑词云、支持F9深度资料</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F9深度资料包含基本信息、业绩表现、绩效分析、历任产品、持仓分析、市场展望、经理调研。</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需提供演示</w:t>
      </w:r>
      <w:r>
        <w:rPr>
          <w:rFonts w:hint="eastAsia" w:ascii="仿宋" w:hAnsi="仿宋" w:eastAsia="仿宋" w:cs="仿宋"/>
          <w:b/>
          <w:bCs/>
          <w:color w:val="auto"/>
          <w:sz w:val="21"/>
          <w:szCs w:val="21"/>
          <w:highlight w:val="none"/>
          <w:lang w:eastAsia="zh-CN"/>
        </w:rPr>
        <w:t>）</w:t>
      </w:r>
    </w:p>
    <w:p w14:paraId="3C2B98F2">
      <w:pPr>
        <w:pStyle w:val="95"/>
        <w:numPr>
          <w:ilvl w:val="0"/>
          <w:numId w:val="1"/>
        </w:numPr>
        <w:spacing w:line="360" w:lineRule="auto"/>
        <w:ind w:firstLine="5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理财：</w:t>
      </w:r>
    </w:p>
    <w:p w14:paraId="523FAE37">
      <w:pPr>
        <w:pStyle w:val="95"/>
        <w:numPr>
          <w:ilvl w:val="0"/>
          <w:numId w:val="2"/>
        </w:num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具有阳光私募，券商资管，银行理财，信托产品，保险产品，养老年金产品，及其他理财产品的检索，行情，深度资料，比较，报表等功能，必须同时具有金融机构专题功能；</w:t>
      </w:r>
    </w:p>
    <w:p w14:paraId="3C7CA6E8">
      <w:pPr>
        <w:pStyle w:val="95"/>
        <w:numPr>
          <w:ilvl w:val="0"/>
          <w:numId w:val="2"/>
        </w:num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管理费率、托管费率、最高申购费率、追加认购最低金额、实际发行规模、报告期（单季度）总赎回（总申购）份额、复权（累计）单位净值、复权（累计）单位净值增长（率）、Alpha、Beta、Sharpe、Treynor、Jensen、Sortino等基本资料、产品份额、净值指标、绩效评估、投资组合券商数据指标。</w:t>
      </w:r>
    </w:p>
    <w:p w14:paraId="1DE3D85A">
      <w:pPr>
        <w:pStyle w:val="95"/>
        <w:numPr>
          <w:ilvl w:val="0"/>
          <w:numId w:val="1"/>
        </w:numPr>
        <w:spacing w:line="360" w:lineRule="auto"/>
        <w:ind w:left="0"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指数：</w:t>
      </w:r>
    </w:p>
    <w:p w14:paraId="38B8B650">
      <w:pPr>
        <w:pStyle w:val="95"/>
        <w:numPr>
          <w:ilvl w:val="0"/>
          <w:numId w:val="0"/>
        </w:num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提供指数行情、指数分析、数据浏览器、指数检索等，必须同时具有指数社区、指数定投工具等功能；</w:t>
      </w:r>
    </w:p>
    <w:p w14:paraId="0C42C8D6">
      <w:pPr>
        <w:pStyle w:val="95"/>
        <w:numPr>
          <w:ilvl w:val="0"/>
          <w:numId w:val="0"/>
        </w:num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提供指数基期（基点）、OBV能量潮、DMA平均线差、MTM动力指标、BOLL布林线、Beta值、Alpha、Sharpe、Treynor、Jensen等基本资料、股本指标、行情指标、技术形态、技术指标、融资融券指标、资金流动指标、财务指标、财务数据、盈利预测、估值指标、风险指标、分红指标指数数据。</w:t>
      </w:r>
    </w:p>
    <w:p w14:paraId="3AAE4615">
      <w:pPr>
        <w:pStyle w:val="95"/>
        <w:numPr>
          <w:ilvl w:val="0"/>
          <w:numId w:val="0"/>
        </w:num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）提供上证指数、深证指数、中信标普指数、全球行情、申万指数、中证指数、中信指数、国证指数、富时指数、基金债券指数等市场行情数据。</w:t>
      </w:r>
    </w:p>
    <w:p w14:paraId="63EA67EF">
      <w:pPr>
        <w:pStyle w:val="95"/>
        <w:spacing w:line="360" w:lineRule="auto"/>
        <w:ind w:firstLine="5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外汇模块：</w:t>
      </w:r>
    </w:p>
    <w:p w14:paraId="455D131D">
      <w:pPr>
        <w:pStyle w:val="95"/>
        <w:spacing w:line="360" w:lineRule="auto"/>
        <w:ind w:firstLine="5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（1）提供外汇综合屏、在案人民币、离岸人民币、交叉汇率、外汇牌价、人民币外汇远掉等行情数据与功能。</w:t>
      </w:r>
    </w:p>
    <w:p w14:paraId="72AAAF6B">
      <w:pPr>
        <w:pStyle w:val="95"/>
        <w:spacing w:line="360" w:lineRule="auto"/>
        <w:ind w:firstLine="5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（2）提供外汇会员统计、外汇</w:t>
      </w:r>
      <w:r>
        <w:rPr>
          <w:rFonts w:hint="eastAsia" w:ascii="仿宋" w:hAnsi="仿宋" w:eastAsia="仿宋" w:cs="仿宋"/>
          <w:color w:val="auto"/>
          <w:sz w:val="21"/>
          <w:szCs w:val="21"/>
          <w:highlight w:val="none"/>
          <w:lang w:val="en-US" w:eastAsia="zh-CN"/>
        </w:rPr>
        <w:t>行情</w:t>
      </w:r>
      <w:r>
        <w:rPr>
          <w:rFonts w:hint="eastAsia" w:ascii="仿宋" w:hAnsi="仿宋" w:eastAsia="仿宋" w:cs="仿宋"/>
          <w:color w:val="auto"/>
          <w:sz w:val="21"/>
          <w:szCs w:val="21"/>
          <w:highlight w:val="none"/>
        </w:rPr>
        <w:t>统计；其中外汇会员统计包含人民币外汇做市商、人民币外汇尝试做市机构、人民币外汇会员、外币对会员、外币拆借会员数据。</w:t>
      </w:r>
    </w:p>
    <w:p w14:paraId="7FE9F273">
      <w:pPr>
        <w:pStyle w:val="95"/>
        <w:spacing w:line="360" w:lineRule="auto"/>
        <w:ind w:firstLine="5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（3）提供外汇计算器。</w:t>
      </w:r>
    </w:p>
    <w:p w14:paraId="3410D4E7">
      <w:pPr>
        <w:pStyle w:val="95"/>
        <w:spacing w:line="360" w:lineRule="auto"/>
        <w:ind w:firstLine="5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rPr>
        <w:t>、宏观EDB：</w:t>
      </w:r>
    </w:p>
    <w:p w14:paraId="4E8984F6">
      <w:pPr>
        <w:pStyle w:val="95"/>
        <w:spacing w:line="360" w:lineRule="auto"/>
        <w:ind w:firstLine="5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提供世界经济，全球、中国、区域宏观数据，行业经济数据等，必须同时具备全球重要宏观经济数据追踪，宏观产业链图谱，宏观政策分析，数据看板，自建数据库，中国土地市场数据，模板中心，作图功能，投研框架，利用NPL技术生成产业链等功能。</w:t>
      </w:r>
    </w:p>
    <w:p w14:paraId="010079CB">
      <w:pPr>
        <w:pStyle w:val="95"/>
        <w:spacing w:line="360" w:lineRule="auto"/>
        <w:ind w:firstLine="5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提供全球综合数据、美国、日本、欧盟、德国、法国、英国、意大利、西班牙、葡萄牙、爱尔兰、希腊、土耳其、俄罗斯、印度、巴西、南非、澳大利亚、墨西哥、加拿大、韩国、中国香港、中国台湾、中国澳门、新加坡、泰国、印度尼西亚、马来西亚、菲律宾、越南、缅甸、文莱、柬埔寨、老挝、巴基斯坦、孟加拉国、蒙古、瑞士、荷兰、捷克、波兰、奥地利、黎巴嫩、埃及、沙特阿拉伯、阿联酋、新西兰、智利等国家和地区的宏观经济数据。</w:t>
      </w:r>
    </w:p>
    <w:p w14:paraId="764F4421">
      <w:pPr>
        <w:pStyle w:val="95"/>
        <w:spacing w:line="360" w:lineRule="auto"/>
        <w:ind w:firstLine="5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（3）提供世界经济总览（WEO）、国际金融统计（IFS）、人口国土与就业、进出口贸易和国际收支、证券市场、汇率、利率、金融、景气调查、保险、能源、投资、科教体卫等。</w:t>
      </w:r>
    </w:p>
    <w:p w14:paraId="681C7112">
      <w:pPr>
        <w:pStyle w:val="95"/>
        <w:spacing w:line="360" w:lineRule="auto"/>
        <w:ind w:firstLine="5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（4）提供国内和地区的生产总值、对外贸易、价格指数、就业与工资、利率、汇率、金融、证券市场、景气调查、投资、财政、工业、房地产、国内贸易、国际收支、个人收入和支出、人口等。</w:t>
      </w:r>
    </w:p>
    <w:p w14:paraId="0C98E081">
      <w:pPr>
        <w:pStyle w:val="95"/>
        <w:spacing w:line="360" w:lineRule="auto"/>
        <w:ind w:firstLine="5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提供国民经济核算、景气指数、价格指数、财政、投资、工业、农业、建筑业、金融、汇率和利率、能源、国内贸易、对外经济、国际收支、交通邮电、人口、人民生活、就业薪酬、旅游、科教体卫、资源环境、综合、宏观分省、宏观分市、宏观预测等数据分类项。</w:t>
      </w:r>
    </w:p>
    <w:p w14:paraId="49131F7D">
      <w:pPr>
        <w:pStyle w:val="95"/>
        <w:spacing w:line="360" w:lineRule="auto"/>
        <w:ind w:firstLine="5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提供北京、天津、河北、山西、内蒙古、辽宁、吉林、黑龙江、上海、江苏、浙江、安徽、福建、江西、山东、河南、湖北、湖南、广东、广西、海南、重庆、四川、贵州、云南、西藏、陕西、甘肃、青海、宁夏、新疆、城市统计数据等区域经济数据；应提供每个区域的地区生产总值（GDP）、景气调查、价格指数、财政、投资、房地产、工业、农业、建筑业、国内贸易、交通邮电、科教文卫、人民生活、旅游、第三产业等数据。</w:t>
      </w:r>
    </w:p>
    <w:p w14:paraId="099CF468">
      <w:pPr>
        <w:pStyle w:val="95"/>
        <w:spacing w:line="360" w:lineRule="auto"/>
        <w:ind w:firstLine="56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（7）</w:t>
      </w:r>
      <w:r>
        <w:rPr>
          <w:rFonts w:hint="eastAsia" w:ascii="仿宋" w:hAnsi="仿宋" w:eastAsia="仿宋" w:cs="仿宋"/>
          <w:color w:val="auto"/>
          <w:sz w:val="21"/>
          <w:szCs w:val="21"/>
          <w:highlight w:val="none"/>
          <w:lang w:val="en-US" w:eastAsia="zh-CN"/>
        </w:rPr>
        <w:t>提供产业链数据，包含产业智绘和产业链中心。其中产业智绘可接入问财模型，输入产业链名称或公司名称，生成相关产业链图谱。</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需提供演示</w:t>
      </w:r>
      <w:r>
        <w:rPr>
          <w:rFonts w:hint="eastAsia" w:ascii="仿宋" w:hAnsi="仿宋" w:eastAsia="仿宋" w:cs="仿宋"/>
          <w:b/>
          <w:bCs/>
          <w:color w:val="auto"/>
          <w:sz w:val="21"/>
          <w:szCs w:val="21"/>
          <w:highlight w:val="none"/>
          <w:lang w:eastAsia="zh-CN"/>
        </w:rPr>
        <w:t>）</w:t>
      </w:r>
    </w:p>
    <w:p w14:paraId="06A86371">
      <w:pPr>
        <w:pStyle w:val="95"/>
        <w:spacing w:line="360" w:lineRule="auto"/>
        <w:ind w:firstLine="5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提供农林牧副渔、工业、建筑业、交通运输、仓储、邮政业、信息技术服务业、批发零售贸易业、住宿和餐饮业、房地产业、社会服务业、传播与文化业、全国国有企业等行业分类进行盈利能力状况、资产质量状况、债务风险状况、经营增长状况补充材料维度评价。</w:t>
      </w:r>
    </w:p>
    <w:p w14:paraId="0D55B985">
      <w:pPr>
        <w:pStyle w:val="95"/>
        <w:spacing w:line="360" w:lineRule="auto"/>
        <w:ind w:firstLine="5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（9）提供公司详情、土地数据、楼盘数据、房产排行、房产资讯、基准地价、行业运营等房地产数据。</w:t>
      </w:r>
    </w:p>
    <w:p w14:paraId="6BC674E9">
      <w:pPr>
        <w:pStyle w:val="95"/>
        <w:spacing w:line="360" w:lineRule="auto"/>
        <w:ind w:firstLine="5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（10）提供花木报价数据,包含主分类、子分类、产品名称、供应商、省份、城市等筛选选项，提供不少于1200万条数据。</w:t>
      </w:r>
    </w:p>
    <w:p w14:paraId="224D2DC6">
      <w:pPr>
        <w:pStyle w:val="95"/>
        <w:spacing w:line="360" w:lineRule="auto"/>
        <w:ind w:firstLine="5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（11）提供空气质量指数数据,包含省市、监测点、时间点等筛选选项，提供AQI分时图，应提供不少于6万条数据。</w:t>
      </w:r>
    </w:p>
    <w:p w14:paraId="74AF8EC6">
      <w:pPr>
        <w:pStyle w:val="95"/>
        <w:spacing w:line="360" w:lineRule="auto"/>
        <w:ind w:firstLine="5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（12）提供发改委项目审批数据，包含发布日期、省份、城市、区县等筛选选项，应提供不少于6000条数据。</w:t>
      </w:r>
    </w:p>
    <w:p w14:paraId="6BD10DFD">
      <w:pPr>
        <w:pStyle w:val="95"/>
        <w:spacing w:line="360" w:lineRule="auto"/>
        <w:ind w:firstLine="5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提供GDP、CPI、PPI、社会消费品零售、工业增加值、出口、进口、贸易顺差、固定资产投资、M2、人民币贷款、美元/人民币等中国宏观预测月度预测和年度预测，应提供每项预测值能查看预测机构、预测者、预测值、预测时间明细。</w:t>
      </w:r>
    </w:p>
    <w:p w14:paraId="26400797">
      <w:pPr>
        <w:pStyle w:val="95"/>
        <w:spacing w:line="360" w:lineRule="auto"/>
        <w:ind w:firstLine="560"/>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rPr>
        <w:t>（14）</w:t>
      </w:r>
      <w:r>
        <w:rPr>
          <w:rFonts w:hint="eastAsia" w:ascii="仿宋" w:hAnsi="仿宋" w:eastAsia="仿宋" w:cs="仿宋"/>
          <w:color w:val="auto"/>
          <w:sz w:val="21"/>
          <w:szCs w:val="21"/>
          <w:highlight w:val="none"/>
          <w:lang w:val="en-US" w:eastAsia="zh-CN"/>
        </w:rPr>
        <w:t>提供特色数据，特色数据包含马上赢、四象爱数、御象、上海金属网、中国水泥网、诸葛启航等。</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需提供演示</w:t>
      </w:r>
      <w:r>
        <w:rPr>
          <w:rFonts w:hint="eastAsia" w:ascii="仿宋" w:hAnsi="仿宋" w:eastAsia="仿宋" w:cs="仿宋"/>
          <w:b/>
          <w:bCs/>
          <w:color w:val="auto"/>
          <w:sz w:val="21"/>
          <w:szCs w:val="21"/>
          <w:highlight w:val="none"/>
          <w:lang w:eastAsia="zh-CN"/>
        </w:rPr>
        <w:t>）</w:t>
      </w:r>
    </w:p>
    <w:p w14:paraId="446F024E">
      <w:pPr>
        <w:pStyle w:val="95"/>
        <w:spacing w:line="360" w:lineRule="auto"/>
        <w:ind w:firstLine="5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（15）提供市场内的省、市的招标数据，提供不少于2万条数据。</w:t>
      </w:r>
    </w:p>
    <w:p w14:paraId="69F28E7B">
      <w:pPr>
        <w:pStyle w:val="95"/>
        <w:spacing w:line="360" w:lineRule="auto"/>
        <w:ind w:firstLine="5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（16）提供棉花产区气象数据，包含省份、年份、月份、旬等筛选选项，应提供省级、县站不少于1.2万条数据。</w:t>
      </w:r>
    </w:p>
    <w:p w14:paraId="416C1216">
      <w:pPr>
        <w:pStyle w:val="95"/>
        <w:spacing w:line="360" w:lineRule="auto"/>
        <w:ind w:firstLine="5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（17）提供二手房报价数据，包含时间、城市、区县、小区名称、房屋类型、挂牌均价、开发商、物业费、物业公司、小区地址等信息，提供不少于900条数据。</w:t>
      </w:r>
    </w:p>
    <w:p w14:paraId="128D9112">
      <w:pPr>
        <w:pStyle w:val="95"/>
        <w:spacing w:line="360" w:lineRule="auto"/>
        <w:ind w:firstLine="5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（18）提供中国、欧元区、法国、日本、马来西亚、澳门、韩国、澳大利亚、泰国、加拿大、美国、俄罗斯、台湾、英国、土耳其等国家和地区的重大经济事件。</w:t>
      </w:r>
    </w:p>
    <w:p w14:paraId="7BF27D7D">
      <w:pPr>
        <w:pStyle w:val="95"/>
        <w:spacing w:line="360" w:lineRule="auto"/>
        <w:ind w:firstLine="5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、投研：</w:t>
      </w:r>
    </w:p>
    <w:p w14:paraId="4B3A6F12">
      <w:pPr>
        <w:pStyle w:val="95"/>
        <w:spacing w:line="360" w:lineRule="auto"/>
        <w:ind w:firstLine="5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（1）提供宏观预测功能，必须包含：智能宏观预测。其中有中国美国欧洲经济概况、有Nowcasting预测模型计算的CPI预测图、PPI预测图、中国宏观经济跟踪指数、中国超储率预测。</w:t>
      </w:r>
    </w:p>
    <w:p w14:paraId="79654139">
      <w:pPr>
        <w:pStyle w:val="95"/>
        <w:spacing w:line="360" w:lineRule="auto"/>
        <w:ind w:firstLine="5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提供行业预测功能，必须包括：行业全视角、景气度跟踪、拥挤度跟踪、资金面跟踪、复合景气图。其中行业全视角包括景气度视角、拥挤度视角、资金面视角，包括根据申万一级二级三级区分指标有景气度代理指标、拥挤度总分、散户资金净买入额等数据与排名。其中复合景气图包括四个维度低景气高拥挤、低景气低拥挤、高景气高拥挤、高景气低拥挤。</w:t>
      </w:r>
    </w:p>
    <w:p w14:paraId="7C41B14E">
      <w:pPr>
        <w:pStyle w:val="95"/>
        <w:spacing w:line="360" w:lineRule="auto"/>
        <w:ind w:firstLine="5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提供概念预测功能，必须包括：景气度策略跟踪、拥挤度跟踪、资金面跟踪。其中景气度策略包括高景气策略、景气高分位策略、高景气变化策略、高景气增强策略、景气高分位增强策略、景气-拥挤复合策略。</w:t>
      </w:r>
    </w:p>
    <w:p w14:paraId="4B1B44A9">
      <w:pPr>
        <w:pStyle w:val="95"/>
        <w:spacing w:line="360" w:lineRule="auto"/>
        <w:ind w:firstLine="5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（4）提供事件驱动功能。必须包括：热门榜单、事件快讯、货币政策、国内政策会议、涨价题材、公司挖掘、概念挖掘、关键词分析</w:t>
      </w:r>
      <w:r>
        <w:rPr>
          <w:rFonts w:hint="eastAsia" w:ascii="仿宋" w:hAnsi="仿宋" w:eastAsia="仿宋" w:cs="仿宋"/>
          <w:color w:val="auto"/>
          <w:sz w:val="21"/>
          <w:szCs w:val="21"/>
          <w:highlight w:val="none"/>
        </w:rPr>
        <w:t>。</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需提供演示</w:t>
      </w:r>
      <w:r>
        <w:rPr>
          <w:rFonts w:hint="eastAsia" w:ascii="仿宋" w:hAnsi="仿宋" w:eastAsia="仿宋" w:cs="仿宋"/>
          <w:b/>
          <w:bCs/>
          <w:color w:val="auto"/>
          <w:sz w:val="21"/>
          <w:szCs w:val="21"/>
          <w:highlight w:val="none"/>
          <w:lang w:eastAsia="zh-CN"/>
        </w:rPr>
        <w:t>）</w:t>
      </w:r>
    </w:p>
    <w:p w14:paraId="33467C98">
      <w:pPr>
        <w:pStyle w:val="95"/>
        <w:spacing w:line="360" w:lineRule="auto"/>
        <w:ind w:firstLine="5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（5）提供产业链中心功能，必须包括：提供超过100个的产业链图谱数据。其中产业链图谱各个节点支持关键词异动新闻指数、相关资讯、智能研报查看，支持产业链动态推演功能，并支持动态推演图导出。</w:t>
      </w:r>
    </w:p>
    <w:p w14:paraId="32B194B9">
      <w:pPr>
        <w:pStyle w:val="95"/>
        <w:spacing w:line="360" w:lineRule="auto"/>
        <w:ind w:firstLine="5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、资讯：</w:t>
      </w:r>
    </w:p>
    <w:p w14:paraId="0B7A6318">
      <w:pPr>
        <w:pStyle w:val="95"/>
        <w:spacing w:line="360" w:lineRule="auto"/>
        <w:ind w:firstLine="5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提供公司公告、研究报告、法律法规、政府政策信息以及市场财经新闻、股市日报，公众号信息等；必须同时具有AI解读资讯功能，专为固收与信用风险控制领域用户打造的固收资讯平台，以及各个市场公告满足解析及翻译功能；</w:t>
      </w:r>
    </w:p>
    <w:p w14:paraId="70225967">
      <w:pPr>
        <w:pStyle w:val="95"/>
        <w:spacing w:line="360" w:lineRule="auto"/>
        <w:ind w:firstLine="5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提供几百家研究机构的研究报告，包含机构晨报、宏观研究、策略研究、行业研究、公司研究、评级统计、估值统计、基金市场、债券市场、期货市场、港股市场、海外市场、英文报告、最佳分析师榜单、外汇研究、理财市场等二十个门类以上的研究报告。支持日更新投研报告达1000篇幅以上，是国内最大的投研报告平台。支持关键字检索、全文检索、研报订阅和研报收藏等功能。</w:t>
      </w:r>
    </w:p>
    <w:p w14:paraId="4ED3CCB3">
      <w:pPr>
        <w:pStyle w:val="95"/>
        <w:spacing w:line="360" w:lineRule="auto"/>
        <w:ind w:firstLine="5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（3）提供发改委、国资委、央行、财政部、商务部、工信部、住建部、国务院等几十个部委及财经主管单位的法律法规数据。</w:t>
      </w:r>
    </w:p>
    <w:p w14:paraId="515E9404">
      <w:pPr>
        <w:pStyle w:val="95"/>
        <w:spacing w:line="360" w:lineRule="auto"/>
        <w:ind w:firstLine="5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（4）提供中国人名银行、环保局、银保监会、保监会、银监会、证监会、基金业协会等机构的处罚信息。</w:t>
      </w:r>
    </w:p>
    <w:p w14:paraId="4E9CDF5F">
      <w:pPr>
        <w:pStyle w:val="95"/>
        <w:spacing w:line="360" w:lineRule="auto"/>
        <w:ind w:firstLine="56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提供政府政策信息数据，提供显示不少于450万条数据。包含全国人大、法院、检察院、国务院、国务院直属部门、党中央、党中央所属机构、中央军事委员会、中国人民解放军总部、各军区、警备局区、中国人民武装警察部、军事法院、军事检察院、全国各省、市级地方政府单位发布的公开政策数据。</w:t>
      </w:r>
    </w:p>
    <w:p w14:paraId="733AB802">
      <w:pPr>
        <w:pStyle w:val="95"/>
        <w:spacing w:line="360" w:lineRule="auto"/>
        <w:ind w:firstLine="56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提供银行授信报告模板、包括企业信贷调查报告，支持企业经营情况，一键查询等。</w:t>
      </w:r>
    </w:p>
    <w:p w14:paraId="0AF16664">
      <w:pPr>
        <w:pStyle w:val="95"/>
        <w:spacing w:line="360" w:lineRule="auto"/>
        <w:ind w:left="0"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工具：</w:t>
      </w:r>
    </w:p>
    <w:p w14:paraId="07077450">
      <w:pPr>
        <w:pStyle w:val="95"/>
        <w:spacing w:line="360" w:lineRule="auto"/>
        <w:ind w:left="0"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应提供API数据接口免费版权限，包括Matlab、C++、R、VBA、Python、C#、JAVA等、帮助文档。</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需提供演示</w:t>
      </w:r>
      <w:r>
        <w:rPr>
          <w:rFonts w:hint="eastAsia" w:ascii="仿宋" w:hAnsi="仿宋" w:eastAsia="仿宋" w:cs="仿宋"/>
          <w:b/>
          <w:bCs/>
          <w:color w:val="auto"/>
          <w:sz w:val="21"/>
          <w:szCs w:val="21"/>
          <w:highlight w:val="none"/>
          <w:lang w:eastAsia="zh-CN"/>
        </w:rPr>
        <w:t>）</w:t>
      </w:r>
    </w:p>
    <w:p w14:paraId="4740BC6A">
      <w:pPr>
        <w:pStyle w:val="95"/>
        <w:spacing w:line="360" w:lineRule="auto"/>
        <w:ind w:left="418" w:leftChars="174"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13、AI功能</w:t>
      </w:r>
    </w:p>
    <w:p w14:paraId="2029E921">
      <w:pPr>
        <w:pStyle w:val="95"/>
        <w:numPr>
          <w:ilvl w:val="-1"/>
          <w:numId w:val="0"/>
        </w:numPr>
        <w:spacing w:line="360" w:lineRule="auto"/>
        <w:ind w:left="0"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金融数据终端相关的Ai技术应用功能所调用的大模型，应为供应商或者其集团所属公司自研。（若该功能为供应商集团所属公司自研，需提供相关证明材料并放入投标文件，格式自拟并加盖双方公章，如股权关系等。）</w:t>
      </w:r>
    </w:p>
    <w:p w14:paraId="06B1DFEB">
      <w:pPr>
        <w:pStyle w:val="95"/>
        <w:numPr>
          <w:ilvl w:val="-1"/>
          <w:numId w:val="0"/>
        </w:numPr>
        <w:spacing w:line="360" w:lineRule="auto"/>
        <w:ind w:left="0" w:leftChars="0"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提供支持多种语言的基础AI功能，能够对话并理解并回答各种问题，提供准确、及时的金融信息，包括不限于：AI看板、AI纪要、AI智读；提供AI写作功能，根据使用者需求，智能生成研报框架和结构，自动完成数据分析和图表制作等。</w:t>
      </w:r>
    </w:p>
    <w:p w14:paraId="0508E987">
      <w:pPr>
        <w:pStyle w:val="95"/>
        <w:spacing w:line="360" w:lineRule="auto"/>
        <w:ind w:left="0" w:leftChars="0" w:firstLine="422"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b/>
          <w:color w:val="auto"/>
          <w:sz w:val="21"/>
          <w:szCs w:val="21"/>
          <w:highlight w:val="none"/>
        </w:rPr>
        <w:t>▲</w:t>
      </w:r>
      <w:r>
        <w:rPr>
          <w:rFonts w:hint="eastAsia" w:ascii="仿宋" w:hAnsi="仿宋" w:eastAsia="仿宋" w:cs="仿宋"/>
          <w:color w:val="auto"/>
          <w:sz w:val="21"/>
          <w:szCs w:val="21"/>
          <w:highlight w:val="none"/>
          <w:lang w:val="en-US" w:eastAsia="zh-CN"/>
        </w:rPr>
        <w:t>14、其他：</w:t>
      </w:r>
    </w:p>
    <w:p w14:paraId="7F182C6E">
      <w:pPr>
        <w:pStyle w:val="95"/>
        <w:numPr>
          <w:ilvl w:val="0"/>
          <w:numId w:val="0"/>
        </w:numPr>
        <w:spacing w:line="360" w:lineRule="auto"/>
        <w:ind w:left="0" w:leftChars="0" w:firstLine="420" w:firstLineChars="20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（1）金融数据终端数据总量及范围：历史行情证券上市至今；实时行情不限制等等，终端金融数据量不少于1.5TB。</w:t>
      </w:r>
    </w:p>
    <w:p w14:paraId="6B5B434A">
      <w:pPr>
        <w:pStyle w:val="95"/>
        <w:numPr>
          <w:ilvl w:val="0"/>
          <w:numId w:val="0"/>
        </w:numPr>
        <w:spacing w:line="360" w:lineRule="auto"/>
        <w:ind w:left="0"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bidi="ar-SA"/>
        </w:rPr>
        <w:t>（2）</w:t>
      </w:r>
      <w:r>
        <w:rPr>
          <w:rFonts w:hint="eastAsia" w:ascii="仿宋" w:hAnsi="仿宋" w:eastAsia="仿宋" w:cs="仿宋"/>
          <w:color w:val="auto"/>
          <w:sz w:val="21"/>
          <w:szCs w:val="21"/>
          <w:highlight w:val="none"/>
          <w:lang w:val="en-US" w:eastAsia="zh-CN"/>
        </w:rPr>
        <w:t>服务期限内，</w:t>
      </w:r>
      <w:r>
        <w:rPr>
          <w:rFonts w:hint="eastAsia" w:ascii="仿宋" w:hAnsi="仿宋" w:eastAsia="仿宋" w:cs="仿宋"/>
          <w:color w:val="auto"/>
          <w:sz w:val="21"/>
          <w:szCs w:val="21"/>
          <w:highlight w:val="none"/>
        </w:rPr>
        <w:t>供应商所提供的数据库终端应具备多用户同时在线且稳定运行能力</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不少于100人同时在线</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浙江万里学院范围内不限IP登录，校外通过VPN登录正常访问。</w:t>
      </w:r>
    </w:p>
    <w:p w14:paraId="148F4008">
      <w:pPr>
        <w:pStyle w:val="95"/>
        <w:spacing w:line="360" w:lineRule="auto"/>
        <w:ind w:firstLine="560"/>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（3）服务期限内，供应商需配合采购人实际需求，提供不限IP地址登录的临时账号供采购人灵活使用，账号使用时长不少于1个月/次。</w:t>
      </w:r>
    </w:p>
    <w:p w14:paraId="5D5A952A">
      <w:pPr>
        <w:pStyle w:val="95"/>
        <w:numPr>
          <w:ilvl w:val="-1"/>
          <w:numId w:val="0"/>
        </w:numPr>
        <w:spacing w:line="360" w:lineRule="auto"/>
        <w:ind w:left="480" w:leftChars="20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15、提供的服务：</w:t>
      </w:r>
    </w:p>
    <w:p w14:paraId="4C2863CB">
      <w:pPr>
        <w:pStyle w:val="95"/>
        <w:numPr>
          <w:ilvl w:val="0"/>
          <w:numId w:val="0"/>
        </w:num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以数据库为基础，</w:t>
      </w:r>
      <w:r>
        <w:rPr>
          <w:rFonts w:hint="eastAsia" w:ascii="仿宋" w:hAnsi="仿宋" w:eastAsia="仿宋" w:cs="仿宋"/>
          <w:color w:val="auto"/>
          <w:sz w:val="21"/>
          <w:szCs w:val="21"/>
          <w:highlight w:val="none"/>
        </w:rPr>
        <w:t>联合</w:t>
      </w:r>
      <w:r>
        <w:rPr>
          <w:rFonts w:hint="eastAsia" w:ascii="仿宋" w:hAnsi="仿宋" w:eastAsia="仿宋" w:cs="仿宋"/>
          <w:color w:val="auto"/>
          <w:sz w:val="21"/>
          <w:szCs w:val="21"/>
          <w:highlight w:val="none"/>
          <w:lang w:val="en-US" w:eastAsia="zh-CN"/>
        </w:rPr>
        <w:t>编写</w:t>
      </w:r>
      <w:r>
        <w:rPr>
          <w:rFonts w:hint="eastAsia" w:ascii="仿宋" w:hAnsi="仿宋" w:eastAsia="仿宋" w:cs="仿宋"/>
          <w:color w:val="auto"/>
          <w:sz w:val="21"/>
          <w:szCs w:val="21"/>
          <w:highlight w:val="none"/>
        </w:rPr>
        <w:t>金融大数据分析方面的省级重点特色教材。</w:t>
      </w:r>
    </w:p>
    <w:p w14:paraId="23946B70">
      <w:pPr>
        <w:pStyle w:val="95"/>
        <w:spacing w:line="360" w:lineRule="auto"/>
        <w:ind w:firstLine="56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合作期间，联合</w:t>
      </w:r>
      <w:r>
        <w:rPr>
          <w:rFonts w:hint="eastAsia" w:ascii="仿宋" w:hAnsi="仿宋" w:eastAsia="仿宋" w:cs="仿宋"/>
          <w:color w:val="auto"/>
          <w:sz w:val="21"/>
          <w:szCs w:val="21"/>
          <w:highlight w:val="none"/>
        </w:rPr>
        <w:t>申报国家级虚拟仿真实验室建设或者申报产教融合就业实习实践基地</w:t>
      </w:r>
      <w:r>
        <w:rPr>
          <w:rFonts w:hint="eastAsia" w:ascii="仿宋" w:hAnsi="仿宋" w:eastAsia="仿宋" w:cs="仿宋"/>
          <w:color w:val="auto"/>
          <w:sz w:val="21"/>
          <w:szCs w:val="21"/>
          <w:highlight w:val="none"/>
          <w:lang w:eastAsia="zh-CN"/>
        </w:rPr>
        <w:t>。</w:t>
      </w:r>
    </w:p>
    <w:p w14:paraId="0F28B04C">
      <w:pPr>
        <w:pStyle w:val="95"/>
        <w:spacing w:line="360" w:lineRule="auto"/>
        <w:ind w:firstLine="56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合作期间，每年为师生提供数据库培训服务3～5次。</w:t>
      </w:r>
    </w:p>
    <w:p w14:paraId="46315E3A">
      <w:pPr>
        <w:shd w:val="clear"/>
        <w:adjustRightInd w:val="0"/>
        <w:snapToGrid w:val="0"/>
        <w:spacing w:before="163" w:beforeLines="50" w:after="163" w:afterLines="50"/>
        <w:outlineLvl w:val="1"/>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四</w:t>
      </w:r>
      <w:r>
        <w:rPr>
          <w:rFonts w:hint="eastAsia" w:ascii="仿宋" w:hAnsi="仿宋" w:eastAsia="仿宋" w:cs="仿宋"/>
          <w:b/>
          <w:bCs/>
          <w:color w:val="auto"/>
          <w:highlight w:val="none"/>
        </w:rPr>
        <w:t>、演示：</w:t>
      </w:r>
    </w:p>
    <w:p w14:paraId="42AF15F3">
      <w:pPr>
        <w:pStyle w:val="27"/>
        <w:shd w:val="clear"/>
        <w:spacing w:line="288" w:lineRule="auto"/>
        <w:ind w:firstLine="406"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t>1、</w:t>
      </w:r>
      <w:r>
        <w:rPr>
          <w:rFonts w:hint="eastAsia" w:ascii="仿宋" w:hAnsi="仿宋" w:eastAsia="仿宋" w:cs="仿宋"/>
          <w:b/>
          <w:bCs/>
          <w:color w:val="auto"/>
          <w:sz w:val="21"/>
          <w:szCs w:val="21"/>
          <w:highlight w:val="none"/>
        </w:rPr>
        <w:t>供应商须</w:t>
      </w:r>
      <w:r>
        <w:rPr>
          <w:rFonts w:hint="eastAsia" w:ascii="仿宋" w:hAnsi="仿宋" w:eastAsia="仿宋" w:cs="仿宋"/>
          <w:b/>
          <w:bCs/>
          <w:color w:val="auto"/>
          <w:sz w:val="21"/>
          <w:szCs w:val="21"/>
          <w:highlight w:val="none"/>
          <w:lang w:val="en-US" w:eastAsia="zh-CN"/>
        </w:rPr>
        <w:t>根据第二章采购需求中三、技术要求中标明需演示的内容进行逐项演示</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bidi="ar"/>
        </w:rPr>
        <w:t>演示内容需为真人操作录制的视频，演示以PPT、非真人操作DEMO软件录制的视频、图片等视同未演示，不得分</w:t>
      </w:r>
      <w:r>
        <w:rPr>
          <w:rFonts w:hint="eastAsia" w:ascii="仿宋" w:hAnsi="仿宋" w:eastAsia="仿宋" w:cs="仿宋"/>
          <w:b/>
          <w:bCs/>
          <w:color w:val="auto"/>
          <w:sz w:val="21"/>
          <w:szCs w:val="21"/>
          <w:highlight w:val="none"/>
        </w:rPr>
        <w:t>。</w:t>
      </w:r>
    </w:p>
    <w:p w14:paraId="13EC6214">
      <w:pPr>
        <w:pStyle w:val="27"/>
        <w:shd w:val="clear"/>
        <w:spacing w:line="288" w:lineRule="auto"/>
        <w:ind w:firstLine="406" w:firstLineChars="200"/>
        <w:rPr>
          <w:rFonts w:hint="eastAsia" w:ascii="仿宋" w:hAnsi="仿宋" w:eastAsia="仿宋" w:cs="仿宋"/>
          <w:b/>
          <w:color w:val="auto"/>
          <w:sz w:val="21"/>
          <w:szCs w:val="21"/>
          <w:highlight w:val="none"/>
          <w:lang w:bidi="ar"/>
        </w:rPr>
      </w:pPr>
      <w:r>
        <w:rPr>
          <w:rFonts w:hint="eastAsia" w:ascii="仿宋" w:hAnsi="仿宋" w:eastAsia="仿宋" w:cs="仿宋"/>
          <w:b/>
          <w:color w:val="auto"/>
          <w:sz w:val="21"/>
          <w:szCs w:val="21"/>
          <w:highlight w:val="none"/>
          <w:lang w:val="en-US" w:eastAsia="zh-CN" w:bidi="ar"/>
        </w:rPr>
        <w:t>2</w:t>
      </w:r>
      <w:r>
        <w:rPr>
          <w:rFonts w:hint="eastAsia" w:ascii="仿宋" w:hAnsi="仿宋" w:eastAsia="仿宋" w:cs="仿宋"/>
          <w:b/>
          <w:color w:val="auto"/>
          <w:sz w:val="21"/>
          <w:szCs w:val="21"/>
          <w:highlight w:val="none"/>
          <w:lang w:bidi="ar"/>
        </w:rPr>
        <w:t>、演示</w:t>
      </w:r>
      <w:r>
        <w:rPr>
          <w:rFonts w:hint="eastAsia" w:ascii="仿宋" w:hAnsi="仿宋" w:eastAsia="仿宋" w:cs="仿宋"/>
          <w:b/>
          <w:color w:val="auto"/>
          <w:sz w:val="21"/>
          <w:szCs w:val="21"/>
          <w:highlight w:val="none"/>
          <w:lang w:val="en-US" w:eastAsia="zh-CN" w:bidi="ar"/>
        </w:rPr>
        <w:t>方式</w:t>
      </w:r>
    </w:p>
    <w:p w14:paraId="5825C14F">
      <w:pPr>
        <w:pStyle w:val="27"/>
        <w:shd w:val="clear"/>
        <w:spacing w:line="288" w:lineRule="auto"/>
        <w:ind w:firstLine="404" w:firstLineChars="200"/>
        <w:rPr>
          <w:rFonts w:hint="eastAsia" w:ascii="仿宋" w:hAnsi="仿宋" w:eastAsia="仿宋" w:cs="仿宋"/>
          <w:bCs/>
          <w:color w:val="auto"/>
          <w:sz w:val="21"/>
          <w:szCs w:val="21"/>
          <w:highlight w:val="none"/>
          <w:lang w:bidi="ar"/>
        </w:rPr>
      </w:pPr>
      <w:r>
        <w:rPr>
          <w:rFonts w:hint="eastAsia" w:ascii="仿宋" w:hAnsi="仿宋" w:eastAsia="仿宋" w:cs="仿宋"/>
          <w:bCs/>
          <w:color w:val="auto"/>
          <w:sz w:val="21"/>
          <w:szCs w:val="21"/>
          <w:highlight w:val="none"/>
          <w:lang w:val="en-US" w:eastAsia="zh-CN" w:bidi="ar"/>
        </w:rPr>
        <w:t>2</w:t>
      </w:r>
      <w:r>
        <w:rPr>
          <w:rFonts w:hint="eastAsia" w:ascii="仿宋" w:hAnsi="仿宋" w:eastAsia="仿宋" w:cs="仿宋"/>
          <w:bCs/>
          <w:color w:val="auto"/>
          <w:sz w:val="21"/>
          <w:szCs w:val="21"/>
          <w:highlight w:val="none"/>
          <w:lang w:bidi="ar"/>
        </w:rPr>
        <w:t>.1根据“电子交易/不见面开评标”原则，供应商需将以上演示及讲解过程录制</w:t>
      </w:r>
      <w:r>
        <w:rPr>
          <w:rFonts w:hint="eastAsia" w:ascii="仿宋" w:hAnsi="仿宋" w:eastAsia="仿宋" w:cs="仿宋"/>
          <w:bCs/>
          <w:color w:val="auto"/>
          <w:sz w:val="21"/>
          <w:szCs w:val="21"/>
          <w:highlight w:val="none"/>
          <w:lang w:val="en-US" w:eastAsia="zh-CN" w:bidi="ar"/>
        </w:rPr>
        <w:t>成</w:t>
      </w:r>
      <w:r>
        <w:rPr>
          <w:rFonts w:hint="eastAsia" w:ascii="仿宋" w:hAnsi="仿宋" w:eastAsia="仿宋" w:cs="仿宋"/>
          <w:bCs/>
          <w:color w:val="auto"/>
          <w:sz w:val="21"/>
          <w:szCs w:val="21"/>
          <w:highlight w:val="none"/>
          <w:lang w:bidi="ar"/>
        </w:rPr>
        <w:t>视频，演示时长不超过15分钟以.mp4格式存储于U盘。</w:t>
      </w:r>
    </w:p>
    <w:p w14:paraId="3D55A867">
      <w:pPr>
        <w:pStyle w:val="27"/>
        <w:shd w:val="clear"/>
        <w:spacing w:line="288" w:lineRule="auto"/>
        <w:ind w:firstLine="404" w:firstLineChars="200"/>
        <w:rPr>
          <w:rFonts w:hint="eastAsia" w:ascii="仿宋" w:hAnsi="仿宋" w:eastAsia="仿宋" w:cs="仿宋"/>
          <w:bCs/>
          <w:color w:val="auto"/>
          <w:sz w:val="21"/>
          <w:szCs w:val="21"/>
          <w:highlight w:val="none"/>
          <w:lang w:bidi="ar"/>
        </w:rPr>
      </w:pPr>
      <w:r>
        <w:rPr>
          <w:rFonts w:hint="eastAsia" w:ascii="仿宋" w:hAnsi="仿宋" w:eastAsia="仿宋" w:cs="仿宋"/>
          <w:bCs/>
          <w:color w:val="auto"/>
          <w:sz w:val="21"/>
          <w:szCs w:val="21"/>
          <w:highlight w:val="none"/>
          <w:lang w:val="en-US" w:eastAsia="zh-CN" w:bidi="ar"/>
        </w:rPr>
        <w:t>2</w:t>
      </w:r>
      <w:r>
        <w:rPr>
          <w:rFonts w:hint="eastAsia" w:ascii="仿宋" w:hAnsi="仿宋" w:eastAsia="仿宋" w:cs="仿宋"/>
          <w:bCs/>
          <w:color w:val="auto"/>
          <w:sz w:val="21"/>
          <w:szCs w:val="21"/>
          <w:highlight w:val="none"/>
          <w:lang w:bidi="ar"/>
        </w:rPr>
        <w:t>.2演示U盘以顺丰邮寄形式在响应截止时间前递交，演示U盘应当密封包装并在包装上标注演示U盘、响应项目名称、响应供应商名称并加盖公章。</w:t>
      </w:r>
    </w:p>
    <w:p w14:paraId="1548D353">
      <w:pPr>
        <w:pStyle w:val="27"/>
        <w:shd w:val="clear"/>
        <w:spacing w:line="288" w:lineRule="auto"/>
        <w:ind w:firstLine="404" w:firstLineChars="200"/>
        <w:rPr>
          <w:rFonts w:hint="eastAsia" w:ascii="仿宋" w:hAnsi="仿宋" w:eastAsia="仿宋" w:cs="仿宋"/>
          <w:b w:val="0"/>
          <w:bCs w:val="0"/>
          <w:color w:val="auto"/>
          <w:sz w:val="21"/>
          <w:szCs w:val="21"/>
          <w:highlight w:val="none"/>
          <w:lang w:eastAsia="zh-CN" w:bidi="ar"/>
        </w:rPr>
      </w:pPr>
      <w:r>
        <w:rPr>
          <w:rFonts w:hint="eastAsia" w:ascii="仿宋" w:hAnsi="仿宋" w:eastAsia="仿宋" w:cs="仿宋"/>
          <w:b w:val="0"/>
          <w:bCs w:val="0"/>
          <w:color w:val="auto"/>
          <w:sz w:val="21"/>
          <w:szCs w:val="21"/>
          <w:highlight w:val="none"/>
        </w:rPr>
        <w:t>邮寄地址：</w:t>
      </w:r>
      <w:r>
        <w:rPr>
          <w:rFonts w:hint="eastAsia" w:ascii="仿宋" w:hAnsi="仿宋" w:eastAsia="仿宋" w:cs="仿宋"/>
          <w:b w:val="0"/>
          <w:bCs w:val="0"/>
          <w:color w:val="auto"/>
          <w:sz w:val="21"/>
          <w:szCs w:val="21"/>
          <w:highlight w:val="none"/>
          <w:lang w:val="en-US" w:eastAsia="zh-CN"/>
        </w:rPr>
        <w:t>宁波市海曙区翠柏路89号公共培训平台C座8楼</w:t>
      </w:r>
      <w:r>
        <w:rPr>
          <w:rFonts w:hint="eastAsia" w:ascii="仿宋" w:hAnsi="仿宋" w:eastAsia="仿宋" w:cs="仿宋"/>
          <w:b w:val="0"/>
          <w:bCs w:val="0"/>
          <w:color w:val="auto"/>
          <w:sz w:val="21"/>
          <w:szCs w:val="21"/>
          <w:highlight w:val="none"/>
        </w:rPr>
        <w:t>，浙江省成套招标代理有限公司（</w:t>
      </w:r>
      <w:r>
        <w:rPr>
          <w:rFonts w:hint="eastAsia" w:ascii="仿宋" w:hAnsi="仿宋" w:eastAsia="仿宋" w:cs="仿宋"/>
          <w:b w:val="0"/>
          <w:bCs w:val="0"/>
          <w:color w:val="auto"/>
          <w:sz w:val="21"/>
          <w:szCs w:val="21"/>
          <w:highlight w:val="none"/>
          <w:lang w:val="en-US" w:eastAsia="zh-CN"/>
        </w:rPr>
        <w:t>马倩倩</w:t>
      </w:r>
      <w:r>
        <w:rPr>
          <w:rFonts w:hint="eastAsia" w:ascii="仿宋" w:hAnsi="仿宋" w:eastAsia="仿宋" w:cs="仿宋"/>
          <w:b w:val="0"/>
          <w:bCs w:val="0"/>
          <w:color w:val="auto"/>
          <w:sz w:val="21"/>
          <w:szCs w:val="21"/>
          <w:highlight w:val="none"/>
        </w:rPr>
        <w:t>）收，电话：</w:t>
      </w:r>
      <w:r>
        <w:rPr>
          <w:rFonts w:hint="eastAsia" w:ascii="仿宋" w:hAnsi="仿宋" w:eastAsia="仿宋" w:cs="仿宋"/>
          <w:b w:val="0"/>
          <w:bCs w:val="0"/>
          <w:color w:val="auto"/>
          <w:sz w:val="21"/>
          <w:szCs w:val="21"/>
          <w:highlight w:val="none"/>
          <w:lang w:val="en-US" w:eastAsia="zh-CN"/>
        </w:rPr>
        <w:t>13396671730</w:t>
      </w:r>
      <w:r>
        <w:rPr>
          <w:rFonts w:hint="eastAsia" w:ascii="仿宋" w:hAnsi="仿宋" w:eastAsia="仿宋" w:cs="仿宋"/>
          <w:b w:val="0"/>
          <w:bCs w:val="0"/>
          <w:color w:val="auto"/>
          <w:sz w:val="21"/>
          <w:szCs w:val="21"/>
          <w:highlight w:val="none"/>
          <w:lang w:eastAsia="zh-CN"/>
        </w:rPr>
        <w:t>。</w:t>
      </w:r>
    </w:p>
    <w:p w14:paraId="22971985">
      <w:pPr>
        <w:pStyle w:val="27"/>
        <w:shd w:val="clear"/>
        <w:spacing w:line="288" w:lineRule="auto"/>
        <w:ind w:firstLineChars="200"/>
        <w:rPr>
          <w:rFonts w:hint="eastAsia" w:ascii="仿宋" w:hAnsi="仿宋" w:eastAsia="仿宋" w:cs="仿宋"/>
          <w:color w:val="auto"/>
          <w:highlight w:val="none"/>
        </w:rPr>
      </w:pPr>
      <w:r>
        <w:rPr>
          <w:rFonts w:hint="eastAsia" w:ascii="仿宋" w:hAnsi="仿宋" w:eastAsia="仿宋" w:cs="仿宋"/>
          <w:bCs/>
          <w:color w:val="auto"/>
          <w:spacing w:val="0"/>
          <w:sz w:val="21"/>
          <w:szCs w:val="21"/>
          <w:highlight w:val="none"/>
          <w:lang w:val="en-US" w:eastAsia="zh-CN" w:bidi="ar"/>
        </w:rPr>
        <w:t>2</w:t>
      </w:r>
      <w:r>
        <w:rPr>
          <w:rFonts w:hint="eastAsia" w:ascii="仿宋" w:hAnsi="仿宋" w:eastAsia="仿宋" w:cs="仿宋"/>
          <w:bCs/>
          <w:color w:val="auto"/>
          <w:spacing w:val="0"/>
          <w:sz w:val="21"/>
          <w:szCs w:val="21"/>
          <w:highlight w:val="none"/>
          <w:lang w:bidi="ar"/>
        </w:rPr>
        <w:t>.3未按磋商文件要求提供演示U盘造成专家无法正常评审的风险由供应商自行承担。</w:t>
      </w:r>
    </w:p>
    <w:p w14:paraId="37587AFA">
      <w:pPr>
        <w:shd w:val="clear"/>
        <w:adjustRightInd w:val="0"/>
        <w:snapToGrid w:val="0"/>
        <w:spacing w:line="288" w:lineRule="auto"/>
        <w:jc w:val="center"/>
        <w:outlineLvl w:val="0"/>
        <w:rPr>
          <w:rFonts w:hint="eastAsia" w:ascii="仿宋" w:hAnsi="仿宋" w:eastAsia="仿宋" w:cs="仿宋"/>
          <w:b/>
          <w:bCs/>
          <w:color w:val="auto"/>
          <w:sz w:val="32"/>
          <w:szCs w:val="32"/>
          <w:highlight w:val="none"/>
        </w:rPr>
      </w:pPr>
      <w:r>
        <w:rPr>
          <w:rFonts w:hint="eastAsia" w:ascii="仿宋" w:hAnsi="仿宋" w:eastAsia="仿宋" w:cs="仿宋"/>
          <w:b/>
          <w:bCs/>
          <w:color w:val="auto"/>
          <w:highlight w:val="none"/>
        </w:rPr>
        <w:br w:type="page"/>
      </w:r>
      <w:bookmarkStart w:id="53" w:name="_Toc2599"/>
      <w:bookmarkStart w:id="54" w:name="_Toc2083"/>
      <w:bookmarkStart w:id="55" w:name="_Toc3747"/>
      <w:bookmarkStart w:id="56" w:name="_Toc31552"/>
      <w:bookmarkStart w:id="57" w:name="_Toc4159"/>
      <w:bookmarkStart w:id="58" w:name="_Toc3307"/>
      <w:bookmarkStart w:id="59" w:name="_Toc31862"/>
      <w:r>
        <w:rPr>
          <w:rFonts w:hint="eastAsia" w:ascii="仿宋" w:hAnsi="仿宋" w:eastAsia="仿宋" w:cs="仿宋"/>
          <w:b/>
          <w:bCs/>
          <w:color w:val="auto"/>
          <w:sz w:val="32"/>
          <w:szCs w:val="32"/>
          <w:highlight w:val="none"/>
        </w:rPr>
        <w:t>第三章  供应商须知</w:t>
      </w:r>
      <w:bookmarkEnd w:id="53"/>
      <w:bookmarkEnd w:id="54"/>
      <w:bookmarkEnd w:id="55"/>
      <w:bookmarkEnd w:id="56"/>
      <w:bookmarkEnd w:id="57"/>
      <w:bookmarkEnd w:id="58"/>
      <w:bookmarkEnd w:id="59"/>
    </w:p>
    <w:p w14:paraId="49723F8D">
      <w:pPr>
        <w:shd w:val="clear"/>
        <w:adjustRightInd w:val="0"/>
        <w:snapToGrid w:val="0"/>
        <w:spacing w:line="288" w:lineRule="auto"/>
        <w:jc w:val="center"/>
        <w:outlineLvl w:val="1"/>
        <w:rPr>
          <w:rFonts w:hint="eastAsia" w:ascii="仿宋" w:hAnsi="仿宋" w:eastAsia="仿宋" w:cs="仿宋"/>
          <w:b/>
          <w:bCs/>
          <w:color w:val="auto"/>
          <w:sz w:val="21"/>
          <w:szCs w:val="21"/>
          <w:highlight w:val="none"/>
        </w:rPr>
      </w:pPr>
      <w:bookmarkStart w:id="60" w:name="_Toc19309"/>
      <w:bookmarkStart w:id="61" w:name="_Toc32532"/>
      <w:bookmarkStart w:id="62" w:name="_Toc31020"/>
      <w:r>
        <w:rPr>
          <w:rFonts w:hint="eastAsia" w:ascii="仿宋" w:hAnsi="仿宋" w:eastAsia="仿宋" w:cs="仿宋"/>
          <w:b/>
          <w:bCs/>
          <w:color w:val="auto"/>
          <w:sz w:val="21"/>
          <w:szCs w:val="21"/>
          <w:highlight w:val="none"/>
        </w:rPr>
        <w:t>供应商须知前附表</w:t>
      </w:r>
      <w:bookmarkEnd w:id="60"/>
      <w:bookmarkEnd w:id="61"/>
      <w:bookmarkEnd w:id="62"/>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1978"/>
        <w:gridCol w:w="6156"/>
      </w:tblGrid>
      <w:tr w14:paraId="06BA4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6" w:type="dxa"/>
            <w:noWrap w:val="0"/>
            <w:vAlign w:val="center"/>
          </w:tcPr>
          <w:p w14:paraId="777E34A2">
            <w:pPr>
              <w:shd w:val="clear"/>
              <w:adjustRightInd w:val="0"/>
              <w:snapToGrid w:val="0"/>
              <w:spacing w:line="440" w:lineRule="exact"/>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条款号</w:t>
            </w:r>
          </w:p>
        </w:tc>
        <w:tc>
          <w:tcPr>
            <w:tcW w:w="1978" w:type="dxa"/>
            <w:noWrap w:val="0"/>
            <w:vAlign w:val="center"/>
          </w:tcPr>
          <w:p w14:paraId="25877DDC">
            <w:pPr>
              <w:shd w:val="clear"/>
              <w:adjustRightInd w:val="0"/>
              <w:snapToGrid w:val="0"/>
              <w:spacing w:line="440" w:lineRule="exact"/>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内容</w:t>
            </w:r>
          </w:p>
        </w:tc>
        <w:tc>
          <w:tcPr>
            <w:tcW w:w="6156" w:type="dxa"/>
            <w:noWrap w:val="0"/>
            <w:vAlign w:val="center"/>
          </w:tcPr>
          <w:p w14:paraId="7E43C153">
            <w:pPr>
              <w:shd w:val="clear"/>
              <w:adjustRightInd w:val="0"/>
              <w:snapToGrid w:val="0"/>
              <w:spacing w:line="440" w:lineRule="exact"/>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说明与要求</w:t>
            </w:r>
          </w:p>
        </w:tc>
      </w:tr>
      <w:tr w14:paraId="4B9C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6" w:type="dxa"/>
            <w:noWrap w:val="0"/>
            <w:vAlign w:val="center"/>
          </w:tcPr>
          <w:p w14:paraId="12632E99">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w:t>
            </w:r>
          </w:p>
        </w:tc>
        <w:tc>
          <w:tcPr>
            <w:tcW w:w="1978" w:type="dxa"/>
            <w:noWrap w:val="0"/>
            <w:vAlign w:val="center"/>
          </w:tcPr>
          <w:p w14:paraId="519C9F6B">
            <w:pPr>
              <w:shd w:val="clear"/>
              <w:snapToGrid w:val="0"/>
              <w:spacing w:line="44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项目属性</w:t>
            </w:r>
          </w:p>
        </w:tc>
        <w:tc>
          <w:tcPr>
            <w:tcW w:w="6156" w:type="dxa"/>
            <w:noWrap w:val="0"/>
            <w:vAlign w:val="center"/>
          </w:tcPr>
          <w:p w14:paraId="4ECC6A32">
            <w:pPr>
              <w:shd w:val="clear"/>
              <w:spacing w:line="440" w:lineRule="exact"/>
              <w:rPr>
                <w:rFonts w:hint="eastAsia" w:ascii="仿宋" w:hAnsi="仿宋" w:eastAsia="仿宋" w:cs="仿宋"/>
                <w:color w:val="auto"/>
                <w:sz w:val="21"/>
                <w:szCs w:val="21"/>
                <w:highlight w:val="none"/>
                <w:u w:val="single"/>
              </w:rPr>
            </w:pPr>
            <w:r>
              <w:rPr>
                <w:rFonts w:hint="eastAsia" w:ascii="仿宋" w:hAnsi="仿宋" w:eastAsia="仿宋" w:cs="仿宋"/>
                <w:color w:val="auto"/>
                <w:kern w:val="0"/>
                <w:sz w:val="21"/>
                <w:szCs w:val="21"/>
                <w:highlight w:val="none"/>
              </w:rPr>
              <w:sym w:font="Wingdings 2" w:char="F0A3"/>
            </w:r>
            <w:r>
              <w:rPr>
                <w:rFonts w:hint="eastAsia" w:ascii="仿宋" w:hAnsi="仿宋" w:eastAsia="仿宋" w:cs="仿宋"/>
                <w:color w:val="auto"/>
                <w:kern w:val="0"/>
                <w:sz w:val="21"/>
                <w:szCs w:val="21"/>
                <w:highlight w:val="none"/>
              </w:rPr>
              <w:t xml:space="preserve"> A</w:t>
            </w:r>
            <w:r>
              <w:rPr>
                <w:rFonts w:hint="eastAsia" w:ascii="仿宋" w:hAnsi="仿宋" w:eastAsia="仿宋" w:cs="仿宋"/>
                <w:color w:val="auto"/>
                <w:sz w:val="21"/>
                <w:szCs w:val="21"/>
                <w:highlight w:val="none"/>
              </w:rPr>
              <w:t>货物类，单一产品或</w:t>
            </w:r>
            <w:r>
              <w:rPr>
                <w:rFonts w:hint="eastAsia" w:ascii="仿宋" w:hAnsi="仿宋" w:eastAsia="仿宋" w:cs="仿宋"/>
                <w:color w:val="auto"/>
                <w:kern w:val="0"/>
                <w:sz w:val="21"/>
                <w:szCs w:val="21"/>
                <w:highlight w:val="none"/>
              </w:rPr>
              <w:t>核心产品为：</w:t>
            </w:r>
            <w:r>
              <w:rPr>
                <w:rFonts w:hint="eastAsia" w:ascii="仿宋" w:hAnsi="仿宋" w:eastAsia="仿宋" w:cs="仿宋"/>
                <w:b/>
                <w:bCs/>
                <w:color w:val="auto"/>
                <w:kern w:val="0"/>
                <w:sz w:val="21"/>
                <w:szCs w:val="21"/>
                <w:highlight w:val="none"/>
                <w:u w:val="single"/>
                <w:lang w:bidi="ar"/>
              </w:rPr>
              <w:t xml:space="preserve">  </w:t>
            </w:r>
          </w:p>
          <w:p w14:paraId="0C7774AB">
            <w:pPr>
              <w:shd w:val="clea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sym w:font="Wingdings 2" w:char="F052"/>
            </w:r>
            <w:r>
              <w:rPr>
                <w:rFonts w:hint="eastAsia" w:ascii="仿宋" w:hAnsi="仿宋" w:eastAsia="仿宋" w:cs="仿宋"/>
                <w:color w:val="auto"/>
                <w:kern w:val="0"/>
                <w:sz w:val="21"/>
                <w:szCs w:val="21"/>
                <w:highlight w:val="none"/>
              </w:rPr>
              <w:t xml:space="preserve"> B</w:t>
            </w:r>
            <w:r>
              <w:rPr>
                <w:rFonts w:hint="eastAsia" w:ascii="仿宋" w:hAnsi="仿宋" w:eastAsia="仿宋" w:cs="仿宋"/>
                <w:color w:val="auto"/>
                <w:sz w:val="21"/>
                <w:szCs w:val="21"/>
                <w:highlight w:val="none"/>
              </w:rPr>
              <w:t>服务类。</w:t>
            </w:r>
          </w:p>
        </w:tc>
      </w:tr>
      <w:tr w14:paraId="0FF36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6" w:type="dxa"/>
            <w:noWrap w:val="0"/>
            <w:vAlign w:val="center"/>
          </w:tcPr>
          <w:p w14:paraId="09197962">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w:t>
            </w:r>
          </w:p>
        </w:tc>
        <w:tc>
          <w:tcPr>
            <w:tcW w:w="1978" w:type="dxa"/>
            <w:noWrap w:val="0"/>
            <w:vAlign w:val="center"/>
          </w:tcPr>
          <w:p w14:paraId="06845EAA">
            <w:pPr>
              <w:shd w:val="clear"/>
              <w:snapToGrid w:val="0"/>
              <w:spacing w:line="44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采购标的对应的中小企业划分标准所属行业</w:t>
            </w:r>
          </w:p>
        </w:tc>
        <w:tc>
          <w:tcPr>
            <w:tcW w:w="6156" w:type="dxa"/>
            <w:noWrap w:val="0"/>
            <w:vAlign w:val="center"/>
          </w:tcPr>
          <w:p w14:paraId="58E9E2A8">
            <w:pPr>
              <w:shd w:val="clear"/>
              <w:snapToGrid w:val="0"/>
              <w:spacing w:line="440" w:lineRule="exact"/>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标的：</w:t>
            </w:r>
            <w:r>
              <w:rPr>
                <w:rFonts w:hint="eastAsia" w:ascii="仿宋" w:hAnsi="仿宋" w:eastAsia="仿宋" w:cs="仿宋"/>
                <w:color w:val="auto"/>
                <w:kern w:val="0"/>
                <w:sz w:val="21"/>
                <w:szCs w:val="21"/>
                <w:highlight w:val="none"/>
                <w:u w:val="single"/>
              </w:rPr>
              <w:t>金融数据库续建采购</w:t>
            </w:r>
            <w:r>
              <w:rPr>
                <w:rFonts w:hint="eastAsia" w:ascii="仿宋" w:hAnsi="仿宋" w:eastAsia="仿宋" w:cs="仿宋"/>
                <w:color w:val="auto"/>
                <w:kern w:val="0"/>
                <w:sz w:val="21"/>
                <w:szCs w:val="21"/>
                <w:highlight w:val="none"/>
              </w:rPr>
              <w:t>，属于</w:t>
            </w:r>
            <w:r>
              <w:rPr>
                <w:rFonts w:hint="eastAsia" w:ascii="仿宋" w:hAnsi="仿宋" w:eastAsia="仿宋" w:cs="仿宋"/>
                <w:color w:val="auto"/>
                <w:kern w:val="0"/>
                <w:sz w:val="21"/>
                <w:szCs w:val="21"/>
                <w:highlight w:val="none"/>
                <w:u w:val="single"/>
              </w:rPr>
              <w:t>软件和信息技术服务业</w:t>
            </w:r>
            <w:r>
              <w:rPr>
                <w:rFonts w:hint="eastAsia" w:ascii="仿宋" w:hAnsi="仿宋" w:eastAsia="仿宋" w:cs="仿宋"/>
                <w:color w:val="auto"/>
                <w:kern w:val="0"/>
                <w:sz w:val="21"/>
                <w:szCs w:val="21"/>
                <w:highlight w:val="none"/>
              </w:rPr>
              <w:t>。</w:t>
            </w:r>
          </w:p>
          <w:p w14:paraId="5C40A9E7">
            <w:pPr>
              <w:pStyle w:val="3"/>
              <w:shd w:val="clear"/>
              <w:tabs>
                <w:tab w:val="left" w:pos="432"/>
              </w:tabs>
              <w:spacing w:before="120" w:line="440" w:lineRule="exact"/>
              <w:ind w:left="0" w:leftChars="0" w:firstLine="0" w:firstLineChars="0"/>
              <w:rPr>
                <w:rFonts w:hint="eastAsia" w:ascii="仿宋" w:hAnsi="仿宋" w:eastAsia="仿宋" w:cs="仿宋"/>
                <w:color w:val="auto"/>
                <w:highlight w:val="none"/>
              </w:rPr>
            </w:pPr>
            <w:r>
              <w:rPr>
                <w:rFonts w:hint="eastAsia" w:ascii="仿宋" w:hAnsi="仿宋" w:eastAsia="仿宋" w:cs="仿宋"/>
                <w:b/>
                <w:bCs/>
                <w:color w:val="auto"/>
                <w:sz w:val="21"/>
                <w:szCs w:val="21"/>
                <w:highlight w:val="none"/>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76671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6" w:type="dxa"/>
            <w:noWrap w:val="0"/>
            <w:vAlign w:val="center"/>
          </w:tcPr>
          <w:p w14:paraId="147E9B8F">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三</w:t>
            </w:r>
            <w:r>
              <w:rPr>
                <w:rFonts w:hint="eastAsia" w:ascii="仿宋" w:hAnsi="仿宋" w:eastAsia="仿宋" w:cs="仿宋"/>
                <w:color w:val="auto"/>
                <w:sz w:val="21"/>
                <w:szCs w:val="21"/>
                <w:highlight w:val="none"/>
              </w:rPr>
              <w:t>）</w:t>
            </w:r>
          </w:p>
        </w:tc>
        <w:tc>
          <w:tcPr>
            <w:tcW w:w="1978" w:type="dxa"/>
            <w:noWrap w:val="0"/>
            <w:vAlign w:val="center"/>
          </w:tcPr>
          <w:p w14:paraId="39A15658">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适用范围</w:t>
            </w:r>
          </w:p>
        </w:tc>
        <w:tc>
          <w:tcPr>
            <w:tcW w:w="6156" w:type="dxa"/>
            <w:noWrap w:val="0"/>
            <w:vAlign w:val="center"/>
          </w:tcPr>
          <w:p w14:paraId="54FB2435">
            <w:pPr>
              <w:shd w:val="clear"/>
              <w:adjustRightInd w:val="0"/>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本磋商文件适用于</w:t>
            </w:r>
            <w:r>
              <w:rPr>
                <w:rFonts w:hint="eastAsia" w:ascii="仿宋" w:hAnsi="仿宋" w:eastAsia="仿宋" w:cs="仿宋"/>
                <w:color w:val="auto"/>
                <w:sz w:val="21"/>
                <w:szCs w:val="21"/>
                <w:highlight w:val="none"/>
                <w:lang w:eastAsia="zh-CN"/>
              </w:rPr>
              <w:t>浙江万里学院金融数据库续建采购</w:t>
            </w:r>
            <w:r>
              <w:rPr>
                <w:rFonts w:hint="eastAsia" w:ascii="仿宋" w:hAnsi="仿宋" w:eastAsia="仿宋" w:cs="仿宋"/>
                <w:color w:val="auto"/>
                <w:sz w:val="21"/>
                <w:szCs w:val="21"/>
                <w:highlight w:val="none"/>
              </w:rPr>
              <w:t>项目的磋商、评审、成交、验收、合同履约、付款等（法律、法规另有规定的，从其规定）。</w:t>
            </w:r>
          </w:p>
        </w:tc>
      </w:tr>
      <w:tr w14:paraId="7ECA7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6" w:type="dxa"/>
            <w:noWrap w:val="0"/>
            <w:vAlign w:val="center"/>
          </w:tcPr>
          <w:p w14:paraId="0EE55AA4">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四</w:t>
            </w:r>
            <w:r>
              <w:rPr>
                <w:rFonts w:hint="eastAsia" w:ascii="仿宋" w:hAnsi="仿宋" w:eastAsia="仿宋" w:cs="仿宋"/>
                <w:color w:val="auto"/>
                <w:sz w:val="21"/>
                <w:szCs w:val="21"/>
                <w:highlight w:val="none"/>
              </w:rPr>
              <w:t>）</w:t>
            </w:r>
          </w:p>
        </w:tc>
        <w:tc>
          <w:tcPr>
            <w:tcW w:w="1978" w:type="dxa"/>
            <w:noWrap w:val="0"/>
            <w:vAlign w:val="center"/>
          </w:tcPr>
          <w:p w14:paraId="55080239">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采购方式</w:t>
            </w:r>
          </w:p>
        </w:tc>
        <w:tc>
          <w:tcPr>
            <w:tcW w:w="6156" w:type="dxa"/>
            <w:noWrap w:val="0"/>
            <w:vAlign w:val="center"/>
          </w:tcPr>
          <w:p w14:paraId="0514C06C">
            <w:pPr>
              <w:shd w:val="clear"/>
              <w:adjustRightInd w:val="0"/>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本次采购采用竞争性磋商（线上电子交易）方式进行。</w:t>
            </w:r>
          </w:p>
        </w:tc>
      </w:tr>
      <w:tr w14:paraId="40E17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6" w:type="dxa"/>
            <w:noWrap w:val="0"/>
            <w:vAlign w:val="center"/>
          </w:tcPr>
          <w:p w14:paraId="3B4221A8">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五</w:t>
            </w:r>
            <w:r>
              <w:rPr>
                <w:rFonts w:hint="eastAsia" w:ascii="仿宋" w:hAnsi="仿宋" w:eastAsia="仿宋" w:cs="仿宋"/>
                <w:color w:val="auto"/>
                <w:sz w:val="21"/>
                <w:szCs w:val="21"/>
                <w:highlight w:val="none"/>
              </w:rPr>
              <w:t>）</w:t>
            </w:r>
          </w:p>
        </w:tc>
        <w:tc>
          <w:tcPr>
            <w:tcW w:w="1978" w:type="dxa"/>
            <w:noWrap w:val="0"/>
            <w:vAlign w:val="center"/>
          </w:tcPr>
          <w:p w14:paraId="23A621C6">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竞争性磋商委托</w:t>
            </w:r>
          </w:p>
        </w:tc>
        <w:tc>
          <w:tcPr>
            <w:tcW w:w="6156" w:type="dxa"/>
            <w:noWrap w:val="0"/>
            <w:vAlign w:val="center"/>
          </w:tcPr>
          <w:p w14:paraId="6A01A4C3">
            <w:pPr>
              <w:shd w:val="clear"/>
              <w:adjustRightInd w:val="0"/>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1.▲供应商授权代表必须为供应商本单位在职职工，并提供2025年1月1日至今任意一月社保缴纳证明（授权代表为法定代表人可不提供）。</w:t>
            </w:r>
          </w:p>
          <w:p w14:paraId="6F1AAD85">
            <w:pPr>
              <w:shd w:val="clear"/>
              <w:adjustRightInd w:val="0"/>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2.如供应商代表不是法定代表人，须提供法定代表人授权委托书（格式详见磋商文件第六章）。</w:t>
            </w:r>
          </w:p>
        </w:tc>
      </w:tr>
      <w:tr w14:paraId="66E5B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6" w:type="dxa"/>
            <w:noWrap w:val="0"/>
            <w:vAlign w:val="center"/>
          </w:tcPr>
          <w:p w14:paraId="228C1889">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六</w:t>
            </w:r>
            <w:r>
              <w:rPr>
                <w:rFonts w:hint="eastAsia" w:ascii="仿宋" w:hAnsi="仿宋" w:eastAsia="仿宋" w:cs="仿宋"/>
                <w:color w:val="auto"/>
                <w:sz w:val="21"/>
                <w:szCs w:val="21"/>
                <w:highlight w:val="none"/>
              </w:rPr>
              <w:t>）</w:t>
            </w:r>
          </w:p>
        </w:tc>
        <w:tc>
          <w:tcPr>
            <w:tcW w:w="1978" w:type="dxa"/>
            <w:noWrap w:val="0"/>
            <w:vAlign w:val="center"/>
          </w:tcPr>
          <w:p w14:paraId="64A58262">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磋商费用</w:t>
            </w:r>
          </w:p>
        </w:tc>
        <w:tc>
          <w:tcPr>
            <w:tcW w:w="6156" w:type="dxa"/>
            <w:noWrap w:val="0"/>
            <w:vAlign w:val="center"/>
          </w:tcPr>
          <w:p w14:paraId="11C687D0">
            <w:pPr>
              <w:shd w:val="clear"/>
              <w:adjustRightInd w:val="0"/>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1.不论磋商结果如何，供应商均应自行承担所有与磋商有关的全部费用。</w:t>
            </w:r>
          </w:p>
          <w:p w14:paraId="51D61821">
            <w:pPr>
              <w:shd w:val="clear"/>
              <w:adjustRightInd w:val="0"/>
              <w:snapToGrid w:val="0"/>
              <w:spacing w:line="440" w:lineRule="exact"/>
              <w:jc w:val="left"/>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rPr>
              <w:t>2.成交供应商在成交通知书发出之日起七个工作日内，向采购代理机构交纳代理服务费。</w:t>
            </w:r>
            <w:r>
              <w:rPr>
                <w:rFonts w:hint="eastAsia" w:ascii="仿宋" w:hAnsi="仿宋" w:eastAsia="仿宋" w:cs="仿宋"/>
                <w:color w:val="auto"/>
                <w:sz w:val="21"/>
                <w:szCs w:val="21"/>
                <w:highlight w:val="none"/>
                <w:lang w:bidi="ar"/>
              </w:rPr>
              <w:t>汇入以下账户 ：</w:t>
            </w:r>
          </w:p>
          <w:p w14:paraId="7933677C">
            <w:pPr>
              <w:shd w:val="clear"/>
              <w:adjustRightInd w:val="0"/>
              <w:snapToGrid w:val="0"/>
              <w:spacing w:line="440" w:lineRule="exact"/>
              <w:jc w:val="left"/>
              <w:rPr>
                <w:rFonts w:hint="eastAsia" w:ascii="仿宋" w:hAnsi="仿宋" w:eastAsia="仿宋" w:cs="仿宋"/>
                <w:color w:val="auto"/>
                <w:sz w:val="21"/>
                <w:szCs w:val="21"/>
                <w:highlight w:val="none"/>
                <w:lang w:val="en-US" w:eastAsia="zh-CN" w:bidi="ar"/>
              </w:rPr>
            </w:pPr>
            <w:r>
              <w:rPr>
                <w:rFonts w:hint="eastAsia" w:ascii="仿宋" w:hAnsi="仿宋" w:eastAsia="仿宋" w:cs="仿宋"/>
                <w:color w:val="auto"/>
                <w:sz w:val="21"/>
                <w:szCs w:val="21"/>
                <w:highlight w:val="none"/>
                <w:lang w:bidi="ar"/>
              </w:rPr>
              <w:t>户 名：浙江省成套招标代理有限公司</w:t>
            </w:r>
            <w:r>
              <w:rPr>
                <w:rFonts w:hint="eastAsia" w:ascii="仿宋" w:hAnsi="仿宋" w:eastAsia="仿宋" w:cs="仿宋"/>
                <w:color w:val="auto"/>
                <w:sz w:val="21"/>
                <w:szCs w:val="21"/>
                <w:highlight w:val="none"/>
                <w:lang w:val="en-US" w:eastAsia="zh-CN" w:bidi="ar"/>
              </w:rPr>
              <w:t>宁波分公司</w:t>
            </w:r>
          </w:p>
          <w:p w14:paraId="5A37AB7E">
            <w:pPr>
              <w:shd w:val="clear"/>
              <w:adjustRightInd w:val="0"/>
              <w:snapToGrid w:val="0"/>
              <w:spacing w:line="440" w:lineRule="exact"/>
              <w:jc w:val="left"/>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 xml:space="preserve">开 户：宁波银行明州支行 </w:t>
            </w:r>
          </w:p>
          <w:p w14:paraId="333C1B7D">
            <w:pPr>
              <w:shd w:val="clear"/>
              <w:adjustRightInd w:val="0"/>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账 号：33010122000503094</w:t>
            </w:r>
          </w:p>
          <w:p w14:paraId="237ED721">
            <w:pPr>
              <w:shd w:val="clear"/>
              <w:adjustRightInd w:val="0"/>
              <w:snapToGrid w:val="0"/>
              <w:spacing w:line="440" w:lineRule="exact"/>
              <w:rPr>
                <w:rFonts w:hint="eastAsia" w:ascii="仿宋" w:hAnsi="仿宋" w:eastAsia="仿宋" w:cs="仿宋"/>
                <w:color w:val="auto"/>
                <w:sz w:val="21"/>
                <w:szCs w:val="21"/>
                <w:highlight w:val="none"/>
              </w:rPr>
            </w:pPr>
            <w:bookmarkStart w:id="63" w:name="_Hlk71808378"/>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.招标代理服务费按下表下浮25%向</w:t>
            </w:r>
            <w:r>
              <w:rPr>
                <w:rFonts w:hint="eastAsia" w:ascii="仿宋" w:hAnsi="仿宋" w:eastAsia="仿宋" w:cs="仿宋"/>
                <w:color w:val="auto"/>
                <w:sz w:val="21"/>
                <w:szCs w:val="21"/>
                <w:highlight w:val="none"/>
                <w:lang w:val="en-US" w:eastAsia="zh-CN"/>
              </w:rPr>
              <w:t>成交</w:t>
            </w:r>
            <w:r>
              <w:rPr>
                <w:rFonts w:hint="eastAsia" w:ascii="仿宋" w:hAnsi="仿宋" w:eastAsia="仿宋" w:cs="仿宋"/>
                <w:color w:val="auto"/>
                <w:sz w:val="21"/>
                <w:szCs w:val="21"/>
                <w:highlight w:val="none"/>
              </w:rPr>
              <w:t>人收取，不低于3000元。</w:t>
            </w:r>
          </w:p>
          <w:bookmarkEnd w:id="63"/>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9"/>
              <w:gridCol w:w="2396"/>
            </w:tblGrid>
            <w:tr w14:paraId="47A70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49" w:type="dxa"/>
                  <w:tcBorders>
                    <w:top w:val="single" w:color="auto" w:sz="4" w:space="0"/>
                    <w:left w:val="single" w:color="auto" w:sz="4" w:space="0"/>
                    <w:bottom w:val="single" w:color="auto" w:sz="4" w:space="0"/>
                    <w:right w:val="single" w:color="auto" w:sz="4" w:space="0"/>
                  </w:tcBorders>
                  <w:noWrap w:val="0"/>
                  <w:vAlign w:val="center"/>
                </w:tcPr>
                <w:p w14:paraId="38B126C0">
                  <w:pPr>
                    <w:shd w:val="clear"/>
                    <w:adjustRightInd w:val="0"/>
                    <w:snapToGrid w:val="0"/>
                    <w:spacing w:line="44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成交金额（万元）</w:t>
                  </w:r>
                </w:p>
              </w:tc>
              <w:tc>
                <w:tcPr>
                  <w:tcW w:w="2396" w:type="dxa"/>
                  <w:tcBorders>
                    <w:top w:val="single" w:color="auto" w:sz="4" w:space="0"/>
                    <w:left w:val="nil"/>
                    <w:bottom w:val="single" w:color="auto" w:sz="4" w:space="0"/>
                    <w:right w:val="single" w:color="auto" w:sz="4" w:space="0"/>
                  </w:tcBorders>
                  <w:noWrap w:val="0"/>
                  <w:vAlign w:val="center"/>
                </w:tcPr>
                <w:p w14:paraId="2A73AB0F">
                  <w:pPr>
                    <w:shd w:val="clear"/>
                    <w:adjustRightInd w:val="0"/>
                    <w:snapToGrid w:val="0"/>
                    <w:spacing w:line="44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收费标准（费率，%）</w:t>
                  </w:r>
                </w:p>
              </w:tc>
            </w:tr>
            <w:tr w14:paraId="2424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49" w:type="dxa"/>
                  <w:tcBorders>
                    <w:top w:val="single" w:color="auto" w:sz="4" w:space="0"/>
                    <w:left w:val="single" w:color="auto" w:sz="4" w:space="0"/>
                    <w:bottom w:val="single" w:color="auto" w:sz="4" w:space="0"/>
                    <w:right w:val="single" w:color="auto" w:sz="4" w:space="0"/>
                  </w:tcBorders>
                  <w:noWrap w:val="0"/>
                  <w:vAlign w:val="center"/>
                </w:tcPr>
                <w:p w14:paraId="2B554875">
                  <w:pPr>
                    <w:shd w:val="clear"/>
                    <w:adjustRightInd w:val="0"/>
                    <w:snapToGrid w:val="0"/>
                    <w:spacing w:line="44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100以下</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含）</w:t>
                  </w:r>
                </w:p>
              </w:tc>
              <w:tc>
                <w:tcPr>
                  <w:tcW w:w="2396" w:type="dxa"/>
                  <w:tcBorders>
                    <w:top w:val="single" w:color="auto" w:sz="4" w:space="0"/>
                    <w:left w:val="nil"/>
                    <w:bottom w:val="single" w:color="auto" w:sz="4" w:space="0"/>
                    <w:right w:val="single" w:color="auto" w:sz="4" w:space="0"/>
                  </w:tcBorders>
                  <w:noWrap w:val="0"/>
                  <w:vAlign w:val="center"/>
                </w:tcPr>
                <w:p w14:paraId="5F2F63AF">
                  <w:pPr>
                    <w:shd w:val="clear"/>
                    <w:adjustRightInd w:val="0"/>
                    <w:snapToGrid w:val="0"/>
                    <w:spacing w:line="44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w:t>
                  </w:r>
                </w:p>
              </w:tc>
            </w:tr>
            <w:tr w14:paraId="6F3C0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49" w:type="dxa"/>
                  <w:tcBorders>
                    <w:top w:val="single" w:color="auto" w:sz="4" w:space="0"/>
                    <w:left w:val="single" w:color="auto" w:sz="4" w:space="0"/>
                    <w:bottom w:val="single" w:color="auto" w:sz="4" w:space="0"/>
                    <w:right w:val="single" w:color="auto" w:sz="4" w:space="0"/>
                  </w:tcBorders>
                  <w:noWrap w:val="0"/>
                  <w:vAlign w:val="center"/>
                </w:tcPr>
                <w:p w14:paraId="30D961B9">
                  <w:pPr>
                    <w:shd w:val="clear"/>
                    <w:adjustRightInd w:val="0"/>
                    <w:snapToGrid w:val="0"/>
                    <w:spacing w:line="440" w:lineRule="exact"/>
                    <w:jc w:val="center"/>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rPr>
                    <w:t>100-500</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含）</w:t>
                  </w:r>
                </w:p>
              </w:tc>
              <w:tc>
                <w:tcPr>
                  <w:tcW w:w="2396" w:type="dxa"/>
                  <w:tcBorders>
                    <w:top w:val="single" w:color="auto" w:sz="4" w:space="0"/>
                    <w:left w:val="nil"/>
                    <w:bottom w:val="single" w:color="auto" w:sz="4" w:space="0"/>
                    <w:right w:val="single" w:color="auto" w:sz="4" w:space="0"/>
                  </w:tcBorders>
                  <w:noWrap w:val="0"/>
                  <w:vAlign w:val="center"/>
                </w:tcPr>
                <w:p w14:paraId="474C8864">
                  <w:pPr>
                    <w:shd w:val="clear"/>
                    <w:adjustRightInd w:val="0"/>
                    <w:snapToGrid w:val="0"/>
                    <w:spacing w:line="440" w:lineRule="exact"/>
                    <w:jc w:val="center"/>
                    <w:rPr>
                      <w:rFonts w:hint="eastAsia" w:ascii="仿宋" w:hAnsi="仿宋" w:eastAsia="仿宋" w:cs="仿宋"/>
                      <w:color w:val="auto"/>
                      <w:sz w:val="21"/>
                      <w:szCs w:val="21"/>
                      <w:highlight w:val="none"/>
                      <w:lang w:val="en-US" w:eastAsia="zh-CN" w:bidi="ar"/>
                    </w:rPr>
                  </w:pPr>
                  <w:r>
                    <w:rPr>
                      <w:rFonts w:hint="eastAsia" w:ascii="仿宋" w:hAnsi="仿宋" w:eastAsia="仿宋" w:cs="仿宋"/>
                      <w:color w:val="auto"/>
                      <w:sz w:val="21"/>
                      <w:szCs w:val="21"/>
                      <w:highlight w:val="none"/>
                      <w:lang w:val="en-US" w:eastAsia="zh-CN"/>
                    </w:rPr>
                    <w:t>0.9</w:t>
                  </w:r>
                </w:p>
              </w:tc>
            </w:tr>
          </w:tbl>
          <w:p w14:paraId="41B6F8EA">
            <w:pPr>
              <w:shd w:val="clear"/>
              <w:adjustRightInd w:val="0"/>
              <w:snapToGrid w:val="0"/>
              <w:spacing w:line="440" w:lineRule="exact"/>
              <w:ind w:firstLine="420" w:firstLineChars="200"/>
              <w:jc w:val="left"/>
              <w:rPr>
                <w:rFonts w:hint="eastAsia" w:ascii="仿宋" w:hAnsi="仿宋" w:eastAsia="仿宋" w:cs="仿宋"/>
                <w:color w:val="auto"/>
                <w:sz w:val="21"/>
                <w:szCs w:val="21"/>
                <w:highlight w:val="none"/>
              </w:rPr>
            </w:pPr>
          </w:p>
        </w:tc>
      </w:tr>
      <w:tr w14:paraId="6A490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6" w:type="dxa"/>
            <w:noWrap w:val="0"/>
            <w:vAlign w:val="center"/>
          </w:tcPr>
          <w:p w14:paraId="46401A5B">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七</w:t>
            </w:r>
            <w:r>
              <w:rPr>
                <w:rFonts w:hint="eastAsia" w:ascii="仿宋" w:hAnsi="仿宋" w:eastAsia="仿宋" w:cs="仿宋"/>
                <w:color w:val="auto"/>
                <w:sz w:val="21"/>
                <w:szCs w:val="21"/>
                <w:highlight w:val="none"/>
              </w:rPr>
              <w:t>）</w:t>
            </w:r>
          </w:p>
        </w:tc>
        <w:tc>
          <w:tcPr>
            <w:tcW w:w="1978" w:type="dxa"/>
            <w:noWrap w:val="0"/>
            <w:vAlign w:val="center"/>
          </w:tcPr>
          <w:p w14:paraId="00E9BE26">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磋商保证金（元）</w:t>
            </w:r>
          </w:p>
        </w:tc>
        <w:tc>
          <w:tcPr>
            <w:tcW w:w="6156" w:type="dxa"/>
            <w:noWrap w:val="0"/>
            <w:vAlign w:val="center"/>
          </w:tcPr>
          <w:p w14:paraId="6B3B1981">
            <w:pPr>
              <w:shd w:val="clear"/>
              <w:adjustRightInd w:val="0"/>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无。</w:t>
            </w:r>
          </w:p>
        </w:tc>
      </w:tr>
      <w:tr w14:paraId="603C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6" w:type="dxa"/>
            <w:noWrap w:val="0"/>
            <w:vAlign w:val="center"/>
          </w:tcPr>
          <w:p w14:paraId="0015525E">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八</w:t>
            </w:r>
            <w:r>
              <w:rPr>
                <w:rFonts w:hint="eastAsia" w:ascii="仿宋" w:hAnsi="仿宋" w:eastAsia="仿宋" w:cs="仿宋"/>
                <w:color w:val="auto"/>
                <w:sz w:val="21"/>
                <w:szCs w:val="21"/>
                <w:highlight w:val="none"/>
              </w:rPr>
              <w:t>）</w:t>
            </w:r>
          </w:p>
        </w:tc>
        <w:tc>
          <w:tcPr>
            <w:tcW w:w="1978" w:type="dxa"/>
            <w:noWrap w:val="0"/>
            <w:vAlign w:val="center"/>
          </w:tcPr>
          <w:p w14:paraId="25D16B1C">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联合体响应</w:t>
            </w:r>
          </w:p>
        </w:tc>
        <w:tc>
          <w:tcPr>
            <w:tcW w:w="6156" w:type="dxa"/>
            <w:noWrap w:val="0"/>
            <w:vAlign w:val="center"/>
          </w:tcPr>
          <w:p w14:paraId="71AF444E">
            <w:pPr>
              <w:shd w:val="clear"/>
              <w:adjustRightInd w:val="0"/>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w:t>
            </w:r>
            <w:r>
              <w:rPr>
                <w:rFonts w:hint="eastAsia" w:ascii="仿宋" w:hAnsi="仿宋" w:eastAsia="仿宋" w:cs="仿宋"/>
                <w:color w:val="auto"/>
                <w:sz w:val="21"/>
                <w:szCs w:val="21"/>
                <w:highlight w:val="none"/>
                <w:lang w:val="en-US" w:eastAsia="zh-CN"/>
              </w:rPr>
              <w:t>不</w:t>
            </w:r>
            <w:r>
              <w:rPr>
                <w:rFonts w:hint="eastAsia" w:ascii="仿宋" w:hAnsi="仿宋" w:eastAsia="仿宋" w:cs="仿宋"/>
                <w:color w:val="auto"/>
                <w:sz w:val="21"/>
                <w:szCs w:val="21"/>
                <w:highlight w:val="none"/>
              </w:rPr>
              <w:t>接受联合体响应。</w:t>
            </w:r>
          </w:p>
        </w:tc>
      </w:tr>
      <w:tr w14:paraId="65875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6" w:type="dxa"/>
            <w:noWrap w:val="0"/>
            <w:vAlign w:val="center"/>
          </w:tcPr>
          <w:p w14:paraId="4BCB504A">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九</w:t>
            </w:r>
            <w:r>
              <w:rPr>
                <w:rFonts w:hint="eastAsia" w:ascii="仿宋" w:hAnsi="仿宋" w:eastAsia="仿宋" w:cs="仿宋"/>
                <w:color w:val="auto"/>
                <w:sz w:val="21"/>
                <w:szCs w:val="21"/>
                <w:highlight w:val="none"/>
              </w:rPr>
              <w:t>）</w:t>
            </w:r>
          </w:p>
        </w:tc>
        <w:tc>
          <w:tcPr>
            <w:tcW w:w="1978" w:type="dxa"/>
            <w:noWrap w:val="0"/>
            <w:vAlign w:val="center"/>
          </w:tcPr>
          <w:p w14:paraId="044E5E6A">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转包与分包</w:t>
            </w:r>
          </w:p>
        </w:tc>
        <w:tc>
          <w:tcPr>
            <w:tcW w:w="6156" w:type="dxa"/>
            <w:noWrap w:val="0"/>
            <w:vAlign w:val="center"/>
          </w:tcPr>
          <w:p w14:paraId="7C5B8173">
            <w:pPr>
              <w:shd w:val="clear"/>
              <w:adjustRightInd w:val="0"/>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1.本项目不允许转包。</w:t>
            </w:r>
          </w:p>
          <w:p w14:paraId="0E04CE97">
            <w:pPr>
              <w:shd w:val="clear"/>
              <w:adjustRightInd w:val="0"/>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2.本项目</w:t>
            </w:r>
            <w:r>
              <w:rPr>
                <w:rFonts w:hint="eastAsia" w:ascii="仿宋" w:hAnsi="仿宋" w:eastAsia="仿宋" w:cs="仿宋"/>
                <w:color w:val="auto"/>
                <w:sz w:val="21"/>
                <w:szCs w:val="21"/>
                <w:highlight w:val="none"/>
                <w:lang w:val="en-US" w:eastAsia="zh-CN"/>
              </w:rPr>
              <w:t>不</w:t>
            </w:r>
            <w:r>
              <w:rPr>
                <w:rFonts w:hint="eastAsia" w:ascii="仿宋" w:hAnsi="仿宋" w:eastAsia="仿宋" w:cs="仿宋"/>
                <w:color w:val="auto"/>
                <w:sz w:val="21"/>
                <w:szCs w:val="21"/>
                <w:highlight w:val="none"/>
              </w:rPr>
              <w:t>允许分包，不适宜分包的理由是：</w:t>
            </w:r>
            <w:r>
              <w:rPr>
                <w:rFonts w:hint="eastAsia" w:ascii="仿宋" w:hAnsi="仿宋" w:eastAsia="仿宋" w:cs="仿宋"/>
                <w:color w:val="auto"/>
                <w:sz w:val="21"/>
                <w:szCs w:val="21"/>
                <w:highlight w:val="none"/>
                <w:u w:val="single"/>
              </w:rPr>
              <w:t>服务内容整体不可分割</w:t>
            </w:r>
            <w:r>
              <w:rPr>
                <w:rFonts w:hint="eastAsia" w:ascii="仿宋" w:hAnsi="仿宋" w:eastAsia="仿宋" w:cs="仿宋"/>
                <w:color w:val="auto"/>
                <w:sz w:val="21"/>
                <w:szCs w:val="21"/>
                <w:highlight w:val="none"/>
              </w:rPr>
              <w:t>。</w:t>
            </w:r>
          </w:p>
        </w:tc>
      </w:tr>
      <w:tr w14:paraId="5A9D1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6" w:type="dxa"/>
            <w:noWrap w:val="0"/>
            <w:vAlign w:val="center"/>
          </w:tcPr>
          <w:p w14:paraId="6979B895">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（十）</w:t>
            </w:r>
          </w:p>
        </w:tc>
        <w:tc>
          <w:tcPr>
            <w:tcW w:w="1978" w:type="dxa"/>
            <w:noWrap w:val="0"/>
            <w:vAlign w:val="center"/>
          </w:tcPr>
          <w:p w14:paraId="08B5E2F2">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信用记录</w:t>
            </w:r>
          </w:p>
        </w:tc>
        <w:tc>
          <w:tcPr>
            <w:tcW w:w="6156" w:type="dxa"/>
            <w:noWrap w:val="0"/>
            <w:vAlign w:val="center"/>
          </w:tcPr>
          <w:p w14:paraId="0E363EB0">
            <w:pPr>
              <w:shd w:val="clear"/>
              <w:adjustRightInd w:val="0"/>
              <w:snapToGrid w:val="0"/>
              <w:spacing w:line="440" w:lineRule="exact"/>
              <w:rPr>
                <w:rFonts w:hint="eastAsia" w:ascii="仿宋" w:hAnsi="仿宋" w:eastAsia="仿宋" w:cs="仿宋"/>
                <w:bCs/>
                <w:color w:val="auto"/>
                <w:sz w:val="21"/>
                <w:szCs w:val="21"/>
                <w:highlight w:val="none"/>
              </w:rPr>
            </w:pPr>
            <w:bookmarkStart w:id="64" w:name="_Hlk71808489"/>
            <w:r>
              <w:rPr>
                <w:rFonts w:hint="eastAsia" w:ascii="仿宋" w:hAnsi="仿宋" w:eastAsia="仿宋" w:cs="仿宋"/>
                <w:bCs/>
                <w:color w:val="auto"/>
                <w:sz w:val="21"/>
                <w:szCs w:val="21"/>
                <w:highlight w:val="none"/>
              </w:rPr>
              <w:t>根据财库[2016]125号《关于在政府采购活动中查询及使用信用记录有关问题的通知》要求，采购代理机构会对供应商信用记录进行查询并甄别。信用</w:t>
            </w:r>
            <w:r>
              <w:rPr>
                <w:rFonts w:hint="eastAsia" w:ascii="仿宋" w:hAnsi="仿宋" w:eastAsia="仿宋" w:cs="仿宋"/>
                <w:color w:val="auto"/>
                <w:sz w:val="21"/>
                <w:szCs w:val="21"/>
                <w:highlight w:val="none"/>
              </w:rPr>
              <w:t>信息查询的截止时点：响应截止时间。</w:t>
            </w:r>
          </w:p>
          <w:bookmarkEnd w:id="64"/>
          <w:p w14:paraId="3C2F6559">
            <w:pPr>
              <w:shd w:val="clear"/>
              <w:adjustRightInd w:val="0"/>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（1）查询渠道：“信用中国”（www.creditchina.gov.cn）、“中国政府采购网”（www.ccgp.gov.cn）。</w:t>
            </w:r>
          </w:p>
          <w:p w14:paraId="0C7B8DD6">
            <w:pPr>
              <w:shd w:val="clear"/>
              <w:adjustRightInd w:val="0"/>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（2）信用信息查询记录和证据留存具体方式：现场查询的供应商的信用记录、查询结果经确认后将与采购文件一起存档。</w:t>
            </w:r>
          </w:p>
          <w:p w14:paraId="34550523">
            <w:pPr>
              <w:shd w:val="clear"/>
              <w:adjustRightInd w:val="0"/>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（3）信用信息的使用规则：供应商被列入失信被执行人、重大税收违法案件当事人名单、政府采购严重违法失信行为记录名单的，拒绝其参与政府采购活动。</w:t>
            </w:r>
          </w:p>
          <w:p w14:paraId="3248DDD9">
            <w:pPr>
              <w:shd w:val="clear"/>
              <w:adjustRightInd w:val="0"/>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5005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6" w:type="dxa"/>
            <w:noWrap w:val="0"/>
            <w:vAlign w:val="center"/>
          </w:tcPr>
          <w:p w14:paraId="6B46734C">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（十</w:t>
            </w:r>
            <w:r>
              <w:rPr>
                <w:rFonts w:hint="eastAsia" w:ascii="仿宋" w:hAnsi="仿宋" w:eastAsia="仿宋" w:cs="仿宋"/>
                <w:color w:val="auto"/>
                <w:sz w:val="21"/>
                <w:szCs w:val="21"/>
                <w:highlight w:val="none"/>
                <w:lang w:val="en-US" w:eastAsia="zh-CN"/>
              </w:rPr>
              <w:t>一</w:t>
            </w:r>
            <w:r>
              <w:rPr>
                <w:rFonts w:hint="eastAsia" w:ascii="仿宋" w:hAnsi="仿宋" w:eastAsia="仿宋" w:cs="仿宋"/>
                <w:color w:val="auto"/>
                <w:sz w:val="21"/>
                <w:szCs w:val="21"/>
                <w:highlight w:val="none"/>
              </w:rPr>
              <w:t>）</w:t>
            </w:r>
          </w:p>
        </w:tc>
        <w:tc>
          <w:tcPr>
            <w:tcW w:w="1978" w:type="dxa"/>
            <w:noWrap w:val="0"/>
            <w:vAlign w:val="center"/>
          </w:tcPr>
          <w:p w14:paraId="688C3D4F">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资格审查要求的资格证明材料</w:t>
            </w:r>
          </w:p>
        </w:tc>
        <w:tc>
          <w:tcPr>
            <w:tcW w:w="6156" w:type="dxa"/>
            <w:noWrap w:val="0"/>
            <w:vAlign w:val="center"/>
          </w:tcPr>
          <w:p w14:paraId="67E7120E">
            <w:pPr>
              <w:shd w:val="clear"/>
              <w:adjustRightInd w:val="0"/>
              <w:snapToGrid w:val="0"/>
              <w:spacing w:line="440" w:lineRule="exac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资格审查要求的资格证明材料(均需加盖公章)：</w:t>
            </w:r>
          </w:p>
          <w:p w14:paraId="28BEA2B4">
            <w:pPr>
              <w:shd w:val="clear"/>
              <w:adjustRightInd w:val="0"/>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（1）符合参加政府采购活动应当具备的一般条件的承诺函。</w:t>
            </w:r>
          </w:p>
          <w:p w14:paraId="279E6CE3">
            <w:pPr>
              <w:shd w:val="clear"/>
              <w:adjustRightInd w:val="0"/>
              <w:snapToGrid w:val="0"/>
              <w:spacing w:line="440" w:lineRule="exac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（2）落实政府采购政策需满足的资格要求：</w:t>
            </w:r>
            <w:r>
              <w:rPr>
                <w:rFonts w:hint="eastAsia" w:ascii="仿宋" w:hAnsi="仿宋" w:eastAsia="仿宋" w:cs="仿宋"/>
                <w:color w:val="auto"/>
                <w:sz w:val="21"/>
                <w:szCs w:val="21"/>
                <w:highlight w:val="none"/>
                <w:lang w:val="en-US" w:eastAsia="zh-CN"/>
              </w:rPr>
              <w:t>无。</w:t>
            </w:r>
          </w:p>
          <w:p w14:paraId="3E6A3B6D">
            <w:pPr>
              <w:shd w:val="clear"/>
              <w:adjustRightInd w:val="0"/>
              <w:snapToGrid w:val="0"/>
              <w:spacing w:line="440" w:lineRule="exact"/>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（3）本项目的特定资格要求证明材料：无。</w:t>
            </w:r>
          </w:p>
        </w:tc>
      </w:tr>
      <w:tr w14:paraId="59061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6" w:type="dxa"/>
            <w:noWrap w:val="0"/>
            <w:vAlign w:val="center"/>
          </w:tcPr>
          <w:p w14:paraId="2A9CD156">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（十</w:t>
            </w:r>
            <w:r>
              <w:rPr>
                <w:rFonts w:hint="eastAsia" w:ascii="仿宋" w:hAnsi="仿宋" w:eastAsia="仿宋" w:cs="仿宋"/>
                <w:color w:val="auto"/>
                <w:sz w:val="21"/>
                <w:szCs w:val="21"/>
                <w:highlight w:val="none"/>
                <w:lang w:val="en-US" w:eastAsia="zh-CN"/>
              </w:rPr>
              <w:t>二</w:t>
            </w:r>
            <w:r>
              <w:rPr>
                <w:rFonts w:hint="eastAsia" w:ascii="仿宋" w:hAnsi="仿宋" w:eastAsia="仿宋" w:cs="仿宋"/>
                <w:color w:val="auto"/>
                <w:sz w:val="21"/>
                <w:szCs w:val="21"/>
                <w:highlight w:val="none"/>
              </w:rPr>
              <w:t>）</w:t>
            </w:r>
          </w:p>
        </w:tc>
        <w:tc>
          <w:tcPr>
            <w:tcW w:w="1978" w:type="dxa"/>
            <w:noWrap w:val="0"/>
            <w:vAlign w:val="center"/>
          </w:tcPr>
          <w:p w14:paraId="70447F39">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响应文件份数</w:t>
            </w:r>
          </w:p>
        </w:tc>
        <w:tc>
          <w:tcPr>
            <w:tcW w:w="6156" w:type="dxa"/>
            <w:noWrap w:val="0"/>
            <w:vAlign w:val="center"/>
          </w:tcPr>
          <w:p w14:paraId="6B4DCCDA">
            <w:pPr>
              <w:shd w:val="clear"/>
              <w:adjustRightInd w:val="0"/>
              <w:snapToGrid w:val="0"/>
              <w:spacing w:line="440" w:lineRule="exact"/>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电子加密响应文件：政府采购云平台在线上传一份。</w:t>
            </w:r>
          </w:p>
          <w:p w14:paraId="609D493A">
            <w:pPr>
              <w:shd w:val="clear"/>
              <w:adjustRightInd w:val="0"/>
              <w:snapToGrid w:val="0"/>
              <w:spacing w:line="440" w:lineRule="exact"/>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备份响应文件：响应文件开启时间前送达（邮寄地址：</w:t>
            </w:r>
            <w:r>
              <w:rPr>
                <w:rFonts w:hint="eastAsia" w:ascii="仿宋" w:hAnsi="仿宋" w:eastAsia="仿宋" w:cs="仿宋"/>
                <w:b/>
                <w:bCs/>
                <w:color w:val="auto"/>
                <w:sz w:val="21"/>
                <w:szCs w:val="21"/>
                <w:highlight w:val="none"/>
                <w:lang w:val="en-US" w:eastAsia="zh-CN"/>
              </w:rPr>
              <w:t>宁波市海曙区翠柏路89号公共培训平台C座8楼</w:t>
            </w:r>
            <w:r>
              <w:rPr>
                <w:rFonts w:hint="eastAsia" w:ascii="仿宋" w:hAnsi="仿宋" w:eastAsia="仿宋" w:cs="仿宋"/>
                <w:b/>
                <w:bCs/>
                <w:color w:val="auto"/>
                <w:sz w:val="21"/>
                <w:szCs w:val="21"/>
                <w:highlight w:val="none"/>
              </w:rPr>
              <w:t>，浙江省成套招标代理有限公司（</w:t>
            </w:r>
            <w:r>
              <w:rPr>
                <w:rFonts w:hint="eastAsia" w:ascii="仿宋" w:hAnsi="仿宋" w:eastAsia="仿宋" w:cs="仿宋"/>
                <w:b/>
                <w:bCs/>
                <w:color w:val="auto"/>
                <w:sz w:val="21"/>
                <w:szCs w:val="21"/>
                <w:highlight w:val="none"/>
                <w:lang w:val="en-US" w:eastAsia="zh-CN"/>
              </w:rPr>
              <w:t>马倩倩</w:t>
            </w:r>
            <w:r>
              <w:rPr>
                <w:rFonts w:hint="eastAsia" w:ascii="仿宋" w:hAnsi="仿宋" w:eastAsia="仿宋" w:cs="仿宋"/>
                <w:b/>
                <w:bCs/>
                <w:color w:val="auto"/>
                <w:sz w:val="21"/>
                <w:szCs w:val="21"/>
                <w:highlight w:val="none"/>
              </w:rPr>
              <w:t>）收，电话：</w:t>
            </w:r>
            <w:r>
              <w:rPr>
                <w:rFonts w:hint="eastAsia" w:ascii="仿宋" w:hAnsi="仿宋" w:eastAsia="仿宋" w:cs="仿宋"/>
                <w:b/>
                <w:bCs/>
                <w:color w:val="auto"/>
                <w:sz w:val="21"/>
                <w:szCs w:val="21"/>
                <w:highlight w:val="none"/>
                <w:lang w:val="en-US" w:eastAsia="zh-CN"/>
              </w:rPr>
              <w:t>13396671730</w:t>
            </w:r>
            <w:r>
              <w:rPr>
                <w:rFonts w:hint="eastAsia" w:ascii="仿宋" w:hAnsi="仿宋" w:eastAsia="仿宋" w:cs="仿宋"/>
                <w:b/>
                <w:bCs/>
                <w:color w:val="auto"/>
                <w:sz w:val="21"/>
                <w:szCs w:val="21"/>
                <w:highlight w:val="none"/>
              </w:rPr>
              <w:t>，寄出后将（快递单号、项目名称、公司名称、联系方式等相关信息）发至</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475993598@qq</w:t>
            </w:r>
            <w:r>
              <w:rPr>
                <w:rFonts w:hint="eastAsia" w:ascii="仿宋" w:hAnsi="仿宋" w:eastAsia="仿宋" w:cs="仿宋"/>
                <w:b/>
                <w:bCs/>
                <w:color w:val="auto"/>
                <w:sz w:val="21"/>
                <w:szCs w:val="21"/>
                <w:highlight w:val="none"/>
              </w:rPr>
              <w:t>.com，以便查收）。</w:t>
            </w:r>
          </w:p>
          <w:p w14:paraId="1BE9EB27">
            <w:pPr>
              <w:shd w:val="clear"/>
              <w:adjustRightInd w:val="0"/>
              <w:snapToGrid w:val="0"/>
              <w:spacing w:line="440" w:lineRule="exact"/>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特别说明：双休日和法定节假日不收件，供应商自行承担邮寄风险。采购人、采购机构不强制或变相强制投标人提交备份投标文件。</w:t>
            </w:r>
          </w:p>
        </w:tc>
      </w:tr>
      <w:tr w14:paraId="2B845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6" w:type="dxa"/>
            <w:noWrap w:val="0"/>
            <w:vAlign w:val="center"/>
          </w:tcPr>
          <w:p w14:paraId="3CF7A345">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（十五）</w:t>
            </w:r>
          </w:p>
        </w:tc>
        <w:tc>
          <w:tcPr>
            <w:tcW w:w="1978" w:type="dxa"/>
            <w:noWrap w:val="0"/>
            <w:vAlign w:val="center"/>
          </w:tcPr>
          <w:p w14:paraId="21616B81">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磋商报价</w:t>
            </w:r>
          </w:p>
        </w:tc>
        <w:tc>
          <w:tcPr>
            <w:tcW w:w="6156" w:type="dxa"/>
            <w:noWrap w:val="0"/>
            <w:vAlign w:val="center"/>
          </w:tcPr>
          <w:p w14:paraId="16A9CA03">
            <w:pPr>
              <w:shd w:val="clear"/>
              <w:adjustRightInd w:val="0"/>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1.报价应按磋商文件要求的格式编制、填写报价内容（可自行增行），未按磋商文件要求编制、填写的响应文件可能被拒绝。</w:t>
            </w:r>
          </w:p>
          <w:p w14:paraId="094EEBC6">
            <w:pPr>
              <w:shd w:val="clear"/>
              <w:adjustRightInd w:val="0"/>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2.本次磋商采用人民币报价。</w:t>
            </w:r>
          </w:p>
          <w:p w14:paraId="7B388619">
            <w:pPr>
              <w:shd w:val="clear"/>
              <w:adjustRightInd w:val="0"/>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3.最后磋商报价是履行合同的最终价格。</w:t>
            </w:r>
          </w:p>
          <w:p w14:paraId="525C989C">
            <w:pPr>
              <w:shd w:val="clear"/>
              <w:adjustRightInd w:val="0"/>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▲4.采购人将以合同形式有偿取得货物或服务，不接受供应商给予的赠品、回扣或者与采购无关的其他商品、服务。</w:t>
            </w:r>
          </w:p>
          <w:p w14:paraId="3A3A52DC">
            <w:pPr>
              <w:shd w:val="clear"/>
              <w:adjustRightInd w:val="0"/>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b/>
                <w:bCs/>
                <w:color w:val="auto"/>
                <w:sz w:val="21"/>
                <w:szCs w:val="21"/>
                <w:highlight w:val="none"/>
              </w:rPr>
              <w:t>5.供应商初次报价低于项目预算50%的，应当在报价文件中提供“报价不影响产品质量或者诚信履约”的说明材料。最终报价低于50%的，应当在最终报价环节提供“报价不影响产品质量或者诚信履约”的说明材料。</w:t>
            </w:r>
          </w:p>
        </w:tc>
      </w:tr>
      <w:tr w14:paraId="1DF44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6" w:type="dxa"/>
            <w:noWrap w:val="0"/>
            <w:vAlign w:val="center"/>
          </w:tcPr>
          <w:p w14:paraId="5E4E4A91">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（十六）</w:t>
            </w:r>
          </w:p>
        </w:tc>
        <w:tc>
          <w:tcPr>
            <w:tcW w:w="1978" w:type="dxa"/>
            <w:noWrap w:val="0"/>
            <w:vAlign w:val="center"/>
          </w:tcPr>
          <w:p w14:paraId="1C98E9B9">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响应有效期</w:t>
            </w:r>
          </w:p>
        </w:tc>
        <w:tc>
          <w:tcPr>
            <w:tcW w:w="6156" w:type="dxa"/>
            <w:noWrap w:val="0"/>
            <w:vAlign w:val="center"/>
          </w:tcPr>
          <w:p w14:paraId="0F1BBB14">
            <w:pPr>
              <w:shd w:val="clear"/>
              <w:adjustRightInd w:val="0"/>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▲从提交响应文件的截止之日起90天。在原响应有效期满之前，如果出现特殊情况，采购人或采购代理机构以书面形式通知供应商延长响应有效期。</w:t>
            </w:r>
          </w:p>
        </w:tc>
      </w:tr>
      <w:tr w14:paraId="07CEC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6" w:type="dxa"/>
            <w:noWrap w:val="0"/>
            <w:vAlign w:val="center"/>
          </w:tcPr>
          <w:p w14:paraId="56D6DD3A">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（十七）</w:t>
            </w:r>
          </w:p>
        </w:tc>
        <w:tc>
          <w:tcPr>
            <w:tcW w:w="1978" w:type="dxa"/>
            <w:noWrap w:val="0"/>
            <w:vAlign w:val="center"/>
          </w:tcPr>
          <w:p w14:paraId="00CA6305">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评审方法和评审标准</w:t>
            </w:r>
          </w:p>
        </w:tc>
        <w:tc>
          <w:tcPr>
            <w:tcW w:w="6156" w:type="dxa"/>
            <w:noWrap w:val="0"/>
            <w:vAlign w:val="center"/>
          </w:tcPr>
          <w:p w14:paraId="555B103E">
            <w:pPr>
              <w:shd w:val="clear"/>
              <w:adjustRightInd w:val="0"/>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详见“第四章 评审方法和评审标准”。</w:t>
            </w:r>
          </w:p>
        </w:tc>
      </w:tr>
      <w:tr w14:paraId="7C54E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6" w:type="dxa"/>
            <w:noWrap w:val="0"/>
            <w:vAlign w:val="center"/>
          </w:tcPr>
          <w:p w14:paraId="3D554D01">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（十八）</w:t>
            </w:r>
          </w:p>
        </w:tc>
        <w:tc>
          <w:tcPr>
            <w:tcW w:w="1978" w:type="dxa"/>
            <w:noWrap w:val="0"/>
            <w:vAlign w:val="center"/>
          </w:tcPr>
          <w:p w14:paraId="43E19F03">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评审结果公示</w:t>
            </w:r>
          </w:p>
        </w:tc>
        <w:tc>
          <w:tcPr>
            <w:tcW w:w="6156" w:type="dxa"/>
            <w:noWrap w:val="0"/>
            <w:vAlign w:val="center"/>
          </w:tcPr>
          <w:p w14:paraId="43BE747F">
            <w:pPr>
              <w:shd w:val="clear"/>
              <w:adjustRightInd w:val="0"/>
              <w:snapToGrid w:val="0"/>
              <w:spacing w:line="440" w:lineRule="exac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评审结果公示媒体：浙江政府采（http://zfcg.czt.zj.gov.cn）。</w:t>
            </w:r>
          </w:p>
        </w:tc>
      </w:tr>
      <w:tr w14:paraId="672A2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6" w:type="dxa"/>
            <w:noWrap w:val="0"/>
            <w:vAlign w:val="center"/>
          </w:tcPr>
          <w:p w14:paraId="53F5B6D0">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（十九）</w:t>
            </w:r>
          </w:p>
        </w:tc>
        <w:tc>
          <w:tcPr>
            <w:tcW w:w="1978" w:type="dxa"/>
            <w:noWrap w:val="0"/>
            <w:vAlign w:val="center"/>
          </w:tcPr>
          <w:p w14:paraId="177DA307">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签订合同</w:t>
            </w:r>
          </w:p>
        </w:tc>
        <w:tc>
          <w:tcPr>
            <w:tcW w:w="6156" w:type="dxa"/>
            <w:noWrap w:val="0"/>
            <w:vAlign w:val="center"/>
          </w:tcPr>
          <w:p w14:paraId="39338986">
            <w:pPr>
              <w:shd w:val="clear"/>
              <w:adjustRightInd w:val="0"/>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成交通知书发出之日起30日内。</w:t>
            </w:r>
          </w:p>
        </w:tc>
      </w:tr>
      <w:tr w14:paraId="0D40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6" w:type="dxa"/>
            <w:noWrap w:val="0"/>
            <w:vAlign w:val="center"/>
          </w:tcPr>
          <w:p w14:paraId="4F50E58F">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（二十）</w:t>
            </w:r>
          </w:p>
        </w:tc>
        <w:tc>
          <w:tcPr>
            <w:tcW w:w="1978" w:type="dxa"/>
            <w:noWrap w:val="0"/>
            <w:vAlign w:val="center"/>
          </w:tcPr>
          <w:p w14:paraId="3595B351">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采购计划文号</w:t>
            </w:r>
          </w:p>
        </w:tc>
        <w:tc>
          <w:tcPr>
            <w:tcW w:w="6156" w:type="dxa"/>
            <w:noWrap w:val="0"/>
            <w:vAlign w:val="center"/>
          </w:tcPr>
          <w:p w14:paraId="6FBC09AE">
            <w:pPr>
              <w:shd w:val="clear"/>
              <w:adjustRightInd w:val="0"/>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[2025]29694号</w:t>
            </w:r>
          </w:p>
        </w:tc>
      </w:tr>
      <w:tr w14:paraId="057FB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6" w:type="dxa"/>
            <w:vMerge w:val="restart"/>
            <w:noWrap w:val="0"/>
            <w:vAlign w:val="center"/>
          </w:tcPr>
          <w:p w14:paraId="331DA082">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（二十一）</w:t>
            </w:r>
          </w:p>
        </w:tc>
        <w:tc>
          <w:tcPr>
            <w:tcW w:w="1978" w:type="dxa"/>
            <w:vMerge w:val="restart"/>
            <w:noWrap w:val="0"/>
            <w:vAlign w:val="center"/>
          </w:tcPr>
          <w:p w14:paraId="1E80DDA8">
            <w:pPr>
              <w:shd w:val="clear"/>
              <w:adjustRightInd w:val="0"/>
              <w:snapToGrid w:val="0"/>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特别说明</w:t>
            </w:r>
          </w:p>
        </w:tc>
        <w:tc>
          <w:tcPr>
            <w:tcW w:w="6156" w:type="dxa"/>
            <w:noWrap w:val="0"/>
            <w:vAlign w:val="center"/>
          </w:tcPr>
          <w:p w14:paraId="1B1792B3">
            <w:pPr>
              <w:shd w:val="clear"/>
              <w:spacing w:line="440" w:lineRule="exact"/>
              <w:rPr>
                <w:rFonts w:hint="eastAsia" w:ascii="仿宋" w:hAnsi="仿宋" w:eastAsia="仿宋" w:cs="仿宋"/>
                <w:snapToGrid w:val="0"/>
                <w:color w:val="auto"/>
                <w:kern w:val="28"/>
                <w:sz w:val="21"/>
                <w:szCs w:val="21"/>
                <w:highlight w:val="none"/>
              </w:rPr>
            </w:pPr>
            <w:r>
              <w:rPr>
                <w:rFonts w:hint="eastAsia" w:ascii="仿宋" w:hAnsi="仿宋" w:eastAsia="仿宋" w:cs="仿宋"/>
                <w:color w:val="auto"/>
                <w:kern w:val="0"/>
                <w:sz w:val="21"/>
                <w:szCs w:val="21"/>
                <w:highlight w:val="none"/>
              </w:rPr>
              <w:sym w:font="Wingdings" w:char="00A8"/>
            </w:r>
            <w:r>
              <w:rPr>
                <w:rFonts w:hint="eastAsia" w:ascii="仿宋" w:hAnsi="仿宋" w:eastAsia="仿宋" w:cs="仿宋"/>
                <w:snapToGrid w:val="0"/>
                <w:color w:val="auto"/>
                <w:kern w:val="28"/>
                <w:sz w:val="21"/>
                <w:szCs w:val="21"/>
                <w:highlight w:val="none"/>
              </w:rPr>
              <w:t>联合体响应的，联合体各方分别提供与联合体协议中规定的分工内容相应的业绩证明材料，业绩数量以提供材料较少的一方为准。</w:t>
            </w:r>
          </w:p>
          <w:p w14:paraId="7A185E01">
            <w:pPr>
              <w:shd w:val="clear"/>
              <w:spacing w:line="440" w:lineRule="exact"/>
              <w:rPr>
                <w:rFonts w:hint="eastAsia" w:ascii="仿宋" w:hAnsi="仿宋" w:eastAsia="仿宋" w:cs="仿宋"/>
                <w:snapToGrid w:val="0"/>
                <w:color w:val="auto"/>
                <w:kern w:val="28"/>
                <w:sz w:val="21"/>
                <w:szCs w:val="21"/>
                <w:highlight w:val="none"/>
              </w:rPr>
            </w:pPr>
            <w:r>
              <w:rPr>
                <w:rFonts w:hint="eastAsia" w:ascii="仿宋" w:hAnsi="仿宋" w:eastAsia="仿宋" w:cs="仿宋"/>
                <w:color w:val="auto"/>
                <w:kern w:val="0"/>
                <w:sz w:val="21"/>
                <w:szCs w:val="21"/>
                <w:highlight w:val="none"/>
              </w:rPr>
              <w:sym w:font="Wingdings" w:char="00A8"/>
            </w:r>
            <w:r>
              <w:rPr>
                <w:rFonts w:hint="eastAsia" w:ascii="仿宋" w:hAnsi="仿宋" w:eastAsia="仿宋" w:cs="仿宋"/>
                <w:color w:val="auto"/>
                <w:kern w:val="28"/>
                <w:sz w:val="21"/>
                <w:szCs w:val="21"/>
                <w:highlight w:val="none"/>
              </w:rPr>
              <w:t>联合体响应的，由联合体牵头方出具相应的业绩证明材料。</w:t>
            </w:r>
          </w:p>
        </w:tc>
      </w:tr>
      <w:tr w14:paraId="689FA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6" w:type="dxa"/>
            <w:vMerge w:val="continue"/>
            <w:noWrap w:val="0"/>
            <w:vAlign w:val="center"/>
          </w:tcPr>
          <w:p w14:paraId="5DA06CED">
            <w:pPr>
              <w:shd w:val="clear"/>
              <w:adjustRightInd w:val="0"/>
              <w:snapToGrid w:val="0"/>
              <w:spacing w:line="440" w:lineRule="exact"/>
              <w:jc w:val="center"/>
              <w:rPr>
                <w:rFonts w:hint="eastAsia" w:ascii="仿宋" w:hAnsi="仿宋" w:eastAsia="仿宋" w:cs="仿宋"/>
                <w:color w:val="auto"/>
                <w:sz w:val="21"/>
                <w:szCs w:val="21"/>
                <w:highlight w:val="none"/>
              </w:rPr>
            </w:pPr>
          </w:p>
        </w:tc>
        <w:tc>
          <w:tcPr>
            <w:tcW w:w="1978" w:type="dxa"/>
            <w:vMerge w:val="continue"/>
            <w:noWrap w:val="0"/>
            <w:vAlign w:val="center"/>
          </w:tcPr>
          <w:p w14:paraId="7D548D78">
            <w:pPr>
              <w:shd w:val="clear"/>
              <w:adjustRightInd w:val="0"/>
              <w:snapToGrid w:val="0"/>
              <w:spacing w:line="440" w:lineRule="exact"/>
              <w:jc w:val="center"/>
              <w:rPr>
                <w:rFonts w:hint="eastAsia" w:ascii="仿宋" w:hAnsi="仿宋" w:eastAsia="仿宋" w:cs="仿宋"/>
                <w:color w:val="auto"/>
                <w:sz w:val="21"/>
                <w:szCs w:val="21"/>
                <w:highlight w:val="none"/>
              </w:rPr>
            </w:pPr>
          </w:p>
        </w:tc>
        <w:tc>
          <w:tcPr>
            <w:tcW w:w="6156" w:type="dxa"/>
            <w:noWrap w:val="0"/>
            <w:vAlign w:val="center"/>
          </w:tcPr>
          <w:p w14:paraId="3DCF5AA8">
            <w:pPr>
              <w:shd w:val="clear"/>
              <w:spacing w:line="440" w:lineRule="exact"/>
              <w:rPr>
                <w:rFonts w:hint="eastAsia" w:ascii="仿宋" w:hAnsi="仿宋" w:eastAsia="仿宋" w:cs="仿宋"/>
                <w:snapToGrid w:val="0"/>
                <w:color w:val="auto"/>
                <w:kern w:val="28"/>
                <w:sz w:val="21"/>
                <w:szCs w:val="21"/>
                <w:highlight w:val="none"/>
              </w:rPr>
            </w:pPr>
            <w:r>
              <w:rPr>
                <w:rFonts w:hint="eastAsia" w:ascii="仿宋" w:hAnsi="仿宋" w:eastAsia="仿宋" w:cs="仿宋"/>
                <w:color w:val="auto"/>
                <w:kern w:val="0"/>
                <w:sz w:val="21"/>
                <w:szCs w:val="21"/>
                <w:highlight w:val="none"/>
              </w:rPr>
              <w:sym w:font="Wingdings" w:char="00A8"/>
            </w:r>
            <w:r>
              <w:rPr>
                <w:rFonts w:hint="eastAsia" w:ascii="仿宋" w:hAnsi="仿宋" w:eastAsia="仿宋" w:cs="仿宋"/>
                <w:snapToGrid w:val="0"/>
                <w:color w:val="auto"/>
                <w:kern w:val="28"/>
                <w:sz w:val="21"/>
                <w:szCs w:val="21"/>
                <w:highlight w:val="none"/>
              </w:rPr>
              <w:t>联合体响应的，联合体各方均需按磋商文件第四部分评审标准要求提供资信证明文件，否则视为不符合相关要求。</w:t>
            </w:r>
          </w:p>
          <w:p w14:paraId="5EBBD31C">
            <w:pPr>
              <w:shd w:val="clea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sym w:font="Wingdings" w:char="00A8"/>
            </w:r>
            <w:r>
              <w:rPr>
                <w:rFonts w:hint="eastAsia" w:ascii="仿宋" w:hAnsi="仿宋" w:eastAsia="仿宋" w:cs="仿宋"/>
                <w:snapToGrid w:val="0"/>
                <w:color w:val="auto"/>
                <w:kern w:val="28"/>
                <w:sz w:val="21"/>
                <w:szCs w:val="21"/>
                <w:highlight w:val="none"/>
              </w:rPr>
              <w:t>联合体响应的，联合体中有一方或者联合体成员根据分工按磋商文件第四部分评审标准要求提供资信证明文件的，视为符合了相关要求。</w:t>
            </w:r>
          </w:p>
        </w:tc>
      </w:tr>
    </w:tbl>
    <w:p w14:paraId="79F94277">
      <w:pPr>
        <w:shd w:val="clear"/>
        <w:adjustRightInd w:val="0"/>
        <w:snapToGrid w:val="0"/>
        <w:spacing w:line="288" w:lineRule="auto"/>
        <w:jc w:val="center"/>
        <w:outlineLvl w:val="1"/>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br w:type="page"/>
      </w:r>
      <w:bookmarkStart w:id="65" w:name="_Toc8486"/>
      <w:bookmarkStart w:id="66" w:name="_Toc20158"/>
      <w:bookmarkStart w:id="67" w:name="_Toc20531"/>
      <w:r>
        <w:rPr>
          <w:rFonts w:hint="eastAsia" w:ascii="仿宋" w:hAnsi="仿宋" w:eastAsia="仿宋" w:cs="仿宋"/>
          <w:b/>
          <w:bCs/>
          <w:color w:val="auto"/>
          <w:sz w:val="21"/>
          <w:szCs w:val="21"/>
          <w:highlight w:val="none"/>
          <w:lang w:bidi="ar"/>
        </w:rPr>
        <w:t>一、总则</w:t>
      </w:r>
      <w:bookmarkEnd w:id="65"/>
      <w:bookmarkEnd w:id="66"/>
      <w:bookmarkEnd w:id="67"/>
    </w:p>
    <w:p w14:paraId="47C96178">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供应商应仔细阅读磋商文件的所有内容，按照磋商文件的要求提交响应文件，并对所提供的全部资料的真实性承担法律责任。</w:t>
      </w:r>
    </w:p>
    <w:p w14:paraId="6CC5EB23">
      <w:pPr>
        <w:shd w:val="clear"/>
        <w:adjustRightInd w:val="0"/>
        <w:snapToGrid w:val="0"/>
        <w:spacing w:line="360" w:lineRule="auto"/>
        <w:outlineLvl w:val="2"/>
        <w:rPr>
          <w:rFonts w:hint="eastAsia" w:ascii="仿宋" w:hAnsi="仿宋" w:eastAsia="仿宋" w:cs="仿宋"/>
          <w:b/>
          <w:bCs/>
          <w:color w:val="auto"/>
          <w:sz w:val="21"/>
          <w:szCs w:val="21"/>
          <w:highlight w:val="none"/>
        </w:rPr>
      </w:pPr>
      <w:bookmarkStart w:id="68" w:name="_Toc20845"/>
      <w:r>
        <w:rPr>
          <w:rFonts w:hint="eastAsia" w:ascii="仿宋" w:hAnsi="仿宋" w:eastAsia="仿宋" w:cs="仿宋"/>
          <w:b/>
          <w:bCs/>
          <w:color w:val="auto"/>
          <w:sz w:val="21"/>
          <w:szCs w:val="21"/>
          <w:highlight w:val="none"/>
          <w:lang w:bidi="ar"/>
        </w:rPr>
        <w:t>（一）适用范围</w:t>
      </w:r>
      <w:bookmarkEnd w:id="68"/>
    </w:p>
    <w:p w14:paraId="78DBEC20">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本磋商文件适用</w:t>
      </w:r>
      <w:r>
        <w:rPr>
          <w:rFonts w:hint="eastAsia" w:ascii="仿宋" w:hAnsi="仿宋" w:eastAsia="仿宋" w:cs="仿宋"/>
          <w:b/>
          <w:bCs/>
          <w:color w:val="auto"/>
          <w:sz w:val="21"/>
          <w:szCs w:val="21"/>
          <w:highlight w:val="none"/>
          <w:lang w:bidi="ar"/>
        </w:rPr>
        <w:t>金融数据库续建采购</w:t>
      </w:r>
      <w:r>
        <w:rPr>
          <w:rFonts w:hint="eastAsia" w:ascii="仿宋" w:hAnsi="仿宋" w:eastAsia="仿宋" w:cs="仿宋"/>
          <w:color w:val="auto"/>
          <w:sz w:val="21"/>
          <w:szCs w:val="21"/>
          <w:highlight w:val="none"/>
          <w:lang w:bidi="ar"/>
        </w:rPr>
        <w:t>项目的磋商、评审、成交、验收、合同履约、付款等（法律、法规另有规定的，从其规定）。</w:t>
      </w:r>
    </w:p>
    <w:p w14:paraId="17C22E87">
      <w:pPr>
        <w:shd w:val="clear"/>
        <w:adjustRightInd w:val="0"/>
        <w:snapToGrid w:val="0"/>
        <w:spacing w:line="360" w:lineRule="auto"/>
        <w:outlineLvl w:val="2"/>
        <w:rPr>
          <w:rFonts w:hint="eastAsia" w:ascii="仿宋" w:hAnsi="仿宋" w:eastAsia="仿宋" w:cs="仿宋"/>
          <w:b/>
          <w:bCs/>
          <w:color w:val="auto"/>
          <w:sz w:val="21"/>
          <w:szCs w:val="21"/>
          <w:highlight w:val="none"/>
        </w:rPr>
      </w:pPr>
      <w:bookmarkStart w:id="69" w:name="_Toc1771"/>
      <w:r>
        <w:rPr>
          <w:rFonts w:hint="eastAsia" w:ascii="仿宋" w:hAnsi="仿宋" w:eastAsia="仿宋" w:cs="仿宋"/>
          <w:b/>
          <w:bCs/>
          <w:color w:val="auto"/>
          <w:sz w:val="21"/>
          <w:szCs w:val="21"/>
          <w:highlight w:val="none"/>
          <w:lang w:bidi="ar"/>
        </w:rPr>
        <w:t>（二）定义</w:t>
      </w:r>
      <w:bookmarkEnd w:id="69"/>
    </w:p>
    <w:p w14:paraId="204B1C9B">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1.“采购人”系指</w:t>
      </w:r>
      <w:r>
        <w:rPr>
          <w:rFonts w:hint="eastAsia" w:ascii="仿宋" w:hAnsi="仿宋" w:eastAsia="仿宋" w:cs="仿宋"/>
          <w:color w:val="auto"/>
          <w:sz w:val="21"/>
          <w:szCs w:val="21"/>
          <w:highlight w:val="none"/>
          <w:lang w:eastAsia="zh-CN" w:bidi="ar"/>
        </w:rPr>
        <w:t>浙江万里学院</w:t>
      </w:r>
      <w:r>
        <w:rPr>
          <w:rFonts w:hint="eastAsia" w:ascii="仿宋" w:hAnsi="仿宋" w:eastAsia="仿宋" w:cs="仿宋"/>
          <w:color w:val="auto"/>
          <w:sz w:val="21"/>
          <w:szCs w:val="21"/>
          <w:highlight w:val="none"/>
          <w:lang w:bidi="ar"/>
        </w:rPr>
        <w:t>。</w:t>
      </w:r>
    </w:p>
    <w:p w14:paraId="72C1B2C5">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2.“采购代理机构”系指组织本次竞争性磋商的浙江省成套招标代理有限公司。</w:t>
      </w:r>
    </w:p>
    <w:p w14:paraId="0E85BB7C">
      <w:pPr>
        <w:shd w:val="clear"/>
        <w:adjustRightInd w:val="0"/>
        <w:snapToGrid w:val="0"/>
        <w:spacing w:line="360" w:lineRule="auto"/>
        <w:ind w:firstLine="420" w:firstLineChars="200"/>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3.“供应商”系指提交响应文件和报价、参与竞争性磋商采购活动的法人、其他组织或者自然人。</w:t>
      </w:r>
    </w:p>
    <w:p w14:paraId="559A4073">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4.“负责人”系指法人企业的法定负责人，或其他组织为法律、行政法规规定代表单位行使职权的主要负责人，或自然人本人。</w:t>
      </w:r>
    </w:p>
    <w:p w14:paraId="016A9F7B">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5.“书面形式”包括合同书、信件和数据电文(包括电报、电传、传真、电子数据交换和电子邮件)等可以有形地表现所载内容的形式。</w:t>
      </w:r>
    </w:p>
    <w:p w14:paraId="1CF01579">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6.“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p>
    <w:p w14:paraId="09C0BBEC">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7.“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1）。</w:t>
      </w:r>
    </w:p>
    <w:p w14:paraId="5E43845B">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磋商文件对响应文件签署、盖章的要求适用于电子签名。</w:t>
      </w:r>
    </w:p>
    <w:p w14:paraId="45600D2C">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8.“▲”系指实质性要求条款，“★”系指重要技术指标。“</w:t>
      </w:r>
      <w:r>
        <w:rPr>
          <w:rFonts w:hint="eastAsia" w:ascii="仿宋" w:hAnsi="仿宋" w:eastAsia="仿宋" w:cs="仿宋"/>
          <w:color w:val="auto"/>
          <w:kern w:val="0"/>
          <w:sz w:val="21"/>
          <w:szCs w:val="21"/>
          <w:highlight w:val="none"/>
        </w:rPr>
        <w:sym w:font="Wingdings" w:char="00FE"/>
      </w:r>
      <w:r>
        <w:rPr>
          <w:rFonts w:hint="eastAsia" w:ascii="仿宋" w:hAnsi="仿宋" w:eastAsia="仿宋" w:cs="仿宋"/>
          <w:color w:val="auto"/>
          <w:sz w:val="21"/>
          <w:szCs w:val="21"/>
          <w:highlight w:val="none"/>
          <w:lang w:bidi="ar"/>
        </w:rPr>
        <w:t>” 系指适用本项目的要求，“</w:t>
      </w:r>
      <w:r>
        <w:rPr>
          <w:rFonts w:hint="eastAsia" w:ascii="仿宋" w:hAnsi="仿宋" w:eastAsia="仿宋" w:cs="仿宋"/>
          <w:color w:val="auto"/>
          <w:kern w:val="0"/>
          <w:sz w:val="21"/>
          <w:szCs w:val="21"/>
          <w:highlight w:val="none"/>
        </w:rPr>
        <w:sym w:font="Wingdings" w:char="00A8"/>
      </w:r>
      <w:r>
        <w:rPr>
          <w:rFonts w:hint="eastAsia" w:ascii="仿宋" w:hAnsi="仿宋" w:eastAsia="仿宋" w:cs="仿宋"/>
          <w:color w:val="auto"/>
          <w:sz w:val="21"/>
          <w:szCs w:val="21"/>
          <w:highlight w:val="none"/>
          <w:lang w:bidi="ar"/>
        </w:rPr>
        <w:t>” 系指不适用本项目的要求。</w:t>
      </w:r>
    </w:p>
    <w:p w14:paraId="11D9026E">
      <w:pPr>
        <w:shd w:val="clear"/>
        <w:adjustRightInd w:val="0"/>
        <w:snapToGrid w:val="0"/>
        <w:spacing w:line="360" w:lineRule="auto"/>
        <w:outlineLvl w:val="2"/>
        <w:rPr>
          <w:rFonts w:hint="eastAsia" w:ascii="仿宋" w:hAnsi="仿宋" w:eastAsia="仿宋" w:cs="仿宋"/>
          <w:b/>
          <w:bCs/>
          <w:color w:val="auto"/>
          <w:sz w:val="21"/>
          <w:szCs w:val="21"/>
          <w:highlight w:val="none"/>
        </w:rPr>
      </w:pPr>
      <w:bookmarkStart w:id="70" w:name="_Toc17284"/>
      <w:r>
        <w:rPr>
          <w:rFonts w:hint="eastAsia" w:ascii="仿宋" w:hAnsi="仿宋" w:eastAsia="仿宋" w:cs="仿宋"/>
          <w:b/>
          <w:bCs/>
          <w:color w:val="auto"/>
          <w:sz w:val="21"/>
          <w:szCs w:val="21"/>
          <w:highlight w:val="none"/>
          <w:lang w:bidi="ar"/>
        </w:rPr>
        <w:t>（三）采购方式</w:t>
      </w:r>
      <w:bookmarkEnd w:id="70"/>
    </w:p>
    <w:p w14:paraId="4B64F4CD">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本次采购采用竞争性磋商（线上电子交易）方式进行。</w:t>
      </w:r>
    </w:p>
    <w:p w14:paraId="321894FC">
      <w:pPr>
        <w:shd w:val="clear"/>
        <w:adjustRightInd w:val="0"/>
        <w:snapToGrid w:val="0"/>
        <w:spacing w:line="360" w:lineRule="auto"/>
        <w:outlineLvl w:val="2"/>
        <w:rPr>
          <w:rFonts w:hint="eastAsia" w:ascii="仿宋" w:hAnsi="仿宋" w:eastAsia="仿宋" w:cs="仿宋"/>
          <w:b/>
          <w:bCs/>
          <w:color w:val="auto"/>
          <w:sz w:val="21"/>
          <w:szCs w:val="21"/>
          <w:highlight w:val="none"/>
        </w:rPr>
      </w:pPr>
      <w:bookmarkStart w:id="71" w:name="_Toc30063"/>
      <w:r>
        <w:rPr>
          <w:rFonts w:hint="eastAsia" w:ascii="仿宋" w:hAnsi="仿宋" w:eastAsia="仿宋" w:cs="仿宋"/>
          <w:b/>
          <w:bCs/>
          <w:color w:val="auto"/>
          <w:sz w:val="21"/>
          <w:szCs w:val="21"/>
          <w:highlight w:val="none"/>
          <w:lang w:bidi="ar"/>
        </w:rPr>
        <w:t>（四）竞争性磋商委托</w:t>
      </w:r>
      <w:bookmarkEnd w:id="71"/>
    </w:p>
    <w:p w14:paraId="383FDAEE">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1.▲供应商授权代表必须为供应商本单位在职职工，并提供2025年1月1日至今任意一月社保缴纳证明（授权代表为法定代表人可不提供）。</w:t>
      </w:r>
    </w:p>
    <w:p w14:paraId="5A20A0D0">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2.▲如供应商代表不是法定代表人，须提供法定代表人授权委托书（格式详见磋商文件第六章）。</w:t>
      </w:r>
    </w:p>
    <w:p w14:paraId="5BF53697">
      <w:pPr>
        <w:shd w:val="clear"/>
        <w:adjustRightInd w:val="0"/>
        <w:snapToGrid w:val="0"/>
        <w:spacing w:line="360" w:lineRule="auto"/>
        <w:outlineLvl w:val="2"/>
        <w:rPr>
          <w:rFonts w:hint="eastAsia" w:ascii="仿宋" w:hAnsi="仿宋" w:eastAsia="仿宋" w:cs="仿宋"/>
          <w:b/>
          <w:bCs/>
          <w:color w:val="auto"/>
          <w:sz w:val="21"/>
          <w:szCs w:val="21"/>
          <w:highlight w:val="none"/>
        </w:rPr>
      </w:pPr>
      <w:bookmarkStart w:id="72" w:name="_Toc27578"/>
      <w:r>
        <w:rPr>
          <w:rFonts w:hint="eastAsia" w:ascii="仿宋" w:hAnsi="仿宋" w:eastAsia="仿宋" w:cs="仿宋"/>
          <w:b/>
          <w:bCs/>
          <w:color w:val="auto"/>
          <w:sz w:val="21"/>
          <w:szCs w:val="21"/>
          <w:highlight w:val="none"/>
          <w:lang w:bidi="ar"/>
        </w:rPr>
        <w:t>（五）磋商费用</w:t>
      </w:r>
      <w:bookmarkEnd w:id="72"/>
    </w:p>
    <w:p w14:paraId="4BC10C28">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1.不论磋商结果如何，供应商均应自行承担所有与磋商有关的全部费用。</w:t>
      </w:r>
    </w:p>
    <w:p w14:paraId="31C0BAC3">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2.成交供应商在成交通知书发出之日起七个工作日内，向采购代理机构交纳代理服务费。</w:t>
      </w:r>
    </w:p>
    <w:p w14:paraId="77EEA258">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3.成交供应商逾期支付代理服务费，须承担代理服务费每日百分之三的违约金，逾期十日未支付的，采购代理机构有权向</w:t>
      </w:r>
      <w:r>
        <w:rPr>
          <w:rFonts w:hint="eastAsia" w:ascii="仿宋" w:hAnsi="仿宋" w:eastAsia="仿宋" w:cs="仿宋"/>
          <w:color w:val="auto"/>
          <w:sz w:val="21"/>
          <w:szCs w:val="21"/>
          <w:highlight w:val="none"/>
          <w:lang w:val="en-US" w:eastAsia="zh-CN" w:bidi="ar"/>
        </w:rPr>
        <w:t>宁波</w:t>
      </w:r>
      <w:r>
        <w:rPr>
          <w:rFonts w:hint="eastAsia" w:ascii="仿宋" w:hAnsi="仿宋" w:eastAsia="仿宋" w:cs="仿宋"/>
          <w:color w:val="auto"/>
          <w:sz w:val="21"/>
          <w:szCs w:val="21"/>
          <w:highlight w:val="none"/>
          <w:lang w:bidi="ar"/>
        </w:rPr>
        <w:t>仲裁委员会对成交供应商提起仲裁，仲裁费用（包括仲裁受理费和仲裁处理费）均由成交供应商承担。</w:t>
      </w:r>
    </w:p>
    <w:p w14:paraId="0FE1E99D">
      <w:pPr>
        <w:shd w:val="clear"/>
        <w:adjustRightInd w:val="0"/>
        <w:snapToGrid w:val="0"/>
        <w:spacing w:line="360" w:lineRule="auto"/>
        <w:ind w:firstLine="420" w:firstLineChars="200"/>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4.代理服务费收费标准（差额累进）：详见须知前附表。</w:t>
      </w:r>
    </w:p>
    <w:p w14:paraId="18E6D56D">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5.磋商保证金（元）：无。</w:t>
      </w:r>
    </w:p>
    <w:p w14:paraId="5CEAAF4A">
      <w:pPr>
        <w:shd w:val="clear"/>
        <w:adjustRightInd w:val="0"/>
        <w:snapToGrid w:val="0"/>
        <w:spacing w:line="360" w:lineRule="auto"/>
        <w:outlineLvl w:val="2"/>
        <w:rPr>
          <w:rFonts w:hint="eastAsia" w:ascii="仿宋" w:hAnsi="仿宋" w:eastAsia="仿宋" w:cs="仿宋"/>
          <w:b/>
          <w:bCs/>
          <w:color w:val="auto"/>
          <w:sz w:val="21"/>
          <w:szCs w:val="21"/>
          <w:highlight w:val="none"/>
        </w:rPr>
      </w:pPr>
      <w:bookmarkStart w:id="73" w:name="_Toc23335"/>
      <w:r>
        <w:rPr>
          <w:rFonts w:hint="eastAsia" w:ascii="仿宋" w:hAnsi="仿宋" w:eastAsia="仿宋" w:cs="仿宋"/>
          <w:b/>
          <w:bCs/>
          <w:color w:val="auto"/>
          <w:sz w:val="21"/>
          <w:szCs w:val="21"/>
          <w:highlight w:val="none"/>
          <w:lang w:bidi="ar"/>
        </w:rPr>
        <w:t>（六）联合体响应</w:t>
      </w:r>
      <w:bookmarkEnd w:id="73"/>
    </w:p>
    <w:p w14:paraId="01EF96B5">
      <w:pPr>
        <w:shd w:val="clear"/>
        <w:adjustRightInd w:val="0"/>
        <w:snapToGrid w:val="0"/>
        <w:spacing w:line="360" w:lineRule="auto"/>
        <w:ind w:firstLine="420" w:firstLineChars="200"/>
        <w:rPr>
          <w:rFonts w:hint="eastAsia" w:ascii="仿宋" w:hAnsi="仿宋" w:eastAsia="仿宋" w:cs="仿宋"/>
          <w:color w:val="auto"/>
          <w:sz w:val="21"/>
          <w:szCs w:val="21"/>
          <w:highlight w:val="none"/>
          <w:lang w:bidi="ar"/>
        </w:rPr>
      </w:pPr>
      <w:bookmarkStart w:id="74" w:name="_Toc29347"/>
      <w:r>
        <w:rPr>
          <w:rFonts w:hint="eastAsia" w:ascii="仿宋" w:hAnsi="仿宋" w:eastAsia="仿宋" w:cs="仿宋"/>
          <w:color w:val="auto"/>
          <w:sz w:val="21"/>
          <w:szCs w:val="21"/>
          <w:highlight w:val="none"/>
          <w:lang w:bidi="ar"/>
        </w:rPr>
        <w:t>1.是否接受联合体响应：详见《第一章 竞争性磋商公告》。</w:t>
      </w:r>
    </w:p>
    <w:p w14:paraId="3554ED9F">
      <w:pPr>
        <w:shd w:val="clear"/>
        <w:adjustRightInd w:val="0"/>
        <w:snapToGrid w:val="0"/>
        <w:spacing w:line="360" w:lineRule="auto"/>
        <w:ind w:firstLine="420" w:firstLineChars="200"/>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2.接受联合体响应的，组成联合体的各方应遵守以下规定：</w:t>
      </w:r>
    </w:p>
    <w:p w14:paraId="671A2FBE">
      <w:pPr>
        <w:shd w:val="clear"/>
        <w:adjustRightInd w:val="0"/>
        <w:snapToGrid w:val="0"/>
        <w:spacing w:line="360" w:lineRule="auto"/>
        <w:ind w:firstLine="420" w:firstLineChars="200"/>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1）两个以上的自然人、法人或者其他组织可以组成一个联合体，以一个供应商的身份共同参加政府采购。以联合体形式参加政府采购的，应当在响应文件中提交《联合协议》，载明联合体各方承担的工作和义务。未提交有效的《联合协议》的联合体投标无效。</w:t>
      </w:r>
    </w:p>
    <w:p w14:paraId="6BAF9975">
      <w:pPr>
        <w:shd w:val="clear"/>
        <w:adjustRightInd w:val="0"/>
        <w:snapToGrid w:val="0"/>
        <w:spacing w:line="360" w:lineRule="auto"/>
        <w:ind w:firstLine="420" w:firstLineChars="200"/>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（2）联合体各方应当共同与采购人签订采购合同，就采购合同约定的事项对采购人承担连带责任。</w:t>
      </w:r>
    </w:p>
    <w:p w14:paraId="1819FA65">
      <w:pPr>
        <w:shd w:val="clear"/>
        <w:adjustRightInd w:val="0"/>
        <w:snapToGrid w:val="0"/>
        <w:spacing w:line="360" w:lineRule="auto"/>
        <w:ind w:firstLine="420" w:firstLineChars="200"/>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3）联合体中有同类资质的供应商按照联合体分工承担相同工作的，按照资质等级较低的供应商确定资质等级（联合体投标的，联合体各方分别提供与联合体协议中规定的分工内容相应的业绩证明材料，业绩数量以提供材料较少的一方为准）。以联合体形式参加政府采购活动的，联合体各方不得再单独参加或者与其他供应商另外组成联合体参加同一合同项下的政府采购活动。以联合体形式参加政府采购活动，联合体各方均为中小企业的，联合体视同中小企业。其中，联合体各方均为小微企业的，联合体视同小微企业。</w:t>
      </w:r>
    </w:p>
    <w:p w14:paraId="38737118">
      <w:pPr>
        <w:shd w:val="clear"/>
        <w:adjustRightInd w:val="0"/>
        <w:snapToGrid w:val="0"/>
        <w:spacing w:line="360" w:lineRule="auto"/>
        <w:ind w:firstLine="420" w:firstLineChars="200"/>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4）联合体形式参加政府采购的，采购文件中有明确规定联合体各方均须提供的材料应当由联合体各成员共同签、章（或分别提供各自签、章）。采购文件没有明确规定联合体各方均须提供的材料可以由联合投标协议书中载明的牵头人（主办方）按规定进行签、章，牵头人（主办方）代表联合体签、章的，对联合体各成员方同样具有约束力。</w:t>
      </w:r>
    </w:p>
    <w:p w14:paraId="5D1AA2AF">
      <w:pPr>
        <w:shd w:val="clear"/>
        <w:adjustRightInd w:val="0"/>
        <w:snapToGrid w:val="0"/>
        <w:spacing w:line="360" w:lineRule="auto"/>
        <w:ind w:firstLine="420" w:firstLineChars="200"/>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（5）联合体形式参加政府采购的，履约保证金、采购代理服务费可由牵头人（主办方）一方缴纳，也可以由联合体各方按联合投标协议书约定共同缴纳。</w:t>
      </w:r>
    </w:p>
    <w:p w14:paraId="41D81100">
      <w:pPr>
        <w:shd w:val="clear"/>
        <w:adjustRightInd w:val="0"/>
        <w:snapToGrid w:val="0"/>
        <w:spacing w:line="360" w:lineRule="auto"/>
        <w:outlineLvl w:val="2"/>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t>（七）转包与分包</w:t>
      </w:r>
      <w:bookmarkEnd w:id="74"/>
    </w:p>
    <w:p w14:paraId="5CAA7B51">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1.本项目不允许转包。</w:t>
      </w:r>
    </w:p>
    <w:p w14:paraId="53D198C3">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2.本项目不允许分包，不适宜分包的理由是：</w:t>
      </w:r>
      <w:r>
        <w:rPr>
          <w:rFonts w:hint="eastAsia" w:ascii="仿宋" w:hAnsi="仿宋" w:eastAsia="仿宋" w:cs="仿宋"/>
          <w:color w:val="auto"/>
          <w:sz w:val="21"/>
          <w:szCs w:val="21"/>
          <w:highlight w:val="none"/>
          <w:u w:val="single"/>
          <w:lang w:bidi="ar"/>
        </w:rPr>
        <w:t>服务内容整体不可分割</w:t>
      </w:r>
      <w:r>
        <w:rPr>
          <w:rFonts w:hint="eastAsia" w:ascii="仿宋" w:hAnsi="仿宋" w:eastAsia="仿宋" w:cs="仿宋"/>
          <w:color w:val="auto"/>
          <w:sz w:val="21"/>
          <w:szCs w:val="21"/>
          <w:highlight w:val="none"/>
        </w:rPr>
        <w:t>。</w:t>
      </w:r>
    </w:p>
    <w:p w14:paraId="2305C2F4">
      <w:pPr>
        <w:shd w:val="clear"/>
        <w:adjustRightInd w:val="0"/>
        <w:snapToGrid w:val="0"/>
        <w:spacing w:line="360" w:lineRule="auto"/>
        <w:outlineLvl w:val="2"/>
        <w:rPr>
          <w:rFonts w:hint="eastAsia" w:ascii="仿宋" w:hAnsi="仿宋" w:eastAsia="仿宋" w:cs="仿宋"/>
          <w:b/>
          <w:bCs/>
          <w:color w:val="auto"/>
          <w:sz w:val="21"/>
          <w:szCs w:val="21"/>
          <w:highlight w:val="none"/>
        </w:rPr>
      </w:pPr>
      <w:bookmarkStart w:id="75" w:name="_Toc9434"/>
      <w:r>
        <w:rPr>
          <w:rFonts w:hint="eastAsia" w:ascii="仿宋" w:hAnsi="仿宋" w:eastAsia="仿宋" w:cs="仿宋"/>
          <w:b/>
          <w:bCs/>
          <w:color w:val="auto"/>
          <w:sz w:val="21"/>
          <w:szCs w:val="21"/>
          <w:highlight w:val="none"/>
          <w:lang w:bidi="ar"/>
        </w:rPr>
        <w:t>（八）质疑和投诉</w:t>
      </w:r>
      <w:bookmarkEnd w:id="75"/>
    </w:p>
    <w:p w14:paraId="3B9E6365">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1.供应商认为采购文件、采购过程、中标或者成交结果使自己的权益受到损害的，可以在知道或者应知其权益受到损害之日起7个工作日内，</w:t>
      </w:r>
      <w:r>
        <w:rPr>
          <w:rFonts w:hint="eastAsia" w:ascii="仿宋" w:hAnsi="仿宋" w:eastAsia="仿宋" w:cs="仿宋"/>
          <w:color w:val="auto"/>
          <w:sz w:val="21"/>
          <w:szCs w:val="21"/>
          <w:highlight w:val="none"/>
        </w:rPr>
        <w:t>以书面形式向采购代理机构提出质疑</w:t>
      </w:r>
      <w:r>
        <w:rPr>
          <w:rFonts w:hint="eastAsia" w:ascii="仿宋" w:hAnsi="仿宋" w:eastAsia="仿宋" w:cs="仿宋"/>
          <w:color w:val="auto"/>
          <w:sz w:val="21"/>
          <w:szCs w:val="21"/>
          <w:highlight w:val="none"/>
          <w:lang w:bidi="ar"/>
        </w:rPr>
        <w:t>。质疑供应商对采购人、采购代理机构的答复不满意，或者采购人、采购代理机构未在规定时间内作出答复的，可以在答复期满后15个工作日内向采购公告中载明的政府采购监督管理部门提起投诉。</w:t>
      </w:r>
    </w:p>
    <w:p w14:paraId="23E8DA42">
      <w:pPr>
        <w:shd w:val="clear"/>
        <w:adjustRightInd w:val="0"/>
        <w:snapToGrid w:val="0"/>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t>2.供应商提出质疑应当提交质疑函和必要的证明材料，质疑函范本、投诉书范本请到浙江政府采购网下载专区下载。质疑函应当包括下列内容：</w:t>
      </w:r>
    </w:p>
    <w:p w14:paraId="747F634B">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（1）供应商的姓名或者名称、地址、邮编、联系人及联系电话。</w:t>
      </w:r>
    </w:p>
    <w:p w14:paraId="14C53FE1">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（2）质疑项目的名称、编号。</w:t>
      </w:r>
    </w:p>
    <w:p w14:paraId="4E998437">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（3）具体、明确的质疑事项和与质疑事项相关的请求。</w:t>
      </w:r>
    </w:p>
    <w:p w14:paraId="07F726E1">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（4）事实依据。</w:t>
      </w:r>
    </w:p>
    <w:p w14:paraId="444C2A09">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（5）必要的法律依据。</w:t>
      </w:r>
    </w:p>
    <w:p w14:paraId="38136A48">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（6）提出质疑的日期。</w:t>
      </w:r>
    </w:p>
    <w:p w14:paraId="5262E327">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供应商为自然人的，应当由本人签名。供应商为法人或者其他组织的，应当由法定代表人、主要负责人，或者其授权代表签名或者盖章，并加盖公章。</w:t>
      </w:r>
    </w:p>
    <w:p w14:paraId="3C134E85">
      <w:pPr>
        <w:shd w:val="clear"/>
        <w:adjustRightInd w:val="0"/>
        <w:snapToGrid w:val="0"/>
        <w:spacing w:line="360" w:lineRule="auto"/>
        <w:ind w:firstLine="420" w:firstLineChars="200"/>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lang w:bidi="ar"/>
        </w:rPr>
        <w:t>3.提出质疑的供应商应当是参与本项目磋商响应活动的供应商。</w:t>
      </w:r>
      <w:r>
        <w:rPr>
          <w:rFonts w:hint="eastAsia" w:ascii="仿宋" w:hAnsi="仿宋" w:eastAsia="仿宋" w:cs="仿宋"/>
          <w:b/>
          <w:bCs/>
          <w:color w:val="auto"/>
          <w:sz w:val="21"/>
          <w:szCs w:val="21"/>
          <w:highlight w:val="none"/>
          <w:lang w:bidi="ar"/>
        </w:rPr>
        <w:t>供应商在法定质疑期内应一次性提出针对同一采购程序环节的质疑。</w:t>
      </w:r>
    </w:p>
    <w:p w14:paraId="64774719">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4.根据《政府采购质疑和投诉办法》第三十七条的规定，投诉人在全国范围12个月内三次以上投诉查无实据的，由财政部门列入不良行为记录名单。</w:t>
      </w:r>
    </w:p>
    <w:p w14:paraId="5A6F349C">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投诉人有下列行为之一的，属于虚假、恶意投诉，由财政部门列入不良行为记录名单，禁止其1至3年内参加政府采购活动：</w:t>
      </w:r>
    </w:p>
    <w:p w14:paraId="7ACA01C8">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（1）捏造事实。</w:t>
      </w:r>
    </w:p>
    <w:p w14:paraId="646189BD">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（2）提供虚假材料。</w:t>
      </w:r>
    </w:p>
    <w:p w14:paraId="15836BB3">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（3）以非法手段取得证明材料。证据来源的合法性存在明显疑问，投诉人无法证明其取得方式合法的，视为以非法手段取得证明材料。</w:t>
      </w:r>
    </w:p>
    <w:p w14:paraId="179B9EE3">
      <w:pPr>
        <w:shd w:val="clear"/>
        <w:adjustRightInd w:val="0"/>
        <w:snapToGrid w:val="0"/>
        <w:spacing w:line="360" w:lineRule="auto"/>
        <w:outlineLvl w:val="2"/>
        <w:rPr>
          <w:rFonts w:hint="eastAsia" w:ascii="仿宋" w:hAnsi="仿宋" w:eastAsia="仿宋" w:cs="仿宋"/>
          <w:b/>
          <w:color w:val="auto"/>
          <w:kern w:val="0"/>
          <w:sz w:val="21"/>
          <w:szCs w:val="21"/>
          <w:highlight w:val="none"/>
        </w:rPr>
      </w:pPr>
      <w:bookmarkStart w:id="76" w:name="_Toc26211"/>
      <w:r>
        <w:rPr>
          <w:rFonts w:hint="eastAsia" w:ascii="仿宋" w:hAnsi="仿宋" w:eastAsia="仿宋" w:cs="仿宋"/>
          <w:b/>
          <w:color w:val="auto"/>
          <w:kern w:val="0"/>
          <w:sz w:val="21"/>
          <w:szCs w:val="21"/>
          <w:highlight w:val="none"/>
          <w:lang w:bidi="ar"/>
        </w:rPr>
        <w:t>（九）采购项目需要落实的政府采购政策</w:t>
      </w:r>
      <w:bookmarkEnd w:id="76"/>
    </w:p>
    <w:p w14:paraId="13437300">
      <w:pPr>
        <w:shd w:val="clear"/>
        <w:adjustRightInd w:val="0"/>
        <w:snapToGrid w:val="0"/>
        <w:spacing w:line="360" w:lineRule="auto"/>
        <w:ind w:firstLine="422" w:firstLineChars="200"/>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t>1.支持中小企业发展</w:t>
      </w:r>
    </w:p>
    <w:p w14:paraId="0FF4ED3C">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2021FC3">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符合中小企业划分标准的个体工商户，在政府采购活动中视同中小企业。</w:t>
      </w:r>
    </w:p>
    <w:p w14:paraId="32BC3AFA">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在政府采购活动中，供应商提供的货物、工程或者服务符合下列情形的，享受中小企业扶持政策：</w:t>
      </w:r>
    </w:p>
    <w:p w14:paraId="712DC482">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505844BE">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在货物采购项目中，供应商提供的货物既有中小企业制造货物，也有大型企业制造货物的，不享受中小企业扶持政策。</w:t>
      </w:r>
    </w:p>
    <w:p w14:paraId="2BB05A7D">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以联合体形式参加政府采购活动，联合体各方均为中小企业的，联合体视同中小企业。其中，联合体各方均为小微企业的，联合体视同小微企业。</w:t>
      </w:r>
    </w:p>
    <w:p w14:paraId="1CDB80C5">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对于未预留份额专门面向中小企业的政府采购货物或服务项目，以及预留份额政府采购货物或服务项目中的非预留部分标项，对小型和微型企业的最后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CA33E48">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lang w:bidi="ar"/>
        </w:rPr>
        <w:t>符合《关于促进残疾人就业政府采购政策的通知》（财库〔2017〕141号）规定的条件并提供《残疾人福利性单位声明函》的残疾人福利性单位视同小型、微型企业。</w:t>
      </w:r>
    </w:p>
    <w:p w14:paraId="7ECC4196">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lang w:bidi="ar"/>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175F8AF6">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552C5AC6">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中小企业享受扶持政策获得政府采购合同的，小微企业不得将合同分包给大中型企业，中型企业不得将合同分包给大型企业。</w:t>
      </w:r>
    </w:p>
    <w:p w14:paraId="4C110B63">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除财库《政府采购促进中小企业发展管理办法》（财库〔2020〕46号）、《关于促进残疾人就业政府采购政策的通知》（财库〔2017〕141号）、《关于政府采购支持监狱企业发展有关问题的通知》（财库[2014]68号）规定企业类型以外的供应商不享受中小企业扶持政策。</w:t>
      </w:r>
    </w:p>
    <w:p w14:paraId="0CA84C45">
      <w:pPr>
        <w:shd w:val="clear"/>
        <w:adjustRightInd w:val="0"/>
        <w:snapToGrid w:val="0"/>
        <w:spacing w:line="360" w:lineRule="auto"/>
        <w:rPr>
          <w:rFonts w:hint="eastAsia" w:ascii="仿宋" w:hAnsi="仿宋" w:eastAsia="仿宋" w:cs="仿宋"/>
          <w:color w:val="auto"/>
          <w:sz w:val="21"/>
          <w:szCs w:val="21"/>
          <w:highlight w:val="none"/>
        </w:rPr>
      </w:pPr>
    </w:p>
    <w:p w14:paraId="4BE73169">
      <w:pPr>
        <w:shd w:val="clear"/>
        <w:adjustRightInd w:val="0"/>
        <w:snapToGrid w:val="0"/>
        <w:spacing w:line="360" w:lineRule="auto"/>
        <w:jc w:val="center"/>
        <w:outlineLvl w:val="1"/>
        <w:rPr>
          <w:rFonts w:hint="eastAsia" w:ascii="仿宋" w:hAnsi="仿宋" w:eastAsia="仿宋" w:cs="仿宋"/>
          <w:b/>
          <w:bCs/>
          <w:color w:val="auto"/>
          <w:sz w:val="21"/>
          <w:szCs w:val="21"/>
          <w:highlight w:val="none"/>
        </w:rPr>
      </w:pPr>
      <w:bookmarkStart w:id="77" w:name="_Toc4778"/>
      <w:bookmarkStart w:id="78" w:name="_Toc22518"/>
      <w:bookmarkStart w:id="79" w:name="_Toc4366"/>
      <w:r>
        <w:rPr>
          <w:rFonts w:hint="eastAsia" w:ascii="仿宋" w:hAnsi="仿宋" w:eastAsia="仿宋" w:cs="仿宋"/>
          <w:b/>
          <w:bCs/>
          <w:color w:val="auto"/>
          <w:sz w:val="21"/>
          <w:szCs w:val="21"/>
          <w:highlight w:val="none"/>
          <w:lang w:bidi="ar"/>
        </w:rPr>
        <w:br w:type="page"/>
      </w:r>
      <w:r>
        <w:rPr>
          <w:rFonts w:hint="eastAsia" w:ascii="仿宋" w:hAnsi="仿宋" w:eastAsia="仿宋" w:cs="仿宋"/>
          <w:b/>
          <w:bCs/>
          <w:color w:val="auto"/>
          <w:sz w:val="21"/>
          <w:szCs w:val="21"/>
          <w:highlight w:val="none"/>
          <w:lang w:bidi="ar"/>
        </w:rPr>
        <w:t>二、磋商文件</w:t>
      </w:r>
      <w:bookmarkEnd w:id="77"/>
      <w:bookmarkEnd w:id="78"/>
      <w:bookmarkEnd w:id="79"/>
    </w:p>
    <w:p w14:paraId="4F7832D5">
      <w:pPr>
        <w:shd w:val="clear"/>
        <w:adjustRightInd w:val="0"/>
        <w:snapToGrid w:val="0"/>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t>（一）磋商文件的构成</w:t>
      </w:r>
    </w:p>
    <w:p w14:paraId="11F4DEA5">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本磋商文件由以下部分组成：</w:t>
      </w:r>
    </w:p>
    <w:p w14:paraId="6130024A">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1.采购邀请。</w:t>
      </w:r>
    </w:p>
    <w:p w14:paraId="79555E93">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2.采购需求。</w:t>
      </w:r>
    </w:p>
    <w:p w14:paraId="2856258F">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3.供应商须知</w:t>
      </w:r>
    </w:p>
    <w:p w14:paraId="781FF41B">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4.评审方法和评审标准。</w:t>
      </w:r>
    </w:p>
    <w:p w14:paraId="763EC3DE">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5.拟签订的合同文本。</w:t>
      </w:r>
    </w:p>
    <w:p w14:paraId="5737C79A">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6.响应文件格式。</w:t>
      </w:r>
    </w:p>
    <w:p w14:paraId="0A356FCA">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7.本项目磋商文件的澄清、答复、修改、补充的内容。</w:t>
      </w:r>
    </w:p>
    <w:p w14:paraId="67A97854">
      <w:pPr>
        <w:shd w:val="clear"/>
        <w:adjustRightInd w:val="0"/>
        <w:snapToGrid w:val="0"/>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t>（二）供应商的风险</w:t>
      </w:r>
    </w:p>
    <w:p w14:paraId="608EF650">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供应商没有按照磋商文件要求提供全部资料，或者供应商没有对磋商文件在各方面作出实质性响应是供应商的风险，并可能导致其响应被拒绝。</w:t>
      </w:r>
    </w:p>
    <w:p w14:paraId="73F213FC">
      <w:pPr>
        <w:shd w:val="clear"/>
        <w:adjustRightInd w:val="0"/>
        <w:snapToGrid w:val="0"/>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t>（三）磋商文件的澄清与修改</w:t>
      </w:r>
    </w:p>
    <w:p w14:paraId="1ECDF1BF">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1.已获取采购文件的潜在供应商，若有问题需要澄清，应于响应文件提交（上传）截止时间前，以书面形式向采购代理机构提出。</w:t>
      </w:r>
    </w:p>
    <w:p w14:paraId="66569B35">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2.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412936C">
      <w:pPr>
        <w:shd w:val="clear"/>
        <w:adjustRightInd w:val="0"/>
        <w:snapToGrid w:val="0"/>
        <w:spacing w:line="360" w:lineRule="auto"/>
        <w:ind w:firstLine="420" w:firstLineChars="200"/>
        <w:rPr>
          <w:rFonts w:hint="eastAsia" w:ascii="仿宋" w:hAnsi="仿宋" w:eastAsia="仿宋" w:cs="仿宋"/>
          <w:b/>
          <w:bCs/>
          <w:color w:val="auto"/>
          <w:sz w:val="21"/>
          <w:szCs w:val="21"/>
          <w:highlight w:val="none"/>
          <w:lang w:bidi="ar"/>
        </w:rPr>
      </w:pPr>
      <w:r>
        <w:rPr>
          <w:rFonts w:hint="eastAsia" w:ascii="仿宋" w:hAnsi="仿宋" w:eastAsia="仿宋" w:cs="仿宋"/>
          <w:color w:val="auto"/>
          <w:sz w:val="21"/>
          <w:szCs w:val="21"/>
          <w:highlight w:val="none"/>
          <w:lang w:bidi="ar"/>
        </w:rPr>
        <w:t>3.磋商文件澄清、答复、修改、补充的内容为磋商文件的组成部分。当磋商文件与磋商文件的答复、澄清、修改、补充通知就同一内容的表述不一致时，以最后发出的文件为准。</w:t>
      </w:r>
    </w:p>
    <w:p w14:paraId="543B7F25">
      <w:pPr>
        <w:shd w:val="clear"/>
        <w:adjustRightInd w:val="0"/>
        <w:snapToGrid w:val="0"/>
        <w:spacing w:line="360" w:lineRule="auto"/>
        <w:ind w:firstLine="420" w:firstLineChars="200"/>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4.磋商文件的澄清、答复、修改、补充都应该通过本采购代理机构以法定形式发布，采购人非通过本机构，不得擅自澄清、答复、修改、补充磋商文件。</w:t>
      </w:r>
    </w:p>
    <w:p w14:paraId="5F967CD2">
      <w:pPr>
        <w:shd w:val="clear"/>
        <w:adjustRightInd w:val="0"/>
        <w:snapToGrid w:val="0"/>
        <w:spacing w:line="360" w:lineRule="auto"/>
        <w:ind w:firstLine="422" w:firstLineChars="200"/>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lang w:bidi="ar"/>
        </w:rPr>
        <w:t>5.▲响应文件未按磋商文件的澄清、修改的内容编制，又不符合实质性要求的，响应无效。</w:t>
      </w:r>
    </w:p>
    <w:p w14:paraId="0D9BB09A">
      <w:pPr>
        <w:shd w:val="clear"/>
        <w:adjustRightInd w:val="0"/>
        <w:snapToGrid w:val="0"/>
        <w:spacing w:line="360" w:lineRule="auto"/>
        <w:jc w:val="center"/>
        <w:outlineLvl w:val="1"/>
        <w:rPr>
          <w:rFonts w:hint="eastAsia" w:ascii="仿宋" w:hAnsi="仿宋" w:eastAsia="仿宋" w:cs="仿宋"/>
          <w:b/>
          <w:bCs/>
          <w:color w:val="auto"/>
          <w:sz w:val="21"/>
          <w:szCs w:val="21"/>
          <w:highlight w:val="none"/>
        </w:rPr>
      </w:pPr>
      <w:bookmarkStart w:id="80" w:name="_Toc3808"/>
      <w:bookmarkStart w:id="81" w:name="_Toc9298"/>
      <w:bookmarkStart w:id="82" w:name="_Toc18945"/>
      <w:r>
        <w:rPr>
          <w:rFonts w:hint="eastAsia" w:ascii="仿宋" w:hAnsi="仿宋" w:eastAsia="仿宋" w:cs="仿宋"/>
          <w:b/>
          <w:bCs/>
          <w:color w:val="auto"/>
          <w:sz w:val="21"/>
          <w:szCs w:val="21"/>
          <w:highlight w:val="none"/>
          <w:lang w:bidi="ar"/>
        </w:rPr>
        <w:br w:type="page"/>
      </w:r>
      <w:r>
        <w:rPr>
          <w:rFonts w:hint="eastAsia" w:ascii="仿宋" w:hAnsi="仿宋" w:eastAsia="仿宋" w:cs="仿宋"/>
          <w:b/>
          <w:bCs/>
          <w:color w:val="auto"/>
          <w:sz w:val="21"/>
          <w:szCs w:val="21"/>
          <w:highlight w:val="none"/>
          <w:lang w:bidi="ar"/>
        </w:rPr>
        <w:t>三、响应文件的编制</w:t>
      </w:r>
      <w:bookmarkEnd w:id="80"/>
      <w:bookmarkEnd w:id="81"/>
      <w:bookmarkEnd w:id="82"/>
    </w:p>
    <w:p w14:paraId="29B81110">
      <w:pPr>
        <w:shd w:val="clear"/>
        <w:adjustRightInd w:val="0"/>
        <w:snapToGrid w:val="0"/>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t>（一）响应文件的组成</w:t>
      </w:r>
    </w:p>
    <w:p w14:paraId="24198A4C">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响应文件（电子加密响应文件）由</w:t>
      </w:r>
      <w:r>
        <w:rPr>
          <w:rFonts w:hint="eastAsia" w:ascii="仿宋" w:hAnsi="仿宋" w:eastAsia="仿宋" w:cs="仿宋"/>
          <w:b/>
          <w:color w:val="auto"/>
          <w:sz w:val="21"/>
          <w:szCs w:val="21"/>
          <w:highlight w:val="none"/>
          <w:lang w:bidi="ar"/>
        </w:rPr>
        <w:t>资格文件、报价文件、商务技术文件三部分</w:t>
      </w:r>
      <w:r>
        <w:rPr>
          <w:rFonts w:hint="eastAsia" w:ascii="仿宋" w:hAnsi="仿宋" w:eastAsia="仿宋" w:cs="仿宋"/>
          <w:bCs/>
          <w:color w:val="auto"/>
          <w:sz w:val="21"/>
          <w:szCs w:val="21"/>
          <w:highlight w:val="none"/>
          <w:lang w:bidi="ar"/>
        </w:rPr>
        <w:t>组成（格式详见磋商文件第六章）。供应商应将响应文件各部分</w:t>
      </w:r>
      <w:r>
        <w:rPr>
          <w:rFonts w:hint="eastAsia" w:ascii="仿宋" w:hAnsi="仿宋" w:eastAsia="仿宋" w:cs="仿宋"/>
          <w:b/>
          <w:color w:val="auto"/>
          <w:sz w:val="21"/>
          <w:szCs w:val="21"/>
          <w:highlight w:val="none"/>
          <w:lang w:bidi="ar"/>
        </w:rPr>
        <w:t>分别上传</w:t>
      </w:r>
      <w:r>
        <w:rPr>
          <w:rFonts w:hint="eastAsia" w:ascii="仿宋" w:hAnsi="仿宋" w:eastAsia="仿宋" w:cs="仿宋"/>
          <w:bCs/>
          <w:color w:val="auto"/>
          <w:sz w:val="21"/>
          <w:szCs w:val="21"/>
          <w:highlight w:val="none"/>
          <w:lang w:bidi="ar"/>
        </w:rPr>
        <w:t>至政府采购云平台指定位置。</w:t>
      </w:r>
    </w:p>
    <w:p w14:paraId="72AE3AF6">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响应文件组成：详见“第六章  响应文件格式”目录。</w:t>
      </w:r>
    </w:p>
    <w:p w14:paraId="645A5393">
      <w:pPr>
        <w:shd w:val="clear"/>
        <w:adjustRightInd w:val="0"/>
        <w:snapToGrid w:val="0"/>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t>（二）响应文件的签署和份数</w:t>
      </w:r>
    </w:p>
    <w:p w14:paraId="6122B28C">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198BD92A">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2.响应文件须由供应商在规定位置加盖公章，供应商应写全称。</w:t>
      </w:r>
    </w:p>
    <w:p w14:paraId="26A95D18">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3.响应文件不得涂改，若有修改错漏处，须由供应商加盖公章，或者由法定代表人或其授权的代表签名。响应文件因字迹潦草或表达不清所引起的后果由供应商负责。</w:t>
      </w:r>
    </w:p>
    <w:p w14:paraId="2EAE3BB7">
      <w:pPr>
        <w:shd w:val="clear"/>
        <w:adjustRightInd w:val="0"/>
        <w:snapToGrid w:val="0"/>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t>4.响应文件份数：</w:t>
      </w:r>
    </w:p>
    <w:p w14:paraId="3EE93561">
      <w:pPr>
        <w:shd w:val="clear"/>
        <w:adjustRightInd w:val="0"/>
        <w:snapToGrid w:val="0"/>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t>电子加密响应文件：政府采购云平台在线上传一份。备份响应文件：密封包装后EMS或顺丰邮寄形式递交一份（邮寄地址：</w:t>
      </w:r>
      <w:r>
        <w:rPr>
          <w:rFonts w:hint="eastAsia" w:ascii="仿宋" w:hAnsi="仿宋" w:eastAsia="仿宋" w:cs="仿宋"/>
          <w:b/>
          <w:bCs/>
          <w:color w:val="auto"/>
          <w:sz w:val="21"/>
          <w:szCs w:val="21"/>
          <w:highlight w:val="none"/>
          <w:lang w:eastAsia="zh-CN" w:bidi="ar"/>
        </w:rPr>
        <w:t>宁波市海曙区翠柏路89号公共培训平台C座8楼</w:t>
      </w:r>
      <w:r>
        <w:rPr>
          <w:rFonts w:hint="eastAsia" w:ascii="仿宋" w:hAnsi="仿宋" w:eastAsia="仿宋" w:cs="仿宋"/>
          <w:b/>
          <w:bCs/>
          <w:color w:val="auto"/>
          <w:sz w:val="21"/>
          <w:szCs w:val="21"/>
          <w:highlight w:val="none"/>
          <w:lang w:bidi="ar"/>
        </w:rPr>
        <w:t>，浙江省成套招标代理有限公司（</w:t>
      </w:r>
      <w:r>
        <w:rPr>
          <w:rFonts w:hint="eastAsia" w:ascii="仿宋" w:hAnsi="仿宋" w:eastAsia="仿宋" w:cs="仿宋"/>
          <w:b/>
          <w:bCs/>
          <w:color w:val="auto"/>
          <w:sz w:val="21"/>
          <w:szCs w:val="21"/>
          <w:highlight w:val="none"/>
          <w:lang w:val="en-US" w:eastAsia="zh-CN" w:bidi="ar"/>
        </w:rPr>
        <w:t>马倩倩</w:t>
      </w:r>
      <w:r>
        <w:rPr>
          <w:rFonts w:hint="eastAsia" w:ascii="仿宋" w:hAnsi="仿宋" w:eastAsia="仿宋" w:cs="仿宋"/>
          <w:b/>
          <w:bCs/>
          <w:color w:val="auto"/>
          <w:sz w:val="21"/>
          <w:szCs w:val="21"/>
          <w:highlight w:val="none"/>
          <w:lang w:bidi="ar"/>
        </w:rPr>
        <w:t>）收，电话：</w:t>
      </w:r>
      <w:r>
        <w:rPr>
          <w:rFonts w:hint="eastAsia" w:ascii="仿宋" w:hAnsi="仿宋" w:eastAsia="仿宋" w:cs="仿宋"/>
          <w:b/>
          <w:bCs/>
          <w:color w:val="auto"/>
          <w:sz w:val="21"/>
          <w:szCs w:val="21"/>
          <w:highlight w:val="none"/>
          <w:lang w:val="en-US" w:eastAsia="zh-CN" w:bidi="ar"/>
        </w:rPr>
        <w:t>13396671730</w:t>
      </w:r>
      <w:r>
        <w:rPr>
          <w:rFonts w:hint="eastAsia" w:ascii="仿宋" w:hAnsi="仿宋" w:eastAsia="仿宋" w:cs="仿宋"/>
          <w:b/>
          <w:bCs/>
          <w:color w:val="auto"/>
          <w:sz w:val="21"/>
          <w:szCs w:val="21"/>
          <w:highlight w:val="none"/>
          <w:lang w:bidi="ar"/>
        </w:rPr>
        <w:t>，寄出后将（快递单号、项目名称、公司名称、联系方式等相关信息）发至：</w:t>
      </w:r>
      <w:r>
        <w:rPr>
          <w:rFonts w:hint="eastAsia" w:ascii="仿宋" w:hAnsi="仿宋" w:eastAsia="仿宋" w:cs="仿宋"/>
          <w:b/>
          <w:bCs/>
          <w:color w:val="auto"/>
          <w:sz w:val="21"/>
          <w:szCs w:val="21"/>
          <w:highlight w:val="none"/>
          <w:lang w:val="en-US" w:eastAsia="zh-CN" w:bidi="ar"/>
        </w:rPr>
        <w:t>475993598</w:t>
      </w:r>
      <w:r>
        <w:rPr>
          <w:rFonts w:hint="eastAsia" w:ascii="仿宋" w:hAnsi="仿宋" w:eastAsia="仿宋" w:cs="仿宋"/>
          <w:b/>
          <w:bCs/>
          <w:color w:val="auto"/>
          <w:sz w:val="21"/>
          <w:szCs w:val="21"/>
          <w:highlight w:val="none"/>
          <w:lang w:bidi="ar"/>
        </w:rPr>
        <w:t>@</w:t>
      </w:r>
      <w:r>
        <w:rPr>
          <w:rFonts w:hint="eastAsia" w:ascii="仿宋" w:hAnsi="仿宋" w:eastAsia="仿宋" w:cs="仿宋"/>
          <w:b/>
          <w:bCs/>
          <w:color w:val="auto"/>
          <w:sz w:val="21"/>
          <w:szCs w:val="21"/>
          <w:highlight w:val="none"/>
          <w:lang w:val="en-US" w:eastAsia="zh-CN" w:bidi="ar"/>
        </w:rPr>
        <w:t>qq</w:t>
      </w:r>
      <w:r>
        <w:rPr>
          <w:rFonts w:hint="eastAsia" w:ascii="仿宋" w:hAnsi="仿宋" w:eastAsia="仿宋" w:cs="仿宋"/>
          <w:b/>
          <w:bCs/>
          <w:color w:val="auto"/>
          <w:sz w:val="21"/>
          <w:szCs w:val="21"/>
          <w:highlight w:val="none"/>
          <w:lang w:bidi="ar"/>
        </w:rPr>
        <w:t>.com，以便查收）。</w:t>
      </w:r>
    </w:p>
    <w:p w14:paraId="62B76E64">
      <w:pPr>
        <w:shd w:val="clear"/>
        <w:adjustRightInd w:val="0"/>
        <w:snapToGrid w:val="0"/>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t>特别说明：双休日和法定节假日不收件，供应商自行承担邮寄风险。</w:t>
      </w:r>
    </w:p>
    <w:p w14:paraId="0E25AB8D">
      <w:pPr>
        <w:shd w:val="clear"/>
        <w:adjustRightInd w:val="0"/>
        <w:snapToGrid w:val="0"/>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t>备注：</w:t>
      </w:r>
      <w:r>
        <w:rPr>
          <w:rFonts w:hint="eastAsia" w:ascii="仿宋" w:hAnsi="仿宋" w:eastAsia="仿宋" w:cs="仿宋"/>
          <w:b/>
          <w:bCs/>
          <w:color w:val="auto"/>
          <w:sz w:val="21"/>
          <w:szCs w:val="21"/>
          <w:highlight w:val="none"/>
        </w:rPr>
        <w:t>采购人、采购机构不强制或变相强制投标人提交备份投标文件。</w:t>
      </w:r>
    </w:p>
    <w:p w14:paraId="1593BC8D">
      <w:pPr>
        <w:shd w:val="clear"/>
        <w:adjustRightInd w:val="0"/>
        <w:snapToGrid w:val="0"/>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t>（三）响应文件的上传、递交、修改和撤回</w:t>
      </w:r>
    </w:p>
    <w:p w14:paraId="76A8B473">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1.响应文件的上传、递交：</w:t>
      </w:r>
    </w:p>
    <w:p w14:paraId="1DCED500">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（1）电子加密响应文件的上传：</w:t>
      </w:r>
    </w:p>
    <w:p w14:paraId="13E8D3B1">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▲1）供应商应在响应文件提交截止时间前将电子加密响应文件成功上传至政府采购云平台，否则响应无效。</w:t>
      </w:r>
    </w:p>
    <w:p w14:paraId="75857234">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2）电子加密响应文件成功上传后，供应商可自行打印响应文件接收回执。</w:t>
      </w:r>
    </w:p>
    <w:p w14:paraId="03EF4F72">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（2）备份响应文件的密封包装、递交：</w:t>
      </w:r>
    </w:p>
    <w:p w14:paraId="6A34CE8D">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1）供应商在政府采购云平台完成电子加密响应文件的上传后，可以EMS或顺丰邮寄形式在响应文件提交截止时间前递交以介质（U盘）存储的数据电文形式的备份响应文件。</w:t>
      </w:r>
    </w:p>
    <w:p w14:paraId="45C558D8">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2）备份响应文件应当密封包装并在包装上标注响应项目名称、供应商名称并加盖公章（非电子签章），供应商逾期送达或者未密封包装的备份响应文件采购代理机构将予以拒收。</w:t>
      </w:r>
    </w:p>
    <w:p w14:paraId="529DF19C">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▲3）通过政府采购云平台成功上传的电子加密响应文件已按时解密的，备份响应文件自动失效。</w:t>
      </w:r>
    </w:p>
    <w:p w14:paraId="3846C247">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▲4）响应截止时间前，供应商仅递交备份响应文件而未将电子加密响应文件成功上传至政府采购云平台的，响应无效。</w:t>
      </w:r>
    </w:p>
    <w:p w14:paraId="2E817613">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2.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1F458569">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3.供应商因未在线参加开标而导致电子加密响应文件无法按时解密等一切后果由供应商自行承担。</w:t>
      </w:r>
    </w:p>
    <w:p w14:paraId="4E22F71E">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4.供应商应按照磋商文件和政府采购云平台的要求，根据响应文件的组成规定的内容及顺序通过政采云电子交易客户端（政采云响应客户端）编制加密响应文件。</w:t>
      </w:r>
    </w:p>
    <w:p w14:paraId="2715E229">
      <w:pPr>
        <w:shd w:val="clear"/>
        <w:adjustRightInd w:val="0"/>
        <w:snapToGrid w:val="0"/>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t>备注：</w:t>
      </w:r>
    </w:p>
    <w:p w14:paraId="6633E118">
      <w:pPr>
        <w:shd w:val="clear"/>
        <w:adjustRightInd w:val="0"/>
        <w:snapToGrid w:val="0"/>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t>供应商可通过浙江省“电子交易/不见面开评标”学习专题提前进行专题学习，熟悉操作，避免影响采购活动（https://edu.zcygov.cn/luban/e-biding）。</w:t>
      </w:r>
    </w:p>
    <w:p w14:paraId="14D17556">
      <w:pPr>
        <w:shd w:val="clear"/>
        <w:adjustRightInd w:val="0"/>
        <w:snapToGrid w:val="0"/>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t>（四）响应文件的语言及计量</w:t>
      </w:r>
    </w:p>
    <w:p w14:paraId="2F86650B">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2C8CA258">
      <w:pPr>
        <w:shd w:val="clear"/>
        <w:adjustRightInd w:val="0"/>
        <w:snapToGrid w:val="0"/>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t>（五）磋商报价</w:t>
      </w:r>
    </w:p>
    <w:p w14:paraId="03B90BF5">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1.报价应按磋商文件要求的格式编制、填写报价内容（可自行增行），未按磋商文件要求编制、填写的响应文件可能被拒绝。</w:t>
      </w:r>
    </w:p>
    <w:p w14:paraId="58FE6108">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2.本次磋商采用人民币报价。</w:t>
      </w:r>
    </w:p>
    <w:p w14:paraId="3F40CBE7">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3.最后磋商报价是履行合同的最终价格，有关本项目实施所涉及的一切费用均计入报价。</w:t>
      </w:r>
    </w:p>
    <w:p w14:paraId="2F7B9F88">
      <w:pPr>
        <w:pStyle w:val="23"/>
        <w:widowControl w:val="0"/>
        <w:shd w:val="clear"/>
        <w:adjustRightInd w:val="0"/>
        <w:snapToGrid w:val="0"/>
        <w:spacing w:before="0" w:beforeAutospacing="0" w:after="0" w:afterAutospacing="0" w:line="360" w:lineRule="auto"/>
        <w:ind w:firstLine="424" w:firstLineChars="202"/>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bidi="ar"/>
        </w:rPr>
        <w:t>▲4.采购人将以合同形式有偿取得货物或服务，不接受供应商给予的赠品、回扣或者与采购无关的其他商品、服务。</w:t>
      </w:r>
    </w:p>
    <w:p w14:paraId="209E6297">
      <w:pPr>
        <w:shd w:val="clear"/>
        <w:adjustRightInd w:val="0"/>
        <w:snapToGrid w:val="0"/>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t>（六）响应有效期</w:t>
      </w:r>
    </w:p>
    <w:p w14:paraId="065CECBF">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▲从提交响应文件的截止之日起90天。在原响应有效期满之前，如果出现特殊情况，采购人或采购代理机构以书面形式通知供应商延长响应有效期。</w:t>
      </w:r>
    </w:p>
    <w:p w14:paraId="4498B1CA">
      <w:pPr>
        <w:shd w:val="clear"/>
        <w:adjustRightInd w:val="0"/>
        <w:snapToGrid w:val="0"/>
        <w:spacing w:line="360" w:lineRule="auto"/>
        <w:jc w:val="center"/>
        <w:outlineLvl w:val="1"/>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br w:type="page"/>
      </w:r>
      <w:bookmarkStart w:id="83" w:name="_Toc214"/>
      <w:bookmarkStart w:id="84" w:name="_Toc23561"/>
      <w:bookmarkStart w:id="85" w:name="_Toc25348"/>
      <w:r>
        <w:rPr>
          <w:rFonts w:hint="eastAsia" w:ascii="仿宋" w:hAnsi="仿宋" w:eastAsia="仿宋" w:cs="仿宋"/>
          <w:b/>
          <w:bCs/>
          <w:color w:val="auto"/>
          <w:sz w:val="21"/>
          <w:szCs w:val="21"/>
          <w:highlight w:val="none"/>
          <w:lang w:bidi="ar"/>
        </w:rPr>
        <w:t>四、响应无效的情形</w:t>
      </w:r>
      <w:bookmarkEnd w:id="83"/>
      <w:bookmarkEnd w:id="84"/>
      <w:bookmarkEnd w:id="85"/>
    </w:p>
    <w:p w14:paraId="54C184CE">
      <w:pPr>
        <w:shd w:val="clear"/>
        <w:adjustRightInd w:val="0"/>
        <w:snapToGrid w:val="0"/>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t>1.在资格审查时，如发现下列情形之一的，响应文件将被视为无效</w:t>
      </w:r>
    </w:p>
    <w:p w14:paraId="7B072E7A">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（1）资格证明材料不全的，或者不符合磋商文件要求的。</w:t>
      </w:r>
    </w:p>
    <w:p w14:paraId="3F433938">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（2）供应商不具备磋商文件中规定的资格要求的。</w:t>
      </w:r>
    </w:p>
    <w:p w14:paraId="06256710">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（3）资格文件未按要求签署、盖章的。</w:t>
      </w:r>
    </w:p>
    <w:p w14:paraId="70BED607">
      <w:pPr>
        <w:shd w:val="clear"/>
        <w:adjustRightInd w:val="0"/>
        <w:snapToGrid w:val="0"/>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t>2.在符合性审查、商务技术评审时，如发现下列情形之一的，响应文件将被视为无效</w:t>
      </w:r>
    </w:p>
    <w:p w14:paraId="2E0739E2">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（1）商务技术文件未按要求签署、盖章的。</w:t>
      </w:r>
    </w:p>
    <w:p w14:paraId="2D90DA4D">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（2）未提供或未按要求提供响应函、法定代表人授权委托书。</w:t>
      </w:r>
    </w:p>
    <w:p w14:paraId="0214D3A7">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（3）法定代表人委托授权代表参加响应但未提供符合要求的授权代表社保缴纳证明的。</w:t>
      </w:r>
    </w:p>
    <w:p w14:paraId="7FD82812">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（4）未提供采购需求偏离表的。</w:t>
      </w:r>
    </w:p>
    <w:p w14:paraId="13D69A23">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（5）明显不符合磋商文件要求，或负偏离达到规定数目的。</w:t>
      </w:r>
    </w:p>
    <w:p w14:paraId="44198E8C">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（6）响应技术方案不明确，存在一个或一个以上备选（替代）供应商案的。</w:t>
      </w:r>
    </w:p>
    <w:p w14:paraId="7B0199D3">
      <w:pPr>
        <w:shd w:val="clear"/>
        <w:adjustRightInd w:val="0"/>
        <w:snapToGrid w:val="0"/>
        <w:spacing w:line="360" w:lineRule="auto"/>
        <w:ind w:firstLine="420" w:firstLineChars="200"/>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（7）响应文件含有采购人不能接受的附加条件的。</w:t>
      </w:r>
    </w:p>
    <w:p w14:paraId="15ED5EDC">
      <w:pPr>
        <w:shd w:val="clear"/>
        <w:adjustRightInd w:val="0"/>
        <w:snapToGrid w:val="0"/>
        <w:spacing w:line="360" w:lineRule="auto"/>
        <w:ind w:firstLine="420" w:firstLineChars="200"/>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（8）响应文件中法人授权书所载内容与本项目内容有异的。</w:t>
      </w:r>
    </w:p>
    <w:p w14:paraId="43699BA5">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（9）未响应磋商文件“▲”标记条款要求的，响应无效。</w:t>
      </w:r>
    </w:p>
    <w:p w14:paraId="20E8A256">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（10）法律、法规和磋商文件规定的其他无效情形。</w:t>
      </w:r>
    </w:p>
    <w:p w14:paraId="25159224">
      <w:pPr>
        <w:shd w:val="clear"/>
        <w:adjustRightInd w:val="0"/>
        <w:snapToGrid w:val="0"/>
        <w:spacing w:line="360" w:lineRule="auto"/>
        <w:ind w:firstLine="422" w:firstLineChars="200"/>
        <w:jc w:val="left"/>
        <w:rPr>
          <w:rFonts w:hint="eastAsia" w:ascii="仿宋" w:hAnsi="仿宋" w:eastAsia="仿宋" w:cs="仿宋"/>
          <w:b/>
          <w:bCs/>
          <w:color w:val="auto"/>
          <w:sz w:val="21"/>
          <w:szCs w:val="21"/>
          <w:highlight w:val="none"/>
          <w:lang w:bidi="ar"/>
        </w:rPr>
      </w:pPr>
      <w:r>
        <w:rPr>
          <w:rFonts w:hint="eastAsia" w:ascii="仿宋" w:hAnsi="仿宋" w:eastAsia="仿宋" w:cs="仿宋"/>
          <w:b/>
          <w:bCs/>
          <w:color w:val="auto"/>
          <w:sz w:val="21"/>
          <w:szCs w:val="21"/>
          <w:highlight w:val="none"/>
          <w:lang w:bidi="ar"/>
        </w:rPr>
        <w:t>3.在磋商评审时，如发现下列情形之一的，视为退出磋商，响应无效</w:t>
      </w:r>
    </w:p>
    <w:p w14:paraId="5B4FF3C0">
      <w:pPr>
        <w:shd w:val="clear"/>
        <w:adjustRightInd w:val="0"/>
        <w:snapToGrid w:val="0"/>
        <w:spacing w:line="360" w:lineRule="auto"/>
        <w:ind w:firstLine="420" w:firstLineChars="200"/>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（1）未按规定时间提交磋商记录。</w:t>
      </w:r>
    </w:p>
    <w:p w14:paraId="0DFA9C3E">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（2）磋商记录未响应磋商内容或要求的。</w:t>
      </w:r>
    </w:p>
    <w:p w14:paraId="57AF6175">
      <w:pPr>
        <w:shd w:val="clear"/>
        <w:adjustRightInd w:val="0"/>
        <w:snapToGrid w:val="0"/>
        <w:spacing w:line="360" w:lineRule="auto"/>
        <w:ind w:firstLine="422" w:firstLineChars="200"/>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t>4.在报价评审时，如发现下列情形之一的，响应文件将被视为无效</w:t>
      </w:r>
    </w:p>
    <w:p w14:paraId="56F6E814">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（1）最后报价超过磋商文件中规定的预算金额或最高限价的。</w:t>
      </w:r>
    </w:p>
    <w:p w14:paraId="19047439">
      <w:pPr>
        <w:shd w:val="clear"/>
        <w:adjustRightInd w:val="0"/>
        <w:snapToGrid w:val="0"/>
        <w:spacing w:line="360" w:lineRule="auto"/>
        <w:ind w:firstLine="420" w:firstLineChars="200"/>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（2）所提交的最后报价中出现不是唯一的、有选择性的报价的。</w:t>
      </w:r>
    </w:p>
    <w:p w14:paraId="66EB994C">
      <w:pPr>
        <w:shd w:val="clear"/>
        <w:adjustRightInd w:val="0"/>
        <w:snapToGrid w:val="0"/>
        <w:spacing w:line="360" w:lineRule="auto"/>
        <w:ind w:firstLine="420" w:firstLineChars="200"/>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（3）最后报价填写不完整或字迹不能辨认或有漏项的。</w:t>
      </w:r>
    </w:p>
    <w:p w14:paraId="2F0F4A1C">
      <w:pPr>
        <w:shd w:val="clear"/>
        <w:adjustRightInd w:val="0"/>
        <w:snapToGrid w:val="0"/>
        <w:spacing w:line="360" w:lineRule="auto"/>
        <w:ind w:firstLine="420" w:firstLineChars="200"/>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（4）供应商对根据修正原则修正后的最后报价不确认的。</w:t>
      </w:r>
    </w:p>
    <w:p w14:paraId="545FBC13">
      <w:pPr>
        <w:shd w:val="clear"/>
        <w:adjustRightInd w:val="0"/>
        <w:snapToGrid w:val="0"/>
        <w:spacing w:line="360" w:lineRule="auto"/>
        <w:ind w:firstLine="420" w:firstLineChars="200"/>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（5）未按规定提交最后报价的，视为退出磋商，响应无效。</w:t>
      </w:r>
    </w:p>
    <w:p w14:paraId="583D7C4B">
      <w:pPr>
        <w:widowControl/>
        <w:shd w:val="clea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特别说明：磋商小组认为供应商的最后报价明显低于其他供应商最后报价，有可能影响产品质量或者不能诚信履约的，应当要求其在磋商小组要求的时间内提供书面说明，必要时提交相关证明材料。供应商不能证明其最后报价合理性的，磋商小组应当将其作为无效响应处理。</w:t>
      </w:r>
    </w:p>
    <w:p w14:paraId="0BCC7E89">
      <w:pPr>
        <w:shd w:val="clear"/>
        <w:adjustRightInd w:val="0"/>
        <w:snapToGrid w:val="0"/>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t>5.有下列情形之一的，视为供应商串通，其响应无效</w:t>
      </w:r>
    </w:p>
    <w:p w14:paraId="27A04665">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（1）不同供应商的响应文件由同一单位或者个人编制。</w:t>
      </w:r>
    </w:p>
    <w:p w14:paraId="2D3B4791">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（2）不同供应商委托同一单位或者个人办理磋商事宜。</w:t>
      </w:r>
    </w:p>
    <w:p w14:paraId="52DB771A">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（3）不同供应商的响应文件载明的项目管理成员或者联系人员为同一人。</w:t>
      </w:r>
    </w:p>
    <w:p w14:paraId="6B88E00C">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（4）不同供应商的响应文件异常一致或者最后报价呈规律性差异。</w:t>
      </w:r>
    </w:p>
    <w:p w14:paraId="667AF32A">
      <w:pPr>
        <w:shd w:val="clear"/>
        <w:adjustRightInd w:val="0"/>
        <w:snapToGrid w:val="0"/>
        <w:spacing w:line="360" w:lineRule="auto"/>
        <w:ind w:firstLine="420" w:firstLineChars="200"/>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（5）不同供应商的响应文件相互混装。</w:t>
      </w:r>
    </w:p>
    <w:p w14:paraId="0A5853A1">
      <w:pPr>
        <w:shd w:val="clear"/>
        <w:adjustRightInd w:val="0"/>
        <w:snapToGrid w:val="0"/>
        <w:spacing w:line="288" w:lineRule="auto"/>
        <w:ind w:firstLine="398" w:firstLineChars="200"/>
        <w:rPr>
          <w:rFonts w:hint="eastAsia" w:ascii="仿宋" w:hAnsi="仿宋" w:eastAsia="仿宋" w:cs="仿宋"/>
          <w:b/>
          <w:bCs/>
          <w:color w:val="auto"/>
          <w:sz w:val="21"/>
          <w:szCs w:val="21"/>
          <w:highlight w:val="none"/>
        </w:rPr>
      </w:pPr>
      <w:r>
        <w:rPr>
          <w:rFonts w:hint="eastAsia" w:ascii="仿宋" w:hAnsi="仿宋" w:eastAsia="仿宋" w:cs="仿宋"/>
          <w:b/>
          <w:color w:val="auto"/>
          <w:spacing w:val="-6"/>
          <w:sz w:val="21"/>
          <w:szCs w:val="21"/>
          <w:highlight w:val="none"/>
        </w:rPr>
        <w:t>6.</w:t>
      </w:r>
      <w:r>
        <w:rPr>
          <w:rFonts w:hint="eastAsia" w:ascii="仿宋" w:hAnsi="仿宋" w:eastAsia="仿宋" w:cs="仿宋"/>
          <w:b/>
          <w:bCs/>
          <w:color w:val="auto"/>
          <w:sz w:val="21"/>
          <w:szCs w:val="21"/>
          <w:highlight w:val="none"/>
        </w:rPr>
        <w:t>参与同一个采购包（标项）的供应商存在下列情形之一且无法合理解释的，其响应文件无效：</w:t>
      </w:r>
    </w:p>
    <w:p w14:paraId="02332913">
      <w:pPr>
        <w:shd w:val="clear"/>
        <w:adjustRightInd w:val="0"/>
        <w:snapToGrid w:val="0"/>
        <w:spacing w:line="288" w:lineRule="auto"/>
        <w:ind w:firstLine="420" w:firstLineChars="200"/>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（1）不同供应商的电子响应文件上传计算机的网卡MAC地址或硬盘序列号等硬件信息相同的；</w:t>
      </w:r>
    </w:p>
    <w:p w14:paraId="3E620056">
      <w:pPr>
        <w:shd w:val="clear"/>
        <w:adjustRightInd w:val="0"/>
        <w:snapToGrid w:val="0"/>
        <w:spacing w:line="288" w:lineRule="auto"/>
        <w:ind w:firstLine="420" w:firstLineChars="200"/>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（2）上传的电子响应文件若出现使用本项目其他响应供应商的数字证书加密的，或者加盖本项目其他响应供应商的电子印章的；</w:t>
      </w:r>
    </w:p>
    <w:p w14:paraId="49FFE900">
      <w:pPr>
        <w:shd w:val="clear"/>
        <w:adjustRightInd w:val="0"/>
        <w:snapToGrid w:val="0"/>
        <w:spacing w:line="288" w:lineRule="auto"/>
        <w:ind w:firstLine="420" w:firstLineChars="200"/>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（3）不同供应商的响应文件的内容存在3处（含）以上错误一致的；</w:t>
      </w:r>
    </w:p>
    <w:p w14:paraId="4E70EE46">
      <w:pPr>
        <w:shd w:val="clear"/>
        <w:adjustRightInd w:val="0"/>
        <w:snapToGrid w:val="0"/>
        <w:spacing w:line="288" w:lineRule="auto"/>
        <w:ind w:firstLine="420" w:firstLineChars="200"/>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（4）不同供应商联系人为同一人或不同联系人的联系电话一致的。</w:t>
      </w:r>
    </w:p>
    <w:p w14:paraId="7846149F">
      <w:pPr>
        <w:pStyle w:val="27"/>
        <w:shd w:val="clear"/>
        <w:rPr>
          <w:rFonts w:hint="eastAsia" w:ascii="仿宋" w:hAnsi="仿宋" w:eastAsia="仿宋" w:cs="仿宋"/>
          <w:color w:val="auto"/>
          <w:highlight w:val="none"/>
        </w:rPr>
      </w:pPr>
    </w:p>
    <w:p w14:paraId="71AEC00C">
      <w:pPr>
        <w:shd w:val="clear"/>
        <w:adjustRightInd w:val="0"/>
        <w:snapToGrid w:val="0"/>
        <w:spacing w:line="360" w:lineRule="auto"/>
        <w:jc w:val="center"/>
        <w:outlineLvl w:val="1"/>
        <w:rPr>
          <w:rFonts w:hint="eastAsia" w:ascii="仿宋" w:hAnsi="仿宋" w:eastAsia="仿宋" w:cs="仿宋"/>
          <w:b/>
          <w:bCs/>
          <w:color w:val="auto"/>
          <w:sz w:val="21"/>
          <w:szCs w:val="21"/>
          <w:highlight w:val="none"/>
        </w:rPr>
      </w:pPr>
      <w:bookmarkStart w:id="86" w:name="_Toc8287"/>
      <w:bookmarkStart w:id="87" w:name="_Toc3984"/>
      <w:bookmarkStart w:id="88" w:name="_Toc1084"/>
      <w:r>
        <w:rPr>
          <w:rFonts w:hint="eastAsia" w:ascii="仿宋" w:hAnsi="仿宋" w:eastAsia="仿宋" w:cs="仿宋"/>
          <w:b/>
          <w:bCs/>
          <w:color w:val="auto"/>
          <w:sz w:val="21"/>
          <w:szCs w:val="21"/>
          <w:highlight w:val="none"/>
          <w:lang w:bidi="ar"/>
        </w:rPr>
        <w:br w:type="page"/>
      </w:r>
      <w:r>
        <w:rPr>
          <w:rFonts w:hint="eastAsia" w:ascii="仿宋" w:hAnsi="仿宋" w:eastAsia="仿宋" w:cs="仿宋"/>
          <w:b/>
          <w:bCs/>
          <w:color w:val="auto"/>
          <w:sz w:val="21"/>
          <w:szCs w:val="21"/>
          <w:highlight w:val="none"/>
          <w:lang w:bidi="ar"/>
        </w:rPr>
        <w:t>五、响应文件开启</w:t>
      </w:r>
      <w:bookmarkEnd w:id="86"/>
      <w:bookmarkEnd w:id="87"/>
      <w:bookmarkEnd w:id="88"/>
    </w:p>
    <w:p w14:paraId="419EFED7">
      <w:pPr>
        <w:shd w:val="clear"/>
        <w:autoSpaceDE w:val="0"/>
        <w:autoSpaceDN w:val="0"/>
        <w:adjustRightInd w:val="0"/>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采购代理机构按照磋商文件规定的时间通过电子交易平台组织开启，所有供应商均应当准时在线参加。供应商不足3家的，不得开启。</w:t>
      </w:r>
    </w:p>
    <w:p w14:paraId="742C5EB5">
      <w:pPr>
        <w:shd w:val="clear"/>
        <w:autoSpaceDE w:val="0"/>
        <w:autoSpaceDN w:val="0"/>
        <w:adjustRightInd w:val="0"/>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开启时，电子交易平台按开启时间自动提取所有响应文件。采购人或代理机构依托电子交易平台发起开始解密指令，供应商按照平台提示和磋商文件的规定在半小时内完成在线解密。</w:t>
      </w:r>
    </w:p>
    <w:p w14:paraId="3FB5A4B4">
      <w:pPr>
        <w:shd w:val="clear"/>
        <w:adjustRightInd w:val="0"/>
        <w:snapToGrid w:val="0"/>
        <w:spacing w:line="360" w:lineRule="auto"/>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bidi="ar"/>
        </w:rPr>
        <w:t>响应文件未按时解密，供应商提供了备份响应文件的，以备份响应文件作为依据，否则视为响应文件撤回。响应文件已按时解密的，备份响应文件自动失效。</w:t>
      </w:r>
    </w:p>
    <w:p w14:paraId="437AF765">
      <w:pPr>
        <w:shd w:val="clear"/>
        <w:adjustRightInd w:val="0"/>
        <w:snapToGrid w:val="0"/>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t xml:space="preserve"> </w:t>
      </w:r>
    </w:p>
    <w:p w14:paraId="7E242894">
      <w:pPr>
        <w:shd w:val="clear"/>
        <w:adjustRightInd w:val="0"/>
        <w:snapToGrid w:val="0"/>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t>特别说明：如遇政府采购云平台电子化开启或评审程序调整的，按调整后程序执行。</w:t>
      </w:r>
    </w:p>
    <w:p w14:paraId="6FFDFEED">
      <w:pPr>
        <w:shd w:val="clear"/>
        <w:adjustRightInd w:val="0"/>
        <w:snapToGrid w:val="0"/>
        <w:spacing w:line="360" w:lineRule="auto"/>
        <w:rPr>
          <w:rFonts w:hint="eastAsia" w:ascii="仿宋" w:hAnsi="仿宋" w:eastAsia="仿宋" w:cs="仿宋"/>
          <w:color w:val="auto"/>
          <w:sz w:val="21"/>
          <w:szCs w:val="21"/>
          <w:highlight w:val="none"/>
        </w:rPr>
      </w:pPr>
    </w:p>
    <w:p w14:paraId="1E7B053F">
      <w:pPr>
        <w:shd w:val="clear"/>
        <w:adjustRightInd w:val="0"/>
        <w:snapToGrid w:val="0"/>
        <w:spacing w:line="360" w:lineRule="auto"/>
        <w:jc w:val="center"/>
        <w:outlineLvl w:val="1"/>
        <w:rPr>
          <w:rFonts w:hint="eastAsia" w:ascii="仿宋" w:hAnsi="仿宋" w:eastAsia="仿宋" w:cs="仿宋"/>
          <w:b/>
          <w:bCs/>
          <w:color w:val="auto"/>
          <w:sz w:val="21"/>
          <w:szCs w:val="21"/>
          <w:highlight w:val="none"/>
        </w:rPr>
      </w:pPr>
      <w:bookmarkStart w:id="89" w:name="_Toc15451"/>
      <w:bookmarkStart w:id="90" w:name="_Toc23435"/>
      <w:bookmarkStart w:id="91" w:name="_Toc5170"/>
      <w:r>
        <w:rPr>
          <w:rFonts w:hint="eastAsia" w:ascii="仿宋" w:hAnsi="仿宋" w:eastAsia="仿宋" w:cs="仿宋"/>
          <w:b/>
          <w:bCs/>
          <w:color w:val="auto"/>
          <w:sz w:val="21"/>
          <w:szCs w:val="21"/>
          <w:highlight w:val="none"/>
          <w:lang w:bidi="ar"/>
        </w:rPr>
        <w:br w:type="page"/>
      </w:r>
      <w:r>
        <w:rPr>
          <w:rFonts w:hint="eastAsia" w:ascii="仿宋" w:hAnsi="仿宋" w:eastAsia="仿宋" w:cs="仿宋"/>
          <w:b/>
          <w:bCs/>
          <w:color w:val="auto"/>
          <w:sz w:val="21"/>
          <w:szCs w:val="21"/>
          <w:highlight w:val="none"/>
          <w:lang w:bidi="ar"/>
        </w:rPr>
        <w:t>六、评审程序</w:t>
      </w:r>
      <w:bookmarkEnd w:id="89"/>
      <w:bookmarkEnd w:id="90"/>
      <w:bookmarkEnd w:id="91"/>
    </w:p>
    <w:p w14:paraId="3472B9B9">
      <w:pPr>
        <w:shd w:val="clear"/>
        <w:adjustRightInd w:val="0"/>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磋商小组成员应当按照客观、公正、审慎的原则，根据磋商文件规定的评审程序、评审方法和评审标准进行独立评审。磋商文件内容违反国家有关强制性规定的，磋商小组应当停止评审并向采购人或者采购代理机构说明情况。</w:t>
      </w:r>
    </w:p>
    <w:p w14:paraId="486EE39B">
      <w:pPr>
        <w:widowControl/>
        <w:shd w:val="clear"/>
        <w:adjustRightInd w:val="0"/>
        <w:snapToGrid w:val="0"/>
        <w:spacing w:line="360" w:lineRule="auto"/>
        <w:ind w:firstLine="422" w:firstLineChars="200"/>
        <w:jc w:val="left"/>
        <w:rPr>
          <w:rFonts w:hint="eastAsia" w:ascii="仿宋" w:hAnsi="仿宋" w:eastAsia="仿宋" w:cs="仿宋"/>
          <w:b/>
          <w:color w:val="auto"/>
          <w:sz w:val="21"/>
          <w:szCs w:val="21"/>
          <w:highlight w:val="none"/>
          <w:lang w:bidi="ar"/>
        </w:rPr>
      </w:pPr>
      <w:r>
        <w:rPr>
          <w:rFonts w:hint="eastAsia" w:ascii="仿宋" w:hAnsi="仿宋" w:eastAsia="仿宋" w:cs="仿宋"/>
          <w:b/>
          <w:color w:val="auto"/>
          <w:sz w:val="21"/>
          <w:szCs w:val="21"/>
          <w:highlight w:val="none"/>
          <w:lang w:bidi="ar"/>
        </w:rPr>
        <w:t>（一）磋商小组的组成</w:t>
      </w:r>
    </w:p>
    <w:p w14:paraId="750E117D">
      <w:pPr>
        <w:pStyle w:val="7"/>
        <w:shd w:val="clear"/>
        <w:spacing w:line="360" w:lineRule="auto"/>
        <w:ind w:firstLine="420" w:firstLineChars="200"/>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磋商小组由采购人代表和评审专家共3及以上单数组成，其中评审专家人数不得少于磋商小组成员总数的2/3。</w:t>
      </w:r>
    </w:p>
    <w:p w14:paraId="3FE1E9DD">
      <w:pPr>
        <w:widowControl/>
        <w:shd w:val="clear"/>
        <w:adjustRightInd w:val="0"/>
        <w:snapToGrid w:val="0"/>
        <w:spacing w:line="360" w:lineRule="auto"/>
        <w:ind w:firstLine="422" w:firstLineChars="200"/>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bidi="ar"/>
        </w:rPr>
        <w:t>（二）资格审查</w:t>
      </w:r>
    </w:p>
    <w:p w14:paraId="61DC2540">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响应文件开启后，</w:t>
      </w:r>
      <w:r>
        <w:rPr>
          <w:rFonts w:hint="eastAsia" w:ascii="仿宋" w:hAnsi="仿宋" w:eastAsia="仿宋" w:cs="仿宋"/>
          <w:color w:val="auto"/>
          <w:sz w:val="21"/>
          <w:szCs w:val="21"/>
          <w:highlight w:val="none"/>
          <w:lang w:bidi="ar"/>
        </w:rPr>
        <w:t>磋商小组依据法律法规和磋商文件的规定，对供应商的资格条件进行审查。</w:t>
      </w:r>
    </w:p>
    <w:p w14:paraId="47A82BE9">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对未通过资格审查的供应商，磋商小组告知其未通过的原因。</w:t>
      </w:r>
    </w:p>
    <w:p w14:paraId="1F57090F">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通过资格审查的供应商不足3家的，不再评标。</w:t>
      </w:r>
    </w:p>
    <w:p w14:paraId="6ED41715">
      <w:pPr>
        <w:shd w:val="clear"/>
        <w:adjustRightInd w:val="0"/>
        <w:snapToGrid w:val="0"/>
        <w:spacing w:line="360" w:lineRule="auto"/>
        <w:ind w:firstLine="422" w:firstLineChars="20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bidi="ar"/>
        </w:rPr>
        <w:t>（三）信用信息查询</w:t>
      </w:r>
    </w:p>
    <w:p w14:paraId="7559AD76">
      <w:pPr>
        <w:shd w:val="clear"/>
        <w:adjustRightInd w:val="0"/>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根据财库[2016]125号《关于在政府采购活动中查询及使用信用记录有关问题的通知》要求，采购代理机构会对供应商信用记录进行查询并甄别。信用信息查询的截止时点：响应截止时间。</w:t>
      </w:r>
    </w:p>
    <w:p w14:paraId="4499A4C3">
      <w:pPr>
        <w:shd w:val="clear"/>
        <w:adjustRightInd w:val="0"/>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（1）查询渠道：“信用中国”（www.creditchina.gov.cn）、“中国政府采购网”（www.ccgp.gov.cn）。</w:t>
      </w:r>
    </w:p>
    <w:p w14:paraId="6ADBA23B">
      <w:pPr>
        <w:shd w:val="clear"/>
        <w:adjustRightInd w:val="0"/>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（2）</w:t>
      </w:r>
      <w:r>
        <w:rPr>
          <w:rFonts w:hint="eastAsia" w:ascii="仿宋" w:hAnsi="仿宋" w:eastAsia="仿宋" w:cs="仿宋"/>
          <w:color w:val="auto"/>
          <w:sz w:val="21"/>
          <w:szCs w:val="21"/>
          <w:highlight w:val="none"/>
        </w:rPr>
        <w:t>信用信息查询记录和证据留存具体方式：现场查询的供应商的信用记录、查询结果经确认后将与采购文件一起存档</w:t>
      </w:r>
      <w:r>
        <w:rPr>
          <w:rFonts w:hint="eastAsia" w:ascii="仿宋" w:hAnsi="仿宋" w:eastAsia="仿宋" w:cs="仿宋"/>
          <w:color w:val="auto"/>
          <w:kern w:val="0"/>
          <w:sz w:val="21"/>
          <w:szCs w:val="21"/>
          <w:highlight w:val="none"/>
          <w:lang w:bidi="ar"/>
        </w:rPr>
        <w:t>。</w:t>
      </w:r>
    </w:p>
    <w:p w14:paraId="1F29507E">
      <w:pPr>
        <w:shd w:val="clear"/>
        <w:adjustRightInd w:val="0"/>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（3）信用信息的使用规则：供应商被列入失信被执行人、重大税收违法案件当事人名单、政府采购严重违法失信行为记录名单的，拒绝其参与政府采购活动。</w:t>
      </w:r>
    </w:p>
    <w:p w14:paraId="7FDB694F">
      <w:pPr>
        <w:shd w:val="clear"/>
        <w:adjustRightInd w:val="0"/>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20D3D4E">
      <w:pPr>
        <w:shd w:val="clear"/>
        <w:adjustRightInd w:val="0"/>
        <w:snapToGrid w:val="0"/>
        <w:spacing w:line="360" w:lineRule="auto"/>
        <w:ind w:firstLine="426" w:firstLineChars="202"/>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lang w:bidi="ar"/>
        </w:rPr>
        <w:t>（四）符合性审查</w:t>
      </w:r>
    </w:p>
    <w:p w14:paraId="38337531">
      <w:pPr>
        <w:shd w:val="clear"/>
        <w:adjustRightInd w:val="0"/>
        <w:snapToGrid w:val="0"/>
        <w:spacing w:line="360" w:lineRule="auto"/>
        <w:ind w:firstLine="424" w:firstLineChars="20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磋商小组对符合资格的供应商的响应文件进行符合性审查，以确定其是否满足磋商文件的符合性审查要求。</w:t>
      </w:r>
    </w:p>
    <w:p w14:paraId="104F11E2">
      <w:pPr>
        <w:shd w:val="clear"/>
        <w:adjustRightInd w:val="0"/>
        <w:snapToGrid w:val="0"/>
        <w:spacing w:line="360" w:lineRule="auto"/>
        <w:ind w:firstLine="426" w:firstLineChars="202"/>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lang w:bidi="ar"/>
        </w:rPr>
        <w:t>（五）磋商</w:t>
      </w:r>
    </w:p>
    <w:p w14:paraId="198EDDB5">
      <w:pPr>
        <w:shd w:val="clear"/>
        <w:adjustRightInd w:val="0"/>
        <w:snapToGrid w:val="0"/>
        <w:spacing w:line="360" w:lineRule="auto"/>
        <w:ind w:firstLine="424" w:firstLineChars="20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磋商小组所有成员应当集中与单一供应商分别进行磋商，并给予所有参加磋商的供应商平等的磋商机会。</w:t>
      </w:r>
    </w:p>
    <w:p w14:paraId="3B23F129">
      <w:pPr>
        <w:shd w:val="clear"/>
        <w:adjustRightInd w:val="0"/>
        <w:snapToGrid w:val="0"/>
        <w:spacing w:line="360" w:lineRule="auto"/>
        <w:ind w:firstLine="424" w:firstLineChars="20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在磋商过程中，磋商小组可以根据磋商文件和磋商情况实质性变动采购需求中的技术、服务要求以及合同草案条款，但不得变动磋商文件中的其他内容。实质性变动的内容，须经采购人代表确认。</w:t>
      </w:r>
    </w:p>
    <w:p w14:paraId="317B82E2">
      <w:pPr>
        <w:shd w:val="clear"/>
        <w:adjustRightInd w:val="0"/>
        <w:snapToGrid w:val="0"/>
        <w:spacing w:line="360" w:lineRule="auto"/>
        <w:ind w:firstLine="424" w:firstLineChars="20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对磋商文件作出的实质性变动是磋商文件的有效组成部分，磋商小组通过政府采购云平台以书面形式同时通知所有参加磋商的供应商。</w:t>
      </w:r>
    </w:p>
    <w:p w14:paraId="433C13CC">
      <w:pPr>
        <w:shd w:val="clear"/>
        <w:adjustRightInd w:val="0"/>
        <w:snapToGrid w:val="0"/>
        <w:spacing w:line="360" w:lineRule="auto"/>
        <w:ind w:firstLine="424" w:firstLineChars="20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供应商应当按照磋商文件的变动情况和磋商小组的要求通过政府采购云平台提交磋商记录，并由其法定代表人或授权代表签名或者加盖公章。</w:t>
      </w:r>
    </w:p>
    <w:p w14:paraId="65808F45">
      <w:pPr>
        <w:shd w:val="clear"/>
        <w:adjustRightInd w:val="0"/>
        <w:snapToGrid w:val="0"/>
        <w:spacing w:line="360" w:lineRule="auto"/>
        <w:ind w:firstLine="426" w:firstLineChars="202"/>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lang w:bidi="ar"/>
        </w:rPr>
        <w:t>（六）最后报价</w:t>
      </w:r>
    </w:p>
    <w:p w14:paraId="62CE07BF">
      <w:pPr>
        <w:shd w:val="clear"/>
        <w:adjustRightInd w:val="0"/>
        <w:snapToGrid w:val="0"/>
        <w:spacing w:line="360" w:lineRule="auto"/>
        <w:ind w:firstLine="424" w:firstLineChars="20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磋商文件能够详细列明采购标的的技术、服务要求的，磋商结束后，磋商小组应当要求所有实质性响应的供应商在规定时间内提交最后报价，提交最后报价的供应商不得少于3家。</w:t>
      </w:r>
    </w:p>
    <w:p w14:paraId="2A95325E">
      <w:pPr>
        <w:shd w:val="clear"/>
        <w:adjustRightInd w:val="0"/>
        <w:snapToGrid w:val="0"/>
        <w:spacing w:line="360" w:lineRule="auto"/>
        <w:ind w:firstLine="424" w:firstLineChars="20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53355111">
      <w:pPr>
        <w:shd w:val="clear"/>
        <w:adjustRightInd w:val="0"/>
        <w:snapToGrid w:val="0"/>
        <w:spacing w:line="360" w:lineRule="auto"/>
        <w:ind w:firstLine="424" w:firstLineChars="202"/>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最后报价是供应商响应文件的有效组成部分。符合《政府采购竞争性磋商采购方式管理暂行办法》（财库〔2014〕214号）第三条第一、四项情形的，提交最后报价的供应商可以为2家。</w:t>
      </w:r>
    </w:p>
    <w:p w14:paraId="613D50AF">
      <w:pPr>
        <w:shd w:val="clear"/>
        <w:adjustRightInd w:val="0"/>
        <w:snapToGrid w:val="0"/>
        <w:spacing w:line="360" w:lineRule="auto"/>
        <w:ind w:firstLine="424" w:firstLineChars="202"/>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最后报价的修正原则：</w:t>
      </w:r>
    </w:p>
    <w:p w14:paraId="16B427AD">
      <w:pPr>
        <w:shd w:val="clear"/>
        <w:adjustRightInd w:val="0"/>
        <w:snapToGrid w:val="0"/>
        <w:spacing w:line="360" w:lineRule="auto"/>
        <w:ind w:firstLine="424" w:firstLineChars="202"/>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磋商小组对响应文件的最后报价进行审核，对发现计算、书写等错误的，按以下原则进行修正：</w:t>
      </w:r>
    </w:p>
    <w:p w14:paraId="18C3DA74">
      <w:pPr>
        <w:shd w:val="clear"/>
        <w:adjustRightInd w:val="0"/>
        <w:snapToGrid w:val="0"/>
        <w:spacing w:line="360" w:lineRule="auto"/>
        <w:ind w:firstLine="420" w:firstLineChars="200"/>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1.《最后报价一览表》与响应文件中响应内容不一致的，以《最后报价一览表》为准。</w:t>
      </w:r>
    </w:p>
    <w:p w14:paraId="11F302EC">
      <w:pPr>
        <w:shd w:val="clear"/>
        <w:adjustRightInd w:val="0"/>
        <w:snapToGrid w:val="0"/>
        <w:spacing w:line="360" w:lineRule="auto"/>
        <w:ind w:firstLine="424" w:firstLineChars="202"/>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2.大写金额和小写金额不一致的，以大写金额为准。</w:t>
      </w:r>
    </w:p>
    <w:p w14:paraId="5D0EFC38">
      <w:pPr>
        <w:shd w:val="clear"/>
        <w:adjustRightInd w:val="0"/>
        <w:snapToGrid w:val="0"/>
        <w:spacing w:line="360" w:lineRule="auto"/>
        <w:ind w:firstLine="424" w:firstLineChars="202"/>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3.单价金额小数点或者百分比有明显错位的，以《最后报价一览表》的总价为准，并修改单价。</w:t>
      </w:r>
    </w:p>
    <w:p w14:paraId="12F2F6C5">
      <w:pPr>
        <w:shd w:val="clear"/>
        <w:adjustRightInd w:val="0"/>
        <w:snapToGrid w:val="0"/>
        <w:spacing w:line="360" w:lineRule="auto"/>
        <w:ind w:firstLine="424" w:firstLineChars="202"/>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4.总价金额与按单价汇总金额不一致的，以单价金额计算结果为准。</w:t>
      </w:r>
    </w:p>
    <w:p w14:paraId="6F7D6F90">
      <w:pPr>
        <w:shd w:val="clear"/>
        <w:adjustRightInd w:val="0"/>
        <w:snapToGrid w:val="0"/>
        <w:spacing w:line="360" w:lineRule="auto"/>
        <w:ind w:firstLine="424" w:firstLineChars="202"/>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5.同时出现两种以上不一致的，按照前款规定的顺序修正。</w:t>
      </w:r>
    </w:p>
    <w:p w14:paraId="1CE3BE45">
      <w:pPr>
        <w:shd w:val="clear"/>
        <w:adjustRightInd w:val="0"/>
        <w:snapToGrid w:val="0"/>
        <w:spacing w:line="360" w:lineRule="auto"/>
        <w:ind w:firstLine="424" w:firstLineChars="202"/>
        <w:rPr>
          <w:rFonts w:hint="eastAsia" w:ascii="仿宋" w:hAnsi="仿宋" w:eastAsia="仿宋" w:cs="仿宋"/>
          <w:color w:val="auto"/>
          <w:kern w:val="0"/>
          <w:sz w:val="21"/>
          <w:szCs w:val="21"/>
          <w:highlight w:val="none"/>
          <w:lang w:bidi="ar"/>
        </w:rPr>
      </w:pPr>
      <w:r>
        <w:rPr>
          <w:rFonts w:hint="eastAsia" w:ascii="仿宋" w:hAnsi="仿宋" w:eastAsia="仿宋" w:cs="仿宋"/>
          <w:color w:val="auto"/>
          <w:kern w:val="0"/>
          <w:sz w:val="21"/>
          <w:szCs w:val="21"/>
          <w:highlight w:val="none"/>
          <w:lang w:bidi="ar"/>
        </w:rPr>
        <w:t>6.以修正后的总价作为最后报价。</w:t>
      </w:r>
    </w:p>
    <w:p w14:paraId="441C2B7D">
      <w:pPr>
        <w:shd w:val="clear"/>
        <w:adjustRightInd w:val="0"/>
        <w:snapToGrid w:val="0"/>
        <w:spacing w:line="360" w:lineRule="auto"/>
        <w:ind w:firstLine="424" w:firstLineChars="20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▲供应商对根据修正原则修正后的最后报价不确认的，响应无效。</w:t>
      </w:r>
    </w:p>
    <w:p w14:paraId="72E01433">
      <w:pPr>
        <w:shd w:val="clear"/>
        <w:adjustRightInd w:val="0"/>
        <w:snapToGrid w:val="0"/>
        <w:spacing w:line="360" w:lineRule="auto"/>
        <w:ind w:firstLine="426" w:firstLineChars="202"/>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lang w:bidi="ar"/>
        </w:rPr>
        <w:t>（七）综合评分</w:t>
      </w:r>
    </w:p>
    <w:p w14:paraId="6F00F327">
      <w:pPr>
        <w:shd w:val="clear"/>
        <w:adjustRightInd w:val="0"/>
        <w:snapToGrid w:val="0"/>
        <w:spacing w:line="360" w:lineRule="auto"/>
        <w:ind w:firstLine="424" w:firstLineChars="20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经磋商确定最终采购需求和提交最后报价的供应商后，由磋商小组采用</w:t>
      </w:r>
      <w:r>
        <w:rPr>
          <w:rFonts w:hint="eastAsia" w:ascii="仿宋" w:hAnsi="仿宋" w:eastAsia="仿宋" w:cs="仿宋"/>
          <w:b/>
          <w:bCs/>
          <w:color w:val="auto"/>
          <w:kern w:val="0"/>
          <w:sz w:val="21"/>
          <w:szCs w:val="21"/>
          <w:highlight w:val="none"/>
          <w:lang w:bidi="ar"/>
        </w:rPr>
        <w:t>综合评分法</w:t>
      </w:r>
      <w:r>
        <w:rPr>
          <w:rFonts w:hint="eastAsia" w:ascii="仿宋" w:hAnsi="仿宋" w:eastAsia="仿宋" w:cs="仿宋"/>
          <w:color w:val="auto"/>
          <w:kern w:val="0"/>
          <w:sz w:val="21"/>
          <w:szCs w:val="21"/>
          <w:highlight w:val="none"/>
          <w:lang w:bidi="ar"/>
        </w:rPr>
        <w:t>对提交最后报价的供应商的响应文件和最后报价进行综合评分。</w:t>
      </w:r>
    </w:p>
    <w:p w14:paraId="4EE738A8">
      <w:pPr>
        <w:shd w:val="clear"/>
        <w:adjustRightInd w:val="0"/>
        <w:snapToGrid w:val="0"/>
        <w:spacing w:line="360" w:lineRule="auto"/>
        <w:ind w:firstLine="426" w:firstLineChars="202"/>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lang w:bidi="ar"/>
        </w:rPr>
        <w:t>（八）汇总商务技术得分</w:t>
      </w:r>
    </w:p>
    <w:p w14:paraId="2A4BEAF9">
      <w:pPr>
        <w:shd w:val="clear"/>
        <w:adjustRightInd w:val="0"/>
        <w:snapToGrid w:val="0"/>
        <w:spacing w:line="360" w:lineRule="auto"/>
        <w:ind w:firstLine="424" w:firstLineChars="20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磋商小组各成员独立对提交最后报价的供应商的商务技术文件进行评价，并汇总商务技术得分情况。</w:t>
      </w:r>
    </w:p>
    <w:p w14:paraId="0A0EF21E">
      <w:pPr>
        <w:shd w:val="clear"/>
        <w:adjustRightInd w:val="0"/>
        <w:snapToGrid w:val="0"/>
        <w:spacing w:line="360" w:lineRule="auto"/>
        <w:ind w:firstLine="424" w:firstLineChars="20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422F09F8">
      <w:pPr>
        <w:shd w:val="clear"/>
        <w:adjustRightInd w:val="0"/>
        <w:snapToGrid w:val="0"/>
        <w:spacing w:line="360" w:lineRule="auto"/>
        <w:ind w:firstLine="426" w:firstLineChars="202"/>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lang w:bidi="ar"/>
        </w:rPr>
        <w:t>（九）排序与推荐</w:t>
      </w:r>
    </w:p>
    <w:p w14:paraId="2F0977C8">
      <w:pPr>
        <w:shd w:val="clear"/>
        <w:adjustRightInd w:val="0"/>
        <w:snapToGrid w:val="0"/>
        <w:spacing w:line="360" w:lineRule="auto"/>
        <w:ind w:firstLine="424" w:firstLineChars="20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磋商小组应当根据综合评分情况，按照评审得分由高到低顺序推荐3名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由磋商小组举手表决，按少数服从多数原则最终确定排名顺序。</w:t>
      </w:r>
    </w:p>
    <w:p w14:paraId="4E428494">
      <w:pPr>
        <w:shd w:val="clear"/>
        <w:adjustRightInd w:val="0"/>
        <w:snapToGrid w:val="0"/>
        <w:spacing w:line="360" w:lineRule="auto"/>
        <w:ind w:firstLine="424" w:firstLineChars="20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提供相同品牌产品且通过资格审查、符合性审查的不同供应商参加同一合同项下磋商的，按一家供应商计算，评审后得分最高的同品牌供应商获得成交供应商推荐资格。评审得分相同的，由采磋商小组按照磋商文件规定的方式确定一个供应商获得成交供应商推荐资格，磋商文件未规定的采取随机抽取方式确定，其他同品牌供应商不作为成交候选人。</w:t>
      </w:r>
    </w:p>
    <w:p w14:paraId="28846A5E">
      <w:pPr>
        <w:shd w:val="clear"/>
        <w:adjustRightInd w:val="0"/>
        <w:snapToGrid w:val="0"/>
        <w:spacing w:line="360" w:lineRule="auto"/>
        <w:ind w:firstLine="424" w:firstLineChars="20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非单一产品采购项目，采购人应当根据采购项目技术构成、产品价格比重等合理确定核心产品，并在磋商文件中载明。多家供应商提供的核心产品品牌相同的，按前款规定处理。</w:t>
      </w:r>
    </w:p>
    <w:p w14:paraId="766D2DA2">
      <w:pPr>
        <w:shd w:val="clear"/>
        <w:adjustRightInd w:val="0"/>
        <w:snapToGrid w:val="0"/>
        <w:spacing w:line="360" w:lineRule="auto"/>
        <w:ind w:firstLine="426" w:firstLineChars="202"/>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lang w:bidi="ar"/>
        </w:rPr>
        <w:t>（十）编写评标报告</w:t>
      </w:r>
    </w:p>
    <w:p w14:paraId="62955A64">
      <w:pPr>
        <w:shd w:val="clear"/>
        <w:adjustRightInd w:val="0"/>
        <w:snapToGrid w:val="0"/>
        <w:spacing w:line="360" w:lineRule="auto"/>
        <w:ind w:firstLine="424" w:firstLineChars="20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59F72B4B">
      <w:pPr>
        <w:widowControl/>
        <w:shd w:val="clear"/>
        <w:adjustRightInd w:val="0"/>
        <w:snapToGrid w:val="0"/>
        <w:spacing w:line="360" w:lineRule="auto"/>
        <w:jc w:val="left"/>
        <w:rPr>
          <w:rFonts w:hint="eastAsia" w:ascii="仿宋" w:hAnsi="仿宋" w:eastAsia="仿宋" w:cs="仿宋"/>
          <w:b/>
          <w:color w:val="auto"/>
          <w:sz w:val="21"/>
          <w:szCs w:val="21"/>
          <w:highlight w:val="none"/>
        </w:rPr>
      </w:pPr>
    </w:p>
    <w:p w14:paraId="7174FE1E">
      <w:pPr>
        <w:shd w:val="clear"/>
        <w:adjustRightInd w:val="0"/>
        <w:snapToGrid w:val="0"/>
        <w:spacing w:line="360" w:lineRule="auto"/>
        <w:jc w:val="center"/>
        <w:outlineLvl w:val="1"/>
        <w:rPr>
          <w:rFonts w:hint="eastAsia" w:ascii="仿宋" w:hAnsi="仿宋" w:eastAsia="仿宋" w:cs="仿宋"/>
          <w:b/>
          <w:color w:val="auto"/>
          <w:sz w:val="21"/>
          <w:szCs w:val="21"/>
          <w:highlight w:val="none"/>
        </w:rPr>
      </w:pPr>
      <w:bookmarkStart w:id="92" w:name="_Toc23275"/>
      <w:bookmarkStart w:id="93" w:name="_Toc25991"/>
      <w:bookmarkStart w:id="94" w:name="_Toc10268"/>
      <w:r>
        <w:rPr>
          <w:rFonts w:hint="eastAsia" w:ascii="仿宋" w:hAnsi="仿宋" w:eastAsia="仿宋" w:cs="仿宋"/>
          <w:b/>
          <w:color w:val="auto"/>
          <w:sz w:val="21"/>
          <w:szCs w:val="21"/>
          <w:highlight w:val="none"/>
          <w:lang w:bidi="ar"/>
        </w:rPr>
        <w:br w:type="page"/>
      </w:r>
      <w:r>
        <w:rPr>
          <w:rFonts w:hint="eastAsia" w:ascii="仿宋" w:hAnsi="仿宋" w:eastAsia="仿宋" w:cs="仿宋"/>
          <w:b/>
          <w:color w:val="auto"/>
          <w:sz w:val="21"/>
          <w:szCs w:val="21"/>
          <w:highlight w:val="none"/>
          <w:lang w:bidi="ar"/>
        </w:rPr>
        <w:t>七、成交与合同</w:t>
      </w:r>
      <w:bookmarkEnd w:id="92"/>
      <w:bookmarkEnd w:id="93"/>
      <w:bookmarkEnd w:id="94"/>
    </w:p>
    <w:p w14:paraId="31FF4422">
      <w:pPr>
        <w:shd w:val="clear"/>
        <w:adjustRightInd w:val="0"/>
        <w:snapToGrid w:val="0"/>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t>（一）成交</w:t>
      </w:r>
    </w:p>
    <w:p w14:paraId="2A10568C">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20244C4">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2.采购代理机构在成交供应商确定后2个工作日内公告成交结果，同时向成交供应商发出成交通知书，并将磋商文件随成交结果同时公告。</w:t>
      </w:r>
    </w:p>
    <w:p w14:paraId="7CAEE720">
      <w:pPr>
        <w:shd w:val="clear"/>
        <w:adjustRightInd w:val="0"/>
        <w:snapToGrid w:val="0"/>
        <w:spacing w:line="360" w:lineRule="auto"/>
        <w:ind w:firstLine="420" w:firstLineChars="200"/>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lang w:bidi="ar"/>
        </w:rPr>
        <w:t>3.评审结果公示媒体：浙江政府采购网（http://zfcg.czt.zj.gov.cn）。</w:t>
      </w:r>
    </w:p>
    <w:p w14:paraId="4F6CB049">
      <w:pPr>
        <w:shd w:val="clear"/>
        <w:adjustRightInd w:val="0"/>
        <w:snapToGrid w:val="0"/>
        <w:spacing w:line="360" w:lineRule="auto"/>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bidi="ar"/>
        </w:rPr>
        <w:t>（二）合同授予</w:t>
      </w:r>
    </w:p>
    <w:p w14:paraId="077929E6">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0E5C08CA">
      <w:pPr>
        <w:shd w:val="clear"/>
        <w:adjustRightInd w:val="0"/>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23AD0AD9">
      <w:pPr>
        <w:shd w:val="clea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 xml:space="preserve"> </w:t>
      </w:r>
    </w:p>
    <w:p w14:paraId="77AD4B7D">
      <w:pPr>
        <w:shd w:val="clear"/>
        <w:adjustRightInd w:val="0"/>
        <w:snapToGrid w:val="0"/>
        <w:spacing w:line="360" w:lineRule="auto"/>
        <w:jc w:val="center"/>
        <w:outlineLvl w:val="1"/>
        <w:rPr>
          <w:rFonts w:hint="eastAsia" w:ascii="仿宋" w:hAnsi="仿宋" w:eastAsia="仿宋" w:cs="仿宋"/>
          <w:b/>
          <w:color w:val="auto"/>
          <w:sz w:val="21"/>
          <w:szCs w:val="21"/>
          <w:highlight w:val="none"/>
        </w:rPr>
      </w:pPr>
      <w:bookmarkStart w:id="95" w:name="_Toc14986"/>
      <w:bookmarkStart w:id="96" w:name="_Toc30128"/>
      <w:bookmarkStart w:id="97" w:name="_Toc28309"/>
      <w:r>
        <w:rPr>
          <w:rFonts w:hint="eastAsia" w:ascii="仿宋" w:hAnsi="仿宋" w:eastAsia="仿宋" w:cs="仿宋"/>
          <w:b/>
          <w:color w:val="auto"/>
          <w:sz w:val="21"/>
          <w:szCs w:val="21"/>
          <w:highlight w:val="none"/>
          <w:lang w:bidi="ar"/>
        </w:rPr>
        <w:br w:type="page"/>
      </w:r>
      <w:r>
        <w:rPr>
          <w:rFonts w:hint="eastAsia" w:ascii="仿宋" w:hAnsi="仿宋" w:eastAsia="仿宋" w:cs="仿宋"/>
          <w:b/>
          <w:color w:val="auto"/>
          <w:sz w:val="21"/>
          <w:szCs w:val="21"/>
          <w:highlight w:val="none"/>
          <w:lang w:bidi="ar"/>
        </w:rPr>
        <w:t>八、验  收</w:t>
      </w:r>
      <w:bookmarkEnd w:id="95"/>
      <w:bookmarkEnd w:id="96"/>
      <w:bookmarkEnd w:id="97"/>
    </w:p>
    <w:p w14:paraId="1EB1146B">
      <w:pPr>
        <w:shd w:val="clear"/>
        <w:adjustRightInd w:val="0"/>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018EAE4F">
      <w:pPr>
        <w:shd w:val="clear"/>
        <w:adjustRightInd w:val="0"/>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采购人可以邀请参加本项目的其他供应商或者第三方机构参与验收。参与验收的供应商或者第三方机构的意见作为验收书的参考资料一并存档。</w:t>
      </w:r>
    </w:p>
    <w:p w14:paraId="12A24639">
      <w:pPr>
        <w:shd w:val="clear"/>
        <w:adjustRightInd w:val="0"/>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4D1BDB3">
      <w:pPr>
        <w:shd w:val="clear"/>
        <w:adjustRightInd w:val="0"/>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A3F8711">
      <w:pPr>
        <w:shd w:val="clea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 xml:space="preserve"> </w:t>
      </w:r>
    </w:p>
    <w:p w14:paraId="07DC1F09">
      <w:pPr>
        <w:shd w:val="clear"/>
        <w:adjustRightInd w:val="0"/>
        <w:snapToGrid w:val="0"/>
        <w:spacing w:line="360" w:lineRule="auto"/>
        <w:jc w:val="center"/>
        <w:outlineLvl w:val="1"/>
        <w:rPr>
          <w:rFonts w:hint="eastAsia" w:ascii="仿宋" w:hAnsi="仿宋" w:eastAsia="仿宋" w:cs="仿宋"/>
          <w:b/>
          <w:bCs/>
          <w:color w:val="auto"/>
          <w:sz w:val="21"/>
          <w:szCs w:val="21"/>
          <w:highlight w:val="none"/>
        </w:rPr>
      </w:pPr>
      <w:bookmarkStart w:id="98" w:name="_Toc14993"/>
      <w:bookmarkStart w:id="99" w:name="_Toc10913"/>
      <w:bookmarkStart w:id="100" w:name="_Toc2819"/>
      <w:r>
        <w:rPr>
          <w:rFonts w:hint="eastAsia" w:ascii="仿宋" w:hAnsi="仿宋" w:eastAsia="仿宋" w:cs="仿宋"/>
          <w:b/>
          <w:bCs/>
          <w:color w:val="auto"/>
          <w:sz w:val="21"/>
          <w:szCs w:val="21"/>
          <w:highlight w:val="none"/>
          <w:lang w:bidi="ar"/>
        </w:rPr>
        <w:br w:type="page"/>
      </w:r>
      <w:r>
        <w:rPr>
          <w:rFonts w:hint="eastAsia" w:ascii="仿宋" w:hAnsi="仿宋" w:eastAsia="仿宋" w:cs="仿宋"/>
          <w:b/>
          <w:bCs/>
          <w:color w:val="auto"/>
          <w:sz w:val="21"/>
          <w:szCs w:val="21"/>
          <w:highlight w:val="none"/>
          <w:lang w:bidi="ar"/>
        </w:rPr>
        <w:t>九、可中止电子交易活动的情形</w:t>
      </w:r>
      <w:bookmarkEnd w:id="98"/>
      <w:bookmarkEnd w:id="99"/>
      <w:bookmarkEnd w:id="100"/>
    </w:p>
    <w:p w14:paraId="56D96F72">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采购过程中出现以下情形，导致电子交易平台无法正常运行，或者无法保证电子交易的公平、公正和安全时，采购代理机构可中止电子交易活动。</w:t>
      </w:r>
    </w:p>
    <w:p w14:paraId="55FB33D3">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1.电子交易平台发生故障而无法登录访问的。</w:t>
      </w:r>
    </w:p>
    <w:p w14:paraId="6D4D80D7">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2.电子交易平台应用或数据库出现错误，不能进行正常操作的。</w:t>
      </w:r>
    </w:p>
    <w:p w14:paraId="4BF3A1E6">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3.电子交易平台发现严重安全漏洞，有潜在泄密危险的。</w:t>
      </w:r>
    </w:p>
    <w:p w14:paraId="2581D038">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4.病毒发作导致不能进行正常操作的。</w:t>
      </w:r>
    </w:p>
    <w:p w14:paraId="4E098D4D">
      <w:pPr>
        <w:shd w:val="clea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5.其他无法保证电子交易的公平、公正和安全的情况。</w:t>
      </w:r>
    </w:p>
    <w:p w14:paraId="471A1247">
      <w:pPr>
        <w:shd w:val="clear"/>
        <w:adjustRightInd w:val="0"/>
        <w:snapToGrid w:val="0"/>
        <w:spacing w:line="360" w:lineRule="auto"/>
        <w:ind w:firstLine="420" w:firstLineChars="200"/>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出现前款规定情形，不影响采购公平、公正性的，采购代理机构可以待上述情形消除后继续组织电子交易活动。影响或可能影响采购公平、公正性的，应当重新采购。</w:t>
      </w:r>
    </w:p>
    <w:p w14:paraId="6E2AE76D">
      <w:pPr>
        <w:shd w:val="clear"/>
        <w:adjustRightInd w:val="0"/>
        <w:snapToGrid w:val="0"/>
        <w:spacing w:line="288" w:lineRule="auto"/>
        <w:outlineLvl w:val="9"/>
        <w:rPr>
          <w:rFonts w:hint="eastAsia" w:ascii="仿宋" w:hAnsi="仿宋" w:eastAsia="仿宋" w:cs="仿宋"/>
          <w:color w:val="auto"/>
          <w:sz w:val="21"/>
          <w:szCs w:val="21"/>
          <w:highlight w:val="none"/>
        </w:rPr>
      </w:pPr>
      <w:bookmarkStart w:id="101" w:name="_Toc29975"/>
      <w:bookmarkStart w:id="102" w:name="_Toc148"/>
      <w:bookmarkStart w:id="103" w:name="_Toc11891"/>
      <w:bookmarkStart w:id="104" w:name="_Toc30075"/>
      <w:bookmarkStart w:id="105" w:name="_Toc17065"/>
      <w:bookmarkStart w:id="106" w:name="_Toc566"/>
      <w:bookmarkStart w:id="107" w:name="_Toc2552"/>
      <w:r>
        <w:rPr>
          <w:rFonts w:hint="eastAsia" w:ascii="仿宋" w:hAnsi="仿宋" w:eastAsia="仿宋" w:cs="仿宋"/>
          <w:b/>
          <w:bCs/>
          <w:color w:val="auto"/>
          <w:sz w:val="32"/>
          <w:szCs w:val="32"/>
          <w:highlight w:val="none"/>
        </w:rPr>
        <w:br w:type="page"/>
      </w:r>
      <w:bookmarkEnd w:id="101"/>
      <w:bookmarkEnd w:id="102"/>
      <w:bookmarkEnd w:id="103"/>
      <w:bookmarkEnd w:id="104"/>
      <w:bookmarkEnd w:id="105"/>
      <w:bookmarkEnd w:id="106"/>
      <w:bookmarkEnd w:id="107"/>
    </w:p>
    <w:p w14:paraId="1620DEA5">
      <w:pPr>
        <w:shd w:val="clear"/>
        <w:adjustRightInd w:val="0"/>
        <w:snapToGrid w:val="0"/>
        <w:spacing w:line="288" w:lineRule="auto"/>
        <w:jc w:val="center"/>
        <w:outlineLvl w:val="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第四章  评审方法和评审标准</w:t>
      </w:r>
    </w:p>
    <w:p w14:paraId="72A5C91F">
      <w:pPr>
        <w:shd w:val="clear"/>
        <w:adjustRightInd w:val="0"/>
        <w:snapToGrid w:val="0"/>
        <w:spacing w:line="288" w:lineRule="auto"/>
        <w:outlineLvl w:val="1"/>
        <w:rPr>
          <w:rFonts w:hint="eastAsia" w:ascii="仿宋" w:hAnsi="仿宋" w:eastAsia="仿宋" w:cs="仿宋"/>
          <w:b/>
          <w:bCs/>
          <w:color w:val="auto"/>
          <w:sz w:val="21"/>
          <w:szCs w:val="21"/>
          <w:highlight w:val="none"/>
        </w:rPr>
      </w:pPr>
      <w:bookmarkStart w:id="108" w:name="_Toc11056"/>
      <w:bookmarkStart w:id="109" w:name="_Toc31576"/>
      <w:bookmarkStart w:id="110" w:name="_Toc27117"/>
      <w:r>
        <w:rPr>
          <w:rFonts w:hint="eastAsia" w:ascii="仿宋" w:hAnsi="仿宋" w:eastAsia="仿宋" w:cs="仿宋"/>
          <w:b/>
          <w:bCs/>
          <w:color w:val="auto"/>
          <w:sz w:val="21"/>
          <w:szCs w:val="21"/>
          <w:highlight w:val="none"/>
        </w:rPr>
        <w:t>一、评审方法</w:t>
      </w:r>
      <w:bookmarkEnd w:id="108"/>
      <w:bookmarkEnd w:id="109"/>
      <w:bookmarkEnd w:id="110"/>
    </w:p>
    <w:p w14:paraId="7462D57B">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本次评审采用综合评分法，总分为100分。评分过程中采用四舍五入法，并保留小数2位。</w:t>
      </w:r>
    </w:p>
    <w:p w14:paraId="581C17D9">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供应商评审综合得分=商务分+技术分+价格分</w:t>
      </w:r>
    </w:p>
    <w:p w14:paraId="276897F5">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商务分、技术分按照磋商小组成员的独立评分结果的算术平均分计算，计算公式为：商务分、技术分=（磋商小组所有成员评分合计数）/（磋商小组组成人员数）。</w:t>
      </w:r>
    </w:p>
    <w:p w14:paraId="0634EC1D">
      <w:pPr>
        <w:shd w:val="clear"/>
        <w:adjustRightInd w:val="0"/>
        <w:snapToGrid w:val="0"/>
        <w:spacing w:line="288" w:lineRule="auto"/>
        <w:outlineLvl w:val="1"/>
        <w:rPr>
          <w:rFonts w:hint="eastAsia" w:ascii="仿宋" w:hAnsi="仿宋" w:eastAsia="仿宋" w:cs="仿宋"/>
          <w:b/>
          <w:bCs/>
          <w:color w:val="auto"/>
          <w:sz w:val="21"/>
          <w:szCs w:val="21"/>
          <w:highlight w:val="none"/>
        </w:rPr>
      </w:pPr>
      <w:bookmarkStart w:id="111" w:name="_Toc12885"/>
      <w:bookmarkStart w:id="112" w:name="_Toc24337"/>
      <w:bookmarkStart w:id="113" w:name="_Toc20584"/>
      <w:r>
        <w:rPr>
          <w:rFonts w:hint="eastAsia" w:ascii="仿宋" w:hAnsi="仿宋" w:eastAsia="仿宋" w:cs="仿宋"/>
          <w:b/>
          <w:bCs/>
          <w:color w:val="auto"/>
          <w:sz w:val="21"/>
          <w:szCs w:val="21"/>
          <w:highlight w:val="none"/>
        </w:rPr>
        <w:t>二、评审标准</w:t>
      </w:r>
      <w:bookmarkEnd w:id="111"/>
      <w:bookmarkEnd w:id="112"/>
      <w:bookmarkEnd w:id="113"/>
    </w:p>
    <w:tbl>
      <w:tblPr>
        <w:tblStyle w:val="28"/>
        <w:tblW w:w="9609" w:type="dxa"/>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840"/>
        <w:gridCol w:w="7227"/>
      </w:tblGrid>
      <w:tr w14:paraId="2D9D6B7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42" w:type="dxa"/>
            <w:noWrap w:val="0"/>
            <w:vAlign w:val="center"/>
          </w:tcPr>
          <w:p w14:paraId="7986AD9D">
            <w:pPr>
              <w:shd w:val="clear"/>
              <w:adjustRightInd w:val="0"/>
              <w:snapToGrid w:val="0"/>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评审因素</w:t>
            </w:r>
          </w:p>
        </w:tc>
        <w:tc>
          <w:tcPr>
            <w:tcW w:w="840" w:type="dxa"/>
            <w:noWrap w:val="0"/>
            <w:vAlign w:val="center"/>
          </w:tcPr>
          <w:p w14:paraId="7779D863">
            <w:pPr>
              <w:shd w:val="clear"/>
              <w:adjustRightInd w:val="0"/>
              <w:snapToGrid w:val="0"/>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分值</w:t>
            </w:r>
          </w:p>
        </w:tc>
        <w:tc>
          <w:tcPr>
            <w:tcW w:w="7227" w:type="dxa"/>
            <w:noWrap w:val="0"/>
            <w:vAlign w:val="center"/>
          </w:tcPr>
          <w:p w14:paraId="6F7E6943">
            <w:pPr>
              <w:shd w:val="clear"/>
              <w:adjustRightInd w:val="0"/>
              <w:snapToGrid w:val="0"/>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评分细则</w:t>
            </w:r>
          </w:p>
        </w:tc>
      </w:tr>
      <w:tr w14:paraId="777FCAA6">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09" w:type="dxa"/>
            <w:gridSpan w:val="3"/>
            <w:noWrap w:val="0"/>
            <w:vAlign w:val="center"/>
          </w:tcPr>
          <w:p w14:paraId="5DE73C5C">
            <w:pPr>
              <w:shd w:val="clear"/>
              <w:adjustRightInd w:val="0"/>
              <w:snapToGrid w:val="0"/>
              <w:spacing w:line="288" w:lineRule="auto"/>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价格分（</w:t>
            </w:r>
            <w:r>
              <w:rPr>
                <w:rFonts w:hint="eastAsia" w:ascii="仿宋" w:hAnsi="仿宋" w:eastAsia="仿宋" w:cs="仿宋"/>
                <w:b/>
                <w:bCs/>
                <w:color w:val="auto"/>
                <w:sz w:val="21"/>
                <w:szCs w:val="21"/>
                <w:highlight w:val="none"/>
                <w:lang w:val="en-US" w:eastAsia="zh-CN"/>
              </w:rPr>
              <w:t>25分</w:t>
            </w:r>
            <w:r>
              <w:rPr>
                <w:rFonts w:hint="eastAsia" w:ascii="仿宋" w:hAnsi="仿宋" w:eastAsia="仿宋" w:cs="仿宋"/>
                <w:b/>
                <w:bCs/>
                <w:color w:val="auto"/>
                <w:sz w:val="21"/>
                <w:szCs w:val="21"/>
                <w:highlight w:val="none"/>
              </w:rPr>
              <w:t>）</w:t>
            </w:r>
          </w:p>
        </w:tc>
      </w:tr>
      <w:tr w14:paraId="597130EC">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42" w:type="dxa"/>
            <w:noWrap w:val="0"/>
            <w:vAlign w:val="center"/>
          </w:tcPr>
          <w:p w14:paraId="55E8E95E">
            <w:pPr>
              <w:shd w:val="clear"/>
              <w:adjustRightInd w:val="0"/>
              <w:snapToGrid w:val="0"/>
              <w:jc w:val="center"/>
              <w:rPr>
                <w:rFonts w:hint="eastAsia" w:ascii="仿宋" w:hAnsi="仿宋" w:eastAsia="仿宋" w:cs="仿宋"/>
                <w:b/>
                <w:bCs/>
                <w:color w:val="auto"/>
                <w:sz w:val="21"/>
                <w:szCs w:val="21"/>
                <w:highlight w:val="none"/>
              </w:rPr>
            </w:pPr>
            <w:r>
              <w:rPr>
                <w:rFonts w:hint="eastAsia" w:ascii="仿宋" w:hAnsi="仿宋" w:eastAsia="仿宋" w:cs="仿宋"/>
                <w:b/>
                <w:color w:val="auto"/>
                <w:sz w:val="21"/>
                <w:szCs w:val="21"/>
                <w:highlight w:val="none"/>
                <w:lang w:bidi="ar"/>
              </w:rPr>
              <w:t>最后磋商报价</w:t>
            </w:r>
          </w:p>
        </w:tc>
        <w:tc>
          <w:tcPr>
            <w:tcW w:w="840" w:type="dxa"/>
            <w:noWrap w:val="0"/>
            <w:vAlign w:val="center"/>
          </w:tcPr>
          <w:p w14:paraId="1F89DC9D">
            <w:pPr>
              <w:shd w:val="clear"/>
              <w:adjustRightInd w:val="0"/>
              <w:snapToGrid w:val="0"/>
              <w:jc w:val="center"/>
              <w:rPr>
                <w:rFonts w:hint="default" w:ascii="仿宋" w:hAnsi="仿宋" w:eastAsia="仿宋" w:cs="仿宋"/>
                <w:b/>
                <w:bCs/>
                <w:color w:val="auto"/>
                <w:sz w:val="21"/>
                <w:szCs w:val="21"/>
                <w:highlight w:val="none"/>
                <w:lang w:val="en-US" w:eastAsia="zh-CN"/>
              </w:rPr>
            </w:pPr>
            <w:r>
              <w:rPr>
                <w:rFonts w:hint="eastAsia" w:ascii="仿宋" w:hAnsi="仿宋" w:eastAsia="仿宋" w:cs="仿宋"/>
                <w:b/>
                <w:color w:val="auto"/>
                <w:sz w:val="21"/>
                <w:szCs w:val="21"/>
                <w:highlight w:val="none"/>
                <w:lang w:val="en-US" w:eastAsia="zh-CN" w:bidi="ar"/>
              </w:rPr>
              <w:t>25</w:t>
            </w:r>
          </w:p>
        </w:tc>
        <w:tc>
          <w:tcPr>
            <w:tcW w:w="7227" w:type="dxa"/>
            <w:noWrap w:val="0"/>
            <w:vAlign w:val="center"/>
          </w:tcPr>
          <w:p w14:paraId="6478EBC8">
            <w:pPr>
              <w:shd w:val="clear"/>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价格分统一采用低价优先法计算，即满足磋商文件要求且最后报价最低的供应商的价格为磋商基准价，其价格分为满分。其他供应商的价格分统一按照下列公式计算：</w:t>
            </w:r>
          </w:p>
          <w:p w14:paraId="638F782E">
            <w:pPr>
              <w:shd w:val="clear"/>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磋商报价得分=（磋商基准价/最后磋商报价）×</w:t>
            </w:r>
            <w:r>
              <w:rPr>
                <w:rFonts w:hint="eastAsia" w:ascii="仿宋" w:hAnsi="仿宋" w:eastAsia="仿宋" w:cs="仿宋"/>
                <w:color w:val="auto"/>
                <w:sz w:val="21"/>
                <w:szCs w:val="21"/>
                <w:highlight w:val="none"/>
                <w:lang w:val="en-US" w:eastAsia="zh-CN" w:bidi="ar"/>
              </w:rPr>
              <w:t>25</w:t>
            </w:r>
            <w:r>
              <w:rPr>
                <w:rFonts w:hint="eastAsia" w:ascii="仿宋" w:hAnsi="仿宋" w:eastAsia="仿宋" w:cs="仿宋"/>
                <w:color w:val="auto"/>
                <w:sz w:val="21"/>
                <w:szCs w:val="21"/>
                <w:highlight w:val="none"/>
                <w:lang w:bidi="ar"/>
              </w:rPr>
              <w:t>%×100</w:t>
            </w:r>
          </w:p>
        </w:tc>
      </w:tr>
      <w:tr w14:paraId="3D688477">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09" w:type="dxa"/>
            <w:gridSpan w:val="3"/>
            <w:noWrap w:val="0"/>
            <w:vAlign w:val="center"/>
          </w:tcPr>
          <w:p w14:paraId="61467F71">
            <w:pPr>
              <w:shd w:val="clear"/>
              <w:adjustRightInd w:val="0"/>
              <w:snapToGrid w:val="0"/>
              <w:spacing w:line="288" w:lineRule="auto"/>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商务分（</w:t>
            </w:r>
            <w:r>
              <w:rPr>
                <w:rFonts w:hint="eastAsia" w:ascii="仿宋" w:hAnsi="仿宋" w:eastAsia="仿宋" w:cs="仿宋"/>
                <w:b/>
                <w:bCs/>
                <w:color w:val="auto"/>
                <w:sz w:val="21"/>
                <w:szCs w:val="21"/>
                <w:highlight w:val="none"/>
                <w:lang w:val="en-US" w:eastAsia="zh-CN"/>
              </w:rPr>
              <w:t>4分</w:t>
            </w:r>
            <w:r>
              <w:rPr>
                <w:rFonts w:hint="eastAsia" w:ascii="仿宋" w:hAnsi="仿宋" w:eastAsia="仿宋" w:cs="仿宋"/>
                <w:b/>
                <w:bCs/>
                <w:color w:val="auto"/>
                <w:sz w:val="21"/>
                <w:szCs w:val="21"/>
                <w:highlight w:val="none"/>
              </w:rPr>
              <w:t>）</w:t>
            </w:r>
          </w:p>
        </w:tc>
      </w:tr>
      <w:tr w14:paraId="5AAABB82">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542" w:type="dxa"/>
            <w:noWrap w:val="0"/>
            <w:vAlign w:val="center"/>
          </w:tcPr>
          <w:p w14:paraId="2716EF38">
            <w:pPr>
              <w:shd w:val="clear"/>
              <w:adjustRightInd w:val="0"/>
              <w:snapToGrid w:val="0"/>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业绩</w:t>
            </w:r>
          </w:p>
        </w:tc>
        <w:tc>
          <w:tcPr>
            <w:tcW w:w="840" w:type="dxa"/>
            <w:noWrap w:val="0"/>
            <w:vAlign w:val="center"/>
          </w:tcPr>
          <w:p w14:paraId="135DBFB4">
            <w:pPr>
              <w:shd w:val="clear"/>
              <w:adjustRightInd w:val="0"/>
              <w:snapToGrid w:val="0"/>
              <w:spacing w:line="288" w:lineRule="auto"/>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1.5</w:t>
            </w:r>
          </w:p>
        </w:tc>
        <w:tc>
          <w:tcPr>
            <w:tcW w:w="7227" w:type="dxa"/>
            <w:noWrap w:val="0"/>
            <w:vAlign w:val="center"/>
          </w:tcPr>
          <w:p w14:paraId="17BABA0E">
            <w:pPr>
              <w:shd w:val="clear"/>
              <w:adjustRightInd w:val="0"/>
              <w:snapToGrid w:val="0"/>
              <w:spacing w:line="288" w:lineRule="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【客观分】</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自2022年1月1日以来（以合同签订时间为准）</w:t>
            </w:r>
            <w:r>
              <w:rPr>
                <w:rFonts w:hint="eastAsia" w:ascii="仿宋" w:hAnsi="仿宋" w:eastAsia="仿宋" w:cs="仿宋"/>
                <w:b/>
                <w:bCs/>
                <w:color w:val="auto"/>
                <w:kern w:val="0"/>
                <w:sz w:val="21"/>
                <w:szCs w:val="21"/>
                <w:highlight w:val="none"/>
                <w:lang w:val="en-US" w:eastAsia="zh-CN"/>
              </w:rPr>
              <w:t>具有金融数据库建设或出租</w:t>
            </w:r>
            <w:r>
              <w:rPr>
                <w:rFonts w:hint="eastAsia" w:ascii="仿宋" w:hAnsi="仿宋" w:eastAsia="仿宋" w:cs="仿宋"/>
                <w:color w:val="auto"/>
                <w:kern w:val="0"/>
                <w:sz w:val="21"/>
                <w:szCs w:val="21"/>
                <w:highlight w:val="none"/>
                <w:lang w:val="en-US" w:eastAsia="zh-CN"/>
              </w:rPr>
              <w:t>的</w:t>
            </w:r>
            <w:r>
              <w:rPr>
                <w:rFonts w:hint="eastAsia" w:ascii="仿宋" w:hAnsi="仿宋" w:eastAsia="仿宋" w:cs="仿宋"/>
                <w:color w:val="auto"/>
                <w:kern w:val="0"/>
                <w:sz w:val="21"/>
                <w:szCs w:val="21"/>
                <w:highlight w:val="none"/>
              </w:rPr>
              <w:t>合同业绩</w:t>
            </w:r>
            <w:r>
              <w:rPr>
                <w:rFonts w:hint="eastAsia" w:ascii="仿宋" w:hAnsi="仿宋" w:eastAsia="仿宋" w:cs="仿宋"/>
                <w:color w:val="auto"/>
                <w:sz w:val="21"/>
                <w:szCs w:val="21"/>
                <w:highlight w:val="none"/>
              </w:rPr>
              <w:t>（以提供的完整合同扫描件、验收材料为准，未完整提供的不得分）：每提供1份合同业绩得0.5分，最高得</w:t>
            </w:r>
            <w:r>
              <w:rPr>
                <w:rFonts w:hint="eastAsia" w:ascii="仿宋" w:hAnsi="仿宋" w:eastAsia="仿宋" w:cs="仿宋"/>
                <w:color w:val="auto"/>
                <w:sz w:val="21"/>
                <w:szCs w:val="21"/>
                <w:highlight w:val="none"/>
                <w:lang w:val="en-US" w:eastAsia="zh-CN"/>
              </w:rPr>
              <w:t>1.5</w:t>
            </w:r>
            <w:r>
              <w:rPr>
                <w:rFonts w:hint="eastAsia" w:ascii="仿宋" w:hAnsi="仿宋" w:eastAsia="仿宋" w:cs="仿宋"/>
                <w:color w:val="auto"/>
                <w:sz w:val="21"/>
                <w:szCs w:val="21"/>
                <w:highlight w:val="none"/>
              </w:rPr>
              <w:t>分。</w:t>
            </w:r>
          </w:p>
        </w:tc>
      </w:tr>
      <w:tr w14:paraId="51932BD7">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42" w:type="dxa"/>
            <w:vMerge w:val="restart"/>
            <w:noWrap w:val="0"/>
            <w:vAlign w:val="center"/>
          </w:tcPr>
          <w:p w14:paraId="2EE6A7F8">
            <w:pPr>
              <w:shd w:val="clear"/>
              <w:adjustRightInd w:val="0"/>
              <w:snapToGrid w:val="0"/>
              <w:spacing w:line="288"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b/>
                <w:bCs/>
                <w:color w:val="auto"/>
                <w:sz w:val="21"/>
                <w:szCs w:val="21"/>
                <w:highlight w:val="none"/>
                <w:lang w:val="en-US" w:eastAsia="zh-CN"/>
              </w:rPr>
              <w:t>体系证书</w:t>
            </w:r>
          </w:p>
        </w:tc>
        <w:tc>
          <w:tcPr>
            <w:tcW w:w="840" w:type="dxa"/>
            <w:noWrap w:val="0"/>
            <w:vAlign w:val="center"/>
          </w:tcPr>
          <w:p w14:paraId="45DC78B5">
            <w:pPr>
              <w:shd w:val="clear"/>
              <w:adjustRightInd w:val="0"/>
              <w:snapToGrid w:val="0"/>
              <w:spacing w:line="288"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1.5</w:t>
            </w:r>
          </w:p>
        </w:tc>
        <w:tc>
          <w:tcPr>
            <w:tcW w:w="7227" w:type="dxa"/>
            <w:noWrap w:val="0"/>
            <w:vAlign w:val="center"/>
          </w:tcPr>
          <w:p w14:paraId="542C6548">
            <w:pPr>
              <w:shd w:val="clear"/>
              <w:adjustRightInd w:val="0"/>
              <w:snapToGrid w:val="0"/>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【客观分】</w:t>
            </w:r>
            <w:r>
              <w:rPr>
                <w:rFonts w:hint="eastAsia" w:ascii="仿宋" w:hAnsi="仿宋" w:eastAsia="仿宋" w:cs="仿宋"/>
                <w:color w:val="auto"/>
                <w:sz w:val="21"/>
                <w:szCs w:val="21"/>
                <w:highlight w:val="none"/>
              </w:rPr>
              <w:t>供应商具有有效的ISO9001质量管理体系认证证书、ISO27001信息安全管理体系认证证书</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ISO20000信息技术服务管理体系认证证书</w:t>
            </w:r>
            <w:r>
              <w:rPr>
                <w:rFonts w:hint="eastAsia" w:ascii="仿宋" w:hAnsi="仿宋" w:eastAsia="仿宋" w:cs="仿宋"/>
                <w:color w:val="auto"/>
                <w:sz w:val="21"/>
                <w:szCs w:val="21"/>
                <w:highlight w:val="none"/>
              </w:rPr>
              <w:t>，每提供一份得</w:t>
            </w:r>
            <w:r>
              <w:rPr>
                <w:rFonts w:hint="eastAsia" w:ascii="仿宋" w:hAnsi="仿宋" w:eastAsia="仿宋" w:cs="仿宋"/>
                <w:color w:val="auto"/>
                <w:sz w:val="21"/>
                <w:szCs w:val="21"/>
                <w:highlight w:val="none"/>
                <w:lang w:val="en-US" w:eastAsia="zh-CN"/>
              </w:rPr>
              <w:t>0.5</w:t>
            </w:r>
            <w:r>
              <w:rPr>
                <w:rFonts w:hint="eastAsia" w:ascii="仿宋" w:hAnsi="仿宋" w:eastAsia="仿宋" w:cs="仿宋"/>
                <w:color w:val="auto"/>
                <w:sz w:val="21"/>
                <w:szCs w:val="21"/>
                <w:highlight w:val="none"/>
              </w:rPr>
              <w:t>分，最多得</w:t>
            </w:r>
            <w:r>
              <w:rPr>
                <w:rFonts w:hint="eastAsia" w:ascii="仿宋" w:hAnsi="仿宋" w:eastAsia="仿宋" w:cs="仿宋"/>
                <w:color w:val="auto"/>
                <w:sz w:val="21"/>
                <w:szCs w:val="21"/>
                <w:highlight w:val="none"/>
                <w:lang w:val="en-US" w:eastAsia="zh-CN"/>
              </w:rPr>
              <w:t>1.5</w:t>
            </w:r>
            <w:r>
              <w:rPr>
                <w:rFonts w:hint="eastAsia" w:ascii="仿宋" w:hAnsi="仿宋" w:eastAsia="仿宋" w:cs="仿宋"/>
                <w:color w:val="auto"/>
                <w:sz w:val="21"/>
                <w:szCs w:val="21"/>
                <w:highlight w:val="none"/>
              </w:rPr>
              <w:t>分。</w:t>
            </w:r>
          </w:p>
          <w:p w14:paraId="0BC7BA10">
            <w:pPr>
              <w:shd w:val="clear"/>
              <w:wordWrap w:val="0"/>
              <w:topLinePunct/>
              <w:adjustRightInd w:val="0"/>
              <w:snapToGrid w:val="0"/>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（提供证书扫描件及国家认证认可监督管理委员会官网（http://www.cnca.gov.cn/）查询截图，不提供不得分）。</w:t>
            </w:r>
          </w:p>
        </w:tc>
      </w:tr>
      <w:tr w14:paraId="7C0BAA5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42" w:type="dxa"/>
            <w:vMerge w:val="continue"/>
            <w:noWrap w:val="0"/>
            <w:vAlign w:val="center"/>
          </w:tcPr>
          <w:p w14:paraId="14C36A01">
            <w:pPr>
              <w:shd w:val="clear"/>
              <w:adjustRightInd w:val="0"/>
              <w:snapToGrid w:val="0"/>
              <w:spacing w:line="288" w:lineRule="auto"/>
              <w:jc w:val="center"/>
              <w:rPr>
                <w:rFonts w:hint="eastAsia" w:ascii="仿宋" w:hAnsi="仿宋" w:eastAsia="仿宋" w:cs="仿宋"/>
                <w:b/>
                <w:bCs/>
                <w:color w:val="auto"/>
                <w:sz w:val="21"/>
                <w:szCs w:val="21"/>
                <w:highlight w:val="none"/>
                <w:lang w:val="en-US" w:eastAsia="zh-CN"/>
              </w:rPr>
            </w:pPr>
          </w:p>
        </w:tc>
        <w:tc>
          <w:tcPr>
            <w:tcW w:w="840" w:type="dxa"/>
            <w:noWrap w:val="0"/>
            <w:vAlign w:val="center"/>
          </w:tcPr>
          <w:p w14:paraId="5391C599">
            <w:pPr>
              <w:shd w:val="clear"/>
              <w:adjustRightInd w:val="0"/>
              <w:snapToGrid w:val="0"/>
              <w:spacing w:line="288" w:lineRule="auto"/>
              <w:jc w:val="center"/>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1</w:t>
            </w:r>
          </w:p>
        </w:tc>
        <w:tc>
          <w:tcPr>
            <w:tcW w:w="7227" w:type="dxa"/>
            <w:noWrap w:val="0"/>
            <w:vAlign w:val="center"/>
          </w:tcPr>
          <w:p w14:paraId="6A5F3283">
            <w:pPr>
              <w:shd w:val="clear"/>
              <w:wordWrap w:val="0"/>
              <w:topLinePunct/>
              <w:adjustRightInd w:val="0"/>
              <w:snapToGrid w:val="0"/>
              <w:spacing w:line="288"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rPr>
              <w:t>【客观分】</w:t>
            </w:r>
            <w:r>
              <w:rPr>
                <w:rFonts w:hint="eastAsia" w:ascii="仿宋" w:hAnsi="仿宋" w:eastAsia="仿宋" w:cs="仿宋"/>
                <w:color w:val="auto"/>
                <w:sz w:val="21"/>
                <w:szCs w:val="21"/>
                <w:highlight w:val="none"/>
              </w:rPr>
              <w:t>供应商</w:t>
            </w:r>
            <w:r>
              <w:rPr>
                <w:rFonts w:hint="eastAsia" w:ascii="仿宋" w:hAnsi="仿宋" w:eastAsia="仿宋" w:cs="仿宋"/>
                <w:color w:val="auto"/>
                <w:sz w:val="21"/>
                <w:szCs w:val="21"/>
                <w:highlight w:val="none"/>
                <w:lang w:val="en-US" w:eastAsia="zh-CN"/>
              </w:rPr>
              <w:t>或产品开发商</w:t>
            </w:r>
            <w:r>
              <w:rPr>
                <w:rFonts w:hint="eastAsia" w:ascii="仿宋" w:hAnsi="仿宋" w:eastAsia="仿宋" w:cs="仿宋"/>
                <w:color w:val="auto"/>
                <w:sz w:val="21"/>
                <w:szCs w:val="21"/>
                <w:highlight w:val="none"/>
              </w:rPr>
              <w:t>具有CMMI（软件能力成熟度集成模型）证书的，</w:t>
            </w:r>
            <w:r>
              <w:rPr>
                <w:rFonts w:hint="eastAsia" w:ascii="仿宋" w:hAnsi="仿宋" w:eastAsia="仿宋" w:cs="仿宋"/>
                <w:color w:val="auto"/>
                <w:sz w:val="21"/>
                <w:szCs w:val="21"/>
                <w:highlight w:val="none"/>
                <w:lang w:val="en-US" w:eastAsia="zh-CN"/>
              </w:rPr>
              <w:t>得1分。</w:t>
            </w:r>
          </w:p>
          <w:p w14:paraId="576234CF">
            <w:pPr>
              <w:shd w:val="clear"/>
              <w:wordWrap w:val="0"/>
              <w:topLinePunct/>
              <w:adjustRightInd w:val="0"/>
              <w:snapToGrid w:val="0"/>
              <w:spacing w:line="288" w:lineRule="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注：需提供有效的证书复印件或扫描件并加盖公章，否则不得分。</w:t>
            </w:r>
          </w:p>
        </w:tc>
      </w:tr>
      <w:tr w14:paraId="59D053C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09" w:type="dxa"/>
            <w:gridSpan w:val="3"/>
            <w:noWrap w:val="0"/>
            <w:vAlign w:val="center"/>
          </w:tcPr>
          <w:p w14:paraId="2CB7929E">
            <w:pPr>
              <w:shd w:val="clear"/>
              <w:adjustRightInd w:val="0"/>
              <w:snapToGrid w:val="0"/>
              <w:spacing w:line="288" w:lineRule="auto"/>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技术分（</w:t>
            </w:r>
            <w:r>
              <w:rPr>
                <w:rFonts w:hint="eastAsia" w:ascii="仿宋" w:hAnsi="仿宋" w:eastAsia="仿宋" w:cs="仿宋"/>
                <w:b/>
                <w:bCs/>
                <w:color w:val="auto"/>
                <w:sz w:val="21"/>
                <w:szCs w:val="21"/>
                <w:highlight w:val="none"/>
                <w:lang w:val="en-US" w:eastAsia="zh-CN"/>
              </w:rPr>
              <w:t>71分</w:t>
            </w:r>
            <w:r>
              <w:rPr>
                <w:rFonts w:hint="eastAsia" w:ascii="仿宋" w:hAnsi="仿宋" w:eastAsia="仿宋" w:cs="仿宋"/>
                <w:b/>
                <w:bCs/>
                <w:color w:val="auto"/>
                <w:sz w:val="21"/>
                <w:szCs w:val="21"/>
                <w:highlight w:val="none"/>
              </w:rPr>
              <w:t>）</w:t>
            </w:r>
          </w:p>
        </w:tc>
      </w:tr>
      <w:tr w14:paraId="6C0435A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542" w:type="dxa"/>
            <w:noWrap w:val="0"/>
            <w:vAlign w:val="center"/>
          </w:tcPr>
          <w:p w14:paraId="51698A3F">
            <w:pPr>
              <w:shd w:val="clear"/>
              <w:adjustRightInd w:val="0"/>
              <w:snapToGrid w:val="0"/>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技术响应程度</w:t>
            </w:r>
          </w:p>
        </w:tc>
        <w:tc>
          <w:tcPr>
            <w:tcW w:w="840" w:type="dxa"/>
            <w:noWrap w:val="0"/>
            <w:vAlign w:val="center"/>
          </w:tcPr>
          <w:p w14:paraId="16640A6C">
            <w:pPr>
              <w:shd w:val="clear"/>
              <w:adjustRightInd w:val="0"/>
              <w:snapToGrid w:val="0"/>
              <w:spacing w:line="288" w:lineRule="auto"/>
              <w:jc w:val="center"/>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15</w:t>
            </w:r>
          </w:p>
        </w:tc>
        <w:tc>
          <w:tcPr>
            <w:tcW w:w="7227" w:type="dxa"/>
            <w:noWrap w:val="0"/>
            <w:vAlign w:val="center"/>
          </w:tcPr>
          <w:p w14:paraId="2BE6F05B">
            <w:pPr>
              <w:pStyle w:val="6"/>
              <w:shd w:val="clear"/>
              <w:ind w:left="0" w:leftChars="0" w:firstLine="0" w:firstLineChars="0"/>
              <w:rPr>
                <w:rFonts w:hint="eastAsia" w:ascii="仿宋" w:hAnsi="仿宋" w:eastAsia="仿宋" w:cs="仿宋"/>
                <w:color w:val="auto"/>
                <w:highlight w:val="none"/>
              </w:rPr>
            </w:pPr>
            <w:r>
              <w:rPr>
                <w:rFonts w:hint="eastAsia" w:ascii="仿宋" w:hAnsi="仿宋" w:eastAsia="仿宋" w:cs="仿宋"/>
                <w:color w:val="auto"/>
                <w:kern w:val="0"/>
                <w:sz w:val="21"/>
                <w:szCs w:val="21"/>
                <w:highlight w:val="none"/>
              </w:rPr>
              <w:t>【客观分】</w:t>
            </w:r>
            <w:r>
              <w:rPr>
                <w:rFonts w:hint="eastAsia" w:ascii="仿宋" w:hAnsi="仿宋" w:eastAsia="仿宋" w:cs="仿宋"/>
                <w:color w:val="auto"/>
                <w:kern w:val="0"/>
                <w:sz w:val="21"/>
                <w:szCs w:val="21"/>
                <w:highlight w:val="none"/>
                <w:lang w:val="en-US" w:eastAsia="zh-CN"/>
              </w:rPr>
              <w:t>供应商需</w:t>
            </w:r>
            <w:r>
              <w:rPr>
                <w:rFonts w:hint="eastAsia" w:ascii="仿宋" w:hAnsi="仿宋" w:eastAsia="仿宋" w:cs="仿宋"/>
                <w:color w:val="auto"/>
                <w:kern w:val="0"/>
                <w:sz w:val="21"/>
                <w:szCs w:val="21"/>
                <w:highlight w:val="none"/>
                <w:lang w:bidi="ar"/>
              </w:rPr>
              <w:t>对</w:t>
            </w:r>
            <w:r>
              <w:rPr>
                <w:rFonts w:hint="eastAsia" w:ascii="仿宋" w:hAnsi="仿宋" w:eastAsia="仿宋" w:cs="仿宋"/>
                <w:color w:val="auto"/>
                <w:sz w:val="21"/>
                <w:szCs w:val="21"/>
                <w:highlight w:val="none"/>
              </w:rPr>
              <w:t>磋商文件</w:t>
            </w:r>
            <w:r>
              <w:rPr>
                <w:rFonts w:hint="eastAsia" w:ascii="仿宋" w:hAnsi="仿宋" w:eastAsia="仿宋" w:cs="仿宋"/>
                <w:color w:val="auto"/>
                <w:kern w:val="0"/>
                <w:sz w:val="21"/>
                <w:szCs w:val="21"/>
                <w:highlight w:val="none"/>
                <w:lang w:val="en-US" w:eastAsia="zh-CN" w:bidi="ar"/>
              </w:rPr>
              <w:t>采购需求部分逐条进行响应，</w:t>
            </w:r>
            <w:r>
              <w:rPr>
                <w:rFonts w:hint="eastAsia" w:ascii="仿宋" w:hAnsi="仿宋" w:eastAsia="仿宋" w:cs="仿宋"/>
                <w:color w:val="auto"/>
                <w:kern w:val="0"/>
                <w:sz w:val="21"/>
                <w:szCs w:val="21"/>
                <w:highlight w:val="none"/>
                <w:lang w:bidi="ar"/>
              </w:rPr>
              <w:t>每出现一项</w:t>
            </w:r>
            <w:r>
              <w:rPr>
                <w:rFonts w:hint="eastAsia" w:ascii="仿宋" w:hAnsi="仿宋" w:eastAsia="仿宋" w:cs="仿宋"/>
                <w:color w:val="auto"/>
                <w:kern w:val="0"/>
                <w:sz w:val="21"/>
                <w:szCs w:val="21"/>
                <w:highlight w:val="none"/>
                <w:lang w:val="en-US" w:eastAsia="zh-CN" w:bidi="ar"/>
              </w:rPr>
              <w:t>负偏离</w:t>
            </w:r>
            <w:r>
              <w:rPr>
                <w:rFonts w:hint="eastAsia" w:ascii="仿宋" w:hAnsi="仿宋" w:eastAsia="仿宋" w:cs="仿宋"/>
                <w:color w:val="auto"/>
                <w:kern w:val="0"/>
                <w:sz w:val="21"/>
                <w:szCs w:val="21"/>
                <w:highlight w:val="none"/>
                <w:lang w:bidi="ar"/>
              </w:rPr>
              <w:t>减</w:t>
            </w:r>
            <w:r>
              <w:rPr>
                <w:rFonts w:hint="eastAsia" w:ascii="仿宋" w:hAnsi="仿宋" w:eastAsia="仿宋" w:cs="仿宋"/>
                <w:color w:val="auto"/>
                <w:kern w:val="0"/>
                <w:sz w:val="21"/>
                <w:szCs w:val="21"/>
                <w:highlight w:val="none"/>
                <w:lang w:val="en-US" w:eastAsia="zh-CN" w:bidi="ar"/>
              </w:rPr>
              <w:t>0.5</w:t>
            </w:r>
            <w:r>
              <w:rPr>
                <w:rFonts w:hint="eastAsia" w:ascii="仿宋" w:hAnsi="仿宋" w:eastAsia="仿宋" w:cs="仿宋"/>
                <w:color w:val="auto"/>
                <w:kern w:val="0"/>
                <w:sz w:val="21"/>
                <w:szCs w:val="21"/>
                <w:highlight w:val="none"/>
                <w:lang w:bidi="ar"/>
              </w:rPr>
              <w:t>分,扣完为止。</w:t>
            </w:r>
          </w:p>
        </w:tc>
      </w:tr>
      <w:tr w14:paraId="647DC57B">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542" w:type="dxa"/>
            <w:vMerge w:val="restart"/>
            <w:noWrap w:val="0"/>
            <w:vAlign w:val="center"/>
          </w:tcPr>
          <w:p w14:paraId="36C5F1EE">
            <w:pPr>
              <w:shd w:val="clear"/>
              <w:adjustRightInd w:val="0"/>
              <w:snapToGrid w:val="0"/>
              <w:jc w:val="center"/>
              <w:rPr>
                <w:rFonts w:hint="eastAsia" w:ascii="仿宋" w:hAnsi="仿宋" w:eastAsia="仿宋" w:cs="仿宋"/>
                <w:b/>
                <w:color w:val="auto"/>
                <w:sz w:val="21"/>
                <w:szCs w:val="21"/>
                <w:highlight w:val="none"/>
                <w:lang w:bidi="ar"/>
              </w:rPr>
            </w:pPr>
            <w:r>
              <w:rPr>
                <w:rFonts w:hint="eastAsia" w:ascii="仿宋" w:hAnsi="仿宋" w:eastAsia="仿宋" w:cs="仿宋"/>
                <w:b/>
                <w:bCs/>
                <w:color w:val="auto"/>
                <w:sz w:val="21"/>
                <w:szCs w:val="21"/>
                <w:highlight w:val="none"/>
                <w:lang w:val="en-US" w:eastAsia="zh-CN" w:bidi="ar"/>
              </w:rPr>
              <w:t>实施</w:t>
            </w:r>
            <w:r>
              <w:rPr>
                <w:rFonts w:hint="eastAsia" w:ascii="仿宋" w:hAnsi="仿宋" w:eastAsia="仿宋" w:cs="仿宋"/>
                <w:b/>
                <w:bCs/>
                <w:color w:val="auto"/>
                <w:sz w:val="21"/>
                <w:szCs w:val="21"/>
                <w:highlight w:val="none"/>
                <w:lang w:bidi="ar"/>
              </w:rPr>
              <w:t>方案</w:t>
            </w:r>
          </w:p>
        </w:tc>
        <w:tc>
          <w:tcPr>
            <w:tcW w:w="840" w:type="dxa"/>
            <w:noWrap w:val="0"/>
            <w:vAlign w:val="center"/>
          </w:tcPr>
          <w:p w14:paraId="7D892571">
            <w:pPr>
              <w:shd w:val="clear"/>
              <w:adjustRightInd w:val="0"/>
              <w:snapToGrid w:val="0"/>
              <w:jc w:val="center"/>
              <w:rPr>
                <w:rFonts w:hint="eastAsia" w:ascii="仿宋" w:hAnsi="仿宋" w:eastAsia="仿宋" w:cs="仿宋"/>
                <w:b/>
                <w:color w:val="auto"/>
                <w:sz w:val="21"/>
                <w:szCs w:val="21"/>
                <w:highlight w:val="none"/>
                <w:lang w:eastAsia="zh-CN" w:bidi="ar"/>
              </w:rPr>
            </w:pPr>
            <w:r>
              <w:rPr>
                <w:rFonts w:hint="eastAsia" w:ascii="仿宋" w:hAnsi="仿宋" w:eastAsia="仿宋" w:cs="仿宋"/>
                <w:b/>
                <w:bCs/>
                <w:color w:val="auto"/>
                <w:sz w:val="21"/>
                <w:szCs w:val="21"/>
                <w:highlight w:val="none"/>
                <w:lang w:val="en-US" w:eastAsia="zh-CN" w:bidi="ar"/>
              </w:rPr>
              <w:t>3</w:t>
            </w:r>
          </w:p>
        </w:tc>
        <w:tc>
          <w:tcPr>
            <w:tcW w:w="7227" w:type="dxa"/>
            <w:noWrap w:val="0"/>
            <w:vAlign w:val="center"/>
          </w:tcPr>
          <w:p w14:paraId="7CB5C441">
            <w:pPr>
              <w:shd w:val="clear"/>
              <w:adjustRightInd w:val="0"/>
              <w:snapToGrid w:val="0"/>
              <w:spacing w:line="288" w:lineRule="auto"/>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rPr>
              <w:t>【主观分】</w:t>
            </w:r>
            <w:r>
              <w:rPr>
                <w:rFonts w:hint="eastAsia" w:ascii="仿宋" w:hAnsi="仿宋" w:eastAsia="仿宋" w:cs="仿宋"/>
                <w:color w:val="auto"/>
                <w:sz w:val="21"/>
                <w:szCs w:val="21"/>
                <w:highlight w:val="none"/>
                <w:lang w:val="en-US" w:eastAsia="zh-CN"/>
              </w:rPr>
              <w:t>根据</w:t>
            </w:r>
            <w:r>
              <w:rPr>
                <w:rFonts w:hint="eastAsia" w:ascii="仿宋" w:hAnsi="仿宋" w:eastAsia="仿宋" w:cs="仿宋"/>
                <w:color w:val="auto"/>
                <w:sz w:val="21"/>
                <w:szCs w:val="21"/>
                <w:highlight w:val="none"/>
                <w:lang w:eastAsia="zh-CN" w:bidi="ar"/>
              </w:rPr>
              <w:t>供应商</w:t>
            </w:r>
            <w:r>
              <w:rPr>
                <w:rFonts w:hint="eastAsia" w:ascii="仿宋" w:hAnsi="仿宋" w:eastAsia="仿宋" w:cs="仿宋"/>
                <w:color w:val="auto"/>
                <w:sz w:val="21"/>
                <w:szCs w:val="21"/>
                <w:highlight w:val="none"/>
                <w:lang w:val="en-US" w:eastAsia="zh-CN" w:bidi="ar"/>
              </w:rPr>
              <w:t>提供的根据本项目需求提供的</w:t>
            </w:r>
            <w:r>
              <w:rPr>
                <w:rFonts w:hint="eastAsia" w:ascii="仿宋" w:hAnsi="仿宋" w:eastAsia="仿宋" w:cs="仿宋"/>
                <w:color w:val="auto"/>
                <w:sz w:val="21"/>
                <w:szCs w:val="21"/>
                <w:highlight w:val="none"/>
                <w:lang w:val="en-US" w:eastAsia="zh-CN"/>
              </w:rPr>
              <w:t>金融终端用户</w:t>
            </w:r>
            <w:r>
              <w:rPr>
                <w:rFonts w:hint="eastAsia" w:ascii="仿宋" w:hAnsi="仿宋" w:eastAsia="仿宋" w:cs="仿宋"/>
                <w:color w:val="auto"/>
                <w:sz w:val="21"/>
                <w:szCs w:val="21"/>
                <w:highlight w:val="none"/>
              </w:rPr>
              <w:t>需求、建设内容</w:t>
            </w:r>
            <w:r>
              <w:rPr>
                <w:rFonts w:hint="eastAsia" w:ascii="仿宋" w:hAnsi="仿宋" w:eastAsia="仿宋" w:cs="仿宋"/>
                <w:color w:val="auto"/>
                <w:sz w:val="21"/>
                <w:szCs w:val="21"/>
                <w:highlight w:val="none"/>
                <w:lang w:val="en-US" w:eastAsia="zh-CN"/>
              </w:rPr>
              <w:t>分析</w:t>
            </w:r>
            <w:r>
              <w:rPr>
                <w:rFonts w:hint="eastAsia" w:ascii="仿宋" w:hAnsi="仿宋" w:eastAsia="仿宋" w:cs="仿宋"/>
                <w:color w:val="auto"/>
                <w:sz w:val="21"/>
                <w:szCs w:val="21"/>
                <w:highlight w:val="none"/>
              </w:rPr>
              <w:t>的全面性、针对性</w:t>
            </w:r>
            <w:r>
              <w:rPr>
                <w:rFonts w:hint="eastAsia" w:ascii="仿宋" w:hAnsi="仿宋" w:eastAsia="仿宋" w:cs="仿宋"/>
                <w:color w:val="auto"/>
                <w:sz w:val="21"/>
                <w:szCs w:val="21"/>
                <w:highlight w:val="none"/>
                <w:lang w:val="en-US" w:eastAsia="zh-CN"/>
              </w:rPr>
              <w:t>进行评议</w:t>
            </w:r>
            <w:r>
              <w:rPr>
                <w:rFonts w:hint="eastAsia" w:ascii="仿宋" w:hAnsi="仿宋" w:eastAsia="仿宋" w:cs="仿宋"/>
                <w:color w:val="auto"/>
                <w:sz w:val="21"/>
                <w:szCs w:val="21"/>
                <w:highlight w:val="none"/>
              </w:rPr>
              <w:t>。（评分范围：3,2,1,0）</w:t>
            </w:r>
          </w:p>
        </w:tc>
      </w:tr>
      <w:tr w14:paraId="76FC2D1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42" w:type="dxa"/>
            <w:vMerge w:val="continue"/>
            <w:noWrap w:val="0"/>
            <w:vAlign w:val="center"/>
          </w:tcPr>
          <w:p w14:paraId="543D8792">
            <w:pPr>
              <w:shd w:val="clear"/>
              <w:adjustRightInd w:val="0"/>
              <w:snapToGrid w:val="0"/>
              <w:jc w:val="center"/>
              <w:rPr>
                <w:rFonts w:hint="eastAsia" w:ascii="仿宋" w:hAnsi="仿宋" w:eastAsia="仿宋" w:cs="仿宋"/>
                <w:b/>
                <w:bCs/>
                <w:color w:val="auto"/>
                <w:sz w:val="21"/>
                <w:szCs w:val="21"/>
                <w:highlight w:val="none"/>
                <w:lang w:bidi="ar"/>
              </w:rPr>
            </w:pPr>
          </w:p>
        </w:tc>
        <w:tc>
          <w:tcPr>
            <w:tcW w:w="840" w:type="dxa"/>
            <w:noWrap w:val="0"/>
            <w:vAlign w:val="center"/>
          </w:tcPr>
          <w:p w14:paraId="53787D20">
            <w:pPr>
              <w:shd w:val="clear"/>
              <w:adjustRightInd w:val="0"/>
              <w:snapToGrid w:val="0"/>
              <w:spacing w:line="288" w:lineRule="auto"/>
              <w:jc w:val="center"/>
              <w:rPr>
                <w:rFonts w:hint="eastAsia" w:ascii="仿宋" w:hAnsi="仿宋" w:eastAsia="仿宋" w:cs="仿宋"/>
                <w:b/>
                <w:color w:val="auto"/>
                <w:sz w:val="21"/>
                <w:szCs w:val="21"/>
                <w:highlight w:val="none"/>
                <w:lang w:bidi="ar"/>
              </w:rPr>
            </w:pPr>
            <w:r>
              <w:rPr>
                <w:rFonts w:hint="eastAsia" w:ascii="仿宋" w:hAnsi="仿宋" w:eastAsia="仿宋" w:cs="仿宋"/>
                <w:b/>
                <w:bCs/>
                <w:color w:val="auto"/>
                <w:sz w:val="21"/>
                <w:szCs w:val="21"/>
                <w:highlight w:val="none"/>
                <w:lang w:val="en-US" w:eastAsia="zh-CN" w:bidi="ar"/>
              </w:rPr>
              <w:t>5</w:t>
            </w:r>
          </w:p>
        </w:tc>
        <w:tc>
          <w:tcPr>
            <w:tcW w:w="7227" w:type="dxa"/>
            <w:noWrap w:val="0"/>
            <w:vAlign w:val="center"/>
          </w:tcPr>
          <w:p w14:paraId="7D4FBB47">
            <w:pPr>
              <w:shd w:val="clear"/>
              <w:adjustRightInd w:val="0"/>
              <w:snapToGrid w:val="0"/>
              <w:spacing w:line="288" w:lineRule="auto"/>
              <w:rPr>
                <w:rFonts w:hint="default" w:ascii="仿宋" w:hAnsi="仿宋" w:eastAsia="仿宋" w:cs="仿宋"/>
                <w:color w:val="auto"/>
                <w:sz w:val="21"/>
                <w:szCs w:val="21"/>
                <w:highlight w:val="none"/>
                <w:lang w:val="en-US" w:bidi="ar"/>
              </w:rPr>
            </w:pPr>
            <w:r>
              <w:rPr>
                <w:rFonts w:hint="eastAsia" w:ascii="仿宋" w:hAnsi="仿宋" w:eastAsia="仿宋" w:cs="仿宋"/>
                <w:color w:val="auto"/>
                <w:sz w:val="21"/>
                <w:szCs w:val="21"/>
                <w:highlight w:val="none"/>
              </w:rPr>
              <w:t>【主观分】</w:t>
            </w:r>
            <w:r>
              <w:rPr>
                <w:rFonts w:hint="eastAsia" w:ascii="仿宋" w:hAnsi="仿宋" w:eastAsia="仿宋" w:cs="仿宋"/>
                <w:color w:val="auto"/>
                <w:sz w:val="21"/>
                <w:szCs w:val="21"/>
                <w:highlight w:val="none"/>
                <w:lang w:val="en-US" w:eastAsia="zh-CN"/>
              </w:rPr>
              <w:t>根据</w:t>
            </w:r>
            <w:r>
              <w:rPr>
                <w:rFonts w:hint="eastAsia" w:ascii="仿宋" w:hAnsi="仿宋" w:eastAsia="仿宋" w:cs="仿宋"/>
                <w:color w:val="auto"/>
                <w:sz w:val="21"/>
                <w:szCs w:val="21"/>
                <w:highlight w:val="none"/>
                <w:lang w:eastAsia="zh-CN" w:bidi="ar"/>
              </w:rPr>
              <w:t>供应商</w:t>
            </w:r>
            <w:r>
              <w:rPr>
                <w:rFonts w:hint="eastAsia" w:ascii="仿宋" w:hAnsi="仿宋" w:eastAsia="仿宋" w:cs="仿宋"/>
                <w:color w:val="auto"/>
                <w:sz w:val="21"/>
                <w:szCs w:val="21"/>
                <w:highlight w:val="none"/>
                <w:lang w:val="en-US" w:eastAsia="zh-CN" w:bidi="ar"/>
              </w:rPr>
              <w:t>提供的本项目建设的重难点分析及相关解决方案的全面性、合理性及针对性进行评议</w:t>
            </w:r>
            <w:r>
              <w:rPr>
                <w:rFonts w:hint="eastAsia" w:ascii="仿宋" w:hAnsi="仿宋" w:eastAsia="仿宋" w:cs="仿宋"/>
                <w:color w:val="auto"/>
                <w:sz w:val="21"/>
                <w:szCs w:val="21"/>
                <w:highlight w:val="none"/>
              </w:rPr>
              <w:t>。（评分范围：</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4,3,2,1,0）</w:t>
            </w:r>
          </w:p>
        </w:tc>
      </w:tr>
      <w:tr w14:paraId="5F37BD58">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542" w:type="dxa"/>
            <w:vMerge w:val="continue"/>
            <w:noWrap w:val="0"/>
            <w:vAlign w:val="center"/>
          </w:tcPr>
          <w:p w14:paraId="40C3CF74">
            <w:pPr>
              <w:shd w:val="clear"/>
              <w:adjustRightInd w:val="0"/>
              <w:snapToGrid w:val="0"/>
              <w:spacing w:line="288" w:lineRule="auto"/>
              <w:jc w:val="center"/>
              <w:rPr>
                <w:rFonts w:hint="eastAsia" w:ascii="仿宋" w:hAnsi="仿宋" w:eastAsia="仿宋" w:cs="仿宋"/>
                <w:b/>
                <w:bCs/>
                <w:color w:val="auto"/>
                <w:kern w:val="0"/>
                <w:sz w:val="21"/>
                <w:szCs w:val="21"/>
                <w:highlight w:val="none"/>
              </w:rPr>
            </w:pPr>
          </w:p>
        </w:tc>
        <w:tc>
          <w:tcPr>
            <w:tcW w:w="840" w:type="dxa"/>
            <w:noWrap w:val="0"/>
            <w:vAlign w:val="center"/>
          </w:tcPr>
          <w:p w14:paraId="237CF587">
            <w:pPr>
              <w:shd w:val="clear"/>
              <w:adjustRightInd w:val="0"/>
              <w:snapToGrid w:val="0"/>
              <w:spacing w:line="288" w:lineRule="auto"/>
              <w:jc w:val="center"/>
              <w:rPr>
                <w:rFonts w:hint="eastAsia" w:ascii="仿宋" w:hAnsi="仿宋" w:eastAsia="仿宋" w:cs="仿宋"/>
                <w:b/>
                <w:color w:val="auto"/>
                <w:kern w:val="2"/>
                <w:sz w:val="21"/>
                <w:szCs w:val="21"/>
                <w:highlight w:val="none"/>
                <w:lang w:val="en-US" w:eastAsia="zh-CN" w:bidi="ar"/>
              </w:rPr>
            </w:pPr>
            <w:r>
              <w:rPr>
                <w:rFonts w:hint="eastAsia" w:ascii="仿宋" w:hAnsi="仿宋" w:eastAsia="仿宋" w:cs="仿宋"/>
                <w:b/>
                <w:bCs/>
                <w:color w:val="auto"/>
                <w:spacing w:val="-6"/>
                <w:sz w:val="21"/>
                <w:szCs w:val="21"/>
                <w:highlight w:val="none"/>
                <w:lang w:val="en-US" w:eastAsia="zh-CN"/>
              </w:rPr>
              <w:t>3</w:t>
            </w:r>
          </w:p>
        </w:tc>
        <w:tc>
          <w:tcPr>
            <w:tcW w:w="7227" w:type="dxa"/>
            <w:noWrap w:val="0"/>
            <w:vAlign w:val="center"/>
          </w:tcPr>
          <w:p w14:paraId="3E14EA37">
            <w:pPr>
              <w:shd w:val="clear"/>
              <w:adjustRightInd w:val="0"/>
              <w:snapToGrid w:val="0"/>
              <w:spacing w:line="288" w:lineRule="auto"/>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sz w:val="21"/>
                <w:szCs w:val="21"/>
                <w:highlight w:val="none"/>
                <w:lang w:bidi="ar"/>
              </w:rPr>
              <w:t>【主观分】</w:t>
            </w:r>
            <w:r>
              <w:rPr>
                <w:rFonts w:hint="eastAsia" w:ascii="仿宋" w:hAnsi="仿宋" w:eastAsia="仿宋" w:cs="仿宋"/>
                <w:color w:val="auto"/>
                <w:spacing w:val="-6"/>
                <w:sz w:val="21"/>
                <w:szCs w:val="21"/>
                <w:highlight w:val="none"/>
              </w:rPr>
              <w:t>根据供应商对软件的升级、调整、修改、维护等服务作出具体技术支持方案进行评价。（评分范围：3,2,1,0）</w:t>
            </w:r>
          </w:p>
        </w:tc>
      </w:tr>
      <w:tr w14:paraId="229E9B9F">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542" w:type="dxa"/>
            <w:vMerge w:val="continue"/>
            <w:noWrap w:val="0"/>
            <w:vAlign w:val="center"/>
          </w:tcPr>
          <w:p w14:paraId="4A376ACB">
            <w:pPr>
              <w:shd w:val="clear"/>
              <w:adjustRightInd w:val="0"/>
              <w:snapToGrid w:val="0"/>
              <w:spacing w:line="288" w:lineRule="auto"/>
              <w:jc w:val="center"/>
              <w:rPr>
                <w:rFonts w:hint="eastAsia" w:ascii="仿宋" w:hAnsi="仿宋" w:eastAsia="仿宋" w:cs="仿宋"/>
                <w:b/>
                <w:bCs/>
                <w:color w:val="auto"/>
                <w:kern w:val="0"/>
                <w:sz w:val="21"/>
                <w:szCs w:val="21"/>
                <w:highlight w:val="none"/>
              </w:rPr>
            </w:pPr>
          </w:p>
        </w:tc>
        <w:tc>
          <w:tcPr>
            <w:tcW w:w="840" w:type="dxa"/>
            <w:noWrap w:val="0"/>
            <w:vAlign w:val="center"/>
          </w:tcPr>
          <w:p w14:paraId="6AAD9237">
            <w:pPr>
              <w:shd w:val="clear"/>
              <w:adjustRightInd w:val="0"/>
              <w:snapToGrid w:val="0"/>
              <w:spacing w:line="288" w:lineRule="auto"/>
              <w:jc w:val="center"/>
              <w:rPr>
                <w:rFonts w:hint="eastAsia" w:ascii="仿宋" w:hAnsi="仿宋" w:eastAsia="仿宋" w:cs="仿宋"/>
                <w:b/>
                <w:bCs/>
                <w:color w:val="auto"/>
                <w:spacing w:val="-6"/>
                <w:sz w:val="21"/>
                <w:szCs w:val="21"/>
                <w:highlight w:val="none"/>
                <w:lang w:val="en-US" w:eastAsia="zh-CN"/>
              </w:rPr>
            </w:pPr>
            <w:r>
              <w:rPr>
                <w:rFonts w:hint="eastAsia" w:ascii="仿宋" w:hAnsi="仿宋" w:eastAsia="仿宋" w:cs="仿宋"/>
                <w:b/>
                <w:bCs/>
                <w:color w:val="auto"/>
                <w:spacing w:val="-6"/>
                <w:sz w:val="21"/>
                <w:szCs w:val="21"/>
                <w:highlight w:val="none"/>
                <w:lang w:val="en-US" w:eastAsia="zh-CN"/>
              </w:rPr>
              <w:t>3</w:t>
            </w:r>
          </w:p>
        </w:tc>
        <w:tc>
          <w:tcPr>
            <w:tcW w:w="7227" w:type="dxa"/>
            <w:noWrap w:val="0"/>
            <w:vAlign w:val="center"/>
          </w:tcPr>
          <w:p w14:paraId="748E65D1">
            <w:pPr>
              <w:shd w:val="clear"/>
              <w:adjustRightInd w:val="0"/>
              <w:snapToGrid w:val="0"/>
              <w:spacing w:line="288" w:lineRule="auto"/>
              <w:rPr>
                <w:rFonts w:hint="default" w:ascii="仿宋" w:hAnsi="仿宋" w:eastAsia="仿宋" w:cs="仿宋"/>
                <w:color w:val="auto"/>
                <w:spacing w:val="-6"/>
                <w:sz w:val="21"/>
                <w:szCs w:val="21"/>
                <w:highlight w:val="none"/>
                <w:lang w:val="en-US" w:eastAsia="zh-CN"/>
              </w:rPr>
            </w:pPr>
            <w:r>
              <w:rPr>
                <w:rFonts w:hint="eastAsia" w:ascii="仿宋" w:hAnsi="仿宋" w:eastAsia="仿宋" w:cs="仿宋"/>
                <w:color w:val="auto"/>
                <w:spacing w:val="-6"/>
                <w:sz w:val="21"/>
                <w:szCs w:val="21"/>
                <w:highlight w:val="none"/>
              </w:rPr>
              <w:t>【主观分】</w:t>
            </w:r>
            <w:r>
              <w:rPr>
                <w:rFonts w:hint="eastAsia" w:ascii="仿宋" w:hAnsi="仿宋" w:eastAsia="仿宋" w:cs="仿宋"/>
                <w:color w:val="auto"/>
                <w:spacing w:val="-6"/>
                <w:sz w:val="21"/>
                <w:szCs w:val="21"/>
                <w:highlight w:val="none"/>
                <w:lang w:val="en-US" w:eastAsia="zh-CN"/>
              </w:rPr>
              <w:t>根据供应商提供的</w:t>
            </w:r>
            <w:r>
              <w:rPr>
                <w:rFonts w:hint="eastAsia" w:ascii="仿宋" w:hAnsi="仿宋" w:eastAsia="仿宋" w:cs="仿宋"/>
                <w:color w:val="auto"/>
                <w:sz w:val="21"/>
                <w:szCs w:val="21"/>
                <w:highlight w:val="none"/>
              </w:rPr>
              <w:t>故障</w:t>
            </w:r>
            <w:r>
              <w:rPr>
                <w:rFonts w:hint="eastAsia" w:ascii="仿宋" w:hAnsi="仿宋" w:eastAsia="仿宋" w:cs="仿宋"/>
                <w:color w:val="auto"/>
                <w:sz w:val="21"/>
                <w:szCs w:val="21"/>
                <w:highlight w:val="none"/>
                <w:lang w:val="en-US" w:eastAsia="zh-CN"/>
              </w:rPr>
              <w:t>预防、排除</w:t>
            </w:r>
            <w:r>
              <w:rPr>
                <w:rFonts w:hint="eastAsia" w:ascii="仿宋" w:hAnsi="仿宋" w:eastAsia="仿宋" w:cs="仿宋"/>
                <w:color w:val="auto"/>
                <w:sz w:val="21"/>
                <w:szCs w:val="21"/>
                <w:highlight w:val="none"/>
              </w:rPr>
              <w:t>及应急</w:t>
            </w:r>
            <w:r>
              <w:rPr>
                <w:rFonts w:hint="eastAsia" w:ascii="仿宋" w:hAnsi="仿宋" w:eastAsia="仿宋" w:cs="仿宋"/>
                <w:color w:val="auto"/>
                <w:sz w:val="21"/>
                <w:szCs w:val="21"/>
                <w:highlight w:val="none"/>
                <w:lang w:val="en-US" w:eastAsia="zh-CN"/>
              </w:rPr>
              <w:t>服务</w:t>
            </w:r>
            <w:r>
              <w:rPr>
                <w:rFonts w:hint="eastAsia" w:ascii="仿宋" w:hAnsi="仿宋" w:eastAsia="仿宋" w:cs="仿宋"/>
                <w:color w:val="auto"/>
                <w:sz w:val="21"/>
                <w:szCs w:val="21"/>
                <w:highlight w:val="none"/>
              </w:rPr>
              <w:t>方案</w:t>
            </w:r>
            <w:r>
              <w:rPr>
                <w:rFonts w:hint="eastAsia" w:ascii="仿宋" w:hAnsi="仿宋" w:eastAsia="仿宋" w:cs="仿宋"/>
                <w:color w:val="auto"/>
                <w:sz w:val="21"/>
                <w:szCs w:val="21"/>
                <w:highlight w:val="none"/>
                <w:lang w:eastAsia="zh-CN"/>
              </w:rPr>
              <w:t>的</w:t>
            </w:r>
            <w:r>
              <w:rPr>
                <w:rFonts w:hint="eastAsia" w:ascii="仿宋" w:hAnsi="仿宋" w:eastAsia="仿宋" w:cs="仿宋"/>
                <w:color w:val="auto"/>
                <w:sz w:val="21"/>
                <w:szCs w:val="21"/>
                <w:highlight w:val="none"/>
                <w:lang w:val="en-US" w:eastAsia="zh-CN"/>
              </w:rPr>
              <w:t>全面性、针对性进行评议</w:t>
            </w:r>
            <w:r>
              <w:rPr>
                <w:rFonts w:hint="eastAsia" w:ascii="仿宋" w:hAnsi="仿宋" w:eastAsia="仿宋" w:cs="仿宋"/>
                <w:color w:val="auto"/>
                <w:spacing w:val="-6"/>
                <w:sz w:val="21"/>
                <w:szCs w:val="21"/>
                <w:highlight w:val="none"/>
              </w:rPr>
              <w:t>。（评分范围：3,2,1,0）</w:t>
            </w:r>
          </w:p>
        </w:tc>
      </w:tr>
      <w:tr w14:paraId="65CB2F9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542" w:type="dxa"/>
            <w:vMerge w:val="continue"/>
            <w:noWrap w:val="0"/>
            <w:vAlign w:val="center"/>
          </w:tcPr>
          <w:p w14:paraId="05AE5C2F">
            <w:pPr>
              <w:shd w:val="clear"/>
              <w:adjustRightInd w:val="0"/>
              <w:snapToGrid w:val="0"/>
              <w:spacing w:line="288" w:lineRule="auto"/>
              <w:jc w:val="center"/>
              <w:rPr>
                <w:rFonts w:hint="eastAsia" w:ascii="仿宋" w:hAnsi="仿宋" w:eastAsia="仿宋" w:cs="仿宋"/>
                <w:b/>
                <w:bCs/>
                <w:color w:val="auto"/>
                <w:kern w:val="0"/>
                <w:sz w:val="21"/>
                <w:szCs w:val="21"/>
                <w:highlight w:val="none"/>
              </w:rPr>
            </w:pPr>
          </w:p>
        </w:tc>
        <w:tc>
          <w:tcPr>
            <w:tcW w:w="840" w:type="dxa"/>
            <w:noWrap w:val="0"/>
            <w:vAlign w:val="center"/>
          </w:tcPr>
          <w:p w14:paraId="3472EA00">
            <w:pPr>
              <w:shd w:val="clear"/>
              <w:adjustRightInd w:val="0"/>
              <w:snapToGrid w:val="0"/>
              <w:spacing w:line="288" w:lineRule="auto"/>
              <w:jc w:val="center"/>
              <w:rPr>
                <w:rFonts w:hint="default" w:ascii="仿宋" w:hAnsi="仿宋" w:eastAsia="仿宋" w:cs="仿宋"/>
                <w:b/>
                <w:bCs/>
                <w:color w:val="auto"/>
                <w:spacing w:val="-6"/>
                <w:sz w:val="21"/>
                <w:szCs w:val="21"/>
                <w:highlight w:val="none"/>
                <w:lang w:val="en-US" w:eastAsia="zh-CN"/>
              </w:rPr>
            </w:pPr>
            <w:r>
              <w:rPr>
                <w:rFonts w:hint="eastAsia" w:ascii="仿宋" w:hAnsi="仿宋" w:eastAsia="仿宋" w:cs="仿宋"/>
                <w:b/>
                <w:bCs/>
                <w:color w:val="auto"/>
                <w:spacing w:val="-6"/>
                <w:sz w:val="21"/>
                <w:szCs w:val="21"/>
                <w:highlight w:val="none"/>
                <w:lang w:val="en-US" w:eastAsia="zh-CN"/>
              </w:rPr>
              <w:t>3</w:t>
            </w:r>
          </w:p>
        </w:tc>
        <w:tc>
          <w:tcPr>
            <w:tcW w:w="7227" w:type="dxa"/>
            <w:noWrap w:val="0"/>
            <w:vAlign w:val="center"/>
          </w:tcPr>
          <w:p w14:paraId="6E532C06">
            <w:pPr>
              <w:shd w:val="clear"/>
              <w:adjustRightInd w:val="0"/>
              <w:snapToGrid w:val="0"/>
              <w:spacing w:line="288" w:lineRule="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【主观分】</w:t>
            </w:r>
            <w:r>
              <w:rPr>
                <w:rFonts w:hint="eastAsia" w:ascii="仿宋" w:hAnsi="仿宋" w:eastAsia="仿宋" w:cs="仿宋"/>
                <w:color w:val="auto"/>
                <w:spacing w:val="-6"/>
                <w:sz w:val="21"/>
                <w:szCs w:val="21"/>
                <w:highlight w:val="none"/>
                <w:lang w:val="en-US" w:eastAsia="zh-CN"/>
              </w:rPr>
              <w:t>根据供应商提供的金融大数据分析方面的省级重点特色教材联合编写服务方案的合理性、可行性进行评议</w:t>
            </w: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（评分范围：3,2,1,0）</w:t>
            </w:r>
          </w:p>
        </w:tc>
      </w:tr>
      <w:tr w14:paraId="36B1E5C2">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42" w:type="dxa"/>
            <w:vMerge w:val="continue"/>
            <w:noWrap w:val="0"/>
            <w:vAlign w:val="center"/>
          </w:tcPr>
          <w:p w14:paraId="51540A84">
            <w:pPr>
              <w:shd w:val="clear"/>
              <w:adjustRightInd w:val="0"/>
              <w:snapToGrid w:val="0"/>
              <w:spacing w:line="288" w:lineRule="auto"/>
              <w:jc w:val="center"/>
              <w:rPr>
                <w:rFonts w:hint="eastAsia" w:ascii="仿宋" w:hAnsi="仿宋" w:eastAsia="仿宋" w:cs="仿宋"/>
                <w:b/>
                <w:bCs/>
                <w:color w:val="auto"/>
                <w:kern w:val="0"/>
                <w:sz w:val="21"/>
                <w:szCs w:val="21"/>
                <w:highlight w:val="none"/>
              </w:rPr>
            </w:pPr>
          </w:p>
        </w:tc>
        <w:tc>
          <w:tcPr>
            <w:tcW w:w="840" w:type="dxa"/>
            <w:noWrap w:val="0"/>
            <w:vAlign w:val="center"/>
          </w:tcPr>
          <w:p w14:paraId="5F27AA6E">
            <w:pPr>
              <w:shd w:val="clear"/>
              <w:adjustRightInd w:val="0"/>
              <w:snapToGrid w:val="0"/>
              <w:spacing w:line="288" w:lineRule="auto"/>
              <w:jc w:val="center"/>
              <w:rPr>
                <w:rFonts w:hint="default" w:ascii="仿宋" w:hAnsi="仿宋" w:eastAsia="仿宋" w:cs="仿宋"/>
                <w:b/>
                <w:bCs/>
                <w:color w:val="auto"/>
                <w:spacing w:val="-6"/>
                <w:sz w:val="21"/>
                <w:szCs w:val="21"/>
                <w:highlight w:val="none"/>
                <w:lang w:val="en-US" w:eastAsia="zh-CN"/>
              </w:rPr>
            </w:pPr>
            <w:r>
              <w:rPr>
                <w:rFonts w:hint="eastAsia" w:ascii="仿宋" w:hAnsi="仿宋" w:eastAsia="仿宋" w:cs="仿宋"/>
                <w:b/>
                <w:bCs/>
                <w:color w:val="auto"/>
                <w:spacing w:val="-6"/>
                <w:sz w:val="21"/>
                <w:szCs w:val="21"/>
                <w:highlight w:val="none"/>
                <w:lang w:val="en-US" w:eastAsia="zh-CN"/>
              </w:rPr>
              <w:t>3</w:t>
            </w:r>
          </w:p>
        </w:tc>
        <w:tc>
          <w:tcPr>
            <w:tcW w:w="7227" w:type="dxa"/>
            <w:noWrap w:val="0"/>
            <w:vAlign w:val="center"/>
          </w:tcPr>
          <w:p w14:paraId="74CFAFF8">
            <w:pPr>
              <w:shd w:val="clear"/>
              <w:adjustRightInd w:val="0"/>
              <w:snapToGrid w:val="0"/>
              <w:spacing w:line="288" w:lineRule="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【主观分】</w:t>
            </w:r>
            <w:r>
              <w:rPr>
                <w:rFonts w:hint="eastAsia" w:ascii="仿宋" w:hAnsi="仿宋" w:eastAsia="仿宋" w:cs="仿宋"/>
                <w:color w:val="auto"/>
                <w:spacing w:val="-6"/>
                <w:sz w:val="21"/>
                <w:szCs w:val="21"/>
                <w:highlight w:val="none"/>
                <w:lang w:val="en-US" w:eastAsia="zh-CN"/>
              </w:rPr>
              <w:t>根据供应商提供的合作期间项目申请（教育部产业合作协同育人项目和教育部高教学生司就业育人项目）、实践基地申报（国家级虚拟仿真实验室建设或者申报产教融合就业实习实践基地）的服务方案的合理性、可行性进行评议</w:t>
            </w: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（评分范围：</w:t>
            </w:r>
            <w:r>
              <w:rPr>
                <w:rFonts w:hint="eastAsia" w:ascii="仿宋" w:hAnsi="仿宋" w:eastAsia="仿宋" w:cs="仿宋"/>
                <w:color w:val="auto"/>
                <w:sz w:val="21"/>
                <w:szCs w:val="21"/>
                <w:highlight w:val="none"/>
                <w:lang w:val="en-US" w:eastAsia="zh-CN" w:bidi="ar"/>
              </w:rPr>
              <w:t>3，</w:t>
            </w:r>
            <w:r>
              <w:rPr>
                <w:rFonts w:hint="eastAsia" w:ascii="仿宋" w:hAnsi="仿宋" w:eastAsia="仿宋" w:cs="仿宋"/>
                <w:color w:val="auto"/>
                <w:sz w:val="21"/>
                <w:szCs w:val="21"/>
                <w:highlight w:val="none"/>
                <w:lang w:bidi="ar"/>
              </w:rPr>
              <w:t>2,1,0）</w:t>
            </w:r>
          </w:p>
        </w:tc>
      </w:tr>
      <w:tr w14:paraId="1B6ED32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42" w:type="dxa"/>
            <w:shd w:val="clear" w:color="auto" w:fill="auto"/>
            <w:noWrap w:val="0"/>
            <w:vAlign w:val="center"/>
          </w:tcPr>
          <w:p w14:paraId="7E73B2AC">
            <w:pPr>
              <w:shd w:val="clear"/>
              <w:adjustRightInd w:val="0"/>
              <w:snapToGrid w:val="0"/>
              <w:spacing w:line="288" w:lineRule="auto"/>
              <w:jc w:val="center"/>
              <w:rPr>
                <w:rFonts w:hint="eastAsia" w:ascii="仿宋" w:hAnsi="仿宋" w:eastAsia="仿宋" w:cs="仿宋"/>
                <w:b/>
                <w:color w:val="auto"/>
                <w:kern w:val="2"/>
                <w:sz w:val="21"/>
                <w:szCs w:val="21"/>
                <w:highlight w:val="none"/>
                <w:lang w:val="en-US" w:eastAsia="zh-CN" w:bidi="ar"/>
              </w:rPr>
            </w:pPr>
            <w:r>
              <w:rPr>
                <w:rFonts w:hint="eastAsia" w:ascii="仿宋" w:hAnsi="仿宋" w:eastAsia="仿宋" w:cs="仿宋"/>
                <w:b/>
                <w:color w:val="auto"/>
                <w:sz w:val="21"/>
                <w:szCs w:val="21"/>
                <w:highlight w:val="none"/>
                <w:lang w:bidi="ar"/>
              </w:rPr>
              <w:t>AI技术应用</w:t>
            </w:r>
          </w:p>
        </w:tc>
        <w:tc>
          <w:tcPr>
            <w:tcW w:w="840" w:type="dxa"/>
            <w:shd w:val="clear" w:color="auto" w:fill="auto"/>
            <w:noWrap w:val="0"/>
            <w:vAlign w:val="center"/>
          </w:tcPr>
          <w:p w14:paraId="7F3579CC">
            <w:pPr>
              <w:shd w:val="clear"/>
              <w:adjustRightInd w:val="0"/>
              <w:snapToGrid w:val="0"/>
              <w:spacing w:line="288" w:lineRule="auto"/>
              <w:jc w:val="center"/>
              <w:rPr>
                <w:rFonts w:hint="eastAsia" w:ascii="仿宋" w:hAnsi="仿宋" w:eastAsia="仿宋" w:cs="仿宋"/>
                <w:b/>
                <w:color w:val="auto"/>
                <w:kern w:val="2"/>
                <w:sz w:val="21"/>
                <w:szCs w:val="21"/>
                <w:highlight w:val="none"/>
                <w:lang w:val="en-US" w:eastAsia="zh-CN" w:bidi="ar"/>
              </w:rPr>
            </w:pPr>
            <w:r>
              <w:rPr>
                <w:rFonts w:hint="eastAsia" w:ascii="仿宋" w:hAnsi="仿宋" w:eastAsia="仿宋" w:cs="仿宋"/>
                <w:b/>
                <w:color w:val="auto"/>
                <w:sz w:val="21"/>
                <w:szCs w:val="21"/>
                <w:highlight w:val="none"/>
                <w:lang w:val="en-US" w:eastAsia="zh-CN" w:bidi="ar"/>
              </w:rPr>
              <w:t>3</w:t>
            </w:r>
          </w:p>
        </w:tc>
        <w:tc>
          <w:tcPr>
            <w:tcW w:w="7227" w:type="dxa"/>
            <w:shd w:val="clear" w:color="auto" w:fill="auto"/>
            <w:noWrap w:val="0"/>
            <w:vAlign w:val="center"/>
          </w:tcPr>
          <w:p w14:paraId="2C20FECE">
            <w:pPr>
              <w:shd w:val="clear"/>
              <w:adjustRightInd w:val="0"/>
              <w:snapToGrid w:val="0"/>
              <w:spacing w:line="288" w:lineRule="auto"/>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【主观分】根据供应商金融数据客户端是否具有AI技术应用服务支持，包括</w:t>
            </w:r>
            <w:r>
              <w:rPr>
                <w:rFonts w:hint="eastAsia" w:ascii="仿宋" w:hAnsi="仿宋" w:eastAsia="仿宋" w:cs="仿宋"/>
                <w:color w:val="auto"/>
                <w:sz w:val="21"/>
                <w:szCs w:val="21"/>
                <w:highlight w:val="none"/>
                <w:lang w:val="en-US" w:eastAsia="zh-CN" w:bidi="ar"/>
              </w:rPr>
              <w:t>AI</w:t>
            </w:r>
            <w:r>
              <w:rPr>
                <w:rFonts w:hint="eastAsia" w:ascii="仿宋" w:hAnsi="仿宋" w:eastAsia="仿宋" w:cs="仿宋"/>
                <w:color w:val="auto"/>
                <w:sz w:val="21"/>
                <w:szCs w:val="21"/>
                <w:highlight w:val="none"/>
                <w:lang w:bidi="ar"/>
              </w:rPr>
              <w:t>对话、AI写作、AI看板、AI纪要、AI智读等内容进行评审</w:t>
            </w: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bidi="ar"/>
              </w:rPr>
              <w:t>每提供一个有效应用模块得1分，最高得</w:t>
            </w:r>
            <w:r>
              <w:rPr>
                <w:rFonts w:hint="eastAsia" w:ascii="仿宋" w:hAnsi="仿宋" w:eastAsia="仿宋" w:cs="仿宋"/>
                <w:color w:val="auto"/>
                <w:sz w:val="21"/>
                <w:szCs w:val="21"/>
                <w:highlight w:val="none"/>
                <w:lang w:val="en-US" w:eastAsia="zh-CN" w:bidi="ar"/>
              </w:rPr>
              <w:t>3</w:t>
            </w:r>
            <w:r>
              <w:rPr>
                <w:rFonts w:hint="eastAsia" w:ascii="仿宋" w:hAnsi="仿宋" w:eastAsia="仿宋" w:cs="仿宋"/>
                <w:color w:val="auto"/>
                <w:sz w:val="21"/>
                <w:szCs w:val="21"/>
                <w:highlight w:val="none"/>
                <w:lang w:bidi="ar"/>
              </w:rPr>
              <w:t>分。</w:t>
            </w:r>
          </w:p>
          <w:p w14:paraId="6C3D8FF9">
            <w:pPr>
              <w:shd w:val="clear"/>
              <w:adjustRightInd w:val="0"/>
              <w:snapToGrid w:val="0"/>
              <w:spacing w:line="288" w:lineRule="auto"/>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sz w:val="21"/>
                <w:szCs w:val="21"/>
                <w:highlight w:val="none"/>
                <w:lang w:bidi="ar"/>
              </w:rPr>
              <w:t>注:须提供上述相应功能模块截图，并能够在提供的数据终端中找到截图对应功能。（磋商小组视情况要求供应商对终端数据相应功能模块进行展示）</w:t>
            </w:r>
          </w:p>
        </w:tc>
      </w:tr>
      <w:tr w14:paraId="1777FDF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42" w:type="dxa"/>
            <w:noWrap w:val="0"/>
            <w:vAlign w:val="center"/>
          </w:tcPr>
          <w:p w14:paraId="7EDFE963">
            <w:pPr>
              <w:shd w:val="clear"/>
              <w:adjustRightInd w:val="0"/>
              <w:snapToGrid w:val="0"/>
              <w:spacing w:line="288" w:lineRule="auto"/>
              <w:jc w:val="center"/>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质量保障方案</w:t>
            </w:r>
          </w:p>
        </w:tc>
        <w:tc>
          <w:tcPr>
            <w:tcW w:w="840" w:type="dxa"/>
            <w:noWrap w:val="0"/>
            <w:vAlign w:val="center"/>
          </w:tcPr>
          <w:p w14:paraId="3267C667">
            <w:pPr>
              <w:shd w:val="clear"/>
              <w:adjustRightInd w:val="0"/>
              <w:snapToGrid w:val="0"/>
              <w:spacing w:line="288" w:lineRule="auto"/>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5</w:t>
            </w:r>
          </w:p>
        </w:tc>
        <w:tc>
          <w:tcPr>
            <w:tcW w:w="7227" w:type="dxa"/>
            <w:noWrap w:val="0"/>
            <w:vAlign w:val="center"/>
          </w:tcPr>
          <w:p w14:paraId="16296900">
            <w:pPr>
              <w:shd w:val="clear"/>
              <w:adjustRightInd w:val="0"/>
              <w:snapToGrid w:val="0"/>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bidi="ar"/>
              </w:rPr>
              <w:t>【主观分】根据供应商</w:t>
            </w:r>
            <w:r>
              <w:rPr>
                <w:rFonts w:hint="eastAsia" w:ascii="仿宋" w:hAnsi="仿宋" w:eastAsia="仿宋" w:cs="仿宋"/>
                <w:color w:val="auto"/>
                <w:sz w:val="21"/>
                <w:szCs w:val="21"/>
                <w:highlight w:val="none"/>
                <w:lang w:val="en-US" w:eastAsia="zh-CN" w:bidi="ar"/>
              </w:rPr>
              <w:t>针对本项目</w:t>
            </w:r>
            <w:r>
              <w:rPr>
                <w:rFonts w:hint="eastAsia" w:ascii="仿宋" w:hAnsi="仿宋" w:eastAsia="仿宋" w:cs="仿宋"/>
                <w:color w:val="auto"/>
                <w:sz w:val="21"/>
                <w:szCs w:val="21"/>
                <w:highlight w:val="none"/>
                <w:lang w:eastAsia="zh-CN" w:bidi="ar"/>
              </w:rPr>
              <w:t>提供</w:t>
            </w:r>
            <w:r>
              <w:rPr>
                <w:rFonts w:hint="eastAsia" w:ascii="仿宋" w:hAnsi="仿宋" w:eastAsia="仿宋" w:cs="仿宋"/>
                <w:color w:val="auto"/>
                <w:sz w:val="21"/>
                <w:szCs w:val="21"/>
                <w:highlight w:val="none"/>
                <w:lang w:val="en-US" w:eastAsia="zh-CN" w:bidi="ar"/>
              </w:rPr>
              <w:t>的数据库质量保障方案</w:t>
            </w:r>
            <w:r>
              <w:rPr>
                <w:rFonts w:hint="eastAsia" w:ascii="仿宋" w:hAnsi="仿宋" w:eastAsia="仿宋" w:cs="仿宋"/>
                <w:color w:val="auto"/>
                <w:sz w:val="21"/>
                <w:szCs w:val="21"/>
                <w:highlight w:val="none"/>
                <w:lang w:eastAsia="zh-CN" w:bidi="ar"/>
              </w:rPr>
              <w:t>进行评分。(</w:t>
            </w:r>
            <w:r>
              <w:rPr>
                <w:rFonts w:hint="eastAsia" w:ascii="仿宋" w:hAnsi="仿宋" w:eastAsia="仿宋" w:cs="仿宋"/>
                <w:color w:val="auto"/>
                <w:sz w:val="21"/>
                <w:szCs w:val="21"/>
                <w:highlight w:val="none"/>
              </w:rPr>
              <w:t>评分范围：</w:t>
            </w:r>
            <w:r>
              <w:rPr>
                <w:rFonts w:hint="eastAsia" w:ascii="仿宋" w:hAnsi="仿宋" w:eastAsia="仿宋" w:cs="仿宋"/>
                <w:color w:val="auto"/>
                <w:sz w:val="21"/>
                <w:szCs w:val="21"/>
                <w:highlight w:val="none"/>
                <w:lang w:val="en-US" w:eastAsia="zh-CN" w:bidi="ar"/>
              </w:rPr>
              <w:t>5</w:t>
            </w:r>
            <w:r>
              <w:rPr>
                <w:rFonts w:hint="eastAsia" w:ascii="仿宋" w:hAnsi="仿宋" w:eastAsia="仿宋" w:cs="仿宋"/>
                <w:color w:val="auto"/>
                <w:sz w:val="21"/>
                <w:szCs w:val="21"/>
                <w:highlight w:val="none"/>
                <w:lang w:eastAsia="zh-CN" w:bidi="ar"/>
              </w:rPr>
              <w:t>，</w:t>
            </w:r>
            <w:r>
              <w:rPr>
                <w:rFonts w:hint="eastAsia" w:ascii="仿宋" w:hAnsi="仿宋" w:eastAsia="仿宋" w:cs="仿宋"/>
                <w:color w:val="auto"/>
                <w:sz w:val="21"/>
                <w:szCs w:val="21"/>
                <w:highlight w:val="none"/>
                <w:lang w:val="en-US" w:eastAsia="zh-CN" w:bidi="ar"/>
              </w:rPr>
              <w:t>4，</w:t>
            </w:r>
            <w:r>
              <w:rPr>
                <w:rFonts w:hint="eastAsia" w:ascii="仿宋" w:hAnsi="仿宋" w:eastAsia="仿宋" w:cs="仿宋"/>
                <w:color w:val="auto"/>
                <w:sz w:val="21"/>
                <w:szCs w:val="21"/>
                <w:highlight w:val="none"/>
                <w:lang w:eastAsia="zh-CN" w:bidi="ar"/>
              </w:rPr>
              <w:t>3,2,1,0)</w:t>
            </w:r>
          </w:p>
        </w:tc>
      </w:tr>
      <w:tr w14:paraId="43CFC0FF">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542" w:type="dxa"/>
            <w:noWrap w:val="0"/>
            <w:vAlign w:val="center"/>
          </w:tcPr>
          <w:p w14:paraId="062E3E48">
            <w:pPr>
              <w:shd w:val="clear"/>
              <w:adjustRightInd w:val="0"/>
              <w:snapToGrid w:val="0"/>
              <w:spacing w:line="288" w:lineRule="auto"/>
              <w:jc w:val="center"/>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sz w:val="21"/>
                <w:szCs w:val="21"/>
                <w:highlight w:val="none"/>
              </w:rPr>
              <w:t>培训方案</w:t>
            </w:r>
          </w:p>
        </w:tc>
        <w:tc>
          <w:tcPr>
            <w:tcW w:w="840" w:type="dxa"/>
            <w:noWrap w:val="0"/>
            <w:vAlign w:val="center"/>
          </w:tcPr>
          <w:p w14:paraId="41C2F5B0">
            <w:pPr>
              <w:shd w:val="clear"/>
              <w:adjustRightInd w:val="0"/>
              <w:snapToGrid w:val="0"/>
              <w:spacing w:line="288" w:lineRule="auto"/>
              <w:jc w:val="center"/>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color w:val="auto"/>
                <w:sz w:val="21"/>
                <w:szCs w:val="21"/>
                <w:highlight w:val="none"/>
                <w:lang w:bidi="ar"/>
              </w:rPr>
              <w:t>5</w:t>
            </w:r>
          </w:p>
        </w:tc>
        <w:tc>
          <w:tcPr>
            <w:tcW w:w="7227" w:type="dxa"/>
            <w:noWrap w:val="0"/>
            <w:vAlign w:val="center"/>
          </w:tcPr>
          <w:p w14:paraId="71606A1F">
            <w:pPr>
              <w:shd w:val="clear"/>
              <w:adjustRightInd w:val="0"/>
              <w:snapToGrid w:val="0"/>
              <w:spacing w:line="288"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bidi="ar"/>
              </w:rPr>
              <w:t>【主观分】</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提供的</w:t>
            </w:r>
            <w:r>
              <w:rPr>
                <w:rFonts w:hint="eastAsia" w:ascii="仿宋" w:hAnsi="仿宋" w:eastAsia="仿宋" w:cs="仿宋"/>
                <w:color w:val="auto"/>
                <w:sz w:val="21"/>
                <w:szCs w:val="21"/>
                <w:highlight w:val="none"/>
                <w:lang w:val="en-US" w:eastAsia="zh-CN"/>
              </w:rPr>
              <w:t>针对数据库终端功能介绍及使用</w:t>
            </w:r>
            <w:r>
              <w:rPr>
                <w:rFonts w:hint="eastAsia" w:ascii="仿宋" w:hAnsi="仿宋" w:eastAsia="仿宋" w:cs="仿宋"/>
                <w:color w:val="auto"/>
                <w:sz w:val="21"/>
                <w:szCs w:val="21"/>
                <w:highlight w:val="none"/>
              </w:rPr>
              <w:t>培训计划情况，包括培训计划的针对性，内容详细程度，科学合理性。（评分范围：</w:t>
            </w:r>
            <w:r>
              <w:rPr>
                <w:rFonts w:hint="eastAsia" w:ascii="仿宋" w:hAnsi="仿宋" w:eastAsia="仿宋" w:cs="仿宋"/>
                <w:color w:val="auto"/>
                <w:sz w:val="21"/>
                <w:szCs w:val="21"/>
                <w:highlight w:val="none"/>
                <w:lang w:bidi="ar"/>
              </w:rPr>
              <w:t>5,4,3,2,1,0</w:t>
            </w:r>
            <w:r>
              <w:rPr>
                <w:rFonts w:hint="eastAsia" w:ascii="仿宋" w:hAnsi="仿宋" w:eastAsia="仿宋" w:cs="仿宋"/>
                <w:color w:val="auto"/>
                <w:sz w:val="21"/>
                <w:szCs w:val="21"/>
                <w:highlight w:val="none"/>
              </w:rPr>
              <w:t>）</w:t>
            </w:r>
          </w:p>
        </w:tc>
      </w:tr>
      <w:tr w14:paraId="7B4607E8">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42" w:type="dxa"/>
            <w:vMerge w:val="restart"/>
            <w:noWrap w:val="0"/>
            <w:vAlign w:val="center"/>
          </w:tcPr>
          <w:p w14:paraId="1559B90A">
            <w:pPr>
              <w:shd w:val="clear"/>
              <w:adjustRightInd w:val="0"/>
              <w:snapToGrid w:val="0"/>
              <w:jc w:val="center"/>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bCs/>
                <w:color w:val="auto"/>
                <w:kern w:val="0"/>
                <w:sz w:val="21"/>
                <w:szCs w:val="21"/>
                <w:highlight w:val="none"/>
                <w:lang w:val="en-US" w:eastAsia="zh-CN"/>
              </w:rPr>
              <w:t>项目团队</w:t>
            </w:r>
          </w:p>
        </w:tc>
        <w:tc>
          <w:tcPr>
            <w:tcW w:w="840" w:type="dxa"/>
            <w:noWrap w:val="0"/>
            <w:vAlign w:val="center"/>
          </w:tcPr>
          <w:p w14:paraId="38941BC8">
            <w:pPr>
              <w:shd w:val="clear"/>
              <w:adjustRightInd w:val="0"/>
              <w:snapToGrid w:val="0"/>
              <w:jc w:val="center"/>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bCs/>
                <w:color w:val="auto"/>
                <w:kern w:val="0"/>
                <w:sz w:val="21"/>
                <w:szCs w:val="21"/>
                <w:highlight w:val="none"/>
                <w:lang w:val="en-US" w:eastAsia="zh-CN"/>
              </w:rPr>
              <w:t>3</w:t>
            </w:r>
          </w:p>
        </w:tc>
        <w:tc>
          <w:tcPr>
            <w:tcW w:w="7227" w:type="dxa"/>
            <w:noWrap w:val="0"/>
            <w:vAlign w:val="center"/>
          </w:tcPr>
          <w:p w14:paraId="60640423">
            <w:pPr>
              <w:shd w:val="clear"/>
              <w:adjustRightInd w:val="0"/>
              <w:snapToGrid w:val="0"/>
              <w:spacing w:line="288" w:lineRule="auto"/>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rPr>
              <w:t>【主观分】</w:t>
            </w:r>
            <w:r>
              <w:rPr>
                <w:rFonts w:hint="eastAsia" w:ascii="仿宋" w:hAnsi="仿宋" w:eastAsia="仿宋" w:cs="仿宋"/>
                <w:color w:val="auto"/>
                <w:sz w:val="21"/>
                <w:szCs w:val="21"/>
                <w:highlight w:val="none"/>
                <w:lang w:val="en-US" w:eastAsia="zh-CN"/>
              </w:rPr>
              <w:t>供应商拟投入本项目团队人员的岗位配置、人数、类似软件服务项目经验、人员专业技术结构等情况进行评议。（评分范围：3,2,1,0）</w:t>
            </w:r>
          </w:p>
        </w:tc>
      </w:tr>
      <w:tr w14:paraId="6EF4D168">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42" w:type="dxa"/>
            <w:noWrap w:val="0"/>
            <w:vAlign w:val="center"/>
          </w:tcPr>
          <w:p w14:paraId="02BB04D4">
            <w:pPr>
              <w:shd w:val="clear"/>
              <w:adjustRightInd w:val="0"/>
              <w:snapToGrid w:val="0"/>
              <w:spacing w:line="288" w:lineRule="auto"/>
              <w:jc w:val="center"/>
              <w:rPr>
                <w:rFonts w:hint="eastAsia" w:ascii="仿宋" w:hAnsi="仿宋" w:eastAsia="仿宋" w:cs="仿宋"/>
                <w:b/>
                <w:color w:val="auto"/>
                <w:sz w:val="21"/>
                <w:szCs w:val="21"/>
                <w:highlight w:val="none"/>
                <w:lang w:bidi="ar"/>
              </w:rPr>
            </w:pPr>
            <w:r>
              <w:rPr>
                <w:rFonts w:hint="eastAsia" w:ascii="仿宋" w:hAnsi="仿宋" w:eastAsia="仿宋" w:cs="仿宋"/>
                <w:b/>
                <w:color w:val="auto"/>
                <w:sz w:val="21"/>
                <w:szCs w:val="21"/>
                <w:highlight w:val="none"/>
                <w:lang w:bidi="ar"/>
              </w:rPr>
              <w:t>售后服务方案</w:t>
            </w:r>
          </w:p>
        </w:tc>
        <w:tc>
          <w:tcPr>
            <w:tcW w:w="840" w:type="dxa"/>
            <w:noWrap w:val="0"/>
            <w:vAlign w:val="center"/>
          </w:tcPr>
          <w:p w14:paraId="158615C0">
            <w:pPr>
              <w:shd w:val="clear"/>
              <w:adjustRightInd w:val="0"/>
              <w:snapToGrid w:val="0"/>
              <w:spacing w:line="288" w:lineRule="auto"/>
              <w:jc w:val="center"/>
              <w:rPr>
                <w:rFonts w:hint="eastAsia" w:ascii="仿宋" w:hAnsi="仿宋" w:eastAsia="仿宋" w:cs="仿宋"/>
                <w:b/>
                <w:color w:val="auto"/>
                <w:sz w:val="21"/>
                <w:szCs w:val="21"/>
                <w:highlight w:val="none"/>
                <w:lang w:bidi="ar"/>
              </w:rPr>
            </w:pPr>
            <w:r>
              <w:rPr>
                <w:rFonts w:hint="eastAsia" w:ascii="仿宋" w:hAnsi="仿宋" w:eastAsia="仿宋" w:cs="仿宋"/>
                <w:b/>
                <w:color w:val="auto"/>
                <w:sz w:val="21"/>
                <w:szCs w:val="21"/>
                <w:highlight w:val="none"/>
                <w:lang w:bidi="ar"/>
              </w:rPr>
              <w:t>5</w:t>
            </w:r>
          </w:p>
        </w:tc>
        <w:tc>
          <w:tcPr>
            <w:tcW w:w="7227" w:type="dxa"/>
            <w:noWrap w:val="0"/>
            <w:vAlign w:val="center"/>
          </w:tcPr>
          <w:p w14:paraId="675A4B20">
            <w:pPr>
              <w:shd w:val="clear"/>
              <w:adjustRightInd w:val="0"/>
              <w:snapToGrid w:val="0"/>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【主观分】</w:t>
            </w:r>
            <w:r>
              <w:rPr>
                <w:rFonts w:hint="eastAsia" w:ascii="仿宋" w:hAnsi="仿宋" w:eastAsia="仿宋" w:cs="仿宋"/>
                <w:color w:val="auto"/>
                <w:sz w:val="21"/>
                <w:szCs w:val="21"/>
                <w:highlight w:val="none"/>
                <w:lang w:eastAsia="zh-CN"/>
              </w:rPr>
              <w:t>供应商</w:t>
            </w:r>
            <w:r>
              <w:rPr>
                <w:rFonts w:hint="eastAsia" w:ascii="仿宋" w:hAnsi="仿宋" w:eastAsia="仿宋" w:cs="仿宋"/>
                <w:color w:val="auto"/>
                <w:sz w:val="21"/>
                <w:szCs w:val="21"/>
                <w:highlight w:val="none"/>
              </w:rPr>
              <w:t>提供的售后服务方案情况，包括售后服务方案</w:t>
            </w:r>
            <w:r>
              <w:rPr>
                <w:rFonts w:hint="eastAsia" w:ascii="仿宋" w:hAnsi="仿宋" w:eastAsia="仿宋" w:cs="仿宋"/>
                <w:color w:val="auto"/>
                <w:sz w:val="21"/>
                <w:szCs w:val="21"/>
                <w:highlight w:val="none"/>
                <w:lang w:val="en-US" w:eastAsia="zh-CN"/>
              </w:rPr>
              <w:t>是否</w:t>
            </w:r>
            <w:r>
              <w:rPr>
                <w:rFonts w:hint="eastAsia" w:ascii="仿宋" w:hAnsi="仿宋" w:eastAsia="仿宋" w:cs="仿宋"/>
                <w:color w:val="auto"/>
                <w:sz w:val="21"/>
                <w:szCs w:val="21"/>
                <w:highlight w:val="none"/>
              </w:rPr>
              <w:t>全面合理，服务内容</w:t>
            </w:r>
            <w:r>
              <w:rPr>
                <w:rFonts w:hint="eastAsia" w:ascii="仿宋" w:hAnsi="仿宋" w:eastAsia="仿宋" w:cs="仿宋"/>
                <w:color w:val="auto"/>
                <w:sz w:val="21"/>
                <w:szCs w:val="21"/>
                <w:highlight w:val="none"/>
                <w:lang w:val="en-US" w:eastAsia="zh-CN"/>
              </w:rPr>
              <w:t>是否具有</w:t>
            </w:r>
            <w:r>
              <w:rPr>
                <w:rFonts w:hint="eastAsia" w:ascii="仿宋" w:hAnsi="仿宋" w:eastAsia="仿宋" w:cs="仿宋"/>
                <w:color w:val="auto"/>
                <w:sz w:val="21"/>
                <w:szCs w:val="21"/>
                <w:highlight w:val="none"/>
              </w:rPr>
              <w:t>针对性，响应时间</w:t>
            </w:r>
            <w:r>
              <w:rPr>
                <w:rFonts w:hint="eastAsia" w:ascii="仿宋" w:hAnsi="仿宋" w:eastAsia="仿宋" w:cs="仿宋"/>
                <w:color w:val="auto"/>
                <w:sz w:val="21"/>
                <w:szCs w:val="21"/>
                <w:highlight w:val="none"/>
                <w:lang w:val="en-US" w:eastAsia="zh-CN"/>
              </w:rPr>
              <w:t>是否</w:t>
            </w:r>
            <w:r>
              <w:rPr>
                <w:rFonts w:hint="eastAsia" w:ascii="仿宋" w:hAnsi="仿宋" w:eastAsia="仿宋" w:cs="仿宋"/>
                <w:color w:val="auto"/>
                <w:sz w:val="21"/>
                <w:szCs w:val="21"/>
                <w:highlight w:val="none"/>
              </w:rPr>
              <w:t>迅速，技术支持服务力量</w:t>
            </w:r>
            <w:r>
              <w:rPr>
                <w:rFonts w:hint="eastAsia" w:ascii="仿宋" w:hAnsi="仿宋" w:eastAsia="仿宋" w:cs="仿宋"/>
                <w:color w:val="auto"/>
                <w:sz w:val="21"/>
                <w:szCs w:val="21"/>
                <w:highlight w:val="none"/>
                <w:lang w:val="en-US" w:eastAsia="zh-CN"/>
              </w:rPr>
              <w:t>情况</w:t>
            </w:r>
            <w:r>
              <w:rPr>
                <w:rFonts w:hint="eastAsia" w:ascii="仿宋" w:hAnsi="仿宋" w:eastAsia="仿宋" w:cs="仿宋"/>
                <w:color w:val="auto"/>
                <w:sz w:val="21"/>
                <w:szCs w:val="21"/>
                <w:highlight w:val="none"/>
              </w:rPr>
              <w:t>。（评分范围：</w:t>
            </w:r>
            <w:r>
              <w:rPr>
                <w:rFonts w:hint="eastAsia" w:ascii="仿宋" w:hAnsi="仿宋" w:eastAsia="仿宋" w:cs="仿宋"/>
                <w:color w:val="auto"/>
                <w:sz w:val="21"/>
                <w:szCs w:val="21"/>
                <w:highlight w:val="none"/>
                <w:lang w:bidi="ar"/>
              </w:rPr>
              <w:t>5,4,3,2,1,0</w:t>
            </w:r>
            <w:r>
              <w:rPr>
                <w:rFonts w:hint="eastAsia" w:ascii="仿宋" w:hAnsi="仿宋" w:eastAsia="仿宋" w:cs="仿宋"/>
                <w:color w:val="auto"/>
                <w:sz w:val="21"/>
                <w:szCs w:val="21"/>
                <w:highlight w:val="none"/>
              </w:rPr>
              <w:t>）</w:t>
            </w:r>
          </w:p>
        </w:tc>
      </w:tr>
      <w:tr w14:paraId="2EA0485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42" w:type="dxa"/>
            <w:noWrap w:val="0"/>
            <w:vAlign w:val="center"/>
          </w:tcPr>
          <w:p w14:paraId="6A14BFBA">
            <w:pPr>
              <w:shd w:val="clear"/>
              <w:adjustRightInd w:val="0"/>
              <w:snapToGrid w:val="0"/>
              <w:jc w:val="center"/>
              <w:rPr>
                <w:rFonts w:hint="eastAsia" w:ascii="仿宋" w:hAnsi="仿宋" w:eastAsia="仿宋" w:cs="仿宋"/>
                <w:b/>
                <w:bCs/>
                <w:color w:val="auto"/>
                <w:sz w:val="21"/>
                <w:szCs w:val="21"/>
                <w:highlight w:val="none"/>
              </w:rPr>
            </w:pPr>
            <w:r>
              <w:rPr>
                <w:rFonts w:hint="eastAsia" w:ascii="仿宋" w:hAnsi="仿宋" w:eastAsia="仿宋" w:cs="仿宋"/>
                <w:b/>
                <w:color w:val="auto"/>
                <w:sz w:val="21"/>
                <w:szCs w:val="21"/>
                <w:highlight w:val="none"/>
                <w:lang w:val="en-US" w:eastAsia="zh-CN" w:bidi="ar"/>
              </w:rPr>
              <w:t>功能</w:t>
            </w:r>
            <w:r>
              <w:rPr>
                <w:rFonts w:hint="eastAsia" w:ascii="仿宋" w:hAnsi="仿宋" w:eastAsia="仿宋" w:cs="仿宋"/>
                <w:b/>
                <w:color w:val="auto"/>
                <w:sz w:val="21"/>
                <w:szCs w:val="21"/>
                <w:highlight w:val="none"/>
                <w:lang w:bidi="ar"/>
              </w:rPr>
              <w:t>演示</w:t>
            </w:r>
          </w:p>
        </w:tc>
        <w:tc>
          <w:tcPr>
            <w:tcW w:w="840" w:type="dxa"/>
            <w:noWrap w:val="0"/>
            <w:vAlign w:val="center"/>
          </w:tcPr>
          <w:p w14:paraId="1B704110">
            <w:pPr>
              <w:shd w:val="clear"/>
              <w:adjustRightInd w:val="0"/>
              <w:snapToGrid w:val="0"/>
              <w:jc w:val="center"/>
              <w:rPr>
                <w:rFonts w:hint="default" w:ascii="仿宋" w:hAnsi="仿宋" w:eastAsia="仿宋" w:cs="仿宋"/>
                <w:b/>
                <w:color w:val="auto"/>
                <w:sz w:val="21"/>
                <w:szCs w:val="21"/>
                <w:highlight w:val="none"/>
                <w:lang w:val="en-US" w:eastAsia="zh-CN" w:bidi="ar"/>
              </w:rPr>
            </w:pPr>
            <w:r>
              <w:rPr>
                <w:rFonts w:hint="eastAsia" w:ascii="仿宋" w:hAnsi="仿宋" w:eastAsia="仿宋" w:cs="仿宋"/>
                <w:b/>
                <w:color w:val="auto"/>
                <w:sz w:val="21"/>
                <w:szCs w:val="21"/>
                <w:highlight w:val="none"/>
                <w:lang w:val="en-US" w:eastAsia="zh-CN" w:bidi="ar"/>
              </w:rPr>
              <w:t>15</w:t>
            </w:r>
          </w:p>
        </w:tc>
        <w:tc>
          <w:tcPr>
            <w:tcW w:w="7227" w:type="dxa"/>
            <w:noWrap w:val="0"/>
            <w:vAlign w:val="center"/>
          </w:tcPr>
          <w:p w14:paraId="4F82E534">
            <w:pPr>
              <w:widowControl/>
              <w:shd w:val="clear"/>
              <w:spacing w:line="288" w:lineRule="auto"/>
              <w:textAlignment w:val="center"/>
              <w:rPr>
                <w:rFonts w:hint="eastAsia" w:ascii="仿宋" w:hAnsi="仿宋" w:eastAsia="仿宋" w:cs="仿宋"/>
                <w:bCs/>
                <w:color w:val="auto"/>
                <w:kern w:val="0"/>
                <w:sz w:val="21"/>
                <w:szCs w:val="21"/>
                <w:highlight w:val="none"/>
                <w:lang w:eastAsia="zh-CN" w:bidi="ar"/>
              </w:rPr>
            </w:pPr>
            <w:r>
              <w:rPr>
                <w:rFonts w:hint="eastAsia" w:ascii="仿宋" w:hAnsi="仿宋" w:eastAsia="仿宋" w:cs="仿宋"/>
                <w:color w:val="auto"/>
                <w:sz w:val="21"/>
                <w:szCs w:val="21"/>
                <w:highlight w:val="none"/>
                <w:lang w:bidi="ar"/>
              </w:rPr>
              <w:t>【主观分】</w:t>
            </w:r>
            <w:r>
              <w:rPr>
                <w:rFonts w:hint="eastAsia" w:ascii="仿宋" w:hAnsi="仿宋" w:eastAsia="仿宋" w:cs="仿宋"/>
                <w:bCs/>
                <w:color w:val="auto"/>
                <w:kern w:val="0"/>
                <w:sz w:val="21"/>
                <w:szCs w:val="21"/>
                <w:highlight w:val="none"/>
                <w:lang w:bidi="ar"/>
              </w:rPr>
              <w:t>采购内容及技术要求中，标“（需提供演示）”的部分为需要演示的内容，供应商需提供软件demo或类似项目真实平台的演示（视频形式存储于U盘中），演示能体现相应技术功能的，每一项得</w:t>
            </w:r>
            <w:r>
              <w:rPr>
                <w:rFonts w:hint="eastAsia" w:ascii="仿宋" w:hAnsi="仿宋" w:eastAsia="仿宋" w:cs="仿宋"/>
                <w:bCs/>
                <w:color w:val="auto"/>
                <w:kern w:val="0"/>
                <w:sz w:val="21"/>
                <w:szCs w:val="21"/>
                <w:highlight w:val="none"/>
                <w:lang w:val="en-US" w:eastAsia="zh-CN" w:bidi="ar"/>
              </w:rPr>
              <w:t>3</w:t>
            </w:r>
            <w:r>
              <w:rPr>
                <w:rFonts w:hint="eastAsia" w:ascii="仿宋" w:hAnsi="仿宋" w:eastAsia="仿宋" w:cs="仿宋"/>
                <w:bCs/>
                <w:color w:val="auto"/>
                <w:kern w:val="0"/>
                <w:sz w:val="21"/>
                <w:szCs w:val="21"/>
                <w:highlight w:val="none"/>
                <w:lang w:bidi="ar"/>
              </w:rPr>
              <w:t>分，未演示或演示不符合要求或演示不完整的不得分，演示时长不超过10分钟</w:t>
            </w:r>
            <w:r>
              <w:rPr>
                <w:rFonts w:hint="eastAsia" w:ascii="仿宋" w:hAnsi="仿宋" w:eastAsia="仿宋" w:cs="仿宋"/>
                <w:bCs/>
                <w:color w:val="auto"/>
                <w:kern w:val="0"/>
                <w:sz w:val="21"/>
                <w:szCs w:val="21"/>
                <w:highlight w:val="none"/>
                <w:lang w:eastAsia="zh-CN" w:bidi="ar"/>
              </w:rPr>
              <w:t>；未提供软件demo或类似项目真实软件演示（视频形式存储于U盘中），仅以PPT、图片格式等其他方式的演示的不得分。</w:t>
            </w:r>
          </w:p>
          <w:p w14:paraId="1E012F8E">
            <w:pPr>
              <w:widowControl/>
              <w:shd w:val="clear"/>
              <w:spacing w:line="288" w:lineRule="auto"/>
              <w:textAlignment w:val="center"/>
              <w:rPr>
                <w:rFonts w:hint="eastAsia" w:ascii="仿宋" w:hAnsi="仿宋" w:eastAsia="仿宋" w:cs="仿宋"/>
                <w:color w:val="auto"/>
                <w:sz w:val="21"/>
                <w:szCs w:val="21"/>
                <w:highlight w:val="none"/>
              </w:rPr>
            </w:pPr>
            <w:r>
              <w:rPr>
                <w:rFonts w:hint="eastAsia" w:ascii="仿宋" w:hAnsi="仿宋" w:eastAsia="仿宋" w:cs="仿宋"/>
                <w:bCs/>
                <w:color w:val="auto"/>
                <w:kern w:val="0"/>
                <w:sz w:val="21"/>
                <w:szCs w:val="21"/>
                <w:highlight w:val="none"/>
                <w:lang w:bidi="ar"/>
              </w:rPr>
              <w:t>1</w:t>
            </w:r>
            <w:r>
              <w:rPr>
                <w:rFonts w:hint="eastAsia" w:ascii="仿宋" w:hAnsi="仿宋" w:eastAsia="仿宋" w:cs="仿宋"/>
                <w:bCs/>
                <w:color w:val="auto"/>
                <w:kern w:val="0"/>
                <w:sz w:val="21"/>
                <w:szCs w:val="21"/>
                <w:highlight w:val="none"/>
                <w:lang w:val="en-US" w:eastAsia="zh-CN" w:bidi="ar"/>
              </w:rPr>
              <w:t>.股票模块相关内容演示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（评分范围：</w:t>
            </w:r>
            <w:r>
              <w:rPr>
                <w:rFonts w:hint="eastAsia" w:ascii="仿宋" w:hAnsi="仿宋" w:eastAsia="仿宋" w:cs="仿宋"/>
                <w:color w:val="auto"/>
                <w:sz w:val="21"/>
                <w:szCs w:val="21"/>
                <w:highlight w:val="none"/>
                <w:lang w:val="en-US" w:eastAsia="zh-CN"/>
              </w:rPr>
              <w:t>3,2,1,0</w:t>
            </w:r>
            <w:r>
              <w:rPr>
                <w:rFonts w:hint="eastAsia" w:ascii="仿宋" w:hAnsi="仿宋" w:eastAsia="仿宋" w:cs="仿宋"/>
                <w:color w:val="auto"/>
                <w:sz w:val="21"/>
                <w:szCs w:val="21"/>
                <w:highlight w:val="none"/>
              </w:rPr>
              <w:t>）</w:t>
            </w:r>
          </w:p>
          <w:p w14:paraId="64437709">
            <w:pPr>
              <w:widowControl/>
              <w:shd w:val="clear"/>
              <w:spacing w:line="288" w:lineRule="auto"/>
              <w:textAlignment w:val="center"/>
              <w:rPr>
                <w:rFonts w:hint="eastAsia" w:ascii="仿宋" w:hAnsi="仿宋" w:eastAsia="仿宋" w:cs="仿宋"/>
                <w:bCs/>
                <w:color w:val="auto"/>
                <w:kern w:val="0"/>
                <w:sz w:val="21"/>
                <w:szCs w:val="21"/>
                <w:highlight w:val="none"/>
                <w:lang w:eastAsia="zh-CN" w:bidi="ar"/>
              </w:rPr>
            </w:pPr>
            <w:r>
              <w:rPr>
                <w:rFonts w:hint="eastAsia" w:ascii="仿宋" w:hAnsi="仿宋" w:eastAsia="仿宋" w:cs="仿宋"/>
                <w:bCs/>
                <w:color w:val="auto"/>
                <w:kern w:val="0"/>
                <w:sz w:val="21"/>
                <w:szCs w:val="21"/>
                <w:highlight w:val="none"/>
                <w:lang w:bidi="ar"/>
              </w:rPr>
              <w:t>2</w:t>
            </w:r>
            <w:r>
              <w:rPr>
                <w:rFonts w:hint="eastAsia" w:ascii="仿宋" w:hAnsi="仿宋" w:eastAsia="仿宋" w:cs="仿宋"/>
                <w:bCs/>
                <w:color w:val="auto"/>
                <w:kern w:val="0"/>
                <w:sz w:val="21"/>
                <w:szCs w:val="21"/>
                <w:highlight w:val="none"/>
                <w:lang w:val="en-US" w:eastAsia="zh-CN" w:bidi="ar"/>
              </w:rPr>
              <w:t>.债券模块相关内容演示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（评分范围：</w:t>
            </w:r>
            <w:r>
              <w:rPr>
                <w:rFonts w:hint="eastAsia" w:ascii="仿宋" w:hAnsi="仿宋" w:eastAsia="仿宋" w:cs="仿宋"/>
                <w:color w:val="auto"/>
                <w:sz w:val="21"/>
                <w:szCs w:val="21"/>
                <w:highlight w:val="none"/>
                <w:lang w:val="en-US" w:eastAsia="zh-CN"/>
              </w:rPr>
              <w:t>3,2,1,0</w:t>
            </w:r>
            <w:r>
              <w:rPr>
                <w:rFonts w:hint="eastAsia" w:ascii="仿宋" w:hAnsi="仿宋" w:eastAsia="仿宋" w:cs="仿宋"/>
                <w:color w:val="auto"/>
                <w:sz w:val="21"/>
                <w:szCs w:val="21"/>
                <w:highlight w:val="none"/>
              </w:rPr>
              <w:t>）</w:t>
            </w:r>
          </w:p>
          <w:p w14:paraId="03FB9938">
            <w:pPr>
              <w:widowControl/>
              <w:shd w:val="clear"/>
              <w:spacing w:line="288" w:lineRule="auto"/>
              <w:textAlignment w:val="center"/>
              <w:rPr>
                <w:rFonts w:hint="eastAsia" w:ascii="仿宋" w:hAnsi="仿宋" w:eastAsia="仿宋" w:cs="仿宋"/>
                <w:color w:val="auto"/>
                <w:sz w:val="21"/>
                <w:szCs w:val="21"/>
                <w:highlight w:val="none"/>
                <w:lang w:eastAsia="zh-CN"/>
              </w:rPr>
            </w:pPr>
            <w:r>
              <w:rPr>
                <w:rFonts w:hint="eastAsia" w:ascii="仿宋" w:hAnsi="仿宋" w:eastAsia="仿宋" w:cs="仿宋"/>
                <w:bCs/>
                <w:color w:val="auto"/>
                <w:kern w:val="0"/>
                <w:sz w:val="21"/>
                <w:szCs w:val="21"/>
                <w:highlight w:val="none"/>
                <w:lang w:bidi="ar"/>
              </w:rPr>
              <w:t>3</w:t>
            </w:r>
            <w:r>
              <w:rPr>
                <w:rFonts w:hint="eastAsia" w:ascii="仿宋" w:hAnsi="仿宋" w:eastAsia="仿宋" w:cs="仿宋"/>
                <w:bCs/>
                <w:color w:val="auto"/>
                <w:kern w:val="0"/>
                <w:sz w:val="21"/>
                <w:szCs w:val="21"/>
                <w:highlight w:val="none"/>
                <w:lang w:val="en-US" w:eastAsia="zh-CN" w:bidi="ar"/>
              </w:rPr>
              <w:t>.宏观EDB模块相关内容演示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（评分范围：</w:t>
            </w:r>
            <w:r>
              <w:rPr>
                <w:rFonts w:hint="eastAsia" w:ascii="仿宋" w:hAnsi="仿宋" w:eastAsia="仿宋" w:cs="仿宋"/>
                <w:color w:val="auto"/>
                <w:sz w:val="21"/>
                <w:szCs w:val="21"/>
                <w:highlight w:val="none"/>
                <w:lang w:val="en-US" w:eastAsia="zh-CN"/>
              </w:rPr>
              <w:t>3,2,1,0</w:t>
            </w:r>
            <w:r>
              <w:rPr>
                <w:rFonts w:hint="eastAsia" w:ascii="仿宋" w:hAnsi="仿宋" w:eastAsia="仿宋" w:cs="仿宋"/>
                <w:color w:val="auto"/>
                <w:sz w:val="21"/>
                <w:szCs w:val="21"/>
                <w:highlight w:val="none"/>
              </w:rPr>
              <w:t>）</w:t>
            </w:r>
          </w:p>
          <w:p w14:paraId="71893356">
            <w:pPr>
              <w:widowControl/>
              <w:shd w:val="clear"/>
              <w:spacing w:line="288" w:lineRule="auto"/>
              <w:textAlignment w:val="center"/>
              <w:rPr>
                <w:rFonts w:hint="eastAsia" w:ascii="仿宋" w:hAnsi="仿宋" w:eastAsia="仿宋" w:cs="仿宋"/>
                <w:color w:val="auto"/>
                <w:sz w:val="21"/>
                <w:szCs w:val="21"/>
                <w:highlight w:val="none"/>
                <w:lang w:eastAsia="zh-CN"/>
              </w:rPr>
            </w:pPr>
            <w:r>
              <w:rPr>
                <w:rFonts w:hint="eastAsia" w:ascii="仿宋" w:hAnsi="仿宋" w:eastAsia="仿宋" w:cs="仿宋"/>
                <w:bCs/>
                <w:color w:val="auto"/>
                <w:kern w:val="0"/>
                <w:sz w:val="21"/>
                <w:szCs w:val="21"/>
                <w:highlight w:val="none"/>
                <w:lang w:val="en-US" w:eastAsia="zh-CN" w:bidi="ar"/>
              </w:rPr>
              <w:t>4.投研模块相关内容演示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（评分范围：</w:t>
            </w:r>
            <w:r>
              <w:rPr>
                <w:rFonts w:hint="eastAsia" w:ascii="仿宋" w:hAnsi="仿宋" w:eastAsia="仿宋" w:cs="仿宋"/>
                <w:color w:val="auto"/>
                <w:sz w:val="21"/>
                <w:szCs w:val="21"/>
                <w:highlight w:val="none"/>
                <w:lang w:val="en-US" w:eastAsia="zh-CN"/>
              </w:rPr>
              <w:t>3,2,1,0</w:t>
            </w:r>
            <w:r>
              <w:rPr>
                <w:rFonts w:hint="eastAsia" w:ascii="仿宋" w:hAnsi="仿宋" w:eastAsia="仿宋" w:cs="仿宋"/>
                <w:color w:val="auto"/>
                <w:sz w:val="21"/>
                <w:szCs w:val="21"/>
                <w:highlight w:val="none"/>
              </w:rPr>
              <w:t>）</w:t>
            </w:r>
          </w:p>
          <w:p w14:paraId="70B097B7">
            <w:pPr>
              <w:widowControl/>
              <w:shd w:val="clear"/>
              <w:spacing w:line="288" w:lineRule="auto"/>
              <w:textAlignment w:val="center"/>
              <w:rPr>
                <w:rFonts w:hint="eastAsia" w:ascii="仿宋" w:hAnsi="仿宋" w:eastAsia="仿宋" w:cs="仿宋"/>
                <w:color w:val="auto"/>
                <w:sz w:val="21"/>
                <w:szCs w:val="21"/>
                <w:highlight w:val="none"/>
                <w:lang w:eastAsia="zh-CN"/>
              </w:rPr>
            </w:pPr>
            <w:r>
              <w:rPr>
                <w:rFonts w:hint="eastAsia" w:ascii="仿宋" w:hAnsi="仿宋" w:eastAsia="仿宋" w:cs="仿宋"/>
                <w:bCs/>
                <w:color w:val="auto"/>
                <w:kern w:val="0"/>
                <w:sz w:val="21"/>
                <w:szCs w:val="21"/>
                <w:highlight w:val="none"/>
                <w:lang w:val="en-US" w:eastAsia="zh-CN" w:bidi="ar"/>
              </w:rPr>
              <w:t>5.工具模块相关内容演示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（评分范围：</w:t>
            </w:r>
            <w:r>
              <w:rPr>
                <w:rFonts w:hint="eastAsia" w:ascii="仿宋" w:hAnsi="仿宋" w:eastAsia="仿宋" w:cs="仿宋"/>
                <w:color w:val="auto"/>
                <w:sz w:val="21"/>
                <w:szCs w:val="21"/>
                <w:highlight w:val="none"/>
                <w:lang w:val="en-US" w:eastAsia="zh-CN"/>
              </w:rPr>
              <w:t>3,2,1,0</w:t>
            </w:r>
            <w:r>
              <w:rPr>
                <w:rFonts w:hint="eastAsia" w:ascii="仿宋" w:hAnsi="仿宋" w:eastAsia="仿宋" w:cs="仿宋"/>
                <w:color w:val="auto"/>
                <w:sz w:val="21"/>
                <w:szCs w:val="21"/>
                <w:highlight w:val="none"/>
              </w:rPr>
              <w:t>）</w:t>
            </w:r>
          </w:p>
        </w:tc>
      </w:tr>
    </w:tbl>
    <w:p w14:paraId="11058615">
      <w:pPr>
        <w:shd w:val="clea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br w:type="page"/>
      </w:r>
    </w:p>
    <w:p w14:paraId="3A8A4EEF">
      <w:pPr>
        <w:shd w:val="clear"/>
        <w:rPr>
          <w:rFonts w:hint="eastAsia" w:ascii="仿宋" w:hAnsi="仿宋" w:eastAsia="仿宋" w:cs="仿宋"/>
          <w:color w:val="auto"/>
          <w:highlight w:val="none"/>
        </w:rPr>
      </w:pPr>
    </w:p>
    <w:p w14:paraId="0ECC35D2">
      <w:pPr>
        <w:shd w:val="clear"/>
        <w:adjustRightInd w:val="0"/>
        <w:snapToGrid w:val="0"/>
        <w:spacing w:line="288" w:lineRule="auto"/>
        <w:jc w:val="center"/>
        <w:outlineLvl w:val="0"/>
        <w:rPr>
          <w:rFonts w:hint="eastAsia" w:ascii="仿宋" w:hAnsi="仿宋" w:eastAsia="仿宋" w:cs="仿宋"/>
          <w:b/>
          <w:bCs/>
          <w:color w:val="auto"/>
          <w:sz w:val="32"/>
          <w:szCs w:val="32"/>
          <w:highlight w:val="none"/>
        </w:rPr>
      </w:pPr>
      <w:bookmarkStart w:id="114" w:name="_Toc17541"/>
      <w:bookmarkStart w:id="115" w:name="_Toc14756"/>
      <w:bookmarkStart w:id="116" w:name="_Toc25268"/>
      <w:bookmarkStart w:id="117" w:name="_Toc10679"/>
      <w:bookmarkStart w:id="118" w:name="_Toc5658"/>
      <w:bookmarkStart w:id="119" w:name="_Toc24744"/>
      <w:bookmarkStart w:id="120" w:name="_Toc16710"/>
      <w:r>
        <w:rPr>
          <w:rFonts w:hint="eastAsia" w:ascii="仿宋" w:hAnsi="仿宋" w:eastAsia="仿宋" w:cs="仿宋"/>
          <w:b/>
          <w:bCs/>
          <w:color w:val="auto"/>
          <w:sz w:val="32"/>
          <w:szCs w:val="32"/>
          <w:highlight w:val="none"/>
        </w:rPr>
        <w:t>第五章  拟签订的合同文本</w:t>
      </w:r>
      <w:bookmarkEnd w:id="114"/>
      <w:bookmarkEnd w:id="115"/>
      <w:bookmarkEnd w:id="116"/>
      <w:bookmarkEnd w:id="117"/>
      <w:bookmarkEnd w:id="118"/>
      <w:bookmarkEnd w:id="119"/>
      <w:bookmarkEnd w:id="120"/>
    </w:p>
    <w:p w14:paraId="222F55F3">
      <w:pPr>
        <w:shd w:val="clear"/>
        <w:adjustRightInd w:val="0"/>
        <w:snapToGrid w:val="0"/>
        <w:spacing w:line="288" w:lineRule="auto"/>
        <w:jc w:val="center"/>
        <w:rPr>
          <w:rFonts w:hint="eastAsia" w:ascii="仿宋" w:hAnsi="仿宋" w:eastAsia="仿宋" w:cs="仿宋"/>
          <w:b/>
          <w:bCs/>
          <w:color w:val="auto"/>
          <w:sz w:val="21"/>
          <w:szCs w:val="21"/>
          <w:highlight w:val="none"/>
          <w:lang w:eastAsia="zh-CN"/>
        </w:rPr>
      </w:pPr>
    </w:p>
    <w:p w14:paraId="3DC155EB">
      <w:pPr>
        <w:shd w:val="clear"/>
        <w:adjustRightInd w:val="0"/>
        <w:snapToGrid w:val="0"/>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eastAsia="zh-CN"/>
        </w:rPr>
        <w:t>金融数据库续建采购</w:t>
      </w:r>
      <w:r>
        <w:rPr>
          <w:rFonts w:hint="eastAsia" w:ascii="仿宋" w:hAnsi="仿宋" w:eastAsia="仿宋" w:cs="仿宋"/>
          <w:b/>
          <w:bCs/>
          <w:color w:val="auto"/>
          <w:sz w:val="21"/>
          <w:szCs w:val="21"/>
          <w:highlight w:val="none"/>
        </w:rPr>
        <w:t>项目政府采购合同</w:t>
      </w:r>
    </w:p>
    <w:p w14:paraId="5B9E18AE">
      <w:pPr>
        <w:shd w:val="clear"/>
        <w:spacing w:line="288" w:lineRule="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合同编号</w:t>
      </w:r>
    </w:p>
    <w:p w14:paraId="64B7ADC9">
      <w:pPr>
        <w:shd w:val="clear"/>
        <w:spacing w:line="288" w:lineRule="auto"/>
        <w:rPr>
          <w:rFonts w:hint="eastAsia" w:ascii="仿宋" w:hAnsi="仿宋" w:eastAsia="仿宋" w:cs="仿宋"/>
          <w:color w:val="auto"/>
          <w:spacing w:val="-6"/>
          <w:sz w:val="21"/>
          <w:szCs w:val="21"/>
          <w:highlight w:val="none"/>
          <w:u w:val="single"/>
        </w:rPr>
      </w:pPr>
      <w:r>
        <w:rPr>
          <w:rFonts w:hint="eastAsia" w:ascii="仿宋" w:hAnsi="仿宋" w:eastAsia="仿宋" w:cs="仿宋"/>
          <w:color w:val="auto"/>
          <w:spacing w:val="-6"/>
          <w:sz w:val="21"/>
          <w:szCs w:val="21"/>
          <w:highlight w:val="none"/>
        </w:rPr>
        <w:t xml:space="preserve">甲方（需方）： </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u w:val="single"/>
          <w:lang w:eastAsia="zh-CN"/>
        </w:rPr>
        <w:t>浙江万里学院</w:t>
      </w:r>
      <w:r>
        <w:rPr>
          <w:rFonts w:hint="eastAsia" w:ascii="仿宋" w:hAnsi="仿宋" w:eastAsia="仿宋" w:cs="仿宋"/>
          <w:color w:val="auto"/>
          <w:spacing w:val="-6"/>
          <w:sz w:val="21"/>
          <w:szCs w:val="21"/>
          <w:highlight w:val="none"/>
          <w:u w:val="single"/>
        </w:rPr>
        <w:t xml:space="preserve">       </w:t>
      </w:r>
    </w:p>
    <w:p w14:paraId="39A5DA42">
      <w:pPr>
        <w:shd w:val="clear"/>
        <w:snapToGrid w:val="0"/>
        <w:spacing w:line="288" w:lineRule="auto"/>
        <w:rPr>
          <w:rFonts w:hint="eastAsia" w:ascii="仿宋" w:hAnsi="仿宋" w:eastAsia="仿宋" w:cs="仿宋"/>
          <w:color w:val="auto"/>
          <w:spacing w:val="-6"/>
          <w:sz w:val="21"/>
          <w:szCs w:val="21"/>
          <w:highlight w:val="none"/>
          <w:u w:val="single"/>
        </w:rPr>
      </w:pPr>
      <w:r>
        <w:rPr>
          <w:rFonts w:hint="eastAsia" w:ascii="仿宋" w:hAnsi="仿宋" w:eastAsia="仿宋" w:cs="仿宋"/>
          <w:color w:val="auto"/>
          <w:spacing w:val="-6"/>
          <w:sz w:val="21"/>
          <w:szCs w:val="21"/>
          <w:highlight w:val="none"/>
        </w:rPr>
        <w:t xml:space="preserve">乙方（供方）： </w:t>
      </w:r>
      <w:r>
        <w:rPr>
          <w:rFonts w:hint="eastAsia" w:ascii="仿宋" w:hAnsi="仿宋" w:eastAsia="仿宋" w:cs="仿宋"/>
          <w:color w:val="auto"/>
          <w:spacing w:val="-6"/>
          <w:sz w:val="21"/>
          <w:szCs w:val="21"/>
          <w:highlight w:val="none"/>
          <w:u w:val="single"/>
        </w:rPr>
        <w:t xml:space="preserve">                          </w:t>
      </w:r>
    </w:p>
    <w:p w14:paraId="1E11F2D4">
      <w:pPr>
        <w:shd w:val="clear"/>
        <w:spacing w:line="288" w:lineRule="auto"/>
        <w:rPr>
          <w:rFonts w:hint="eastAsia" w:ascii="仿宋" w:hAnsi="仿宋" w:eastAsia="仿宋" w:cs="仿宋"/>
          <w:color w:val="auto"/>
          <w:spacing w:val="-6"/>
          <w:sz w:val="21"/>
          <w:szCs w:val="21"/>
          <w:highlight w:val="none"/>
          <w:lang w:eastAsia="zh-CN"/>
        </w:rPr>
      </w:pPr>
      <w:r>
        <w:rPr>
          <w:rFonts w:hint="eastAsia" w:ascii="仿宋" w:hAnsi="仿宋" w:eastAsia="仿宋" w:cs="仿宋"/>
          <w:color w:val="auto"/>
          <w:spacing w:val="-6"/>
          <w:sz w:val="21"/>
          <w:szCs w:val="21"/>
          <w:highlight w:val="none"/>
        </w:rPr>
        <w:t>签约时间、地点：年  月   日，</w:t>
      </w:r>
      <w:r>
        <w:rPr>
          <w:rFonts w:hint="eastAsia" w:ascii="仿宋" w:hAnsi="仿宋" w:eastAsia="仿宋" w:cs="仿宋"/>
          <w:color w:val="auto"/>
          <w:spacing w:val="-6"/>
          <w:sz w:val="21"/>
          <w:szCs w:val="21"/>
          <w:highlight w:val="none"/>
          <w:u w:val="single"/>
          <w:lang w:val="en-US" w:eastAsia="zh-CN"/>
        </w:rPr>
        <w:t>宁波</w:t>
      </w:r>
    </w:p>
    <w:p w14:paraId="2F65803F">
      <w:pPr>
        <w:pStyle w:val="10"/>
        <w:shd w:val="clear"/>
        <w:spacing w:line="288" w:lineRule="auto"/>
        <w:rPr>
          <w:rFonts w:hint="eastAsia" w:ascii="仿宋" w:hAnsi="仿宋" w:eastAsia="仿宋" w:cs="仿宋"/>
          <w:color w:val="auto"/>
          <w:sz w:val="21"/>
          <w:szCs w:val="21"/>
          <w:highlight w:val="none"/>
        </w:rPr>
      </w:pPr>
    </w:p>
    <w:p w14:paraId="5E067452">
      <w:pPr>
        <w:pStyle w:val="70"/>
        <w:shd w:val="clear"/>
        <w:adjustRightInd w:val="0"/>
        <w:snapToGrid w:val="0"/>
        <w:spacing w:line="288" w:lineRule="auto"/>
        <w:ind w:firstLine="396" w:firstLineChars="200"/>
        <w:rPr>
          <w:rFonts w:hint="eastAsia" w:ascii="仿宋" w:hAnsi="仿宋" w:eastAsia="仿宋" w:cs="仿宋"/>
          <w:color w:val="auto"/>
          <w:highlight w:val="none"/>
          <w:lang w:val="zh-TW" w:eastAsia="zh-TW"/>
        </w:rPr>
      </w:pPr>
      <w:r>
        <w:rPr>
          <w:rFonts w:hint="eastAsia" w:ascii="仿宋" w:hAnsi="仿宋" w:eastAsia="仿宋" w:cs="仿宋"/>
          <w:color w:val="auto"/>
          <w:spacing w:val="-6"/>
          <w:highlight w:val="none"/>
          <w:u w:val="single"/>
        </w:rPr>
        <w:t xml:space="preserve">金融数据库续建采购项目 </w:t>
      </w:r>
      <w:r>
        <w:rPr>
          <w:rFonts w:hint="eastAsia" w:ascii="仿宋" w:hAnsi="仿宋" w:eastAsia="仿宋" w:cs="仿宋"/>
          <w:color w:val="auto"/>
          <w:spacing w:val="-6"/>
          <w:highlight w:val="none"/>
        </w:rPr>
        <w:t>（采购编号：</w:t>
      </w:r>
      <w:r>
        <w:rPr>
          <w:rFonts w:hint="eastAsia" w:ascii="仿宋" w:hAnsi="仿宋" w:eastAsia="仿宋" w:cs="仿宋"/>
          <w:color w:val="auto"/>
          <w:spacing w:val="-6"/>
          <w:highlight w:val="none"/>
          <w:lang w:eastAsia="zh-CN"/>
        </w:rPr>
        <w:t>CTZB-2025070077</w:t>
      </w:r>
      <w:r>
        <w:rPr>
          <w:rFonts w:hint="eastAsia" w:ascii="仿宋" w:hAnsi="仿宋" w:eastAsia="仿宋" w:cs="仿宋"/>
          <w:color w:val="auto"/>
          <w:spacing w:val="-6"/>
          <w:highlight w:val="none"/>
          <w:lang w:eastAsia="zh-CN"/>
        </w:rPr>
        <w:tab/>
      </w:r>
      <w:r>
        <w:rPr>
          <w:rFonts w:hint="eastAsia" w:ascii="仿宋" w:hAnsi="仿宋" w:eastAsia="仿宋" w:cs="仿宋"/>
          <w:color w:val="auto"/>
          <w:spacing w:val="-6"/>
          <w:highlight w:val="none"/>
        </w:rPr>
        <w:t>）项目经</w:t>
      </w:r>
      <w:r>
        <w:rPr>
          <w:rFonts w:hint="eastAsia" w:ascii="仿宋" w:hAnsi="仿宋" w:eastAsia="仿宋" w:cs="仿宋"/>
          <w:color w:val="auto"/>
          <w:spacing w:val="-6"/>
          <w:highlight w:val="none"/>
          <w:u w:val="single"/>
        </w:rPr>
        <w:t xml:space="preserve"> 竞争性磋商 </w:t>
      </w:r>
      <w:r>
        <w:rPr>
          <w:rFonts w:hint="eastAsia" w:ascii="仿宋" w:hAnsi="仿宋" w:eastAsia="仿宋" w:cs="仿宋"/>
          <w:color w:val="auto"/>
          <w:spacing w:val="-6"/>
          <w:highlight w:val="none"/>
        </w:rPr>
        <w:t>，确定</w:t>
      </w:r>
      <w:r>
        <w:rPr>
          <w:rFonts w:hint="eastAsia" w:ascii="仿宋" w:hAnsi="仿宋" w:eastAsia="仿宋" w:cs="仿宋"/>
          <w:color w:val="auto"/>
          <w:spacing w:val="-6"/>
          <w:highlight w:val="none"/>
          <w:u w:val="single"/>
        </w:rPr>
        <w:t xml:space="preserve">   （供应商名称）</w:t>
      </w:r>
      <w:r>
        <w:rPr>
          <w:rFonts w:hint="eastAsia" w:ascii="仿宋" w:hAnsi="仿宋" w:eastAsia="仿宋" w:cs="仿宋"/>
          <w:color w:val="auto"/>
          <w:spacing w:val="-6"/>
          <w:highlight w:val="none"/>
        </w:rPr>
        <w:t>为服务单位。依据《中华人民共和国民法典》及相关法律法规，本着相互合作、互利互惠的原则，经充分协商，订立本合同。</w:t>
      </w:r>
      <w:r>
        <w:rPr>
          <w:rFonts w:hint="eastAsia" w:ascii="仿宋" w:hAnsi="仿宋" w:eastAsia="仿宋" w:cs="仿宋"/>
          <w:color w:val="auto"/>
          <w:highlight w:val="none"/>
          <w:lang w:val="zh-TW" w:eastAsia="zh-TW"/>
        </w:rPr>
        <w:t>下列文件构成本合同的组成部分，应该认为是一个整体，彼此相互解释，相互补充。</w:t>
      </w:r>
      <w:r>
        <w:rPr>
          <w:rFonts w:hint="eastAsia" w:ascii="仿宋" w:hAnsi="仿宋" w:eastAsia="仿宋" w:cs="仿宋"/>
          <w:color w:val="auto"/>
          <w:highlight w:val="none"/>
        </w:rPr>
        <w:t>这些文件包括但不限于：</w:t>
      </w:r>
    </w:p>
    <w:p w14:paraId="59471DF8">
      <w:pPr>
        <w:pStyle w:val="70"/>
        <w:shd w:val="clear"/>
        <w:adjustRightInd w:val="0"/>
        <w:snapToGrid w:val="0"/>
        <w:spacing w:line="288"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zh-TW" w:eastAsia="zh-TW"/>
        </w:rPr>
        <w:t>本合同协议书</w:t>
      </w:r>
    </w:p>
    <w:p w14:paraId="14FB237E">
      <w:pPr>
        <w:pStyle w:val="70"/>
        <w:shd w:val="clear"/>
        <w:adjustRightInd w:val="0"/>
        <w:snapToGrid w:val="0"/>
        <w:spacing w:line="288" w:lineRule="auto"/>
        <w:ind w:firstLine="420" w:firstLineChars="200"/>
        <w:rPr>
          <w:rFonts w:hint="eastAsia" w:ascii="仿宋" w:hAnsi="仿宋" w:eastAsia="仿宋" w:cs="仿宋"/>
          <w:color w:val="auto"/>
          <w:highlight w:val="none"/>
          <w:lang w:val="zh-TW" w:eastAsia="zh-TW"/>
        </w:rPr>
      </w:pPr>
      <w:r>
        <w:rPr>
          <w:rFonts w:hint="eastAsia" w:ascii="仿宋" w:hAnsi="仿宋" w:eastAsia="仿宋" w:cs="仿宋"/>
          <w:color w:val="auto"/>
          <w:highlight w:val="none"/>
        </w:rPr>
        <w:t>2、成交</w:t>
      </w:r>
      <w:r>
        <w:rPr>
          <w:rFonts w:hint="eastAsia" w:ascii="仿宋" w:hAnsi="仿宋" w:eastAsia="仿宋" w:cs="仿宋"/>
          <w:color w:val="auto"/>
          <w:highlight w:val="none"/>
          <w:lang w:val="zh-TW" w:eastAsia="zh-TW"/>
        </w:rPr>
        <w:t>通知书</w:t>
      </w:r>
    </w:p>
    <w:p w14:paraId="5539C88B">
      <w:pPr>
        <w:pStyle w:val="70"/>
        <w:shd w:val="clear"/>
        <w:adjustRightInd w:val="0"/>
        <w:snapToGrid w:val="0"/>
        <w:spacing w:line="288" w:lineRule="auto"/>
        <w:ind w:firstLine="420" w:firstLineChars="200"/>
        <w:rPr>
          <w:rFonts w:hint="eastAsia" w:ascii="仿宋" w:hAnsi="仿宋" w:eastAsia="仿宋" w:cs="仿宋"/>
          <w:color w:val="auto"/>
          <w:highlight w:val="none"/>
          <w:lang w:val="zh-TW" w:eastAsia="zh-TW"/>
        </w:rPr>
      </w:pPr>
      <w:r>
        <w:rPr>
          <w:rFonts w:hint="eastAsia" w:ascii="仿宋" w:hAnsi="仿宋" w:eastAsia="仿宋" w:cs="仿宋"/>
          <w:color w:val="auto"/>
          <w:highlight w:val="none"/>
        </w:rPr>
        <w:t>3、磋商响应</w:t>
      </w:r>
      <w:r>
        <w:rPr>
          <w:rFonts w:hint="eastAsia" w:ascii="仿宋" w:hAnsi="仿宋" w:eastAsia="仿宋" w:cs="仿宋"/>
          <w:color w:val="auto"/>
          <w:highlight w:val="none"/>
          <w:lang w:val="zh-TW" w:eastAsia="zh-TW"/>
        </w:rPr>
        <w:t>文件（含</w:t>
      </w:r>
      <w:r>
        <w:rPr>
          <w:rFonts w:hint="eastAsia" w:ascii="仿宋" w:hAnsi="仿宋" w:eastAsia="仿宋" w:cs="仿宋"/>
          <w:color w:val="auto"/>
          <w:highlight w:val="none"/>
        </w:rPr>
        <w:t>磋商承诺</w:t>
      </w:r>
      <w:r>
        <w:rPr>
          <w:rFonts w:hint="eastAsia" w:ascii="仿宋" w:hAnsi="仿宋" w:eastAsia="仿宋" w:cs="仿宋"/>
          <w:color w:val="auto"/>
          <w:highlight w:val="none"/>
          <w:lang w:val="zh-TW" w:eastAsia="zh-TW"/>
        </w:rPr>
        <w:t>文件）</w:t>
      </w:r>
    </w:p>
    <w:p w14:paraId="21AAF1AF">
      <w:pPr>
        <w:pStyle w:val="70"/>
        <w:shd w:val="clear"/>
        <w:adjustRightInd w:val="0"/>
        <w:snapToGrid w:val="0"/>
        <w:spacing w:line="288"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4、竞争性磋商</w:t>
      </w:r>
      <w:r>
        <w:rPr>
          <w:rFonts w:hint="eastAsia" w:ascii="仿宋" w:hAnsi="仿宋" w:eastAsia="仿宋" w:cs="仿宋"/>
          <w:color w:val="auto"/>
          <w:highlight w:val="none"/>
          <w:lang w:val="zh-TW" w:eastAsia="zh-TW"/>
        </w:rPr>
        <w:t>文件（含</w:t>
      </w:r>
      <w:r>
        <w:rPr>
          <w:rFonts w:hint="eastAsia" w:ascii="仿宋" w:hAnsi="仿宋" w:eastAsia="仿宋" w:cs="仿宋"/>
          <w:color w:val="auto"/>
          <w:highlight w:val="none"/>
          <w:lang w:val="zh-TW"/>
        </w:rPr>
        <w:t>采购</w:t>
      </w:r>
      <w:r>
        <w:rPr>
          <w:rFonts w:hint="eastAsia" w:ascii="仿宋" w:hAnsi="仿宋" w:eastAsia="仿宋" w:cs="仿宋"/>
          <w:color w:val="auto"/>
          <w:highlight w:val="none"/>
          <w:lang w:val="zh-TW" w:eastAsia="zh-TW"/>
        </w:rPr>
        <w:t>文件补充）</w:t>
      </w:r>
    </w:p>
    <w:p w14:paraId="78277F53">
      <w:pPr>
        <w:pStyle w:val="70"/>
        <w:shd w:val="clear"/>
        <w:adjustRightInd w:val="0"/>
        <w:snapToGrid w:val="0"/>
        <w:spacing w:line="288"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5、</w:t>
      </w:r>
      <w:r>
        <w:rPr>
          <w:rFonts w:hint="eastAsia" w:ascii="仿宋" w:hAnsi="仿宋" w:eastAsia="仿宋" w:cs="仿宋"/>
          <w:color w:val="auto"/>
          <w:highlight w:val="none"/>
          <w:lang w:val="zh-TW" w:eastAsia="zh-TW"/>
        </w:rPr>
        <w:t>其他合同文件</w:t>
      </w:r>
      <w:r>
        <w:rPr>
          <w:rFonts w:hint="eastAsia" w:ascii="仿宋" w:hAnsi="仿宋" w:eastAsia="仿宋" w:cs="仿宋"/>
          <w:color w:val="auto"/>
          <w:highlight w:val="none"/>
        </w:rPr>
        <w:tab/>
      </w:r>
      <w:r>
        <w:rPr>
          <w:rFonts w:hint="eastAsia" w:ascii="仿宋" w:hAnsi="仿宋" w:eastAsia="仿宋" w:cs="仿宋"/>
          <w:color w:val="auto"/>
          <w:highlight w:val="none"/>
        </w:rPr>
        <w:tab/>
      </w:r>
      <w:r>
        <w:rPr>
          <w:rFonts w:hint="eastAsia" w:ascii="仿宋" w:hAnsi="仿宋" w:eastAsia="仿宋" w:cs="仿宋"/>
          <w:color w:val="auto"/>
          <w:highlight w:val="none"/>
        </w:rPr>
        <w:tab/>
      </w:r>
    </w:p>
    <w:p w14:paraId="03A3B50E">
      <w:pPr>
        <w:pStyle w:val="70"/>
        <w:shd w:val="clear"/>
        <w:adjustRightInd w:val="0"/>
        <w:snapToGrid w:val="0"/>
        <w:spacing w:line="288" w:lineRule="auto"/>
        <w:ind w:firstLine="420"/>
        <w:rPr>
          <w:rFonts w:hint="eastAsia" w:ascii="仿宋" w:hAnsi="仿宋" w:eastAsia="仿宋" w:cs="仿宋"/>
          <w:color w:val="auto"/>
          <w:highlight w:val="none"/>
          <w:lang w:val="zh-TW" w:eastAsia="zh-TW"/>
        </w:rPr>
      </w:pPr>
      <w:r>
        <w:rPr>
          <w:rFonts w:hint="eastAsia" w:ascii="仿宋" w:hAnsi="仿宋" w:eastAsia="仿宋" w:cs="仿宋"/>
          <w:color w:val="auto"/>
          <w:highlight w:val="none"/>
          <w:lang w:val="zh-TW" w:eastAsia="zh-TW"/>
        </w:rPr>
        <w:t>上述各项合同文件包括合同当事人就该项合同文件所作出的补充和修改，属于同一类内容的文件，应以最新签署的为准。</w:t>
      </w:r>
    </w:p>
    <w:p w14:paraId="3A55F54E">
      <w:pPr>
        <w:shd w:val="clear"/>
        <w:autoSpaceDE w:val="0"/>
        <w:autoSpaceDN w:val="0"/>
        <w:adjustRightInd w:val="0"/>
        <w:spacing w:line="288" w:lineRule="auto"/>
        <w:ind w:firstLine="422" w:firstLineChars="200"/>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第一条：建设内容（具体详见采购文件）</w:t>
      </w:r>
    </w:p>
    <w:p w14:paraId="5F813F52">
      <w:pPr>
        <w:pStyle w:val="65"/>
        <w:shd w:val="clear"/>
        <w:snapToGrid w:val="0"/>
        <w:spacing w:line="288" w:lineRule="auto"/>
        <w:ind w:firstLine="42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清单如下：</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085"/>
        <w:gridCol w:w="5062"/>
        <w:gridCol w:w="828"/>
      </w:tblGrid>
      <w:tr w14:paraId="3E6FB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center"/>
          </w:tcPr>
          <w:p w14:paraId="6314053E">
            <w:pPr>
              <w:shd w:val="clear"/>
              <w:spacing w:line="288"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2085" w:type="dxa"/>
            <w:noWrap w:val="0"/>
            <w:vAlign w:val="center"/>
          </w:tcPr>
          <w:p w14:paraId="2323C495">
            <w:pPr>
              <w:shd w:val="clear"/>
              <w:spacing w:line="288"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w:t>
            </w:r>
          </w:p>
        </w:tc>
        <w:tc>
          <w:tcPr>
            <w:tcW w:w="5062" w:type="dxa"/>
            <w:noWrap w:val="0"/>
            <w:vAlign w:val="center"/>
          </w:tcPr>
          <w:p w14:paraId="684BAF12">
            <w:pPr>
              <w:shd w:val="clear"/>
              <w:spacing w:line="288"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项目说明</w:t>
            </w:r>
          </w:p>
        </w:tc>
        <w:tc>
          <w:tcPr>
            <w:tcW w:w="828" w:type="dxa"/>
            <w:noWrap w:val="0"/>
            <w:vAlign w:val="center"/>
          </w:tcPr>
          <w:p w14:paraId="28F45FF3">
            <w:pPr>
              <w:shd w:val="clear"/>
              <w:spacing w:line="288"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tc>
      </w:tr>
      <w:tr w14:paraId="17057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center"/>
          </w:tcPr>
          <w:p w14:paraId="58D4C050">
            <w:pPr>
              <w:shd w:val="clear"/>
              <w:spacing w:line="288" w:lineRule="auto"/>
              <w:jc w:val="center"/>
              <w:rPr>
                <w:rFonts w:hint="eastAsia" w:ascii="仿宋" w:hAnsi="仿宋" w:eastAsia="仿宋" w:cs="仿宋"/>
                <w:color w:val="auto"/>
                <w:sz w:val="21"/>
                <w:szCs w:val="21"/>
                <w:highlight w:val="none"/>
              </w:rPr>
            </w:pPr>
          </w:p>
        </w:tc>
        <w:tc>
          <w:tcPr>
            <w:tcW w:w="2085" w:type="dxa"/>
            <w:noWrap w:val="0"/>
            <w:vAlign w:val="center"/>
          </w:tcPr>
          <w:p w14:paraId="4A2F9908">
            <w:pPr>
              <w:shd w:val="clear"/>
              <w:spacing w:line="288" w:lineRule="auto"/>
              <w:jc w:val="center"/>
              <w:rPr>
                <w:rFonts w:hint="eastAsia" w:ascii="仿宋" w:hAnsi="仿宋" w:eastAsia="仿宋" w:cs="仿宋"/>
                <w:color w:val="auto"/>
                <w:sz w:val="21"/>
                <w:szCs w:val="21"/>
                <w:highlight w:val="none"/>
              </w:rPr>
            </w:pPr>
          </w:p>
        </w:tc>
        <w:tc>
          <w:tcPr>
            <w:tcW w:w="5062" w:type="dxa"/>
            <w:noWrap w:val="0"/>
            <w:vAlign w:val="center"/>
          </w:tcPr>
          <w:p w14:paraId="2ACE5ECC">
            <w:pPr>
              <w:shd w:val="clear"/>
              <w:spacing w:line="288" w:lineRule="auto"/>
              <w:rPr>
                <w:rFonts w:hint="eastAsia" w:ascii="仿宋" w:hAnsi="仿宋" w:eastAsia="仿宋" w:cs="仿宋"/>
                <w:color w:val="auto"/>
                <w:sz w:val="21"/>
                <w:szCs w:val="21"/>
                <w:highlight w:val="none"/>
              </w:rPr>
            </w:pPr>
          </w:p>
        </w:tc>
        <w:tc>
          <w:tcPr>
            <w:tcW w:w="828" w:type="dxa"/>
            <w:noWrap w:val="0"/>
            <w:vAlign w:val="center"/>
          </w:tcPr>
          <w:p w14:paraId="7208159A">
            <w:pPr>
              <w:shd w:val="clear"/>
              <w:spacing w:line="288" w:lineRule="auto"/>
              <w:jc w:val="center"/>
              <w:rPr>
                <w:rFonts w:hint="eastAsia" w:ascii="仿宋" w:hAnsi="仿宋" w:eastAsia="仿宋" w:cs="仿宋"/>
                <w:color w:val="auto"/>
                <w:sz w:val="21"/>
                <w:szCs w:val="21"/>
                <w:highlight w:val="none"/>
              </w:rPr>
            </w:pPr>
          </w:p>
        </w:tc>
      </w:tr>
      <w:tr w14:paraId="3BD7B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center"/>
          </w:tcPr>
          <w:p w14:paraId="18840C9A">
            <w:pPr>
              <w:shd w:val="clear"/>
              <w:spacing w:line="288" w:lineRule="auto"/>
              <w:jc w:val="center"/>
              <w:rPr>
                <w:rFonts w:hint="eastAsia" w:ascii="仿宋" w:hAnsi="仿宋" w:eastAsia="仿宋" w:cs="仿宋"/>
                <w:color w:val="auto"/>
                <w:sz w:val="21"/>
                <w:szCs w:val="21"/>
                <w:highlight w:val="none"/>
              </w:rPr>
            </w:pPr>
          </w:p>
        </w:tc>
        <w:tc>
          <w:tcPr>
            <w:tcW w:w="2085" w:type="dxa"/>
            <w:noWrap w:val="0"/>
            <w:vAlign w:val="center"/>
          </w:tcPr>
          <w:p w14:paraId="2CD25682">
            <w:pPr>
              <w:shd w:val="clear"/>
              <w:spacing w:line="288" w:lineRule="auto"/>
              <w:jc w:val="center"/>
              <w:rPr>
                <w:rFonts w:hint="eastAsia" w:ascii="仿宋" w:hAnsi="仿宋" w:eastAsia="仿宋" w:cs="仿宋"/>
                <w:color w:val="auto"/>
                <w:sz w:val="21"/>
                <w:szCs w:val="21"/>
                <w:highlight w:val="none"/>
              </w:rPr>
            </w:pPr>
          </w:p>
        </w:tc>
        <w:tc>
          <w:tcPr>
            <w:tcW w:w="5062" w:type="dxa"/>
            <w:noWrap w:val="0"/>
            <w:vAlign w:val="center"/>
          </w:tcPr>
          <w:p w14:paraId="2D50D4D4">
            <w:pPr>
              <w:shd w:val="clear"/>
              <w:spacing w:line="288" w:lineRule="auto"/>
              <w:rPr>
                <w:rFonts w:hint="eastAsia" w:ascii="仿宋" w:hAnsi="仿宋" w:eastAsia="仿宋" w:cs="仿宋"/>
                <w:color w:val="auto"/>
                <w:sz w:val="21"/>
                <w:szCs w:val="21"/>
                <w:highlight w:val="none"/>
              </w:rPr>
            </w:pPr>
          </w:p>
        </w:tc>
        <w:tc>
          <w:tcPr>
            <w:tcW w:w="828" w:type="dxa"/>
            <w:noWrap w:val="0"/>
            <w:vAlign w:val="center"/>
          </w:tcPr>
          <w:p w14:paraId="51E57C1A">
            <w:pPr>
              <w:shd w:val="clear"/>
              <w:spacing w:line="288" w:lineRule="auto"/>
              <w:jc w:val="center"/>
              <w:rPr>
                <w:rFonts w:hint="eastAsia" w:ascii="仿宋" w:hAnsi="仿宋" w:eastAsia="仿宋" w:cs="仿宋"/>
                <w:color w:val="auto"/>
                <w:sz w:val="21"/>
                <w:szCs w:val="21"/>
                <w:highlight w:val="none"/>
              </w:rPr>
            </w:pPr>
          </w:p>
        </w:tc>
      </w:tr>
      <w:tr w14:paraId="0B737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center"/>
          </w:tcPr>
          <w:p w14:paraId="33B92D18">
            <w:pPr>
              <w:shd w:val="clear"/>
              <w:spacing w:line="288" w:lineRule="auto"/>
              <w:jc w:val="center"/>
              <w:rPr>
                <w:rFonts w:hint="eastAsia" w:ascii="仿宋" w:hAnsi="仿宋" w:eastAsia="仿宋" w:cs="仿宋"/>
                <w:color w:val="auto"/>
                <w:sz w:val="21"/>
                <w:szCs w:val="21"/>
                <w:highlight w:val="none"/>
              </w:rPr>
            </w:pPr>
          </w:p>
        </w:tc>
        <w:tc>
          <w:tcPr>
            <w:tcW w:w="2085" w:type="dxa"/>
            <w:noWrap w:val="0"/>
            <w:vAlign w:val="center"/>
          </w:tcPr>
          <w:p w14:paraId="57DADF1E">
            <w:pPr>
              <w:shd w:val="clear"/>
              <w:spacing w:line="288" w:lineRule="auto"/>
              <w:jc w:val="center"/>
              <w:rPr>
                <w:rFonts w:hint="eastAsia" w:ascii="仿宋" w:hAnsi="仿宋" w:eastAsia="仿宋" w:cs="仿宋"/>
                <w:color w:val="auto"/>
                <w:sz w:val="21"/>
                <w:szCs w:val="21"/>
                <w:highlight w:val="none"/>
              </w:rPr>
            </w:pPr>
          </w:p>
        </w:tc>
        <w:tc>
          <w:tcPr>
            <w:tcW w:w="5062" w:type="dxa"/>
            <w:noWrap w:val="0"/>
            <w:vAlign w:val="center"/>
          </w:tcPr>
          <w:p w14:paraId="7B7C6445">
            <w:pPr>
              <w:shd w:val="clear"/>
              <w:spacing w:line="288" w:lineRule="auto"/>
              <w:rPr>
                <w:rFonts w:hint="eastAsia" w:ascii="仿宋" w:hAnsi="仿宋" w:eastAsia="仿宋" w:cs="仿宋"/>
                <w:color w:val="auto"/>
                <w:sz w:val="21"/>
                <w:szCs w:val="21"/>
                <w:highlight w:val="none"/>
              </w:rPr>
            </w:pPr>
          </w:p>
        </w:tc>
        <w:tc>
          <w:tcPr>
            <w:tcW w:w="828" w:type="dxa"/>
            <w:noWrap w:val="0"/>
            <w:vAlign w:val="center"/>
          </w:tcPr>
          <w:p w14:paraId="63BDA4DA">
            <w:pPr>
              <w:shd w:val="clear"/>
              <w:spacing w:line="288" w:lineRule="auto"/>
              <w:jc w:val="center"/>
              <w:rPr>
                <w:rFonts w:hint="eastAsia" w:ascii="仿宋" w:hAnsi="仿宋" w:eastAsia="仿宋" w:cs="仿宋"/>
                <w:color w:val="auto"/>
                <w:sz w:val="21"/>
                <w:szCs w:val="21"/>
                <w:highlight w:val="none"/>
              </w:rPr>
            </w:pPr>
          </w:p>
        </w:tc>
      </w:tr>
      <w:tr w14:paraId="4518B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center"/>
          </w:tcPr>
          <w:p w14:paraId="4BAC56D0">
            <w:pPr>
              <w:shd w:val="clear"/>
              <w:spacing w:line="288" w:lineRule="auto"/>
              <w:jc w:val="center"/>
              <w:rPr>
                <w:rFonts w:hint="eastAsia" w:ascii="仿宋" w:hAnsi="仿宋" w:eastAsia="仿宋" w:cs="仿宋"/>
                <w:color w:val="auto"/>
                <w:sz w:val="21"/>
                <w:szCs w:val="21"/>
                <w:highlight w:val="none"/>
              </w:rPr>
            </w:pPr>
          </w:p>
        </w:tc>
        <w:tc>
          <w:tcPr>
            <w:tcW w:w="2085" w:type="dxa"/>
            <w:noWrap w:val="0"/>
            <w:vAlign w:val="center"/>
          </w:tcPr>
          <w:p w14:paraId="14B3CE43">
            <w:pPr>
              <w:shd w:val="clear"/>
              <w:spacing w:line="288" w:lineRule="auto"/>
              <w:jc w:val="center"/>
              <w:rPr>
                <w:rFonts w:hint="eastAsia" w:ascii="仿宋" w:hAnsi="仿宋" w:eastAsia="仿宋" w:cs="仿宋"/>
                <w:color w:val="auto"/>
                <w:sz w:val="21"/>
                <w:szCs w:val="21"/>
                <w:highlight w:val="none"/>
              </w:rPr>
            </w:pPr>
          </w:p>
        </w:tc>
        <w:tc>
          <w:tcPr>
            <w:tcW w:w="5062" w:type="dxa"/>
            <w:noWrap w:val="0"/>
            <w:vAlign w:val="center"/>
          </w:tcPr>
          <w:p w14:paraId="4F31E348">
            <w:pPr>
              <w:shd w:val="clear"/>
              <w:spacing w:line="288" w:lineRule="auto"/>
              <w:rPr>
                <w:rFonts w:hint="eastAsia" w:ascii="仿宋" w:hAnsi="仿宋" w:eastAsia="仿宋" w:cs="仿宋"/>
                <w:color w:val="auto"/>
                <w:sz w:val="21"/>
                <w:szCs w:val="21"/>
                <w:highlight w:val="none"/>
              </w:rPr>
            </w:pPr>
          </w:p>
        </w:tc>
        <w:tc>
          <w:tcPr>
            <w:tcW w:w="828" w:type="dxa"/>
            <w:noWrap w:val="0"/>
            <w:vAlign w:val="center"/>
          </w:tcPr>
          <w:p w14:paraId="1DF91F52">
            <w:pPr>
              <w:shd w:val="clear"/>
              <w:spacing w:line="288" w:lineRule="auto"/>
              <w:jc w:val="center"/>
              <w:rPr>
                <w:rFonts w:hint="eastAsia" w:ascii="仿宋" w:hAnsi="仿宋" w:eastAsia="仿宋" w:cs="仿宋"/>
                <w:color w:val="auto"/>
                <w:sz w:val="21"/>
                <w:szCs w:val="21"/>
                <w:highlight w:val="none"/>
              </w:rPr>
            </w:pPr>
          </w:p>
        </w:tc>
      </w:tr>
      <w:tr w14:paraId="49837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center"/>
          </w:tcPr>
          <w:p w14:paraId="02A76516">
            <w:pPr>
              <w:shd w:val="clear"/>
              <w:spacing w:line="288" w:lineRule="auto"/>
              <w:jc w:val="center"/>
              <w:rPr>
                <w:rFonts w:hint="eastAsia" w:ascii="仿宋" w:hAnsi="仿宋" w:eastAsia="仿宋" w:cs="仿宋"/>
                <w:color w:val="auto"/>
                <w:sz w:val="21"/>
                <w:szCs w:val="21"/>
                <w:highlight w:val="none"/>
              </w:rPr>
            </w:pPr>
          </w:p>
        </w:tc>
        <w:tc>
          <w:tcPr>
            <w:tcW w:w="2085" w:type="dxa"/>
            <w:noWrap w:val="0"/>
            <w:vAlign w:val="center"/>
          </w:tcPr>
          <w:p w14:paraId="71F81CDB">
            <w:pPr>
              <w:shd w:val="clear"/>
              <w:spacing w:line="288" w:lineRule="auto"/>
              <w:jc w:val="center"/>
              <w:rPr>
                <w:rFonts w:hint="eastAsia" w:ascii="仿宋" w:hAnsi="仿宋" w:eastAsia="仿宋" w:cs="仿宋"/>
                <w:color w:val="auto"/>
                <w:sz w:val="21"/>
                <w:szCs w:val="21"/>
                <w:highlight w:val="none"/>
              </w:rPr>
            </w:pPr>
          </w:p>
        </w:tc>
        <w:tc>
          <w:tcPr>
            <w:tcW w:w="5062" w:type="dxa"/>
            <w:noWrap w:val="0"/>
            <w:vAlign w:val="center"/>
          </w:tcPr>
          <w:p w14:paraId="6961E044">
            <w:pPr>
              <w:shd w:val="clear"/>
              <w:spacing w:line="288" w:lineRule="auto"/>
              <w:rPr>
                <w:rFonts w:hint="eastAsia" w:ascii="仿宋" w:hAnsi="仿宋" w:eastAsia="仿宋" w:cs="仿宋"/>
                <w:color w:val="auto"/>
                <w:sz w:val="21"/>
                <w:szCs w:val="21"/>
                <w:highlight w:val="none"/>
              </w:rPr>
            </w:pPr>
          </w:p>
        </w:tc>
        <w:tc>
          <w:tcPr>
            <w:tcW w:w="828" w:type="dxa"/>
            <w:noWrap w:val="0"/>
            <w:vAlign w:val="center"/>
          </w:tcPr>
          <w:p w14:paraId="786D0060">
            <w:pPr>
              <w:shd w:val="clear"/>
              <w:spacing w:line="288" w:lineRule="auto"/>
              <w:jc w:val="center"/>
              <w:rPr>
                <w:rFonts w:hint="eastAsia" w:ascii="仿宋" w:hAnsi="仿宋" w:eastAsia="仿宋" w:cs="仿宋"/>
                <w:color w:val="auto"/>
                <w:sz w:val="21"/>
                <w:szCs w:val="21"/>
                <w:highlight w:val="none"/>
              </w:rPr>
            </w:pPr>
          </w:p>
        </w:tc>
      </w:tr>
      <w:tr w14:paraId="39725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center"/>
          </w:tcPr>
          <w:p w14:paraId="5EA2BA38">
            <w:pPr>
              <w:shd w:val="clear"/>
              <w:spacing w:line="288" w:lineRule="auto"/>
              <w:jc w:val="center"/>
              <w:rPr>
                <w:rFonts w:hint="eastAsia" w:ascii="仿宋" w:hAnsi="仿宋" w:eastAsia="仿宋" w:cs="仿宋"/>
                <w:color w:val="auto"/>
                <w:sz w:val="21"/>
                <w:szCs w:val="21"/>
                <w:highlight w:val="none"/>
              </w:rPr>
            </w:pPr>
          </w:p>
        </w:tc>
        <w:tc>
          <w:tcPr>
            <w:tcW w:w="2085" w:type="dxa"/>
            <w:noWrap w:val="0"/>
            <w:vAlign w:val="center"/>
          </w:tcPr>
          <w:p w14:paraId="3A04BC26">
            <w:pPr>
              <w:shd w:val="clear"/>
              <w:spacing w:line="288" w:lineRule="auto"/>
              <w:jc w:val="center"/>
              <w:rPr>
                <w:rFonts w:hint="eastAsia" w:ascii="仿宋" w:hAnsi="仿宋" w:eastAsia="仿宋" w:cs="仿宋"/>
                <w:color w:val="auto"/>
                <w:sz w:val="21"/>
                <w:szCs w:val="21"/>
                <w:highlight w:val="none"/>
              </w:rPr>
            </w:pPr>
          </w:p>
        </w:tc>
        <w:tc>
          <w:tcPr>
            <w:tcW w:w="5062" w:type="dxa"/>
            <w:noWrap w:val="0"/>
            <w:vAlign w:val="center"/>
          </w:tcPr>
          <w:p w14:paraId="71C20782">
            <w:pPr>
              <w:shd w:val="clear"/>
              <w:spacing w:line="288" w:lineRule="auto"/>
              <w:rPr>
                <w:rFonts w:hint="eastAsia" w:ascii="仿宋" w:hAnsi="仿宋" w:eastAsia="仿宋" w:cs="仿宋"/>
                <w:color w:val="auto"/>
                <w:sz w:val="21"/>
                <w:szCs w:val="21"/>
                <w:highlight w:val="none"/>
              </w:rPr>
            </w:pPr>
          </w:p>
        </w:tc>
        <w:tc>
          <w:tcPr>
            <w:tcW w:w="828" w:type="dxa"/>
            <w:noWrap w:val="0"/>
            <w:vAlign w:val="center"/>
          </w:tcPr>
          <w:p w14:paraId="49BC6388">
            <w:pPr>
              <w:shd w:val="clear"/>
              <w:spacing w:line="288" w:lineRule="auto"/>
              <w:jc w:val="center"/>
              <w:rPr>
                <w:rFonts w:hint="eastAsia" w:ascii="仿宋" w:hAnsi="仿宋" w:eastAsia="仿宋" w:cs="仿宋"/>
                <w:color w:val="auto"/>
                <w:sz w:val="21"/>
                <w:szCs w:val="21"/>
                <w:highlight w:val="none"/>
              </w:rPr>
            </w:pPr>
          </w:p>
        </w:tc>
      </w:tr>
    </w:tbl>
    <w:p w14:paraId="527E3927">
      <w:pPr>
        <w:shd w:val="clear"/>
        <w:autoSpaceDE w:val="0"/>
        <w:autoSpaceDN w:val="0"/>
        <w:adjustRightInd w:val="0"/>
        <w:spacing w:line="288" w:lineRule="auto"/>
        <w:ind w:firstLine="422" w:firstLineChars="200"/>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第二条：合同总价</w:t>
      </w:r>
    </w:p>
    <w:p w14:paraId="6315217B">
      <w:pPr>
        <w:widowControl/>
        <w:shd w:val="clear"/>
        <w:adjustRightInd w:val="0"/>
        <w:spacing w:line="288" w:lineRule="auto"/>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本项目合同总价为人民币    元整（¥    元）。</w:t>
      </w:r>
    </w:p>
    <w:p w14:paraId="59974C4C">
      <w:pPr>
        <w:widowControl/>
        <w:shd w:val="clear"/>
        <w:adjustRightInd w:val="0"/>
        <w:spacing w:line="288" w:lineRule="auto"/>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注：以上合同总价</w:t>
      </w:r>
      <w:r>
        <w:rPr>
          <w:rFonts w:hint="eastAsia" w:ascii="仿宋" w:hAnsi="仿宋" w:eastAsia="仿宋" w:cs="仿宋"/>
          <w:color w:val="auto"/>
          <w:kern w:val="0"/>
          <w:sz w:val="21"/>
          <w:szCs w:val="21"/>
          <w:highlight w:val="none"/>
        </w:rPr>
        <w:t>包括但不限于：系统调研、需求分析、系统开发、系统调试、验收、后续服务、增值税、招标代理费和其他所有税费等一切费用</w:t>
      </w:r>
      <w:r>
        <w:rPr>
          <w:rFonts w:hint="eastAsia" w:ascii="仿宋" w:hAnsi="仿宋" w:eastAsia="仿宋" w:cs="仿宋"/>
          <w:color w:val="auto"/>
          <w:kern w:val="0"/>
          <w:sz w:val="21"/>
          <w:szCs w:val="21"/>
          <w:highlight w:val="none"/>
          <w:lang w:val="zh-CN"/>
        </w:rPr>
        <w:t>。</w:t>
      </w:r>
    </w:p>
    <w:p w14:paraId="586E6100">
      <w:pPr>
        <w:shd w:val="clear"/>
        <w:autoSpaceDE w:val="0"/>
        <w:autoSpaceDN w:val="0"/>
        <w:adjustRightInd w:val="0"/>
        <w:spacing w:line="288" w:lineRule="auto"/>
        <w:ind w:firstLine="422" w:firstLineChars="200"/>
        <w:rPr>
          <w:rFonts w:hint="eastAsia" w:ascii="仿宋" w:hAnsi="仿宋" w:eastAsia="仿宋" w:cs="仿宋"/>
          <w:color w:val="auto"/>
          <w:kern w:val="0"/>
          <w:sz w:val="21"/>
          <w:szCs w:val="21"/>
          <w:highlight w:val="none"/>
        </w:rPr>
      </w:pPr>
      <w:r>
        <w:rPr>
          <w:rFonts w:hint="eastAsia" w:ascii="仿宋" w:hAnsi="仿宋" w:eastAsia="仿宋" w:cs="仿宋"/>
          <w:b/>
          <w:bCs/>
          <w:color w:val="auto"/>
          <w:kern w:val="0"/>
          <w:sz w:val="21"/>
          <w:szCs w:val="21"/>
          <w:highlight w:val="none"/>
        </w:rPr>
        <w:t>第三条：建设目标</w:t>
      </w:r>
    </w:p>
    <w:p w14:paraId="63FB8B9B">
      <w:pPr>
        <w:widowControl/>
        <w:shd w:val="clear"/>
        <w:adjustRightInd w:val="0"/>
        <w:spacing w:line="288" w:lineRule="auto"/>
        <w:ind w:firstLine="420" w:firstLineChars="200"/>
        <w:jc w:val="left"/>
        <w:rPr>
          <w:rFonts w:hint="eastAsia" w:ascii="仿宋" w:hAnsi="仿宋" w:eastAsia="仿宋" w:cs="仿宋"/>
          <w:color w:val="auto"/>
          <w:kern w:val="0"/>
          <w:sz w:val="21"/>
          <w:szCs w:val="21"/>
          <w:highlight w:val="none"/>
          <w:lang w:val="zh-CN"/>
        </w:rPr>
      </w:pPr>
    </w:p>
    <w:p w14:paraId="2F3B832B">
      <w:pPr>
        <w:shd w:val="clear"/>
        <w:autoSpaceDE w:val="0"/>
        <w:autoSpaceDN w:val="0"/>
        <w:adjustRightInd w:val="0"/>
        <w:spacing w:line="288" w:lineRule="auto"/>
        <w:ind w:firstLine="422" w:firstLineChars="200"/>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第四条：技术资料和保密约定</w:t>
      </w:r>
    </w:p>
    <w:p w14:paraId="57C294C4">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1.没有甲方事先书面同意，乙方不得将由甲方提供的有关合同或任何合同条文、计划或资料提供给与履行本合同无关的任何其他人。即使向履行本合同有关的人员提供，也应注意保密并限于履行合同的必需范围。</w:t>
      </w:r>
    </w:p>
    <w:p w14:paraId="2EA3A27A">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乙方应严格规范执行各项保密制度，对在项目招标、建设、质保各阶段取得采购人各类信息进行保密管理,做好有关保密工作。乙方保证项目实施过程中的有关信息、文件等对第三方保密，非经甲方同意，不得公开或向第三方提供。</w:t>
      </w:r>
    </w:p>
    <w:p w14:paraId="3B5BAC24">
      <w:pPr>
        <w:shd w:val="clear"/>
        <w:autoSpaceDE w:val="0"/>
        <w:autoSpaceDN w:val="0"/>
        <w:adjustRightInd w:val="0"/>
        <w:spacing w:line="288" w:lineRule="auto"/>
        <w:ind w:firstLine="422" w:firstLineChars="200"/>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第五条：知识产权</w:t>
      </w:r>
    </w:p>
    <w:p w14:paraId="5DC7C8A1">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乙方应保证所提供的软件或其任何一部分均不会侵犯任何第三方的知识产权，由此产生的知识产权纠纷由乙方解决、处理并承担全部后果；因此而给甲方造成损失的，由乙方负责赔偿。</w:t>
      </w:r>
    </w:p>
    <w:p w14:paraId="43F7046C">
      <w:pPr>
        <w:shd w:val="clear"/>
        <w:autoSpaceDE w:val="0"/>
        <w:autoSpaceDN w:val="0"/>
        <w:adjustRightInd w:val="0"/>
        <w:spacing w:line="288" w:lineRule="auto"/>
        <w:ind w:firstLine="422" w:firstLineChars="200"/>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第六条：合同履行时间</w:t>
      </w:r>
    </w:p>
    <w:p w14:paraId="4787CF76">
      <w:pPr>
        <w:shd w:val="clear"/>
        <w:snapToGrid w:val="0"/>
        <w:spacing w:line="288" w:lineRule="auto"/>
        <w:ind w:firstLine="420"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合同签订之日起</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lang w:val="en-US" w:eastAsia="zh-CN"/>
        </w:rPr>
        <w:t>月</w:t>
      </w:r>
      <w:r>
        <w:rPr>
          <w:rFonts w:hint="eastAsia" w:ascii="仿宋" w:hAnsi="仿宋" w:eastAsia="仿宋" w:cs="仿宋"/>
          <w:color w:val="auto"/>
          <w:spacing w:val="-6"/>
          <w:sz w:val="21"/>
          <w:szCs w:val="21"/>
          <w:highlight w:val="none"/>
        </w:rPr>
        <w:t>内交付使用。</w:t>
      </w:r>
    </w:p>
    <w:p w14:paraId="5AD91890">
      <w:pPr>
        <w:shd w:val="clear"/>
        <w:autoSpaceDE w:val="0"/>
        <w:autoSpaceDN w:val="0"/>
        <w:adjustRightInd w:val="0"/>
        <w:spacing w:line="288" w:lineRule="auto"/>
        <w:ind w:firstLine="422" w:firstLineChars="200"/>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第七条：售后服务保障或响应时间要求</w:t>
      </w:r>
    </w:p>
    <w:p w14:paraId="4A1225AD">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1.乙方提供</w:t>
      </w:r>
      <w:r>
        <w:rPr>
          <w:rFonts w:hint="eastAsia" w:ascii="仿宋" w:hAnsi="仿宋" w:eastAsia="仿宋" w:cs="仿宋"/>
          <w:color w:val="auto"/>
          <w:kern w:val="0"/>
          <w:sz w:val="21"/>
          <w:szCs w:val="21"/>
          <w:highlight w:val="none"/>
          <w:u w:val="single"/>
          <w:lang w:val="en-US" w:eastAsia="zh-CN"/>
        </w:rPr>
        <w:t xml:space="preserve">        年</w:t>
      </w:r>
      <w:r>
        <w:rPr>
          <w:rFonts w:hint="eastAsia" w:ascii="仿宋" w:hAnsi="仿宋" w:eastAsia="仿宋" w:cs="仿宋"/>
          <w:color w:val="auto"/>
          <w:kern w:val="0"/>
          <w:sz w:val="21"/>
          <w:szCs w:val="21"/>
          <w:highlight w:val="none"/>
        </w:rPr>
        <w:t>的免费售后服务，售后服务期从验收合格之日起开始计算。</w:t>
      </w:r>
    </w:p>
    <w:p w14:paraId="23750DB1">
      <w:pPr>
        <w:shd w:val="clear"/>
        <w:autoSpaceDE w:val="0"/>
        <w:autoSpaceDN w:val="0"/>
        <w:adjustRightInd w:val="0"/>
        <w:spacing w:line="288" w:lineRule="auto"/>
        <w:ind w:firstLine="420" w:firstLineChars="200"/>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乙方提供7*24小时的技术支持服务，提供紧急联系人联系方式，随时接收学校提出的技术问题，并在24小时内提供解决方案</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紧急联系人：</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lang w:val="en-US" w:eastAsia="zh-CN"/>
        </w:rPr>
        <w:t xml:space="preserve"> 电话：</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lang w:val="en-US" w:eastAsia="zh-CN"/>
        </w:rPr>
        <w:t>。</w:t>
      </w:r>
    </w:p>
    <w:p w14:paraId="37369238">
      <w:pPr>
        <w:shd w:val="clear"/>
        <w:autoSpaceDE w:val="0"/>
        <w:autoSpaceDN w:val="0"/>
        <w:adjustRightInd w:val="0"/>
        <w:spacing w:line="288" w:lineRule="auto"/>
        <w:ind w:firstLine="420" w:firstLineChars="200"/>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售后服务期内，各类故障应在1小时内响应，2小时内提供应急解决方案。影响系统正常使用的bug在学校提出后8小时内修正。系统安全漏洞的修复要在学校提出后24小时内解决。若供应商未能按时限解决问题，</w:t>
      </w:r>
      <w:r>
        <w:rPr>
          <w:rFonts w:hint="eastAsia" w:ascii="仿宋" w:hAnsi="仿宋" w:eastAsia="仿宋" w:cs="仿宋"/>
          <w:color w:val="auto"/>
          <w:kern w:val="0"/>
          <w:sz w:val="21"/>
          <w:szCs w:val="21"/>
          <w:highlight w:val="none"/>
          <w:lang w:val="en-US" w:eastAsia="zh-CN"/>
        </w:rPr>
        <w:t>甲方</w:t>
      </w:r>
      <w:r>
        <w:rPr>
          <w:rFonts w:hint="eastAsia" w:ascii="仿宋" w:hAnsi="仿宋" w:eastAsia="仿宋" w:cs="仿宋"/>
          <w:color w:val="auto"/>
          <w:kern w:val="0"/>
          <w:sz w:val="21"/>
          <w:szCs w:val="21"/>
          <w:highlight w:val="none"/>
        </w:rPr>
        <w:t>有权自行处理，所发生费用由供应商承担。</w:t>
      </w:r>
    </w:p>
    <w:p w14:paraId="3DBC40AB">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.乙方定期面向系统管理人员及普通用户进行系统回访服务，听取意见并及时分析系统存在的问题，并随时给予解决，必要时需派遣技术人员现场解决存在的问题。</w:t>
      </w:r>
    </w:p>
    <w:p w14:paraId="75AC9CF8">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5.乙方提供系统版本生命周期内的终身免费升级，在售后服务期内，提供持续的大版本免费更新服务。</w:t>
      </w:r>
    </w:p>
    <w:p w14:paraId="49765A91">
      <w:pPr>
        <w:shd w:val="clear"/>
        <w:autoSpaceDE w:val="0"/>
        <w:autoSpaceDN w:val="0"/>
        <w:adjustRightInd w:val="0"/>
        <w:spacing w:line="288" w:lineRule="auto"/>
        <w:ind w:firstLine="422" w:firstLineChars="200"/>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第八条：成果交付及验收</w:t>
      </w:r>
    </w:p>
    <w:p w14:paraId="7D7831BC">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1.交付成果和文档资料</w:t>
      </w:r>
    </w:p>
    <w:p w14:paraId="30552834">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在本期项目的开发过程中和交付使用后，要求将各个阶段产生的全面、规范的成果和文档资料交付给甲方，而且要提供明确的交付清单。同时，成果和文档资料必须符合软件工程的相关要求。要交付的成果和文档资料主要包括以下部分：</w:t>
      </w:r>
    </w:p>
    <w:p w14:paraId="448A6886">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（1）可运行的系统。</w:t>
      </w:r>
    </w:p>
    <w:p w14:paraId="128F0B1E">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技术文档：包括项目开发中的各种技术文档，如开发环境配置说明、软件工具清单、需求分析说明、变更说明、系统设计说明、用户手册、测试用例、测试结果、系统维护说明、系统培训资料以及有关系统接口的技术说明等等。</w:t>
      </w:r>
    </w:p>
    <w:p w14:paraId="7BB6D337">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（3）管理文档：包括项目开发中的一些工作文档，如，计划、报告、讨论纲要、会议记录等。</w:t>
      </w:r>
    </w:p>
    <w:p w14:paraId="2E885780">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（4）版权归属及使用要求：</w:t>
      </w:r>
    </w:p>
    <w:p w14:paraId="439F15A6">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该系统的版权为甲方完全拥有。</w:t>
      </w:r>
    </w:p>
    <w:p w14:paraId="2CA9E29E">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2.本合同验收由甲方组织实施，验收过程中，乙方应派专业的技术人员协助甲方进行验收；</w:t>
      </w:r>
    </w:p>
    <w:p w14:paraId="182A1EA1">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3.验收合格标准：</w:t>
      </w:r>
    </w:p>
    <w:p w14:paraId="348AB69E">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（1）符合质量要求（符合采购文件要求、磋商承诺以及国家、行业有关技术规范和标准，提供合同的全部资料）；</w:t>
      </w:r>
    </w:p>
    <w:p w14:paraId="16DD5FBC">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r>
        <w:rPr>
          <w:rFonts w:hint="eastAsia" w:ascii="仿宋" w:hAnsi="仿宋" w:eastAsia="仿宋" w:cs="仿宋"/>
          <w:color w:val="auto"/>
          <w:sz w:val="21"/>
          <w:szCs w:val="21"/>
          <w:highlight w:val="none"/>
          <w:lang w:bidi="ar"/>
        </w:rPr>
        <w:t>在进行测试和验收过程中发现的问题已被解决并得到采购人的认可</w:t>
      </w:r>
      <w:r>
        <w:rPr>
          <w:rFonts w:hint="eastAsia" w:ascii="仿宋" w:hAnsi="仿宋" w:eastAsia="仿宋" w:cs="仿宋"/>
          <w:color w:val="auto"/>
          <w:kern w:val="0"/>
          <w:sz w:val="21"/>
          <w:szCs w:val="21"/>
          <w:highlight w:val="none"/>
        </w:rPr>
        <w:t>；</w:t>
      </w:r>
    </w:p>
    <w:p w14:paraId="4A4A8280">
      <w:pPr>
        <w:shd w:val="clear"/>
        <w:autoSpaceDE w:val="0"/>
        <w:autoSpaceDN w:val="0"/>
        <w:adjustRightInd w:val="0"/>
        <w:spacing w:line="288" w:lineRule="auto"/>
        <w:ind w:firstLine="420" w:firstLineChars="200"/>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（3）合同中规定的所有过程材料均已交付；</w:t>
      </w:r>
    </w:p>
    <w:p w14:paraId="4AB66FCD">
      <w:pPr>
        <w:shd w:val="clear"/>
        <w:autoSpaceDE w:val="0"/>
        <w:autoSpaceDN w:val="0"/>
        <w:adjustRightInd w:val="0"/>
        <w:spacing w:line="288" w:lineRule="auto"/>
        <w:ind w:firstLine="420" w:firstLineChars="200"/>
        <w:rPr>
          <w:rFonts w:hint="eastAsia"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（4）所有相关的技术文件及资料均已提交并得到接受。</w:t>
      </w:r>
    </w:p>
    <w:p w14:paraId="34DA9BBF">
      <w:pPr>
        <w:shd w:val="clear"/>
        <w:autoSpaceDE w:val="0"/>
        <w:autoSpaceDN w:val="0"/>
        <w:adjustRightInd w:val="0"/>
        <w:spacing w:line="288" w:lineRule="auto"/>
        <w:ind w:firstLine="422" w:firstLineChars="200"/>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第九条：合同款的支付</w:t>
      </w:r>
    </w:p>
    <w:p w14:paraId="6D4DE853">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1.合同签订时，乙方向甲方提交合同总价</w:t>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%的履约保证金，履约保证金在合同履约期间无质量问题和维护问题、考核通过（如有）于7个工作日内退还（不计息）；提交方式：支票、汇票、本票或金融机构、担保机构出具的保函等非现金形式。</w:t>
      </w:r>
    </w:p>
    <w:p w14:paraId="019E588B">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2.合同生效以及具备实施条件后7个工作日内，甲方向乙方支付合同总价40%的预付款；项目履约完成，经甲方验收合格后，收到发票后7个工作日内，甲方向乙方支付至合同总价的100%。</w:t>
      </w:r>
    </w:p>
    <w:p w14:paraId="4867A875">
      <w:pPr>
        <w:shd w:val="clear"/>
        <w:autoSpaceDE w:val="0"/>
        <w:autoSpaceDN w:val="0"/>
        <w:adjustRightInd w:val="0"/>
        <w:spacing w:line="288" w:lineRule="auto"/>
        <w:ind w:firstLine="422" w:firstLineChars="200"/>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第十条：违约责任</w:t>
      </w:r>
    </w:p>
    <w:p w14:paraId="6AB30844">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1.甲方逾期支付合同款的，自逾期之日起，向乙方每日偿付未付价款万分之二点一的滞纳金。</w:t>
      </w:r>
    </w:p>
    <w:p w14:paraId="0F689D8A">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2.乙方逾期履行合同的，自逾期之日起，向甲方每日偿付合同总价万分之二点一的滞纳金；每逾期1个月，乙方需支付合同总额20%作为违约金，同时甲方有权要求终止合同。</w:t>
      </w:r>
    </w:p>
    <w:p w14:paraId="5E44D4AF">
      <w:pPr>
        <w:shd w:val="clear"/>
        <w:autoSpaceDE w:val="0"/>
        <w:autoSpaceDN w:val="0"/>
        <w:adjustRightInd w:val="0"/>
        <w:spacing w:line="288" w:lineRule="auto"/>
        <w:ind w:firstLine="422" w:firstLineChars="200"/>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第十一条：不可抗力事件处理</w:t>
      </w:r>
    </w:p>
    <w:p w14:paraId="1FAD4722">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1.在合同有效期内，任何一方因不可抗力事件导致不能履行合同，则合同履行期可延长，其延长期与不可抗力影响期相同。</w:t>
      </w:r>
    </w:p>
    <w:p w14:paraId="73D3F98F">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2.不可抗力事件发生后，应立即通知对方，并寄送有关权威机构出具的证明。</w:t>
      </w:r>
    </w:p>
    <w:p w14:paraId="4D9DBA21">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3.不可抗力事件延续120天以上，双方通过友好协商，确定是否继续履行合同。</w:t>
      </w:r>
    </w:p>
    <w:p w14:paraId="306634CE">
      <w:pPr>
        <w:shd w:val="clear"/>
        <w:autoSpaceDE w:val="0"/>
        <w:autoSpaceDN w:val="0"/>
        <w:adjustRightInd w:val="0"/>
        <w:spacing w:line="288" w:lineRule="auto"/>
        <w:ind w:firstLine="422" w:firstLineChars="200"/>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第十二条：争议解决</w:t>
      </w:r>
    </w:p>
    <w:p w14:paraId="6A18D1CA">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本合同未尽事宜由三方协商解决，如协商不成，三方同意将本合同引起的争议提交甲方所在地法院解决。</w:t>
      </w:r>
    </w:p>
    <w:p w14:paraId="0648781B">
      <w:pPr>
        <w:shd w:val="clear"/>
        <w:autoSpaceDE w:val="0"/>
        <w:autoSpaceDN w:val="0"/>
        <w:adjustRightInd w:val="0"/>
        <w:spacing w:line="288" w:lineRule="auto"/>
        <w:ind w:firstLine="422" w:firstLineChars="200"/>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第十三条：其它</w:t>
      </w:r>
    </w:p>
    <w:p w14:paraId="5C3CFFC7">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1.本合同所有附件、采购文件、响应文件、中标通知书通知书均为合同的有效组成部分，与本合同具有同等法律效力。</w:t>
      </w:r>
    </w:p>
    <w:p w14:paraId="728DEC2E">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2.在执行本合同的过程中，所有经双方签署确认的文件（包括会议纪要、补充协议、往来信函）即成为本合同的有效组成部分。</w:t>
      </w:r>
    </w:p>
    <w:p w14:paraId="2A872A71">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3.如一方地址、电话、传真号码有变更，应在变更当日内书面通知对方，否则，应承担相应责任。</w:t>
      </w:r>
    </w:p>
    <w:p w14:paraId="4F1E456C">
      <w:pPr>
        <w:shd w:val="clear"/>
        <w:autoSpaceDE w:val="0"/>
        <w:autoSpaceDN w:val="0"/>
        <w:adjustRightInd w:val="0"/>
        <w:spacing w:line="288" w:lineRule="auto"/>
        <w:ind w:firstLine="422" w:firstLineChars="200"/>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第十四条：合同生效</w:t>
      </w:r>
    </w:p>
    <w:p w14:paraId="2F8587C5">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1.合同经三方法定代表人或授权代表签字并加电子签名/公章后生效。</w:t>
      </w:r>
    </w:p>
    <w:p w14:paraId="79273656">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2.合同执行中涉及采购资金和采购内容修改或补充的，须经财政部门审批，并签书面补充协议报政府采购监督管理部门备案，方可作为主合同不可分割的一部分。</w:t>
      </w:r>
    </w:p>
    <w:p w14:paraId="0D04A7F0">
      <w:pPr>
        <w:shd w:val="clear"/>
        <w:autoSpaceDE w:val="0"/>
        <w:autoSpaceDN w:val="0"/>
        <w:adjustRightInd w:val="0"/>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3.本合同未尽事宜，遵照《民法典》有关条文执行。</w:t>
      </w:r>
    </w:p>
    <w:p w14:paraId="6F3BDEE7">
      <w:pPr>
        <w:shd w:val="clear"/>
        <w:snapToGrid w:val="0"/>
        <w:spacing w:line="288" w:lineRule="auto"/>
        <w:ind w:firstLine="420"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4.本合同一式   份，甲方执 叁 份，乙方执   份，采购代理机构执 壹 份，经三方签字、盖公章并在乙方履约保证金到帐后生效</w:t>
      </w:r>
      <w:r>
        <w:rPr>
          <w:rFonts w:hint="eastAsia" w:ascii="仿宋" w:hAnsi="仿宋" w:eastAsia="仿宋" w:cs="仿宋"/>
          <w:color w:val="auto"/>
          <w:spacing w:val="-6"/>
          <w:sz w:val="21"/>
          <w:szCs w:val="21"/>
          <w:highlight w:val="none"/>
        </w:rPr>
        <w:t>。</w:t>
      </w:r>
    </w:p>
    <w:tbl>
      <w:tblPr>
        <w:tblStyle w:val="2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gridCol w:w="3960"/>
      </w:tblGrid>
      <w:tr w14:paraId="59107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4320" w:type="dxa"/>
            <w:noWrap w:val="0"/>
            <w:vAlign w:val="center"/>
          </w:tcPr>
          <w:p w14:paraId="26BF44F3">
            <w:pPr>
              <w:shd w:val="clear"/>
              <w:spacing w:line="288" w:lineRule="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甲方（需方）：</w:t>
            </w:r>
            <w:r>
              <w:rPr>
                <w:rFonts w:hint="eastAsia" w:ascii="仿宋" w:hAnsi="仿宋" w:eastAsia="仿宋" w:cs="仿宋"/>
                <w:color w:val="auto"/>
                <w:spacing w:val="-6"/>
                <w:sz w:val="21"/>
                <w:szCs w:val="21"/>
                <w:highlight w:val="none"/>
                <w:lang w:eastAsia="zh-CN"/>
              </w:rPr>
              <w:t>浙江万里学院</w:t>
            </w:r>
            <w:r>
              <w:rPr>
                <w:rFonts w:hint="eastAsia" w:ascii="仿宋" w:hAnsi="仿宋" w:eastAsia="仿宋" w:cs="仿宋"/>
                <w:color w:val="auto"/>
                <w:spacing w:val="-6"/>
                <w:sz w:val="21"/>
                <w:szCs w:val="21"/>
                <w:highlight w:val="none"/>
              </w:rPr>
              <w:t>（公章）</w:t>
            </w:r>
          </w:p>
        </w:tc>
        <w:tc>
          <w:tcPr>
            <w:tcW w:w="3960" w:type="dxa"/>
            <w:noWrap w:val="0"/>
            <w:vAlign w:val="center"/>
          </w:tcPr>
          <w:p w14:paraId="44E776B0">
            <w:pPr>
              <w:shd w:val="clear"/>
              <w:spacing w:line="288" w:lineRule="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乙方（供方）：（公章）</w:t>
            </w:r>
          </w:p>
        </w:tc>
      </w:tr>
      <w:tr w14:paraId="58F72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320" w:type="dxa"/>
            <w:noWrap w:val="0"/>
            <w:vAlign w:val="center"/>
          </w:tcPr>
          <w:p w14:paraId="0FE89699">
            <w:pPr>
              <w:shd w:val="clear"/>
              <w:spacing w:line="288" w:lineRule="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甲方代表：</w:t>
            </w:r>
          </w:p>
          <w:p w14:paraId="65C9772C">
            <w:pPr>
              <w:shd w:val="clear"/>
              <w:spacing w:line="288" w:lineRule="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(签字）</w:t>
            </w:r>
          </w:p>
        </w:tc>
        <w:tc>
          <w:tcPr>
            <w:tcW w:w="3960" w:type="dxa"/>
            <w:noWrap w:val="0"/>
            <w:vAlign w:val="center"/>
          </w:tcPr>
          <w:p w14:paraId="1EC6AE66">
            <w:pPr>
              <w:shd w:val="clear"/>
              <w:spacing w:line="288" w:lineRule="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乙方代表：</w:t>
            </w:r>
          </w:p>
          <w:p w14:paraId="571F3BF9">
            <w:pPr>
              <w:shd w:val="clear"/>
              <w:spacing w:line="288" w:lineRule="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（签字）</w:t>
            </w:r>
          </w:p>
        </w:tc>
      </w:tr>
      <w:tr w14:paraId="7CAA7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20" w:type="dxa"/>
            <w:noWrap w:val="0"/>
            <w:vAlign w:val="top"/>
          </w:tcPr>
          <w:p w14:paraId="6BDDCB62">
            <w:pPr>
              <w:shd w:val="clear"/>
              <w:spacing w:line="288" w:lineRule="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 xml:space="preserve">地址： </w:t>
            </w:r>
          </w:p>
        </w:tc>
        <w:tc>
          <w:tcPr>
            <w:tcW w:w="3960" w:type="dxa"/>
            <w:noWrap w:val="0"/>
            <w:vAlign w:val="center"/>
          </w:tcPr>
          <w:p w14:paraId="688D3222">
            <w:pPr>
              <w:shd w:val="clear"/>
              <w:spacing w:line="288" w:lineRule="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地址：</w:t>
            </w:r>
          </w:p>
        </w:tc>
      </w:tr>
      <w:tr w14:paraId="7D1FE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20" w:type="dxa"/>
            <w:noWrap w:val="0"/>
            <w:vAlign w:val="top"/>
          </w:tcPr>
          <w:p w14:paraId="5338DE95">
            <w:pPr>
              <w:shd w:val="clear"/>
              <w:spacing w:line="288" w:lineRule="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电话：</w:t>
            </w:r>
          </w:p>
        </w:tc>
        <w:tc>
          <w:tcPr>
            <w:tcW w:w="3960" w:type="dxa"/>
            <w:noWrap w:val="0"/>
            <w:vAlign w:val="center"/>
          </w:tcPr>
          <w:p w14:paraId="778D33A7">
            <w:pPr>
              <w:shd w:val="clear"/>
              <w:spacing w:line="288" w:lineRule="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电话：</w:t>
            </w:r>
          </w:p>
        </w:tc>
      </w:tr>
      <w:tr w14:paraId="045CA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20" w:type="dxa"/>
            <w:noWrap w:val="0"/>
            <w:vAlign w:val="top"/>
          </w:tcPr>
          <w:p w14:paraId="24E70214">
            <w:pPr>
              <w:shd w:val="clear"/>
              <w:spacing w:line="288" w:lineRule="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开户银行：</w:t>
            </w:r>
          </w:p>
        </w:tc>
        <w:tc>
          <w:tcPr>
            <w:tcW w:w="3960" w:type="dxa"/>
            <w:noWrap w:val="0"/>
            <w:vAlign w:val="center"/>
          </w:tcPr>
          <w:p w14:paraId="5ED485A7">
            <w:pPr>
              <w:shd w:val="clear"/>
              <w:spacing w:line="288" w:lineRule="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开户银行：</w:t>
            </w:r>
          </w:p>
        </w:tc>
      </w:tr>
      <w:tr w14:paraId="2547F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20" w:type="dxa"/>
            <w:noWrap w:val="0"/>
            <w:vAlign w:val="top"/>
          </w:tcPr>
          <w:p w14:paraId="166EE5C6">
            <w:pPr>
              <w:shd w:val="clear"/>
              <w:spacing w:line="288" w:lineRule="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帐号：</w:t>
            </w:r>
          </w:p>
        </w:tc>
        <w:tc>
          <w:tcPr>
            <w:tcW w:w="3960" w:type="dxa"/>
            <w:noWrap w:val="0"/>
            <w:vAlign w:val="center"/>
          </w:tcPr>
          <w:p w14:paraId="60FE4DAD">
            <w:pPr>
              <w:shd w:val="clear"/>
              <w:spacing w:line="288" w:lineRule="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帐号：</w:t>
            </w:r>
          </w:p>
        </w:tc>
      </w:tr>
      <w:tr w14:paraId="7D1C9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4320" w:type="dxa"/>
            <w:noWrap w:val="0"/>
            <w:vAlign w:val="center"/>
          </w:tcPr>
          <w:p w14:paraId="502B0AC2">
            <w:pPr>
              <w:shd w:val="clear"/>
              <w:spacing w:line="288" w:lineRule="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签字日期：        年    月    日</w:t>
            </w:r>
          </w:p>
        </w:tc>
        <w:tc>
          <w:tcPr>
            <w:tcW w:w="3960" w:type="dxa"/>
            <w:noWrap w:val="0"/>
            <w:vAlign w:val="center"/>
          </w:tcPr>
          <w:p w14:paraId="041DFD0C">
            <w:pPr>
              <w:shd w:val="clear"/>
              <w:spacing w:line="288" w:lineRule="auto"/>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签字日期：        年    月    日</w:t>
            </w:r>
          </w:p>
        </w:tc>
      </w:tr>
    </w:tbl>
    <w:p w14:paraId="3F71D512">
      <w:pPr>
        <w:shd w:val="clear"/>
        <w:adjustRightInd w:val="0"/>
        <w:snapToGrid w:val="0"/>
        <w:spacing w:line="288" w:lineRule="auto"/>
        <w:jc w:val="center"/>
        <w:outlineLvl w:val="0"/>
        <w:rPr>
          <w:rFonts w:hint="eastAsia" w:ascii="仿宋" w:hAnsi="仿宋" w:eastAsia="仿宋" w:cs="仿宋"/>
          <w:b/>
          <w:bCs/>
          <w:color w:val="auto"/>
          <w:sz w:val="32"/>
          <w:szCs w:val="32"/>
          <w:highlight w:val="none"/>
        </w:rPr>
      </w:pPr>
      <w:r>
        <w:rPr>
          <w:rFonts w:hint="eastAsia" w:ascii="仿宋" w:hAnsi="仿宋" w:eastAsia="仿宋" w:cs="仿宋"/>
          <w:color w:val="auto"/>
          <w:sz w:val="21"/>
          <w:szCs w:val="21"/>
          <w:highlight w:val="none"/>
        </w:rPr>
        <w:br w:type="page"/>
      </w:r>
      <w:bookmarkStart w:id="121" w:name="_Toc1796"/>
      <w:bookmarkStart w:id="122" w:name="_Toc29822"/>
      <w:bookmarkStart w:id="123" w:name="_Toc29708"/>
      <w:bookmarkStart w:id="124" w:name="_Toc30559"/>
      <w:bookmarkStart w:id="125" w:name="_Toc10393"/>
      <w:bookmarkStart w:id="126" w:name="_Toc29941"/>
      <w:bookmarkStart w:id="127" w:name="_Toc9363"/>
      <w:r>
        <w:rPr>
          <w:rFonts w:hint="eastAsia" w:ascii="仿宋" w:hAnsi="仿宋" w:eastAsia="仿宋" w:cs="仿宋"/>
          <w:b/>
          <w:bCs/>
          <w:color w:val="auto"/>
          <w:sz w:val="32"/>
          <w:szCs w:val="32"/>
          <w:highlight w:val="none"/>
        </w:rPr>
        <w:t>第六章  响应文件格式</w:t>
      </w:r>
      <w:bookmarkEnd w:id="121"/>
      <w:bookmarkEnd w:id="122"/>
      <w:bookmarkEnd w:id="123"/>
      <w:bookmarkEnd w:id="124"/>
      <w:bookmarkEnd w:id="125"/>
      <w:bookmarkEnd w:id="126"/>
      <w:bookmarkEnd w:id="127"/>
    </w:p>
    <w:p w14:paraId="39F1DB26">
      <w:pPr>
        <w:shd w:val="clear"/>
        <w:adjustRightInd w:val="0"/>
        <w:snapToGrid w:val="0"/>
        <w:spacing w:line="288" w:lineRule="auto"/>
        <w:rPr>
          <w:rFonts w:hint="eastAsia" w:ascii="仿宋" w:hAnsi="仿宋" w:eastAsia="仿宋" w:cs="仿宋"/>
          <w:color w:val="auto"/>
          <w:sz w:val="21"/>
          <w:szCs w:val="21"/>
          <w:highlight w:val="none"/>
        </w:rPr>
      </w:pPr>
    </w:p>
    <w:p w14:paraId="7008B193">
      <w:pPr>
        <w:shd w:val="clear"/>
        <w:adjustRightInd w:val="0"/>
        <w:snapToGrid w:val="0"/>
        <w:spacing w:line="288" w:lineRule="auto"/>
        <w:jc w:val="center"/>
        <w:rPr>
          <w:rFonts w:hint="eastAsia" w:ascii="仿宋" w:hAnsi="仿宋" w:eastAsia="仿宋" w:cs="仿宋"/>
          <w:b/>
          <w:bCs/>
          <w:color w:val="auto"/>
          <w:sz w:val="21"/>
          <w:szCs w:val="21"/>
          <w:highlight w:val="none"/>
        </w:rPr>
      </w:pPr>
    </w:p>
    <w:p w14:paraId="62B16A62">
      <w:pPr>
        <w:shd w:val="clear"/>
        <w:adjustRightInd w:val="0"/>
        <w:snapToGrid w:val="0"/>
        <w:spacing w:line="288"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目  录</w:t>
      </w:r>
    </w:p>
    <w:p w14:paraId="2278B90A">
      <w:pPr>
        <w:shd w:val="clear"/>
        <w:adjustRightInd w:val="0"/>
        <w:snapToGrid w:val="0"/>
        <w:spacing w:line="288" w:lineRule="auto"/>
        <w:rPr>
          <w:rFonts w:hint="eastAsia" w:ascii="仿宋" w:hAnsi="仿宋" w:eastAsia="仿宋" w:cs="仿宋"/>
          <w:color w:val="auto"/>
          <w:sz w:val="21"/>
          <w:szCs w:val="21"/>
          <w:highlight w:val="none"/>
        </w:rPr>
      </w:pPr>
    </w:p>
    <w:p w14:paraId="0251CC0B">
      <w:pPr>
        <w:shd w:val="clear"/>
        <w:adjustRightInd w:val="0"/>
        <w:snapToGrid w:val="0"/>
        <w:spacing w:line="288" w:lineRule="auto"/>
        <w:ind w:firstLine="422" w:firstLineChars="200"/>
        <w:rPr>
          <w:rFonts w:hint="eastAsia" w:ascii="仿宋" w:hAnsi="仿宋" w:eastAsia="仿宋" w:cs="仿宋"/>
          <w:b/>
          <w:bCs/>
          <w:color w:val="auto"/>
          <w:sz w:val="21"/>
          <w:szCs w:val="21"/>
          <w:highlight w:val="none"/>
        </w:rPr>
      </w:pPr>
      <w:bookmarkStart w:id="128" w:name="_Hlk71884160"/>
      <w:r>
        <w:rPr>
          <w:rFonts w:hint="eastAsia" w:ascii="仿宋" w:hAnsi="仿宋" w:eastAsia="仿宋" w:cs="仿宋"/>
          <w:b/>
          <w:bCs/>
          <w:color w:val="auto"/>
          <w:sz w:val="21"/>
          <w:szCs w:val="21"/>
          <w:highlight w:val="none"/>
        </w:rPr>
        <w:t>▲1.资格文件（单独上传）</w:t>
      </w:r>
    </w:p>
    <w:p w14:paraId="0277DBCF">
      <w:pPr>
        <w:shd w:val="clear"/>
        <w:adjustRightInd w:val="0"/>
        <w:snapToGrid w:val="0"/>
        <w:spacing w:line="288"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资格审查要求的资格证明材料(均需加盖公章)：</w:t>
      </w:r>
      <w:bookmarkEnd w:id="128"/>
    </w:p>
    <w:p w14:paraId="57319C82">
      <w:pPr>
        <w:shd w:val="clear"/>
        <w:adjustRightInd w:val="0"/>
        <w:snapToGrid w:val="0"/>
        <w:spacing w:line="288" w:lineRule="auto"/>
        <w:ind w:firstLine="422" w:firstLineChars="200"/>
        <w:rPr>
          <w:rFonts w:hint="eastAsia" w:ascii="仿宋" w:hAnsi="仿宋" w:eastAsia="仿宋" w:cs="仿宋"/>
          <w:b/>
          <w:bCs/>
          <w:color w:val="auto"/>
          <w:sz w:val="21"/>
          <w:szCs w:val="21"/>
          <w:highlight w:val="none"/>
        </w:rPr>
      </w:pPr>
      <w:bookmarkStart w:id="129" w:name="_Hlk71884127"/>
      <w:r>
        <w:rPr>
          <w:rFonts w:hint="eastAsia" w:ascii="仿宋" w:hAnsi="仿宋" w:eastAsia="仿宋" w:cs="仿宋"/>
          <w:b/>
          <w:bCs/>
          <w:color w:val="auto"/>
          <w:sz w:val="21"/>
          <w:szCs w:val="21"/>
          <w:highlight w:val="none"/>
        </w:rPr>
        <w:t>（1）符合参加政府采购活动应当具备的一般条件的承诺函。</w:t>
      </w:r>
    </w:p>
    <w:p w14:paraId="2F3AB5A2">
      <w:pPr>
        <w:shd w:val="clear"/>
        <w:adjustRightInd w:val="0"/>
        <w:snapToGrid w:val="0"/>
        <w:spacing w:line="288" w:lineRule="auto"/>
        <w:ind w:firstLine="422" w:firstLineChars="200"/>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rPr>
        <w:t>（2）落实政府采购政策需满足的资格要求：</w:t>
      </w:r>
      <w:r>
        <w:rPr>
          <w:rFonts w:hint="eastAsia" w:ascii="仿宋" w:hAnsi="仿宋" w:eastAsia="仿宋" w:cs="仿宋"/>
          <w:b/>
          <w:bCs/>
          <w:color w:val="auto"/>
          <w:sz w:val="21"/>
          <w:szCs w:val="21"/>
          <w:highlight w:val="none"/>
          <w:lang w:val="en-US" w:eastAsia="zh-CN"/>
        </w:rPr>
        <w:t>如有。</w:t>
      </w:r>
    </w:p>
    <w:p w14:paraId="3401DA45">
      <w:pPr>
        <w:shd w:val="clear"/>
        <w:adjustRightInd w:val="0"/>
        <w:snapToGrid w:val="0"/>
        <w:spacing w:line="288"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（3）本项目的特定资格要求证明材料：</w:t>
      </w:r>
      <w:bookmarkEnd w:id="129"/>
      <w:r>
        <w:rPr>
          <w:rFonts w:hint="eastAsia" w:ascii="仿宋" w:hAnsi="仿宋" w:eastAsia="仿宋" w:cs="仿宋"/>
          <w:b/>
          <w:bCs/>
          <w:color w:val="auto"/>
          <w:sz w:val="21"/>
          <w:szCs w:val="21"/>
          <w:highlight w:val="none"/>
          <w:lang w:val="en-US" w:eastAsia="zh-CN"/>
        </w:rPr>
        <w:t>如有</w:t>
      </w:r>
      <w:r>
        <w:rPr>
          <w:rFonts w:hint="eastAsia" w:ascii="仿宋" w:hAnsi="仿宋" w:eastAsia="仿宋" w:cs="仿宋"/>
          <w:b/>
          <w:bCs/>
          <w:color w:val="auto"/>
          <w:sz w:val="21"/>
          <w:szCs w:val="21"/>
          <w:highlight w:val="none"/>
        </w:rPr>
        <w:t>。</w:t>
      </w:r>
    </w:p>
    <w:p w14:paraId="1147E86D">
      <w:pPr>
        <w:shd w:val="clear"/>
        <w:adjustRightInd w:val="0"/>
        <w:snapToGrid w:val="0"/>
        <w:spacing w:line="288"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（4）</w:t>
      </w:r>
      <w:r>
        <w:rPr>
          <w:rFonts w:hint="eastAsia" w:ascii="仿宋" w:hAnsi="仿宋" w:eastAsia="仿宋" w:cs="仿宋"/>
          <w:b/>
          <w:color w:val="auto"/>
          <w:sz w:val="21"/>
          <w:szCs w:val="21"/>
          <w:highlight w:val="none"/>
        </w:rPr>
        <w:t>以联合体形式响应的，提供联合协议及</w:t>
      </w:r>
      <w:r>
        <w:rPr>
          <w:rFonts w:hint="eastAsia" w:ascii="仿宋" w:hAnsi="仿宋" w:eastAsia="仿宋" w:cs="仿宋"/>
          <w:b/>
          <w:bCs/>
          <w:color w:val="auto"/>
          <w:sz w:val="21"/>
          <w:szCs w:val="21"/>
          <w:highlight w:val="none"/>
        </w:rPr>
        <w:t>联合体各方均应提供资格文件（1）、（2）材料。</w:t>
      </w:r>
    </w:p>
    <w:p w14:paraId="25E4234D">
      <w:pPr>
        <w:shd w:val="clear"/>
        <w:adjustRightInd w:val="0"/>
        <w:snapToGrid w:val="0"/>
        <w:spacing w:line="288"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2.报价文件</w:t>
      </w:r>
    </w:p>
    <w:p w14:paraId="7658E4DD">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（1）初次报价一览表。</w:t>
      </w:r>
    </w:p>
    <w:p w14:paraId="2CB9A196">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（2）报价情况说明（如有）。</w:t>
      </w:r>
    </w:p>
    <w:p w14:paraId="69073C87">
      <w:pPr>
        <w:shd w:val="clear"/>
        <w:adjustRightInd w:val="0"/>
        <w:snapToGrid w:val="0"/>
        <w:spacing w:line="288"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3.商务技术文件</w:t>
      </w:r>
    </w:p>
    <w:p w14:paraId="09D868BA">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（1）响应函。</w:t>
      </w:r>
    </w:p>
    <w:p w14:paraId="7D6FED84">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（2）授权委托书或法定代表人（单位负责人、自然人本人）身份证明。</w:t>
      </w:r>
    </w:p>
    <w:p w14:paraId="1914F016">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（3）采购需求偏离表。</w:t>
      </w:r>
    </w:p>
    <w:p w14:paraId="740DADF3">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（4）廉政承诺书。</w:t>
      </w:r>
    </w:p>
    <w:p w14:paraId="385004EE">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bookmarkStart w:id="130" w:name="_Hlk71884196"/>
      <w:r>
        <w:rPr>
          <w:rFonts w:hint="eastAsia" w:ascii="仿宋" w:hAnsi="仿宋" w:eastAsia="仿宋" w:cs="仿宋"/>
          <w:color w:val="auto"/>
          <w:sz w:val="21"/>
          <w:szCs w:val="21"/>
          <w:highlight w:val="none"/>
        </w:rPr>
        <w:t>（5）商务技术资料。</w:t>
      </w:r>
    </w:p>
    <w:p w14:paraId="059D4C88">
      <w:pPr>
        <w:shd w:val="clear"/>
        <w:adjustRightInd w:val="0"/>
        <w:snapToGrid w:val="0"/>
        <w:spacing w:line="288" w:lineRule="auto"/>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（6）技术方案</w:t>
      </w:r>
      <w:r>
        <w:rPr>
          <w:rFonts w:hint="eastAsia" w:ascii="仿宋" w:hAnsi="仿宋" w:eastAsia="仿宋" w:cs="仿宋"/>
          <w:color w:val="auto"/>
          <w:sz w:val="21"/>
          <w:szCs w:val="21"/>
          <w:highlight w:val="none"/>
          <w:lang w:eastAsia="zh-CN"/>
        </w:rPr>
        <w:t>。</w:t>
      </w:r>
    </w:p>
    <w:p w14:paraId="76E697FA">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（7）供应商需要说明的其他文件和材料。</w:t>
      </w:r>
    </w:p>
    <w:bookmarkEnd w:id="130"/>
    <w:p w14:paraId="0DE71E2F">
      <w:pPr>
        <w:shd w:val="clear"/>
        <w:adjustRightInd w:val="0"/>
        <w:snapToGrid w:val="0"/>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br w:type="page"/>
      </w:r>
    </w:p>
    <w:p w14:paraId="5F6D1D63">
      <w:pPr>
        <w:shd w:val="clear"/>
        <w:adjustRightInd w:val="0"/>
        <w:snapToGrid w:val="0"/>
        <w:spacing w:line="288" w:lineRule="auto"/>
        <w:rPr>
          <w:rFonts w:hint="eastAsia" w:ascii="仿宋" w:hAnsi="仿宋" w:eastAsia="仿宋" w:cs="仿宋"/>
          <w:color w:val="auto"/>
          <w:highlight w:val="none"/>
        </w:rPr>
      </w:pPr>
    </w:p>
    <w:p w14:paraId="437DBAFE">
      <w:pPr>
        <w:shd w:val="clear"/>
        <w:adjustRightInd w:val="0"/>
        <w:snapToGrid w:val="0"/>
        <w:spacing w:line="288" w:lineRule="auto"/>
        <w:jc w:val="center"/>
        <w:outlineLvl w:val="1"/>
        <w:rPr>
          <w:rFonts w:hint="eastAsia" w:ascii="仿宋" w:hAnsi="仿宋" w:eastAsia="仿宋" w:cs="仿宋"/>
          <w:b/>
          <w:bCs/>
          <w:color w:val="auto"/>
          <w:sz w:val="84"/>
          <w:szCs w:val="84"/>
          <w:highlight w:val="none"/>
        </w:rPr>
      </w:pPr>
      <w:bookmarkStart w:id="131" w:name="_Toc14812"/>
      <w:bookmarkStart w:id="132" w:name="_Toc18243"/>
      <w:bookmarkStart w:id="133" w:name="_Toc19719"/>
      <w:r>
        <w:rPr>
          <w:rFonts w:hint="eastAsia" w:ascii="仿宋" w:hAnsi="仿宋" w:eastAsia="仿宋" w:cs="仿宋"/>
          <w:b/>
          <w:bCs/>
          <w:color w:val="auto"/>
          <w:sz w:val="84"/>
          <w:szCs w:val="84"/>
          <w:highlight w:val="none"/>
        </w:rPr>
        <w:t>资格文件</w:t>
      </w:r>
      <w:bookmarkEnd w:id="131"/>
      <w:bookmarkEnd w:id="132"/>
      <w:bookmarkEnd w:id="133"/>
    </w:p>
    <w:p w14:paraId="4993E849">
      <w:pPr>
        <w:shd w:val="clear"/>
        <w:adjustRightInd w:val="0"/>
        <w:snapToGrid w:val="0"/>
        <w:spacing w:line="288" w:lineRule="auto"/>
        <w:jc w:val="center"/>
        <w:rPr>
          <w:rFonts w:hint="eastAsia" w:ascii="仿宋" w:hAnsi="仿宋" w:eastAsia="仿宋" w:cs="仿宋"/>
          <w:b/>
          <w:bCs/>
          <w:color w:val="auto"/>
          <w:sz w:val="21"/>
          <w:szCs w:val="21"/>
          <w:highlight w:val="none"/>
        </w:rPr>
      </w:pPr>
    </w:p>
    <w:p w14:paraId="1D4F7B13">
      <w:pPr>
        <w:shd w:val="clear"/>
        <w:adjustRightInd w:val="0"/>
        <w:snapToGrid w:val="0"/>
        <w:spacing w:line="288" w:lineRule="auto"/>
        <w:jc w:val="center"/>
        <w:rPr>
          <w:rFonts w:hint="eastAsia" w:ascii="仿宋" w:hAnsi="仿宋" w:eastAsia="仿宋" w:cs="仿宋"/>
          <w:b/>
          <w:bCs/>
          <w:color w:val="auto"/>
          <w:sz w:val="21"/>
          <w:szCs w:val="21"/>
          <w:highlight w:val="none"/>
        </w:rPr>
      </w:pPr>
    </w:p>
    <w:p w14:paraId="5F9F1C05">
      <w:pPr>
        <w:shd w:val="clear"/>
        <w:adjustRightInd w:val="0"/>
        <w:snapToGrid w:val="0"/>
        <w:spacing w:line="288" w:lineRule="auto"/>
        <w:jc w:val="center"/>
        <w:rPr>
          <w:rFonts w:hint="eastAsia" w:ascii="仿宋" w:hAnsi="仿宋" w:eastAsia="仿宋" w:cs="仿宋"/>
          <w:b/>
          <w:bCs/>
          <w:color w:val="auto"/>
          <w:sz w:val="21"/>
          <w:szCs w:val="21"/>
          <w:highlight w:val="none"/>
        </w:rPr>
      </w:pPr>
      <w:bookmarkStart w:id="134" w:name="_Hlk94097338"/>
      <w:r>
        <w:rPr>
          <w:rFonts w:hint="eastAsia" w:ascii="仿宋" w:hAnsi="仿宋" w:eastAsia="仿宋" w:cs="仿宋"/>
          <w:b/>
          <w:bCs/>
          <w:color w:val="auto"/>
          <w:sz w:val="21"/>
          <w:szCs w:val="21"/>
          <w:highlight w:val="none"/>
        </w:rPr>
        <w:t>资格审查要求的资格证明材料(均需加盖公章)</w:t>
      </w:r>
      <w:bookmarkEnd w:id="134"/>
    </w:p>
    <w:p w14:paraId="51CAED3A">
      <w:pPr>
        <w:shd w:val="clear"/>
        <w:adjustRightInd w:val="0"/>
        <w:snapToGrid w:val="0"/>
        <w:spacing w:line="288" w:lineRule="auto"/>
        <w:rPr>
          <w:rFonts w:hint="eastAsia" w:ascii="仿宋" w:hAnsi="仿宋" w:eastAsia="仿宋" w:cs="仿宋"/>
          <w:color w:val="auto"/>
          <w:sz w:val="21"/>
          <w:szCs w:val="21"/>
          <w:highlight w:val="none"/>
        </w:rPr>
      </w:pPr>
    </w:p>
    <w:p w14:paraId="444F27AE">
      <w:pPr>
        <w:shd w:val="clear"/>
        <w:adjustRightInd w:val="0"/>
        <w:snapToGrid w:val="0"/>
        <w:spacing w:line="288" w:lineRule="auto"/>
        <w:jc w:val="center"/>
        <w:outlineLvl w:val="1"/>
        <w:rPr>
          <w:rFonts w:hint="eastAsia" w:ascii="仿宋" w:hAnsi="仿宋" w:eastAsia="仿宋" w:cs="仿宋"/>
          <w:b/>
          <w:bCs/>
          <w:color w:val="auto"/>
          <w:sz w:val="21"/>
          <w:szCs w:val="21"/>
          <w:highlight w:val="none"/>
          <w:shd w:val="clear" w:color="auto" w:fill="FFFFFF"/>
        </w:rPr>
      </w:pPr>
      <w:bookmarkStart w:id="135" w:name="_Toc21832"/>
      <w:r>
        <w:rPr>
          <w:rFonts w:hint="eastAsia" w:ascii="仿宋" w:hAnsi="仿宋" w:eastAsia="仿宋" w:cs="仿宋"/>
          <w:b/>
          <w:bCs/>
          <w:color w:val="auto"/>
          <w:sz w:val="21"/>
          <w:szCs w:val="21"/>
          <w:highlight w:val="none"/>
        </w:rPr>
        <w:br w:type="page"/>
      </w:r>
      <w:r>
        <w:rPr>
          <w:rFonts w:hint="eastAsia" w:ascii="仿宋" w:hAnsi="仿宋" w:eastAsia="仿宋" w:cs="仿宋"/>
          <w:b/>
          <w:bCs/>
          <w:color w:val="auto"/>
          <w:sz w:val="21"/>
          <w:szCs w:val="21"/>
          <w:highlight w:val="none"/>
        </w:rPr>
        <w:t>一</w:t>
      </w:r>
      <w:r>
        <w:rPr>
          <w:rFonts w:hint="eastAsia" w:ascii="仿宋" w:hAnsi="仿宋" w:eastAsia="仿宋" w:cs="仿宋"/>
          <w:color w:val="auto"/>
          <w:sz w:val="21"/>
          <w:szCs w:val="21"/>
          <w:highlight w:val="none"/>
        </w:rPr>
        <w:t>、</w:t>
      </w:r>
      <w:r>
        <w:rPr>
          <w:rFonts w:hint="eastAsia" w:ascii="仿宋" w:hAnsi="仿宋" w:eastAsia="仿宋" w:cs="仿宋"/>
          <w:b/>
          <w:bCs/>
          <w:color w:val="auto"/>
          <w:sz w:val="21"/>
          <w:szCs w:val="21"/>
          <w:highlight w:val="none"/>
        </w:rPr>
        <w:t>符合参加政府采购活动应当具备的一般条件的承诺函</w:t>
      </w:r>
      <w:bookmarkEnd w:id="135"/>
    </w:p>
    <w:p w14:paraId="5BCC03D6">
      <w:pPr>
        <w:shd w:val="clear"/>
        <w:adjustRightInd w:val="0"/>
        <w:snapToGrid w:val="0"/>
        <w:spacing w:line="288" w:lineRule="auto"/>
        <w:rPr>
          <w:rFonts w:hint="eastAsia" w:ascii="仿宋" w:hAnsi="仿宋" w:eastAsia="仿宋" w:cs="仿宋"/>
          <w:color w:val="auto"/>
          <w:sz w:val="21"/>
          <w:szCs w:val="21"/>
          <w:highlight w:val="none"/>
          <w:shd w:val="clear" w:color="auto" w:fill="FFFFFF"/>
        </w:rPr>
      </w:pPr>
    </w:p>
    <w:p w14:paraId="6920F0F2">
      <w:pPr>
        <w:shd w:val="clear"/>
        <w:adjustRightInd w:val="0"/>
        <w:snapToGrid w:val="0"/>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致：</w:t>
      </w:r>
      <w:r>
        <w:rPr>
          <w:rFonts w:hint="eastAsia" w:ascii="仿宋" w:hAnsi="仿宋" w:eastAsia="仿宋" w:cs="仿宋"/>
          <w:b/>
          <w:bCs/>
          <w:color w:val="auto"/>
          <w:sz w:val="21"/>
          <w:szCs w:val="21"/>
          <w:highlight w:val="none"/>
          <w:lang w:eastAsia="zh-CN"/>
        </w:rPr>
        <w:t>浙江万里学院</w:t>
      </w:r>
      <w:r>
        <w:rPr>
          <w:rFonts w:hint="eastAsia" w:ascii="仿宋" w:hAnsi="仿宋" w:eastAsia="仿宋" w:cs="仿宋"/>
          <w:b/>
          <w:bCs/>
          <w:color w:val="auto"/>
          <w:sz w:val="21"/>
          <w:szCs w:val="21"/>
          <w:highlight w:val="none"/>
        </w:rPr>
        <w:t>、浙江省成套招标代理有限公司：</w:t>
      </w:r>
    </w:p>
    <w:p w14:paraId="083DF12D">
      <w:pPr>
        <w:shd w:val="clear"/>
        <w:adjustRightInd w:val="0"/>
        <w:snapToGrid w:val="0"/>
        <w:spacing w:line="288" w:lineRule="auto"/>
        <w:rPr>
          <w:rFonts w:hint="eastAsia" w:ascii="仿宋" w:hAnsi="仿宋" w:eastAsia="仿宋" w:cs="仿宋"/>
          <w:color w:val="auto"/>
          <w:sz w:val="21"/>
          <w:szCs w:val="21"/>
          <w:highlight w:val="none"/>
        </w:rPr>
      </w:pPr>
    </w:p>
    <w:p w14:paraId="282EF7F8">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我方</w:t>
      </w:r>
      <w:r>
        <w:rPr>
          <w:rFonts w:hint="eastAsia" w:ascii="仿宋" w:hAnsi="仿宋" w:eastAsia="仿宋" w:cs="仿宋"/>
          <w:color w:val="auto"/>
          <w:sz w:val="21"/>
          <w:szCs w:val="21"/>
          <w:highlight w:val="none"/>
          <w:u w:val="single"/>
        </w:rPr>
        <w:t xml:space="preserve">（供应商名称）        </w:t>
      </w:r>
      <w:r>
        <w:rPr>
          <w:rFonts w:hint="eastAsia" w:ascii="仿宋" w:hAnsi="仿宋" w:eastAsia="仿宋" w:cs="仿宋"/>
          <w:color w:val="auto"/>
          <w:sz w:val="21"/>
          <w:szCs w:val="21"/>
          <w:highlight w:val="none"/>
        </w:rPr>
        <w:t>参加</w:t>
      </w:r>
      <w:r>
        <w:rPr>
          <w:rFonts w:hint="eastAsia" w:ascii="仿宋" w:hAnsi="仿宋" w:eastAsia="仿宋" w:cs="仿宋"/>
          <w:color w:val="auto"/>
          <w:sz w:val="21"/>
          <w:szCs w:val="21"/>
          <w:highlight w:val="none"/>
          <w:u w:val="single"/>
        </w:rPr>
        <w:t xml:space="preserve">（项目名称）        </w:t>
      </w:r>
      <w:r>
        <w:rPr>
          <w:rFonts w:hint="eastAsia" w:ascii="仿宋" w:hAnsi="仿宋" w:eastAsia="仿宋" w:cs="仿宋"/>
          <w:color w:val="auto"/>
          <w:sz w:val="21"/>
          <w:szCs w:val="21"/>
          <w:highlight w:val="none"/>
        </w:rPr>
        <w:t>项目的采购活动并承诺如下：</w:t>
      </w:r>
    </w:p>
    <w:p w14:paraId="4B745E98">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一、我方满足《中华人民共和国政府采购法》第二十二条规定：</w:t>
      </w:r>
    </w:p>
    <w:p w14:paraId="71F21E3C">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1、具有独立承担民事责任的能力。</w:t>
      </w:r>
    </w:p>
    <w:p w14:paraId="3023B3AA">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2、具有良好的商业信誉和健全的财务会计制度。</w:t>
      </w:r>
    </w:p>
    <w:p w14:paraId="7454A73B">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3、具有履行合同所必需的设备和专业技术能力。</w:t>
      </w:r>
    </w:p>
    <w:p w14:paraId="6D0CEA01">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4、有依法缴纳税收和社会保障资金的良好记录。</w:t>
      </w:r>
    </w:p>
    <w:p w14:paraId="20CB8C51">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5、参加本项目政府采购活动前三年内，在经营活动中</w:t>
      </w:r>
      <w:r>
        <w:rPr>
          <w:rFonts w:hint="eastAsia" w:ascii="仿宋" w:hAnsi="仿宋" w:eastAsia="仿宋" w:cs="仿宋"/>
          <w:b/>
          <w:bCs/>
          <w:color w:val="auto"/>
          <w:sz w:val="21"/>
          <w:szCs w:val="21"/>
          <w:highlight w:val="none"/>
          <w:u w:val="single"/>
        </w:rPr>
        <w:t xml:space="preserve">  没有  </w:t>
      </w:r>
      <w:r>
        <w:rPr>
          <w:rFonts w:hint="eastAsia" w:ascii="仿宋" w:hAnsi="仿宋" w:eastAsia="仿宋" w:cs="仿宋"/>
          <w:color w:val="auto"/>
          <w:sz w:val="21"/>
          <w:szCs w:val="21"/>
          <w:highlight w:val="none"/>
        </w:rPr>
        <w:t>重大违法记录（重大违法记录是指供应商因违法经营受到刑事处罚或者责令停产停业、吊销许可证或者执照、较大数额罚款等行政处罚）。</w:t>
      </w:r>
    </w:p>
    <w:p w14:paraId="4DCB0E85">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6、法律、行政法规规定的其他条件。</w:t>
      </w:r>
    </w:p>
    <w:p w14:paraId="59B2ED7A">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二、未被信用中国（www.creditchina.gov.cn)、中国政府采购网（www.ccgp.gov.cn）列入失信被执行人、重大税收违法案件当事人名单、政府采购严重违法失信行为记录名单。</w:t>
      </w:r>
    </w:p>
    <w:p w14:paraId="73866CC5">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三、不存在以下情况：</w:t>
      </w:r>
    </w:p>
    <w:p w14:paraId="78798226">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1、单位负责人为同一人或者存在直接控股、管理关系的不同供应商参加同一合同项下的政府采购活动的。</w:t>
      </w:r>
    </w:p>
    <w:p w14:paraId="548214DF">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2、为采购项目提供整体设计、规范编制或者项目管理、监理、检测等服务后再参加该采购项目的其他采购活动的。</w:t>
      </w:r>
    </w:p>
    <w:p w14:paraId="7DB84AD1">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四、以上事项如有虚假或隐瞒，我方愿意承担一切后果和责任。</w:t>
      </w:r>
    </w:p>
    <w:p w14:paraId="3F93908D">
      <w:pPr>
        <w:shd w:val="clear"/>
        <w:adjustRightInd w:val="0"/>
        <w:snapToGrid w:val="0"/>
        <w:spacing w:line="288" w:lineRule="auto"/>
        <w:rPr>
          <w:rFonts w:hint="eastAsia" w:ascii="仿宋" w:hAnsi="仿宋" w:eastAsia="仿宋" w:cs="仿宋"/>
          <w:color w:val="auto"/>
          <w:sz w:val="21"/>
          <w:szCs w:val="21"/>
          <w:highlight w:val="none"/>
        </w:rPr>
      </w:pPr>
    </w:p>
    <w:p w14:paraId="12B6F5BE">
      <w:pPr>
        <w:shd w:val="clear"/>
        <w:adjustRightInd w:val="0"/>
        <w:snapToGrid w:val="0"/>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供应商名称（电子签名/公章）：</w:t>
      </w:r>
    </w:p>
    <w:p w14:paraId="625C0A34">
      <w:pPr>
        <w:shd w:val="clear"/>
        <w:adjustRightInd w:val="0"/>
        <w:snapToGrid w:val="0"/>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日期：2025年  月  日</w:t>
      </w:r>
    </w:p>
    <w:p w14:paraId="18C3C0AA">
      <w:pPr>
        <w:widowControl/>
        <w:shd w:val="clear"/>
        <w:adjustRightInd w:val="0"/>
        <w:snapToGrid w:val="0"/>
        <w:spacing w:line="288" w:lineRule="auto"/>
        <w:jc w:val="left"/>
        <w:rPr>
          <w:rFonts w:hint="eastAsia" w:ascii="仿宋" w:hAnsi="仿宋" w:eastAsia="仿宋" w:cs="仿宋"/>
          <w:color w:val="auto"/>
          <w:sz w:val="21"/>
          <w:szCs w:val="21"/>
          <w:highlight w:val="none"/>
        </w:rPr>
      </w:pPr>
    </w:p>
    <w:p w14:paraId="5511B09D">
      <w:pPr>
        <w:widowControl/>
        <w:shd w:val="clear"/>
        <w:jc w:val="left"/>
        <w:rPr>
          <w:rFonts w:hint="eastAsia" w:ascii="仿宋" w:hAnsi="仿宋" w:eastAsia="仿宋" w:cs="仿宋"/>
          <w:b/>
          <w:color w:val="auto"/>
          <w:sz w:val="21"/>
          <w:szCs w:val="21"/>
          <w:highlight w:val="none"/>
        </w:rPr>
      </w:pPr>
      <w:bookmarkStart w:id="136" w:name="_Toc15019"/>
      <w:r>
        <w:rPr>
          <w:rFonts w:hint="eastAsia" w:ascii="仿宋" w:hAnsi="仿宋" w:eastAsia="仿宋" w:cs="仿宋"/>
          <w:b/>
          <w:color w:val="auto"/>
          <w:sz w:val="21"/>
          <w:szCs w:val="21"/>
          <w:highlight w:val="none"/>
        </w:rPr>
        <w:br w:type="page"/>
      </w:r>
    </w:p>
    <w:p w14:paraId="4A06A90F">
      <w:pPr>
        <w:shd w:val="clear"/>
        <w:adjustRightInd w:val="0"/>
        <w:snapToGrid w:val="0"/>
        <w:spacing w:line="276" w:lineRule="auto"/>
        <w:jc w:val="left"/>
        <w:outlineLvl w:val="1"/>
        <w:rPr>
          <w:rFonts w:hint="eastAsia" w:ascii="仿宋" w:hAnsi="仿宋" w:eastAsia="仿宋" w:cs="仿宋"/>
          <w:color w:val="auto"/>
          <w:highlight w:val="none"/>
          <w:lang w:eastAsia="zh-CN"/>
        </w:rPr>
      </w:pPr>
      <w:r>
        <w:rPr>
          <w:rFonts w:hint="eastAsia" w:ascii="仿宋" w:hAnsi="仿宋" w:eastAsia="仿宋" w:cs="仿宋"/>
          <w:b/>
          <w:color w:val="auto"/>
          <w:sz w:val="21"/>
          <w:szCs w:val="21"/>
          <w:highlight w:val="none"/>
        </w:rPr>
        <w:t>二</w:t>
      </w:r>
      <w:r>
        <w:rPr>
          <w:rFonts w:hint="eastAsia" w:ascii="仿宋" w:hAnsi="仿宋" w:eastAsia="仿宋" w:cs="仿宋"/>
          <w:color w:val="auto"/>
          <w:sz w:val="21"/>
          <w:szCs w:val="21"/>
          <w:highlight w:val="none"/>
        </w:rPr>
        <w:t>、</w:t>
      </w:r>
      <w:r>
        <w:rPr>
          <w:rFonts w:hint="eastAsia" w:ascii="仿宋" w:hAnsi="仿宋" w:eastAsia="仿宋" w:cs="仿宋"/>
          <w:b/>
          <w:color w:val="auto"/>
          <w:sz w:val="21"/>
          <w:szCs w:val="21"/>
          <w:highlight w:val="none"/>
        </w:rPr>
        <w:t>落实政府采购政策需满足的资格要求：</w:t>
      </w:r>
      <w:bookmarkEnd w:id="136"/>
      <w:r>
        <w:rPr>
          <w:rFonts w:hint="eastAsia" w:ascii="仿宋" w:hAnsi="仿宋" w:eastAsia="仿宋" w:cs="仿宋"/>
          <w:b/>
          <w:color w:val="auto"/>
          <w:sz w:val="21"/>
          <w:szCs w:val="21"/>
          <w:highlight w:val="none"/>
          <w:lang w:val="en-US" w:eastAsia="zh-CN"/>
        </w:rPr>
        <w:t>如有</w:t>
      </w:r>
      <w:r>
        <w:rPr>
          <w:rFonts w:hint="eastAsia" w:ascii="仿宋" w:hAnsi="仿宋" w:eastAsia="仿宋" w:cs="仿宋"/>
          <w:b/>
          <w:color w:val="auto"/>
          <w:sz w:val="21"/>
          <w:szCs w:val="21"/>
          <w:highlight w:val="none"/>
        </w:rPr>
        <w:t>。</w:t>
      </w:r>
    </w:p>
    <w:p w14:paraId="082DD902">
      <w:pPr>
        <w:shd w:val="clear"/>
        <w:adjustRightInd w:val="0"/>
        <w:snapToGrid w:val="0"/>
        <w:spacing w:line="276" w:lineRule="auto"/>
        <w:jc w:val="left"/>
        <w:outlineLvl w:val="1"/>
        <w:rPr>
          <w:rFonts w:hint="eastAsia" w:ascii="仿宋" w:hAnsi="仿宋" w:eastAsia="仿宋" w:cs="仿宋"/>
          <w:b/>
          <w:color w:val="auto"/>
          <w:sz w:val="21"/>
          <w:szCs w:val="21"/>
          <w:highlight w:val="none"/>
        </w:rPr>
      </w:pPr>
      <w:bookmarkStart w:id="137" w:name="_Toc23640"/>
      <w:r>
        <w:rPr>
          <w:rFonts w:hint="eastAsia" w:ascii="仿宋" w:hAnsi="仿宋" w:eastAsia="仿宋" w:cs="仿宋"/>
          <w:b/>
          <w:color w:val="auto"/>
          <w:sz w:val="21"/>
          <w:szCs w:val="21"/>
          <w:highlight w:val="none"/>
        </w:rPr>
        <w:t>三、本项目的特定资格要求证明材料：</w:t>
      </w:r>
      <w:bookmarkEnd w:id="137"/>
      <w:r>
        <w:rPr>
          <w:rFonts w:hint="eastAsia" w:ascii="仿宋" w:hAnsi="仿宋" w:eastAsia="仿宋" w:cs="仿宋"/>
          <w:b/>
          <w:color w:val="auto"/>
          <w:sz w:val="21"/>
          <w:szCs w:val="21"/>
          <w:highlight w:val="none"/>
          <w:lang w:val="en-US" w:eastAsia="zh-CN"/>
        </w:rPr>
        <w:t>如有</w:t>
      </w:r>
      <w:r>
        <w:rPr>
          <w:rFonts w:hint="eastAsia" w:ascii="仿宋" w:hAnsi="仿宋" w:eastAsia="仿宋" w:cs="仿宋"/>
          <w:b/>
          <w:color w:val="auto"/>
          <w:sz w:val="21"/>
          <w:szCs w:val="21"/>
          <w:highlight w:val="none"/>
        </w:rPr>
        <w:t>。</w:t>
      </w:r>
    </w:p>
    <w:p w14:paraId="3E320266">
      <w:pPr>
        <w:shd w:val="clear"/>
        <w:adjustRightInd w:val="0"/>
        <w:snapToGrid w:val="0"/>
        <w:spacing w:line="276" w:lineRule="auto"/>
        <w:jc w:val="left"/>
        <w:outlineLvl w:val="1"/>
        <w:rPr>
          <w:rFonts w:hint="eastAsia" w:ascii="仿宋" w:hAnsi="仿宋" w:eastAsia="仿宋" w:cs="仿宋"/>
          <w:color w:val="auto"/>
          <w:sz w:val="21"/>
          <w:szCs w:val="21"/>
          <w:highlight w:val="none"/>
        </w:rPr>
      </w:pPr>
      <w:bookmarkStart w:id="138" w:name="_Toc22219"/>
      <w:r>
        <w:rPr>
          <w:rFonts w:hint="eastAsia" w:ascii="仿宋" w:hAnsi="仿宋" w:eastAsia="仿宋" w:cs="仿宋"/>
          <w:b/>
          <w:color w:val="auto"/>
          <w:sz w:val="21"/>
          <w:szCs w:val="21"/>
          <w:highlight w:val="none"/>
        </w:rPr>
        <w:t>四、以联合体形式参加的，提供联合协议（附件2），联合各方须均为中小企业。供应商不以联合体形式响应的，则不需要提供（格式详见附件）。</w:t>
      </w:r>
      <w:bookmarkEnd w:id="138"/>
      <w:r>
        <w:rPr>
          <w:rFonts w:hint="eastAsia" w:ascii="仿宋" w:hAnsi="仿宋" w:eastAsia="仿宋" w:cs="仿宋"/>
          <w:b/>
          <w:color w:val="auto"/>
          <w:sz w:val="21"/>
          <w:szCs w:val="21"/>
          <w:highlight w:val="none"/>
        </w:rPr>
        <w:t>合同分包的，提供分包意向协议（附件3），分包意向协议中所有供应商须均为中小企业。采购人不同意分包或者供应商成交后不以分包方式履行合同的，则不需要提供（格式详见附件）。</w:t>
      </w:r>
      <w:r>
        <w:rPr>
          <w:rFonts w:hint="eastAsia" w:ascii="仿宋" w:hAnsi="仿宋" w:eastAsia="仿宋" w:cs="仿宋"/>
          <w:color w:val="auto"/>
          <w:sz w:val="21"/>
          <w:szCs w:val="21"/>
          <w:highlight w:val="none"/>
        </w:rPr>
        <w:br w:type="page"/>
      </w:r>
    </w:p>
    <w:p w14:paraId="4E24C9BC">
      <w:pPr>
        <w:shd w:val="clear"/>
        <w:adjustRightInd w:val="0"/>
        <w:snapToGrid w:val="0"/>
        <w:spacing w:line="288" w:lineRule="auto"/>
        <w:rPr>
          <w:rFonts w:hint="eastAsia" w:ascii="仿宋" w:hAnsi="仿宋" w:eastAsia="仿宋" w:cs="仿宋"/>
          <w:color w:val="auto"/>
          <w:highlight w:val="none"/>
        </w:rPr>
      </w:pPr>
    </w:p>
    <w:p w14:paraId="51A15C7B">
      <w:pPr>
        <w:shd w:val="clear"/>
        <w:adjustRightInd w:val="0"/>
        <w:snapToGrid w:val="0"/>
        <w:spacing w:line="288" w:lineRule="auto"/>
        <w:jc w:val="center"/>
        <w:outlineLvl w:val="1"/>
        <w:rPr>
          <w:rFonts w:hint="eastAsia" w:ascii="仿宋" w:hAnsi="仿宋" w:eastAsia="仿宋" w:cs="仿宋"/>
          <w:b/>
          <w:bCs/>
          <w:color w:val="auto"/>
          <w:sz w:val="84"/>
          <w:szCs w:val="84"/>
          <w:highlight w:val="none"/>
        </w:rPr>
      </w:pPr>
      <w:bookmarkStart w:id="139" w:name="_Toc7213"/>
      <w:bookmarkStart w:id="140" w:name="_Toc11709"/>
      <w:bookmarkStart w:id="141" w:name="_Toc9903"/>
      <w:r>
        <w:rPr>
          <w:rFonts w:hint="eastAsia" w:ascii="仿宋" w:hAnsi="仿宋" w:eastAsia="仿宋" w:cs="仿宋"/>
          <w:b/>
          <w:bCs/>
          <w:color w:val="auto"/>
          <w:sz w:val="84"/>
          <w:szCs w:val="84"/>
          <w:highlight w:val="none"/>
        </w:rPr>
        <w:t>报价文件</w:t>
      </w:r>
      <w:bookmarkEnd w:id="139"/>
      <w:bookmarkEnd w:id="140"/>
      <w:bookmarkEnd w:id="141"/>
    </w:p>
    <w:p w14:paraId="7F98B4E6">
      <w:pPr>
        <w:shd w:val="clear"/>
        <w:adjustRightInd w:val="0"/>
        <w:snapToGrid w:val="0"/>
        <w:spacing w:line="288" w:lineRule="auto"/>
        <w:rPr>
          <w:rFonts w:hint="eastAsia" w:ascii="仿宋" w:hAnsi="仿宋" w:eastAsia="仿宋" w:cs="仿宋"/>
          <w:color w:val="auto"/>
          <w:highlight w:val="none"/>
        </w:rPr>
      </w:pPr>
    </w:p>
    <w:p w14:paraId="01D4A8E5">
      <w:pPr>
        <w:shd w:val="clear"/>
        <w:adjustRightInd w:val="0"/>
        <w:snapToGrid w:val="0"/>
        <w:spacing w:line="288" w:lineRule="auto"/>
        <w:jc w:val="center"/>
        <w:outlineLvl w:val="1"/>
        <w:rPr>
          <w:rFonts w:hint="eastAsia" w:ascii="仿宋" w:hAnsi="仿宋" w:eastAsia="仿宋" w:cs="仿宋"/>
          <w:b/>
          <w:bCs/>
          <w:color w:val="auto"/>
          <w:sz w:val="21"/>
          <w:szCs w:val="21"/>
          <w:highlight w:val="none"/>
        </w:rPr>
      </w:pPr>
      <w:bookmarkStart w:id="142" w:name="_Toc290"/>
      <w:bookmarkStart w:id="143" w:name="_Toc9596"/>
      <w:bookmarkStart w:id="144" w:name="_Toc17160"/>
      <w:bookmarkStart w:id="145" w:name="_Toc20328"/>
      <w:r>
        <w:rPr>
          <w:rFonts w:hint="eastAsia" w:ascii="仿宋" w:hAnsi="仿宋" w:eastAsia="仿宋" w:cs="仿宋"/>
          <w:b/>
          <w:bCs/>
          <w:color w:val="auto"/>
          <w:sz w:val="21"/>
          <w:szCs w:val="21"/>
          <w:highlight w:val="none"/>
        </w:rPr>
        <w:br w:type="page"/>
      </w:r>
      <w:r>
        <w:rPr>
          <w:rFonts w:hint="eastAsia" w:ascii="仿宋" w:hAnsi="仿宋" w:eastAsia="仿宋" w:cs="仿宋"/>
          <w:b/>
          <w:bCs/>
          <w:color w:val="auto"/>
          <w:sz w:val="21"/>
          <w:szCs w:val="21"/>
          <w:highlight w:val="none"/>
        </w:rPr>
        <w:t>一、初次报价一览表</w:t>
      </w:r>
    </w:p>
    <w:p w14:paraId="065E7C57">
      <w:pPr>
        <w:shd w:val="clear"/>
        <w:adjustRightInd w:val="0"/>
        <w:snapToGrid w:val="0"/>
        <w:spacing w:line="288"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采 购 人：</w:t>
      </w:r>
      <w:r>
        <w:rPr>
          <w:rFonts w:hint="eastAsia" w:ascii="仿宋" w:hAnsi="仿宋" w:eastAsia="仿宋" w:cs="仿宋"/>
          <w:color w:val="auto"/>
          <w:sz w:val="21"/>
          <w:szCs w:val="21"/>
          <w:highlight w:val="none"/>
          <w:lang w:eastAsia="zh-CN"/>
        </w:rPr>
        <w:t>浙江万里学院</w:t>
      </w:r>
    </w:p>
    <w:p w14:paraId="0A5AE80E">
      <w:pPr>
        <w:shd w:val="clear"/>
        <w:adjustRightInd w:val="0"/>
        <w:snapToGrid w:val="0"/>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r>
        <w:rPr>
          <w:rFonts w:hint="eastAsia" w:ascii="仿宋" w:hAnsi="仿宋" w:eastAsia="仿宋" w:cs="仿宋"/>
          <w:color w:val="auto"/>
          <w:sz w:val="21"/>
          <w:szCs w:val="21"/>
          <w:highlight w:val="none"/>
          <w:lang w:eastAsia="zh-CN"/>
        </w:rPr>
        <w:t>金融数据库续建采购</w:t>
      </w:r>
    </w:p>
    <w:p w14:paraId="2A1F7C5B">
      <w:pPr>
        <w:shd w:val="clear"/>
        <w:adjustRightInd w:val="0"/>
        <w:snapToGrid w:val="0"/>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项目编号：</w:t>
      </w:r>
      <w:r>
        <w:rPr>
          <w:rFonts w:hint="eastAsia" w:ascii="仿宋" w:hAnsi="仿宋" w:eastAsia="仿宋" w:cs="仿宋"/>
          <w:color w:val="auto"/>
          <w:sz w:val="21"/>
          <w:szCs w:val="21"/>
          <w:highlight w:val="none"/>
          <w:lang w:eastAsia="zh-CN"/>
        </w:rPr>
        <w:t>CTZB-2025070077</w:t>
      </w:r>
      <w:r>
        <w:rPr>
          <w:rFonts w:hint="eastAsia" w:ascii="仿宋" w:hAnsi="仿宋" w:eastAsia="仿宋" w:cs="仿宋"/>
          <w:color w:val="auto"/>
          <w:sz w:val="21"/>
          <w:szCs w:val="21"/>
          <w:highlight w:val="none"/>
          <w:lang w:eastAsia="zh-CN"/>
        </w:rPr>
        <w:tab/>
      </w:r>
    </w:p>
    <w:tbl>
      <w:tblPr>
        <w:tblStyle w:val="28"/>
        <w:tblW w:w="0" w:type="auto"/>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677"/>
        <w:gridCol w:w="4258"/>
        <w:gridCol w:w="4567"/>
      </w:tblGrid>
      <w:tr w14:paraId="7703B823">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77" w:type="dxa"/>
            <w:shd w:val="clear" w:color="auto" w:fill="auto"/>
            <w:noWrap w:val="0"/>
            <w:vAlign w:val="center"/>
          </w:tcPr>
          <w:p w14:paraId="5A06DDF8">
            <w:pPr>
              <w:shd w:val="clear"/>
              <w:adjustRightInd w:val="0"/>
              <w:snapToGrid w:val="0"/>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4258" w:type="dxa"/>
            <w:shd w:val="clear" w:color="auto" w:fill="auto"/>
            <w:noWrap w:val="0"/>
            <w:vAlign w:val="center"/>
          </w:tcPr>
          <w:p w14:paraId="6B39EE60">
            <w:pPr>
              <w:shd w:val="clear"/>
              <w:adjustRightInd w:val="0"/>
              <w:snapToGrid w:val="0"/>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标项</w:t>
            </w:r>
            <w:r>
              <w:rPr>
                <w:rFonts w:hint="eastAsia" w:ascii="仿宋" w:hAnsi="仿宋" w:eastAsia="仿宋" w:cs="仿宋"/>
                <w:b/>
                <w:bCs/>
                <w:color w:val="auto"/>
                <w:sz w:val="21"/>
                <w:szCs w:val="21"/>
                <w:highlight w:val="none"/>
              </w:rPr>
              <w:t>名称</w:t>
            </w:r>
          </w:p>
        </w:tc>
        <w:tc>
          <w:tcPr>
            <w:tcW w:w="4567" w:type="dxa"/>
            <w:noWrap w:val="0"/>
            <w:vAlign w:val="center"/>
          </w:tcPr>
          <w:p w14:paraId="7A750F2D">
            <w:pPr>
              <w:shd w:val="clear"/>
              <w:adjustRightInd w:val="0"/>
              <w:snapToGrid w:val="0"/>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总价</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人民币/</w:t>
            </w:r>
            <w:r>
              <w:rPr>
                <w:rFonts w:hint="eastAsia" w:ascii="仿宋" w:hAnsi="仿宋" w:eastAsia="仿宋" w:cs="仿宋"/>
                <w:b/>
                <w:bCs/>
                <w:color w:val="auto"/>
                <w:sz w:val="21"/>
                <w:szCs w:val="21"/>
                <w:highlight w:val="none"/>
              </w:rPr>
              <w:t>元）</w:t>
            </w:r>
          </w:p>
        </w:tc>
      </w:tr>
      <w:tr w14:paraId="2FB6CFC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677" w:type="dxa"/>
            <w:shd w:val="clear" w:color="auto" w:fill="auto"/>
            <w:noWrap w:val="0"/>
            <w:vAlign w:val="center"/>
          </w:tcPr>
          <w:p w14:paraId="295EBD25">
            <w:pPr>
              <w:shd w:val="clear"/>
              <w:adjustRightInd w:val="0"/>
              <w:snapToGrid w:val="0"/>
              <w:spacing w:line="288" w:lineRule="auto"/>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1</w:t>
            </w:r>
          </w:p>
        </w:tc>
        <w:tc>
          <w:tcPr>
            <w:tcW w:w="4258" w:type="dxa"/>
            <w:shd w:val="clear" w:color="auto" w:fill="auto"/>
            <w:noWrap w:val="0"/>
            <w:vAlign w:val="center"/>
          </w:tcPr>
          <w:p w14:paraId="367B72EA">
            <w:pPr>
              <w:shd w:val="clear"/>
              <w:adjustRightInd w:val="0"/>
              <w:snapToGrid w:val="0"/>
              <w:spacing w:line="288" w:lineRule="auto"/>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eastAsia="zh-CN"/>
              </w:rPr>
              <w:t>金融数据库续建采购</w:t>
            </w:r>
          </w:p>
        </w:tc>
        <w:tc>
          <w:tcPr>
            <w:tcW w:w="4567" w:type="dxa"/>
            <w:noWrap w:val="0"/>
            <w:vAlign w:val="center"/>
          </w:tcPr>
          <w:p w14:paraId="729DEA02">
            <w:pPr>
              <w:shd w:val="clear"/>
              <w:adjustRightInd w:val="0"/>
              <w:snapToGrid w:val="0"/>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小写：_________________________</w:t>
            </w:r>
          </w:p>
          <w:p w14:paraId="40E2BAFC">
            <w:pPr>
              <w:shd w:val="clear"/>
              <w:adjustRightInd w:val="0"/>
              <w:snapToGrid w:val="0"/>
              <w:spacing w:line="288" w:lineRule="auto"/>
              <w:rPr>
                <w:rFonts w:hint="eastAsia" w:ascii="仿宋" w:hAnsi="仿宋" w:eastAsia="仿宋" w:cs="仿宋"/>
                <w:b/>
                <w:bCs/>
                <w:color w:val="auto"/>
                <w:sz w:val="21"/>
                <w:szCs w:val="21"/>
                <w:highlight w:val="none"/>
              </w:rPr>
            </w:pPr>
          </w:p>
          <w:p w14:paraId="154EDDEF">
            <w:pPr>
              <w:shd w:val="clear"/>
              <w:adjustRightInd w:val="0"/>
              <w:snapToGrid w:val="0"/>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大写：_________________________</w:t>
            </w:r>
          </w:p>
        </w:tc>
      </w:tr>
      <w:tr w14:paraId="3AFB100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9502" w:type="dxa"/>
            <w:gridSpan w:val="3"/>
            <w:noWrap w:val="0"/>
            <w:vAlign w:val="center"/>
          </w:tcPr>
          <w:p w14:paraId="69766763">
            <w:pPr>
              <w:shd w:val="clear"/>
              <w:adjustRightInd w:val="0"/>
              <w:snapToGrid w:val="0"/>
              <w:spacing w:line="288" w:lineRule="auto"/>
              <w:jc w:val="left"/>
              <w:rPr>
                <w:rFonts w:hint="eastAsia" w:ascii="仿宋" w:hAnsi="仿宋" w:eastAsia="仿宋" w:cs="仿宋"/>
                <w:b/>
                <w:bCs/>
                <w:color w:val="auto"/>
                <w:sz w:val="21"/>
                <w:szCs w:val="21"/>
                <w:highlight w:val="none"/>
              </w:rPr>
            </w:pPr>
            <w:r>
              <w:rPr>
                <w:rFonts w:hint="eastAsia" w:ascii="仿宋" w:hAnsi="仿宋" w:eastAsia="仿宋" w:cs="仿宋"/>
                <w:b/>
                <w:color w:val="auto"/>
                <w:sz w:val="21"/>
                <w:szCs w:val="21"/>
                <w:highlight w:val="none"/>
              </w:rPr>
              <w:t>说明：</w:t>
            </w:r>
            <w:r>
              <w:rPr>
                <w:rFonts w:hint="eastAsia" w:ascii="仿宋" w:hAnsi="仿宋" w:eastAsia="仿宋" w:cs="仿宋"/>
                <w:bCs/>
                <w:color w:val="auto"/>
                <w:sz w:val="21"/>
                <w:szCs w:val="21"/>
                <w:highlight w:val="none"/>
                <w:lang w:val="zh-CN"/>
              </w:rPr>
              <w:t>有关本项目实施所涉及的一切费用均计入报价。合同总价不为零，采购人将以合同形式有偿取得货物或服务，不接受供应商给予的赠品、回扣或者与采购无关的其他商品、服务。</w:t>
            </w:r>
          </w:p>
        </w:tc>
      </w:tr>
    </w:tbl>
    <w:p w14:paraId="7E7D530A">
      <w:pPr>
        <w:shd w:val="clear"/>
        <w:adjustRightInd w:val="0"/>
        <w:snapToGrid w:val="0"/>
        <w:spacing w:line="288" w:lineRule="auto"/>
        <w:rPr>
          <w:rFonts w:hint="eastAsia" w:ascii="仿宋" w:hAnsi="仿宋" w:eastAsia="仿宋" w:cs="仿宋"/>
          <w:color w:val="auto"/>
          <w:sz w:val="21"/>
          <w:szCs w:val="21"/>
          <w:highlight w:val="none"/>
          <w:lang w:val="en-US" w:eastAsia="zh-CN"/>
        </w:rPr>
      </w:pPr>
    </w:p>
    <w:p w14:paraId="7310C662">
      <w:pPr>
        <w:shd w:val="clear"/>
        <w:adjustRightInd w:val="0"/>
        <w:snapToGrid w:val="0"/>
        <w:spacing w:line="288" w:lineRule="auto"/>
        <w:rPr>
          <w:rFonts w:hint="eastAsia" w:ascii="仿宋" w:hAnsi="仿宋" w:eastAsia="仿宋" w:cs="仿宋"/>
          <w:bCs/>
          <w:color w:val="auto"/>
          <w:sz w:val="21"/>
          <w:szCs w:val="21"/>
          <w:highlight w:val="none"/>
        </w:rPr>
      </w:pPr>
    </w:p>
    <w:p w14:paraId="6DA13A43">
      <w:pPr>
        <w:shd w:val="clear"/>
        <w:adjustRightInd w:val="0"/>
        <w:snapToGrid w:val="0"/>
        <w:spacing w:line="288" w:lineRule="auto"/>
        <w:rPr>
          <w:rFonts w:hint="eastAsia" w:ascii="仿宋" w:hAnsi="仿宋" w:eastAsia="仿宋" w:cs="仿宋"/>
          <w:bCs/>
          <w:color w:val="auto"/>
          <w:sz w:val="21"/>
          <w:szCs w:val="21"/>
          <w:highlight w:val="none"/>
        </w:rPr>
      </w:pPr>
    </w:p>
    <w:p w14:paraId="6ABF94B3">
      <w:pPr>
        <w:shd w:val="clear"/>
        <w:adjustRightInd w:val="0"/>
        <w:snapToGrid w:val="0"/>
        <w:spacing w:line="288" w:lineRule="auto"/>
        <w:rPr>
          <w:rFonts w:hint="eastAsia" w:ascii="仿宋" w:hAnsi="仿宋" w:eastAsia="仿宋" w:cs="仿宋"/>
          <w:bCs/>
          <w:color w:val="auto"/>
          <w:sz w:val="21"/>
          <w:szCs w:val="21"/>
          <w:highlight w:val="none"/>
        </w:rPr>
      </w:pPr>
    </w:p>
    <w:p w14:paraId="1DE4C3FB">
      <w:pPr>
        <w:shd w:val="clear"/>
        <w:adjustRightInd w:val="0"/>
        <w:snapToGrid w:val="0"/>
        <w:spacing w:line="288" w:lineRule="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供应商名称（电子签名/公章）：</w:t>
      </w:r>
    </w:p>
    <w:p w14:paraId="5E6BD8E7">
      <w:pPr>
        <w:shd w:val="clear"/>
        <w:adjustRightInd w:val="0"/>
        <w:snapToGrid w:val="0"/>
        <w:spacing w:line="288" w:lineRule="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日期：</w:t>
      </w:r>
      <w:r>
        <w:rPr>
          <w:rFonts w:hint="eastAsia" w:ascii="仿宋" w:hAnsi="仿宋" w:eastAsia="仿宋" w:cs="仿宋"/>
          <w:b/>
          <w:bCs/>
          <w:color w:val="auto"/>
          <w:sz w:val="21"/>
          <w:szCs w:val="21"/>
          <w:highlight w:val="none"/>
        </w:rPr>
        <w:t>2025年  月  日</w:t>
      </w:r>
    </w:p>
    <w:p w14:paraId="3EBC4401">
      <w:pPr>
        <w:shd w:val="clear"/>
        <w:rPr>
          <w:rFonts w:hint="eastAsia" w:ascii="仿宋" w:hAnsi="仿宋" w:eastAsia="仿宋" w:cs="仿宋"/>
          <w:bCs/>
          <w:color w:val="auto"/>
          <w:sz w:val="21"/>
          <w:szCs w:val="21"/>
          <w:highlight w:val="none"/>
        </w:rPr>
      </w:pPr>
    </w:p>
    <w:p w14:paraId="1F1DB32F">
      <w:pPr>
        <w:shd w:val="clear"/>
        <w:rPr>
          <w:rFonts w:hint="eastAsia" w:ascii="仿宋" w:hAnsi="仿宋" w:eastAsia="仿宋" w:cs="仿宋"/>
          <w:bCs/>
          <w:color w:val="auto"/>
          <w:sz w:val="21"/>
          <w:szCs w:val="21"/>
          <w:highlight w:val="none"/>
        </w:rPr>
      </w:pPr>
    </w:p>
    <w:p w14:paraId="54B05A48">
      <w:pPr>
        <w:shd w:val="clear"/>
        <w:rPr>
          <w:rFonts w:hint="eastAsia" w:ascii="仿宋" w:hAnsi="仿宋" w:eastAsia="仿宋" w:cs="仿宋"/>
          <w:bCs/>
          <w:color w:val="auto"/>
          <w:sz w:val="21"/>
          <w:szCs w:val="21"/>
          <w:highlight w:val="none"/>
        </w:rPr>
      </w:pPr>
    </w:p>
    <w:p w14:paraId="69DFE797">
      <w:pPr>
        <w:shd w:val="clear"/>
        <w:adjustRightInd w:val="0"/>
        <w:snapToGrid w:val="0"/>
        <w:spacing w:line="276" w:lineRule="auto"/>
        <w:outlineLvl w:val="1"/>
        <w:rPr>
          <w:rFonts w:hint="eastAsia" w:ascii="仿宋" w:hAnsi="仿宋" w:eastAsia="仿宋" w:cs="仿宋"/>
          <w:b/>
          <w:color w:val="auto"/>
          <w:sz w:val="21"/>
          <w:szCs w:val="21"/>
          <w:highlight w:val="none"/>
        </w:rPr>
      </w:pPr>
      <w:r>
        <w:rPr>
          <w:rFonts w:hint="eastAsia" w:ascii="仿宋" w:hAnsi="仿宋" w:eastAsia="仿宋" w:cs="仿宋"/>
          <w:b/>
          <w:bCs/>
          <w:color w:val="auto"/>
          <w:sz w:val="21"/>
          <w:szCs w:val="21"/>
          <w:highlight w:val="none"/>
        </w:rPr>
        <w:br w:type="page"/>
      </w:r>
      <w:r>
        <w:rPr>
          <w:rFonts w:hint="eastAsia" w:ascii="仿宋" w:hAnsi="仿宋" w:eastAsia="仿宋" w:cs="仿宋"/>
          <w:b/>
          <w:color w:val="auto"/>
          <w:sz w:val="21"/>
          <w:szCs w:val="21"/>
          <w:highlight w:val="none"/>
        </w:rPr>
        <w:t>二</w:t>
      </w:r>
      <w:r>
        <w:rPr>
          <w:rFonts w:hint="eastAsia" w:ascii="仿宋" w:hAnsi="仿宋" w:eastAsia="仿宋" w:cs="仿宋"/>
          <w:color w:val="auto"/>
          <w:sz w:val="21"/>
          <w:szCs w:val="21"/>
          <w:highlight w:val="none"/>
        </w:rPr>
        <w:t>、</w:t>
      </w:r>
      <w:r>
        <w:rPr>
          <w:rFonts w:hint="eastAsia" w:ascii="仿宋" w:hAnsi="仿宋" w:eastAsia="仿宋" w:cs="仿宋"/>
          <w:b/>
          <w:color w:val="auto"/>
          <w:sz w:val="21"/>
          <w:szCs w:val="21"/>
          <w:highlight w:val="none"/>
        </w:rPr>
        <w:t xml:space="preserve">落实政府采购政策需满足的资格要求： </w:t>
      </w:r>
    </w:p>
    <w:p w14:paraId="0AB27AAA">
      <w:pPr>
        <w:shd w:val="clear"/>
        <w:adjustRightInd w:val="0"/>
        <w:snapToGrid w:val="0"/>
        <w:spacing w:line="288" w:lineRule="auto"/>
        <w:ind w:firstLine="498" w:firstLineChars="236"/>
        <w:jc w:val="center"/>
        <w:outlineLvl w:val="2"/>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（1）中小企业声明函（服务）（若属于中小企业）</w:t>
      </w:r>
    </w:p>
    <w:p w14:paraId="0A6604CC">
      <w:pPr>
        <w:shd w:val="clear"/>
        <w:adjustRightInd w:val="0"/>
        <w:snapToGrid w:val="0"/>
        <w:spacing w:line="288" w:lineRule="auto"/>
        <w:ind w:firstLine="498" w:firstLineChars="236"/>
        <w:rPr>
          <w:rFonts w:hint="eastAsia" w:ascii="仿宋" w:hAnsi="仿宋" w:eastAsia="仿宋" w:cs="仿宋"/>
          <w:b/>
          <w:color w:val="auto"/>
          <w:sz w:val="21"/>
          <w:szCs w:val="21"/>
          <w:highlight w:val="none"/>
        </w:rPr>
      </w:pPr>
    </w:p>
    <w:p w14:paraId="22266C68">
      <w:pPr>
        <w:shd w:val="clear"/>
        <w:adjustRightInd w:val="0"/>
        <w:snapToGrid w:val="0"/>
        <w:spacing w:line="288" w:lineRule="auto"/>
        <w:ind w:firstLine="495" w:firstLineChars="23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本公司（联合体）郑重声明，根据《政府采购促进中小企业发展管理办法》（财库﹝2020﹞46 号）的规定，本公司（联合体）参加</w:t>
      </w:r>
      <w:r>
        <w:rPr>
          <w:rFonts w:hint="eastAsia" w:ascii="仿宋" w:hAnsi="仿宋" w:eastAsia="仿宋" w:cs="仿宋"/>
          <w:color w:val="auto"/>
          <w:sz w:val="21"/>
          <w:szCs w:val="21"/>
          <w:highlight w:val="none"/>
          <w:u w:val="single"/>
          <w:lang w:eastAsia="zh-CN"/>
        </w:rPr>
        <w:t>浙江万里学院</w:t>
      </w:r>
      <w:r>
        <w:rPr>
          <w:rFonts w:hint="eastAsia" w:ascii="仿宋" w:hAnsi="仿宋" w:eastAsia="仿宋" w:cs="仿宋"/>
          <w:color w:val="auto"/>
          <w:sz w:val="21"/>
          <w:szCs w:val="21"/>
          <w:highlight w:val="none"/>
        </w:rPr>
        <w:t>的</w:t>
      </w:r>
      <w:r>
        <w:rPr>
          <w:rFonts w:hint="eastAsia" w:ascii="仿宋" w:hAnsi="仿宋" w:eastAsia="仿宋" w:cs="仿宋"/>
          <w:color w:val="auto"/>
          <w:sz w:val="21"/>
          <w:szCs w:val="21"/>
          <w:highlight w:val="none"/>
          <w:u w:val="single"/>
          <w:lang w:eastAsia="zh-CN"/>
        </w:rPr>
        <w:t>金融数据库续建采购</w:t>
      </w:r>
      <w:r>
        <w:rPr>
          <w:rFonts w:hint="eastAsia" w:ascii="仿宋" w:hAnsi="仿宋" w:eastAsia="仿宋" w:cs="仿宋"/>
          <w:color w:val="auto"/>
          <w:sz w:val="21"/>
          <w:szCs w:val="21"/>
          <w:highlight w:val="none"/>
          <w:u w:val="none"/>
        </w:rPr>
        <w:t>项目</w:t>
      </w:r>
      <w:r>
        <w:rPr>
          <w:rFonts w:hint="eastAsia" w:ascii="仿宋" w:hAnsi="仿宋" w:eastAsia="仿宋" w:cs="仿宋"/>
          <w:color w:val="auto"/>
          <w:sz w:val="21"/>
          <w:szCs w:val="21"/>
          <w:highlight w:val="none"/>
        </w:rPr>
        <w:t>采购活动，服务全部由符合政策要求的中小企业承接。相关企业（含联合体中的中小企业、签订分包意向协议的中小企业）的具体情况如下：</w:t>
      </w:r>
    </w:p>
    <w:p w14:paraId="2164AA67">
      <w:pPr>
        <w:shd w:val="clear"/>
        <w:adjustRightInd w:val="0"/>
        <w:snapToGrid w:val="0"/>
        <w:spacing w:line="288" w:lineRule="auto"/>
        <w:ind w:firstLine="495" w:firstLineChars="23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1.</w:t>
      </w:r>
      <w:r>
        <w:rPr>
          <w:rFonts w:hint="eastAsia" w:ascii="仿宋" w:hAnsi="仿宋" w:eastAsia="仿宋" w:cs="仿宋"/>
          <w:color w:val="auto"/>
          <w:highlight w:val="none"/>
        </w:rPr>
        <w:t xml:space="preserve"> </w:t>
      </w:r>
      <w:r>
        <w:rPr>
          <w:rFonts w:hint="eastAsia" w:ascii="仿宋" w:hAnsi="仿宋" w:eastAsia="仿宋" w:cs="仿宋"/>
          <w:color w:val="auto"/>
          <w:sz w:val="21"/>
          <w:szCs w:val="21"/>
          <w:highlight w:val="none"/>
          <w:u w:val="single"/>
          <w:lang w:eastAsia="zh-CN"/>
        </w:rPr>
        <w:t>金融数据库续建采购</w:t>
      </w:r>
      <w:r>
        <w:rPr>
          <w:rFonts w:hint="eastAsia" w:ascii="仿宋" w:hAnsi="仿宋" w:eastAsia="仿宋" w:cs="仿宋"/>
          <w:color w:val="auto"/>
          <w:sz w:val="21"/>
          <w:szCs w:val="21"/>
          <w:highlight w:val="none"/>
          <w:u w:val="none"/>
        </w:rPr>
        <w:t>项目，属于</w:t>
      </w:r>
      <w:r>
        <w:rPr>
          <w:rFonts w:hint="eastAsia" w:ascii="仿宋" w:hAnsi="仿宋" w:eastAsia="仿宋" w:cs="仿宋"/>
          <w:color w:val="auto"/>
          <w:sz w:val="21"/>
          <w:szCs w:val="21"/>
          <w:highlight w:val="none"/>
          <w:u w:val="single"/>
        </w:rPr>
        <w:t>软件和信息技术服务业；</w:t>
      </w:r>
      <w:r>
        <w:rPr>
          <w:rFonts w:hint="eastAsia" w:ascii="仿宋" w:hAnsi="仿宋" w:eastAsia="仿宋" w:cs="仿宋"/>
          <w:color w:val="auto"/>
          <w:sz w:val="21"/>
          <w:szCs w:val="21"/>
          <w:highlight w:val="none"/>
        </w:rPr>
        <w:t>承接企业为</w:t>
      </w:r>
      <w:r>
        <w:rPr>
          <w:rFonts w:hint="eastAsia" w:ascii="仿宋" w:hAnsi="仿宋" w:eastAsia="仿宋" w:cs="仿宋"/>
          <w:color w:val="auto"/>
          <w:sz w:val="21"/>
          <w:szCs w:val="21"/>
          <w:highlight w:val="none"/>
          <w:u w:val="single"/>
        </w:rPr>
        <w:t>（企业名称）</w:t>
      </w:r>
      <w:r>
        <w:rPr>
          <w:rFonts w:hint="eastAsia" w:ascii="仿宋" w:hAnsi="仿宋" w:eastAsia="仿宋" w:cs="仿宋"/>
          <w:color w:val="auto"/>
          <w:sz w:val="21"/>
          <w:szCs w:val="21"/>
          <w:highlight w:val="none"/>
        </w:rPr>
        <w:t>，从业人员</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人，营业收入为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万元，资产总额为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ab/>
      </w:r>
      <w:r>
        <w:rPr>
          <w:rFonts w:hint="eastAsia" w:ascii="仿宋" w:hAnsi="仿宋" w:eastAsia="仿宋" w:cs="仿宋"/>
          <w:color w:val="auto"/>
          <w:sz w:val="21"/>
          <w:szCs w:val="21"/>
          <w:highlight w:val="none"/>
        </w:rPr>
        <w:t>万元，属于</w:t>
      </w:r>
      <w:r>
        <w:rPr>
          <w:rFonts w:hint="eastAsia" w:ascii="仿宋" w:hAnsi="仿宋" w:eastAsia="仿宋" w:cs="仿宋"/>
          <w:color w:val="auto"/>
          <w:sz w:val="21"/>
          <w:szCs w:val="21"/>
          <w:highlight w:val="none"/>
          <w:u w:val="single"/>
        </w:rPr>
        <w:t>（中型企业、小型企业、微型企业）。</w:t>
      </w:r>
    </w:p>
    <w:p w14:paraId="2DFBCEFA">
      <w:pPr>
        <w:shd w:val="clear"/>
        <w:adjustRightInd w:val="0"/>
        <w:snapToGrid w:val="0"/>
        <w:spacing w:line="288" w:lineRule="auto"/>
        <w:ind w:firstLine="495" w:firstLineChars="23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以上企业，不属于大企业的分支机构，不存在控股股东为大企业的情形，也不存在与大企业的负责人为同一人的情形。</w:t>
      </w:r>
    </w:p>
    <w:p w14:paraId="2ECEA73B">
      <w:pPr>
        <w:shd w:val="clear"/>
        <w:adjustRightInd w:val="0"/>
        <w:snapToGrid w:val="0"/>
        <w:spacing w:line="288" w:lineRule="auto"/>
        <w:ind w:firstLine="495" w:firstLineChars="23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本企业对上述声明内容的真实性负责。如有虚假，将依法承担相应责任。</w:t>
      </w:r>
    </w:p>
    <w:p w14:paraId="649254AD">
      <w:pPr>
        <w:shd w:val="clear"/>
        <w:adjustRightInd w:val="0"/>
        <w:snapToGrid w:val="0"/>
        <w:spacing w:line="288" w:lineRule="auto"/>
        <w:ind w:firstLine="495" w:firstLineChars="23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企业名称（盖章）：</w:t>
      </w:r>
    </w:p>
    <w:p w14:paraId="0CC2F0E2">
      <w:pPr>
        <w:shd w:val="clear"/>
        <w:adjustRightInd w:val="0"/>
        <w:snapToGrid w:val="0"/>
        <w:spacing w:line="288" w:lineRule="auto"/>
        <w:ind w:firstLine="495" w:firstLineChars="23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p>
    <w:p w14:paraId="190A4983">
      <w:pPr>
        <w:shd w:val="clear"/>
        <w:adjustRightInd w:val="0"/>
        <w:snapToGrid w:val="0"/>
        <w:spacing w:line="288" w:lineRule="auto"/>
        <w:ind w:firstLine="495" w:firstLineChars="236"/>
        <w:rPr>
          <w:rFonts w:hint="eastAsia" w:ascii="仿宋" w:hAnsi="仿宋" w:eastAsia="仿宋" w:cs="仿宋"/>
          <w:color w:val="auto"/>
          <w:sz w:val="21"/>
          <w:szCs w:val="21"/>
          <w:highlight w:val="none"/>
        </w:rPr>
      </w:pPr>
    </w:p>
    <w:p w14:paraId="65DB8275">
      <w:pPr>
        <w:shd w:val="clear"/>
        <w:adjustRightInd w:val="0"/>
        <w:snapToGrid w:val="0"/>
        <w:spacing w:line="288" w:lineRule="auto"/>
        <w:ind w:firstLine="495" w:firstLineChars="23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14:paraId="0400ADF9">
      <w:pPr>
        <w:shd w:val="clear"/>
        <w:adjustRightInd w:val="0"/>
        <w:snapToGrid w:val="0"/>
        <w:spacing w:line="288" w:lineRule="auto"/>
        <w:ind w:firstLine="495" w:firstLineChars="23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1.从业人员、营业收入、资产总额填报上一年度数据，无上一年度数据的新成立企业可不填报。</w:t>
      </w:r>
    </w:p>
    <w:p w14:paraId="77E3DEA5">
      <w:pPr>
        <w:shd w:val="clear"/>
        <w:adjustRightInd w:val="0"/>
        <w:snapToGrid w:val="0"/>
        <w:spacing w:line="288" w:lineRule="auto"/>
        <w:ind w:firstLine="495" w:firstLineChars="23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2.中小企业参加政府采购活动，应当出具财库〔2020〕46号文件规定的《中小企业声明函》，否则不得享受相关中小企业扶持政策。</w:t>
      </w:r>
    </w:p>
    <w:p w14:paraId="191722E5">
      <w:pPr>
        <w:shd w:val="clear"/>
        <w:adjustRightInd w:val="0"/>
        <w:snapToGrid w:val="0"/>
        <w:spacing w:line="288" w:lineRule="auto"/>
        <w:ind w:firstLine="495" w:firstLineChars="23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3.本项目仅以《中小企业声明函》作为评判供应商是否属于中小企业的唯一依据。</w:t>
      </w:r>
    </w:p>
    <w:p w14:paraId="075347EC">
      <w:pPr>
        <w:shd w:val="clear"/>
        <w:adjustRightInd w:val="0"/>
        <w:snapToGrid w:val="0"/>
        <w:spacing w:line="288" w:lineRule="auto"/>
        <w:ind w:firstLine="495" w:firstLineChars="236"/>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4.供应商提供《中小企业声明函》内容不实的，属于提供虚假材料谋取中标、成交，依照《中华人民共和国政府采购法》等国家有关规定追究相应责任。</w:t>
      </w:r>
    </w:p>
    <w:p w14:paraId="1FDC6219">
      <w:pPr>
        <w:shd w:val="clear"/>
        <w:adjustRightInd w:val="0"/>
        <w:snapToGrid w:val="0"/>
        <w:spacing w:line="288" w:lineRule="auto"/>
        <w:ind w:firstLine="495" w:firstLineChars="236"/>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t>5.《中小企业声明函》填写不全（从业人员、营业收入、资产总额在中小企业划型标准规定中不涉及的除外），或未按照《中小企业声明函》要求填写的，视为未提供《中小企业声明函》，</w:t>
      </w:r>
      <w:r>
        <w:rPr>
          <w:rFonts w:hint="eastAsia" w:ascii="仿宋" w:hAnsi="仿宋" w:eastAsia="仿宋" w:cs="仿宋"/>
          <w:color w:val="auto"/>
          <w:sz w:val="21"/>
          <w:szCs w:val="22"/>
          <w:highlight w:val="none"/>
          <w:u w:val="single"/>
        </w:rPr>
        <w:t>不享受中</w:t>
      </w:r>
      <w:r>
        <w:rPr>
          <w:rFonts w:hint="eastAsia" w:ascii="仿宋" w:hAnsi="仿宋" w:eastAsia="仿宋" w:cs="仿宋"/>
          <w:color w:val="auto"/>
          <w:sz w:val="21"/>
          <w:szCs w:val="21"/>
          <w:highlight w:val="none"/>
          <w:u w:val="single"/>
        </w:rPr>
        <w:t>小企业扶持政策。</w:t>
      </w:r>
    </w:p>
    <w:p w14:paraId="1F7EAD1E">
      <w:pPr>
        <w:shd w:val="clear"/>
        <w:adjustRightInd w:val="0"/>
        <w:snapToGrid w:val="0"/>
        <w:spacing w:line="288" w:lineRule="auto"/>
        <w:ind w:firstLine="495" w:firstLineChars="236"/>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t>6.如项目包含“多件”标的物的，需按标的物项数逐项填写。</w:t>
      </w:r>
    </w:p>
    <w:p w14:paraId="171D52B3">
      <w:pPr>
        <w:widowControl/>
        <w:shd w:val="clear"/>
        <w:adjustRightInd w:val="0"/>
        <w:snapToGrid w:val="0"/>
        <w:spacing w:line="288" w:lineRule="auto"/>
        <w:ind w:firstLine="469" w:firstLineChars="236"/>
        <w:jc w:val="center"/>
        <w:outlineLvl w:val="2"/>
        <w:rPr>
          <w:rFonts w:hint="eastAsia" w:ascii="仿宋" w:hAnsi="仿宋" w:eastAsia="仿宋" w:cs="仿宋"/>
          <w:color w:val="auto"/>
          <w:kern w:val="0"/>
          <w:sz w:val="21"/>
          <w:szCs w:val="21"/>
          <w:highlight w:val="none"/>
        </w:rPr>
      </w:pPr>
      <w:r>
        <w:rPr>
          <w:rFonts w:hint="eastAsia" w:ascii="仿宋" w:hAnsi="仿宋" w:eastAsia="仿宋" w:cs="仿宋"/>
          <w:b/>
          <w:color w:val="auto"/>
          <w:spacing w:val="-6"/>
          <w:sz w:val="21"/>
          <w:szCs w:val="21"/>
          <w:highlight w:val="none"/>
        </w:rPr>
        <w:br w:type="page"/>
      </w:r>
      <w:r>
        <w:rPr>
          <w:rFonts w:hint="eastAsia" w:ascii="仿宋" w:hAnsi="仿宋" w:eastAsia="仿宋" w:cs="仿宋"/>
          <w:b/>
          <w:bCs/>
          <w:color w:val="auto"/>
          <w:sz w:val="21"/>
          <w:szCs w:val="21"/>
          <w:highlight w:val="none"/>
        </w:rPr>
        <w:t>（2）</w:t>
      </w:r>
      <w:r>
        <w:rPr>
          <w:rFonts w:hint="eastAsia" w:ascii="仿宋" w:hAnsi="仿宋" w:eastAsia="仿宋" w:cs="仿宋"/>
          <w:b/>
          <w:color w:val="auto"/>
          <w:spacing w:val="-6"/>
          <w:sz w:val="21"/>
          <w:szCs w:val="21"/>
          <w:highlight w:val="none"/>
        </w:rPr>
        <w:t>属于监狱企业的证明文件（若属于监狱企业）</w:t>
      </w:r>
    </w:p>
    <w:p w14:paraId="0062B61F">
      <w:pPr>
        <w:shd w:val="clear"/>
        <w:adjustRightInd w:val="0"/>
        <w:snapToGrid w:val="0"/>
        <w:spacing w:line="288" w:lineRule="auto"/>
        <w:rPr>
          <w:rFonts w:hint="eastAsia" w:ascii="仿宋" w:hAnsi="仿宋" w:eastAsia="仿宋" w:cs="仿宋"/>
          <w:color w:val="auto"/>
          <w:kern w:val="0"/>
          <w:sz w:val="21"/>
          <w:szCs w:val="21"/>
          <w:highlight w:val="none"/>
        </w:rPr>
      </w:pPr>
    </w:p>
    <w:p w14:paraId="28DF9408">
      <w:pPr>
        <w:shd w:val="clear"/>
        <w:adjustRightInd w:val="0"/>
        <w:snapToGrid w:val="0"/>
        <w:spacing w:line="288" w:lineRule="auto"/>
        <w:ind w:firstLine="373" w:firstLineChars="177"/>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rPr>
        <w:t>监狱企业参加政府采购活动时，应当提供由省级以上监狱管理局、戒毒管理局（含新疆生产建设兵团）出具的属于监狱企业的证明文件。</w:t>
      </w:r>
    </w:p>
    <w:p w14:paraId="0ABD699D">
      <w:pPr>
        <w:shd w:val="clear"/>
        <w:adjustRightInd w:val="0"/>
        <w:snapToGrid w:val="0"/>
        <w:spacing w:line="288" w:lineRule="auto"/>
        <w:rPr>
          <w:rFonts w:hint="eastAsia" w:ascii="仿宋" w:hAnsi="仿宋" w:eastAsia="仿宋" w:cs="仿宋"/>
          <w:color w:val="auto"/>
          <w:sz w:val="21"/>
          <w:szCs w:val="21"/>
          <w:highlight w:val="none"/>
        </w:rPr>
      </w:pPr>
    </w:p>
    <w:p w14:paraId="70D19566">
      <w:pPr>
        <w:shd w:val="clear"/>
        <w:adjustRightInd w:val="0"/>
        <w:snapToGrid w:val="0"/>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说明：</w:t>
      </w:r>
    </w:p>
    <w:p w14:paraId="1960B519">
      <w:pPr>
        <w:widowControl/>
        <w:shd w:val="clear" w:color="auto"/>
        <w:adjustRightInd w:val="0"/>
        <w:snapToGrid w:val="0"/>
        <w:spacing w:line="288" w:lineRule="auto"/>
        <w:ind w:firstLine="371" w:firstLineChars="177"/>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21733D2">
      <w:pPr>
        <w:widowControl/>
        <w:shd w:val="clear" w:color="auto"/>
        <w:adjustRightInd w:val="0"/>
        <w:snapToGrid w:val="0"/>
        <w:spacing w:line="288" w:lineRule="auto"/>
        <w:ind w:firstLine="371" w:firstLineChars="177"/>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二、在政府采购活动中，监狱企业视同小型、微型企业，享受预留份额、评审中价格扣除等政府采购促进中小企业发展的政府采购政策。</w:t>
      </w:r>
    </w:p>
    <w:p w14:paraId="4582BDE4">
      <w:pPr>
        <w:widowControl/>
        <w:shd w:val="clear"/>
        <w:adjustRightInd w:val="0"/>
        <w:snapToGrid w:val="0"/>
        <w:spacing w:line="288" w:lineRule="auto"/>
        <w:jc w:val="center"/>
        <w:outlineLvl w:val="2"/>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br w:type="page"/>
      </w:r>
      <w:r>
        <w:rPr>
          <w:rFonts w:hint="eastAsia" w:ascii="仿宋" w:hAnsi="仿宋" w:eastAsia="仿宋" w:cs="仿宋"/>
          <w:b/>
          <w:color w:val="auto"/>
          <w:spacing w:val="-6"/>
          <w:sz w:val="21"/>
          <w:szCs w:val="21"/>
          <w:highlight w:val="none"/>
        </w:rPr>
        <w:t>（3）残疾人福利性单位声明函（若属于残疾人福利性单位）</w:t>
      </w:r>
    </w:p>
    <w:p w14:paraId="75F82934">
      <w:pPr>
        <w:shd w:val="clear"/>
        <w:adjustRightInd w:val="0"/>
        <w:snapToGrid w:val="0"/>
        <w:spacing w:line="288" w:lineRule="auto"/>
        <w:rPr>
          <w:rFonts w:hint="eastAsia" w:ascii="仿宋" w:hAnsi="仿宋" w:eastAsia="仿宋" w:cs="仿宋"/>
          <w:b/>
          <w:color w:val="auto"/>
          <w:spacing w:val="6"/>
          <w:sz w:val="21"/>
          <w:szCs w:val="21"/>
          <w:highlight w:val="none"/>
        </w:rPr>
      </w:pPr>
    </w:p>
    <w:p w14:paraId="2327D2C7">
      <w:pPr>
        <w:shd w:val="clear"/>
        <w:adjustRightInd w:val="0"/>
        <w:snapToGrid w:val="0"/>
        <w:spacing w:line="288" w:lineRule="auto"/>
        <w:ind w:firstLine="444"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本单位郑重声明，根据《财政部 民政部 中国残疾人联合会关于促进残疾人就业政府采购政策的通知》（财库</w:t>
      </w:r>
      <w:r>
        <w:rPr>
          <w:rFonts w:hint="eastAsia" w:ascii="仿宋" w:hAnsi="仿宋" w:eastAsia="仿宋" w:cs="仿宋"/>
          <w:color w:val="auto"/>
          <w:sz w:val="21"/>
          <w:szCs w:val="21"/>
          <w:highlight w:val="none"/>
        </w:rPr>
        <w:t>〔2017〕 141</w:t>
      </w:r>
      <w:r>
        <w:rPr>
          <w:rFonts w:hint="eastAsia" w:ascii="仿宋" w:hAnsi="仿宋" w:eastAsia="仿宋" w:cs="仿宋"/>
          <w:color w:val="auto"/>
          <w:spacing w:val="6"/>
          <w:sz w:val="21"/>
          <w:szCs w:val="21"/>
          <w:highlight w:val="none"/>
        </w:rPr>
        <w:t>号）的规定，</w:t>
      </w:r>
      <w:r>
        <w:rPr>
          <w:rFonts w:hint="eastAsia" w:ascii="仿宋" w:hAnsi="仿宋" w:eastAsia="仿宋" w:cs="仿宋"/>
          <w:b/>
          <w:bCs/>
          <w:color w:val="auto"/>
          <w:spacing w:val="6"/>
          <w:sz w:val="21"/>
          <w:szCs w:val="21"/>
          <w:highlight w:val="none"/>
        </w:rPr>
        <w:t>本单位为符合条件的残疾人福利性单位</w:t>
      </w:r>
      <w:r>
        <w:rPr>
          <w:rFonts w:hint="eastAsia" w:ascii="仿宋" w:hAnsi="仿宋" w:eastAsia="仿宋" w:cs="仿宋"/>
          <w:color w:val="auto"/>
          <w:spacing w:val="6"/>
          <w:sz w:val="21"/>
          <w:szCs w:val="21"/>
          <w:highlight w:val="none"/>
        </w:rPr>
        <w:t>，且本单位参加______（采购人）单位的______（项目名称）项目采购活动提供本单位服务。</w:t>
      </w:r>
    </w:p>
    <w:p w14:paraId="4918C125">
      <w:pPr>
        <w:shd w:val="clear"/>
        <w:adjustRightInd w:val="0"/>
        <w:snapToGrid w:val="0"/>
        <w:spacing w:line="288" w:lineRule="auto"/>
        <w:ind w:firstLine="444"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本单位对上述声明的真实性负责。如有虚假，将依法承担相应责任。</w:t>
      </w:r>
    </w:p>
    <w:p w14:paraId="3D2FC2A7">
      <w:pPr>
        <w:shd w:val="clear"/>
        <w:tabs>
          <w:tab w:val="left" w:pos="4860"/>
        </w:tabs>
        <w:adjustRightInd w:val="0"/>
        <w:snapToGrid w:val="0"/>
        <w:spacing w:line="288" w:lineRule="auto"/>
        <w:ind w:right="1560" w:firstLine="444" w:firstLineChars="200"/>
        <w:rPr>
          <w:rFonts w:hint="eastAsia" w:ascii="仿宋" w:hAnsi="仿宋" w:eastAsia="仿宋" w:cs="仿宋"/>
          <w:color w:val="auto"/>
          <w:spacing w:val="6"/>
          <w:sz w:val="21"/>
          <w:szCs w:val="21"/>
          <w:highlight w:val="none"/>
        </w:rPr>
      </w:pPr>
    </w:p>
    <w:p w14:paraId="1B123253">
      <w:pPr>
        <w:shd w:val="clear"/>
        <w:tabs>
          <w:tab w:val="left" w:pos="4860"/>
        </w:tabs>
        <w:adjustRightInd w:val="0"/>
        <w:snapToGrid w:val="0"/>
        <w:spacing w:line="288" w:lineRule="auto"/>
        <w:ind w:right="1560" w:firstLine="446" w:firstLineChars="200"/>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供应商名称（电子签名/公章）：</w:t>
      </w:r>
    </w:p>
    <w:p w14:paraId="138614CD">
      <w:pPr>
        <w:shd w:val="clear"/>
        <w:tabs>
          <w:tab w:val="left" w:pos="4860"/>
        </w:tabs>
        <w:adjustRightInd w:val="0"/>
        <w:snapToGrid w:val="0"/>
        <w:spacing w:line="288" w:lineRule="auto"/>
        <w:ind w:right="1560" w:firstLine="446" w:firstLineChars="200"/>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日  期：</w:t>
      </w:r>
      <w:r>
        <w:rPr>
          <w:rFonts w:hint="eastAsia" w:ascii="仿宋" w:hAnsi="仿宋" w:eastAsia="仿宋" w:cs="仿宋"/>
          <w:b/>
          <w:bCs/>
          <w:color w:val="auto"/>
          <w:sz w:val="21"/>
          <w:szCs w:val="21"/>
          <w:highlight w:val="none"/>
        </w:rPr>
        <w:t>2025年  月  日</w:t>
      </w:r>
    </w:p>
    <w:p w14:paraId="531897F8">
      <w:pPr>
        <w:shd w:val="clear"/>
        <w:adjustRightInd w:val="0"/>
        <w:snapToGrid w:val="0"/>
        <w:spacing w:line="288" w:lineRule="auto"/>
        <w:rPr>
          <w:rFonts w:hint="eastAsia" w:ascii="仿宋" w:hAnsi="仿宋" w:eastAsia="仿宋" w:cs="仿宋"/>
          <w:color w:val="auto"/>
          <w:sz w:val="21"/>
          <w:szCs w:val="21"/>
          <w:highlight w:val="none"/>
        </w:rPr>
      </w:pPr>
    </w:p>
    <w:p w14:paraId="11CD0D14">
      <w:pPr>
        <w:shd w:val="clear"/>
        <w:adjustRightInd w:val="0"/>
        <w:snapToGrid w:val="0"/>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说明：</w:t>
      </w:r>
    </w:p>
    <w:p w14:paraId="49D14AC9">
      <w:pPr>
        <w:widowControl/>
        <w:shd w:val="clear" w:color="auto"/>
        <w:adjustRightInd w:val="0"/>
        <w:snapToGrid w:val="0"/>
        <w:spacing w:line="288" w:lineRule="auto"/>
        <w:ind w:firstLine="371" w:firstLineChars="177"/>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一、享受政府采购支持政策的残疾人福利性单位应当同时满足以下条件：</w:t>
      </w:r>
    </w:p>
    <w:p w14:paraId="789A8168">
      <w:pPr>
        <w:widowControl/>
        <w:shd w:val="clear" w:color="auto"/>
        <w:adjustRightInd w:val="0"/>
        <w:snapToGrid w:val="0"/>
        <w:spacing w:line="288" w:lineRule="auto"/>
        <w:ind w:firstLine="371" w:firstLineChars="177"/>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（一）安置的残疾人占本单位在职职工人数的比例不低于25%（含25%），并且安置的残疾人人数不少于10人（含10人）；</w:t>
      </w:r>
    </w:p>
    <w:p w14:paraId="434876E3">
      <w:pPr>
        <w:widowControl/>
        <w:shd w:val="clear" w:color="auto"/>
        <w:adjustRightInd w:val="0"/>
        <w:snapToGrid w:val="0"/>
        <w:spacing w:line="288" w:lineRule="auto"/>
        <w:ind w:firstLine="371" w:firstLineChars="177"/>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（二）依法与安置的每位残疾人签订了一年以上（含一年）的劳动合同或服务协议；</w:t>
      </w:r>
    </w:p>
    <w:p w14:paraId="407D5D74">
      <w:pPr>
        <w:widowControl/>
        <w:shd w:val="clear" w:color="auto"/>
        <w:adjustRightInd w:val="0"/>
        <w:snapToGrid w:val="0"/>
        <w:spacing w:line="288" w:lineRule="auto"/>
        <w:ind w:firstLine="371" w:firstLineChars="177"/>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（三）为安置的每位残疾人按月足额缴纳了基本养老保险、基本医疗保险、失业保险、工伤保险和生育保险等社会保险费；</w:t>
      </w:r>
    </w:p>
    <w:p w14:paraId="6AF1E993">
      <w:pPr>
        <w:widowControl/>
        <w:shd w:val="clear" w:color="auto"/>
        <w:adjustRightInd w:val="0"/>
        <w:snapToGrid w:val="0"/>
        <w:spacing w:line="288" w:lineRule="auto"/>
        <w:ind w:firstLine="371" w:firstLineChars="177"/>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（四）通过银行等金融机构向安置的每位残疾人，按月支付了不低于单位所在区县适用的经省级人民政府批准的月最低工资标准的工资；</w:t>
      </w:r>
    </w:p>
    <w:p w14:paraId="60EEA111">
      <w:pPr>
        <w:widowControl/>
        <w:shd w:val="clear" w:color="auto"/>
        <w:adjustRightInd w:val="0"/>
        <w:snapToGrid w:val="0"/>
        <w:spacing w:line="288" w:lineRule="auto"/>
        <w:ind w:firstLine="371" w:firstLineChars="177"/>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（五）提供本单位制造的货物、承担的工程或者服务（以下简称产品），或者提供其他残疾人福利性单位制造的货物（不包括使用非残疾人福利性单位注册商标的货物）。</w:t>
      </w:r>
    </w:p>
    <w:p w14:paraId="261C2808">
      <w:pPr>
        <w:widowControl/>
        <w:shd w:val="clear" w:color="auto"/>
        <w:adjustRightInd w:val="0"/>
        <w:snapToGrid w:val="0"/>
        <w:spacing w:line="288" w:lineRule="auto"/>
        <w:ind w:firstLine="371" w:firstLineChars="177"/>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2EEB23B">
      <w:pPr>
        <w:widowControl/>
        <w:shd w:val="clear" w:color="auto"/>
        <w:adjustRightInd w:val="0"/>
        <w:snapToGrid w:val="0"/>
        <w:spacing w:line="288" w:lineRule="auto"/>
        <w:ind w:firstLine="371" w:firstLineChars="177"/>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二、符合条件的残疾人福利性单位在参加政府采购活动时，应当提供财库[2017]141号文件规定的《残疾人福利性单位声明函》，并对声明的真实性负责。</w:t>
      </w:r>
    </w:p>
    <w:p w14:paraId="14221FD7">
      <w:pPr>
        <w:widowControl/>
        <w:shd w:val="clear" w:color="auto"/>
        <w:adjustRightInd w:val="0"/>
        <w:snapToGrid w:val="0"/>
        <w:spacing w:line="288" w:lineRule="auto"/>
        <w:ind w:firstLine="371" w:firstLineChars="177"/>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三、在政府采购活动中，残疾人福利性单位视同小型、微型企业，享受预留份额、评审中价格扣除等促进中小企业发展的政府采购政策。</w:t>
      </w:r>
    </w:p>
    <w:p w14:paraId="5CA61C6A">
      <w:pPr>
        <w:widowControl/>
        <w:shd w:val="clear" w:color="auto"/>
        <w:adjustRightInd w:val="0"/>
        <w:snapToGrid w:val="0"/>
        <w:spacing w:line="288" w:lineRule="auto"/>
        <w:ind w:firstLine="371" w:firstLineChars="177"/>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注：残疾人福利性单位属于小型、微型企业的，不重复享受政策。</w:t>
      </w:r>
    </w:p>
    <w:p w14:paraId="4CC57B61">
      <w:pPr>
        <w:pStyle w:val="10"/>
        <w:shd w:val="clear"/>
        <w:rPr>
          <w:rFonts w:hint="eastAsia" w:ascii="仿宋" w:hAnsi="仿宋" w:eastAsia="仿宋" w:cs="仿宋"/>
          <w:color w:val="auto"/>
          <w:highlight w:val="none"/>
        </w:rPr>
      </w:pPr>
    </w:p>
    <w:p w14:paraId="71B91CB9">
      <w:pPr>
        <w:shd w:val="clear"/>
        <w:adjustRightInd w:val="0"/>
        <w:snapToGrid w:val="0"/>
        <w:spacing w:line="288" w:lineRule="auto"/>
        <w:jc w:val="center"/>
        <w:outlineLvl w:val="1"/>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三、报价情况说明（如有）</w:t>
      </w:r>
    </w:p>
    <w:p w14:paraId="1B6C3A40">
      <w:pPr>
        <w:pStyle w:val="84"/>
        <w:keepNext w:val="0"/>
        <w:pageBreakBefore w:val="0"/>
        <w:shd w:val="clear"/>
        <w:tabs>
          <w:tab w:val="clear" w:pos="720"/>
        </w:tabs>
        <w:snapToGrid w:val="0"/>
        <w:spacing w:before="120" w:after="120"/>
        <w:ind w:firstLine="643"/>
        <w:jc w:val="left"/>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如供应商最后报价低于项目预算50%的，应当提交文本文档，详细阐述不影响产品质量或者诚信履约的具体原因。</w:t>
      </w:r>
    </w:p>
    <w:p w14:paraId="1A457348">
      <w:pPr>
        <w:shd w:val="clear"/>
        <w:rPr>
          <w:rFonts w:hint="eastAsia" w:ascii="仿宋" w:hAnsi="仿宋" w:eastAsia="仿宋" w:cs="仿宋"/>
          <w:bCs/>
          <w:color w:val="auto"/>
          <w:sz w:val="21"/>
          <w:szCs w:val="21"/>
          <w:highlight w:val="none"/>
        </w:rPr>
      </w:pPr>
    </w:p>
    <w:p w14:paraId="02F83969">
      <w:pPr>
        <w:shd w:val="clear"/>
        <w:rPr>
          <w:rFonts w:hint="eastAsia" w:ascii="仿宋" w:hAnsi="仿宋" w:eastAsia="仿宋" w:cs="仿宋"/>
          <w:color w:val="auto"/>
          <w:highlight w:val="none"/>
        </w:rPr>
      </w:pPr>
    </w:p>
    <w:bookmarkEnd w:id="142"/>
    <w:bookmarkEnd w:id="143"/>
    <w:bookmarkEnd w:id="144"/>
    <w:bookmarkEnd w:id="145"/>
    <w:p w14:paraId="379F7627">
      <w:pPr>
        <w:shd w:val="clear"/>
        <w:rPr>
          <w:rFonts w:hint="eastAsia" w:ascii="仿宋" w:hAnsi="仿宋" w:eastAsia="仿宋" w:cs="仿宋"/>
          <w:b/>
          <w:color w:val="auto"/>
          <w:sz w:val="21"/>
          <w:szCs w:val="21"/>
          <w:highlight w:val="none"/>
        </w:rPr>
      </w:pPr>
      <w:bookmarkStart w:id="146" w:name="_Toc8603"/>
      <w:bookmarkStart w:id="147" w:name="_Toc3484"/>
      <w:bookmarkStart w:id="148" w:name="_Toc6428"/>
    </w:p>
    <w:p w14:paraId="76ACF880">
      <w:pPr>
        <w:shd w:val="clear"/>
        <w:adjustRightInd w:val="0"/>
        <w:snapToGrid w:val="0"/>
        <w:spacing w:line="288" w:lineRule="auto"/>
        <w:ind w:firstLine="498" w:firstLineChars="236"/>
        <w:jc w:val="center"/>
        <w:outlineLvl w:val="1"/>
        <w:rPr>
          <w:rFonts w:hint="eastAsia" w:ascii="仿宋" w:hAnsi="仿宋" w:eastAsia="仿宋" w:cs="仿宋"/>
          <w:b/>
          <w:color w:val="auto"/>
          <w:sz w:val="21"/>
          <w:szCs w:val="21"/>
          <w:highlight w:val="none"/>
        </w:rPr>
      </w:pPr>
      <w:r>
        <w:rPr>
          <w:rFonts w:hint="eastAsia" w:ascii="仿宋" w:hAnsi="仿宋" w:eastAsia="仿宋" w:cs="仿宋"/>
          <w:b/>
          <w:bCs/>
          <w:color w:val="auto"/>
          <w:sz w:val="21"/>
          <w:szCs w:val="21"/>
          <w:highlight w:val="none"/>
        </w:rPr>
        <w:br w:type="page"/>
      </w:r>
    </w:p>
    <w:p w14:paraId="08FE6317">
      <w:pPr>
        <w:shd w:val="clear"/>
        <w:rPr>
          <w:rFonts w:hint="eastAsia" w:ascii="仿宋" w:hAnsi="仿宋" w:eastAsia="仿宋" w:cs="仿宋"/>
          <w:b/>
          <w:color w:val="auto"/>
          <w:sz w:val="21"/>
          <w:szCs w:val="21"/>
          <w:highlight w:val="none"/>
        </w:rPr>
      </w:pPr>
    </w:p>
    <w:p w14:paraId="64DB3389">
      <w:pPr>
        <w:shd w:val="clear"/>
        <w:rPr>
          <w:rFonts w:hint="eastAsia" w:ascii="仿宋" w:hAnsi="仿宋" w:eastAsia="仿宋" w:cs="仿宋"/>
          <w:b/>
          <w:color w:val="auto"/>
          <w:sz w:val="21"/>
          <w:szCs w:val="21"/>
          <w:highlight w:val="none"/>
        </w:rPr>
      </w:pPr>
    </w:p>
    <w:p w14:paraId="22170493">
      <w:pPr>
        <w:shd w:val="clear"/>
        <w:rPr>
          <w:rFonts w:hint="eastAsia" w:ascii="仿宋" w:hAnsi="仿宋" w:eastAsia="仿宋" w:cs="仿宋"/>
          <w:b/>
          <w:color w:val="auto"/>
          <w:sz w:val="21"/>
          <w:szCs w:val="21"/>
          <w:highlight w:val="none"/>
        </w:rPr>
      </w:pPr>
    </w:p>
    <w:p w14:paraId="16D4E02A">
      <w:pPr>
        <w:shd w:val="clear"/>
        <w:rPr>
          <w:rFonts w:hint="eastAsia" w:ascii="仿宋" w:hAnsi="仿宋" w:eastAsia="仿宋" w:cs="仿宋"/>
          <w:b/>
          <w:color w:val="auto"/>
          <w:sz w:val="21"/>
          <w:szCs w:val="21"/>
          <w:highlight w:val="none"/>
        </w:rPr>
      </w:pPr>
    </w:p>
    <w:p w14:paraId="23CD452A">
      <w:pPr>
        <w:shd w:val="clear"/>
        <w:rPr>
          <w:rFonts w:hint="eastAsia" w:ascii="仿宋" w:hAnsi="仿宋" w:eastAsia="仿宋" w:cs="仿宋"/>
          <w:b/>
          <w:color w:val="auto"/>
          <w:sz w:val="21"/>
          <w:szCs w:val="21"/>
          <w:highlight w:val="none"/>
        </w:rPr>
      </w:pPr>
    </w:p>
    <w:p w14:paraId="18AF5A24">
      <w:pPr>
        <w:shd w:val="clear"/>
        <w:rPr>
          <w:rFonts w:hint="eastAsia" w:ascii="仿宋" w:hAnsi="仿宋" w:eastAsia="仿宋" w:cs="仿宋"/>
          <w:b/>
          <w:color w:val="auto"/>
          <w:sz w:val="21"/>
          <w:szCs w:val="21"/>
          <w:highlight w:val="none"/>
        </w:rPr>
      </w:pPr>
    </w:p>
    <w:p w14:paraId="4AAD4358">
      <w:pPr>
        <w:shd w:val="clear"/>
        <w:rPr>
          <w:rFonts w:hint="eastAsia" w:ascii="仿宋" w:hAnsi="仿宋" w:eastAsia="仿宋" w:cs="仿宋"/>
          <w:b/>
          <w:color w:val="auto"/>
          <w:sz w:val="21"/>
          <w:szCs w:val="21"/>
          <w:highlight w:val="none"/>
        </w:rPr>
      </w:pPr>
    </w:p>
    <w:p w14:paraId="2D6DBC0F">
      <w:pPr>
        <w:shd w:val="clear"/>
        <w:rPr>
          <w:rFonts w:hint="eastAsia" w:ascii="仿宋" w:hAnsi="仿宋" w:eastAsia="仿宋" w:cs="仿宋"/>
          <w:b/>
          <w:color w:val="auto"/>
          <w:sz w:val="21"/>
          <w:szCs w:val="21"/>
          <w:highlight w:val="none"/>
        </w:rPr>
      </w:pPr>
    </w:p>
    <w:p w14:paraId="2CE0A383">
      <w:pPr>
        <w:shd w:val="clear"/>
        <w:rPr>
          <w:rFonts w:hint="eastAsia" w:ascii="仿宋" w:hAnsi="仿宋" w:eastAsia="仿宋" w:cs="仿宋"/>
          <w:b/>
          <w:color w:val="auto"/>
          <w:sz w:val="21"/>
          <w:szCs w:val="21"/>
          <w:highlight w:val="none"/>
        </w:rPr>
      </w:pPr>
    </w:p>
    <w:p w14:paraId="56A14B4A">
      <w:pPr>
        <w:shd w:val="clear"/>
        <w:rPr>
          <w:rFonts w:hint="eastAsia" w:ascii="仿宋" w:hAnsi="仿宋" w:eastAsia="仿宋" w:cs="仿宋"/>
          <w:b/>
          <w:color w:val="auto"/>
          <w:sz w:val="21"/>
          <w:szCs w:val="21"/>
          <w:highlight w:val="none"/>
        </w:rPr>
      </w:pPr>
    </w:p>
    <w:p w14:paraId="14E1396D">
      <w:pPr>
        <w:shd w:val="clear"/>
        <w:rPr>
          <w:rFonts w:hint="eastAsia" w:ascii="仿宋" w:hAnsi="仿宋" w:eastAsia="仿宋" w:cs="仿宋"/>
          <w:b/>
          <w:color w:val="auto"/>
          <w:sz w:val="21"/>
          <w:szCs w:val="21"/>
          <w:highlight w:val="none"/>
        </w:rPr>
      </w:pPr>
    </w:p>
    <w:p w14:paraId="295F9859">
      <w:pPr>
        <w:shd w:val="clear"/>
        <w:rPr>
          <w:rFonts w:hint="eastAsia" w:ascii="仿宋" w:hAnsi="仿宋" w:eastAsia="仿宋" w:cs="仿宋"/>
          <w:b/>
          <w:color w:val="auto"/>
          <w:sz w:val="21"/>
          <w:szCs w:val="21"/>
          <w:highlight w:val="none"/>
        </w:rPr>
      </w:pPr>
    </w:p>
    <w:p w14:paraId="1ECCC4A1">
      <w:pPr>
        <w:shd w:val="clear"/>
        <w:jc w:val="center"/>
        <w:outlineLvl w:val="1"/>
        <w:rPr>
          <w:rFonts w:hint="eastAsia" w:ascii="仿宋" w:hAnsi="仿宋" w:eastAsia="仿宋" w:cs="仿宋"/>
          <w:b/>
          <w:bCs/>
          <w:color w:val="auto"/>
          <w:sz w:val="84"/>
          <w:szCs w:val="84"/>
          <w:highlight w:val="none"/>
        </w:rPr>
      </w:pPr>
      <w:r>
        <w:rPr>
          <w:rFonts w:hint="eastAsia" w:ascii="仿宋" w:hAnsi="仿宋" w:eastAsia="仿宋" w:cs="仿宋"/>
          <w:b/>
          <w:bCs/>
          <w:color w:val="auto"/>
          <w:sz w:val="84"/>
          <w:szCs w:val="84"/>
          <w:highlight w:val="none"/>
        </w:rPr>
        <w:t>商务技术文件</w:t>
      </w:r>
      <w:bookmarkEnd w:id="146"/>
      <w:bookmarkEnd w:id="147"/>
      <w:bookmarkEnd w:id="148"/>
    </w:p>
    <w:p w14:paraId="3A162EC2">
      <w:pPr>
        <w:shd w:val="clear"/>
        <w:adjustRightInd w:val="0"/>
        <w:snapToGrid w:val="0"/>
        <w:spacing w:line="288" w:lineRule="auto"/>
        <w:rPr>
          <w:rFonts w:hint="eastAsia" w:ascii="仿宋" w:hAnsi="仿宋" w:eastAsia="仿宋" w:cs="仿宋"/>
          <w:color w:val="auto"/>
          <w:highlight w:val="none"/>
        </w:rPr>
      </w:pPr>
    </w:p>
    <w:p w14:paraId="3C56E43A">
      <w:pPr>
        <w:shd w:val="clear"/>
        <w:adjustRightInd w:val="0"/>
        <w:snapToGrid w:val="0"/>
        <w:spacing w:line="288" w:lineRule="auto"/>
        <w:jc w:val="center"/>
        <w:outlineLvl w:val="1"/>
        <w:rPr>
          <w:rFonts w:hint="eastAsia" w:ascii="仿宋" w:hAnsi="仿宋" w:eastAsia="仿宋" w:cs="仿宋"/>
          <w:b/>
          <w:bCs/>
          <w:color w:val="auto"/>
          <w:sz w:val="21"/>
          <w:szCs w:val="21"/>
          <w:highlight w:val="none"/>
        </w:rPr>
      </w:pPr>
      <w:bookmarkStart w:id="149" w:name="_Toc31700"/>
      <w:r>
        <w:rPr>
          <w:rFonts w:hint="eastAsia" w:ascii="仿宋" w:hAnsi="仿宋" w:eastAsia="仿宋" w:cs="仿宋"/>
          <w:b/>
          <w:bCs/>
          <w:color w:val="auto"/>
          <w:sz w:val="21"/>
          <w:szCs w:val="21"/>
          <w:highlight w:val="none"/>
        </w:rPr>
        <w:br w:type="page"/>
      </w:r>
      <w:r>
        <w:rPr>
          <w:rFonts w:hint="eastAsia" w:ascii="仿宋" w:hAnsi="仿宋" w:eastAsia="仿宋" w:cs="仿宋"/>
          <w:b/>
          <w:bCs/>
          <w:color w:val="auto"/>
          <w:sz w:val="21"/>
          <w:szCs w:val="21"/>
          <w:highlight w:val="none"/>
        </w:rPr>
        <w:t>一、响应函</w:t>
      </w:r>
      <w:bookmarkEnd w:id="149"/>
    </w:p>
    <w:p w14:paraId="5390183B">
      <w:pPr>
        <w:shd w:val="clear"/>
        <w:adjustRightInd w:val="0"/>
        <w:snapToGrid w:val="0"/>
        <w:spacing w:line="288" w:lineRule="auto"/>
        <w:rPr>
          <w:rFonts w:hint="eastAsia" w:ascii="仿宋" w:hAnsi="仿宋" w:eastAsia="仿宋" w:cs="仿宋"/>
          <w:color w:val="auto"/>
          <w:highlight w:val="none"/>
        </w:rPr>
      </w:pPr>
    </w:p>
    <w:p w14:paraId="130AC70F">
      <w:pPr>
        <w:shd w:val="clear"/>
        <w:adjustRightInd w:val="0"/>
        <w:snapToGrid w:val="0"/>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致：</w:t>
      </w:r>
      <w:r>
        <w:rPr>
          <w:rFonts w:hint="eastAsia" w:ascii="仿宋" w:hAnsi="仿宋" w:eastAsia="仿宋" w:cs="仿宋"/>
          <w:b/>
          <w:bCs/>
          <w:color w:val="auto"/>
          <w:sz w:val="21"/>
          <w:szCs w:val="21"/>
          <w:highlight w:val="none"/>
          <w:lang w:eastAsia="zh-CN"/>
        </w:rPr>
        <w:t>浙江万里学院</w:t>
      </w:r>
      <w:r>
        <w:rPr>
          <w:rFonts w:hint="eastAsia" w:ascii="仿宋" w:hAnsi="仿宋" w:eastAsia="仿宋" w:cs="仿宋"/>
          <w:b/>
          <w:bCs/>
          <w:color w:val="auto"/>
          <w:sz w:val="21"/>
          <w:szCs w:val="21"/>
          <w:highlight w:val="none"/>
        </w:rPr>
        <w:t>、浙江省成套招标代理有限公司</w:t>
      </w:r>
    </w:p>
    <w:p w14:paraId="58470125">
      <w:pPr>
        <w:shd w:val="clear"/>
        <w:adjustRightInd w:val="0"/>
        <w:snapToGrid w:val="0"/>
        <w:spacing w:line="288" w:lineRule="auto"/>
        <w:rPr>
          <w:rFonts w:hint="eastAsia" w:ascii="仿宋" w:hAnsi="仿宋" w:eastAsia="仿宋" w:cs="仿宋"/>
          <w:color w:val="auto"/>
          <w:sz w:val="21"/>
          <w:szCs w:val="21"/>
          <w:highlight w:val="none"/>
        </w:rPr>
      </w:pPr>
    </w:p>
    <w:p w14:paraId="088CC52F">
      <w:pPr>
        <w:shd w:val="clear"/>
        <w:wordWrap w:val="0"/>
        <w:overflowPunct w:val="0"/>
        <w:autoSpaceDE w:val="0"/>
        <w:autoSpaceDN w:val="0"/>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我方参加 </w:t>
      </w:r>
      <w:r>
        <w:rPr>
          <w:rFonts w:hint="eastAsia" w:ascii="仿宋" w:hAnsi="仿宋" w:eastAsia="仿宋" w:cs="仿宋"/>
          <w:bCs/>
          <w:color w:val="auto"/>
          <w:sz w:val="21"/>
          <w:szCs w:val="21"/>
          <w:highlight w:val="none"/>
          <w:u w:val="single"/>
          <w:lang w:eastAsia="zh-CN"/>
        </w:rPr>
        <w:t>金融数据库续建采购</w:t>
      </w:r>
      <w:r>
        <w:rPr>
          <w:rFonts w:hint="eastAsia" w:ascii="仿宋" w:hAnsi="仿宋" w:eastAsia="仿宋" w:cs="仿宋"/>
          <w:color w:val="auto"/>
          <w:sz w:val="21"/>
          <w:szCs w:val="21"/>
          <w:highlight w:val="none"/>
          <w:u w:val="single"/>
        </w:rPr>
        <w:t>（项目编号</w:t>
      </w:r>
      <w:r>
        <w:rPr>
          <w:rFonts w:hint="eastAsia" w:ascii="仿宋" w:hAnsi="仿宋" w:eastAsia="仿宋" w:cs="仿宋"/>
          <w:bCs/>
          <w:color w:val="auto"/>
          <w:sz w:val="21"/>
          <w:szCs w:val="21"/>
          <w:highlight w:val="none"/>
          <w:u w:val="single"/>
        </w:rPr>
        <w:t>：</w:t>
      </w:r>
      <w:r>
        <w:rPr>
          <w:rFonts w:hint="eastAsia" w:ascii="仿宋" w:hAnsi="仿宋" w:eastAsia="仿宋" w:cs="仿宋"/>
          <w:bCs/>
          <w:color w:val="auto"/>
          <w:sz w:val="21"/>
          <w:szCs w:val="21"/>
          <w:highlight w:val="none"/>
          <w:u w:val="single"/>
          <w:lang w:eastAsia="zh-CN"/>
        </w:rPr>
        <w:t>CTZB-2025070077</w:t>
      </w:r>
      <w:r>
        <w:rPr>
          <w:rFonts w:hint="eastAsia" w:ascii="仿宋" w:hAnsi="仿宋" w:eastAsia="仿宋" w:cs="仿宋"/>
          <w:bCs/>
          <w:color w:val="auto"/>
          <w:sz w:val="21"/>
          <w:szCs w:val="21"/>
          <w:highlight w:val="none"/>
          <w:u w:val="single"/>
          <w:lang w:eastAsia="zh-CN"/>
        </w:rPr>
        <w:tab/>
      </w: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rPr>
        <w:t>项目，为此，我方提交电子加密响应文件一份、以介质（U盘）存储的数据电文形式的</w:t>
      </w:r>
      <w:r>
        <w:rPr>
          <w:rFonts w:hint="eastAsia" w:ascii="仿宋" w:hAnsi="仿宋" w:eastAsia="仿宋" w:cs="仿宋"/>
          <w:color w:val="auto"/>
          <w:sz w:val="21"/>
          <w:szCs w:val="21"/>
          <w:highlight w:val="none"/>
          <w:u w:val="single"/>
        </w:rPr>
        <w:t>备份响应文件1份（如有）</w:t>
      </w:r>
      <w:r>
        <w:rPr>
          <w:rFonts w:hint="eastAsia" w:ascii="仿宋" w:hAnsi="仿宋" w:eastAsia="仿宋" w:cs="仿宋"/>
          <w:color w:val="auto"/>
          <w:sz w:val="21"/>
          <w:szCs w:val="21"/>
          <w:highlight w:val="none"/>
        </w:rPr>
        <w:t>。宣布同意如下：</w:t>
      </w:r>
    </w:p>
    <w:p w14:paraId="2BEE6988">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14:paraId="740BD56A">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2.我方在磋商响应之前已经与贵方进行了充分的沟通，完全理解并接受磋商文件的各项规定和要求，对磋商文件的合理性、合法性不再有异议。</w:t>
      </w:r>
    </w:p>
    <w:p w14:paraId="687EFE4E">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3.响应有效期自提交响应文件的截止之日起</w:t>
      </w:r>
      <w:r>
        <w:rPr>
          <w:rFonts w:hint="eastAsia" w:ascii="仿宋" w:hAnsi="仿宋" w:eastAsia="仿宋" w:cs="仿宋"/>
          <w:color w:val="auto"/>
          <w:sz w:val="21"/>
          <w:szCs w:val="21"/>
          <w:highlight w:val="none"/>
          <w:u w:val="single"/>
        </w:rPr>
        <w:t>90天</w:t>
      </w:r>
      <w:r>
        <w:rPr>
          <w:rFonts w:hint="eastAsia" w:ascii="仿宋" w:hAnsi="仿宋" w:eastAsia="仿宋" w:cs="仿宋"/>
          <w:color w:val="auto"/>
          <w:sz w:val="21"/>
          <w:szCs w:val="21"/>
          <w:highlight w:val="none"/>
        </w:rPr>
        <w:t>。</w:t>
      </w:r>
    </w:p>
    <w:p w14:paraId="6FFA8CD8">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14:paraId="79A41598">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5.我方同意按照贵方要求提供与磋商有关的一切数据或资料。</w:t>
      </w:r>
    </w:p>
    <w:p w14:paraId="343802AE">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6.与本磋商有关的一切正式往来信函联系：</w:t>
      </w:r>
    </w:p>
    <w:tbl>
      <w:tblPr>
        <w:tblStyle w:val="28"/>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6358"/>
      </w:tblGrid>
      <w:tr w14:paraId="3A820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81" w:type="dxa"/>
            <w:noWrap w:val="0"/>
            <w:vAlign w:val="top"/>
          </w:tcPr>
          <w:p w14:paraId="4DA0B2B4">
            <w:pPr>
              <w:shd w:val="clear"/>
              <w:adjustRightInd w:val="0"/>
              <w:snapToGrid w:val="0"/>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联系人：</w:t>
            </w:r>
          </w:p>
        </w:tc>
        <w:tc>
          <w:tcPr>
            <w:tcW w:w="6358" w:type="dxa"/>
            <w:noWrap w:val="0"/>
            <w:vAlign w:val="top"/>
          </w:tcPr>
          <w:p w14:paraId="5A557831">
            <w:pPr>
              <w:shd w:val="clear"/>
              <w:adjustRightInd w:val="0"/>
              <w:snapToGrid w:val="0"/>
              <w:spacing w:line="288" w:lineRule="auto"/>
              <w:rPr>
                <w:rFonts w:hint="eastAsia" w:ascii="仿宋" w:hAnsi="仿宋" w:eastAsia="仿宋" w:cs="仿宋"/>
                <w:color w:val="auto"/>
                <w:sz w:val="21"/>
                <w:szCs w:val="21"/>
                <w:highlight w:val="none"/>
              </w:rPr>
            </w:pPr>
          </w:p>
        </w:tc>
      </w:tr>
      <w:tr w14:paraId="76743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81" w:type="dxa"/>
            <w:noWrap w:val="0"/>
            <w:vAlign w:val="top"/>
          </w:tcPr>
          <w:p w14:paraId="282E0EC7">
            <w:pPr>
              <w:shd w:val="clear"/>
              <w:adjustRightInd w:val="0"/>
              <w:snapToGrid w:val="0"/>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职务：</w:t>
            </w:r>
          </w:p>
        </w:tc>
        <w:tc>
          <w:tcPr>
            <w:tcW w:w="6358" w:type="dxa"/>
            <w:noWrap w:val="0"/>
            <w:vAlign w:val="top"/>
          </w:tcPr>
          <w:p w14:paraId="7910F827">
            <w:pPr>
              <w:shd w:val="clear"/>
              <w:adjustRightInd w:val="0"/>
              <w:snapToGrid w:val="0"/>
              <w:spacing w:line="288" w:lineRule="auto"/>
              <w:rPr>
                <w:rFonts w:hint="eastAsia" w:ascii="仿宋" w:hAnsi="仿宋" w:eastAsia="仿宋" w:cs="仿宋"/>
                <w:color w:val="auto"/>
                <w:sz w:val="21"/>
                <w:szCs w:val="21"/>
                <w:highlight w:val="none"/>
              </w:rPr>
            </w:pPr>
          </w:p>
        </w:tc>
      </w:tr>
      <w:tr w14:paraId="1C863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81" w:type="dxa"/>
            <w:noWrap w:val="0"/>
            <w:vAlign w:val="top"/>
          </w:tcPr>
          <w:p w14:paraId="0EFEC841">
            <w:pPr>
              <w:shd w:val="clear"/>
              <w:adjustRightInd w:val="0"/>
              <w:snapToGrid w:val="0"/>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手机：</w:t>
            </w:r>
          </w:p>
        </w:tc>
        <w:tc>
          <w:tcPr>
            <w:tcW w:w="6358" w:type="dxa"/>
            <w:noWrap w:val="0"/>
            <w:vAlign w:val="top"/>
          </w:tcPr>
          <w:p w14:paraId="2E54BD8B">
            <w:pPr>
              <w:shd w:val="clear"/>
              <w:adjustRightInd w:val="0"/>
              <w:snapToGrid w:val="0"/>
              <w:spacing w:line="288" w:lineRule="auto"/>
              <w:rPr>
                <w:rFonts w:hint="eastAsia" w:ascii="仿宋" w:hAnsi="仿宋" w:eastAsia="仿宋" w:cs="仿宋"/>
                <w:color w:val="auto"/>
                <w:sz w:val="21"/>
                <w:szCs w:val="21"/>
                <w:highlight w:val="none"/>
              </w:rPr>
            </w:pPr>
          </w:p>
        </w:tc>
      </w:tr>
      <w:tr w14:paraId="41B94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81" w:type="dxa"/>
            <w:noWrap w:val="0"/>
            <w:vAlign w:val="top"/>
          </w:tcPr>
          <w:p w14:paraId="0695480B">
            <w:pPr>
              <w:shd w:val="clear"/>
              <w:adjustRightInd w:val="0"/>
              <w:snapToGrid w:val="0"/>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电子邮箱：</w:t>
            </w:r>
          </w:p>
        </w:tc>
        <w:tc>
          <w:tcPr>
            <w:tcW w:w="6358" w:type="dxa"/>
            <w:noWrap w:val="0"/>
            <w:vAlign w:val="top"/>
          </w:tcPr>
          <w:p w14:paraId="7405AA8D">
            <w:pPr>
              <w:shd w:val="clear"/>
              <w:adjustRightInd w:val="0"/>
              <w:snapToGrid w:val="0"/>
              <w:spacing w:line="288" w:lineRule="auto"/>
              <w:rPr>
                <w:rFonts w:hint="eastAsia" w:ascii="仿宋" w:hAnsi="仿宋" w:eastAsia="仿宋" w:cs="仿宋"/>
                <w:color w:val="auto"/>
                <w:sz w:val="21"/>
                <w:szCs w:val="21"/>
                <w:highlight w:val="none"/>
              </w:rPr>
            </w:pPr>
          </w:p>
        </w:tc>
      </w:tr>
      <w:tr w14:paraId="06B6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81" w:type="dxa"/>
            <w:noWrap w:val="0"/>
            <w:vAlign w:val="top"/>
          </w:tcPr>
          <w:p w14:paraId="4FA40A51">
            <w:pPr>
              <w:shd w:val="clear"/>
              <w:adjustRightInd w:val="0"/>
              <w:snapToGrid w:val="0"/>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地址：</w:t>
            </w:r>
          </w:p>
        </w:tc>
        <w:tc>
          <w:tcPr>
            <w:tcW w:w="6358" w:type="dxa"/>
            <w:noWrap w:val="0"/>
            <w:vAlign w:val="top"/>
          </w:tcPr>
          <w:p w14:paraId="553C3A11">
            <w:pPr>
              <w:shd w:val="clear"/>
              <w:adjustRightInd w:val="0"/>
              <w:snapToGrid w:val="0"/>
              <w:spacing w:line="288" w:lineRule="auto"/>
              <w:rPr>
                <w:rFonts w:hint="eastAsia" w:ascii="仿宋" w:hAnsi="仿宋" w:eastAsia="仿宋" w:cs="仿宋"/>
                <w:color w:val="auto"/>
                <w:sz w:val="21"/>
                <w:szCs w:val="21"/>
                <w:highlight w:val="none"/>
              </w:rPr>
            </w:pPr>
          </w:p>
        </w:tc>
      </w:tr>
      <w:tr w14:paraId="38005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81" w:type="dxa"/>
            <w:noWrap w:val="0"/>
            <w:vAlign w:val="top"/>
          </w:tcPr>
          <w:p w14:paraId="456FDAA2">
            <w:pPr>
              <w:shd w:val="clear"/>
              <w:adjustRightInd w:val="0"/>
              <w:snapToGrid w:val="0"/>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w:t>
            </w:r>
          </w:p>
        </w:tc>
        <w:tc>
          <w:tcPr>
            <w:tcW w:w="6358" w:type="dxa"/>
            <w:noWrap w:val="0"/>
            <w:vAlign w:val="top"/>
          </w:tcPr>
          <w:p w14:paraId="3986DA89">
            <w:pPr>
              <w:shd w:val="clear"/>
              <w:adjustRightInd w:val="0"/>
              <w:snapToGrid w:val="0"/>
              <w:spacing w:line="288" w:lineRule="auto"/>
              <w:rPr>
                <w:rFonts w:hint="eastAsia" w:ascii="仿宋" w:hAnsi="仿宋" w:eastAsia="仿宋" w:cs="仿宋"/>
                <w:color w:val="auto"/>
                <w:sz w:val="21"/>
                <w:szCs w:val="21"/>
                <w:highlight w:val="none"/>
              </w:rPr>
            </w:pPr>
          </w:p>
        </w:tc>
      </w:tr>
      <w:tr w14:paraId="2B941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981" w:type="dxa"/>
            <w:noWrap w:val="0"/>
            <w:vAlign w:val="top"/>
          </w:tcPr>
          <w:p w14:paraId="71A0DA0F">
            <w:pPr>
              <w:shd w:val="clear"/>
              <w:adjustRightInd w:val="0"/>
              <w:snapToGrid w:val="0"/>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银行账号：</w:t>
            </w:r>
          </w:p>
        </w:tc>
        <w:tc>
          <w:tcPr>
            <w:tcW w:w="6358" w:type="dxa"/>
            <w:noWrap w:val="0"/>
            <w:vAlign w:val="top"/>
          </w:tcPr>
          <w:p w14:paraId="24479216">
            <w:pPr>
              <w:shd w:val="clear"/>
              <w:adjustRightInd w:val="0"/>
              <w:snapToGrid w:val="0"/>
              <w:spacing w:line="288" w:lineRule="auto"/>
              <w:rPr>
                <w:rFonts w:hint="eastAsia" w:ascii="仿宋" w:hAnsi="仿宋" w:eastAsia="仿宋" w:cs="仿宋"/>
                <w:color w:val="auto"/>
                <w:sz w:val="21"/>
                <w:szCs w:val="21"/>
                <w:highlight w:val="none"/>
              </w:rPr>
            </w:pPr>
          </w:p>
        </w:tc>
      </w:tr>
    </w:tbl>
    <w:p w14:paraId="16BACF48">
      <w:pPr>
        <w:shd w:val="clear"/>
        <w:adjustRightInd w:val="0"/>
        <w:snapToGrid w:val="0"/>
        <w:spacing w:line="288" w:lineRule="auto"/>
        <w:rPr>
          <w:rFonts w:hint="eastAsia" w:ascii="仿宋" w:hAnsi="仿宋" w:eastAsia="仿宋" w:cs="仿宋"/>
          <w:color w:val="auto"/>
          <w:sz w:val="21"/>
          <w:szCs w:val="21"/>
          <w:highlight w:val="none"/>
        </w:rPr>
      </w:pPr>
    </w:p>
    <w:p w14:paraId="31280820">
      <w:pPr>
        <w:shd w:val="clear"/>
        <w:adjustRightInd w:val="0"/>
        <w:snapToGrid w:val="0"/>
        <w:spacing w:line="288" w:lineRule="auto"/>
        <w:rPr>
          <w:rFonts w:hint="eastAsia" w:ascii="仿宋" w:hAnsi="仿宋" w:eastAsia="仿宋" w:cs="仿宋"/>
          <w:color w:val="auto"/>
          <w:sz w:val="21"/>
          <w:szCs w:val="21"/>
          <w:highlight w:val="none"/>
        </w:rPr>
      </w:pPr>
    </w:p>
    <w:p w14:paraId="083790AC">
      <w:pPr>
        <w:shd w:val="clear"/>
        <w:adjustRightInd w:val="0"/>
        <w:snapToGrid w:val="0"/>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供应商名称（电子签名/公章）：</w:t>
      </w:r>
    </w:p>
    <w:p w14:paraId="243A4D1C">
      <w:pPr>
        <w:widowControl/>
        <w:shd w:val="clear"/>
        <w:adjustRightInd w:val="0"/>
        <w:snapToGrid w:val="0"/>
        <w:spacing w:line="288" w:lineRule="auto"/>
        <w:jc w:val="left"/>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日期：2025年  月  日</w:t>
      </w:r>
      <w:r>
        <w:rPr>
          <w:rFonts w:hint="eastAsia" w:ascii="仿宋" w:hAnsi="仿宋" w:eastAsia="仿宋" w:cs="仿宋"/>
          <w:color w:val="auto"/>
          <w:sz w:val="21"/>
          <w:szCs w:val="21"/>
          <w:highlight w:val="none"/>
        </w:rPr>
        <w:br w:type="page"/>
      </w:r>
    </w:p>
    <w:p w14:paraId="4F7D67D9">
      <w:pPr>
        <w:shd w:val="clear"/>
        <w:adjustRightInd w:val="0"/>
        <w:snapToGrid w:val="0"/>
        <w:spacing w:line="288" w:lineRule="auto"/>
        <w:jc w:val="center"/>
        <w:outlineLvl w:val="1"/>
        <w:rPr>
          <w:rFonts w:hint="eastAsia" w:ascii="仿宋" w:hAnsi="仿宋" w:eastAsia="仿宋" w:cs="仿宋"/>
          <w:b/>
          <w:bCs/>
          <w:color w:val="auto"/>
          <w:sz w:val="21"/>
          <w:szCs w:val="21"/>
          <w:highlight w:val="none"/>
        </w:rPr>
      </w:pPr>
      <w:bookmarkStart w:id="150" w:name="_Toc12753"/>
      <w:r>
        <w:rPr>
          <w:rFonts w:hint="eastAsia" w:ascii="仿宋" w:hAnsi="仿宋" w:eastAsia="仿宋" w:cs="仿宋"/>
          <w:b/>
          <w:bCs/>
          <w:color w:val="auto"/>
          <w:sz w:val="21"/>
          <w:szCs w:val="21"/>
          <w:highlight w:val="none"/>
        </w:rPr>
        <w:t>二、授权委托书或法定代表人（单位负责人、自然人本人）身份证明</w:t>
      </w:r>
      <w:bookmarkEnd w:id="150"/>
    </w:p>
    <w:p w14:paraId="202DB2BE">
      <w:pPr>
        <w:pStyle w:val="13"/>
        <w:shd w:val="clear"/>
        <w:adjustRightInd w:val="0"/>
        <w:snapToGrid w:val="0"/>
        <w:spacing w:before="163" w:after="163" w:line="300" w:lineRule="auto"/>
        <w:jc w:val="center"/>
        <w:rPr>
          <w:rFonts w:hint="eastAsia" w:ascii="仿宋" w:hAnsi="仿宋" w:eastAsia="仿宋" w:cs="仿宋"/>
          <w:b/>
          <w:bCs/>
          <w:color w:val="auto"/>
          <w:sz w:val="21"/>
          <w:szCs w:val="21"/>
          <w:highlight w:val="none"/>
          <w:lang w:val="zh-TW" w:eastAsia="zh-TW"/>
        </w:rPr>
      </w:pPr>
      <w:bookmarkStart w:id="151" w:name="_Toc19623"/>
      <w:bookmarkStart w:id="152" w:name="_Toc21143"/>
      <w:bookmarkStart w:id="153" w:name="_Toc3833"/>
      <w:r>
        <w:rPr>
          <w:rFonts w:hint="eastAsia" w:ascii="仿宋" w:hAnsi="仿宋" w:eastAsia="仿宋" w:cs="仿宋"/>
          <w:b/>
          <w:bCs/>
          <w:color w:val="auto"/>
          <w:sz w:val="21"/>
          <w:szCs w:val="21"/>
          <w:highlight w:val="none"/>
          <w:lang w:val="zh-TW" w:eastAsia="zh-TW"/>
        </w:rPr>
        <w:t>授权</w:t>
      </w:r>
      <w:r>
        <w:rPr>
          <w:rFonts w:hint="eastAsia" w:ascii="仿宋" w:hAnsi="仿宋" w:eastAsia="仿宋" w:cs="仿宋"/>
          <w:b/>
          <w:bCs/>
          <w:color w:val="auto"/>
          <w:sz w:val="21"/>
          <w:szCs w:val="21"/>
          <w:highlight w:val="none"/>
        </w:rPr>
        <w:t>委托</w:t>
      </w:r>
      <w:r>
        <w:rPr>
          <w:rFonts w:hint="eastAsia" w:ascii="仿宋" w:hAnsi="仿宋" w:eastAsia="仿宋" w:cs="仿宋"/>
          <w:b/>
          <w:bCs/>
          <w:color w:val="auto"/>
          <w:sz w:val="21"/>
          <w:szCs w:val="21"/>
          <w:highlight w:val="none"/>
          <w:lang w:val="zh-TW" w:eastAsia="zh-TW"/>
        </w:rPr>
        <w:t>书（适用于非联合体投标）</w:t>
      </w:r>
      <w:bookmarkEnd w:id="151"/>
      <w:bookmarkEnd w:id="152"/>
      <w:bookmarkEnd w:id="153"/>
    </w:p>
    <w:p w14:paraId="3C4F37E1">
      <w:pPr>
        <w:pStyle w:val="13"/>
        <w:shd w:val="clear"/>
        <w:adjustRightInd w:val="0"/>
        <w:snapToGrid w:val="0"/>
        <w:spacing w:beforeLines="0" w:afterLines="0" w:line="360" w:lineRule="auto"/>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lang w:val="zh-TW" w:eastAsia="zh-CN"/>
        </w:rPr>
        <w:t>浙江万里学院</w:t>
      </w:r>
      <w:r>
        <w:rPr>
          <w:rFonts w:hint="eastAsia" w:ascii="仿宋" w:hAnsi="仿宋" w:eastAsia="仿宋" w:cs="仿宋"/>
          <w:color w:val="auto"/>
          <w:sz w:val="21"/>
          <w:szCs w:val="21"/>
          <w:highlight w:val="none"/>
          <w:u w:val="single"/>
          <w:lang w:val="zh-TW" w:eastAsia="zh-TW"/>
        </w:rPr>
        <w:t>：</w:t>
      </w:r>
    </w:p>
    <w:p w14:paraId="2DCD5D1A">
      <w:pPr>
        <w:pStyle w:val="13"/>
        <w:shd w:val="clear"/>
        <w:adjustRightInd w:val="0"/>
        <w:snapToGrid w:val="0"/>
        <w:spacing w:beforeLines="0" w:afterLines="0" w:line="360" w:lineRule="auto"/>
        <w:ind w:firstLine="420" w:firstLineChars="200"/>
        <w:rPr>
          <w:rFonts w:hint="eastAsia" w:ascii="仿宋" w:hAnsi="仿宋" w:eastAsia="仿宋" w:cs="仿宋"/>
          <w:color w:val="auto"/>
          <w:sz w:val="21"/>
          <w:szCs w:val="21"/>
          <w:highlight w:val="none"/>
          <w:u w:val="single"/>
          <w:lang w:val="zh-TW" w:eastAsia="zh-TW"/>
        </w:rPr>
      </w:pPr>
      <w:r>
        <w:rPr>
          <w:rFonts w:hint="eastAsia" w:ascii="仿宋" w:hAnsi="仿宋" w:eastAsia="仿宋" w:cs="仿宋"/>
          <w:color w:val="auto"/>
          <w:sz w:val="21"/>
          <w:szCs w:val="21"/>
          <w:highlight w:val="none"/>
          <w:u w:val="single"/>
          <w:lang w:val="zh-TW" w:eastAsia="zh-TW"/>
        </w:rPr>
        <w:t>浙江省成套招标代理有限公司：</w:t>
      </w:r>
    </w:p>
    <w:p w14:paraId="230D3DAA">
      <w:pPr>
        <w:pStyle w:val="13"/>
        <w:shd w:val="clear"/>
        <w:snapToGrid w:val="0"/>
        <w:spacing w:beforeLines="0" w:afterLines="0"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现委托我单位在职员工</w:t>
      </w:r>
      <w:r>
        <w:rPr>
          <w:rFonts w:hint="eastAsia" w:ascii="仿宋" w:hAnsi="仿宋" w:eastAsia="仿宋" w:cs="仿宋"/>
          <w:color w:val="auto"/>
          <w:sz w:val="21"/>
          <w:szCs w:val="21"/>
          <w:highlight w:val="none"/>
          <w:u w:val="single"/>
        </w:rPr>
        <w:t>（授权代表姓名）</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（身份证号）   </w:t>
      </w:r>
      <w:r>
        <w:rPr>
          <w:rFonts w:hint="eastAsia" w:ascii="仿宋" w:hAnsi="仿宋" w:eastAsia="仿宋" w:cs="仿宋"/>
          <w:color w:val="auto"/>
          <w:sz w:val="21"/>
          <w:szCs w:val="21"/>
          <w:highlight w:val="none"/>
        </w:rPr>
        <w:t>（手机号：   ），为我单位的授权代表，以我方名义处理</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（采购人）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（项目名称）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（项目编号）政府采购投标活动中的一切事宜，其法律后果由我方承担。</w:t>
      </w:r>
    </w:p>
    <w:p w14:paraId="03DB18DF">
      <w:pPr>
        <w:pStyle w:val="13"/>
        <w:shd w:val="clear"/>
        <w:snapToGrid w:val="0"/>
        <w:spacing w:beforeLines="0" w:afterLines="0"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委托期限：自   年 月  日起至  年  月  日止。</w:t>
      </w:r>
    </w:p>
    <w:p w14:paraId="4348C381">
      <w:pPr>
        <w:pStyle w:val="13"/>
        <w:shd w:val="clear"/>
        <w:snapToGrid w:val="0"/>
        <w:spacing w:beforeLines="0" w:afterLines="0"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特此告知。</w:t>
      </w:r>
    </w:p>
    <w:p w14:paraId="1CC1D494">
      <w:pPr>
        <w:pStyle w:val="13"/>
        <w:shd w:val="clear"/>
        <w:adjustRightInd w:val="0"/>
        <w:snapToGrid w:val="0"/>
        <w:spacing w:beforeLines="0" w:afterLines="0"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TW" w:eastAsia="zh-TW"/>
        </w:rPr>
        <w:t>供应商全称（电子签名/公章）：</w:t>
      </w:r>
    </w:p>
    <w:p w14:paraId="43D28535">
      <w:pPr>
        <w:pStyle w:val="13"/>
        <w:shd w:val="clear"/>
        <w:adjustRightInd w:val="0"/>
        <w:snapToGrid w:val="0"/>
        <w:spacing w:beforeLines="0" w:afterLines="0" w:line="360" w:lineRule="auto"/>
        <w:ind w:firstLine="420" w:firstLineChars="200"/>
        <w:rPr>
          <w:rFonts w:hint="eastAsia" w:ascii="仿宋" w:hAnsi="仿宋" w:eastAsia="仿宋" w:cs="仿宋"/>
          <w:color w:val="auto"/>
          <w:sz w:val="21"/>
          <w:szCs w:val="21"/>
          <w:highlight w:val="none"/>
          <w:lang w:val="zh-TW" w:eastAsia="zh-TW"/>
        </w:rPr>
      </w:pPr>
      <w:r>
        <w:rPr>
          <w:rFonts w:hint="eastAsia" w:ascii="仿宋" w:hAnsi="仿宋" w:eastAsia="仿宋" w:cs="仿宋"/>
          <w:color w:val="auto"/>
          <w:kern w:val="0"/>
          <w:sz w:val="21"/>
          <w:szCs w:val="21"/>
          <w:highlight w:val="none"/>
          <w:lang w:val="zh-TW" w:eastAsia="zh-TW"/>
        </w:rPr>
        <w:t>日期：202</w:t>
      </w:r>
      <w:r>
        <w:rPr>
          <w:rFonts w:hint="eastAsia" w:ascii="仿宋" w:hAnsi="仿宋" w:eastAsia="仿宋" w:cs="仿宋"/>
          <w:color w:val="auto"/>
          <w:kern w:val="0"/>
          <w:sz w:val="21"/>
          <w:szCs w:val="21"/>
          <w:highlight w:val="none"/>
          <w:lang w:val="zh-TW"/>
        </w:rPr>
        <w:t>5</w:t>
      </w:r>
      <w:r>
        <w:rPr>
          <w:rFonts w:hint="eastAsia" w:ascii="仿宋" w:hAnsi="仿宋" w:eastAsia="仿宋" w:cs="仿宋"/>
          <w:color w:val="auto"/>
          <w:kern w:val="0"/>
          <w:sz w:val="21"/>
          <w:szCs w:val="21"/>
          <w:highlight w:val="none"/>
          <w:lang w:val="zh-TW" w:eastAsia="zh-TW"/>
        </w:rPr>
        <w:t>年  月  日</w:t>
      </w:r>
    </w:p>
    <w:p w14:paraId="6D56E8F8">
      <w:pPr>
        <w:shd w:val="clear"/>
        <w:spacing w:line="360" w:lineRule="auto"/>
        <w:rPr>
          <w:rFonts w:hint="eastAsia" w:ascii="仿宋" w:hAnsi="仿宋" w:eastAsia="仿宋" w:cs="仿宋"/>
          <w:b/>
          <w:i/>
          <w:color w:val="auto"/>
          <w:kern w:val="0"/>
          <w:szCs w:val="22"/>
          <w:highlight w:val="none"/>
        </w:rPr>
      </w:pPr>
    </w:p>
    <w:p w14:paraId="7DE27355">
      <w:pPr>
        <w:shd w:val="clear"/>
        <w:spacing w:line="360" w:lineRule="auto"/>
        <w:rPr>
          <w:rFonts w:hint="eastAsia" w:ascii="仿宋" w:hAnsi="仿宋" w:eastAsia="仿宋" w:cs="仿宋"/>
          <w:b/>
          <w:i/>
          <w:color w:val="auto"/>
          <w:kern w:val="0"/>
          <w:szCs w:val="22"/>
          <w:highlight w:val="none"/>
        </w:rPr>
      </w:pPr>
    </w:p>
    <w:p w14:paraId="1580362B">
      <w:pPr>
        <w:shd w:val="clear"/>
        <w:spacing w:line="360" w:lineRule="auto"/>
        <w:rPr>
          <w:rFonts w:hint="eastAsia" w:ascii="仿宋" w:hAnsi="仿宋" w:eastAsia="仿宋" w:cs="仿宋"/>
          <w:b/>
          <w:i/>
          <w:color w:val="auto"/>
          <w:kern w:val="0"/>
          <w:szCs w:val="22"/>
          <w:highlight w:val="none"/>
        </w:rPr>
      </w:pPr>
    </w:p>
    <w:p w14:paraId="24737BBB">
      <w:pPr>
        <w:shd w:val="clear"/>
        <w:spacing w:line="360" w:lineRule="auto"/>
        <w:rPr>
          <w:rFonts w:hint="eastAsia" w:ascii="仿宋" w:hAnsi="仿宋" w:eastAsia="仿宋" w:cs="仿宋"/>
          <w:b/>
          <w:iCs/>
          <w:color w:val="auto"/>
          <w:kern w:val="0"/>
          <w:sz w:val="21"/>
          <w:szCs w:val="21"/>
          <w:highlight w:val="none"/>
        </w:rPr>
      </w:pPr>
      <w:r>
        <w:rPr>
          <w:rFonts w:hint="eastAsia" w:ascii="仿宋" w:hAnsi="仿宋" w:eastAsia="仿宋" w:cs="仿宋"/>
          <w:b/>
          <w:iCs/>
          <w:color w:val="auto"/>
          <w:kern w:val="0"/>
          <w:sz w:val="21"/>
          <w:szCs w:val="21"/>
          <w:highlight w:val="none"/>
        </w:rPr>
        <w:t>后附证明材料（证明材料不齐全的，视为无效授权）：</w:t>
      </w:r>
    </w:p>
    <w:p w14:paraId="287C0894">
      <w:pPr>
        <w:shd w:val="clear"/>
        <w:spacing w:line="360" w:lineRule="auto"/>
        <w:ind w:firstLine="420" w:firstLineChars="200"/>
        <w:rPr>
          <w:rFonts w:hint="eastAsia" w:ascii="仿宋" w:hAnsi="仿宋" w:eastAsia="仿宋" w:cs="仿宋"/>
          <w:iCs/>
          <w:color w:val="auto"/>
          <w:kern w:val="0"/>
          <w:sz w:val="21"/>
          <w:szCs w:val="21"/>
          <w:highlight w:val="none"/>
        </w:rPr>
      </w:pPr>
      <w:r>
        <w:rPr>
          <w:rFonts w:hint="eastAsia" w:ascii="仿宋" w:hAnsi="仿宋" w:eastAsia="仿宋" w:cs="仿宋"/>
          <w:iCs/>
          <w:color w:val="auto"/>
          <w:kern w:val="0"/>
          <w:sz w:val="21"/>
          <w:szCs w:val="21"/>
          <w:highlight w:val="none"/>
        </w:rPr>
        <w:t>1、被授权人（授权代表）身份证复制件（正反面均须提供）。</w:t>
      </w:r>
    </w:p>
    <w:p w14:paraId="6B61C3B6">
      <w:pPr>
        <w:shd w:val="clear"/>
        <w:spacing w:line="360" w:lineRule="auto"/>
        <w:ind w:firstLine="420" w:firstLineChars="200"/>
        <w:rPr>
          <w:rFonts w:hint="eastAsia" w:ascii="仿宋" w:hAnsi="仿宋" w:eastAsia="仿宋" w:cs="仿宋"/>
          <w:iCs/>
          <w:color w:val="auto"/>
          <w:kern w:val="0"/>
          <w:sz w:val="21"/>
          <w:szCs w:val="21"/>
          <w:highlight w:val="none"/>
        </w:rPr>
      </w:pPr>
      <w:r>
        <w:rPr>
          <w:rFonts w:hint="eastAsia" w:ascii="仿宋" w:hAnsi="仿宋" w:eastAsia="仿宋" w:cs="仿宋"/>
          <w:iCs/>
          <w:color w:val="auto"/>
          <w:kern w:val="0"/>
          <w:sz w:val="21"/>
          <w:szCs w:val="21"/>
          <w:highlight w:val="none"/>
        </w:rPr>
        <w:t>2、被授权人（授权代表）2025年1月1日至今任意一个月的个人社保缴纳证明。</w:t>
      </w:r>
    </w:p>
    <w:p w14:paraId="429E9E44">
      <w:pPr>
        <w:pStyle w:val="13"/>
        <w:shd w:val="clear"/>
        <w:adjustRightInd w:val="0"/>
        <w:snapToGrid w:val="0"/>
        <w:spacing w:before="163" w:after="163" w:line="300" w:lineRule="auto"/>
        <w:jc w:val="center"/>
        <w:rPr>
          <w:rFonts w:hint="eastAsia" w:ascii="仿宋" w:hAnsi="仿宋" w:eastAsia="仿宋" w:cs="仿宋"/>
          <w:b/>
          <w:bCs/>
          <w:color w:val="auto"/>
          <w:sz w:val="21"/>
          <w:szCs w:val="21"/>
          <w:highlight w:val="none"/>
          <w:lang w:val="zh-TW" w:eastAsia="zh-TW"/>
        </w:rPr>
      </w:pPr>
      <w:bookmarkStart w:id="154" w:name="_Toc3197"/>
      <w:bookmarkStart w:id="155" w:name="_Toc7459"/>
      <w:bookmarkStart w:id="156" w:name="_Toc12514"/>
      <w:r>
        <w:rPr>
          <w:rFonts w:hint="eastAsia" w:ascii="仿宋" w:hAnsi="仿宋" w:eastAsia="仿宋" w:cs="仿宋"/>
          <w:b/>
          <w:bCs/>
          <w:color w:val="auto"/>
          <w:sz w:val="28"/>
          <w:szCs w:val="28"/>
          <w:highlight w:val="none"/>
          <w:lang w:val="zh-TW" w:eastAsia="zh-TW"/>
        </w:rPr>
        <w:br w:type="page"/>
      </w:r>
      <w:r>
        <w:rPr>
          <w:rFonts w:hint="eastAsia" w:ascii="仿宋" w:hAnsi="仿宋" w:eastAsia="仿宋" w:cs="仿宋"/>
          <w:b/>
          <w:bCs/>
          <w:color w:val="auto"/>
          <w:sz w:val="21"/>
          <w:szCs w:val="21"/>
          <w:highlight w:val="none"/>
          <w:lang w:val="zh-TW" w:eastAsia="zh-TW"/>
        </w:rPr>
        <w:t>授权</w:t>
      </w:r>
      <w:r>
        <w:rPr>
          <w:rFonts w:hint="eastAsia" w:ascii="仿宋" w:hAnsi="仿宋" w:eastAsia="仿宋" w:cs="仿宋"/>
          <w:b/>
          <w:bCs/>
          <w:color w:val="auto"/>
          <w:sz w:val="21"/>
          <w:szCs w:val="21"/>
          <w:highlight w:val="none"/>
        </w:rPr>
        <w:t>委托</w:t>
      </w:r>
      <w:r>
        <w:rPr>
          <w:rFonts w:hint="eastAsia" w:ascii="仿宋" w:hAnsi="仿宋" w:eastAsia="仿宋" w:cs="仿宋"/>
          <w:b/>
          <w:bCs/>
          <w:color w:val="auto"/>
          <w:sz w:val="21"/>
          <w:szCs w:val="21"/>
          <w:highlight w:val="none"/>
          <w:lang w:val="zh-TW" w:eastAsia="zh-TW"/>
        </w:rPr>
        <w:t>书（适用于联合体投标）</w:t>
      </w:r>
      <w:bookmarkEnd w:id="154"/>
      <w:bookmarkEnd w:id="155"/>
      <w:bookmarkEnd w:id="156"/>
    </w:p>
    <w:p w14:paraId="365C1CE9">
      <w:pPr>
        <w:pStyle w:val="13"/>
        <w:shd w:val="clear"/>
        <w:adjustRightInd w:val="0"/>
        <w:snapToGrid w:val="0"/>
        <w:spacing w:beforeLines="0" w:afterLines="0" w:line="360" w:lineRule="auto"/>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lang w:val="zh-TW" w:eastAsia="zh-CN"/>
        </w:rPr>
        <w:t>浙江万里学院</w:t>
      </w:r>
      <w:r>
        <w:rPr>
          <w:rFonts w:hint="eastAsia" w:ascii="仿宋" w:hAnsi="仿宋" w:eastAsia="仿宋" w:cs="仿宋"/>
          <w:color w:val="auto"/>
          <w:sz w:val="21"/>
          <w:szCs w:val="21"/>
          <w:highlight w:val="none"/>
          <w:u w:val="single"/>
          <w:lang w:val="zh-TW" w:eastAsia="zh-TW"/>
        </w:rPr>
        <w:t>：</w:t>
      </w:r>
    </w:p>
    <w:p w14:paraId="10342B9B">
      <w:pPr>
        <w:pStyle w:val="13"/>
        <w:shd w:val="clear"/>
        <w:adjustRightInd w:val="0"/>
        <w:snapToGrid w:val="0"/>
        <w:spacing w:beforeLines="0" w:afterLines="0" w:line="360" w:lineRule="auto"/>
        <w:ind w:firstLine="420" w:firstLineChars="200"/>
        <w:rPr>
          <w:rFonts w:hint="eastAsia" w:ascii="仿宋" w:hAnsi="仿宋" w:eastAsia="仿宋" w:cs="仿宋"/>
          <w:color w:val="auto"/>
          <w:sz w:val="21"/>
          <w:szCs w:val="21"/>
          <w:highlight w:val="none"/>
          <w:u w:val="single"/>
          <w:lang w:val="zh-TW" w:eastAsia="zh-TW"/>
        </w:rPr>
      </w:pPr>
      <w:r>
        <w:rPr>
          <w:rFonts w:hint="eastAsia" w:ascii="仿宋" w:hAnsi="仿宋" w:eastAsia="仿宋" w:cs="仿宋"/>
          <w:color w:val="auto"/>
          <w:sz w:val="21"/>
          <w:szCs w:val="21"/>
          <w:highlight w:val="none"/>
          <w:u w:val="single"/>
          <w:lang w:val="zh-TW" w:eastAsia="zh-TW"/>
        </w:rPr>
        <w:t>浙江省成套招标代理有限公司：</w:t>
      </w:r>
    </w:p>
    <w:p w14:paraId="08050744">
      <w:pPr>
        <w:pStyle w:val="13"/>
        <w:shd w:val="clear"/>
        <w:snapToGrid w:val="0"/>
        <w:spacing w:beforeLines="0" w:afterLines="0"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现委托我单位在职员工</w:t>
      </w:r>
      <w:r>
        <w:rPr>
          <w:rFonts w:hint="eastAsia" w:ascii="仿宋" w:hAnsi="仿宋" w:eastAsia="仿宋" w:cs="仿宋"/>
          <w:color w:val="auto"/>
          <w:sz w:val="21"/>
          <w:szCs w:val="21"/>
          <w:highlight w:val="none"/>
          <w:u w:val="single"/>
        </w:rPr>
        <w:t>（授权代表姓名）</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（身份证号）   </w:t>
      </w:r>
      <w:r>
        <w:rPr>
          <w:rFonts w:hint="eastAsia" w:ascii="仿宋" w:hAnsi="仿宋" w:eastAsia="仿宋" w:cs="仿宋"/>
          <w:color w:val="auto"/>
          <w:sz w:val="21"/>
          <w:szCs w:val="21"/>
          <w:highlight w:val="none"/>
        </w:rPr>
        <w:t>（手机号：   ），为我单位的授权代表，以我方名义处理</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（采购人）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（项目名称）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（项目编号）政府采购投标活动中的一切事宜，其法律后果由我方承担。</w:t>
      </w:r>
    </w:p>
    <w:p w14:paraId="1F5CF497">
      <w:pPr>
        <w:pStyle w:val="13"/>
        <w:shd w:val="clear"/>
        <w:snapToGrid w:val="0"/>
        <w:spacing w:beforeLines="0" w:afterLines="0"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委托期限：自   年 月  日起至  年  月  日止。</w:t>
      </w:r>
    </w:p>
    <w:p w14:paraId="49E3367D">
      <w:pPr>
        <w:pStyle w:val="13"/>
        <w:shd w:val="clear"/>
        <w:snapToGrid w:val="0"/>
        <w:spacing w:beforeLines="0" w:afterLines="0"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特此告知。</w:t>
      </w:r>
    </w:p>
    <w:p w14:paraId="6EF4B631">
      <w:pPr>
        <w:pStyle w:val="13"/>
        <w:shd w:val="clear"/>
        <w:adjustRightInd w:val="0"/>
        <w:snapToGrid w:val="0"/>
        <w:spacing w:beforeLines="0" w:afterLines="0" w:line="360" w:lineRule="auto"/>
        <w:ind w:firstLine="420" w:firstLineChars="200"/>
        <w:rPr>
          <w:rFonts w:hint="eastAsia" w:ascii="仿宋" w:hAnsi="仿宋" w:eastAsia="仿宋" w:cs="仿宋"/>
          <w:color w:val="auto"/>
          <w:kern w:val="0"/>
          <w:sz w:val="21"/>
          <w:szCs w:val="21"/>
          <w:highlight w:val="none"/>
          <w:lang w:val="zh-TW" w:eastAsia="zh-TW"/>
        </w:rPr>
      </w:pPr>
      <w:r>
        <w:rPr>
          <w:rFonts w:hint="eastAsia" w:ascii="仿宋" w:hAnsi="仿宋" w:eastAsia="仿宋" w:cs="仿宋"/>
          <w:color w:val="auto"/>
          <w:kern w:val="0"/>
          <w:sz w:val="21"/>
          <w:szCs w:val="21"/>
          <w:highlight w:val="none"/>
          <w:lang w:val="zh-TW" w:eastAsia="zh-TW"/>
        </w:rPr>
        <w:t>联合体成员名称(电子签名/公章)：</w:t>
      </w:r>
    </w:p>
    <w:p w14:paraId="4AA1810C">
      <w:pPr>
        <w:pStyle w:val="13"/>
        <w:shd w:val="clear"/>
        <w:adjustRightInd w:val="0"/>
        <w:snapToGrid w:val="0"/>
        <w:spacing w:beforeLines="0" w:afterLines="0" w:line="360" w:lineRule="auto"/>
        <w:ind w:firstLine="420" w:firstLineChars="200"/>
        <w:rPr>
          <w:rFonts w:hint="eastAsia" w:ascii="仿宋" w:hAnsi="仿宋" w:eastAsia="仿宋" w:cs="仿宋"/>
          <w:color w:val="auto"/>
          <w:kern w:val="0"/>
          <w:sz w:val="21"/>
          <w:szCs w:val="21"/>
          <w:highlight w:val="none"/>
          <w:lang w:val="zh-TW" w:eastAsia="zh-TW"/>
        </w:rPr>
      </w:pPr>
      <w:r>
        <w:rPr>
          <w:rFonts w:hint="eastAsia" w:ascii="仿宋" w:hAnsi="仿宋" w:eastAsia="仿宋" w:cs="仿宋"/>
          <w:color w:val="auto"/>
          <w:kern w:val="0"/>
          <w:sz w:val="21"/>
          <w:szCs w:val="21"/>
          <w:highlight w:val="none"/>
          <w:lang w:val="zh-TW" w:eastAsia="zh-TW"/>
        </w:rPr>
        <w:t>联合体成员名称(电子签名/公章)：</w:t>
      </w:r>
    </w:p>
    <w:p w14:paraId="0A6F2D53">
      <w:pPr>
        <w:pStyle w:val="13"/>
        <w:shd w:val="clear"/>
        <w:adjustRightInd w:val="0"/>
        <w:snapToGrid w:val="0"/>
        <w:spacing w:beforeLines="0" w:afterLines="0" w:line="360" w:lineRule="auto"/>
        <w:ind w:firstLine="420" w:firstLineChars="200"/>
        <w:rPr>
          <w:rFonts w:hint="eastAsia" w:ascii="仿宋" w:hAnsi="仿宋" w:eastAsia="仿宋" w:cs="仿宋"/>
          <w:color w:val="auto"/>
          <w:kern w:val="0"/>
          <w:sz w:val="21"/>
          <w:szCs w:val="21"/>
          <w:highlight w:val="none"/>
          <w:lang w:val="zh-TW" w:eastAsia="zh-TW"/>
        </w:rPr>
      </w:pPr>
      <w:r>
        <w:rPr>
          <w:rFonts w:hint="eastAsia" w:ascii="仿宋" w:hAnsi="仿宋" w:eastAsia="仿宋" w:cs="仿宋"/>
          <w:color w:val="auto"/>
          <w:kern w:val="0"/>
          <w:sz w:val="21"/>
          <w:szCs w:val="21"/>
          <w:highlight w:val="none"/>
          <w:lang w:val="zh-TW" w:eastAsia="zh-TW"/>
        </w:rPr>
        <w:t>……</w:t>
      </w:r>
    </w:p>
    <w:p w14:paraId="679EE7D8">
      <w:pPr>
        <w:pStyle w:val="13"/>
        <w:shd w:val="clear"/>
        <w:adjustRightInd w:val="0"/>
        <w:snapToGrid w:val="0"/>
        <w:spacing w:beforeLines="0" w:afterLines="0" w:line="360" w:lineRule="auto"/>
        <w:ind w:firstLine="420" w:firstLineChars="200"/>
        <w:rPr>
          <w:rFonts w:hint="eastAsia" w:ascii="仿宋" w:hAnsi="仿宋" w:eastAsia="仿宋" w:cs="仿宋"/>
          <w:color w:val="auto"/>
          <w:sz w:val="21"/>
          <w:szCs w:val="21"/>
          <w:highlight w:val="none"/>
          <w:lang w:val="zh-TW" w:eastAsia="zh-TW"/>
        </w:rPr>
      </w:pPr>
      <w:r>
        <w:rPr>
          <w:rFonts w:hint="eastAsia" w:ascii="仿宋" w:hAnsi="仿宋" w:eastAsia="仿宋" w:cs="仿宋"/>
          <w:color w:val="auto"/>
          <w:kern w:val="0"/>
          <w:sz w:val="21"/>
          <w:szCs w:val="21"/>
          <w:highlight w:val="none"/>
          <w:lang w:val="zh-TW" w:eastAsia="zh-TW"/>
        </w:rPr>
        <w:t>日期：202</w:t>
      </w:r>
      <w:r>
        <w:rPr>
          <w:rFonts w:hint="eastAsia" w:ascii="仿宋" w:hAnsi="仿宋" w:eastAsia="仿宋" w:cs="仿宋"/>
          <w:color w:val="auto"/>
          <w:kern w:val="0"/>
          <w:sz w:val="21"/>
          <w:szCs w:val="21"/>
          <w:highlight w:val="none"/>
          <w:lang w:val="zh-TW"/>
        </w:rPr>
        <w:t>5</w:t>
      </w:r>
      <w:r>
        <w:rPr>
          <w:rFonts w:hint="eastAsia" w:ascii="仿宋" w:hAnsi="仿宋" w:eastAsia="仿宋" w:cs="仿宋"/>
          <w:color w:val="auto"/>
          <w:kern w:val="0"/>
          <w:sz w:val="21"/>
          <w:szCs w:val="21"/>
          <w:highlight w:val="none"/>
          <w:lang w:val="zh-TW" w:eastAsia="zh-TW"/>
        </w:rPr>
        <w:t>年  月  日</w:t>
      </w:r>
    </w:p>
    <w:p w14:paraId="0F604A18">
      <w:pPr>
        <w:pStyle w:val="13"/>
        <w:shd w:val="clear"/>
        <w:snapToGrid w:val="0"/>
        <w:spacing w:before="163" w:after="163" w:line="360" w:lineRule="auto"/>
        <w:ind w:firstLine="480"/>
        <w:rPr>
          <w:rFonts w:hint="eastAsia" w:ascii="仿宋" w:hAnsi="仿宋" w:eastAsia="仿宋" w:cs="仿宋"/>
          <w:color w:val="auto"/>
          <w:sz w:val="21"/>
          <w:szCs w:val="21"/>
          <w:highlight w:val="none"/>
        </w:rPr>
      </w:pPr>
    </w:p>
    <w:p w14:paraId="05BDF58A">
      <w:pPr>
        <w:shd w:val="clear"/>
        <w:rPr>
          <w:rFonts w:hint="eastAsia" w:ascii="仿宋" w:hAnsi="仿宋" w:eastAsia="仿宋" w:cs="仿宋"/>
          <w:color w:val="auto"/>
          <w:sz w:val="21"/>
          <w:szCs w:val="21"/>
          <w:highlight w:val="none"/>
        </w:rPr>
      </w:pPr>
    </w:p>
    <w:p w14:paraId="726ECB55">
      <w:pPr>
        <w:shd w:val="clear"/>
        <w:rPr>
          <w:rFonts w:hint="eastAsia" w:ascii="仿宋" w:hAnsi="仿宋" w:eastAsia="仿宋" w:cs="仿宋"/>
          <w:color w:val="auto"/>
          <w:sz w:val="21"/>
          <w:szCs w:val="21"/>
          <w:highlight w:val="none"/>
        </w:rPr>
      </w:pPr>
    </w:p>
    <w:p w14:paraId="3E3BDDC4">
      <w:pPr>
        <w:shd w:val="clear"/>
        <w:rPr>
          <w:rFonts w:hint="eastAsia" w:ascii="仿宋" w:hAnsi="仿宋" w:eastAsia="仿宋" w:cs="仿宋"/>
          <w:color w:val="auto"/>
          <w:sz w:val="21"/>
          <w:szCs w:val="21"/>
          <w:highlight w:val="none"/>
        </w:rPr>
      </w:pPr>
    </w:p>
    <w:p w14:paraId="118A327D">
      <w:pPr>
        <w:shd w:val="clear"/>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『编制说明』：</w:t>
      </w:r>
    </w:p>
    <w:p w14:paraId="77C31617">
      <w:pPr>
        <w:shd w:val="clear"/>
        <w:spacing w:line="360" w:lineRule="auto"/>
        <w:ind w:firstLine="371" w:firstLineChars="176"/>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1.《授权委托书》适用于法定代表人（单位负责人、自然人本人）以外的人员代表供应商参加投标。</w:t>
      </w:r>
    </w:p>
    <w:p w14:paraId="0784064F">
      <w:pPr>
        <w:shd w:val="clear"/>
        <w:spacing w:line="360" w:lineRule="auto"/>
        <w:ind w:firstLine="371" w:firstLineChars="176"/>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2.供应商为联合体的，联合体各方均需加盖公章或电子签名。</w:t>
      </w:r>
    </w:p>
    <w:p w14:paraId="60DCA26B">
      <w:pPr>
        <w:pStyle w:val="10"/>
        <w:shd w:val="clear"/>
        <w:ind w:firstLine="0"/>
        <w:rPr>
          <w:rFonts w:hint="eastAsia" w:ascii="仿宋" w:hAnsi="仿宋" w:eastAsia="仿宋" w:cs="仿宋"/>
          <w:color w:val="auto"/>
          <w:spacing w:val="0"/>
          <w:highlight w:val="none"/>
        </w:rPr>
      </w:pPr>
    </w:p>
    <w:p w14:paraId="20466B46">
      <w:pPr>
        <w:shd w:val="clear"/>
        <w:adjustRightInd w:val="0"/>
        <w:snapToGrid w:val="0"/>
        <w:spacing w:line="288" w:lineRule="auto"/>
        <w:ind w:firstLine="420" w:firstLineChars="200"/>
        <w:rPr>
          <w:rFonts w:hint="eastAsia" w:ascii="仿宋" w:hAnsi="仿宋" w:eastAsia="仿宋" w:cs="仿宋"/>
          <w:color w:val="auto"/>
          <w:sz w:val="21"/>
          <w:szCs w:val="21"/>
          <w:highlight w:val="none"/>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14:paraId="1EFF7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6" w:hRule="atLeast"/>
        </w:trPr>
        <w:tc>
          <w:tcPr>
            <w:tcW w:w="9320" w:type="dxa"/>
            <w:noWrap w:val="0"/>
            <w:vAlign w:val="top"/>
          </w:tcPr>
          <w:p w14:paraId="42E90505">
            <w:pPr>
              <w:shd w:val="clear"/>
              <w:adjustRightInd w:val="0"/>
              <w:snapToGrid w:val="0"/>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法定代表人身份证明：</w:t>
            </w:r>
          </w:p>
          <w:p w14:paraId="2C94F4E6">
            <w:pPr>
              <w:shd w:val="clear"/>
              <w:adjustRightInd w:val="0"/>
              <w:snapToGrid w:val="0"/>
              <w:spacing w:line="288" w:lineRule="auto"/>
              <w:rPr>
                <w:rFonts w:hint="eastAsia" w:ascii="仿宋" w:hAnsi="仿宋" w:eastAsia="仿宋" w:cs="仿宋"/>
                <w:color w:val="auto"/>
                <w:sz w:val="21"/>
                <w:szCs w:val="21"/>
                <w:highlight w:val="none"/>
              </w:rPr>
            </w:pPr>
          </w:p>
          <w:p w14:paraId="4878A01D">
            <w:pPr>
              <w:shd w:val="clear"/>
              <w:adjustRightInd w:val="0"/>
              <w:snapToGrid w:val="0"/>
              <w:spacing w:line="288" w:lineRule="auto"/>
              <w:rPr>
                <w:rFonts w:hint="eastAsia" w:ascii="仿宋" w:hAnsi="仿宋" w:eastAsia="仿宋" w:cs="仿宋"/>
                <w:color w:val="auto"/>
                <w:sz w:val="21"/>
                <w:szCs w:val="21"/>
                <w:highlight w:val="none"/>
              </w:rPr>
            </w:pPr>
          </w:p>
          <w:p w14:paraId="755D7A73">
            <w:pPr>
              <w:shd w:val="clear"/>
              <w:adjustRightInd w:val="0"/>
              <w:snapToGrid w:val="0"/>
              <w:spacing w:line="288" w:lineRule="auto"/>
              <w:rPr>
                <w:rFonts w:hint="eastAsia" w:ascii="仿宋" w:hAnsi="仿宋" w:eastAsia="仿宋" w:cs="仿宋"/>
                <w:color w:val="auto"/>
                <w:sz w:val="21"/>
                <w:szCs w:val="21"/>
                <w:highlight w:val="none"/>
              </w:rPr>
            </w:pPr>
          </w:p>
          <w:p w14:paraId="0D0E39B6">
            <w:pPr>
              <w:shd w:val="clear"/>
              <w:adjustRightInd w:val="0"/>
              <w:snapToGrid w:val="0"/>
              <w:spacing w:line="288" w:lineRule="auto"/>
              <w:rPr>
                <w:rFonts w:hint="eastAsia" w:ascii="仿宋" w:hAnsi="仿宋" w:eastAsia="仿宋" w:cs="仿宋"/>
                <w:color w:val="auto"/>
                <w:sz w:val="21"/>
                <w:szCs w:val="21"/>
                <w:highlight w:val="none"/>
              </w:rPr>
            </w:pPr>
          </w:p>
          <w:p w14:paraId="5668164B">
            <w:pPr>
              <w:shd w:val="clear"/>
              <w:adjustRightInd w:val="0"/>
              <w:snapToGrid w:val="0"/>
              <w:spacing w:line="288" w:lineRule="auto"/>
              <w:rPr>
                <w:rFonts w:hint="eastAsia" w:ascii="仿宋" w:hAnsi="仿宋" w:eastAsia="仿宋" w:cs="仿宋"/>
                <w:color w:val="auto"/>
                <w:sz w:val="21"/>
                <w:szCs w:val="21"/>
                <w:highlight w:val="none"/>
              </w:rPr>
            </w:pPr>
          </w:p>
          <w:p w14:paraId="0A9C12D6">
            <w:pPr>
              <w:shd w:val="clear"/>
              <w:adjustRightInd w:val="0"/>
              <w:snapToGrid w:val="0"/>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授权代表身份证明：</w:t>
            </w:r>
          </w:p>
          <w:p w14:paraId="1FE3F8E7">
            <w:pPr>
              <w:shd w:val="clear"/>
              <w:adjustRightInd w:val="0"/>
              <w:snapToGrid w:val="0"/>
              <w:spacing w:line="288" w:lineRule="auto"/>
              <w:rPr>
                <w:rFonts w:hint="eastAsia" w:ascii="仿宋" w:hAnsi="仿宋" w:eastAsia="仿宋" w:cs="仿宋"/>
                <w:color w:val="auto"/>
                <w:sz w:val="21"/>
                <w:szCs w:val="21"/>
                <w:highlight w:val="none"/>
              </w:rPr>
            </w:pPr>
          </w:p>
          <w:p w14:paraId="59644BC5">
            <w:pPr>
              <w:shd w:val="clear"/>
              <w:adjustRightInd w:val="0"/>
              <w:snapToGrid w:val="0"/>
              <w:spacing w:line="288" w:lineRule="auto"/>
              <w:rPr>
                <w:rFonts w:hint="eastAsia" w:ascii="仿宋" w:hAnsi="仿宋" w:eastAsia="仿宋" w:cs="仿宋"/>
                <w:color w:val="auto"/>
                <w:sz w:val="21"/>
                <w:szCs w:val="21"/>
                <w:highlight w:val="none"/>
              </w:rPr>
            </w:pPr>
          </w:p>
          <w:p w14:paraId="7BEE9A1F">
            <w:pPr>
              <w:shd w:val="clear"/>
              <w:adjustRightInd w:val="0"/>
              <w:snapToGrid w:val="0"/>
              <w:spacing w:line="288" w:lineRule="auto"/>
              <w:rPr>
                <w:rFonts w:hint="eastAsia" w:ascii="仿宋" w:hAnsi="仿宋" w:eastAsia="仿宋" w:cs="仿宋"/>
                <w:color w:val="auto"/>
                <w:sz w:val="21"/>
                <w:szCs w:val="21"/>
                <w:highlight w:val="none"/>
              </w:rPr>
            </w:pPr>
          </w:p>
          <w:p w14:paraId="0DAB14B8">
            <w:pPr>
              <w:shd w:val="clear"/>
              <w:adjustRightInd w:val="0"/>
              <w:snapToGrid w:val="0"/>
              <w:spacing w:line="288" w:lineRule="auto"/>
              <w:rPr>
                <w:rFonts w:hint="eastAsia" w:ascii="仿宋" w:hAnsi="仿宋" w:eastAsia="仿宋" w:cs="仿宋"/>
                <w:color w:val="auto"/>
                <w:sz w:val="21"/>
                <w:szCs w:val="21"/>
                <w:highlight w:val="none"/>
              </w:rPr>
            </w:pPr>
          </w:p>
        </w:tc>
      </w:tr>
    </w:tbl>
    <w:p w14:paraId="69D6FD92">
      <w:pPr>
        <w:shd w:val="clear"/>
        <w:adjustRightInd w:val="0"/>
        <w:snapToGrid w:val="0"/>
        <w:spacing w:line="288" w:lineRule="auto"/>
        <w:rPr>
          <w:rFonts w:hint="eastAsia" w:ascii="仿宋" w:hAnsi="仿宋" w:eastAsia="仿宋" w:cs="仿宋"/>
          <w:color w:val="auto"/>
          <w:sz w:val="21"/>
          <w:szCs w:val="21"/>
          <w:highlight w:val="none"/>
        </w:rPr>
      </w:pPr>
    </w:p>
    <w:p w14:paraId="023E6D07">
      <w:pPr>
        <w:shd w:val="clear"/>
        <w:adjustRightInd w:val="0"/>
        <w:snapToGrid w:val="0"/>
        <w:spacing w:line="288" w:lineRule="auto"/>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br w:type="page"/>
      </w:r>
    </w:p>
    <w:p w14:paraId="67BA4C11">
      <w:pPr>
        <w:shd w:val="clear"/>
        <w:autoSpaceDE w:val="0"/>
        <w:autoSpaceDN w:val="0"/>
        <w:spacing w:line="36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zh-CN"/>
        </w:rPr>
        <w:t>法定代表人、单位负责人或自然人本人</w:t>
      </w:r>
      <w:r>
        <w:rPr>
          <w:rFonts w:hint="eastAsia" w:ascii="仿宋" w:hAnsi="仿宋" w:eastAsia="仿宋" w:cs="仿宋"/>
          <w:b/>
          <w:color w:val="auto"/>
          <w:sz w:val="21"/>
          <w:szCs w:val="21"/>
          <w:highlight w:val="none"/>
        </w:rPr>
        <w:t>的身份证明（适用于法定代表人、单位负责人或者自然人本人代表供应商参加投标）</w:t>
      </w:r>
    </w:p>
    <w:p w14:paraId="5D74276C">
      <w:pPr>
        <w:pStyle w:val="68"/>
        <w:shd w:val="clear"/>
        <w:spacing w:line="360" w:lineRule="auto"/>
        <w:rPr>
          <w:rFonts w:hint="eastAsia" w:ascii="仿宋" w:hAnsi="仿宋" w:eastAsia="仿宋" w:cs="仿宋"/>
          <w:bCs/>
          <w:color w:val="auto"/>
          <w:highlight w:val="none"/>
        </w:rPr>
      </w:pPr>
      <w:r>
        <w:rPr>
          <w:rFonts w:hint="eastAsia" w:ascii="仿宋" w:hAnsi="仿宋" w:eastAsia="仿宋" w:cs="仿宋"/>
          <w:bCs/>
          <w:color w:val="auto"/>
          <w:highlight w:val="none"/>
        </w:rPr>
        <w:t>身份证件扫描件：</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0"/>
      </w:tblGrid>
      <w:tr w14:paraId="4549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7" w:hRule="atLeast"/>
          <w:jc w:val="center"/>
        </w:trPr>
        <w:tc>
          <w:tcPr>
            <w:tcW w:w="9040" w:type="dxa"/>
            <w:noWrap w:val="0"/>
            <w:vAlign w:val="top"/>
          </w:tcPr>
          <w:p w14:paraId="2D241A07">
            <w:pPr>
              <w:pStyle w:val="68"/>
              <w:shd w:val="clear"/>
              <w:adjustRightInd w:val="0"/>
              <w:spacing w:line="360" w:lineRule="auto"/>
              <w:rPr>
                <w:rFonts w:hint="eastAsia" w:ascii="仿宋" w:hAnsi="仿宋" w:eastAsia="仿宋" w:cs="仿宋"/>
                <w:bCs/>
                <w:color w:val="auto"/>
                <w:highlight w:val="none"/>
              </w:rPr>
            </w:pPr>
            <w:r>
              <w:rPr>
                <w:rFonts w:hint="eastAsia" w:ascii="仿宋" w:hAnsi="仿宋" w:eastAsia="仿宋" w:cs="仿宋"/>
                <w:bCs/>
                <w:color w:val="auto"/>
                <w:highlight w:val="none"/>
              </w:rPr>
              <w:t>正面：                                 反面：</w:t>
            </w:r>
          </w:p>
          <w:p w14:paraId="19B566AF">
            <w:pPr>
              <w:pStyle w:val="68"/>
              <w:shd w:val="clear"/>
              <w:adjustRightInd w:val="0"/>
              <w:spacing w:line="360" w:lineRule="auto"/>
              <w:rPr>
                <w:rFonts w:hint="eastAsia" w:ascii="仿宋" w:hAnsi="仿宋" w:eastAsia="仿宋" w:cs="仿宋"/>
                <w:bCs/>
                <w:color w:val="auto"/>
                <w:highlight w:val="none"/>
              </w:rPr>
            </w:pPr>
          </w:p>
        </w:tc>
      </w:tr>
    </w:tbl>
    <w:p w14:paraId="47B0E58C">
      <w:pPr>
        <w:pStyle w:val="13"/>
        <w:shd w:val="clear"/>
        <w:adjustRightInd w:val="0"/>
        <w:snapToGrid w:val="0"/>
        <w:spacing w:before="163" w:after="163" w:line="360" w:lineRule="auto"/>
        <w:ind w:firstLine="420"/>
        <w:rPr>
          <w:rFonts w:hint="eastAsia" w:ascii="仿宋" w:hAnsi="仿宋" w:eastAsia="仿宋" w:cs="仿宋"/>
          <w:color w:val="auto"/>
          <w:sz w:val="21"/>
          <w:szCs w:val="21"/>
          <w:highlight w:val="none"/>
          <w:lang w:val="zh-TW" w:eastAsia="zh-TW"/>
        </w:rPr>
      </w:pPr>
    </w:p>
    <w:p w14:paraId="758768E9">
      <w:pPr>
        <w:pStyle w:val="13"/>
        <w:shd w:val="clear"/>
        <w:adjustRightInd w:val="0"/>
        <w:snapToGrid w:val="0"/>
        <w:spacing w:before="163" w:after="163" w:line="360" w:lineRule="auto"/>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TW" w:eastAsia="zh-TW"/>
        </w:rPr>
        <w:t>供应商全称（盖单位公章）：</w:t>
      </w:r>
    </w:p>
    <w:p w14:paraId="79B1AE25">
      <w:pPr>
        <w:shd w:val="clear"/>
        <w:ind w:right="-142" w:rightChars="-59" w:firstLine="420" w:firstLineChars="200"/>
        <w:rPr>
          <w:rFonts w:hint="eastAsia" w:ascii="仿宋" w:hAnsi="仿宋" w:eastAsia="仿宋" w:cs="仿宋"/>
          <w:color w:val="auto"/>
          <w:sz w:val="21"/>
          <w:szCs w:val="21"/>
          <w:highlight w:val="none"/>
          <w:lang w:val="zh-TW" w:eastAsia="zh-TW"/>
        </w:rPr>
      </w:pPr>
      <w:r>
        <w:rPr>
          <w:rFonts w:hint="eastAsia" w:ascii="仿宋" w:hAnsi="仿宋" w:eastAsia="仿宋" w:cs="仿宋"/>
          <w:color w:val="auto"/>
          <w:sz w:val="21"/>
          <w:szCs w:val="21"/>
          <w:highlight w:val="none"/>
          <w:lang w:val="zh-TW" w:eastAsia="zh-TW"/>
        </w:rPr>
        <w:t>日期：202</w:t>
      </w:r>
      <w:r>
        <w:rPr>
          <w:rFonts w:hint="eastAsia" w:ascii="仿宋" w:hAnsi="仿宋" w:eastAsia="仿宋" w:cs="仿宋"/>
          <w:color w:val="auto"/>
          <w:sz w:val="21"/>
          <w:szCs w:val="21"/>
          <w:highlight w:val="none"/>
          <w:lang w:val="zh-TW"/>
        </w:rPr>
        <w:t>5</w:t>
      </w:r>
      <w:r>
        <w:rPr>
          <w:rFonts w:hint="eastAsia" w:ascii="仿宋" w:hAnsi="仿宋" w:eastAsia="仿宋" w:cs="仿宋"/>
          <w:color w:val="auto"/>
          <w:sz w:val="21"/>
          <w:szCs w:val="21"/>
          <w:highlight w:val="none"/>
          <w:lang w:val="zh-TW" w:eastAsia="zh-TW"/>
        </w:rPr>
        <w:t>年  月  日</w:t>
      </w:r>
    </w:p>
    <w:p w14:paraId="30E1BF6A">
      <w:pPr>
        <w:shd w:val="clear"/>
        <w:adjustRightInd w:val="0"/>
        <w:snapToGrid w:val="0"/>
        <w:spacing w:line="288" w:lineRule="auto"/>
        <w:rPr>
          <w:rFonts w:hint="eastAsia" w:ascii="仿宋" w:hAnsi="仿宋" w:eastAsia="仿宋" w:cs="仿宋"/>
          <w:color w:val="auto"/>
          <w:sz w:val="21"/>
          <w:szCs w:val="21"/>
          <w:highlight w:val="none"/>
        </w:rPr>
      </w:pPr>
    </w:p>
    <w:p w14:paraId="1130AABA">
      <w:pPr>
        <w:shd w:val="clear"/>
        <w:adjustRightInd w:val="0"/>
        <w:snapToGrid w:val="0"/>
        <w:spacing w:line="288" w:lineRule="auto"/>
        <w:jc w:val="center"/>
        <w:outlineLvl w:val="1"/>
        <w:rPr>
          <w:rFonts w:hint="eastAsia" w:ascii="仿宋" w:hAnsi="仿宋" w:eastAsia="仿宋" w:cs="仿宋"/>
          <w:b/>
          <w:bCs/>
          <w:color w:val="auto"/>
          <w:sz w:val="21"/>
          <w:szCs w:val="21"/>
          <w:highlight w:val="none"/>
        </w:rPr>
      </w:pPr>
      <w:bookmarkStart w:id="157" w:name="_Toc28829"/>
      <w:r>
        <w:rPr>
          <w:rFonts w:hint="eastAsia" w:ascii="仿宋" w:hAnsi="仿宋" w:eastAsia="仿宋" w:cs="仿宋"/>
          <w:b/>
          <w:bCs/>
          <w:color w:val="auto"/>
          <w:sz w:val="21"/>
          <w:szCs w:val="21"/>
          <w:highlight w:val="none"/>
        </w:rPr>
        <w:br w:type="page"/>
      </w:r>
      <w:r>
        <w:rPr>
          <w:rFonts w:hint="eastAsia" w:ascii="仿宋" w:hAnsi="仿宋" w:eastAsia="仿宋" w:cs="仿宋"/>
          <w:b/>
          <w:bCs/>
          <w:color w:val="auto"/>
          <w:sz w:val="21"/>
          <w:szCs w:val="21"/>
          <w:highlight w:val="none"/>
        </w:rPr>
        <w:t>三、</w:t>
      </w:r>
      <w:bookmarkEnd w:id="157"/>
      <w:r>
        <w:rPr>
          <w:rFonts w:hint="eastAsia" w:ascii="仿宋" w:hAnsi="仿宋" w:eastAsia="仿宋" w:cs="仿宋"/>
          <w:b/>
          <w:bCs/>
          <w:color w:val="auto"/>
          <w:sz w:val="21"/>
          <w:szCs w:val="21"/>
          <w:highlight w:val="none"/>
        </w:rPr>
        <w:t>采购需求偏离表</w:t>
      </w:r>
    </w:p>
    <w:p w14:paraId="6DEB3B43">
      <w:pPr>
        <w:shd w:val="clear"/>
        <w:adjustRightInd w:val="0"/>
        <w:snapToGrid w:val="0"/>
        <w:spacing w:line="288"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采 购 人：</w:t>
      </w:r>
      <w:r>
        <w:rPr>
          <w:rFonts w:hint="eastAsia" w:ascii="仿宋" w:hAnsi="仿宋" w:eastAsia="仿宋" w:cs="仿宋"/>
          <w:color w:val="auto"/>
          <w:sz w:val="21"/>
          <w:szCs w:val="21"/>
          <w:highlight w:val="none"/>
          <w:lang w:eastAsia="zh-CN"/>
        </w:rPr>
        <w:t>浙江万里学院</w:t>
      </w:r>
    </w:p>
    <w:p w14:paraId="3ACD46FC">
      <w:pPr>
        <w:shd w:val="clear"/>
        <w:adjustRightInd w:val="0"/>
        <w:snapToGrid w:val="0"/>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r>
        <w:rPr>
          <w:rFonts w:hint="eastAsia" w:ascii="仿宋" w:hAnsi="仿宋" w:eastAsia="仿宋" w:cs="仿宋"/>
          <w:color w:val="auto"/>
          <w:sz w:val="21"/>
          <w:szCs w:val="21"/>
          <w:highlight w:val="none"/>
          <w:lang w:eastAsia="zh-CN"/>
        </w:rPr>
        <w:t>金融数据库续建采购</w:t>
      </w:r>
    </w:p>
    <w:p w14:paraId="3DFAE8C8">
      <w:pPr>
        <w:shd w:val="clear"/>
        <w:adjustRightInd w:val="0"/>
        <w:snapToGrid w:val="0"/>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项目编号：</w:t>
      </w:r>
      <w:r>
        <w:rPr>
          <w:rFonts w:hint="eastAsia" w:ascii="仿宋" w:hAnsi="仿宋" w:eastAsia="仿宋" w:cs="仿宋"/>
          <w:color w:val="auto"/>
          <w:sz w:val="21"/>
          <w:szCs w:val="21"/>
          <w:highlight w:val="none"/>
          <w:lang w:eastAsia="zh-CN"/>
        </w:rPr>
        <w:t>CTZB-2025070077</w:t>
      </w:r>
      <w:r>
        <w:rPr>
          <w:rFonts w:hint="eastAsia" w:ascii="仿宋" w:hAnsi="仿宋" w:eastAsia="仿宋" w:cs="仿宋"/>
          <w:color w:val="auto"/>
          <w:sz w:val="21"/>
          <w:szCs w:val="21"/>
          <w:highlight w:val="none"/>
          <w:lang w:eastAsia="zh-CN"/>
        </w:rPr>
        <w:tab/>
      </w:r>
    </w:p>
    <w:tbl>
      <w:tblPr>
        <w:tblStyle w:val="28"/>
        <w:tblW w:w="0" w:type="auto"/>
        <w:jc w:val="center"/>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Layout w:type="fixed"/>
        <w:tblCellMar>
          <w:top w:w="0" w:type="dxa"/>
          <w:left w:w="108" w:type="dxa"/>
          <w:bottom w:w="0" w:type="dxa"/>
          <w:right w:w="108" w:type="dxa"/>
        </w:tblCellMar>
      </w:tblPr>
      <w:tblGrid>
        <w:gridCol w:w="1004"/>
        <w:gridCol w:w="3221"/>
        <w:gridCol w:w="2854"/>
        <w:gridCol w:w="2360"/>
      </w:tblGrid>
      <w:tr w14:paraId="32C5AF1D">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PrEx>
        <w:trPr>
          <w:trHeight w:val="397" w:hRule="atLeast"/>
          <w:jc w:val="center"/>
        </w:trPr>
        <w:tc>
          <w:tcPr>
            <w:tcW w:w="1004" w:type="dxa"/>
            <w:noWrap w:val="0"/>
            <w:vAlign w:val="center"/>
          </w:tcPr>
          <w:p w14:paraId="66330658">
            <w:pPr>
              <w:shd w:val="clear"/>
              <w:adjustRightInd w:val="0"/>
              <w:snapToGrid w:val="0"/>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3221" w:type="dxa"/>
            <w:noWrap w:val="0"/>
            <w:vAlign w:val="center"/>
          </w:tcPr>
          <w:p w14:paraId="0B9EE38B">
            <w:pPr>
              <w:shd w:val="clear"/>
              <w:adjustRightInd w:val="0"/>
              <w:snapToGrid w:val="0"/>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磋商文件要求</w:t>
            </w:r>
          </w:p>
        </w:tc>
        <w:tc>
          <w:tcPr>
            <w:tcW w:w="2854" w:type="dxa"/>
            <w:noWrap w:val="0"/>
            <w:vAlign w:val="center"/>
          </w:tcPr>
          <w:p w14:paraId="7C996D5F">
            <w:pPr>
              <w:shd w:val="clear"/>
              <w:adjustRightInd w:val="0"/>
              <w:snapToGrid w:val="0"/>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响应内容</w:t>
            </w:r>
          </w:p>
        </w:tc>
        <w:tc>
          <w:tcPr>
            <w:tcW w:w="2360" w:type="dxa"/>
            <w:noWrap w:val="0"/>
            <w:vAlign w:val="center"/>
          </w:tcPr>
          <w:p w14:paraId="4A2DEF39">
            <w:pPr>
              <w:shd w:val="clear"/>
              <w:adjustRightInd w:val="0"/>
              <w:snapToGrid w:val="0"/>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是否偏离（提供说明）</w:t>
            </w:r>
          </w:p>
        </w:tc>
      </w:tr>
      <w:tr w14:paraId="5FD19AED">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39" w:type="dxa"/>
            <w:gridSpan w:val="4"/>
            <w:noWrap w:val="0"/>
            <w:vAlign w:val="center"/>
          </w:tcPr>
          <w:p w14:paraId="16EE280C">
            <w:pPr>
              <w:shd w:val="clear"/>
              <w:adjustRightInd w:val="0"/>
              <w:snapToGrid w:val="0"/>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采购资金的支付方式、时间、条件</w:t>
            </w:r>
          </w:p>
        </w:tc>
      </w:tr>
      <w:tr w14:paraId="4AC686A7">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noWrap w:val="0"/>
            <w:vAlign w:val="center"/>
          </w:tcPr>
          <w:p w14:paraId="5538FEBA">
            <w:pPr>
              <w:shd w:val="clear"/>
              <w:adjustRightInd w:val="0"/>
              <w:snapToGrid w:val="0"/>
              <w:spacing w:line="288"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3221" w:type="dxa"/>
            <w:noWrap w:val="0"/>
            <w:vAlign w:val="center"/>
          </w:tcPr>
          <w:p w14:paraId="4058E31F">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2854" w:type="dxa"/>
            <w:noWrap w:val="0"/>
            <w:vAlign w:val="center"/>
          </w:tcPr>
          <w:p w14:paraId="219A9919">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2360" w:type="dxa"/>
            <w:noWrap w:val="0"/>
            <w:vAlign w:val="center"/>
          </w:tcPr>
          <w:p w14:paraId="59E60A5B">
            <w:pPr>
              <w:shd w:val="clear"/>
              <w:adjustRightInd w:val="0"/>
              <w:snapToGrid w:val="0"/>
              <w:spacing w:line="288" w:lineRule="auto"/>
              <w:jc w:val="center"/>
              <w:rPr>
                <w:rFonts w:hint="eastAsia" w:ascii="仿宋" w:hAnsi="仿宋" w:eastAsia="仿宋" w:cs="仿宋"/>
                <w:color w:val="auto"/>
                <w:sz w:val="21"/>
                <w:szCs w:val="21"/>
                <w:highlight w:val="none"/>
              </w:rPr>
            </w:pPr>
          </w:p>
        </w:tc>
      </w:tr>
      <w:tr w14:paraId="7A1991C7">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noWrap w:val="0"/>
            <w:vAlign w:val="center"/>
          </w:tcPr>
          <w:p w14:paraId="27D883D5">
            <w:pPr>
              <w:shd w:val="clear"/>
              <w:adjustRightInd w:val="0"/>
              <w:snapToGrid w:val="0"/>
              <w:spacing w:line="288"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3221" w:type="dxa"/>
            <w:noWrap w:val="0"/>
            <w:vAlign w:val="center"/>
          </w:tcPr>
          <w:p w14:paraId="15817D29">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2854" w:type="dxa"/>
            <w:noWrap w:val="0"/>
            <w:vAlign w:val="center"/>
          </w:tcPr>
          <w:p w14:paraId="41008610">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2360" w:type="dxa"/>
            <w:noWrap w:val="0"/>
            <w:vAlign w:val="center"/>
          </w:tcPr>
          <w:p w14:paraId="76C50D20">
            <w:pPr>
              <w:shd w:val="clear"/>
              <w:adjustRightInd w:val="0"/>
              <w:snapToGrid w:val="0"/>
              <w:spacing w:line="288" w:lineRule="auto"/>
              <w:jc w:val="center"/>
              <w:rPr>
                <w:rFonts w:hint="eastAsia" w:ascii="仿宋" w:hAnsi="仿宋" w:eastAsia="仿宋" w:cs="仿宋"/>
                <w:color w:val="auto"/>
                <w:sz w:val="21"/>
                <w:szCs w:val="21"/>
                <w:highlight w:val="none"/>
              </w:rPr>
            </w:pPr>
          </w:p>
        </w:tc>
      </w:tr>
      <w:tr w14:paraId="1AB601D7">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noWrap w:val="0"/>
            <w:vAlign w:val="center"/>
          </w:tcPr>
          <w:p w14:paraId="6AE6BCFA">
            <w:pPr>
              <w:shd w:val="clear"/>
              <w:adjustRightInd w:val="0"/>
              <w:snapToGrid w:val="0"/>
              <w:spacing w:line="288"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3221" w:type="dxa"/>
            <w:noWrap w:val="0"/>
            <w:vAlign w:val="center"/>
          </w:tcPr>
          <w:p w14:paraId="04EB4755">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2854" w:type="dxa"/>
            <w:noWrap w:val="0"/>
            <w:vAlign w:val="center"/>
          </w:tcPr>
          <w:p w14:paraId="79646C10">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2360" w:type="dxa"/>
            <w:noWrap w:val="0"/>
            <w:vAlign w:val="center"/>
          </w:tcPr>
          <w:p w14:paraId="570B2BC3">
            <w:pPr>
              <w:shd w:val="clear"/>
              <w:adjustRightInd w:val="0"/>
              <w:snapToGrid w:val="0"/>
              <w:spacing w:line="288" w:lineRule="auto"/>
              <w:jc w:val="center"/>
              <w:rPr>
                <w:rFonts w:hint="eastAsia" w:ascii="仿宋" w:hAnsi="仿宋" w:eastAsia="仿宋" w:cs="仿宋"/>
                <w:color w:val="auto"/>
                <w:sz w:val="21"/>
                <w:szCs w:val="21"/>
                <w:highlight w:val="none"/>
              </w:rPr>
            </w:pPr>
          </w:p>
        </w:tc>
      </w:tr>
      <w:tr w14:paraId="79BDFFDB">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39" w:type="dxa"/>
            <w:gridSpan w:val="4"/>
            <w:noWrap w:val="0"/>
            <w:vAlign w:val="center"/>
          </w:tcPr>
          <w:p w14:paraId="434DE6BF">
            <w:pPr>
              <w:shd w:val="clear"/>
              <w:adjustRightInd w:val="0"/>
              <w:snapToGrid w:val="0"/>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服务要求</w:t>
            </w:r>
          </w:p>
        </w:tc>
      </w:tr>
      <w:tr w14:paraId="709ECC48">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noWrap w:val="0"/>
            <w:vAlign w:val="center"/>
          </w:tcPr>
          <w:p w14:paraId="7AEA3568">
            <w:pPr>
              <w:shd w:val="clear"/>
              <w:adjustRightInd w:val="0"/>
              <w:snapToGrid w:val="0"/>
              <w:spacing w:line="288"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3221" w:type="dxa"/>
            <w:noWrap w:val="0"/>
            <w:vAlign w:val="center"/>
          </w:tcPr>
          <w:p w14:paraId="7BD8E99D">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2854" w:type="dxa"/>
            <w:noWrap w:val="0"/>
            <w:vAlign w:val="center"/>
          </w:tcPr>
          <w:p w14:paraId="1BE2FBC1">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2360" w:type="dxa"/>
            <w:noWrap w:val="0"/>
            <w:vAlign w:val="center"/>
          </w:tcPr>
          <w:p w14:paraId="19878E00">
            <w:pPr>
              <w:shd w:val="clear"/>
              <w:adjustRightInd w:val="0"/>
              <w:snapToGrid w:val="0"/>
              <w:spacing w:line="288" w:lineRule="auto"/>
              <w:jc w:val="center"/>
              <w:rPr>
                <w:rFonts w:hint="eastAsia" w:ascii="仿宋" w:hAnsi="仿宋" w:eastAsia="仿宋" w:cs="仿宋"/>
                <w:color w:val="auto"/>
                <w:sz w:val="21"/>
                <w:szCs w:val="21"/>
                <w:highlight w:val="none"/>
              </w:rPr>
            </w:pPr>
          </w:p>
        </w:tc>
      </w:tr>
      <w:tr w14:paraId="1A044BF9">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noWrap w:val="0"/>
            <w:vAlign w:val="center"/>
          </w:tcPr>
          <w:p w14:paraId="79DA731C">
            <w:pPr>
              <w:shd w:val="clear"/>
              <w:adjustRightInd w:val="0"/>
              <w:snapToGrid w:val="0"/>
              <w:spacing w:line="288"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3221" w:type="dxa"/>
            <w:noWrap w:val="0"/>
            <w:vAlign w:val="center"/>
          </w:tcPr>
          <w:p w14:paraId="3A355950">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2854" w:type="dxa"/>
            <w:noWrap w:val="0"/>
            <w:vAlign w:val="center"/>
          </w:tcPr>
          <w:p w14:paraId="6A75BA91">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2360" w:type="dxa"/>
            <w:noWrap w:val="0"/>
            <w:vAlign w:val="center"/>
          </w:tcPr>
          <w:p w14:paraId="264A4D55">
            <w:pPr>
              <w:shd w:val="clear"/>
              <w:adjustRightInd w:val="0"/>
              <w:snapToGrid w:val="0"/>
              <w:spacing w:line="288" w:lineRule="auto"/>
              <w:jc w:val="center"/>
              <w:rPr>
                <w:rFonts w:hint="eastAsia" w:ascii="仿宋" w:hAnsi="仿宋" w:eastAsia="仿宋" w:cs="仿宋"/>
                <w:color w:val="auto"/>
                <w:sz w:val="21"/>
                <w:szCs w:val="21"/>
                <w:highlight w:val="none"/>
              </w:rPr>
            </w:pPr>
          </w:p>
        </w:tc>
      </w:tr>
      <w:tr w14:paraId="542B1421">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noWrap w:val="0"/>
            <w:vAlign w:val="center"/>
          </w:tcPr>
          <w:p w14:paraId="087546E2">
            <w:pPr>
              <w:shd w:val="clear"/>
              <w:adjustRightInd w:val="0"/>
              <w:snapToGrid w:val="0"/>
              <w:spacing w:line="288"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3221" w:type="dxa"/>
            <w:noWrap w:val="0"/>
            <w:vAlign w:val="center"/>
          </w:tcPr>
          <w:p w14:paraId="138AB237">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2854" w:type="dxa"/>
            <w:noWrap w:val="0"/>
            <w:vAlign w:val="center"/>
          </w:tcPr>
          <w:p w14:paraId="19C9E396">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2360" w:type="dxa"/>
            <w:noWrap w:val="0"/>
            <w:vAlign w:val="center"/>
          </w:tcPr>
          <w:p w14:paraId="5FC6ED50">
            <w:pPr>
              <w:shd w:val="clear"/>
              <w:adjustRightInd w:val="0"/>
              <w:snapToGrid w:val="0"/>
              <w:spacing w:line="288" w:lineRule="auto"/>
              <w:jc w:val="center"/>
              <w:rPr>
                <w:rFonts w:hint="eastAsia" w:ascii="仿宋" w:hAnsi="仿宋" w:eastAsia="仿宋" w:cs="仿宋"/>
                <w:color w:val="auto"/>
                <w:sz w:val="21"/>
                <w:szCs w:val="21"/>
                <w:highlight w:val="none"/>
              </w:rPr>
            </w:pPr>
          </w:p>
        </w:tc>
      </w:tr>
      <w:tr w14:paraId="300D9A58">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439" w:type="dxa"/>
            <w:gridSpan w:val="4"/>
            <w:noWrap w:val="0"/>
            <w:vAlign w:val="center"/>
          </w:tcPr>
          <w:p w14:paraId="191ABC1C">
            <w:pPr>
              <w:shd w:val="clear"/>
              <w:adjustRightInd w:val="0"/>
              <w:snapToGrid w:val="0"/>
              <w:spacing w:line="288" w:lineRule="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技术要求</w:t>
            </w:r>
          </w:p>
        </w:tc>
      </w:tr>
      <w:tr w14:paraId="6FC627D8">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noWrap w:val="0"/>
            <w:vAlign w:val="center"/>
          </w:tcPr>
          <w:p w14:paraId="35839E7C">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3221" w:type="dxa"/>
            <w:noWrap w:val="0"/>
            <w:vAlign w:val="center"/>
          </w:tcPr>
          <w:p w14:paraId="51BD1349">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2854" w:type="dxa"/>
            <w:noWrap w:val="0"/>
            <w:vAlign w:val="center"/>
          </w:tcPr>
          <w:p w14:paraId="3C759582">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2360" w:type="dxa"/>
            <w:noWrap w:val="0"/>
            <w:vAlign w:val="center"/>
          </w:tcPr>
          <w:p w14:paraId="3606C642">
            <w:pPr>
              <w:shd w:val="clear"/>
              <w:adjustRightInd w:val="0"/>
              <w:snapToGrid w:val="0"/>
              <w:spacing w:line="288" w:lineRule="auto"/>
              <w:jc w:val="center"/>
              <w:rPr>
                <w:rFonts w:hint="eastAsia" w:ascii="仿宋" w:hAnsi="仿宋" w:eastAsia="仿宋" w:cs="仿宋"/>
                <w:color w:val="auto"/>
                <w:sz w:val="21"/>
                <w:szCs w:val="21"/>
                <w:highlight w:val="none"/>
              </w:rPr>
            </w:pPr>
          </w:p>
        </w:tc>
      </w:tr>
      <w:tr w14:paraId="5CCFBCD4">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noWrap w:val="0"/>
            <w:vAlign w:val="center"/>
          </w:tcPr>
          <w:p w14:paraId="0EB5091E">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3221" w:type="dxa"/>
            <w:noWrap w:val="0"/>
            <w:vAlign w:val="center"/>
          </w:tcPr>
          <w:p w14:paraId="59A2DF1D">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2854" w:type="dxa"/>
            <w:noWrap w:val="0"/>
            <w:vAlign w:val="center"/>
          </w:tcPr>
          <w:p w14:paraId="5709EABD">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2360" w:type="dxa"/>
            <w:noWrap w:val="0"/>
            <w:vAlign w:val="center"/>
          </w:tcPr>
          <w:p w14:paraId="30350719">
            <w:pPr>
              <w:shd w:val="clear"/>
              <w:adjustRightInd w:val="0"/>
              <w:snapToGrid w:val="0"/>
              <w:spacing w:line="288" w:lineRule="auto"/>
              <w:jc w:val="center"/>
              <w:rPr>
                <w:rFonts w:hint="eastAsia" w:ascii="仿宋" w:hAnsi="仿宋" w:eastAsia="仿宋" w:cs="仿宋"/>
                <w:color w:val="auto"/>
                <w:sz w:val="21"/>
                <w:szCs w:val="21"/>
                <w:highlight w:val="none"/>
              </w:rPr>
            </w:pPr>
          </w:p>
        </w:tc>
      </w:tr>
      <w:tr w14:paraId="2EAB6DC2">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noWrap w:val="0"/>
            <w:vAlign w:val="center"/>
          </w:tcPr>
          <w:p w14:paraId="4265008B">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3221" w:type="dxa"/>
            <w:noWrap w:val="0"/>
            <w:vAlign w:val="center"/>
          </w:tcPr>
          <w:p w14:paraId="283925BE">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2854" w:type="dxa"/>
            <w:noWrap w:val="0"/>
            <w:vAlign w:val="center"/>
          </w:tcPr>
          <w:p w14:paraId="51E3C54F">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2360" w:type="dxa"/>
            <w:noWrap w:val="0"/>
            <w:vAlign w:val="center"/>
          </w:tcPr>
          <w:p w14:paraId="4E960734">
            <w:pPr>
              <w:shd w:val="clear"/>
              <w:adjustRightInd w:val="0"/>
              <w:snapToGrid w:val="0"/>
              <w:spacing w:line="288" w:lineRule="auto"/>
              <w:jc w:val="center"/>
              <w:rPr>
                <w:rFonts w:hint="eastAsia" w:ascii="仿宋" w:hAnsi="仿宋" w:eastAsia="仿宋" w:cs="仿宋"/>
                <w:color w:val="auto"/>
                <w:sz w:val="21"/>
                <w:szCs w:val="21"/>
                <w:highlight w:val="none"/>
              </w:rPr>
            </w:pPr>
          </w:p>
        </w:tc>
      </w:tr>
      <w:tr w14:paraId="170E5888">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004" w:type="dxa"/>
            <w:noWrap w:val="0"/>
            <w:vAlign w:val="center"/>
          </w:tcPr>
          <w:p w14:paraId="3D6E9720">
            <w:pPr>
              <w:shd w:val="clear"/>
              <w:adjustRightInd w:val="0"/>
              <w:snapToGrid w:val="0"/>
              <w:spacing w:line="288"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3221" w:type="dxa"/>
            <w:noWrap w:val="0"/>
            <w:vAlign w:val="center"/>
          </w:tcPr>
          <w:p w14:paraId="2CADE177">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2854" w:type="dxa"/>
            <w:noWrap w:val="0"/>
            <w:vAlign w:val="center"/>
          </w:tcPr>
          <w:p w14:paraId="37D39155">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2360" w:type="dxa"/>
            <w:noWrap w:val="0"/>
            <w:vAlign w:val="center"/>
          </w:tcPr>
          <w:p w14:paraId="42A8131C">
            <w:pPr>
              <w:shd w:val="clear"/>
              <w:adjustRightInd w:val="0"/>
              <w:snapToGrid w:val="0"/>
              <w:spacing w:line="288" w:lineRule="auto"/>
              <w:jc w:val="center"/>
              <w:rPr>
                <w:rFonts w:hint="eastAsia" w:ascii="仿宋" w:hAnsi="仿宋" w:eastAsia="仿宋" w:cs="仿宋"/>
                <w:color w:val="auto"/>
                <w:sz w:val="21"/>
                <w:szCs w:val="21"/>
                <w:highlight w:val="none"/>
              </w:rPr>
            </w:pPr>
          </w:p>
        </w:tc>
      </w:tr>
    </w:tbl>
    <w:p w14:paraId="71847ECD">
      <w:pPr>
        <w:shd w:val="clear"/>
        <w:adjustRightInd w:val="0"/>
        <w:snapToGrid w:val="0"/>
        <w:spacing w:line="288" w:lineRule="auto"/>
        <w:rPr>
          <w:rFonts w:hint="eastAsia" w:ascii="仿宋" w:hAnsi="仿宋" w:eastAsia="仿宋" w:cs="仿宋"/>
          <w:b/>
          <w:bCs/>
          <w:color w:val="auto"/>
          <w:sz w:val="21"/>
          <w:szCs w:val="21"/>
          <w:highlight w:val="none"/>
        </w:rPr>
      </w:pPr>
    </w:p>
    <w:p w14:paraId="1109D4BA">
      <w:pPr>
        <w:shd w:val="clear"/>
        <w:adjustRightInd w:val="0"/>
        <w:snapToGrid w:val="0"/>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供应商名称（电子签名/公章）：</w:t>
      </w:r>
    </w:p>
    <w:p w14:paraId="0EC96FEB">
      <w:pPr>
        <w:shd w:val="clear"/>
        <w:adjustRightInd w:val="0"/>
        <w:snapToGrid w:val="0"/>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日期：2025年  月  日</w:t>
      </w:r>
    </w:p>
    <w:p w14:paraId="121FEB1A">
      <w:pPr>
        <w:shd w:val="clear"/>
        <w:adjustRightInd w:val="0"/>
        <w:snapToGrid w:val="0"/>
        <w:spacing w:line="288" w:lineRule="auto"/>
        <w:rPr>
          <w:rFonts w:hint="eastAsia" w:ascii="仿宋" w:hAnsi="仿宋" w:eastAsia="仿宋" w:cs="仿宋"/>
          <w:b/>
          <w:bCs/>
          <w:color w:val="auto"/>
          <w:sz w:val="21"/>
          <w:szCs w:val="21"/>
          <w:highlight w:val="none"/>
        </w:rPr>
      </w:pPr>
    </w:p>
    <w:p w14:paraId="0CFF81C5">
      <w:pPr>
        <w:shd w:val="clear"/>
        <w:adjustRightInd w:val="0"/>
        <w:snapToGrid w:val="0"/>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填表说明：</w:t>
      </w:r>
    </w:p>
    <w:p w14:paraId="0B0DE38F">
      <w:pPr>
        <w:shd w:val="clear"/>
        <w:adjustRightInd w:val="0"/>
        <w:snapToGrid w:val="0"/>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1.逐项按照磋商文件要求填写响应内容。</w:t>
      </w:r>
    </w:p>
    <w:p w14:paraId="2A377EF7">
      <w:pPr>
        <w:shd w:val="clear"/>
        <w:adjustRightInd w:val="0"/>
        <w:snapToGrid w:val="0"/>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2.偏离说明是指对磋商文件要求存在不同之处的解释说明。偏离系指：正偏离（高于采购需求）、负偏离（低于采购需求）、无偏离（满足采购需求）。</w:t>
      </w:r>
    </w:p>
    <w:p w14:paraId="08523B89">
      <w:pPr>
        <w:shd w:val="clear"/>
        <w:adjustRightInd w:val="0"/>
        <w:snapToGrid w:val="0"/>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3.如不填写或未如实填写，自行承担磋商响应风险。</w:t>
      </w:r>
    </w:p>
    <w:p w14:paraId="1D687048">
      <w:pPr>
        <w:pStyle w:val="13"/>
        <w:shd w:val="clear"/>
        <w:adjustRightInd w:val="0"/>
        <w:snapToGrid w:val="0"/>
        <w:spacing w:before="163" w:after="163" w:line="300" w:lineRule="auto"/>
        <w:jc w:val="center"/>
        <w:outlineLvl w:val="1"/>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br w:type="page"/>
      </w:r>
      <w:bookmarkStart w:id="158" w:name="_Toc24677"/>
      <w:r>
        <w:rPr>
          <w:rFonts w:hint="eastAsia" w:ascii="仿宋" w:hAnsi="仿宋" w:eastAsia="仿宋" w:cs="仿宋"/>
          <w:b/>
          <w:bCs/>
          <w:color w:val="auto"/>
          <w:sz w:val="21"/>
          <w:szCs w:val="21"/>
          <w:highlight w:val="none"/>
        </w:rPr>
        <w:t>四、廉政承诺书</w:t>
      </w:r>
      <w:bookmarkEnd w:id="158"/>
    </w:p>
    <w:p w14:paraId="6B79B334">
      <w:pPr>
        <w:shd w:val="clea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浙江万里学院</w:t>
      </w:r>
      <w:r>
        <w:rPr>
          <w:rFonts w:hint="eastAsia" w:ascii="仿宋" w:hAnsi="仿宋" w:eastAsia="仿宋" w:cs="仿宋"/>
          <w:color w:val="auto"/>
          <w:sz w:val="21"/>
          <w:szCs w:val="21"/>
          <w:highlight w:val="none"/>
        </w:rPr>
        <w:t>：</w:t>
      </w:r>
    </w:p>
    <w:p w14:paraId="03B647E7">
      <w:pPr>
        <w:shd w:val="clea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我单位响应</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浙江万里学院</w:t>
      </w:r>
      <w:r>
        <w:rPr>
          <w:rFonts w:hint="eastAsia" w:ascii="仿宋" w:hAnsi="仿宋" w:eastAsia="仿宋" w:cs="仿宋"/>
          <w:color w:val="auto"/>
          <w:sz w:val="21"/>
          <w:szCs w:val="21"/>
          <w:highlight w:val="none"/>
        </w:rPr>
        <w:t xml:space="preserve">（采购人） </w:t>
      </w:r>
      <w:r>
        <w:rPr>
          <w:rFonts w:hint="eastAsia" w:ascii="仿宋" w:hAnsi="仿宋" w:eastAsia="仿宋" w:cs="仿宋"/>
          <w:color w:val="auto"/>
          <w:sz w:val="21"/>
          <w:szCs w:val="21"/>
          <w:highlight w:val="none"/>
          <w:u w:val="single"/>
        </w:rPr>
        <w:t xml:space="preserve">            项目</w:t>
      </w:r>
      <w:r>
        <w:rPr>
          <w:rFonts w:hint="eastAsia" w:ascii="仿宋" w:hAnsi="仿宋" w:eastAsia="仿宋" w:cs="仿宋"/>
          <w:color w:val="auto"/>
          <w:sz w:val="21"/>
          <w:szCs w:val="21"/>
          <w:highlight w:val="none"/>
        </w:rPr>
        <w:t>（项目名称）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（项目编号）采购要求参加磋商。在这次磋商过程中和成交后，我们将严格遵守国家法律法规要求，并郑重承诺：</w:t>
      </w:r>
    </w:p>
    <w:p w14:paraId="60C2DD49">
      <w:pPr>
        <w:shd w:val="clea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一、不向项目有关人员及部门赠送礼金礼物、有价证券、回扣以及中介费、介绍费、咨询费等好处费。</w:t>
      </w:r>
    </w:p>
    <w:p w14:paraId="7CC83C61">
      <w:pPr>
        <w:shd w:val="clea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二、不为项目有关人员及部门报销应由你方单位或个人支付的费用。</w:t>
      </w:r>
    </w:p>
    <w:p w14:paraId="2754005D">
      <w:pPr>
        <w:shd w:val="clea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三、不向项目有关人员及部门提供有可能影响公正的宴请和健身娱乐等活动。</w:t>
      </w:r>
    </w:p>
    <w:p w14:paraId="4E02F5B9">
      <w:pPr>
        <w:shd w:val="clea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四、不为项目有关人员及部门出国（境）、旅游等提供方便。</w:t>
      </w:r>
    </w:p>
    <w:p w14:paraId="6D4E9125">
      <w:pPr>
        <w:shd w:val="clea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五、不为项目有关人员个人装修住房、婚丧嫁娶、配偶子女工作安排等提供好处。</w:t>
      </w:r>
    </w:p>
    <w:p w14:paraId="6F05DE38">
      <w:pPr>
        <w:shd w:val="clea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如违反上述承诺，你单位有权立即取消我单位投标、成交资格，有权拒绝我单位在一定时期内进入你单位进行项目建设或其他经营活动，并通报同级政府采购监督管理部门。由此引起的相应损失均由我单位承担。</w:t>
      </w:r>
    </w:p>
    <w:p w14:paraId="2C814E65">
      <w:pPr>
        <w:shd w:val="clear"/>
        <w:rPr>
          <w:rFonts w:hint="eastAsia" w:ascii="仿宋" w:hAnsi="仿宋" w:eastAsia="仿宋" w:cs="仿宋"/>
          <w:color w:val="auto"/>
          <w:sz w:val="21"/>
          <w:szCs w:val="21"/>
          <w:highlight w:val="none"/>
        </w:rPr>
      </w:pPr>
    </w:p>
    <w:p w14:paraId="2A31BC9F">
      <w:pPr>
        <w:shd w:val="clear"/>
        <w:adjustRightInd w:val="0"/>
        <w:snapToGrid w:val="0"/>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供应商名称（电子签名/公章）：</w:t>
      </w:r>
    </w:p>
    <w:p w14:paraId="18EE1C1E">
      <w:pPr>
        <w:shd w:val="clear"/>
        <w:adjustRightInd w:val="0"/>
        <w:snapToGrid w:val="0"/>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日期：2025年  月  日</w:t>
      </w:r>
    </w:p>
    <w:p w14:paraId="0A781F03">
      <w:pPr>
        <w:shd w:val="clear"/>
        <w:adjustRightInd w:val="0"/>
        <w:snapToGrid w:val="0"/>
        <w:spacing w:line="288" w:lineRule="auto"/>
        <w:rPr>
          <w:rFonts w:hint="eastAsia" w:ascii="仿宋" w:hAnsi="仿宋" w:eastAsia="仿宋" w:cs="仿宋"/>
          <w:b/>
          <w:color w:val="auto"/>
          <w:sz w:val="21"/>
          <w:szCs w:val="21"/>
          <w:highlight w:val="none"/>
        </w:rPr>
      </w:pPr>
    </w:p>
    <w:p w14:paraId="4CD34DFC">
      <w:pPr>
        <w:pStyle w:val="13"/>
        <w:shd w:val="clear"/>
        <w:adjustRightInd w:val="0"/>
        <w:snapToGrid w:val="0"/>
        <w:spacing w:before="163" w:after="163" w:line="300" w:lineRule="auto"/>
        <w:jc w:val="center"/>
        <w:outlineLvl w:val="1"/>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br w:type="page"/>
      </w:r>
      <w:bookmarkStart w:id="159" w:name="_Toc24885"/>
      <w:bookmarkStart w:id="160" w:name="_Toc26598"/>
      <w:r>
        <w:rPr>
          <w:rFonts w:hint="eastAsia" w:ascii="仿宋" w:hAnsi="仿宋" w:eastAsia="仿宋" w:cs="仿宋"/>
          <w:b/>
          <w:bCs/>
          <w:color w:val="auto"/>
          <w:sz w:val="21"/>
          <w:szCs w:val="21"/>
          <w:highlight w:val="none"/>
        </w:rPr>
        <w:t>五、供应商类似业绩一览表</w:t>
      </w:r>
      <w:bookmarkEnd w:id="159"/>
    </w:p>
    <w:p w14:paraId="1E8CDCFB">
      <w:pPr>
        <w:shd w:val="clear"/>
        <w:adjustRightInd w:val="0"/>
        <w:snapToGrid w:val="0"/>
        <w:spacing w:line="288"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采 购 人：</w:t>
      </w:r>
      <w:r>
        <w:rPr>
          <w:rFonts w:hint="eastAsia" w:ascii="仿宋" w:hAnsi="仿宋" w:eastAsia="仿宋" w:cs="仿宋"/>
          <w:color w:val="auto"/>
          <w:sz w:val="21"/>
          <w:szCs w:val="21"/>
          <w:highlight w:val="none"/>
          <w:lang w:eastAsia="zh-CN"/>
        </w:rPr>
        <w:t>浙江万里学院</w:t>
      </w:r>
    </w:p>
    <w:p w14:paraId="70CC0C31">
      <w:pPr>
        <w:shd w:val="clear"/>
        <w:adjustRightInd w:val="0"/>
        <w:snapToGrid w:val="0"/>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r>
        <w:rPr>
          <w:rFonts w:hint="eastAsia" w:ascii="仿宋" w:hAnsi="仿宋" w:eastAsia="仿宋" w:cs="仿宋"/>
          <w:color w:val="auto"/>
          <w:sz w:val="21"/>
          <w:szCs w:val="21"/>
          <w:highlight w:val="none"/>
          <w:lang w:eastAsia="zh-CN"/>
        </w:rPr>
        <w:t>金融数据库续建采购</w:t>
      </w:r>
    </w:p>
    <w:p w14:paraId="0B302B8B">
      <w:pPr>
        <w:shd w:val="clear"/>
        <w:adjustRightInd w:val="0"/>
        <w:snapToGrid w:val="0"/>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项目编号：</w:t>
      </w:r>
      <w:r>
        <w:rPr>
          <w:rFonts w:hint="eastAsia" w:ascii="仿宋" w:hAnsi="仿宋" w:eastAsia="仿宋" w:cs="仿宋"/>
          <w:color w:val="auto"/>
          <w:sz w:val="21"/>
          <w:szCs w:val="21"/>
          <w:highlight w:val="none"/>
          <w:lang w:eastAsia="zh-CN"/>
        </w:rPr>
        <w:t>CTZB-2025070077</w:t>
      </w:r>
      <w:r>
        <w:rPr>
          <w:rFonts w:hint="eastAsia" w:ascii="仿宋" w:hAnsi="仿宋" w:eastAsia="仿宋" w:cs="仿宋"/>
          <w:color w:val="auto"/>
          <w:sz w:val="21"/>
          <w:szCs w:val="21"/>
          <w:highlight w:val="none"/>
          <w:lang w:eastAsia="zh-CN"/>
        </w:rPr>
        <w:tab/>
      </w:r>
    </w:p>
    <w:tbl>
      <w:tblPr>
        <w:tblStyle w:val="28"/>
        <w:tblW w:w="0" w:type="auto"/>
        <w:jc w:val="center"/>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Layout w:type="fixed"/>
        <w:tblCellMar>
          <w:top w:w="0" w:type="dxa"/>
          <w:left w:w="108" w:type="dxa"/>
          <w:bottom w:w="0" w:type="dxa"/>
          <w:right w:w="108" w:type="dxa"/>
        </w:tblCellMar>
      </w:tblPr>
      <w:tblGrid>
        <w:gridCol w:w="811"/>
        <w:gridCol w:w="1321"/>
        <w:gridCol w:w="1992"/>
        <w:gridCol w:w="1309"/>
        <w:gridCol w:w="937"/>
        <w:gridCol w:w="1572"/>
        <w:gridCol w:w="1256"/>
      </w:tblGrid>
      <w:tr w14:paraId="43433173">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892" w:hRule="atLeast"/>
          <w:jc w:val="center"/>
        </w:trPr>
        <w:tc>
          <w:tcPr>
            <w:tcW w:w="811" w:type="dxa"/>
            <w:noWrap w:val="0"/>
            <w:vAlign w:val="center"/>
          </w:tcPr>
          <w:p w14:paraId="15A5F7D1">
            <w:pPr>
              <w:shd w:val="clear"/>
              <w:adjustRightInd w:val="0"/>
              <w:snapToGrid w:val="0"/>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1321" w:type="dxa"/>
            <w:noWrap w:val="0"/>
            <w:vAlign w:val="center"/>
          </w:tcPr>
          <w:p w14:paraId="0E3830B2">
            <w:pPr>
              <w:shd w:val="clear"/>
              <w:adjustRightInd w:val="0"/>
              <w:snapToGrid w:val="0"/>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合同甲方</w:t>
            </w:r>
          </w:p>
        </w:tc>
        <w:tc>
          <w:tcPr>
            <w:tcW w:w="1992" w:type="dxa"/>
            <w:noWrap w:val="0"/>
            <w:vAlign w:val="center"/>
          </w:tcPr>
          <w:p w14:paraId="42755C17">
            <w:pPr>
              <w:shd w:val="clear"/>
              <w:adjustRightInd w:val="0"/>
              <w:snapToGrid w:val="0"/>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项目名称</w:t>
            </w:r>
          </w:p>
        </w:tc>
        <w:tc>
          <w:tcPr>
            <w:tcW w:w="1309" w:type="dxa"/>
            <w:noWrap w:val="0"/>
            <w:vAlign w:val="center"/>
          </w:tcPr>
          <w:p w14:paraId="5154F42C">
            <w:pPr>
              <w:shd w:val="clear"/>
              <w:adjustRightInd w:val="0"/>
              <w:snapToGrid w:val="0"/>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合同金额</w:t>
            </w:r>
          </w:p>
          <w:p w14:paraId="146D7566">
            <w:pPr>
              <w:shd w:val="clear"/>
              <w:adjustRightInd w:val="0"/>
              <w:snapToGrid w:val="0"/>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（万元）</w:t>
            </w:r>
          </w:p>
        </w:tc>
        <w:tc>
          <w:tcPr>
            <w:tcW w:w="937" w:type="dxa"/>
            <w:noWrap w:val="0"/>
            <w:vAlign w:val="center"/>
          </w:tcPr>
          <w:p w14:paraId="1092A975">
            <w:pPr>
              <w:shd w:val="clear"/>
              <w:adjustRightInd w:val="0"/>
              <w:snapToGrid w:val="0"/>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合同签订时间</w:t>
            </w:r>
          </w:p>
        </w:tc>
        <w:tc>
          <w:tcPr>
            <w:tcW w:w="1572" w:type="dxa"/>
            <w:noWrap w:val="0"/>
            <w:vAlign w:val="center"/>
          </w:tcPr>
          <w:p w14:paraId="44828827">
            <w:pPr>
              <w:shd w:val="clear"/>
              <w:adjustRightInd w:val="0"/>
              <w:snapToGrid w:val="0"/>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合同履行时间</w:t>
            </w:r>
          </w:p>
        </w:tc>
        <w:tc>
          <w:tcPr>
            <w:tcW w:w="1256" w:type="dxa"/>
            <w:noWrap w:val="0"/>
            <w:vAlign w:val="center"/>
          </w:tcPr>
          <w:p w14:paraId="49C82548">
            <w:pPr>
              <w:shd w:val="clear"/>
              <w:adjustRightInd w:val="0"/>
              <w:snapToGrid w:val="0"/>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附件页码</w:t>
            </w:r>
          </w:p>
        </w:tc>
      </w:tr>
      <w:tr w14:paraId="667134EF">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811" w:type="dxa"/>
            <w:noWrap w:val="0"/>
            <w:vAlign w:val="center"/>
          </w:tcPr>
          <w:p w14:paraId="65476AF0">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1321" w:type="dxa"/>
            <w:noWrap w:val="0"/>
            <w:vAlign w:val="center"/>
          </w:tcPr>
          <w:p w14:paraId="266E192C">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1992" w:type="dxa"/>
            <w:noWrap w:val="0"/>
            <w:vAlign w:val="center"/>
          </w:tcPr>
          <w:p w14:paraId="27379699">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1309" w:type="dxa"/>
            <w:noWrap w:val="0"/>
            <w:vAlign w:val="center"/>
          </w:tcPr>
          <w:p w14:paraId="68CA9EFA">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937" w:type="dxa"/>
            <w:noWrap w:val="0"/>
            <w:vAlign w:val="center"/>
          </w:tcPr>
          <w:p w14:paraId="7111E51C">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1572" w:type="dxa"/>
            <w:noWrap w:val="0"/>
            <w:vAlign w:val="center"/>
          </w:tcPr>
          <w:p w14:paraId="21713207">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1256" w:type="dxa"/>
            <w:noWrap w:val="0"/>
            <w:vAlign w:val="center"/>
          </w:tcPr>
          <w:p w14:paraId="6FBDA7F5">
            <w:pPr>
              <w:shd w:val="clear"/>
              <w:adjustRightInd w:val="0"/>
              <w:snapToGrid w:val="0"/>
              <w:spacing w:line="288" w:lineRule="auto"/>
              <w:jc w:val="center"/>
              <w:rPr>
                <w:rFonts w:hint="eastAsia" w:ascii="仿宋" w:hAnsi="仿宋" w:eastAsia="仿宋" w:cs="仿宋"/>
                <w:color w:val="auto"/>
                <w:sz w:val="21"/>
                <w:szCs w:val="21"/>
                <w:highlight w:val="none"/>
              </w:rPr>
            </w:pPr>
          </w:p>
        </w:tc>
      </w:tr>
      <w:tr w14:paraId="38AEC31D">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811" w:type="dxa"/>
            <w:noWrap w:val="0"/>
            <w:vAlign w:val="center"/>
          </w:tcPr>
          <w:p w14:paraId="37F63266">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1321" w:type="dxa"/>
            <w:noWrap w:val="0"/>
            <w:vAlign w:val="center"/>
          </w:tcPr>
          <w:p w14:paraId="23CE47DF">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1992" w:type="dxa"/>
            <w:noWrap w:val="0"/>
            <w:vAlign w:val="center"/>
          </w:tcPr>
          <w:p w14:paraId="2EBEF146">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1309" w:type="dxa"/>
            <w:noWrap w:val="0"/>
            <w:vAlign w:val="center"/>
          </w:tcPr>
          <w:p w14:paraId="6BC76728">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937" w:type="dxa"/>
            <w:noWrap w:val="0"/>
            <w:vAlign w:val="center"/>
          </w:tcPr>
          <w:p w14:paraId="271D00D8">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1572" w:type="dxa"/>
            <w:noWrap w:val="0"/>
            <w:vAlign w:val="center"/>
          </w:tcPr>
          <w:p w14:paraId="744D765F">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1256" w:type="dxa"/>
            <w:noWrap w:val="0"/>
            <w:vAlign w:val="center"/>
          </w:tcPr>
          <w:p w14:paraId="4233DF7D">
            <w:pPr>
              <w:shd w:val="clear"/>
              <w:adjustRightInd w:val="0"/>
              <w:snapToGrid w:val="0"/>
              <w:spacing w:line="288" w:lineRule="auto"/>
              <w:jc w:val="center"/>
              <w:rPr>
                <w:rFonts w:hint="eastAsia" w:ascii="仿宋" w:hAnsi="仿宋" w:eastAsia="仿宋" w:cs="仿宋"/>
                <w:color w:val="auto"/>
                <w:sz w:val="21"/>
                <w:szCs w:val="21"/>
                <w:highlight w:val="none"/>
              </w:rPr>
            </w:pPr>
          </w:p>
        </w:tc>
      </w:tr>
      <w:tr w14:paraId="336ECBCE">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811" w:type="dxa"/>
            <w:noWrap w:val="0"/>
            <w:vAlign w:val="center"/>
          </w:tcPr>
          <w:p w14:paraId="3ACB3C7D">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1321" w:type="dxa"/>
            <w:noWrap w:val="0"/>
            <w:vAlign w:val="center"/>
          </w:tcPr>
          <w:p w14:paraId="19A2B8DF">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1992" w:type="dxa"/>
            <w:noWrap w:val="0"/>
            <w:vAlign w:val="center"/>
          </w:tcPr>
          <w:p w14:paraId="4B189CA5">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1309" w:type="dxa"/>
            <w:noWrap w:val="0"/>
            <w:vAlign w:val="center"/>
          </w:tcPr>
          <w:p w14:paraId="6C111D43">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937" w:type="dxa"/>
            <w:noWrap w:val="0"/>
            <w:vAlign w:val="center"/>
          </w:tcPr>
          <w:p w14:paraId="5D261992">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1572" w:type="dxa"/>
            <w:noWrap w:val="0"/>
            <w:vAlign w:val="center"/>
          </w:tcPr>
          <w:p w14:paraId="43CE9FDA">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1256" w:type="dxa"/>
            <w:noWrap w:val="0"/>
            <w:vAlign w:val="center"/>
          </w:tcPr>
          <w:p w14:paraId="6CB1662F">
            <w:pPr>
              <w:shd w:val="clear"/>
              <w:adjustRightInd w:val="0"/>
              <w:snapToGrid w:val="0"/>
              <w:spacing w:line="288" w:lineRule="auto"/>
              <w:jc w:val="center"/>
              <w:rPr>
                <w:rFonts w:hint="eastAsia" w:ascii="仿宋" w:hAnsi="仿宋" w:eastAsia="仿宋" w:cs="仿宋"/>
                <w:color w:val="auto"/>
                <w:sz w:val="21"/>
                <w:szCs w:val="21"/>
                <w:highlight w:val="none"/>
              </w:rPr>
            </w:pPr>
          </w:p>
        </w:tc>
      </w:tr>
      <w:tr w14:paraId="49DD049D">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599" w:hRule="atLeast"/>
          <w:jc w:val="center"/>
        </w:trPr>
        <w:tc>
          <w:tcPr>
            <w:tcW w:w="811" w:type="dxa"/>
            <w:noWrap w:val="0"/>
            <w:vAlign w:val="center"/>
          </w:tcPr>
          <w:p w14:paraId="3BCC4D07">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1321" w:type="dxa"/>
            <w:noWrap w:val="0"/>
            <w:vAlign w:val="center"/>
          </w:tcPr>
          <w:p w14:paraId="58B69B87">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1992" w:type="dxa"/>
            <w:noWrap w:val="0"/>
            <w:vAlign w:val="center"/>
          </w:tcPr>
          <w:p w14:paraId="6A09F750">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1309" w:type="dxa"/>
            <w:noWrap w:val="0"/>
            <w:vAlign w:val="center"/>
          </w:tcPr>
          <w:p w14:paraId="65ED4893">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937" w:type="dxa"/>
            <w:noWrap w:val="0"/>
            <w:vAlign w:val="center"/>
          </w:tcPr>
          <w:p w14:paraId="440734D1">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1572" w:type="dxa"/>
            <w:noWrap w:val="0"/>
            <w:vAlign w:val="center"/>
          </w:tcPr>
          <w:p w14:paraId="4B916D30">
            <w:pPr>
              <w:shd w:val="clear"/>
              <w:adjustRightInd w:val="0"/>
              <w:snapToGrid w:val="0"/>
              <w:spacing w:line="288" w:lineRule="auto"/>
              <w:jc w:val="center"/>
              <w:rPr>
                <w:rFonts w:hint="eastAsia" w:ascii="仿宋" w:hAnsi="仿宋" w:eastAsia="仿宋" w:cs="仿宋"/>
                <w:color w:val="auto"/>
                <w:sz w:val="21"/>
                <w:szCs w:val="21"/>
                <w:highlight w:val="none"/>
              </w:rPr>
            </w:pPr>
          </w:p>
        </w:tc>
        <w:tc>
          <w:tcPr>
            <w:tcW w:w="1256" w:type="dxa"/>
            <w:noWrap w:val="0"/>
            <w:vAlign w:val="center"/>
          </w:tcPr>
          <w:p w14:paraId="7411A964">
            <w:pPr>
              <w:shd w:val="clear"/>
              <w:adjustRightInd w:val="0"/>
              <w:snapToGrid w:val="0"/>
              <w:spacing w:line="288" w:lineRule="auto"/>
              <w:jc w:val="center"/>
              <w:rPr>
                <w:rFonts w:hint="eastAsia" w:ascii="仿宋" w:hAnsi="仿宋" w:eastAsia="仿宋" w:cs="仿宋"/>
                <w:color w:val="auto"/>
                <w:sz w:val="21"/>
                <w:szCs w:val="21"/>
                <w:highlight w:val="none"/>
              </w:rPr>
            </w:pPr>
          </w:p>
        </w:tc>
      </w:tr>
    </w:tbl>
    <w:p w14:paraId="6864A96C">
      <w:pPr>
        <w:shd w:val="clear"/>
        <w:adjustRightInd w:val="0"/>
        <w:snapToGrid w:val="0"/>
        <w:spacing w:line="288" w:lineRule="auto"/>
        <w:rPr>
          <w:rFonts w:hint="eastAsia" w:ascii="仿宋" w:hAnsi="仿宋" w:eastAsia="仿宋" w:cs="仿宋"/>
          <w:color w:val="auto"/>
          <w:sz w:val="21"/>
          <w:szCs w:val="21"/>
          <w:highlight w:val="none"/>
        </w:rPr>
      </w:pPr>
    </w:p>
    <w:p w14:paraId="468C89B5">
      <w:pPr>
        <w:shd w:val="clear"/>
        <w:adjustRightInd w:val="0"/>
        <w:snapToGrid w:val="0"/>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说明：</w:t>
      </w:r>
    </w:p>
    <w:p w14:paraId="43794E68">
      <w:pPr>
        <w:shd w:val="clear"/>
        <w:adjustRightInd w:val="0"/>
        <w:snapToGrid w:val="0"/>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1.供应商须提供上述业绩合同扫描件；</w:t>
      </w:r>
    </w:p>
    <w:p w14:paraId="3327DE4E">
      <w:pPr>
        <w:shd w:val="clear"/>
        <w:adjustRightInd w:val="0"/>
        <w:snapToGrid w:val="0"/>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2.所有合同扫描件应清晰，应能体现合同签订时间、双方签名盖章等内容；</w:t>
      </w:r>
    </w:p>
    <w:p w14:paraId="21654BC9">
      <w:pPr>
        <w:shd w:val="clear"/>
        <w:adjustRightInd w:val="0"/>
        <w:snapToGrid w:val="0"/>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3.供应商应在不涉及商业秘密的前提下尽可能提供详细的合同扫描件内容。</w:t>
      </w:r>
    </w:p>
    <w:p w14:paraId="0236EEBC">
      <w:pPr>
        <w:shd w:val="clear"/>
        <w:adjustRightInd w:val="0"/>
        <w:snapToGrid w:val="0"/>
        <w:spacing w:line="288" w:lineRule="auto"/>
        <w:rPr>
          <w:rFonts w:hint="eastAsia" w:ascii="仿宋" w:hAnsi="仿宋" w:eastAsia="仿宋" w:cs="仿宋"/>
          <w:color w:val="auto"/>
          <w:sz w:val="21"/>
          <w:szCs w:val="21"/>
          <w:highlight w:val="none"/>
        </w:rPr>
      </w:pPr>
    </w:p>
    <w:p w14:paraId="714DA2FB">
      <w:pPr>
        <w:shd w:val="clear"/>
        <w:adjustRightInd w:val="0"/>
        <w:snapToGrid w:val="0"/>
        <w:spacing w:line="288" w:lineRule="auto"/>
        <w:rPr>
          <w:rFonts w:hint="eastAsia" w:ascii="仿宋" w:hAnsi="仿宋" w:eastAsia="仿宋" w:cs="仿宋"/>
          <w:color w:val="auto"/>
          <w:sz w:val="21"/>
          <w:szCs w:val="21"/>
          <w:highlight w:val="none"/>
        </w:rPr>
      </w:pPr>
    </w:p>
    <w:p w14:paraId="02AF4606">
      <w:pPr>
        <w:shd w:val="clear"/>
        <w:adjustRightInd w:val="0"/>
        <w:snapToGrid w:val="0"/>
        <w:spacing w:line="288" w:lineRule="auto"/>
        <w:rPr>
          <w:rFonts w:hint="eastAsia" w:ascii="仿宋" w:hAnsi="仿宋" w:eastAsia="仿宋" w:cs="仿宋"/>
          <w:color w:val="auto"/>
          <w:sz w:val="21"/>
          <w:szCs w:val="21"/>
          <w:highlight w:val="none"/>
        </w:rPr>
      </w:pPr>
    </w:p>
    <w:p w14:paraId="07C7CD91">
      <w:pPr>
        <w:shd w:val="clear"/>
        <w:adjustRightInd w:val="0"/>
        <w:snapToGrid w:val="0"/>
        <w:spacing w:line="288" w:lineRule="auto"/>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供应商名称（电子签名/公章）：</w:t>
      </w:r>
    </w:p>
    <w:p w14:paraId="5B34658B">
      <w:pPr>
        <w:shd w:val="clear"/>
        <w:adjustRightInd w:val="0"/>
        <w:snapToGrid w:val="0"/>
        <w:spacing w:line="288" w:lineRule="auto"/>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日期：2025年  月  日</w:t>
      </w:r>
    </w:p>
    <w:p w14:paraId="5B788124">
      <w:pPr>
        <w:pStyle w:val="13"/>
        <w:shd w:val="clear"/>
        <w:adjustRightInd w:val="0"/>
        <w:snapToGrid w:val="0"/>
        <w:spacing w:before="163" w:after="163" w:line="300" w:lineRule="auto"/>
        <w:jc w:val="center"/>
        <w:outlineLvl w:val="1"/>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br w:type="page"/>
      </w:r>
      <w:r>
        <w:rPr>
          <w:rFonts w:hint="eastAsia" w:ascii="仿宋" w:hAnsi="仿宋" w:eastAsia="仿宋" w:cs="仿宋"/>
          <w:b/>
          <w:bCs/>
          <w:color w:val="auto"/>
          <w:sz w:val="21"/>
          <w:szCs w:val="21"/>
          <w:highlight w:val="none"/>
        </w:rPr>
        <w:t>六、服务团队</w:t>
      </w:r>
    </w:p>
    <w:p w14:paraId="38C0094B">
      <w:pPr>
        <w:pStyle w:val="70"/>
        <w:shd w:val="clear"/>
        <w:spacing w:line="288" w:lineRule="auto"/>
        <w:jc w:val="center"/>
        <w:rPr>
          <w:rFonts w:hint="eastAsia" w:ascii="仿宋" w:hAnsi="仿宋" w:eastAsia="仿宋" w:cs="仿宋"/>
          <w:color w:val="auto"/>
          <w:highlight w:val="none"/>
          <w:lang w:val="zh-TW"/>
        </w:rPr>
      </w:pPr>
      <w:r>
        <w:rPr>
          <w:rFonts w:hint="eastAsia" w:ascii="仿宋" w:hAnsi="仿宋" w:eastAsia="仿宋" w:cs="仿宋"/>
          <w:color w:val="auto"/>
          <w:highlight w:val="none"/>
        </w:rPr>
        <w:t>投入本项目人员情况表</w:t>
      </w:r>
      <w:r>
        <w:rPr>
          <w:rFonts w:hint="eastAsia" w:ascii="仿宋" w:hAnsi="仿宋" w:eastAsia="仿宋" w:cs="仿宋"/>
          <w:color w:val="auto"/>
          <w:highlight w:val="none"/>
          <w:lang w:val="zh-TW"/>
        </w:rPr>
        <w:t>（参考格式）</w:t>
      </w:r>
    </w:p>
    <w:tbl>
      <w:tblPr>
        <w:tblStyle w:val="28"/>
        <w:tblW w:w="0" w:type="auto"/>
        <w:jc w:val="center"/>
        <w:tblBorders>
          <w:top w:val="thinThickSmallGap" w:color="0070C0" w:sz="12" w:space="0"/>
          <w:left w:val="thinThickSmallGap" w:color="0070C0" w:sz="12" w:space="0"/>
          <w:bottom w:val="thinThickSmallGap" w:color="0070C0" w:sz="12" w:space="0"/>
          <w:right w:val="thinThickSmallGap" w:color="0070C0" w:sz="12" w:space="0"/>
          <w:insideH w:val="single" w:color="0070C0" w:sz="4" w:space="0"/>
          <w:insideV w:val="single" w:color="0070C0" w:sz="4" w:space="0"/>
        </w:tblBorders>
        <w:shd w:val="clear" w:color="auto" w:fill="FFFFFF"/>
        <w:tblLayout w:type="fixed"/>
        <w:tblCellMar>
          <w:top w:w="0" w:type="dxa"/>
          <w:left w:w="0" w:type="dxa"/>
          <w:bottom w:w="0" w:type="dxa"/>
          <w:right w:w="0" w:type="dxa"/>
        </w:tblCellMar>
      </w:tblPr>
      <w:tblGrid>
        <w:gridCol w:w="711"/>
        <w:gridCol w:w="1611"/>
        <w:gridCol w:w="678"/>
        <w:gridCol w:w="855"/>
        <w:gridCol w:w="2789"/>
        <w:gridCol w:w="1608"/>
        <w:gridCol w:w="1375"/>
      </w:tblGrid>
      <w:tr w14:paraId="3E9F11EC">
        <w:tblPrEx>
          <w:tblBorders>
            <w:top w:val="thinThickSmallGap" w:color="0070C0" w:sz="12" w:space="0"/>
            <w:left w:val="thinThickSmallGap" w:color="0070C0" w:sz="12" w:space="0"/>
            <w:bottom w:val="thinThickSmallGap" w:color="0070C0" w:sz="12" w:space="0"/>
            <w:right w:val="thinThickSmallGap" w:color="0070C0" w:sz="12" w:space="0"/>
            <w:insideH w:val="single" w:color="0070C0" w:sz="4" w:space="0"/>
            <w:insideV w:val="single" w:color="0070C0" w:sz="4" w:space="0"/>
          </w:tblBorders>
          <w:shd w:val="clear" w:color="auto" w:fill="FFFFFF"/>
          <w:tblCellMar>
            <w:top w:w="0" w:type="dxa"/>
            <w:left w:w="0" w:type="dxa"/>
            <w:bottom w:w="0" w:type="dxa"/>
            <w:right w:w="0" w:type="dxa"/>
          </w:tblCellMar>
        </w:tblPrEx>
        <w:trPr>
          <w:trHeight w:val="32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4CB8E27C">
            <w:pPr>
              <w:pStyle w:val="70"/>
              <w:shd w:val="clear"/>
              <w:spacing w:line="288" w:lineRule="auto"/>
              <w:jc w:val="center"/>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序号</w:t>
            </w:r>
          </w:p>
        </w:tc>
        <w:tc>
          <w:tcPr>
            <w:tcW w:w="1611"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59D525C0">
            <w:pPr>
              <w:pStyle w:val="70"/>
              <w:shd w:val="clear"/>
              <w:spacing w:line="288" w:lineRule="auto"/>
              <w:jc w:val="center"/>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姓  名</w:t>
            </w: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18DC6462">
            <w:pPr>
              <w:pStyle w:val="70"/>
              <w:shd w:val="clear"/>
              <w:spacing w:line="288" w:lineRule="auto"/>
              <w:jc w:val="center"/>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性别</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2F0C7914">
            <w:pPr>
              <w:pStyle w:val="70"/>
              <w:shd w:val="clear"/>
              <w:spacing w:line="288" w:lineRule="auto"/>
              <w:jc w:val="center"/>
              <w:rPr>
                <w:rFonts w:hint="eastAsia" w:ascii="仿宋" w:hAnsi="仿宋" w:eastAsia="仿宋" w:cs="仿宋"/>
                <w:color w:val="auto"/>
                <w:highlight w:val="none"/>
              </w:rPr>
            </w:pPr>
            <w:r>
              <w:rPr>
                <w:rFonts w:hint="eastAsia" w:ascii="仿宋" w:hAnsi="仿宋" w:eastAsia="仿宋" w:cs="仿宋"/>
                <w:color w:val="auto"/>
                <w:highlight w:val="none"/>
                <w:lang w:val="zh-TW" w:eastAsia="zh-TW"/>
              </w:rPr>
              <w:t>年龄</w:t>
            </w:r>
          </w:p>
        </w:tc>
        <w:tc>
          <w:tcPr>
            <w:tcW w:w="2789"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65EA026C">
            <w:pPr>
              <w:pStyle w:val="70"/>
              <w:shd w:val="clear"/>
              <w:spacing w:line="288"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资质证书</w:t>
            </w:r>
          </w:p>
        </w:tc>
        <w:tc>
          <w:tcPr>
            <w:tcW w:w="1608"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2485BBC8">
            <w:pPr>
              <w:pStyle w:val="70"/>
              <w:shd w:val="clear"/>
              <w:spacing w:line="288"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拟派</w:t>
            </w:r>
            <w:r>
              <w:rPr>
                <w:rFonts w:hint="eastAsia" w:ascii="仿宋" w:hAnsi="仿宋" w:eastAsia="仿宋" w:cs="仿宋"/>
                <w:color w:val="auto"/>
                <w:highlight w:val="none"/>
                <w:lang w:val="zh-TW" w:eastAsia="zh-TW"/>
              </w:rPr>
              <w:t>岗位</w:t>
            </w:r>
          </w:p>
        </w:tc>
        <w:tc>
          <w:tcPr>
            <w:tcW w:w="1375"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53F83FB4">
            <w:pPr>
              <w:pStyle w:val="70"/>
              <w:shd w:val="clear"/>
              <w:spacing w:line="288"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对应页码</w:t>
            </w:r>
          </w:p>
        </w:tc>
      </w:tr>
      <w:tr w14:paraId="50C0FE0E">
        <w:tblPrEx>
          <w:tblBorders>
            <w:top w:val="thinThickSmallGap" w:color="0070C0" w:sz="12" w:space="0"/>
            <w:left w:val="thinThickSmallGap" w:color="0070C0" w:sz="12" w:space="0"/>
            <w:bottom w:val="thinThickSmallGap" w:color="0070C0" w:sz="12" w:space="0"/>
            <w:right w:val="thinThickSmallGap" w:color="0070C0" w:sz="12" w:space="0"/>
            <w:insideH w:val="single" w:color="0070C0" w:sz="4" w:space="0"/>
            <w:insideV w:val="single" w:color="0070C0" w:sz="4" w:space="0"/>
          </w:tblBorders>
          <w:shd w:val="clear" w:color="auto" w:fill="FFFFFF"/>
          <w:tblCellMar>
            <w:top w:w="0" w:type="dxa"/>
            <w:left w:w="0" w:type="dxa"/>
            <w:bottom w:w="0" w:type="dxa"/>
            <w:right w:w="0" w:type="dxa"/>
          </w:tblCellMar>
        </w:tblPrEx>
        <w:trPr>
          <w:trHeight w:val="304"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3388E8EB">
            <w:pPr>
              <w:shd w:val="clear"/>
              <w:spacing w:line="288" w:lineRule="auto"/>
              <w:rPr>
                <w:rFonts w:hint="eastAsia" w:ascii="仿宋" w:hAnsi="仿宋" w:eastAsia="仿宋" w:cs="仿宋"/>
                <w:color w:val="auto"/>
                <w:sz w:val="21"/>
                <w:szCs w:val="21"/>
                <w:highlight w:val="none"/>
              </w:rPr>
            </w:pPr>
          </w:p>
        </w:tc>
        <w:tc>
          <w:tcPr>
            <w:tcW w:w="1611"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754CE252">
            <w:pPr>
              <w:shd w:val="clear"/>
              <w:spacing w:line="288" w:lineRule="auto"/>
              <w:rPr>
                <w:rFonts w:hint="eastAsia" w:ascii="仿宋" w:hAnsi="仿宋" w:eastAsia="仿宋" w:cs="仿宋"/>
                <w:color w:val="auto"/>
                <w:sz w:val="21"/>
                <w:szCs w:val="21"/>
                <w:highlight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3EFD0EB8">
            <w:pPr>
              <w:shd w:val="clear"/>
              <w:spacing w:line="288" w:lineRule="auto"/>
              <w:rPr>
                <w:rFonts w:hint="eastAsia" w:ascii="仿宋" w:hAnsi="仿宋" w:eastAsia="仿宋" w:cs="仿宋"/>
                <w:color w:val="auto"/>
                <w:sz w:val="21"/>
                <w:szCs w:val="21"/>
                <w:highlight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42516DEB">
            <w:pPr>
              <w:shd w:val="clear"/>
              <w:spacing w:line="288" w:lineRule="auto"/>
              <w:rPr>
                <w:rFonts w:hint="eastAsia" w:ascii="仿宋" w:hAnsi="仿宋" w:eastAsia="仿宋" w:cs="仿宋"/>
                <w:color w:val="auto"/>
                <w:sz w:val="21"/>
                <w:szCs w:val="21"/>
                <w:highlight w:val="none"/>
              </w:rPr>
            </w:pPr>
          </w:p>
        </w:tc>
        <w:tc>
          <w:tcPr>
            <w:tcW w:w="2789"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47428CE7">
            <w:pPr>
              <w:shd w:val="clear"/>
              <w:spacing w:line="288" w:lineRule="auto"/>
              <w:rPr>
                <w:rFonts w:hint="eastAsia" w:ascii="仿宋" w:hAnsi="仿宋" w:eastAsia="仿宋" w:cs="仿宋"/>
                <w:color w:val="auto"/>
                <w:sz w:val="21"/>
                <w:szCs w:val="21"/>
                <w:highlight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30964449">
            <w:pPr>
              <w:shd w:val="clear"/>
              <w:spacing w:line="288" w:lineRule="auto"/>
              <w:rPr>
                <w:rFonts w:hint="eastAsia" w:ascii="仿宋" w:hAnsi="仿宋" w:eastAsia="仿宋" w:cs="仿宋"/>
                <w:color w:val="auto"/>
                <w:sz w:val="21"/>
                <w:szCs w:val="21"/>
                <w:highlight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6735074F">
            <w:pPr>
              <w:shd w:val="clear"/>
              <w:spacing w:line="288" w:lineRule="auto"/>
              <w:rPr>
                <w:rFonts w:hint="eastAsia" w:ascii="仿宋" w:hAnsi="仿宋" w:eastAsia="仿宋" w:cs="仿宋"/>
                <w:color w:val="auto"/>
                <w:sz w:val="21"/>
                <w:szCs w:val="21"/>
                <w:highlight w:val="none"/>
              </w:rPr>
            </w:pPr>
          </w:p>
        </w:tc>
      </w:tr>
      <w:tr w14:paraId="5F30B68A">
        <w:tblPrEx>
          <w:tblBorders>
            <w:top w:val="thinThickSmallGap" w:color="0070C0" w:sz="12" w:space="0"/>
            <w:left w:val="thinThickSmallGap" w:color="0070C0" w:sz="12" w:space="0"/>
            <w:bottom w:val="thinThickSmallGap" w:color="0070C0" w:sz="12" w:space="0"/>
            <w:right w:val="thinThickSmallGap" w:color="0070C0" w:sz="12" w:space="0"/>
            <w:insideH w:val="single" w:color="0070C0" w:sz="4" w:space="0"/>
            <w:insideV w:val="single" w:color="0070C0" w:sz="4" w:space="0"/>
          </w:tblBorders>
          <w:shd w:val="clear" w:color="auto" w:fill="FFFFFF"/>
          <w:tblCellMar>
            <w:top w:w="0" w:type="dxa"/>
            <w:left w:w="0" w:type="dxa"/>
            <w:bottom w:w="0" w:type="dxa"/>
            <w:right w:w="0" w:type="dxa"/>
          </w:tblCellMar>
        </w:tblPrEx>
        <w:trPr>
          <w:trHeight w:val="304"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1712E628">
            <w:pPr>
              <w:shd w:val="clear"/>
              <w:spacing w:line="288" w:lineRule="auto"/>
              <w:rPr>
                <w:rFonts w:hint="eastAsia" w:ascii="仿宋" w:hAnsi="仿宋" w:eastAsia="仿宋" w:cs="仿宋"/>
                <w:color w:val="auto"/>
                <w:sz w:val="21"/>
                <w:szCs w:val="21"/>
                <w:highlight w:val="none"/>
              </w:rPr>
            </w:pPr>
          </w:p>
        </w:tc>
        <w:tc>
          <w:tcPr>
            <w:tcW w:w="1611"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4F3C9260">
            <w:pPr>
              <w:shd w:val="clear"/>
              <w:spacing w:line="288" w:lineRule="auto"/>
              <w:rPr>
                <w:rFonts w:hint="eastAsia" w:ascii="仿宋" w:hAnsi="仿宋" w:eastAsia="仿宋" w:cs="仿宋"/>
                <w:color w:val="auto"/>
                <w:sz w:val="21"/>
                <w:szCs w:val="21"/>
                <w:highlight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45F112CB">
            <w:pPr>
              <w:shd w:val="clear"/>
              <w:spacing w:line="288" w:lineRule="auto"/>
              <w:rPr>
                <w:rFonts w:hint="eastAsia" w:ascii="仿宋" w:hAnsi="仿宋" w:eastAsia="仿宋" w:cs="仿宋"/>
                <w:color w:val="auto"/>
                <w:sz w:val="21"/>
                <w:szCs w:val="21"/>
                <w:highlight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0498B513">
            <w:pPr>
              <w:shd w:val="clear"/>
              <w:spacing w:line="288" w:lineRule="auto"/>
              <w:rPr>
                <w:rFonts w:hint="eastAsia" w:ascii="仿宋" w:hAnsi="仿宋" w:eastAsia="仿宋" w:cs="仿宋"/>
                <w:color w:val="auto"/>
                <w:sz w:val="21"/>
                <w:szCs w:val="21"/>
                <w:highlight w:val="none"/>
              </w:rPr>
            </w:pPr>
          </w:p>
        </w:tc>
        <w:tc>
          <w:tcPr>
            <w:tcW w:w="2789"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7A344628">
            <w:pPr>
              <w:shd w:val="clear"/>
              <w:spacing w:line="288" w:lineRule="auto"/>
              <w:rPr>
                <w:rFonts w:hint="eastAsia" w:ascii="仿宋" w:hAnsi="仿宋" w:eastAsia="仿宋" w:cs="仿宋"/>
                <w:color w:val="auto"/>
                <w:sz w:val="21"/>
                <w:szCs w:val="21"/>
                <w:highlight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1E2C2D72">
            <w:pPr>
              <w:shd w:val="clear"/>
              <w:spacing w:line="288" w:lineRule="auto"/>
              <w:rPr>
                <w:rFonts w:hint="eastAsia" w:ascii="仿宋" w:hAnsi="仿宋" w:eastAsia="仿宋" w:cs="仿宋"/>
                <w:color w:val="auto"/>
                <w:sz w:val="21"/>
                <w:szCs w:val="21"/>
                <w:highlight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397EE244">
            <w:pPr>
              <w:shd w:val="clear"/>
              <w:spacing w:line="288" w:lineRule="auto"/>
              <w:rPr>
                <w:rFonts w:hint="eastAsia" w:ascii="仿宋" w:hAnsi="仿宋" w:eastAsia="仿宋" w:cs="仿宋"/>
                <w:color w:val="auto"/>
                <w:sz w:val="21"/>
                <w:szCs w:val="21"/>
                <w:highlight w:val="none"/>
              </w:rPr>
            </w:pPr>
          </w:p>
        </w:tc>
      </w:tr>
      <w:tr w14:paraId="4BE7D904">
        <w:tblPrEx>
          <w:tblBorders>
            <w:top w:val="thinThickSmallGap" w:color="0070C0" w:sz="12" w:space="0"/>
            <w:left w:val="thinThickSmallGap" w:color="0070C0" w:sz="12" w:space="0"/>
            <w:bottom w:val="thinThickSmallGap" w:color="0070C0" w:sz="12" w:space="0"/>
            <w:right w:val="thinThickSmallGap" w:color="0070C0" w:sz="12" w:space="0"/>
            <w:insideH w:val="single" w:color="0070C0" w:sz="4" w:space="0"/>
            <w:insideV w:val="single" w:color="0070C0" w:sz="4" w:space="0"/>
          </w:tblBorders>
          <w:tblCellMar>
            <w:top w:w="0" w:type="dxa"/>
            <w:left w:w="0" w:type="dxa"/>
            <w:bottom w:w="0" w:type="dxa"/>
            <w:right w:w="0" w:type="dxa"/>
          </w:tblCellMar>
        </w:tblPrEx>
        <w:trPr>
          <w:trHeight w:val="304"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1379BC80">
            <w:pPr>
              <w:shd w:val="clear"/>
              <w:spacing w:line="288" w:lineRule="auto"/>
              <w:rPr>
                <w:rFonts w:hint="eastAsia" w:ascii="仿宋" w:hAnsi="仿宋" w:eastAsia="仿宋" w:cs="仿宋"/>
                <w:color w:val="auto"/>
                <w:sz w:val="21"/>
                <w:szCs w:val="21"/>
                <w:highlight w:val="none"/>
              </w:rPr>
            </w:pPr>
          </w:p>
        </w:tc>
        <w:tc>
          <w:tcPr>
            <w:tcW w:w="1611"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15F43058">
            <w:pPr>
              <w:shd w:val="clear"/>
              <w:spacing w:line="288" w:lineRule="auto"/>
              <w:rPr>
                <w:rFonts w:hint="eastAsia" w:ascii="仿宋" w:hAnsi="仿宋" w:eastAsia="仿宋" w:cs="仿宋"/>
                <w:color w:val="auto"/>
                <w:sz w:val="21"/>
                <w:szCs w:val="21"/>
                <w:highlight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0D208870">
            <w:pPr>
              <w:shd w:val="clear"/>
              <w:spacing w:line="288" w:lineRule="auto"/>
              <w:rPr>
                <w:rFonts w:hint="eastAsia" w:ascii="仿宋" w:hAnsi="仿宋" w:eastAsia="仿宋" w:cs="仿宋"/>
                <w:color w:val="auto"/>
                <w:sz w:val="21"/>
                <w:szCs w:val="21"/>
                <w:highlight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1394CB9D">
            <w:pPr>
              <w:shd w:val="clear"/>
              <w:spacing w:line="288" w:lineRule="auto"/>
              <w:rPr>
                <w:rFonts w:hint="eastAsia" w:ascii="仿宋" w:hAnsi="仿宋" w:eastAsia="仿宋" w:cs="仿宋"/>
                <w:color w:val="auto"/>
                <w:sz w:val="21"/>
                <w:szCs w:val="21"/>
                <w:highlight w:val="none"/>
              </w:rPr>
            </w:pPr>
          </w:p>
        </w:tc>
        <w:tc>
          <w:tcPr>
            <w:tcW w:w="2789"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3DD2F7CD">
            <w:pPr>
              <w:shd w:val="clear"/>
              <w:spacing w:line="288" w:lineRule="auto"/>
              <w:rPr>
                <w:rFonts w:hint="eastAsia" w:ascii="仿宋" w:hAnsi="仿宋" w:eastAsia="仿宋" w:cs="仿宋"/>
                <w:color w:val="auto"/>
                <w:sz w:val="21"/>
                <w:szCs w:val="21"/>
                <w:highlight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599FB1F2">
            <w:pPr>
              <w:shd w:val="clear"/>
              <w:spacing w:line="288" w:lineRule="auto"/>
              <w:rPr>
                <w:rFonts w:hint="eastAsia" w:ascii="仿宋" w:hAnsi="仿宋" w:eastAsia="仿宋" w:cs="仿宋"/>
                <w:color w:val="auto"/>
                <w:sz w:val="21"/>
                <w:szCs w:val="21"/>
                <w:highlight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2FA82A9F">
            <w:pPr>
              <w:shd w:val="clear"/>
              <w:spacing w:line="288" w:lineRule="auto"/>
              <w:rPr>
                <w:rFonts w:hint="eastAsia" w:ascii="仿宋" w:hAnsi="仿宋" w:eastAsia="仿宋" w:cs="仿宋"/>
                <w:color w:val="auto"/>
                <w:sz w:val="21"/>
                <w:szCs w:val="21"/>
                <w:highlight w:val="none"/>
              </w:rPr>
            </w:pPr>
          </w:p>
        </w:tc>
      </w:tr>
      <w:tr w14:paraId="26CE3C54">
        <w:tblPrEx>
          <w:tblBorders>
            <w:top w:val="thinThickSmallGap" w:color="0070C0" w:sz="12" w:space="0"/>
            <w:left w:val="thinThickSmallGap" w:color="0070C0" w:sz="12" w:space="0"/>
            <w:bottom w:val="thinThickSmallGap" w:color="0070C0" w:sz="12" w:space="0"/>
            <w:right w:val="thinThickSmallGap" w:color="0070C0" w:sz="12" w:space="0"/>
            <w:insideH w:val="single" w:color="0070C0" w:sz="4" w:space="0"/>
            <w:insideV w:val="single" w:color="0070C0" w:sz="4" w:space="0"/>
          </w:tblBorders>
          <w:shd w:val="clear" w:color="auto" w:fill="FFFFFF"/>
          <w:tblCellMar>
            <w:top w:w="0" w:type="dxa"/>
            <w:left w:w="0" w:type="dxa"/>
            <w:bottom w:w="0" w:type="dxa"/>
            <w:right w:w="0" w:type="dxa"/>
          </w:tblCellMar>
        </w:tblPrEx>
        <w:trPr>
          <w:trHeight w:val="304"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466B7FF9">
            <w:pPr>
              <w:shd w:val="clear"/>
              <w:spacing w:line="288" w:lineRule="auto"/>
              <w:rPr>
                <w:rFonts w:hint="eastAsia" w:ascii="仿宋" w:hAnsi="仿宋" w:eastAsia="仿宋" w:cs="仿宋"/>
                <w:color w:val="auto"/>
                <w:sz w:val="21"/>
                <w:szCs w:val="21"/>
                <w:highlight w:val="none"/>
              </w:rPr>
            </w:pPr>
          </w:p>
        </w:tc>
        <w:tc>
          <w:tcPr>
            <w:tcW w:w="1611"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16FC0A53">
            <w:pPr>
              <w:shd w:val="clear"/>
              <w:spacing w:line="288" w:lineRule="auto"/>
              <w:rPr>
                <w:rFonts w:hint="eastAsia" w:ascii="仿宋" w:hAnsi="仿宋" w:eastAsia="仿宋" w:cs="仿宋"/>
                <w:color w:val="auto"/>
                <w:sz w:val="21"/>
                <w:szCs w:val="21"/>
                <w:highlight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3208FB67">
            <w:pPr>
              <w:shd w:val="clear"/>
              <w:spacing w:line="288" w:lineRule="auto"/>
              <w:rPr>
                <w:rFonts w:hint="eastAsia" w:ascii="仿宋" w:hAnsi="仿宋" w:eastAsia="仿宋" w:cs="仿宋"/>
                <w:color w:val="auto"/>
                <w:sz w:val="21"/>
                <w:szCs w:val="21"/>
                <w:highlight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47D1C1B4">
            <w:pPr>
              <w:shd w:val="clear"/>
              <w:spacing w:line="288" w:lineRule="auto"/>
              <w:rPr>
                <w:rFonts w:hint="eastAsia" w:ascii="仿宋" w:hAnsi="仿宋" w:eastAsia="仿宋" w:cs="仿宋"/>
                <w:color w:val="auto"/>
                <w:sz w:val="21"/>
                <w:szCs w:val="21"/>
                <w:highlight w:val="none"/>
              </w:rPr>
            </w:pPr>
          </w:p>
        </w:tc>
        <w:tc>
          <w:tcPr>
            <w:tcW w:w="2789"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36D624F0">
            <w:pPr>
              <w:shd w:val="clear"/>
              <w:spacing w:line="288" w:lineRule="auto"/>
              <w:rPr>
                <w:rFonts w:hint="eastAsia" w:ascii="仿宋" w:hAnsi="仿宋" w:eastAsia="仿宋" w:cs="仿宋"/>
                <w:color w:val="auto"/>
                <w:sz w:val="21"/>
                <w:szCs w:val="21"/>
                <w:highlight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63259334">
            <w:pPr>
              <w:shd w:val="clear"/>
              <w:spacing w:line="288" w:lineRule="auto"/>
              <w:rPr>
                <w:rFonts w:hint="eastAsia" w:ascii="仿宋" w:hAnsi="仿宋" w:eastAsia="仿宋" w:cs="仿宋"/>
                <w:color w:val="auto"/>
                <w:sz w:val="21"/>
                <w:szCs w:val="21"/>
                <w:highlight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3F49F36A">
            <w:pPr>
              <w:shd w:val="clear"/>
              <w:spacing w:line="288" w:lineRule="auto"/>
              <w:rPr>
                <w:rFonts w:hint="eastAsia" w:ascii="仿宋" w:hAnsi="仿宋" w:eastAsia="仿宋" w:cs="仿宋"/>
                <w:color w:val="auto"/>
                <w:sz w:val="21"/>
                <w:szCs w:val="21"/>
                <w:highlight w:val="none"/>
              </w:rPr>
            </w:pPr>
          </w:p>
        </w:tc>
      </w:tr>
      <w:tr w14:paraId="7399D233">
        <w:tblPrEx>
          <w:tblBorders>
            <w:top w:val="thinThickSmallGap" w:color="0070C0" w:sz="12" w:space="0"/>
            <w:left w:val="thinThickSmallGap" w:color="0070C0" w:sz="12" w:space="0"/>
            <w:bottom w:val="thinThickSmallGap" w:color="0070C0" w:sz="12" w:space="0"/>
            <w:right w:val="thinThickSmallGap" w:color="0070C0" w:sz="12" w:space="0"/>
            <w:insideH w:val="single" w:color="0070C0" w:sz="4" w:space="0"/>
            <w:insideV w:val="single" w:color="0070C0" w:sz="4" w:space="0"/>
          </w:tblBorders>
          <w:shd w:val="clear" w:color="auto" w:fill="FFFFFF"/>
          <w:tblCellMar>
            <w:top w:w="0" w:type="dxa"/>
            <w:left w:w="0" w:type="dxa"/>
            <w:bottom w:w="0" w:type="dxa"/>
            <w:right w:w="0" w:type="dxa"/>
          </w:tblCellMar>
        </w:tblPrEx>
        <w:trPr>
          <w:trHeight w:val="304"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5040F005">
            <w:pPr>
              <w:shd w:val="clear"/>
              <w:spacing w:line="288" w:lineRule="auto"/>
              <w:rPr>
                <w:rFonts w:hint="eastAsia" w:ascii="仿宋" w:hAnsi="仿宋" w:eastAsia="仿宋" w:cs="仿宋"/>
                <w:color w:val="auto"/>
                <w:sz w:val="21"/>
                <w:szCs w:val="21"/>
                <w:highlight w:val="none"/>
              </w:rPr>
            </w:pPr>
          </w:p>
        </w:tc>
        <w:tc>
          <w:tcPr>
            <w:tcW w:w="1611"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66F0F1C1">
            <w:pPr>
              <w:shd w:val="clear"/>
              <w:spacing w:line="288" w:lineRule="auto"/>
              <w:rPr>
                <w:rFonts w:hint="eastAsia" w:ascii="仿宋" w:hAnsi="仿宋" w:eastAsia="仿宋" w:cs="仿宋"/>
                <w:color w:val="auto"/>
                <w:sz w:val="21"/>
                <w:szCs w:val="21"/>
                <w:highlight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5ADC3717">
            <w:pPr>
              <w:shd w:val="clear"/>
              <w:spacing w:line="288" w:lineRule="auto"/>
              <w:rPr>
                <w:rFonts w:hint="eastAsia" w:ascii="仿宋" w:hAnsi="仿宋" w:eastAsia="仿宋" w:cs="仿宋"/>
                <w:color w:val="auto"/>
                <w:sz w:val="21"/>
                <w:szCs w:val="21"/>
                <w:highlight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51A7C4F6">
            <w:pPr>
              <w:shd w:val="clear"/>
              <w:spacing w:line="288" w:lineRule="auto"/>
              <w:rPr>
                <w:rFonts w:hint="eastAsia" w:ascii="仿宋" w:hAnsi="仿宋" w:eastAsia="仿宋" w:cs="仿宋"/>
                <w:color w:val="auto"/>
                <w:sz w:val="21"/>
                <w:szCs w:val="21"/>
                <w:highlight w:val="none"/>
              </w:rPr>
            </w:pPr>
          </w:p>
        </w:tc>
        <w:tc>
          <w:tcPr>
            <w:tcW w:w="2789"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00B8FD20">
            <w:pPr>
              <w:shd w:val="clear"/>
              <w:spacing w:line="288" w:lineRule="auto"/>
              <w:rPr>
                <w:rFonts w:hint="eastAsia" w:ascii="仿宋" w:hAnsi="仿宋" w:eastAsia="仿宋" w:cs="仿宋"/>
                <w:color w:val="auto"/>
                <w:sz w:val="21"/>
                <w:szCs w:val="21"/>
                <w:highlight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7907A0A8">
            <w:pPr>
              <w:shd w:val="clear"/>
              <w:spacing w:line="288" w:lineRule="auto"/>
              <w:rPr>
                <w:rFonts w:hint="eastAsia" w:ascii="仿宋" w:hAnsi="仿宋" w:eastAsia="仿宋" w:cs="仿宋"/>
                <w:color w:val="auto"/>
                <w:sz w:val="21"/>
                <w:szCs w:val="21"/>
                <w:highlight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14:paraId="7E55F4FD">
            <w:pPr>
              <w:shd w:val="clear"/>
              <w:spacing w:line="288" w:lineRule="auto"/>
              <w:rPr>
                <w:rFonts w:hint="eastAsia" w:ascii="仿宋" w:hAnsi="仿宋" w:eastAsia="仿宋" w:cs="仿宋"/>
                <w:color w:val="auto"/>
                <w:sz w:val="21"/>
                <w:szCs w:val="21"/>
                <w:highlight w:val="none"/>
              </w:rPr>
            </w:pPr>
          </w:p>
        </w:tc>
      </w:tr>
    </w:tbl>
    <w:p w14:paraId="44AA92E0">
      <w:pPr>
        <w:pStyle w:val="69"/>
        <w:shd w:val="clear"/>
        <w:adjustRightInd w:val="0"/>
        <w:snapToGrid w:val="0"/>
        <w:spacing w:line="288" w:lineRule="auto"/>
        <w:ind w:firstLine="0" w:firstLineChars="0"/>
        <w:rPr>
          <w:rFonts w:hint="eastAsia" w:ascii="仿宋" w:hAnsi="仿宋" w:eastAsia="仿宋" w:cs="仿宋"/>
          <w:color w:val="auto"/>
          <w:sz w:val="21"/>
          <w:szCs w:val="21"/>
          <w:highlight w:val="none"/>
        </w:rPr>
      </w:pPr>
    </w:p>
    <w:p w14:paraId="0FBA832B">
      <w:pPr>
        <w:shd w:val="clear"/>
        <w:adjustRightInd w:val="0"/>
        <w:snapToGrid w:val="0"/>
        <w:spacing w:line="288" w:lineRule="auto"/>
        <w:rPr>
          <w:rFonts w:hint="eastAsia" w:ascii="仿宋" w:hAnsi="仿宋" w:eastAsia="仿宋" w:cs="仿宋"/>
          <w:b/>
          <w:bCs/>
          <w:color w:val="auto"/>
          <w:spacing w:val="-6"/>
          <w:sz w:val="21"/>
          <w:szCs w:val="21"/>
          <w:highlight w:val="none"/>
        </w:rPr>
      </w:pPr>
    </w:p>
    <w:p w14:paraId="1EF57A0F">
      <w:pPr>
        <w:shd w:val="clear"/>
        <w:adjustRightInd w:val="0"/>
        <w:snapToGrid w:val="0"/>
        <w:spacing w:line="288" w:lineRule="auto"/>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供应商名称（电子签名/公章）：</w:t>
      </w:r>
    </w:p>
    <w:p w14:paraId="5544F6DE">
      <w:pPr>
        <w:shd w:val="clear"/>
        <w:adjustRightInd w:val="0"/>
        <w:snapToGrid w:val="0"/>
        <w:spacing w:line="288" w:lineRule="auto"/>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rPr>
        <w:t>日期：     年   月   日</w:t>
      </w:r>
    </w:p>
    <w:p w14:paraId="2424B452">
      <w:pPr>
        <w:pStyle w:val="13"/>
        <w:shd w:val="clear"/>
        <w:adjustRightInd w:val="0"/>
        <w:snapToGrid w:val="0"/>
        <w:spacing w:before="163" w:after="163" w:line="300" w:lineRule="auto"/>
        <w:jc w:val="center"/>
        <w:outlineLvl w:val="1"/>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br w:type="page"/>
      </w:r>
      <w:r>
        <w:rPr>
          <w:rFonts w:hint="eastAsia" w:ascii="仿宋" w:hAnsi="仿宋" w:eastAsia="仿宋" w:cs="仿宋"/>
          <w:b/>
          <w:bCs/>
          <w:color w:val="auto"/>
          <w:sz w:val="21"/>
          <w:szCs w:val="21"/>
          <w:highlight w:val="none"/>
        </w:rPr>
        <w:t>七、</w:t>
      </w:r>
      <w:bookmarkEnd w:id="160"/>
      <w:r>
        <w:rPr>
          <w:rFonts w:hint="eastAsia" w:ascii="仿宋" w:hAnsi="仿宋" w:eastAsia="仿宋" w:cs="仿宋"/>
          <w:b/>
          <w:bCs/>
          <w:color w:val="auto"/>
          <w:sz w:val="21"/>
          <w:szCs w:val="21"/>
          <w:highlight w:val="none"/>
        </w:rPr>
        <w:t>技术方案</w:t>
      </w:r>
    </w:p>
    <w:p w14:paraId="2AA4A5C8">
      <w:pPr>
        <w:pStyle w:val="13"/>
        <w:shd w:val="clear"/>
        <w:adjustRightInd w:val="0"/>
        <w:snapToGrid w:val="0"/>
        <w:spacing w:before="163" w:after="163" w:line="300" w:lineRule="auto"/>
        <w:jc w:val="center"/>
        <w:outlineLvl w:val="1"/>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br w:type="page"/>
      </w:r>
      <w:r>
        <w:rPr>
          <w:rFonts w:hint="eastAsia" w:ascii="仿宋" w:hAnsi="仿宋" w:eastAsia="仿宋" w:cs="仿宋"/>
          <w:b/>
          <w:bCs/>
          <w:color w:val="auto"/>
          <w:sz w:val="21"/>
          <w:szCs w:val="21"/>
          <w:highlight w:val="none"/>
        </w:rPr>
        <w:t>八、供应商需要说明的其他文件和材料（如有）</w:t>
      </w:r>
    </w:p>
    <w:p w14:paraId="76E2AD24">
      <w:pPr>
        <w:pStyle w:val="13"/>
        <w:shd w:val="clear"/>
        <w:adjustRightInd w:val="0"/>
        <w:snapToGrid w:val="0"/>
        <w:spacing w:before="163" w:after="163" w:line="300" w:lineRule="auto"/>
        <w:jc w:val="center"/>
        <w:outlineLvl w:val="1"/>
        <w:rPr>
          <w:rFonts w:hint="eastAsia" w:ascii="仿宋" w:hAnsi="仿宋" w:eastAsia="仿宋" w:cs="仿宋"/>
          <w:b/>
          <w:color w:val="auto"/>
          <w:kern w:val="0"/>
          <w:sz w:val="21"/>
          <w:szCs w:val="21"/>
          <w:highlight w:val="none"/>
        </w:rPr>
      </w:pPr>
      <w:bookmarkStart w:id="161" w:name="_Toc10331"/>
      <w:r>
        <w:rPr>
          <w:rFonts w:hint="eastAsia" w:ascii="仿宋" w:hAnsi="仿宋" w:eastAsia="仿宋" w:cs="仿宋"/>
          <w:b/>
          <w:color w:val="auto"/>
          <w:kern w:val="0"/>
          <w:sz w:val="21"/>
          <w:szCs w:val="21"/>
          <w:highlight w:val="none"/>
        </w:rPr>
        <w:br w:type="page"/>
      </w:r>
      <w:r>
        <w:rPr>
          <w:rFonts w:hint="eastAsia" w:ascii="仿宋" w:hAnsi="仿宋" w:eastAsia="仿宋" w:cs="仿宋"/>
          <w:b/>
          <w:bCs/>
          <w:color w:val="auto"/>
          <w:sz w:val="21"/>
          <w:szCs w:val="21"/>
          <w:highlight w:val="none"/>
        </w:rPr>
        <w:t>九、其他</w:t>
      </w:r>
    </w:p>
    <w:p w14:paraId="12B0B299">
      <w:pPr>
        <w:shd w:val="clear"/>
        <w:suppressAutoHyphens/>
        <w:spacing w:line="288" w:lineRule="auto"/>
        <w:jc w:val="center"/>
        <w:rPr>
          <w:rFonts w:hint="eastAsia" w:ascii="仿宋" w:hAnsi="仿宋" w:eastAsia="仿宋" w:cs="仿宋"/>
          <w:b/>
          <w:color w:val="auto"/>
          <w:spacing w:val="-6"/>
          <w:kern w:val="0"/>
          <w:sz w:val="21"/>
          <w:szCs w:val="21"/>
          <w:highlight w:val="none"/>
        </w:rPr>
      </w:pPr>
      <w:r>
        <w:rPr>
          <w:rFonts w:hint="eastAsia" w:ascii="仿宋" w:hAnsi="仿宋" w:eastAsia="仿宋" w:cs="仿宋"/>
          <w:b/>
          <w:color w:val="auto"/>
          <w:spacing w:val="-6"/>
          <w:kern w:val="0"/>
          <w:sz w:val="21"/>
          <w:szCs w:val="21"/>
          <w:highlight w:val="none"/>
        </w:rPr>
        <w:t>政府采购活动现场确认声明书</w:t>
      </w:r>
    </w:p>
    <w:p w14:paraId="0E93B4D8">
      <w:pPr>
        <w:shd w:val="clea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浙江省成套招标代理有限公司：</w:t>
      </w:r>
    </w:p>
    <w:p w14:paraId="1B12E56C">
      <w:pPr>
        <w:shd w:val="clear"/>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本人经由</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（单位）负责人（法人代表）</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（姓名）合法授权参加 </w:t>
      </w:r>
      <w:r>
        <w:rPr>
          <w:rFonts w:hint="eastAsia" w:ascii="仿宋" w:hAnsi="仿宋" w:eastAsia="仿宋" w:cs="仿宋"/>
          <w:color w:val="auto"/>
          <w:sz w:val="21"/>
          <w:szCs w:val="21"/>
          <w:highlight w:val="none"/>
          <w:u w:val="single"/>
          <w:lang w:eastAsia="zh-CN"/>
        </w:rPr>
        <w:t>金融数据库续建采购</w:t>
      </w:r>
      <w:r>
        <w:rPr>
          <w:rFonts w:hint="eastAsia" w:ascii="仿宋" w:hAnsi="仿宋" w:eastAsia="仿宋" w:cs="仿宋"/>
          <w:color w:val="auto"/>
          <w:sz w:val="21"/>
          <w:szCs w:val="21"/>
          <w:highlight w:val="none"/>
          <w:u w:val="none"/>
        </w:rPr>
        <w:t>项目</w:t>
      </w:r>
      <w:r>
        <w:rPr>
          <w:rFonts w:hint="eastAsia" w:ascii="仿宋" w:hAnsi="仿宋" w:eastAsia="仿宋" w:cs="仿宋"/>
          <w:color w:val="auto"/>
          <w:sz w:val="21"/>
          <w:szCs w:val="21"/>
          <w:highlight w:val="none"/>
        </w:rPr>
        <w:t>（编号：</w:t>
      </w:r>
      <w:r>
        <w:rPr>
          <w:rFonts w:hint="eastAsia" w:ascii="仿宋" w:hAnsi="仿宋" w:eastAsia="仿宋" w:cs="仿宋"/>
          <w:color w:val="auto"/>
          <w:sz w:val="21"/>
          <w:szCs w:val="21"/>
          <w:highlight w:val="none"/>
          <w:lang w:eastAsia="zh-CN"/>
        </w:rPr>
        <w:t>CTZB-2025070077</w:t>
      </w:r>
      <w:r>
        <w:rPr>
          <w:rFonts w:hint="eastAsia" w:ascii="仿宋" w:hAnsi="仿宋" w:eastAsia="仿宋" w:cs="仿宋"/>
          <w:color w:val="auto"/>
          <w:sz w:val="21"/>
          <w:szCs w:val="21"/>
          <w:highlight w:val="none"/>
          <w:lang w:eastAsia="zh-CN"/>
        </w:rPr>
        <w:tab/>
      </w:r>
      <w:r>
        <w:rPr>
          <w:rFonts w:hint="eastAsia" w:ascii="仿宋" w:hAnsi="仿宋" w:eastAsia="仿宋" w:cs="仿宋"/>
          <w:color w:val="auto"/>
          <w:sz w:val="21"/>
          <w:szCs w:val="21"/>
          <w:highlight w:val="none"/>
        </w:rPr>
        <w:t>）采购活动，经与本单位法人代表（负责人）联系确认，现就有关公平竞争事项郑重声明如下：</w:t>
      </w:r>
    </w:p>
    <w:p w14:paraId="42DB6798">
      <w:pPr>
        <w:shd w:val="clea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一、本单位与采购人之间：</w:t>
      </w:r>
    </w:p>
    <w:p w14:paraId="14652360">
      <w:pPr>
        <w:shd w:val="clea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□不存在利害关系。□存在下列利害关系：</w:t>
      </w:r>
    </w:p>
    <w:p w14:paraId="6FF4B3EB">
      <w:pPr>
        <w:shd w:val="clea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A.投资关系    B.行政隶属关系    C.业务指导关系     D.其他可能影响采购公正的利害关系（如有，请如实说明）</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3C4B562D">
      <w:pPr>
        <w:shd w:val="clea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二、现已清楚知道参加本项目采购活动的其他所有供应商名称，本单位：</w:t>
      </w:r>
    </w:p>
    <w:p w14:paraId="742FA214">
      <w:pPr>
        <w:shd w:val="clea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□与其他所有供应商之间均不存在利害关系。□与</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（供应商名称）之间存在下列利害关系：</w:t>
      </w:r>
    </w:p>
    <w:p w14:paraId="7211F95C">
      <w:pPr>
        <w:shd w:val="clea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A.法定代表人或负责人或实际控制人是同一人</w:t>
      </w:r>
    </w:p>
    <w:p w14:paraId="00B132E4">
      <w:pPr>
        <w:shd w:val="clea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B.法定代表人或负责人或实际控制人是夫妻关系</w:t>
      </w:r>
    </w:p>
    <w:p w14:paraId="14ADB4E9">
      <w:pPr>
        <w:shd w:val="clea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C.法定代表人或负责人或实际控制人是直系血亲关系</w:t>
      </w:r>
    </w:p>
    <w:p w14:paraId="5A3A1A2F">
      <w:pPr>
        <w:shd w:val="clea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D.法定代表人或负责人或实际控制人存在三代以内旁系血亲关系</w:t>
      </w:r>
    </w:p>
    <w:p w14:paraId="50B4CED5">
      <w:pPr>
        <w:shd w:val="clea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E.法定代表人或负责人或实际控制人存在近姻亲关系</w:t>
      </w:r>
    </w:p>
    <w:p w14:paraId="27EECCA4">
      <w:pPr>
        <w:shd w:val="clea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F.法定代表人或负责人或实际控制人存在股份控制或实际控制关系</w:t>
      </w:r>
    </w:p>
    <w:p w14:paraId="0027A78D">
      <w:pPr>
        <w:shd w:val="clea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G.存在共同直接或间接投资设立子公司、联营企业和合营企业情况</w:t>
      </w:r>
    </w:p>
    <w:p w14:paraId="2FECB5FE">
      <w:pPr>
        <w:shd w:val="clea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H.存在分级代理或代销关系、同一生产制造商关系、管理关系、重要业务（占主营业务收入50%以上）或重要财务往来关系（如融资）等其他实质性控制关系</w:t>
      </w:r>
    </w:p>
    <w:p w14:paraId="31E36CC5">
      <w:pPr>
        <w:shd w:val="clea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bookmarkStart w:id="162" w:name="_Toc3552"/>
      <w:bookmarkStart w:id="163" w:name="_Toc3126"/>
      <w:bookmarkStart w:id="164" w:name="_Toc23840"/>
      <w:r>
        <w:rPr>
          <w:rFonts w:hint="eastAsia" w:ascii="仿宋" w:hAnsi="仿宋" w:eastAsia="仿宋" w:cs="仿宋"/>
          <w:color w:val="auto"/>
          <w:sz w:val="21"/>
          <w:szCs w:val="21"/>
          <w:highlight w:val="none"/>
        </w:rPr>
        <w:t>I.其他利害关系情况。</w:t>
      </w:r>
      <w:bookmarkEnd w:id="162"/>
      <w:bookmarkEnd w:id="163"/>
      <w:bookmarkEnd w:id="164"/>
    </w:p>
    <w:p w14:paraId="3CEF8E09">
      <w:pPr>
        <w:shd w:val="clea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三、现已清楚知道并严格遵守政府采购法律法规和现场纪律。</w:t>
      </w:r>
    </w:p>
    <w:p w14:paraId="36E347AF">
      <w:pPr>
        <w:shd w:val="clea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四、我发现供应商</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之间存在或可能存在上述第二条第</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项利害关系。</w:t>
      </w:r>
    </w:p>
    <w:p w14:paraId="49377472">
      <w:pPr>
        <w:shd w:val="clear"/>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t xml:space="preserve">                                                             </w:t>
      </w:r>
    </w:p>
    <w:p w14:paraId="186F70D7">
      <w:pPr>
        <w:shd w:val="clear"/>
        <w:spacing w:line="360" w:lineRule="auto"/>
        <w:jc w:val="righ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供应商代表（签名）：</w:t>
      </w:r>
    </w:p>
    <w:p w14:paraId="396F964E">
      <w:pPr>
        <w:shd w:val="clear"/>
        <w:spacing w:line="360" w:lineRule="auto"/>
        <w:jc w:val="right"/>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2025年 月 日</w:t>
      </w:r>
    </w:p>
    <w:p w14:paraId="45197968">
      <w:pPr>
        <w:shd w:val="clear"/>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备注：</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"mailto:供应商须在响应文件解密后，通过电子邮件形式，向邮箱地址（462607512@qq.com）发送《政府采购活动现场确认声明书》（上表）。" </w:instrText>
      </w:r>
      <w:r>
        <w:rPr>
          <w:rFonts w:hint="eastAsia" w:ascii="仿宋" w:hAnsi="仿宋" w:eastAsia="仿宋" w:cs="仿宋"/>
          <w:color w:val="auto"/>
          <w:highlight w:val="none"/>
        </w:rPr>
        <w:fldChar w:fldCharType="separate"/>
      </w:r>
      <w:r>
        <w:rPr>
          <w:rStyle w:val="32"/>
          <w:rFonts w:hint="eastAsia" w:ascii="仿宋" w:hAnsi="仿宋" w:eastAsia="仿宋" w:cs="仿宋"/>
          <w:b/>
          <w:bCs/>
          <w:color w:val="auto"/>
          <w:sz w:val="21"/>
          <w:szCs w:val="21"/>
          <w:highlight w:val="none"/>
        </w:rPr>
        <w:t>供应商须在响应文件解密后，通过电子邮件形式，向邮箱地址（</w:t>
      </w:r>
      <w:r>
        <w:rPr>
          <w:rStyle w:val="32"/>
          <w:rFonts w:hint="eastAsia" w:ascii="仿宋" w:hAnsi="仿宋" w:eastAsia="仿宋" w:cs="仿宋"/>
          <w:b/>
          <w:bCs/>
          <w:color w:val="auto"/>
          <w:sz w:val="21"/>
          <w:szCs w:val="21"/>
          <w:highlight w:val="none"/>
          <w:lang w:val="en-US" w:eastAsia="zh-CN"/>
        </w:rPr>
        <w:t>475993598@qq</w:t>
      </w:r>
      <w:r>
        <w:rPr>
          <w:rStyle w:val="32"/>
          <w:rFonts w:hint="eastAsia" w:ascii="仿宋" w:hAnsi="仿宋" w:eastAsia="仿宋" w:cs="仿宋"/>
          <w:b/>
          <w:bCs/>
          <w:color w:val="auto"/>
          <w:sz w:val="21"/>
          <w:szCs w:val="21"/>
          <w:highlight w:val="none"/>
          <w:lang w:eastAsia="zh-CN"/>
        </w:rPr>
        <w:t>.com</w:t>
      </w:r>
      <w:r>
        <w:rPr>
          <w:rStyle w:val="32"/>
          <w:rFonts w:hint="eastAsia" w:ascii="仿宋" w:hAnsi="仿宋" w:eastAsia="仿宋" w:cs="仿宋"/>
          <w:b/>
          <w:bCs/>
          <w:color w:val="auto"/>
          <w:sz w:val="21"/>
          <w:szCs w:val="21"/>
          <w:highlight w:val="none"/>
        </w:rPr>
        <w:t>）发送《政府采购活动现场确认声明书》（上表）。</w:t>
      </w:r>
      <w:r>
        <w:rPr>
          <w:rStyle w:val="32"/>
          <w:rFonts w:hint="eastAsia" w:ascii="仿宋" w:hAnsi="仿宋" w:eastAsia="仿宋" w:cs="仿宋"/>
          <w:b/>
          <w:bCs/>
          <w:color w:val="auto"/>
          <w:sz w:val="21"/>
          <w:szCs w:val="21"/>
          <w:highlight w:val="none"/>
        </w:rPr>
        <w:fldChar w:fldCharType="end"/>
      </w:r>
      <w:bookmarkStart w:id="165" w:name="_Toc14668"/>
      <w:bookmarkStart w:id="166" w:name="_Toc22480"/>
      <w:bookmarkStart w:id="167" w:name="_Toc12983"/>
    </w:p>
    <w:p w14:paraId="4A85AB45">
      <w:pPr>
        <w:shd w:val="clear"/>
        <w:suppressAutoHyphens/>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br w:type="page"/>
      </w:r>
    </w:p>
    <w:p w14:paraId="52225AA6">
      <w:pPr>
        <w:shd w:val="clear"/>
        <w:suppressAutoHyphens/>
        <w:spacing w:line="288" w:lineRule="auto"/>
        <w:jc w:val="center"/>
        <w:rPr>
          <w:rFonts w:hint="eastAsia" w:ascii="仿宋" w:hAnsi="仿宋" w:eastAsia="仿宋" w:cs="仿宋"/>
          <w:b/>
          <w:bCs/>
          <w:color w:val="auto"/>
          <w:sz w:val="21"/>
          <w:szCs w:val="21"/>
          <w:highlight w:val="none"/>
        </w:rPr>
      </w:pPr>
    </w:p>
    <w:p w14:paraId="42F5438E">
      <w:pPr>
        <w:shd w:val="clear"/>
        <w:suppressAutoHyphens/>
        <w:spacing w:line="288" w:lineRule="auto"/>
        <w:jc w:val="center"/>
        <w:rPr>
          <w:rFonts w:hint="eastAsia" w:ascii="仿宋" w:hAnsi="仿宋" w:eastAsia="仿宋" w:cs="仿宋"/>
          <w:b/>
          <w:color w:val="auto"/>
          <w:spacing w:val="-6"/>
          <w:kern w:val="0"/>
          <w:sz w:val="21"/>
          <w:szCs w:val="21"/>
          <w:highlight w:val="none"/>
        </w:rPr>
      </w:pPr>
      <w:r>
        <w:rPr>
          <w:rFonts w:hint="eastAsia" w:ascii="仿宋" w:hAnsi="仿宋" w:eastAsia="仿宋" w:cs="仿宋"/>
          <w:b/>
          <w:color w:val="auto"/>
          <w:spacing w:val="-6"/>
          <w:kern w:val="0"/>
          <w:sz w:val="21"/>
          <w:szCs w:val="21"/>
          <w:highlight w:val="none"/>
        </w:rPr>
        <w:t>最后报价一览表</w:t>
      </w:r>
    </w:p>
    <w:p w14:paraId="583FA46E">
      <w:pPr>
        <w:shd w:val="clear"/>
        <w:suppressAutoHyphens/>
        <w:spacing w:line="288" w:lineRule="auto"/>
        <w:jc w:val="center"/>
        <w:rPr>
          <w:rFonts w:hint="eastAsia" w:ascii="仿宋" w:hAnsi="仿宋" w:eastAsia="仿宋" w:cs="仿宋"/>
          <w:b/>
          <w:color w:val="auto"/>
          <w:spacing w:val="-6"/>
          <w:kern w:val="0"/>
          <w:sz w:val="21"/>
          <w:szCs w:val="21"/>
          <w:highlight w:val="none"/>
        </w:rPr>
      </w:pPr>
    </w:p>
    <w:p w14:paraId="7016CA98">
      <w:pPr>
        <w:shd w:val="clear"/>
        <w:adjustRightInd w:val="0"/>
        <w:snapToGrid w:val="0"/>
        <w:spacing w:line="288"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采 购 人：</w:t>
      </w:r>
      <w:r>
        <w:rPr>
          <w:rFonts w:hint="eastAsia" w:ascii="仿宋" w:hAnsi="仿宋" w:eastAsia="仿宋" w:cs="仿宋"/>
          <w:color w:val="auto"/>
          <w:sz w:val="21"/>
          <w:szCs w:val="21"/>
          <w:highlight w:val="none"/>
          <w:lang w:eastAsia="zh-CN"/>
        </w:rPr>
        <w:t>浙江万里学院</w:t>
      </w:r>
    </w:p>
    <w:p w14:paraId="52CD4D1A">
      <w:pPr>
        <w:shd w:val="clear"/>
        <w:adjustRightInd w:val="0"/>
        <w:snapToGrid w:val="0"/>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r>
        <w:rPr>
          <w:rFonts w:hint="eastAsia" w:ascii="仿宋" w:hAnsi="仿宋" w:eastAsia="仿宋" w:cs="仿宋"/>
          <w:color w:val="auto"/>
          <w:sz w:val="21"/>
          <w:szCs w:val="21"/>
          <w:highlight w:val="none"/>
          <w:lang w:eastAsia="zh-CN"/>
        </w:rPr>
        <w:t>金融数据库续建采购</w:t>
      </w:r>
    </w:p>
    <w:p w14:paraId="7B2185F9">
      <w:pPr>
        <w:shd w:val="clear"/>
        <w:adjustRightInd w:val="0"/>
        <w:snapToGrid w:val="0"/>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项目编号：</w:t>
      </w:r>
      <w:r>
        <w:rPr>
          <w:rFonts w:hint="eastAsia" w:ascii="仿宋" w:hAnsi="仿宋" w:eastAsia="仿宋" w:cs="仿宋"/>
          <w:color w:val="auto"/>
          <w:sz w:val="21"/>
          <w:szCs w:val="21"/>
          <w:highlight w:val="none"/>
          <w:lang w:eastAsia="zh-CN"/>
        </w:rPr>
        <w:t>CTZB-2025070077</w:t>
      </w:r>
      <w:r>
        <w:rPr>
          <w:rFonts w:hint="eastAsia" w:ascii="仿宋" w:hAnsi="仿宋" w:eastAsia="仿宋" w:cs="仿宋"/>
          <w:color w:val="auto"/>
          <w:sz w:val="21"/>
          <w:szCs w:val="21"/>
          <w:highlight w:val="none"/>
          <w:lang w:eastAsia="zh-CN"/>
        </w:rPr>
        <w:tab/>
      </w:r>
    </w:p>
    <w:tbl>
      <w:tblPr>
        <w:tblStyle w:val="28"/>
        <w:tblW w:w="9918" w:type="dxa"/>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839"/>
        <w:gridCol w:w="3166"/>
        <w:gridCol w:w="1011"/>
        <w:gridCol w:w="1323"/>
        <w:gridCol w:w="1871"/>
      </w:tblGrid>
      <w:tr w14:paraId="072F830F">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dxa"/>
            <w:shd w:val="clear" w:color="auto" w:fill="auto"/>
            <w:noWrap w:val="0"/>
            <w:vAlign w:val="center"/>
          </w:tcPr>
          <w:p w14:paraId="2240EFB4">
            <w:pPr>
              <w:shd w:val="clear"/>
              <w:adjustRightInd w:val="0"/>
              <w:snapToGrid w:val="0"/>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1839" w:type="dxa"/>
            <w:shd w:val="clear" w:color="auto" w:fill="auto"/>
            <w:noWrap w:val="0"/>
            <w:vAlign w:val="center"/>
          </w:tcPr>
          <w:p w14:paraId="62F5AFEF">
            <w:pPr>
              <w:shd w:val="clear"/>
              <w:adjustRightInd w:val="0"/>
              <w:snapToGrid w:val="0"/>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名称</w:t>
            </w:r>
          </w:p>
        </w:tc>
        <w:tc>
          <w:tcPr>
            <w:tcW w:w="3166" w:type="dxa"/>
            <w:shd w:val="clear" w:color="auto" w:fill="FFFFFF"/>
            <w:noWrap w:val="0"/>
            <w:vAlign w:val="center"/>
          </w:tcPr>
          <w:p w14:paraId="14199FD8">
            <w:pPr>
              <w:shd w:val="clear"/>
              <w:adjustRightInd w:val="0"/>
              <w:snapToGrid w:val="0"/>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具体服务</w:t>
            </w:r>
          </w:p>
        </w:tc>
        <w:tc>
          <w:tcPr>
            <w:tcW w:w="1011" w:type="dxa"/>
            <w:shd w:val="clear" w:color="auto" w:fill="FFFFFF"/>
            <w:noWrap w:val="0"/>
            <w:vAlign w:val="center"/>
          </w:tcPr>
          <w:p w14:paraId="69024A08">
            <w:pPr>
              <w:shd w:val="clear"/>
              <w:adjustRightInd w:val="0"/>
              <w:snapToGrid w:val="0"/>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数量</w:t>
            </w:r>
          </w:p>
        </w:tc>
        <w:tc>
          <w:tcPr>
            <w:tcW w:w="1323" w:type="dxa"/>
            <w:noWrap w:val="0"/>
            <w:vAlign w:val="center"/>
          </w:tcPr>
          <w:p w14:paraId="0BB95286">
            <w:pPr>
              <w:shd w:val="clear"/>
              <w:adjustRightInd w:val="0"/>
              <w:snapToGrid w:val="0"/>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单价（元）</w:t>
            </w:r>
          </w:p>
        </w:tc>
        <w:tc>
          <w:tcPr>
            <w:tcW w:w="1871" w:type="dxa"/>
            <w:noWrap w:val="0"/>
            <w:vAlign w:val="center"/>
          </w:tcPr>
          <w:p w14:paraId="2CEC5D02">
            <w:pPr>
              <w:shd w:val="clear"/>
              <w:adjustRightInd w:val="0"/>
              <w:snapToGrid w:val="0"/>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金额（元）</w:t>
            </w:r>
          </w:p>
        </w:tc>
      </w:tr>
      <w:tr w14:paraId="4C0B03FD">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dxa"/>
            <w:shd w:val="clear" w:color="auto" w:fill="auto"/>
            <w:noWrap w:val="0"/>
            <w:vAlign w:val="center"/>
          </w:tcPr>
          <w:p w14:paraId="68A4808F">
            <w:pPr>
              <w:shd w:val="clear"/>
              <w:adjustRightInd w:val="0"/>
              <w:snapToGrid w:val="0"/>
              <w:spacing w:line="288" w:lineRule="auto"/>
              <w:jc w:val="center"/>
              <w:rPr>
                <w:rFonts w:hint="eastAsia" w:ascii="仿宋" w:hAnsi="仿宋" w:eastAsia="仿宋" w:cs="仿宋"/>
                <w:b/>
                <w:bCs/>
                <w:color w:val="auto"/>
                <w:sz w:val="21"/>
                <w:szCs w:val="21"/>
                <w:highlight w:val="none"/>
              </w:rPr>
            </w:pPr>
          </w:p>
        </w:tc>
        <w:tc>
          <w:tcPr>
            <w:tcW w:w="1839" w:type="dxa"/>
            <w:shd w:val="clear" w:color="auto" w:fill="auto"/>
            <w:noWrap w:val="0"/>
            <w:vAlign w:val="center"/>
          </w:tcPr>
          <w:p w14:paraId="4E13DD6F">
            <w:pPr>
              <w:shd w:val="clear"/>
              <w:adjustRightInd w:val="0"/>
              <w:snapToGrid w:val="0"/>
              <w:spacing w:line="288" w:lineRule="auto"/>
              <w:jc w:val="center"/>
              <w:rPr>
                <w:rFonts w:hint="eastAsia" w:ascii="仿宋" w:hAnsi="仿宋" w:eastAsia="仿宋" w:cs="仿宋"/>
                <w:b/>
                <w:bCs/>
                <w:color w:val="auto"/>
                <w:sz w:val="21"/>
                <w:szCs w:val="21"/>
                <w:highlight w:val="none"/>
              </w:rPr>
            </w:pPr>
          </w:p>
        </w:tc>
        <w:tc>
          <w:tcPr>
            <w:tcW w:w="3166" w:type="dxa"/>
            <w:shd w:val="clear" w:color="auto" w:fill="FFFFFF"/>
            <w:noWrap w:val="0"/>
            <w:vAlign w:val="center"/>
          </w:tcPr>
          <w:p w14:paraId="40E19D61">
            <w:pPr>
              <w:shd w:val="clear"/>
              <w:adjustRightInd w:val="0"/>
              <w:snapToGrid w:val="0"/>
              <w:spacing w:line="288" w:lineRule="auto"/>
              <w:jc w:val="center"/>
              <w:rPr>
                <w:rFonts w:hint="eastAsia" w:ascii="仿宋" w:hAnsi="仿宋" w:eastAsia="仿宋" w:cs="仿宋"/>
                <w:b/>
                <w:bCs/>
                <w:color w:val="auto"/>
                <w:sz w:val="21"/>
                <w:szCs w:val="21"/>
                <w:highlight w:val="none"/>
              </w:rPr>
            </w:pPr>
          </w:p>
        </w:tc>
        <w:tc>
          <w:tcPr>
            <w:tcW w:w="1011" w:type="dxa"/>
            <w:shd w:val="clear" w:color="auto" w:fill="FFFFFF"/>
            <w:noWrap w:val="0"/>
            <w:vAlign w:val="center"/>
          </w:tcPr>
          <w:p w14:paraId="7DBE6101">
            <w:pPr>
              <w:shd w:val="clear"/>
              <w:adjustRightInd w:val="0"/>
              <w:snapToGrid w:val="0"/>
              <w:spacing w:line="288" w:lineRule="auto"/>
              <w:jc w:val="center"/>
              <w:rPr>
                <w:rFonts w:hint="eastAsia" w:ascii="仿宋" w:hAnsi="仿宋" w:eastAsia="仿宋" w:cs="仿宋"/>
                <w:b/>
                <w:bCs/>
                <w:color w:val="auto"/>
                <w:sz w:val="21"/>
                <w:szCs w:val="21"/>
                <w:highlight w:val="none"/>
              </w:rPr>
            </w:pPr>
          </w:p>
        </w:tc>
        <w:tc>
          <w:tcPr>
            <w:tcW w:w="1323" w:type="dxa"/>
            <w:noWrap w:val="0"/>
            <w:vAlign w:val="center"/>
          </w:tcPr>
          <w:p w14:paraId="06277B30">
            <w:pPr>
              <w:shd w:val="clear"/>
              <w:adjustRightInd w:val="0"/>
              <w:snapToGrid w:val="0"/>
              <w:spacing w:line="288" w:lineRule="auto"/>
              <w:jc w:val="center"/>
              <w:rPr>
                <w:rFonts w:hint="eastAsia" w:ascii="仿宋" w:hAnsi="仿宋" w:eastAsia="仿宋" w:cs="仿宋"/>
                <w:b/>
                <w:bCs/>
                <w:color w:val="auto"/>
                <w:sz w:val="21"/>
                <w:szCs w:val="21"/>
                <w:highlight w:val="none"/>
              </w:rPr>
            </w:pPr>
          </w:p>
        </w:tc>
        <w:tc>
          <w:tcPr>
            <w:tcW w:w="1871" w:type="dxa"/>
            <w:noWrap w:val="0"/>
            <w:vAlign w:val="center"/>
          </w:tcPr>
          <w:p w14:paraId="0D0FF621">
            <w:pPr>
              <w:shd w:val="clear"/>
              <w:adjustRightInd w:val="0"/>
              <w:snapToGrid w:val="0"/>
              <w:spacing w:line="288" w:lineRule="auto"/>
              <w:jc w:val="center"/>
              <w:rPr>
                <w:rFonts w:hint="eastAsia" w:ascii="仿宋" w:hAnsi="仿宋" w:eastAsia="仿宋" w:cs="仿宋"/>
                <w:b/>
                <w:bCs/>
                <w:color w:val="auto"/>
                <w:sz w:val="21"/>
                <w:szCs w:val="21"/>
                <w:highlight w:val="none"/>
              </w:rPr>
            </w:pPr>
          </w:p>
        </w:tc>
      </w:tr>
      <w:tr w14:paraId="67A1DC65">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dxa"/>
            <w:shd w:val="clear" w:color="auto" w:fill="auto"/>
            <w:noWrap w:val="0"/>
            <w:vAlign w:val="center"/>
          </w:tcPr>
          <w:p w14:paraId="30AF587B">
            <w:pPr>
              <w:shd w:val="clear"/>
              <w:adjustRightInd w:val="0"/>
              <w:snapToGrid w:val="0"/>
              <w:spacing w:line="288" w:lineRule="auto"/>
              <w:jc w:val="center"/>
              <w:rPr>
                <w:rFonts w:hint="eastAsia" w:ascii="仿宋" w:hAnsi="仿宋" w:eastAsia="仿宋" w:cs="仿宋"/>
                <w:b/>
                <w:bCs/>
                <w:color w:val="auto"/>
                <w:sz w:val="21"/>
                <w:szCs w:val="21"/>
                <w:highlight w:val="none"/>
              </w:rPr>
            </w:pPr>
          </w:p>
        </w:tc>
        <w:tc>
          <w:tcPr>
            <w:tcW w:w="1839" w:type="dxa"/>
            <w:shd w:val="clear" w:color="auto" w:fill="auto"/>
            <w:noWrap w:val="0"/>
            <w:vAlign w:val="center"/>
          </w:tcPr>
          <w:p w14:paraId="0244AF45">
            <w:pPr>
              <w:shd w:val="clear"/>
              <w:adjustRightInd w:val="0"/>
              <w:snapToGrid w:val="0"/>
              <w:spacing w:line="288" w:lineRule="auto"/>
              <w:jc w:val="center"/>
              <w:rPr>
                <w:rFonts w:hint="eastAsia" w:ascii="仿宋" w:hAnsi="仿宋" w:eastAsia="仿宋" w:cs="仿宋"/>
                <w:b/>
                <w:bCs/>
                <w:color w:val="auto"/>
                <w:sz w:val="21"/>
                <w:szCs w:val="21"/>
                <w:highlight w:val="none"/>
              </w:rPr>
            </w:pPr>
          </w:p>
        </w:tc>
        <w:tc>
          <w:tcPr>
            <w:tcW w:w="3166" w:type="dxa"/>
            <w:shd w:val="clear" w:color="auto" w:fill="FFFFFF"/>
            <w:noWrap w:val="0"/>
            <w:vAlign w:val="center"/>
          </w:tcPr>
          <w:p w14:paraId="290DBD08">
            <w:pPr>
              <w:shd w:val="clear"/>
              <w:adjustRightInd w:val="0"/>
              <w:snapToGrid w:val="0"/>
              <w:spacing w:line="288" w:lineRule="auto"/>
              <w:jc w:val="center"/>
              <w:rPr>
                <w:rFonts w:hint="eastAsia" w:ascii="仿宋" w:hAnsi="仿宋" w:eastAsia="仿宋" w:cs="仿宋"/>
                <w:b/>
                <w:bCs/>
                <w:color w:val="auto"/>
                <w:sz w:val="21"/>
                <w:szCs w:val="21"/>
                <w:highlight w:val="none"/>
              </w:rPr>
            </w:pPr>
          </w:p>
        </w:tc>
        <w:tc>
          <w:tcPr>
            <w:tcW w:w="1011" w:type="dxa"/>
            <w:shd w:val="clear" w:color="auto" w:fill="FFFFFF"/>
            <w:noWrap w:val="0"/>
            <w:vAlign w:val="center"/>
          </w:tcPr>
          <w:p w14:paraId="7A1F6ED5">
            <w:pPr>
              <w:shd w:val="clear"/>
              <w:adjustRightInd w:val="0"/>
              <w:snapToGrid w:val="0"/>
              <w:spacing w:line="288" w:lineRule="auto"/>
              <w:jc w:val="center"/>
              <w:rPr>
                <w:rFonts w:hint="eastAsia" w:ascii="仿宋" w:hAnsi="仿宋" w:eastAsia="仿宋" w:cs="仿宋"/>
                <w:b/>
                <w:bCs/>
                <w:color w:val="auto"/>
                <w:sz w:val="21"/>
                <w:szCs w:val="21"/>
                <w:highlight w:val="none"/>
              </w:rPr>
            </w:pPr>
          </w:p>
        </w:tc>
        <w:tc>
          <w:tcPr>
            <w:tcW w:w="1323" w:type="dxa"/>
            <w:noWrap w:val="0"/>
            <w:vAlign w:val="center"/>
          </w:tcPr>
          <w:p w14:paraId="3C195FBF">
            <w:pPr>
              <w:shd w:val="clear"/>
              <w:adjustRightInd w:val="0"/>
              <w:snapToGrid w:val="0"/>
              <w:spacing w:line="288" w:lineRule="auto"/>
              <w:jc w:val="center"/>
              <w:rPr>
                <w:rFonts w:hint="eastAsia" w:ascii="仿宋" w:hAnsi="仿宋" w:eastAsia="仿宋" w:cs="仿宋"/>
                <w:b/>
                <w:bCs/>
                <w:color w:val="auto"/>
                <w:sz w:val="21"/>
                <w:szCs w:val="21"/>
                <w:highlight w:val="none"/>
              </w:rPr>
            </w:pPr>
          </w:p>
        </w:tc>
        <w:tc>
          <w:tcPr>
            <w:tcW w:w="1871" w:type="dxa"/>
            <w:noWrap w:val="0"/>
            <w:vAlign w:val="center"/>
          </w:tcPr>
          <w:p w14:paraId="6904A3A7">
            <w:pPr>
              <w:shd w:val="clear"/>
              <w:adjustRightInd w:val="0"/>
              <w:snapToGrid w:val="0"/>
              <w:spacing w:line="288" w:lineRule="auto"/>
              <w:jc w:val="center"/>
              <w:rPr>
                <w:rFonts w:hint="eastAsia" w:ascii="仿宋" w:hAnsi="仿宋" w:eastAsia="仿宋" w:cs="仿宋"/>
                <w:b/>
                <w:bCs/>
                <w:color w:val="auto"/>
                <w:sz w:val="21"/>
                <w:szCs w:val="21"/>
                <w:highlight w:val="none"/>
              </w:rPr>
            </w:pPr>
          </w:p>
        </w:tc>
      </w:tr>
      <w:tr w14:paraId="5C2447E3">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dxa"/>
            <w:shd w:val="clear" w:color="auto" w:fill="auto"/>
            <w:noWrap w:val="0"/>
            <w:vAlign w:val="center"/>
          </w:tcPr>
          <w:p w14:paraId="57CD8207">
            <w:pPr>
              <w:shd w:val="clear"/>
              <w:adjustRightInd w:val="0"/>
              <w:snapToGrid w:val="0"/>
              <w:spacing w:line="288" w:lineRule="auto"/>
              <w:jc w:val="center"/>
              <w:rPr>
                <w:rFonts w:hint="eastAsia" w:ascii="仿宋" w:hAnsi="仿宋" w:eastAsia="仿宋" w:cs="仿宋"/>
                <w:b/>
                <w:bCs/>
                <w:color w:val="auto"/>
                <w:sz w:val="21"/>
                <w:szCs w:val="21"/>
                <w:highlight w:val="none"/>
              </w:rPr>
            </w:pPr>
          </w:p>
        </w:tc>
        <w:tc>
          <w:tcPr>
            <w:tcW w:w="1839" w:type="dxa"/>
            <w:shd w:val="clear" w:color="auto" w:fill="auto"/>
            <w:noWrap w:val="0"/>
            <w:vAlign w:val="center"/>
          </w:tcPr>
          <w:p w14:paraId="06273C96">
            <w:pPr>
              <w:shd w:val="clear"/>
              <w:adjustRightInd w:val="0"/>
              <w:snapToGrid w:val="0"/>
              <w:spacing w:line="288" w:lineRule="auto"/>
              <w:jc w:val="center"/>
              <w:rPr>
                <w:rFonts w:hint="eastAsia" w:ascii="仿宋" w:hAnsi="仿宋" w:eastAsia="仿宋" w:cs="仿宋"/>
                <w:b/>
                <w:bCs/>
                <w:color w:val="auto"/>
                <w:sz w:val="21"/>
                <w:szCs w:val="21"/>
                <w:highlight w:val="none"/>
              </w:rPr>
            </w:pPr>
          </w:p>
        </w:tc>
        <w:tc>
          <w:tcPr>
            <w:tcW w:w="3166" w:type="dxa"/>
            <w:shd w:val="clear" w:color="auto" w:fill="FFFFFF"/>
            <w:noWrap w:val="0"/>
            <w:vAlign w:val="center"/>
          </w:tcPr>
          <w:p w14:paraId="44477598">
            <w:pPr>
              <w:shd w:val="clear"/>
              <w:adjustRightInd w:val="0"/>
              <w:snapToGrid w:val="0"/>
              <w:spacing w:line="288" w:lineRule="auto"/>
              <w:jc w:val="center"/>
              <w:rPr>
                <w:rFonts w:hint="eastAsia" w:ascii="仿宋" w:hAnsi="仿宋" w:eastAsia="仿宋" w:cs="仿宋"/>
                <w:b/>
                <w:bCs/>
                <w:color w:val="auto"/>
                <w:sz w:val="21"/>
                <w:szCs w:val="21"/>
                <w:highlight w:val="none"/>
              </w:rPr>
            </w:pPr>
          </w:p>
        </w:tc>
        <w:tc>
          <w:tcPr>
            <w:tcW w:w="1011" w:type="dxa"/>
            <w:shd w:val="clear" w:color="auto" w:fill="FFFFFF"/>
            <w:noWrap w:val="0"/>
            <w:vAlign w:val="center"/>
          </w:tcPr>
          <w:p w14:paraId="510E1673">
            <w:pPr>
              <w:shd w:val="clear"/>
              <w:adjustRightInd w:val="0"/>
              <w:snapToGrid w:val="0"/>
              <w:spacing w:line="288" w:lineRule="auto"/>
              <w:jc w:val="center"/>
              <w:rPr>
                <w:rFonts w:hint="eastAsia" w:ascii="仿宋" w:hAnsi="仿宋" w:eastAsia="仿宋" w:cs="仿宋"/>
                <w:b/>
                <w:bCs/>
                <w:color w:val="auto"/>
                <w:sz w:val="21"/>
                <w:szCs w:val="21"/>
                <w:highlight w:val="none"/>
              </w:rPr>
            </w:pPr>
          </w:p>
        </w:tc>
        <w:tc>
          <w:tcPr>
            <w:tcW w:w="1323" w:type="dxa"/>
            <w:noWrap w:val="0"/>
            <w:vAlign w:val="center"/>
          </w:tcPr>
          <w:p w14:paraId="20C05C0D">
            <w:pPr>
              <w:shd w:val="clear"/>
              <w:adjustRightInd w:val="0"/>
              <w:snapToGrid w:val="0"/>
              <w:spacing w:line="288" w:lineRule="auto"/>
              <w:jc w:val="center"/>
              <w:rPr>
                <w:rFonts w:hint="eastAsia" w:ascii="仿宋" w:hAnsi="仿宋" w:eastAsia="仿宋" w:cs="仿宋"/>
                <w:b/>
                <w:bCs/>
                <w:color w:val="auto"/>
                <w:sz w:val="21"/>
                <w:szCs w:val="21"/>
                <w:highlight w:val="none"/>
              </w:rPr>
            </w:pPr>
          </w:p>
        </w:tc>
        <w:tc>
          <w:tcPr>
            <w:tcW w:w="1871" w:type="dxa"/>
            <w:noWrap w:val="0"/>
            <w:vAlign w:val="center"/>
          </w:tcPr>
          <w:p w14:paraId="4A5549E6">
            <w:pPr>
              <w:shd w:val="clear"/>
              <w:adjustRightInd w:val="0"/>
              <w:snapToGrid w:val="0"/>
              <w:spacing w:line="288" w:lineRule="auto"/>
              <w:jc w:val="center"/>
              <w:rPr>
                <w:rFonts w:hint="eastAsia" w:ascii="仿宋" w:hAnsi="仿宋" w:eastAsia="仿宋" w:cs="仿宋"/>
                <w:b/>
                <w:bCs/>
                <w:color w:val="auto"/>
                <w:sz w:val="21"/>
                <w:szCs w:val="21"/>
                <w:highlight w:val="none"/>
              </w:rPr>
            </w:pPr>
          </w:p>
        </w:tc>
      </w:tr>
      <w:tr w14:paraId="269D4981">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dxa"/>
            <w:shd w:val="clear" w:color="auto" w:fill="auto"/>
            <w:noWrap w:val="0"/>
            <w:vAlign w:val="center"/>
          </w:tcPr>
          <w:p w14:paraId="16B99DE8">
            <w:pPr>
              <w:shd w:val="clear"/>
              <w:adjustRightInd w:val="0"/>
              <w:snapToGrid w:val="0"/>
              <w:spacing w:line="288" w:lineRule="auto"/>
              <w:jc w:val="center"/>
              <w:rPr>
                <w:rFonts w:hint="eastAsia" w:ascii="仿宋" w:hAnsi="仿宋" w:eastAsia="仿宋" w:cs="仿宋"/>
                <w:b/>
                <w:bCs/>
                <w:color w:val="auto"/>
                <w:sz w:val="21"/>
                <w:szCs w:val="21"/>
                <w:highlight w:val="none"/>
              </w:rPr>
            </w:pPr>
          </w:p>
        </w:tc>
        <w:tc>
          <w:tcPr>
            <w:tcW w:w="1839" w:type="dxa"/>
            <w:shd w:val="clear" w:color="auto" w:fill="auto"/>
            <w:noWrap w:val="0"/>
            <w:vAlign w:val="center"/>
          </w:tcPr>
          <w:p w14:paraId="443D996D">
            <w:pPr>
              <w:shd w:val="clear"/>
              <w:adjustRightInd w:val="0"/>
              <w:snapToGrid w:val="0"/>
              <w:spacing w:line="288" w:lineRule="auto"/>
              <w:jc w:val="center"/>
              <w:rPr>
                <w:rFonts w:hint="eastAsia" w:ascii="仿宋" w:hAnsi="仿宋" w:eastAsia="仿宋" w:cs="仿宋"/>
                <w:b/>
                <w:bCs/>
                <w:color w:val="auto"/>
                <w:sz w:val="21"/>
                <w:szCs w:val="21"/>
                <w:highlight w:val="none"/>
              </w:rPr>
            </w:pPr>
          </w:p>
        </w:tc>
        <w:tc>
          <w:tcPr>
            <w:tcW w:w="3166" w:type="dxa"/>
            <w:shd w:val="clear" w:color="auto" w:fill="FFFFFF"/>
            <w:noWrap w:val="0"/>
            <w:vAlign w:val="center"/>
          </w:tcPr>
          <w:p w14:paraId="6BE1EEEC">
            <w:pPr>
              <w:shd w:val="clear"/>
              <w:adjustRightInd w:val="0"/>
              <w:snapToGrid w:val="0"/>
              <w:spacing w:line="288" w:lineRule="auto"/>
              <w:jc w:val="center"/>
              <w:rPr>
                <w:rFonts w:hint="eastAsia" w:ascii="仿宋" w:hAnsi="仿宋" w:eastAsia="仿宋" w:cs="仿宋"/>
                <w:b/>
                <w:bCs/>
                <w:color w:val="auto"/>
                <w:sz w:val="21"/>
                <w:szCs w:val="21"/>
                <w:highlight w:val="none"/>
              </w:rPr>
            </w:pPr>
          </w:p>
        </w:tc>
        <w:tc>
          <w:tcPr>
            <w:tcW w:w="1011" w:type="dxa"/>
            <w:shd w:val="clear" w:color="auto" w:fill="FFFFFF"/>
            <w:noWrap w:val="0"/>
            <w:vAlign w:val="center"/>
          </w:tcPr>
          <w:p w14:paraId="5230562B">
            <w:pPr>
              <w:shd w:val="clear"/>
              <w:adjustRightInd w:val="0"/>
              <w:snapToGrid w:val="0"/>
              <w:spacing w:line="288" w:lineRule="auto"/>
              <w:jc w:val="center"/>
              <w:rPr>
                <w:rFonts w:hint="eastAsia" w:ascii="仿宋" w:hAnsi="仿宋" w:eastAsia="仿宋" w:cs="仿宋"/>
                <w:b/>
                <w:bCs/>
                <w:color w:val="auto"/>
                <w:sz w:val="21"/>
                <w:szCs w:val="21"/>
                <w:highlight w:val="none"/>
              </w:rPr>
            </w:pPr>
          </w:p>
        </w:tc>
        <w:tc>
          <w:tcPr>
            <w:tcW w:w="1323" w:type="dxa"/>
            <w:noWrap w:val="0"/>
            <w:vAlign w:val="center"/>
          </w:tcPr>
          <w:p w14:paraId="17926835">
            <w:pPr>
              <w:shd w:val="clear"/>
              <w:adjustRightInd w:val="0"/>
              <w:snapToGrid w:val="0"/>
              <w:spacing w:line="288" w:lineRule="auto"/>
              <w:jc w:val="center"/>
              <w:rPr>
                <w:rFonts w:hint="eastAsia" w:ascii="仿宋" w:hAnsi="仿宋" w:eastAsia="仿宋" w:cs="仿宋"/>
                <w:b/>
                <w:bCs/>
                <w:color w:val="auto"/>
                <w:sz w:val="21"/>
                <w:szCs w:val="21"/>
                <w:highlight w:val="none"/>
              </w:rPr>
            </w:pPr>
          </w:p>
        </w:tc>
        <w:tc>
          <w:tcPr>
            <w:tcW w:w="1871" w:type="dxa"/>
            <w:noWrap w:val="0"/>
            <w:vAlign w:val="center"/>
          </w:tcPr>
          <w:p w14:paraId="58F9ADCF">
            <w:pPr>
              <w:shd w:val="clear"/>
              <w:adjustRightInd w:val="0"/>
              <w:snapToGrid w:val="0"/>
              <w:spacing w:line="288" w:lineRule="auto"/>
              <w:jc w:val="center"/>
              <w:rPr>
                <w:rFonts w:hint="eastAsia" w:ascii="仿宋" w:hAnsi="仿宋" w:eastAsia="仿宋" w:cs="仿宋"/>
                <w:b/>
                <w:bCs/>
                <w:color w:val="auto"/>
                <w:sz w:val="21"/>
                <w:szCs w:val="21"/>
                <w:highlight w:val="none"/>
              </w:rPr>
            </w:pPr>
          </w:p>
        </w:tc>
      </w:tr>
      <w:tr w14:paraId="055D3B01">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8" w:type="dxa"/>
            <w:shd w:val="clear" w:color="auto" w:fill="auto"/>
            <w:noWrap w:val="0"/>
            <w:vAlign w:val="center"/>
          </w:tcPr>
          <w:p w14:paraId="5CD7B685">
            <w:pPr>
              <w:shd w:val="clear"/>
              <w:adjustRightInd w:val="0"/>
              <w:snapToGrid w:val="0"/>
              <w:spacing w:line="288" w:lineRule="auto"/>
              <w:jc w:val="center"/>
              <w:rPr>
                <w:rFonts w:hint="eastAsia" w:ascii="仿宋" w:hAnsi="仿宋" w:eastAsia="仿宋" w:cs="仿宋"/>
                <w:b/>
                <w:bCs/>
                <w:color w:val="auto"/>
                <w:sz w:val="21"/>
                <w:szCs w:val="21"/>
                <w:highlight w:val="none"/>
              </w:rPr>
            </w:pPr>
          </w:p>
        </w:tc>
        <w:tc>
          <w:tcPr>
            <w:tcW w:w="1839" w:type="dxa"/>
            <w:shd w:val="clear" w:color="auto" w:fill="auto"/>
            <w:noWrap w:val="0"/>
            <w:vAlign w:val="center"/>
          </w:tcPr>
          <w:p w14:paraId="562C1572">
            <w:pPr>
              <w:shd w:val="clear"/>
              <w:adjustRightInd w:val="0"/>
              <w:snapToGrid w:val="0"/>
              <w:spacing w:line="288" w:lineRule="auto"/>
              <w:jc w:val="center"/>
              <w:rPr>
                <w:rFonts w:hint="eastAsia" w:ascii="仿宋" w:hAnsi="仿宋" w:eastAsia="仿宋" w:cs="仿宋"/>
                <w:b/>
                <w:bCs/>
                <w:color w:val="auto"/>
                <w:sz w:val="21"/>
                <w:szCs w:val="21"/>
                <w:highlight w:val="none"/>
              </w:rPr>
            </w:pPr>
          </w:p>
        </w:tc>
        <w:tc>
          <w:tcPr>
            <w:tcW w:w="3166" w:type="dxa"/>
            <w:shd w:val="clear" w:color="auto" w:fill="FFFFFF"/>
            <w:noWrap w:val="0"/>
            <w:vAlign w:val="center"/>
          </w:tcPr>
          <w:p w14:paraId="6A831B11">
            <w:pPr>
              <w:shd w:val="clear"/>
              <w:adjustRightInd w:val="0"/>
              <w:snapToGrid w:val="0"/>
              <w:spacing w:line="288" w:lineRule="auto"/>
              <w:jc w:val="center"/>
              <w:rPr>
                <w:rFonts w:hint="eastAsia" w:ascii="仿宋" w:hAnsi="仿宋" w:eastAsia="仿宋" w:cs="仿宋"/>
                <w:b/>
                <w:bCs/>
                <w:color w:val="auto"/>
                <w:sz w:val="21"/>
                <w:szCs w:val="21"/>
                <w:highlight w:val="none"/>
              </w:rPr>
            </w:pPr>
          </w:p>
        </w:tc>
        <w:tc>
          <w:tcPr>
            <w:tcW w:w="1011" w:type="dxa"/>
            <w:shd w:val="clear" w:color="auto" w:fill="FFFFFF"/>
            <w:noWrap w:val="0"/>
            <w:vAlign w:val="center"/>
          </w:tcPr>
          <w:p w14:paraId="4EE0EA29">
            <w:pPr>
              <w:shd w:val="clear"/>
              <w:adjustRightInd w:val="0"/>
              <w:snapToGrid w:val="0"/>
              <w:spacing w:line="288" w:lineRule="auto"/>
              <w:jc w:val="center"/>
              <w:rPr>
                <w:rFonts w:hint="eastAsia" w:ascii="仿宋" w:hAnsi="仿宋" w:eastAsia="仿宋" w:cs="仿宋"/>
                <w:b/>
                <w:bCs/>
                <w:color w:val="auto"/>
                <w:sz w:val="21"/>
                <w:szCs w:val="21"/>
                <w:highlight w:val="none"/>
              </w:rPr>
            </w:pPr>
          </w:p>
        </w:tc>
        <w:tc>
          <w:tcPr>
            <w:tcW w:w="1323" w:type="dxa"/>
            <w:noWrap w:val="0"/>
            <w:vAlign w:val="center"/>
          </w:tcPr>
          <w:p w14:paraId="7A50B392">
            <w:pPr>
              <w:shd w:val="clear"/>
              <w:adjustRightInd w:val="0"/>
              <w:snapToGrid w:val="0"/>
              <w:spacing w:line="288" w:lineRule="auto"/>
              <w:jc w:val="center"/>
              <w:rPr>
                <w:rFonts w:hint="eastAsia" w:ascii="仿宋" w:hAnsi="仿宋" w:eastAsia="仿宋" w:cs="仿宋"/>
                <w:b/>
                <w:bCs/>
                <w:color w:val="auto"/>
                <w:sz w:val="21"/>
                <w:szCs w:val="21"/>
                <w:highlight w:val="none"/>
              </w:rPr>
            </w:pPr>
          </w:p>
        </w:tc>
        <w:tc>
          <w:tcPr>
            <w:tcW w:w="1871" w:type="dxa"/>
            <w:noWrap w:val="0"/>
            <w:vAlign w:val="center"/>
          </w:tcPr>
          <w:p w14:paraId="1814D5DB">
            <w:pPr>
              <w:shd w:val="clear"/>
              <w:adjustRightInd w:val="0"/>
              <w:snapToGrid w:val="0"/>
              <w:spacing w:line="288" w:lineRule="auto"/>
              <w:jc w:val="center"/>
              <w:rPr>
                <w:rFonts w:hint="eastAsia" w:ascii="仿宋" w:hAnsi="仿宋" w:eastAsia="仿宋" w:cs="仿宋"/>
                <w:b/>
                <w:bCs/>
                <w:color w:val="auto"/>
                <w:sz w:val="21"/>
                <w:szCs w:val="21"/>
                <w:highlight w:val="none"/>
              </w:rPr>
            </w:pPr>
          </w:p>
        </w:tc>
      </w:tr>
      <w:tr w14:paraId="38A35F32">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18" w:type="dxa"/>
            <w:gridSpan w:val="6"/>
            <w:noWrap w:val="0"/>
            <w:vAlign w:val="center"/>
          </w:tcPr>
          <w:p w14:paraId="2A1DC4EC">
            <w:pPr>
              <w:shd w:val="clear"/>
              <w:adjustRightInd w:val="0"/>
              <w:snapToGrid w:val="0"/>
              <w:spacing w:line="288" w:lineRule="auto"/>
              <w:jc w:val="left"/>
              <w:rPr>
                <w:rFonts w:hint="eastAsia" w:ascii="仿宋" w:hAnsi="仿宋" w:eastAsia="仿宋" w:cs="仿宋"/>
                <w:b/>
                <w:bCs/>
                <w:color w:val="auto"/>
                <w:sz w:val="21"/>
                <w:szCs w:val="21"/>
                <w:highlight w:val="none"/>
              </w:rPr>
            </w:pPr>
            <w:r>
              <w:rPr>
                <w:rFonts w:hint="eastAsia" w:ascii="仿宋" w:hAnsi="仿宋" w:eastAsia="仿宋" w:cs="仿宋"/>
                <w:b/>
                <w:color w:val="auto"/>
                <w:sz w:val="21"/>
                <w:szCs w:val="21"/>
                <w:highlight w:val="none"/>
              </w:rPr>
              <w:t>说明：</w:t>
            </w:r>
            <w:r>
              <w:rPr>
                <w:rFonts w:hint="eastAsia" w:ascii="仿宋" w:hAnsi="仿宋" w:eastAsia="仿宋" w:cs="仿宋"/>
                <w:b/>
                <w:color w:val="auto"/>
                <w:sz w:val="21"/>
                <w:szCs w:val="21"/>
                <w:highlight w:val="none"/>
                <w:lang w:val="zh-CN"/>
              </w:rPr>
              <w:t>有关本项目实施所涉及的一切费用均计入报价。合同总价不为零，报价明细表中部分产品、服务单价为零的，视作已包含在总价中。采购人将以合同形式有偿取得货物或服务，不接受供应商给予的赠品、回扣或者与采购无关的其他商品、服务。采购内容未包含在《报价一览表》名称栏中，供应商不能作出合理解释的，视为响应文件含有采购人不能接受的附加条件的，响应无效。</w:t>
            </w:r>
          </w:p>
          <w:p w14:paraId="62DA6403">
            <w:pPr>
              <w:shd w:val="clear"/>
              <w:adjustRightInd w:val="0"/>
              <w:snapToGrid w:val="0"/>
              <w:spacing w:line="288" w:lineRule="auto"/>
              <w:jc w:val="center"/>
              <w:rPr>
                <w:rFonts w:hint="eastAsia" w:ascii="仿宋" w:hAnsi="仿宋" w:eastAsia="仿宋" w:cs="仿宋"/>
                <w:b/>
                <w:bCs/>
                <w:color w:val="auto"/>
                <w:sz w:val="21"/>
                <w:szCs w:val="21"/>
                <w:highlight w:val="none"/>
              </w:rPr>
            </w:pPr>
          </w:p>
          <w:p w14:paraId="7D18A6AC">
            <w:pPr>
              <w:shd w:val="clear"/>
              <w:adjustRightInd w:val="0"/>
              <w:snapToGrid w:val="0"/>
              <w:spacing w:line="288"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总价（人民币元）</w:t>
            </w:r>
          </w:p>
          <w:p w14:paraId="706ADB0F">
            <w:pPr>
              <w:shd w:val="clear"/>
              <w:adjustRightInd w:val="0"/>
              <w:snapToGrid w:val="0"/>
              <w:spacing w:line="288" w:lineRule="auto"/>
              <w:rPr>
                <w:rFonts w:hint="eastAsia" w:ascii="仿宋" w:hAnsi="仿宋" w:eastAsia="仿宋" w:cs="仿宋"/>
                <w:b/>
                <w:bCs/>
                <w:color w:val="auto"/>
                <w:sz w:val="21"/>
                <w:szCs w:val="21"/>
                <w:highlight w:val="none"/>
              </w:rPr>
            </w:pPr>
          </w:p>
          <w:p w14:paraId="3C67C879">
            <w:pPr>
              <w:shd w:val="clear"/>
              <w:adjustRightInd w:val="0"/>
              <w:snapToGrid w:val="0"/>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小写：_________________________</w:t>
            </w:r>
          </w:p>
          <w:p w14:paraId="166BF988">
            <w:pPr>
              <w:shd w:val="clear"/>
              <w:adjustRightInd w:val="0"/>
              <w:snapToGrid w:val="0"/>
              <w:spacing w:line="288" w:lineRule="auto"/>
              <w:rPr>
                <w:rFonts w:hint="eastAsia" w:ascii="仿宋" w:hAnsi="仿宋" w:eastAsia="仿宋" w:cs="仿宋"/>
                <w:b/>
                <w:bCs/>
                <w:color w:val="auto"/>
                <w:sz w:val="21"/>
                <w:szCs w:val="21"/>
                <w:highlight w:val="none"/>
              </w:rPr>
            </w:pPr>
          </w:p>
          <w:p w14:paraId="269B2903">
            <w:pPr>
              <w:shd w:val="clear"/>
              <w:adjustRightInd w:val="0"/>
              <w:snapToGrid w:val="0"/>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大写：_________________________</w:t>
            </w:r>
          </w:p>
          <w:p w14:paraId="4499044E">
            <w:pPr>
              <w:shd w:val="clear"/>
              <w:adjustRightInd w:val="0"/>
              <w:snapToGrid w:val="0"/>
              <w:spacing w:line="288" w:lineRule="auto"/>
              <w:rPr>
                <w:rFonts w:hint="eastAsia" w:ascii="仿宋" w:hAnsi="仿宋" w:eastAsia="仿宋" w:cs="仿宋"/>
                <w:b/>
                <w:bCs/>
                <w:color w:val="auto"/>
                <w:sz w:val="21"/>
                <w:szCs w:val="21"/>
                <w:highlight w:val="none"/>
              </w:rPr>
            </w:pPr>
          </w:p>
        </w:tc>
      </w:tr>
    </w:tbl>
    <w:p w14:paraId="0AB717C4">
      <w:pPr>
        <w:shd w:val="clear"/>
        <w:adjustRightInd w:val="0"/>
        <w:snapToGrid w:val="0"/>
        <w:spacing w:line="288" w:lineRule="auto"/>
        <w:rPr>
          <w:rFonts w:hint="eastAsia" w:ascii="仿宋" w:hAnsi="仿宋" w:eastAsia="仿宋" w:cs="仿宋"/>
          <w:color w:val="auto"/>
          <w:sz w:val="21"/>
          <w:szCs w:val="21"/>
          <w:highlight w:val="none"/>
        </w:rPr>
      </w:pPr>
    </w:p>
    <w:p w14:paraId="5FDCA4B1">
      <w:pPr>
        <w:pStyle w:val="10"/>
        <w:shd w:val="clear"/>
        <w:rPr>
          <w:rFonts w:hint="eastAsia" w:ascii="仿宋" w:hAnsi="仿宋" w:eastAsia="仿宋" w:cs="仿宋"/>
          <w:color w:val="auto"/>
          <w:spacing w:val="0"/>
          <w:sz w:val="21"/>
          <w:szCs w:val="21"/>
          <w:highlight w:val="none"/>
        </w:rPr>
      </w:pPr>
    </w:p>
    <w:p w14:paraId="3BE7242D">
      <w:pPr>
        <w:shd w:val="clear"/>
        <w:rPr>
          <w:rFonts w:hint="eastAsia" w:ascii="仿宋" w:hAnsi="仿宋" w:eastAsia="仿宋" w:cs="仿宋"/>
          <w:color w:val="auto"/>
          <w:highlight w:val="none"/>
        </w:rPr>
      </w:pPr>
    </w:p>
    <w:p w14:paraId="08FB6A37">
      <w:pPr>
        <w:shd w:val="clear"/>
        <w:adjustRightInd w:val="0"/>
        <w:snapToGrid w:val="0"/>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说明：</w:t>
      </w:r>
    </w:p>
    <w:p w14:paraId="47235EE7">
      <w:pPr>
        <w:shd w:val="clear"/>
        <w:adjustRightInd w:val="0"/>
        <w:snapToGrid w:val="0"/>
        <w:spacing w:line="288" w:lineRule="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1.此表在不改变格式要求的情况下，可自行增行。</w:t>
      </w:r>
    </w:p>
    <w:p w14:paraId="5C92DD62">
      <w:pPr>
        <w:shd w:val="clear"/>
        <w:adjustRightInd w:val="0"/>
        <w:snapToGrid w:val="0"/>
        <w:spacing w:line="288" w:lineRule="auto"/>
        <w:jc w:val="left"/>
        <w:rPr>
          <w:rFonts w:hint="eastAsia" w:ascii="仿宋" w:hAnsi="仿宋" w:eastAsia="仿宋" w:cs="仿宋"/>
          <w:b/>
          <w:color w:val="auto"/>
          <w:sz w:val="21"/>
          <w:szCs w:val="21"/>
          <w:highlight w:val="none"/>
        </w:rPr>
      </w:pPr>
      <w:r>
        <w:rPr>
          <w:rFonts w:hint="eastAsia" w:ascii="仿宋" w:hAnsi="仿宋" w:eastAsia="仿宋" w:cs="仿宋"/>
          <w:bCs/>
          <w:color w:val="auto"/>
          <w:sz w:val="21"/>
          <w:szCs w:val="21"/>
          <w:highlight w:val="none"/>
        </w:rPr>
        <w:t>2.有关本项目实施所涉及的一切费用均计入报价。</w:t>
      </w:r>
    </w:p>
    <w:p w14:paraId="71673157">
      <w:pPr>
        <w:shd w:val="clear"/>
        <w:spacing w:line="336" w:lineRule="auto"/>
        <w:rPr>
          <w:rFonts w:hint="eastAsia" w:ascii="仿宋" w:hAnsi="仿宋" w:eastAsia="仿宋" w:cs="仿宋"/>
          <w:bCs/>
          <w:color w:val="auto"/>
          <w:sz w:val="21"/>
          <w:szCs w:val="21"/>
          <w:highlight w:val="none"/>
        </w:rPr>
      </w:pPr>
      <w:r>
        <w:rPr>
          <w:rFonts w:hint="eastAsia" w:ascii="仿宋" w:hAnsi="仿宋" w:eastAsia="仿宋" w:cs="仿宋"/>
          <w:b/>
          <w:color w:val="auto"/>
          <w:sz w:val="21"/>
          <w:szCs w:val="21"/>
          <w:highlight w:val="none"/>
        </w:rPr>
        <w:t>3.以上表格要求细分项目及报价，在“规格型号（或具体服务）”一栏中，货物类项目填写规格型号，服务类项目填写具体服务</w:t>
      </w:r>
      <w:r>
        <w:rPr>
          <w:rFonts w:hint="eastAsia" w:ascii="仿宋" w:hAnsi="仿宋" w:eastAsia="仿宋" w:cs="仿宋"/>
          <w:bCs/>
          <w:color w:val="auto"/>
          <w:sz w:val="21"/>
          <w:szCs w:val="21"/>
          <w:highlight w:val="none"/>
        </w:rPr>
        <w:t>。</w:t>
      </w:r>
    </w:p>
    <w:p w14:paraId="638C17D3">
      <w:pPr>
        <w:shd w:val="clear"/>
        <w:adjustRightInd w:val="0"/>
        <w:snapToGrid w:val="0"/>
        <w:spacing w:line="288" w:lineRule="auto"/>
        <w:rPr>
          <w:rFonts w:hint="eastAsia" w:ascii="仿宋" w:hAnsi="仿宋" w:eastAsia="仿宋" w:cs="仿宋"/>
          <w:bCs/>
          <w:color w:val="auto"/>
          <w:sz w:val="21"/>
          <w:szCs w:val="21"/>
          <w:highlight w:val="none"/>
        </w:rPr>
      </w:pPr>
    </w:p>
    <w:p w14:paraId="411E524D">
      <w:pPr>
        <w:shd w:val="clear"/>
        <w:adjustRightInd w:val="0"/>
        <w:snapToGrid w:val="0"/>
        <w:spacing w:line="288" w:lineRule="auto"/>
        <w:rPr>
          <w:rFonts w:hint="eastAsia" w:ascii="仿宋" w:hAnsi="仿宋" w:eastAsia="仿宋" w:cs="仿宋"/>
          <w:bCs/>
          <w:color w:val="auto"/>
          <w:sz w:val="21"/>
          <w:szCs w:val="21"/>
          <w:highlight w:val="none"/>
        </w:rPr>
      </w:pPr>
    </w:p>
    <w:p w14:paraId="2A596F38">
      <w:pPr>
        <w:shd w:val="clear"/>
        <w:adjustRightInd w:val="0"/>
        <w:snapToGrid w:val="0"/>
        <w:spacing w:line="288" w:lineRule="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供应商名称（电子签名/公章）：</w:t>
      </w:r>
    </w:p>
    <w:p w14:paraId="54200204">
      <w:pPr>
        <w:shd w:val="clear"/>
        <w:adjustRightInd w:val="0"/>
        <w:snapToGrid w:val="0"/>
        <w:spacing w:line="288" w:lineRule="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日期：2025年  月  日</w:t>
      </w:r>
    </w:p>
    <w:p w14:paraId="5E593CFB">
      <w:pPr>
        <w:pStyle w:val="80"/>
        <w:shd w:val="clear"/>
        <w:ind w:firstLine="422"/>
        <w:rPr>
          <w:rFonts w:hint="eastAsia" w:ascii="仿宋" w:hAnsi="仿宋" w:eastAsia="仿宋" w:cs="仿宋"/>
          <w:b/>
          <w:color w:val="auto"/>
          <w:sz w:val="21"/>
          <w:szCs w:val="21"/>
          <w:highlight w:val="none"/>
        </w:rPr>
      </w:pPr>
    </w:p>
    <w:p w14:paraId="76AEE761">
      <w:pPr>
        <w:shd w:val="clear"/>
        <w:adjustRightInd w:val="0"/>
        <w:snapToGrid w:val="0"/>
        <w:spacing w:line="288"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说明：此表在政采云开标当天最后报价时作为附件上传系统。</w:t>
      </w:r>
    </w:p>
    <w:p w14:paraId="5D46C889">
      <w:pPr>
        <w:shd w:val="clear"/>
        <w:adjustRightInd w:val="0"/>
        <w:snapToGrid w:val="0"/>
        <w:spacing w:line="288" w:lineRule="auto"/>
        <w:jc w:val="center"/>
        <w:outlineLvl w:val="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br w:type="page"/>
      </w:r>
      <w:r>
        <w:rPr>
          <w:rFonts w:hint="eastAsia" w:ascii="仿宋" w:hAnsi="仿宋" w:eastAsia="仿宋" w:cs="仿宋"/>
          <w:b/>
          <w:color w:val="auto"/>
          <w:sz w:val="21"/>
          <w:szCs w:val="21"/>
          <w:highlight w:val="none"/>
        </w:rPr>
        <w:t>十、附件</w:t>
      </w:r>
    </w:p>
    <w:p w14:paraId="51C24271">
      <w:pPr>
        <w:shd w:val="clear"/>
        <w:adjustRightInd w:val="0"/>
        <w:snapToGrid w:val="0"/>
        <w:spacing w:line="288" w:lineRule="auto"/>
        <w:outlineLvl w:val="2"/>
        <w:rPr>
          <w:rFonts w:hint="eastAsia" w:ascii="仿宋" w:hAnsi="仿宋" w:eastAsia="仿宋" w:cs="仿宋"/>
          <w:b/>
          <w:bCs/>
          <w:color w:val="auto"/>
          <w:sz w:val="21"/>
          <w:szCs w:val="21"/>
          <w:highlight w:val="none"/>
        </w:rPr>
      </w:pPr>
      <w:r>
        <w:rPr>
          <w:rFonts w:hint="eastAsia" w:ascii="仿宋" w:hAnsi="仿宋" w:eastAsia="仿宋" w:cs="仿宋"/>
          <w:b/>
          <w:color w:val="auto"/>
          <w:sz w:val="21"/>
          <w:szCs w:val="21"/>
          <w:highlight w:val="none"/>
        </w:rPr>
        <w:t>附件1：</w:t>
      </w:r>
      <w:r>
        <w:rPr>
          <w:rFonts w:hint="eastAsia" w:ascii="仿宋" w:hAnsi="仿宋" w:eastAsia="仿宋" w:cs="仿宋"/>
          <w:b/>
          <w:bCs/>
          <w:color w:val="auto"/>
          <w:sz w:val="21"/>
          <w:szCs w:val="21"/>
          <w:highlight w:val="none"/>
        </w:rPr>
        <w:t>业务专用章使用说明函</w:t>
      </w:r>
      <w:bookmarkEnd w:id="161"/>
      <w:bookmarkEnd w:id="165"/>
      <w:bookmarkEnd w:id="166"/>
      <w:bookmarkEnd w:id="167"/>
    </w:p>
    <w:p w14:paraId="7D538BFE">
      <w:pPr>
        <w:shd w:val="clear"/>
        <w:snapToGrid w:val="0"/>
        <w:spacing w:line="288" w:lineRule="auto"/>
        <w:rPr>
          <w:rFonts w:hint="eastAsia" w:ascii="仿宋" w:hAnsi="仿宋" w:eastAsia="仿宋" w:cs="仿宋"/>
          <w:color w:val="auto"/>
          <w:sz w:val="21"/>
          <w:szCs w:val="21"/>
          <w:highlight w:val="none"/>
          <w:u w:val="single"/>
        </w:rPr>
      </w:pPr>
    </w:p>
    <w:p w14:paraId="58810381">
      <w:pPr>
        <w:shd w:val="clear"/>
        <w:snapToGrid w:val="0"/>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（采购人）、（采购代理机构）</w:t>
      </w:r>
    </w:p>
    <w:p w14:paraId="7C2BCCD4">
      <w:pPr>
        <w:shd w:val="clear"/>
        <w:snapToGrid w:val="0"/>
        <w:spacing w:line="288" w:lineRule="auto"/>
        <w:ind w:firstLine="424" w:firstLineChars="202"/>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我方</w:t>
      </w:r>
      <w:r>
        <w:rPr>
          <w:rFonts w:hint="eastAsia" w:ascii="仿宋" w:hAnsi="仿宋" w:eastAsia="仿宋" w:cs="仿宋"/>
          <w:color w:val="auto"/>
          <w:kern w:val="0"/>
          <w:sz w:val="21"/>
          <w:szCs w:val="21"/>
          <w:highlight w:val="none"/>
          <w:u w:val="single"/>
          <w:lang w:val="zh-CN"/>
        </w:rPr>
        <w:t xml:space="preserve">                         </w:t>
      </w:r>
      <w:r>
        <w:rPr>
          <w:rFonts w:hint="eastAsia" w:ascii="仿宋" w:hAnsi="仿宋" w:eastAsia="仿宋" w:cs="仿宋"/>
          <w:color w:val="auto"/>
          <w:sz w:val="21"/>
          <w:szCs w:val="21"/>
          <w:highlight w:val="none"/>
        </w:rPr>
        <w:t>(供应商全称)是中华人民共和国依法登记注册的合法企业，</w:t>
      </w:r>
      <w:r>
        <w:rPr>
          <w:rFonts w:hint="eastAsia" w:ascii="仿宋" w:hAnsi="仿宋" w:eastAsia="仿宋" w:cs="仿宋"/>
          <w:bCs/>
          <w:color w:val="auto"/>
          <w:sz w:val="21"/>
          <w:szCs w:val="21"/>
          <w:highlight w:val="none"/>
        </w:rPr>
        <w:t>在参加</w:t>
      </w:r>
      <w:r>
        <w:rPr>
          <w:rFonts w:hint="eastAsia" w:ascii="仿宋" w:hAnsi="仿宋" w:eastAsia="仿宋" w:cs="仿宋"/>
          <w:color w:val="auto"/>
          <w:sz w:val="21"/>
          <w:szCs w:val="21"/>
          <w:highlight w:val="none"/>
        </w:rPr>
        <w:t>你方组织的</w:t>
      </w:r>
      <w:r>
        <w:rPr>
          <w:rFonts w:hint="eastAsia" w:ascii="仿宋" w:hAnsi="仿宋" w:eastAsia="仿宋" w:cs="仿宋"/>
          <w:color w:val="auto"/>
          <w:sz w:val="21"/>
          <w:szCs w:val="21"/>
          <w:highlight w:val="none"/>
          <w:u w:val="single"/>
        </w:rPr>
        <w:t>（项目名称）</w:t>
      </w:r>
      <w:r>
        <w:rPr>
          <w:rFonts w:hint="eastAsia" w:ascii="仿宋" w:hAnsi="仿宋" w:eastAsia="仿宋" w:cs="仿宋"/>
          <w:color w:val="auto"/>
          <w:sz w:val="21"/>
          <w:szCs w:val="21"/>
          <w:highlight w:val="none"/>
        </w:rPr>
        <w:t>项目</w:t>
      </w:r>
      <w:r>
        <w:rPr>
          <w:rFonts w:hint="eastAsia" w:ascii="仿宋" w:hAnsi="仿宋" w:eastAsia="仿宋" w:cs="仿宋"/>
          <w:color w:val="auto"/>
          <w:sz w:val="21"/>
          <w:szCs w:val="21"/>
          <w:highlight w:val="none"/>
          <w:u w:val="single"/>
        </w:rPr>
        <w:t>（项目编号）</w:t>
      </w:r>
      <w:r>
        <w:rPr>
          <w:rFonts w:hint="eastAsia" w:ascii="仿宋" w:hAnsi="仿宋" w:eastAsia="仿宋" w:cs="仿宋"/>
          <w:bCs/>
          <w:color w:val="auto"/>
          <w:sz w:val="21"/>
          <w:szCs w:val="21"/>
          <w:highlight w:val="none"/>
        </w:rPr>
        <w:t>响应（响应）活动中作如下说明：</w:t>
      </w:r>
      <w:r>
        <w:rPr>
          <w:rFonts w:hint="eastAsia" w:ascii="仿宋" w:hAnsi="仿宋" w:eastAsia="仿宋" w:cs="仿宋"/>
          <w:color w:val="auto"/>
          <w:sz w:val="21"/>
          <w:szCs w:val="21"/>
          <w:highlight w:val="none"/>
        </w:rPr>
        <w:t>我方所使用的</w:t>
      </w:r>
      <w:r>
        <w:rPr>
          <w:rFonts w:hint="eastAsia" w:ascii="仿宋" w:hAnsi="仿宋" w:eastAsia="仿宋" w:cs="仿宋"/>
          <w:color w:val="auto"/>
          <w:sz w:val="21"/>
          <w:szCs w:val="21"/>
          <w:highlight w:val="none"/>
          <w:u w:val="single"/>
        </w:rPr>
        <w:t>“XX专用章”</w:t>
      </w:r>
      <w:r>
        <w:rPr>
          <w:rFonts w:hint="eastAsia" w:ascii="仿宋" w:hAnsi="仿宋" w:eastAsia="仿宋" w:cs="仿宋"/>
          <w:color w:val="auto"/>
          <w:sz w:val="21"/>
          <w:szCs w:val="21"/>
          <w:highlight w:val="none"/>
        </w:rPr>
        <w:t>与法定名称章具有同等的法律效力，对使用</w:t>
      </w:r>
      <w:r>
        <w:rPr>
          <w:rFonts w:hint="eastAsia" w:ascii="仿宋" w:hAnsi="仿宋" w:eastAsia="仿宋" w:cs="仿宋"/>
          <w:color w:val="auto"/>
          <w:sz w:val="21"/>
          <w:szCs w:val="21"/>
          <w:highlight w:val="none"/>
          <w:u w:val="single"/>
        </w:rPr>
        <w:t>“XX专用章”</w:t>
      </w:r>
      <w:r>
        <w:rPr>
          <w:rFonts w:hint="eastAsia" w:ascii="仿宋" w:hAnsi="仿宋" w:eastAsia="仿宋" w:cs="仿宋"/>
          <w:color w:val="auto"/>
          <w:sz w:val="21"/>
          <w:szCs w:val="21"/>
          <w:highlight w:val="none"/>
        </w:rPr>
        <w:t>的行为予以完全承认，并愿意承担相应责任。</w:t>
      </w:r>
    </w:p>
    <w:p w14:paraId="1A9FFDC0">
      <w:pPr>
        <w:shd w:val="clear"/>
        <w:snapToGrid w:val="0"/>
        <w:spacing w:line="288" w:lineRule="auto"/>
        <w:ind w:firstLine="424" w:firstLineChars="202"/>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特此说明。</w:t>
      </w:r>
    </w:p>
    <w:p w14:paraId="17544093">
      <w:pPr>
        <w:shd w:val="clear"/>
        <w:snapToGrid w:val="0"/>
        <w:spacing w:line="288" w:lineRule="auto"/>
        <w:ind w:right="480" w:firstLine="424" w:firstLineChars="202"/>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供应商（法定名称章）：</w:t>
      </w:r>
    </w:p>
    <w:p w14:paraId="228044C5">
      <w:pPr>
        <w:shd w:val="clear"/>
        <w:snapToGrid w:val="0"/>
        <w:spacing w:line="288" w:lineRule="auto"/>
        <w:ind w:right="1440" w:firstLine="424" w:firstLineChars="202"/>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日期：       年     月     日</w:t>
      </w:r>
    </w:p>
    <w:p w14:paraId="162F00AA">
      <w:pPr>
        <w:shd w:val="clear"/>
        <w:snapToGrid w:val="0"/>
        <w:spacing w:line="288" w:lineRule="auto"/>
        <w:rPr>
          <w:rFonts w:hint="eastAsia" w:ascii="仿宋" w:hAnsi="仿宋" w:eastAsia="仿宋" w:cs="仿宋"/>
          <w:b/>
          <w:bCs/>
          <w:color w:val="auto"/>
          <w:sz w:val="21"/>
          <w:szCs w:val="21"/>
          <w:highlight w:val="none"/>
        </w:rPr>
      </w:pPr>
    </w:p>
    <w:p w14:paraId="3AA42114">
      <w:pPr>
        <w:shd w:val="clear"/>
        <w:snapToGrid w:val="0"/>
        <w:spacing w:line="288" w:lineRule="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附：</w:t>
      </w:r>
      <w:r>
        <w:rPr>
          <w:rFonts w:hint="eastAsia" w:ascii="仿宋" w:hAnsi="仿宋" w:eastAsia="仿宋" w:cs="仿宋"/>
          <w:color w:val="auto"/>
          <w:sz w:val="21"/>
          <w:szCs w:val="21"/>
          <w:highlight w:val="none"/>
        </w:rPr>
        <w:t>供应商法定名称章（印模）                供应商“XX专用章”（印模）</w:t>
      </w:r>
    </w:p>
    <w:p w14:paraId="2C421995">
      <w:pPr>
        <w:shd w:val="clear"/>
        <w:snapToGrid w:val="0"/>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highlight w:val="none"/>
        </w:rPr>
        <mc:AlternateContent>
          <mc:Choice Requires="wps">
            <w:drawing>
              <wp:inline distT="0" distB="0" distL="0" distR="0">
                <wp:extent cx="2704465" cy="2253615"/>
                <wp:effectExtent l="5080" t="4445" r="14605" b="8890"/>
                <wp:docPr id="46576639" name="矩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inline>
            </w:drawing>
          </mc:Choice>
          <mc:Fallback>
            <w:pict>
              <v:rect id="矩形 4"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JNeRvNYAAAAFAQAADwAAAAAAAAAB&#10;ACAAAAAiAAAAZHJzL2Rvd25yZXYueG1sUEsBAhQAFAAAAAgAh07iQFNQGNZLAgAAogQAAA4AAAAA&#10;AAAAAQAgAAAAJQEAAGRycy9lMm9Eb2MueG1sUEsFBgAAAAAGAAYAWQEAAOIFAAAAAA==&#10;">
                <v:fill on="t" focussize="0,0"/>
                <v:stroke color="#000000" miterlimit="2" joinstyle="miter"/>
                <v:imagedata o:title=""/>
                <o:lock v:ext="edit" rotation="t" aspectratio="t"/>
                <w10:wrap type="none"/>
                <w10:anchorlock/>
              </v:rect>
            </w:pict>
          </mc:Fallback>
        </mc:AlternateContent>
      </w:r>
      <w:r>
        <w:rPr>
          <w:rFonts w:hint="eastAsia" w:ascii="仿宋" w:hAnsi="仿宋" w:eastAsia="仿宋" w:cs="仿宋"/>
          <w:color w:val="auto"/>
          <w:sz w:val="21"/>
          <w:szCs w:val="21"/>
          <w:highlight w:val="none"/>
        </w:rPr>
        <w:t xml:space="preserve"> </w:t>
      </w:r>
      <w:r>
        <w:rPr>
          <w:rFonts w:hint="eastAsia" w:ascii="仿宋" w:hAnsi="仿宋" w:eastAsia="仿宋" w:cs="仿宋"/>
          <w:color w:val="auto"/>
          <w:highlight w:val="none"/>
        </w:rPr>
        <mc:AlternateContent>
          <mc:Choice Requires="wps">
            <w:drawing>
              <wp:inline distT="0" distB="0" distL="0" distR="0">
                <wp:extent cx="2647950" cy="2253615"/>
                <wp:effectExtent l="5080" t="4445" r="13970" b="8890"/>
                <wp:docPr id="1119095595"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inline>
            </w:drawing>
          </mc:Choice>
          <mc:Fallback>
            <w:pict>
              <v:rect id="矩形 2"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BVSUy1AAAAAUBAAAPAAAAAAAAAAEA&#10;IAAAACIAAABkcnMvZG93bnJldi54bWxQSwECFAAUAAAACACHTuJAOkzxz0wCAACkBAAADgAAAAAA&#10;AAABACAAAAAjAQAAZHJzL2Uyb0RvYy54bWxQSwUGAAAAAAYABgBZAQAA4QUAAAAA&#10;">
                <v:fill on="t" focussize="0,0"/>
                <v:stroke color="#000000" miterlimit="2" joinstyle="miter"/>
                <v:imagedata o:title=""/>
                <o:lock v:ext="edit" rotation="t" aspectratio="t"/>
                <w10:wrap type="none"/>
                <w10:anchorlock/>
              </v:rect>
            </w:pict>
          </mc:Fallback>
        </mc:AlternateContent>
      </w:r>
    </w:p>
    <w:p w14:paraId="245FE62E">
      <w:pPr>
        <w:widowControl/>
        <w:shd w:val="clear"/>
        <w:jc w:val="left"/>
        <w:rPr>
          <w:rFonts w:hint="eastAsia" w:ascii="仿宋" w:hAnsi="仿宋" w:eastAsia="仿宋" w:cs="仿宋"/>
          <w:b/>
          <w:color w:val="auto"/>
          <w:sz w:val="21"/>
          <w:szCs w:val="21"/>
          <w:highlight w:val="none"/>
        </w:rPr>
      </w:pPr>
    </w:p>
    <w:p w14:paraId="1471ED64">
      <w:pPr>
        <w:shd w:val="clear"/>
        <w:snapToGrid w:val="0"/>
        <w:spacing w:line="288" w:lineRule="auto"/>
        <w:jc w:val="left"/>
        <w:outlineLvl w:val="2"/>
        <w:rPr>
          <w:rFonts w:hint="eastAsia" w:ascii="仿宋" w:hAnsi="仿宋" w:eastAsia="仿宋" w:cs="仿宋"/>
          <w:b/>
          <w:color w:val="auto"/>
          <w:kern w:val="0"/>
          <w:sz w:val="21"/>
          <w:szCs w:val="21"/>
          <w:highlight w:val="none"/>
          <w:lang w:val="zh-CN"/>
        </w:rPr>
      </w:pPr>
      <w:bookmarkStart w:id="168" w:name="_Toc24422"/>
      <w:bookmarkStart w:id="169" w:name="_Toc23208"/>
      <w:bookmarkStart w:id="170" w:name="_Toc23516"/>
      <w:bookmarkStart w:id="171" w:name="_Toc24386"/>
      <w:r>
        <w:rPr>
          <w:rFonts w:hint="eastAsia" w:ascii="仿宋" w:hAnsi="仿宋" w:eastAsia="仿宋" w:cs="仿宋"/>
          <w:b/>
          <w:color w:val="auto"/>
          <w:kern w:val="0"/>
          <w:sz w:val="21"/>
          <w:szCs w:val="21"/>
          <w:highlight w:val="none"/>
          <w:lang w:val="zh-CN"/>
        </w:rPr>
        <w:br w:type="page"/>
      </w:r>
      <w:r>
        <w:rPr>
          <w:rFonts w:hint="eastAsia" w:ascii="仿宋" w:hAnsi="仿宋" w:eastAsia="仿宋" w:cs="仿宋"/>
          <w:b/>
          <w:color w:val="auto"/>
          <w:kern w:val="0"/>
          <w:sz w:val="21"/>
          <w:szCs w:val="21"/>
          <w:highlight w:val="none"/>
          <w:lang w:val="zh-CN"/>
        </w:rPr>
        <w:t>附件2：联合协议</w:t>
      </w:r>
      <w:bookmarkEnd w:id="168"/>
      <w:bookmarkEnd w:id="169"/>
      <w:bookmarkEnd w:id="170"/>
      <w:bookmarkEnd w:id="171"/>
    </w:p>
    <w:p w14:paraId="1B9197E7">
      <w:pPr>
        <w:pStyle w:val="10"/>
        <w:shd w:val="clear"/>
        <w:rPr>
          <w:rFonts w:hint="eastAsia" w:ascii="仿宋" w:hAnsi="仿宋" w:eastAsia="仿宋" w:cs="仿宋"/>
          <w:color w:val="auto"/>
          <w:highlight w:val="none"/>
          <w:lang w:val="zh-CN"/>
        </w:rPr>
      </w:pPr>
    </w:p>
    <w:p w14:paraId="5DF2A04F">
      <w:pPr>
        <w:widowControl/>
        <w:shd w:val="clear"/>
        <w:snapToGrid w:val="0"/>
        <w:spacing w:line="288" w:lineRule="auto"/>
        <w:ind w:firstLine="424" w:firstLineChars="201"/>
        <w:jc w:val="lef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（以联合体形式响应的，提供联合协议。供应商不以联合体形式响应的，则不需要提供）</w:t>
      </w:r>
    </w:p>
    <w:p w14:paraId="50FC3CCA">
      <w:pPr>
        <w:shd w:val="clear"/>
        <w:snapToGrid w:val="0"/>
        <w:spacing w:line="288" w:lineRule="auto"/>
        <w:ind w:firstLine="422" w:firstLineChars="201"/>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u w:val="single"/>
        </w:rPr>
        <w:t>（联合体所有成员名称）</w:t>
      </w:r>
      <w:r>
        <w:rPr>
          <w:rFonts w:hint="eastAsia" w:ascii="仿宋" w:hAnsi="仿宋" w:eastAsia="仿宋" w:cs="仿宋"/>
          <w:color w:val="auto"/>
          <w:kern w:val="0"/>
          <w:sz w:val="21"/>
          <w:szCs w:val="21"/>
          <w:highlight w:val="none"/>
        </w:rPr>
        <w:t>自愿</w:t>
      </w:r>
      <w:r>
        <w:rPr>
          <w:rFonts w:hint="eastAsia" w:ascii="仿宋" w:hAnsi="仿宋" w:eastAsia="仿宋" w:cs="仿宋"/>
          <w:color w:val="auto"/>
          <w:kern w:val="0"/>
          <w:sz w:val="21"/>
          <w:szCs w:val="21"/>
          <w:highlight w:val="none"/>
          <w:lang w:val="zh-CN"/>
        </w:rPr>
        <w:t>组成一个联合体，以一个供应商的身份</w:t>
      </w:r>
      <w:r>
        <w:rPr>
          <w:rFonts w:hint="eastAsia" w:ascii="仿宋" w:hAnsi="仿宋" w:eastAsia="仿宋" w:cs="仿宋"/>
          <w:color w:val="auto"/>
          <w:kern w:val="0"/>
          <w:sz w:val="21"/>
          <w:szCs w:val="21"/>
          <w:highlight w:val="none"/>
        </w:rPr>
        <w:t>参加</w:t>
      </w:r>
      <w:r>
        <w:rPr>
          <w:rFonts w:hint="eastAsia" w:ascii="仿宋" w:hAnsi="仿宋" w:eastAsia="仿宋" w:cs="仿宋"/>
          <w:color w:val="auto"/>
          <w:sz w:val="21"/>
          <w:szCs w:val="21"/>
          <w:highlight w:val="none"/>
        </w:rPr>
        <w:t>（项目名称）【招标编号：（采购编号）】</w:t>
      </w:r>
      <w:r>
        <w:rPr>
          <w:rFonts w:hint="eastAsia" w:ascii="仿宋" w:hAnsi="仿宋" w:eastAsia="仿宋" w:cs="仿宋"/>
          <w:color w:val="auto"/>
          <w:kern w:val="0"/>
          <w:sz w:val="21"/>
          <w:szCs w:val="21"/>
          <w:highlight w:val="none"/>
          <w:lang w:val="zh-CN"/>
        </w:rPr>
        <w:t>响应。</w:t>
      </w:r>
    </w:p>
    <w:p w14:paraId="159B24C8">
      <w:pPr>
        <w:shd w:val="clear"/>
        <w:snapToGrid w:val="0"/>
        <w:spacing w:line="288" w:lineRule="auto"/>
        <w:ind w:firstLine="422" w:firstLineChars="201"/>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一、各方一致决定，</w:t>
      </w:r>
      <w:r>
        <w:rPr>
          <w:rFonts w:hint="eastAsia" w:ascii="仿宋" w:hAnsi="仿宋" w:eastAsia="仿宋" w:cs="仿宋"/>
          <w:color w:val="auto"/>
          <w:kern w:val="0"/>
          <w:sz w:val="21"/>
          <w:szCs w:val="21"/>
          <w:highlight w:val="none"/>
          <w:u w:val="single"/>
        </w:rPr>
        <w:t>（某联合体成员名称）</w:t>
      </w:r>
      <w:r>
        <w:rPr>
          <w:rFonts w:hint="eastAsia" w:ascii="仿宋" w:hAnsi="仿宋" w:eastAsia="仿宋" w:cs="仿宋"/>
          <w:color w:val="auto"/>
          <w:kern w:val="0"/>
          <w:sz w:val="21"/>
          <w:szCs w:val="21"/>
          <w:highlight w:val="none"/>
        </w:rPr>
        <w:t>为联合体</w:t>
      </w:r>
      <w:r>
        <w:rPr>
          <w:rFonts w:hint="eastAsia" w:ascii="仿宋" w:hAnsi="仿宋" w:eastAsia="仿宋" w:cs="仿宋"/>
          <w:color w:val="auto"/>
          <w:kern w:val="0"/>
          <w:sz w:val="21"/>
          <w:szCs w:val="21"/>
          <w:highlight w:val="none"/>
          <w:lang w:val="zh-CN"/>
        </w:rPr>
        <w:t>牵头人</w:t>
      </w:r>
      <w:r>
        <w:rPr>
          <w:rFonts w:hint="eastAsia" w:ascii="仿宋" w:hAnsi="仿宋" w:eastAsia="仿宋" w:cs="仿宋"/>
          <w:color w:val="auto"/>
          <w:sz w:val="21"/>
          <w:szCs w:val="21"/>
          <w:highlight w:val="none"/>
        </w:rPr>
        <w:t>，代表所有联合体成员负责响应和合同实施阶段的主办、协调工作</w:t>
      </w:r>
      <w:r>
        <w:rPr>
          <w:rFonts w:hint="eastAsia" w:ascii="仿宋" w:hAnsi="仿宋" w:eastAsia="仿宋" w:cs="仿宋"/>
          <w:color w:val="auto"/>
          <w:kern w:val="0"/>
          <w:sz w:val="21"/>
          <w:szCs w:val="21"/>
          <w:highlight w:val="none"/>
          <w:lang w:val="zh-CN"/>
        </w:rPr>
        <w:t>。</w:t>
      </w:r>
    </w:p>
    <w:p w14:paraId="00C05B08">
      <w:pPr>
        <w:shd w:val="clear"/>
        <w:snapToGrid w:val="0"/>
        <w:spacing w:line="288" w:lineRule="auto"/>
        <w:ind w:firstLine="422" w:firstLineChars="201"/>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二、</w:t>
      </w:r>
      <w:r>
        <w:rPr>
          <w:rFonts w:hint="eastAsia" w:ascii="仿宋" w:hAnsi="仿宋" w:eastAsia="仿宋" w:cs="仿宋"/>
          <w:color w:val="auto"/>
          <w:sz w:val="21"/>
          <w:szCs w:val="21"/>
          <w:highlight w:val="none"/>
        </w:rPr>
        <w:t>所有联合体成员各方签署授权书，授权书载明的</w:t>
      </w:r>
      <w:r>
        <w:rPr>
          <w:rFonts w:hint="eastAsia" w:ascii="仿宋" w:hAnsi="仿宋" w:eastAsia="仿宋" w:cs="仿宋"/>
          <w:color w:val="auto"/>
          <w:kern w:val="0"/>
          <w:sz w:val="21"/>
          <w:szCs w:val="21"/>
          <w:highlight w:val="none"/>
          <w:lang w:val="zh-CN"/>
        </w:rPr>
        <w:t>授权代表根据磋商文件规定及响应内容而对采购人、采购机构所作的任何合法承诺，包括书面澄清及相应等均对联合响应各方产生约束力。</w:t>
      </w:r>
    </w:p>
    <w:p w14:paraId="5E49F6FF">
      <w:pPr>
        <w:shd w:val="clear"/>
        <w:snapToGrid w:val="0"/>
        <w:spacing w:line="288" w:lineRule="auto"/>
        <w:ind w:firstLine="422" w:firstLineChars="201"/>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三、本次联合响应中，分工如下：</w:t>
      </w:r>
      <w:r>
        <w:rPr>
          <w:rFonts w:hint="eastAsia" w:ascii="仿宋" w:hAnsi="仿宋" w:eastAsia="仿宋" w:cs="仿宋"/>
          <w:color w:val="auto"/>
          <w:kern w:val="0"/>
          <w:sz w:val="21"/>
          <w:szCs w:val="21"/>
          <w:highlight w:val="none"/>
          <w:u w:val="single"/>
        </w:rPr>
        <w:t>（联合体其中一方成员名称）</w:t>
      </w:r>
      <w:r>
        <w:rPr>
          <w:rFonts w:hint="eastAsia" w:ascii="仿宋" w:hAnsi="仿宋" w:eastAsia="仿宋" w:cs="仿宋"/>
          <w:color w:val="auto"/>
          <w:kern w:val="0"/>
          <w:sz w:val="21"/>
          <w:szCs w:val="21"/>
          <w:highlight w:val="none"/>
          <w:lang w:val="zh-CN"/>
        </w:rPr>
        <w:t>承担的工作和义务为：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lang w:val="zh-CN"/>
        </w:rPr>
        <w:t>。……。</w:t>
      </w:r>
    </w:p>
    <w:p w14:paraId="0C7122EC">
      <w:pPr>
        <w:shd w:val="clear"/>
        <w:snapToGrid w:val="0"/>
        <w:spacing w:line="288" w:lineRule="auto"/>
        <w:ind w:firstLine="422" w:firstLineChars="201"/>
        <w:rPr>
          <w:rFonts w:hint="eastAsia" w:ascii="仿宋" w:hAnsi="仿宋" w:eastAsia="仿宋" w:cs="仿宋"/>
          <w:b/>
          <w:color w:val="auto"/>
          <w:kern w:val="0"/>
          <w:sz w:val="21"/>
          <w:szCs w:val="21"/>
          <w:highlight w:val="none"/>
          <w:lang w:val="zh-CN"/>
        </w:rPr>
      </w:pPr>
      <w:r>
        <w:rPr>
          <w:rFonts w:hint="eastAsia" w:ascii="仿宋" w:hAnsi="仿宋" w:eastAsia="仿宋" w:cs="仿宋"/>
          <w:color w:val="auto"/>
          <w:kern w:val="0"/>
          <w:sz w:val="21"/>
          <w:szCs w:val="21"/>
          <w:highlight w:val="none"/>
          <w:lang w:val="zh-CN"/>
        </w:rPr>
        <w:t>四、</w:t>
      </w:r>
      <w:r>
        <w:rPr>
          <w:rFonts w:hint="eastAsia" w:ascii="仿宋" w:hAnsi="仿宋" w:eastAsia="仿宋" w:cs="仿宋"/>
          <w:color w:val="auto"/>
          <w:kern w:val="0"/>
          <w:sz w:val="21"/>
          <w:szCs w:val="21"/>
          <w:highlight w:val="none"/>
          <w:u w:val="single"/>
        </w:rPr>
        <w:t>（联合体其中一方成员名称）</w:t>
      </w:r>
      <w:r>
        <w:rPr>
          <w:rFonts w:hint="eastAsia" w:ascii="仿宋" w:hAnsi="仿宋" w:eastAsia="仿宋" w:cs="仿宋"/>
          <w:color w:val="auto"/>
          <w:kern w:val="0"/>
          <w:sz w:val="21"/>
          <w:szCs w:val="21"/>
          <w:highlight w:val="none"/>
        </w:rPr>
        <w:t>提供的全部货物由小微企业制造，其合同份额占到合同总金额</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%以上。</w:t>
      </w:r>
      <w:r>
        <w:rPr>
          <w:rFonts w:hint="eastAsia" w:ascii="仿宋" w:hAnsi="仿宋" w:eastAsia="仿宋" w:cs="仿宋"/>
          <w:color w:val="auto"/>
          <w:kern w:val="0"/>
          <w:sz w:val="21"/>
          <w:szCs w:val="21"/>
          <w:highlight w:val="none"/>
          <w:lang w:val="zh-CN"/>
        </w:rPr>
        <w:t>……。</w:t>
      </w:r>
      <w:r>
        <w:rPr>
          <w:rFonts w:hint="eastAsia" w:ascii="仿宋" w:hAnsi="仿宋" w:eastAsia="仿宋" w:cs="仿宋"/>
          <w:b/>
          <w:color w:val="auto"/>
          <w:kern w:val="0"/>
          <w:sz w:val="21"/>
          <w:szCs w:val="21"/>
          <w:highlight w:val="none"/>
          <w:lang w:val="zh-CN"/>
        </w:rPr>
        <w:t>（未预留份额专门面向中小企业采购的的采购项目，以及预留份额中的非预留部分采购包，接受联合体响应的，联合体其中一方提供的货物全部由小微企业制造，且其合同份额占到合同总金额30%以上，对联合体报价给予3%的扣除）</w:t>
      </w:r>
    </w:p>
    <w:p w14:paraId="5620DE1F">
      <w:pPr>
        <w:shd w:val="clear"/>
        <w:snapToGrid w:val="0"/>
        <w:spacing w:line="288" w:lineRule="auto"/>
        <w:ind w:firstLine="422" w:firstLineChars="201"/>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五、如果成交，</w:t>
      </w:r>
      <w:r>
        <w:rPr>
          <w:rFonts w:hint="eastAsia" w:ascii="仿宋" w:hAnsi="仿宋" w:eastAsia="仿宋" w:cs="仿宋"/>
          <w:color w:val="auto"/>
          <w:sz w:val="21"/>
          <w:szCs w:val="21"/>
          <w:highlight w:val="none"/>
        </w:rPr>
        <w:t>联合体各成员方共同与采购人签订合同，并就采购合同约定的事项对采购人承担连带责任。</w:t>
      </w:r>
    </w:p>
    <w:p w14:paraId="00B602A1">
      <w:pPr>
        <w:shd w:val="clear"/>
        <w:snapToGrid w:val="0"/>
        <w:spacing w:line="288" w:lineRule="auto"/>
        <w:ind w:firstLine="422" w:firstLineChars="201"/>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六、有关本次联合响应的其他事宜：</w:t>
      </w:r>
    </w:p>
    <w:p w14:paraId="33999F1B">
      <w:pPr>
        <w:shd w:val="clear"/>
        <w:snapToGrid w:val="0"/>
        <w:spacing w:line="288" w:lineRule="auto"/>
        <w:ind w:firstLine="422" w:firstLineChars="201"/>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1、联合体各方不再单独参加或者与其他供应商另外组成联合体参加同一合同项下的政府采购活动。</w:t>
      </w:r>
    </w:p>
    <w:p w14:paraId="7AD23685">
      <w:pPr>
        <w:shd w:val="clear"/>
        <w:snapToGrid w:val="0"/>
        <w:spacing w:line="288" w:lineRule="auto"/>
        <w:ind w:firstLine="422" w:firstLineChars="201"/>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2、联合体中有同类资质的各方按照联合体分工承担相同工作的，按照资质等级较低的供应商确定资质等级。</w:t>
      </w:r>
    </w:p>
    <w:p w14:paraId="67E31CC3">
      <w:pPr>
        <w:shd w:val="clear"/>
        <w:snapToGrid w:val="0"/>
        <w:spacing w:line="288" w:lineRule="auto"/>
        <w:ind w:firstLine="422" w:firstLineChars="201"/>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3、本协议提交采购人、采购机构后，联合体各方不得以任何形式对上述内容进行修改或撤销。</w:t>
      </w:r>
    </w:p>
    <w:p w14:paraId="425EEB89">
      <w:pPr>
        <w:shd w:val="clear"/>
        <w:snapToGrid w:val="0"/>
        <w:spacing w:line="288" w:lineRule="auto"/>
        <w:ind w:firstLine="422" w:firstLineChars="201"/>
        <w:rPr>
          <w:rFonts w:hint="eastAsia" w:ascii="仿宋" w:hAnsi="仿宋" w:eastAsia="仿宋" w:cs="仿宋"/>
          <w:color w:val="auto"/>
          <w:kern w:val="0"/>
          <w:sz w:val="21"/>
          <w:szCs w:val="21"/>
          <w:highlight w:val="none"/>
          <w:lang w:val="zh-CN"/>
        </w:rPr>
      </w:pPr>
    </w:p>
    <w:p w14:paraId="7660ECBD">
      <w:pPr>
        <w:shd w:val="clear"/>
        <w:snapToGrid w:val="0"/>
        <w:spacing w:line="288" w:lineRule="auto"/>
        <w:ind w:firstLine="422" w:firstLineChars="201"/>
        <w:rPr>
          <w:rFonts w:hint="eastAsia" w:ascii="仿宋" w:hAnsi="仿宋" w:eastAsia="仿宋" w:cs="仿宋"/>
          <w:color w:val="auto"/>
          <w:kern w:val="0"/>
          <w:sz w:val="21"/>
          <w:szCs w:val="21"/>
          <w:highlight w:val="none"/>
          <w:lang w:val="zh-CN"/>
        </w:rPr>
      </w:pPr>
    </w:p>
    <w:p w14:paraId="6B2D4E92">
      <w:pPr>
        <w:shd w:val="clear"/>
        <w:snapToGrid w:val="0"/>
        <w:spacing w:line="288" w:lineRule="auto"/>
        <w:ind w:firstLine="424" w:firstLineChars="201"/>
        <w:rPr>
          <w:rFonts w:hint="eastAsia" w:ascii="仿宋" w:hAnsi="仿宋" w:eastAsia="仿宋" w:cs="仿宋"/>
          <w:b/>
          <w:bCs/>
          <w:color w:val="auto"/>
          <w:kern w:val="0"/>
          <w:sz w:val="21"/>
          <w:szCs w:val="21"/>
          <w:highlight w:val="none"/>
          <w:lang w:val="zh-CN"/>
        </w:rPr>
      </w:pPr>
      <w:r>
        <w:rPr>
          <w:rFonts w:hint="eastAsia" w:ascii="仿宋" w:hAnsi="仿宋" w:eastAsia="仿宋" w:cs="仿宋"/>
          <w:b/>
          <w:bCs/>
          <w:color w:val="auto"/>
          <w:kern w:val="0"/>
          <w:sz w:val="21"/>
          <w:szCs w:val="21"/>
          <w:highlight w:val="none"/>
          <w:lang w:val="zh-CN"/>
        </w:rPr>
        <w:t>联合体成员名称(电子签名/公章)：</w:t>
      </w:r>
    </w:p>
    <w:p w14:paraId="521C82F9">
      <w:pPr>
        <w:shd w:val="clear"/>
        <w:snapToGrid w:val="0"/>
        <w:spacing w:line="288" w:lineRule="auto"/>
        <w:ind w:firstLine="424" w:firstLineChars="201"/>
        <w:rPr>
          <w:rFonts w:hint="eastAsia" w:ascii="仿宋" w:hAnsi="仿宋" w:eastAsia="仿宋" w:cs="仿宋"/>
          <w:b/>
          <w:bCs/>
          <w:color w:val="auto"/>
          <w:kern w:val="0"/>
          <w:sz w:val="21"/>
          <w:szCs w:val="21"/>
          <w:highlight w:val="none"/>
          <w:lang w:val="zh-CN"/>
        </w:rPr>
      </w:pPr>
    </w:p>
    <w:p w14:paraId="08FD7481">
      <w:pPr>
        <w:shd w:val="clear"/>
        <w:snapToGrid w:val="0"/>
        <w:spacing w:line="288" w:lineRule="auto"/>
        <w:ind w:firstLine="424" w:firstLineChars="201"/>
        <w:rPr>
          <w:rFonts w:hint="eastAsia" w:ascii="仿宋" w:hAnsi="仿宋" w:eastAsia="仿宋" w:cs="仿宋"/>
          <w:b/>
          <w:bCs/>
          <w:color w:val="auto"/>
          <w:sz w:val="21"/>
          <w:szCs w:val="21"/>
          <w:highlight w:val="none"/>
        </w:rPr>
      </w:pPr>
    </w:p>
    <w:p w14:paraId="20AFFD7F">
      <w:pPr>
        <w:shd w:val="clear"/>
        <w:snapToGrid w:val="0"/>
        <w:spacing w:line="288" w:lineRule="auto"/>
        <w:ind w:firstLine="424" w:firstLineChars="201"/>
        <w:rPr>
          <w:rFonts w:hint="eastAsia" w:ascii="仿宋" w:hAnsi="仿宋" w:eastAsia="仿宋" w:cs="仿宋"/>
          <w:b/>
          <w:bCs/>
          <w:color w:val="auto"/>
          <w:kern w:val="0"/>
          <w:sz w:val="21"/>
          <w:szCs w:val="21"/>
          <w:highlight w:val="none"/>
          <w:lang w:val="zh-CN"/>
        </w:rPr>
      </w:pPr>
      <w:r>
        <w:rPr>
          <w:rFonts w:hint="eastAsia" w:ascii="仿宋" w:hAnsi="仿宋" w:eastAsia="仿宋" w:cs="仿宋"/>
          <w:b/>
          <w:bCs/>
          <w:color w:val="auto"/>
          <w:kern w:val="0"/>
          <w:sz w:val="21"/>
          <w:szCs w:val="21"/>
          <w:highlight w:val="none"/>
          <w:lang w:val="zh-CN"/>
        </w:rPr>
        <w:t>日期：  年  月   日</w:t>
      </w:r>
    </w:p>
    <w:p w14:paraId="2A7F8496">
      <w:pPr>
        <w:widowControl/>
        <w:shd w:val="clear"/>
        <w:jc w:val="left"/>
        <w:rPr>
          <w:rFonts w:hint="eastAsia" w:ascii="仿宋" w:hAnsi="仿宋" w:eastAsia="仿宋" w:cs="仿宋"/>
          <w:b/>
          <w:color w:val="auto"/>
          <w:kern w:val="0"/>
          <w:sz w:val="21"/>
          <w:szCs w:val="21"/>
          <w:highlight w:val="none"/>
        </w:rPr>
      </w:pPr>
    </w:p>
    <w:p w14:paraId="73C1E573">
      <w:pPr>
        <w:shd w:val="clear"/>
        <w:snapToGrid w:val="0"/>
        <w:spacing w:line="288" w:lineRule="auto"/>
        <w:jc w:val="left"/>
        <w:outlineLvl w:val="2"/>
        <w:rPr>
          <w:rFonts w:hint="eastAsia" w:ascii="仿宋" w:hAnsi="仿宋" w:eastAsia="仿宋" w:cs="仿宋"/>
          <w:b/>
          <w:color w:val="auto"/>
          <w:kern w:val="0"/>
          <w:sz w:val="21"/>
          <w:szCs w:val="21"/>
          <w:highlight w:val="none"/>
        </w:rPr>
      </w:pPr>
      <w:bookmarkStart w:id="172" w:name="_Toc5675"/>
      <w:bookmarkStart w:id="173" w:name="_Toc23454"/>
      <w:bookmarkStart w:id="174" w:name="_Toc30452"/>
      <w:bookmarkStart w:id="175" w:name="_Toc8476"/>
      <w:r>
        <w:rPr>
          <w:rFonts w:hint="eastAsia" w:ascii="仿宋" w:hAnsi="仿宋" w:eastAsia="仿宋" w:cs="仿宋"/>
          <w:b/>
          <w:color w:val="auto"/>
          <w:kern w:val="0"/>
          <w:sz w:val="21"/>
          <w:szCs w:val="21"/>
          <w:highlight w:val="none"/>
        </w:rPr>
        <w:br w:type="page"/>
      </w:r>
      <w:r>
        <w:rPr>
          <w:rFonts w:hint="eastAsia" w:ascii="仿宋" w:hAnsi="仿宋" w:eastAsia="仿宋" w:cs="仿宋"/>
          <w:b/>
          <w:color w:val="auto"/>
          <w:kern w:val="0"/>
          <w:sz w:val="21"/>
          <w:szCs w:val="21"/>
          <w:highlight w:val="none"/>
        </w:rPr>
        <w:t>附件3：分包意向协议</w:t>
      </w:r>
      <w:bookmarkEnd w:id="172"/>
      <w:bookmarkEnd w:id="173"/>
      <w:bookmarkEnd w:id="174"/>
      <w:bookmarkEnd w:id="175"/>
    </w:p>
    <w:p w14:paraId="76347064">
      <w:pPr>
        <w:pStyle w:val="10"/>
        <w:shd w:val="clear"/>
        <w:rPr>
          <w:rFonts w:hint="eastAsia" w:ascii="仿宋" w:hAnsi="仿宋" w:eastAsia="仿宋" w:cs="仿宋"/>
          <w:color w:val="auto"/>
          <w:highlight w:val="none"/>
        </w:rPr>
      </w:pPr>
    </w:p>
    <w:p w14:paraId="3FA677BD">
      <w:pPr>
        <w:widowControl/>
        <w:shd w:val="clear"/>
        <w:snapToGrid w:val="0"/>
        <w:spacing w:line="288" w:lineRule="auto"/>
        <w:ind w:firstLine="422" w:firstLineChars="201"/>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b/>
          <w:color w:val="auto"/>
          <w:sz w:val="21"/>
          <w:szCs w:val="21"/>
          <w:highlight w:val="none"/>
        </w:rPr>
        <w:t>成交后以分包方式履行合同的，提供分包意向协议。采购人不同意分包或者供应商成交后不以分包方式履行合同的，则不需要提供。</w:t>
      </w:r>
      <w:r>
        <w:rPr>
          <w:rFonts w:hint="eastAsia" w:ascii="仿宋" w:hAnsi="仿宋" w:eastAsia="仿宋" w:cs="仿宋"/>
          <w:color w:val="auto"/>
          <w:sz w:val="21"/>
          <w:szCs w:val="21"/>
          <w:highlight w:val="none"/>
        </w:rPr>
        <w:t>）</w:t>
      </w:r>
    </w:p>
    <w:p w14:paraId="5B9759F4">
      <w:pPr>
        <w:shd w:val="clear"/>
        <w:snapToGrid w:val="0"/>
        <w:spacing w:line="288" w:lineRule="auto"/>
        <w:ind w:firstLine="422" w:firstLineChars="201"/>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u w:val="single"/>
        </w:rPr>
        <w:t>（供应商名称）</w:t>
      </w:r>
      <w:r>
        <w:rPr>
          <w:rFonts w:hint="eastAsia" w:ascii="仿宋" w:hAnsi="仿宋" w:eastAsia="仿宋" w:cs="仿宋"/>
          <w:color w:val="auto"/>
          <w:kern w:val="0"/>
          <w:sz w:val="21"/>
          <w:szCs w:val="21"/>
          <w:highlight w:val="none"/>
          <w:lang w:val="zh-CN"/>
        </w:rPr>
        <w:t>若成为</w:t>
      </w:r>
      <w:r>
        <w:rPr>
          <w:rFonts w:hint="eastAsia" w:ascii="仿宋" w:hAnsi="仿宋" w:eastAsia="仿宋" w:cs="仿宋"/>
          <w:color w:val="auto"/>
          <w:sz w:val="21"/>
          <w:szCs w:val="21"/>
          <w:highlight w:val="none"/>
        </w:rPr>
        <w:t>（项目名称）【招标编号：（采购编号）】</w:t>
      </w:r>
      <w:r>
        <w:rPr>
          <w:rFonts w:hint="eastAsia" w:ascii="仿宋" w:hAnsi="仿宋" w:eastAsia="仿宋" w:cs="仿宋"/>
          <w:color w:val="auto"/>
          <w:kern w:val="0"/>
          <w:sz w:val="21"/>
          <w:szCs w:val="21"/>
          <w:highlight w:val="none"/>
          <w:lang w:val="zh-CN"/>
        </w:rPr>
        <w:t>的成交供应商，将依法采取分包方式履行合同。</w:t>
      </w:r>
      <w:r>
        <w:rPr>
          <w:rFonts w:hint="eastAsia" w:ascii="仿宋" w:hAnsi="仿宋" w:eastAsia="仿宋" w:cs="仿宋"/>
          <w:color w:val="auto"/>
          <w:kern w:val="0"/>
          <w:sz w:val="21"/>
          <w:szCs w:val="21"/>
          <w:highlight w:val="none"/>
          <w:u w:val="single"/>
        </w:rPr>
        <w:t>（供应商名称）</w:t>
      </w:r>
      <w:r>
        <w:rPr>
          <w:rFonts w:hint="eastAsia" w:ascii="仿宋" w:hAnsi="仿宋" w:eastAsia="仿宋" w:cs="仿宋"/>
          <w:color w:val="auto"/>
          <w:kern w:val="0"/>
          <w:sz w:val="21"/>
          <w:szCs w:val="21"/>
          <w:highlight w:val="none"/>
        </w:rPr>
        <w:t>与</w:t>
      </w:r>
      <w:r>
        <w:rPr>
          <w:rFonts w:hint="eastAsia" w:ascii="仿宋" w:hAnsi="仿宋" w:eastAsia="仿宋" w:cs="仿宋"/>
          <w:color w:val="auto"/>
          <w:kern w:val="0"/>
          <w:sz w:val="21"/>
          <w:szCs w:val="21"/>
          <w:highlight w:val="none"/>
          <w:u w:val="single"/>
        </w:rPr>
        <w:t>（所有分包供应商名称）</w:t>
      </w:r>
      <w:r>
        <w:rPr>
          <w:rFonts w:hint="eastAsia" w:ascii="仿宋" w:hAnsi="仿宋" w:eastAsia="仿宋" w:cs="仿宋"/>
          <w:color w:val="auto"/>
          <w:kern w:val="0"/>
          <w:sz w:val="21"/>
          <w:szCs w:val="21"/>
          <w:highlight w:val="none"/>
        </w:rPr>
        <w:t>达成分包意向协议</w:t>
      </w:r>
      <w:r>
        <w:rPr>
          <w:rFonts w:hint="eastAsia" w:ascii="仿宋" w:hAnsi="仿宋" w:eastAsia="仿宋" w:cs="仿宋"/>
          <w:color w:val="auto"/>
          <w:kern w:val="0"/>
          <w:sz w:val="21"/>
          <w:szCs w:val="21"/>
          <w:highlight w:val="none"/>
          <w:lang w:val="zh-CN"/>
        </w:rPr>
        <w:t xml:space="preserve">。 </w:t>
      </w:r>
    </w:p>
    <w:p w14:paraId="202257AC">
      <w:pPr>
        <w:shd w:val="clear"/>
        <w:snapToGrid w:val="0"/>
        <w:spacing w:line="288" w:lineRule="auto"/>
        <w:ind w:firstLine="422" w:firstLineChars="201"/>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一、分包标的及数量</w:t>
      </w:r>
    </w:p>
    <w:p w14:paraId="7539E51C">
      <w:pPr>
        <w:shd w:val="clear"/>
        <w:snapToGrid w:val="0"/>
        <w:spacing w:line="288" w:lineRule="auto"/>
        <w:ind w:firstLine="422" w:firstLineChars="201"/>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u w:val="single"/>
        </w:rPr>
        <w:t>（供应商名称）</w:t>
      </w:r>
      <w:r>
        <w:rPr>
          <w:rFonts w:hint="eastAsia" w:ascii="仿宋" w:hAnsi="仿宋" w:eastAsia="仿宋" w:cs="仿宋"/>
          <w:color w:val="auto"/>
          <w:kern w:val="0"/>
          <w:sz w:val="21"/>
          <w:szCs w:val="21"/>
          <w:highlight w:val="none"/>
          <w:lang w:val="zh-CN"/>
        </w:rPr>
        <w:t>将</w:t>
      </w:r>
      <w:r>
        <w:rPr>
          <w:rFonts w:hint="eastAsia" w:ascii="仿宋" w:hAnsi="仿宋" w:eastAsia="仿宋" w:cs="仿宋"/>
          <w:color w:val="auto"/>
          <w:sz w:val="21"/>
          <w:szCs w:val="21"/>
          <w:highlight w:val="none"/>
          <w:u w:val="single"/>
        </w:rPr>
        <w:t xml:space="preserve">   XX工作内容   </w:t>
      </w:r>
      <w:r>
        <w:rPr>
          <w:rFonts w:hint="eastAsia" w:ascii="仿宋" w:hAnsi="仿宋" w:eastAsia="仿宋" w:cs="仿宋"/>
          <w:color w:val="auto"/>
          <w:sz w:val="21"/>
          <w:szCs w:val="21"/>
          <w:highlight w:val="none"/>
        </w:rPr>
        <w:t>分包给</w:t>
      </w:r>
      <w:r>
        <w:rPr>
          <w:rFonts w:hint="eastAsia" w:ascii="仿宋" w:hAnsi="仿宋" w:eastAsia="仿宋" w:cs="仿宋"/>
          <w:color w:val="auto"/>
          <w:kern w:val="0"/>
          <w:sz w:val="21"/>
          <w:szCs w:val="21"/>
          <w:highlight w:val="none"/>
          <w:u w:val="single"/>
        </w:rPr>
        <w:t>（某分包供应商名称）</w:t>
      </w:r>
      <w:r>
        <w:rPr>
          <w:rFonts w:hint="eastAsia" w:ascii="仿宋" w:hAnsi="仿宋" w:eastAsia="仿宋" w:cs="仿宋"/>
          <w:color w:val="auto"/>
          <w:kern w:val="0"/>
          <w:sz w:val="21"/>
          <w:szCs w:val="21"/>
          <w:highlight w:val="none"/>
          <w:lang w:val="zh-CN"/>
        </w:rPr>
        <w:t>，</w:t>
      </w:r>
      <w:r>
        <w:rPr>
          <w:rFonts w:hint="eastAsia" w:ascii="仿宋" w:hAnsi="仿宋" w:eastAsia="仿宋" w:cs="仿宋"/>
          <w:color w:val="auto"/>
          <w:kern w:val="0"/>
          <w:sz w:val="21"/>
          <w:szCs w:val="21"/>
          <w:highlight w:val="none"/>
          <w:u w:val="single"/>
        </w:rPr>
        <w:t>（某分包供应商名称），</w:t>
      </w:r>
      <w:r>
        <w:rPr>
          <w:rFonts w:hint="eastAsia" w:ascii="仿宋" w:hAnsi="仿宋" w:eastAsia="仿宋" w:cs="仿宋"/>
          <w:color w:val="auto"/>
          <w:kern w:val="0"/>
          <w:sz w:val="21"/>
          <w:szCs w:val="21"/>
          <w:highlight w:val="none"/>
          <w:lang w:val="zh-CN"/>
        </w:rPr>
        <w:t>具备承</w:t>
      </w:r>
      <w:r>
        <w:rPr>
          <w:rFonts w:hint="eastAsia" w:ascii="仿宋" w:hAnsi="仿宋" w:eastAsia="仿宋" w:cs="仿宋"/>
          <w:color w:val="auto"/>
          <w:kern w:val="0"/>
          <w:sz w:val="21"/>
          <w:szCs w:val="21"/>
          <w:highlight w:val="none"/>
        </w:rPr>
        <w:t>担</w:t>
      </w:r>
      <w:r>
        <w:rPr>
          <w:rFonts w:hint="eastAsia" w:ascii="仿宋" w:hAnsi="仿宋" w:eastAsia="仿宋" w:cs="仿宋"/>
          <w:color w:val="auto"/>
          <w:kern w:val="0"/>
          <w:sz w:val="21"/>
          <w:szCs w:val="21"/>
          <w:highlight w:val="none"/>
          <w:u w:val="single"/>
          <w:lang w:val="zh-CN"/>
        </w:rPr>
        <w:t>XX工作内容</w:t>
      </w:r>
      <w:r>
        <w:rPr>
          <w:rFonts w:hint="eastAsia" w:ascii="仿宋" w:hAnsi="仿宋" w:eastAsia="仿宋" w:cs="仿宋"/>
          <w:color w:val="auto"/>
          <w:kern w:val="0"/>
          <w:sz w:val="21"/>
          <w:szCs w:val="21"/>
          <w:highlight w:val="none"/>
          <w:lang w:val="zh-CN"/>
        </w:rPr>
        <w:t>相应资质条件且不得再次分包。</w:t>
      </w:r>
    </w:p>
    <w:p w14:paraId="09395F14">
      <w:pPr>
        <w:shd w:val="clear"/>
        <w:snapToGrid w:val="0"/>
        <w:spacing w:line="288" w:lineRule="auto"/>
        <w:ind w:firstLine="422" w:firstLineChars="201"/>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w:t>
      </w:r>
    </w:p>
    <w:p w14:paraId="78A2B615">
      <w:pPr>
        <w:shd w:val="clear"/>
        <w:snapToGrid w:val="0"/>
        <w:spacing w:line="288" w:lineRule="auto"/>
        <w:ind w:firstLine="422" w:firstLineChars="201"/>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二、分包工作履行期限、地点、方式</w:t>
      </w:r>
    </w:p>
    <w:p w14:paraId="05235B01">
      <w:pPr>
        <w:shd w:val="clear"/>
        <w:snapToGrid w:val="0"/>
        <w:spacing w:line="288" w:lineRule="auto"/>
        <w:ind w:firstLine="422" w:firstLineChars="201"/>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t xml:space="preserve">                                                                                  </w:t>
      </w:r>
    </w:p>
    <w:p w14:paraId="59670A6C">
      <w:pPr>
        <w:shd w:val="clear"/>
        <w:snapToGrid w:val="0"/>
        <w:spacing w:line="288" w:lineRule="auto"/>
        <w:ind w:firstLine="422" w:firstLineChars="201"/>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三、质量</w:t>
      </w:r>
    </w:p>
    <w:p w14:paraId="250EF27E">
      <w:pPr>
        <w:shd w:val="clear"/>
        <w:snapToGrid w:val="0"/>
        <w:spacing w:line="288" w:lineRule="auto"/>
        <w:ind w:firstLine="422" w:firstLineChars="201"/>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u w:val="single"/>
        </w:rPr>
        <w:t xml:space="preserve">                                                                                       </w:t>
      </w:r>
    </w:p>
    <w:p w14:paraId="69C28F42">
      <w:pPr>
        <w:shd w:val="clear"/>
        <w:snapToGrid w:val="0"/>
        <w:spacing w:line="288" w:lineRule="auto"/>
        <w:ind w:firstLine="422" w:firstLineChars="201"/>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四、价款或者报酬</w:t>
      </w:r>
    </w:p>
    <w:p w14:paraId="3E8C7AAE">
      <w:pPr>
        <w:shd w:val="clear"/>
        <w:snapToGrid w:val="0"/>
        <w:spacing w:line="288" w:lineRule="auto"/>
        <w:ind w:firstLine="422" w:firstLineChars="201"/>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u w:val="single"/>
        </w:rPr>
        <w:t xml:space="preserve">                                                                                     </w:t>
      </w:r>
    </w:p>
    <w:p w14:paraId="516373BA">
      <w:pPr>
        <w:shd w:val="clear"/>
        <w:snapToGrid w:val="0"/>
        <w:spacing w:line="288" w:lineRule="auto"/>
        <w:ind w:firstLine="422" w:firstLineChars="201"/>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五、违约责任</w:t>
      </w:r>
    </w:p>
    <w:p w14:paraId="0B9A6B6D">
      <w:pPr>
        <w:shd w:val="clear"/>
        <w:snapToGrid w:val="0"/>
        <w:spacing w:line="288" w:lineRule="auto"/>
        <w:ind w:firstLine="422" w:firstLineChars="201"/>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u w:val="single"/>
        </w:rPr>
        <w:t xml:space="preserve">                                                                                     </w:t>
      </w:r>
    </w:p>
    <w:p w14:paraId="0AAED90A">
      <w:pPr>
        <w:shd w:val="clear"/>
        <w:snapToGrid w:val="0"/>
        <w:spacing w:line="288" w:lineRule="auto"/>
        <w:ind w:firstLine="422" w:firstLineChars="201"/>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六、争议解决的办法</w:t>
      </w:r>
    </w:p>
    <w:p w14:paraId="06C094A5">
      <w:pPr>
        <w:shd w:val="clear"/>
        <w:snapToGrid w:val="0"/>
        <w:spacing w:line="288" w:lineRule="auto"/>
        <w:ind w:firstLine="422" w:firstLineChars="201"/>
        <w:rPr>
          <w:rFonts w:hint="eastAsia" w:ascii="仿宋" w:hAnsi="仿宋" w:eastAsia="仿宋" w:cs="仿宋"/>
          <w:color w:val="auto"/>
          <w:kern w:val="0"/>
          <w:sz w:val="21"/>
          <w:szCs w:val="21"/>
          <w:highlight w:val="none"/>
          <w:lang w:val="zh-CN"/>
        </w:rPr>
      </w:pPr>
      <w:r>
        <w:rPr>
          <w:rFonts w:hint="eastAsia" w:ascii="仿宋" w:hAnsi="仿宋" w:eastAsia="仿宋" w:cs="仿宋"/>
          <w:color w:val="auto"/>
          <w:sz w:val="21"/>
          <w:szCs w:val="21"/>
          <w:highlight w:val="none"/>
          <w:u w:val="single"/>
        </w:rPr>
        <w:t xml:space="preserve">                                                                                  </w:t>
      </w:r>
    </w:p>
    <w:p w14:paraId="306DF7D8">
      <w:pPr>
        <w:shd w:val="clear"/>
        <w:snapToGrid w:val="0"/>
        <w:spacing w:line="288" w:lineRule="auto"/>
        <w:ind w:firstLine="422" w:firstLineChars="201"/>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七、其他</w:t>
      </w:r>
    </w:p>
    <w:p w14:paraId="3104C342">
      <w:pPr>
        <w:shd w:val="clear"/>
        <w:snapToGrid w:val="0"/>
        <w:spacing w:line="288" w:lineRule="auto"/>
        <w:ind w:firstLine="422" w:firstLineChars="201"/>
        <w:rPr>
          <w:rFonts w:hint="eastAsia" w:ascii="仿宋" w:hAnsi="仿宋" w:eastAsia="仿宋" w:cs="仿宋"/>
          <w:b/>
          <w:color w:val="auto"/>
          <w:kern w:val="0"/>
          <w:sz w:val="21"/>
          <w:szCs w:val="21"/>
          <w:highlight w:val="none"/>
          <w:lang w:val="zh-CN"/>
        </w:rPr>
      </w:pPr>
      <w:r>
        <w:rPr>
          <w:rFonts w:hint="eastAsia" w:ascii="仿宋" w:hAnsi="仿宋" w:eastAsia="仿宋" w:cs="仿宋"/>
          <w:color w:val="auto"/>
          <w:kern w:val="0"/>
          <w:sz w:val="21"/>
          <w:szCs w:val="21"/>
          <w:highlight w:val="none"/>
          <w:u w:val="single"/>
        </w:rPr>
        <w:t>（分包供应商名称）提供的货物全部由小微企业制造，</w:t>
      </w:r>
      <w:r>
        <w:rPr>
          <w:rFonts w:hint="eastAsia" w:ascii="仿宋" w:hAnsi="仿宋" w:eastAsia="仿宋" w:cs="仿宋"/>
          <w:color w:val="auto"/>
          <w:kern w:val="0"/>
          <w:sz w:val="21"/>
          <w:szCs w:val="21"/>
          <w:highlight w:val="none"/>
        </w:rPr>
        <w:t>其合同份额占到合同总金额</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%以上</w:t>
      </w:r>
      <w:r>
        <w:rPr>
          <w:rFonts w:hint="eastAsia" w:ascii="仿宋" w:hAnsi="仿宋" w:eastAsia="仿宋" w:cs="仿宋"/>
          <w:color w:val="auto"/>
          <w:sz w:val="21"/>
          <w:szCs w:val="21"/>
          <w:highlight w:val="none"/>
        </w:rPr>
        <w:t>。</w:t>
      </w:r>
      <w:r>
        <w:rPr>
          <w:rFonts w:hint="eastAsia" w:ascii="仿宋" w:hAnsi="仿宋" w:eastAsia="仿宋" w:cs="仿宋"/>
          <w:b/>
          <w:color w:val="auto"/>
          <w:kern w:val="0"/>
          <w:sz w:val="21"/>
          <w:szCs w:val="21"/>
          <w:highlight w:val="none"/>
          <w:lang w:val="zh-CN"/>
        </w:rPr>
        <w:t>（未预留份额专门面向中小企业采购的的采购项目，以及预留份额中的非预留部分采购包，允许分包的，分包供应商提供的货物全部由小微企业制造，且其合同份额占到合同总金额30%以上的，对大中型企业的报价给予3%的扣除）</w:t>
      </w:r>
    </w:p>
    <w:p w14:paraId="319CC82A">
      <w:pPr>
        <w:shd w:val="clear"/>
        <w:snapToGrid w:val="0"/>
        <w:spacing w:line="288" w:lineRule="auto"/>
        <w:rPr>
          <w:rFonts w:hint="eastAsia" w:ascii="仿宋" w:hAnsi="仿宋" w:eastAsia="仿宋" w:cs="仿宋"/>
          <w:color w:val="auto"/>
          <w:kern w:val="0"/>
          <w:sz w:val="21"/>
          <w:szCs w:val="21"/>
          <w:highlight w:val="none"/>
          <w:lang w:val="zh-CN"/>
        </w:rPr>
      </w:pPr>
    </w:p>
    <w:p w14:paraId="46715361">
      <w:pPr>
        <w:shd w:val="clear"/>
        <w:snapToGrid w:val="0"/>
        <w:spacing w:line="288" w:lineRule="auto"/>
        <w:ind w:firstLine="422" w:firstLineChars="200"/>
        <w:rPr>
          <w:rFonts w:hint="eastAsia" w:ascii="仿宋" w:hAnsi="仿宋" w:eastAsia="仿宋" w:cs="仿宋"/>
          <w:b/>
          <w:bCs/>
          <w:color w:val="auto"/>
          <w:kern w:val="0"/>
          <w:sz w:val="21"/>
          <w:szCs w:val="21"/>
          <w:highlight w:val="none"/>
          <w:lang w:val="zh-CN"/>
        </w:rPr>
      </w:pPr>
      <w:r>
        <w:rPr>
          <w:rFonts w:hint="eastAsia" w:ascii="仿宋" w:hAnsi="仿宋" w:eastAsia="仿宋" w:cs="仿宋"/>
          <w:b/>
          <w:bCs/>
          <w:color w:val="auto"/>
          <w:kern w:val="0"/>
          <w:sz w:val="21"/>
          <w:szCs w:val="21"/>
          <w:highlight w:val="none"/>
          <w:lang w:val="zh-CN"/>
        </w:rPr>
        <w:t>供应商名称（电子签名/公章）：</w:t>
      </w:r>
    </w:p>
    <w:p w14:paraId="5490F6C6">
      <w:pPr>
        <w:shd w:val="clear"/>
        <w:snapToGrid w:val="0"/>
        <w:spacing w:line="288" w:lineRule="auto"/>
        <w:ind w:firstLine="424" w:firstLineChars="201"/>
        <w:rPr>
          <w:rFonts w:hint="eastAsia" w:ascii="仿宋" w:hAnsi="仿宋" w:eastAsia="仿宋" w:cs="仿宋"/>
          <w:b/>
          <w:bCs/>
          <w:color w:val="auto"/>
          <w:kern w:val="0"/>
          <w:sz w:val="21"/>
          <w:szCs w:val="21"/>
          <w:highlight w:val="none"/>
          <w:lang w:val="zh-CN"/>
        </w:rPr>
      </w:pPr>
    </w:p>
    <w:p w14:paraId="21B0752C">
      <w:pPr>
        <w:shd w:val="clear"/>
        <w:snapToGrid w:val="0"/>
        <w:spacing w:line="288" w:lineRule="auto"/>
        <w:ind w:firstLine="424" w:firstLineChars="201"/>
        <w:rPr>
          <w:rFonts w:hint="eastAsia" w:ascii="仿宋" w:hAnsi="仿宋" w:eastAsia="仿宋" w:cs="仿宋"/>
          <w:b/>
          <w:bCs/>
          <w:color w:val="auto"/>
          <w:kern w:val="0"/>
          <w:sz w:val="21"/>
          <w:szCs w:val="21"/>
          <w:highlight w:val="none"/>
          <w:lang w:val="zh-CN"/>
        </w:rPr>
      </w:pPr>
      <w:r>
        <w:rPr>
          <w:rFonts w:hint="eastAsia" w:ascii="仿宋" w:hAnsi="仿宋" w:eastAsia="仿宋" w:cs="仿宋"/>
          <w:b/>
          <w:bCs/>
          <w:color w:val="auto"/>
          <w:kern w:val="0"/>
          <w:sz w:val="21"/>
          <w:szCs w:val="21"/>
          <w:highlight w:val="none"/>
          <w:lang w:val="zh-CN"/>
        </w:rPr>
        <w:t>分包供应商名称：</w:t>
      </w:r>
    </w:p>
    <w:p w14:paraId="35886E0D">
      <w:pPr>
        <w:shd w:val="clear"/>
        <w:snapToGrid w:val="0"/>
        <w:spacing w:line="288" w:lineRule="auto"/>
        <w:rPr>
          <w:rFonts w:hint="eastAsia" w:ascii="仿宋" w:hAnsi="仿宋" w:eastAsia="仿宋" w:cs="仿宋"/>
          <w:b/>
          <w:bCs/>
          <w:color w:val="auto"/>
          <w:kern w:val="0"/>
          <w:sz w:val="21"/>
          <w:szCs w:val="21"/>
          <w:highlight w:val="none"/>
          <w:lang w:val="zh-CN"/>
        </w:rPr>
      </w:pPr>
    </w:p>
    <w:p w14:paraId="2410FA00">
      <w:pPr>
        <w:shd w:val="clear"/>
        <w:snapToGrid w:val="0"/>
        <w:spacing w:line="288" w:lineRule="auto"/>
        <w:ind w:firstLine="424" w:firstLineChars="201"/>
        <w:rPr>
          <w:rFonts w:hint="eastAsia" w:ascii="仿宋" w:hAnsi="仿宋" w:eastAsia="仿宋" w:cs="仿宋"/>
          <w:b/>
          <w:bCs/>
          <w:color w:val="auto"/>
          <w:kern w:val="0"/>
          <w:sz w:val="21"/>
          <w:szCs w:val="21"/>
          <w:highlight w:val="none"/>
          <w:lang w:val="zh-CN"/>
        </w:rPr>
      </w:pPr>
      <w:r>
        <w:rPr>
          <w:rFonts w:hint="eastAsia" w:ascii="仿宋" w:hAnsi="仿宋" w:eastAsia="仿宋" w:cs="仿宋"/>
          <w:b/>
          <w:bCs/>
          <w:color w:val="auto"/>
          <w:kern w:val="0"/>
          <w:sz w:val="21"/>
          <w:szCs w:val="21"/>
          <w:highlight w:val="none"/>
          <w:lang w:val="zh-CN"/>
        </w:rPr>
        <w:t>日期：  年  月   日</w:t>
      </w:r>
    </w:p>
    <w:p w14:paraId="57A394B7">
      <w:pPr>
        <w:shd w:val="clear"/>
        <w:snapToGrid w:val="0"/>
        <w:spacing w:line="288" w:lineRule="auto"/>
        <w:jc w:val="left"/>
        <w:outlineLvl w:val="2"/>
        <w:rPr>
          <w:rFonts w:hint="eastAsia" w:ascii="仿宋" w:hAnsi="仿宋" w:eastAsia="仿宋" w:cs="仿宋"/>
          <w:b/>
          <w:color w:val="auto"/>
          <w:sz w:val="32"/>
          <w:szCs w:val="32"/>
          <w:highlight w:val="none"/>
        </w:rPr>
      </w:pPr>
      <w:r>
        <w:rPr>
          <w:rFonts w:hint="eastAsia" w:ascii="仿宋" w:hAnsi="仿宋" w:eastAsia="仿宋" w:cs="仿宋"/>
          <w:b/>
          <w:bCs/>
          <w:color w:val="auto"/>
          <w:kern w:val="0"/>
          <w:sz w:val="21"/>
          <w:szCs w:val="21"/>
          <w:highlight w:val="none"/>
          <w:lang w:val="zh-CN"/>
        </w:rPr>
        <w:br w:type="page"/>
      </w:r>
      <w:bookmarkStart w:id="176" w:name="_Toc7397"/>
      <w:bookmarkStart w:id="177" w:name="_Toc10678"/>
      <w:bookmarkStart w:id="178" w:name="_Toc25656"/>
      <w:r>
        <w:rPr>
          <w:rFonts w:hint="eastAsia" w:ascii="仿宋" w:hAnsi="仿宋" w:eastAsia="仿宋" w:cs="仿宋"/>
          <w:b/>
          <w:color w:val="auto"/>
          <w:kern w:val="0"/>
          <w:sz w:val="21"/>
          <w:szCs w:val="21"/>
          <w:highlight w:val="none"/>
        </w:rPr>
        <w:t>附件4：投诉书范本及制作说明</w:t>
      </w:r>
      <w:bookmarkEnd w:id="176"/>
      <w:bookmarkEnd w:id="177"/>
      <w:bookmarkEnd w:id="178"/>
    </w:p>
    <w:p w14:paraId="2807E7BF">
      <w:pPr>
        <w:shd w:val="clear"/>
        <w:spacing w:line="360" w:lineRule="auto"/>
        <w:jc w:val="center"/>
        <w:rPr>
          <w:rFonts w:hint="eastAsia" w:ascii="仿宋" w:hAnsi="仿宋" w:eastAsia="仿宋" w:cs="仿宋"/>
          <w:b/>
          <w:color w:val="auto"/>
          <w:highlight w:val="none"/>
        </w:rPr>
      </w:pPr>
    </w:p>
    <w:p w14:paraId="4C14D937">
      <w:pPr>
        <w:shd w:val="clea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投诉书范本</w:t>
      </w:r>
    </w:p>
    <w:p w14:paraId="01E96E69">
      <w:pPr>
        <w:shd w:val="clear"/>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一、投诉相关主体基本情况</w:t>
      </w:r>
    </w:p>
    <w:p w14:paraId="1E5B574A">
      <w:pPr>
        <w:shd w:val="clear"/>
        <w:spacing w:line="288"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投诉人：</w:t>
      </w:r>
      <w:r>
        <w:rPr>
          <w:rFonts w:hint="eastAsia" w:ascii="仿宋" w:hAnsi="仿宋" w:eastAsia="仿宋" w:cs="仿宋"/>
          <w:color w:val="auto"/>
          <w:sz w:val="21"/>
          <w:szCs w:val="21"/>
          <w:highlight w:val="none"/>
          <w:u w:val="dotted"/>
        </w:rPr>
        <w:t xml:space="preserve">                                               </w:t>
      </w:r>
    </w:p>
    <w:p w14:paraId="164C1CD2">
      <w:pPr>
        <w:shd w:val="clear"/>
        <w:spacing w:line="288"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085346D8">
      <w:pPr>
        <w:shd w:val="clear"/>
        <w:tabs>
          <w:tab w:val="left" w:pos="6510"/>
        </w:tabs>
        <w:spacing w:line="288"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法定代表人/主要负责人：</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 xml:space="preserve">  </w:t>
      </w:r>
    </w:p>
    <w:p w14:paraId="3667F3A7">
      <w:pPr>
        <w:shd w:val="clear"/>
        <w:tabs>
          <w:tab w:val="left" w:pos="6510"/>
        </w:tabs>
        <w:spacing w:line="288"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p>
    <w:p w14:paraId="3995AEC5">
      <w:pPr>
        <w:shd w:val="clear"/>
        <w:spacing w:line="288"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授权代表：</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p>
    <w:p w14:paraId="6C86E5A3">
      <w:pPr>
        <w:shd w:val="clear"/>
        <w:spacing w:line="288"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dotted"/>
        </w:rPr>
        <w:t xml:space="preserve">                   </w:t>
      </w:r>
    </w:p>
    <w:p w14:paraId="227DA2AA">
      <w:pPr>
        <w:shd w:val="clear"/>
        <w:spacing w:line="288"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被投诉人1：</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0FBE2432">
      <w:pPr>
        <w:shd w:val="clear"/>
        <w:spacing w:line="288"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3D326EA2">
      <w:pPr>
        <w:shd w:val="clear"/>
        <w:spacing w:line="288"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0571A535">
      <w:pPr>
        <w:shd w:val="clear"/>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被投诉人2</w:t>
      </w:r>
    </w:p>
    <w:p w14:paraId="1F81DDCF">
      <w:pPr>
        <w:shd w:val="clear"/>
        <w:spacing w:line="288"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w:t>
      </w:r>
    </w:p>
    <w:p w14:paraId="724B67A9">
      <w:pPr>
        <w:shd w:val="clear"/>
        <w:spacing w:line="288"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相关供应商：</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74A261DB">
      <w:pPr>
        <w:shd w:val="clear"/>
        <w:spacing w:line="288"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地     址：</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526DAAB4">
      <w:pPr>
        <w:shd w:val="clear"/>
        <w:spacing w:line="288"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34258C17">
      <w:pPr>
        <w:shd w:val="clear"/>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二、投诉项目基本情况</w:t>
      </w:r>
    </w:p>
    <w:p w14:paraId="1B2E3B28">
      <w:pPr>
        <w:shd w:val="clear"/>
        <w:spacing w:line="288"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采购项目名称：</w:t>
      </w:r>
      <w:r>
        <w:rPr>
          <w:rFonts w:hint="eastAsia" w:ascii="仿宋" w:hAnsi="仿宋" w:eastAsia="仿宋" w:cs="仿宋"/>
          <w:color w:val="auto"/>
          <w:sz w:val="21"/>
          <w:szCs w:val="21"/>
          <w:highlight w:val="none"/>
          <w:u w:val="dotted"/>
        </w:rPr>
        <w:t xml:space="preserve">                                        </w:t>
      </w:r>
    </w:p>
    <w:p w14:paraId="33869415">
      <w:pPr>
        <w:shd w:val="clear"/>
        <w:spacing w:line="288"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采购项目编号：</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包号：</w:t>
      </w:r>
      <w:r>
        <w:rPr>
          <w:rFonts w:hint="eastAsia" w:ascii="仿宋" w:hAnsi="仿宋" w:eastAsia="仿宋" w:cs="仿宋"/>
          <w:color w:val="auto"/>
          <w:sz w:val="21"/>
          <w:szCs w:val="21"/>
          <w:highlight w:val="none"/>
          <w:u w:val="dotted"/>
        </w:rPr>
        <w:t xml:space="preserve">              </w:t>
      </w:r>
    </w:p>
    <w:p w14:paraId="5DFC368D">
      <w:pPr>
        <w:shd w:val="clear"/>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采购人名称：</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single"/>
        </w:rPr>
        <w:t xml:space="preserve">  </w:t>
      </w:r>
    </w:p>
    <w:p w14:paraId="1D66DBA7">
      <w:pPr>
        <w:shd w:val="clear"/>
        <w:spacing w:line="288"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代理机构名称：</w:t>
      </w:r>
      <w:r>
        <w:rPr>
          <w:rFonts w:hint="eastAsia" w:ascii="仿宋" w:hAnsi="仿宋" w:eastAsia="仿宋" w:cs="仿宋"/>
          <w:color w:val="auto"/>
          <w:sz w:val="21"/>
          <w:szCs w:val="21"/>
          <w:highlight w:val="none"/>
          <w:u w:val="dotted"/>
        </w:rPr>
        <w:t xml:space="preserve">                                         </w:t>
      </w:r>
    </w:p>
    <w:p w14:paraId="578A141A">
      <w:pPr>
        <w:shd w:val="clear"/>
        <w:spacing w:line="288"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采购文件公告:</w:t>
      </w:r>
      <w:r>
        <w:rPr>
          <w:rFonts w:hint="eastAsia" w:ascii="仿宋" w:hAnsi="仿宋" w:eastAsia="仿宋" w:cs="仿宋"/>
          <w:color w:val="auto"/>
          <w:sz w:val="21"/>
          <w:szCs w:val="21"/>
          <w:highlight w:val="none"/>
          <w:u w:val="dotted"/>
        </w:rPr>
        <w:t xml:space="preserve">是/否 </w:t>
      </w:r>
      <w:r>
        <w:rPr>
          <w:rFonts w:hint="eastAsia" w:ascii="仿宋" w:hAnsi="仿宋" w:eastAsia="仿宋" w:cs="仿宋"/>
          <w:color w:val="auto"/>
          <w:sz w:val="21"/>
          <w:szCs w:val="21"/>
          <w:highlight w:val="none"/>
        </w:rPr>
        <w:t>公告期限：</w:t>
      </w:r>
      <w:r>
        <w:rPr>
          <w:rFonts w:hint="eastAsia" w:ascii="仿宋" w:hAnsi="仿宋" w:eastAsia="仿宋" w:cs="仿宋"/>
          <w:color w:val="auto"/>
          <w:sz w:val="21"/>
          <w:szCs w:val="21"/>
          <w:highlight w:val="none"/>
          <w:u w:val="dotted"/>
        </w:rPr>
        <w:t xml:space="preserve">                                 </w:t>
      </w:r>
    </w:p>
    <w:p w14:paraId="7225E96C">
      <w:pPr>
        <w:shd w:val="clear"/>
        <w:spacing w:line="288"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采购结果公告:</w:t>
      </w:r>
      <w:r>
        <w:rPr>
          <w:rFonts w:hint="eastAsia" w:ascii="仿宋" w:hAnsi="仿宋" w:eastAsia="仿宋" w:cs="仿宋"/>
          <w:color w:val="auto"/>
          <w:sz w:val="21"/>
          <w:szCs w:val="21"/>
          <w:highlight w:val="none"/>
          <w:u w:val="dotted"/>
        </w:rPr>
        <w:t xml:space="preserve">是/否 </w:t>
      </w:r>
      <w:r>
        <w:rPr>
          <w:rFonts w:hint="eastAsia" w:ascii="仿宋" w:hAnsi="仿宋" w:eastAsia="仿宋" w:cs="仿宋"/>
          <w:color w:val="auto"/>
          <w:sz w:val="21"/>
          <w:szCs w:val="21"/>
          <w:highlight w:val="none"/>
        </w:rPr>
        <w:t>公告期限：</w:t>
      </w:r>
      <w:r>
        <w:rPr>
          <w:rFonts w:hint="eastAsia" w:ascii="仿宋" w:hAnsi="仿宋" w:eastAsia="仿宋" w:cs="仿宋"/>
          <w:color w:val="auto"/>
          <w:sz w:val="21"/>
          <w:szCs w:val="21"/>
          <w:highlight w:val="none"/>
          <w:u w:val="dotted"/>
        </w:rPr>
        <w:t xml:space="preserve">                        </w:t>
      </w:r>
    </w:p>
    <w:p w14:paraId="1EB11E59">
      <w:pPr>
        <w:shd w:val="clear"/>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三、质疑基本情况</w:t>
      </w:r>
    </w:p>
    <w:p w14:paraId="1D7327D0">
      <w:pPr>
        <w:shd w:val="clear"/>
        <w:spacing w:line="288" w:lineRule="auto"/>
        <w:ind w:firstLine="420" w:firstLineChars="200"/>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投诉人于</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日,向</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提出质疑，质疑事项为：</w:t>
      </w:r>
      <w:r>
        <w:rPr>
          <w:rFonts w:hint="eastAsia" w:ascii="仿宋" w:hAnsi="仿宋" w:eastAsia="仿宋" w:cs="仿宋"/>
          <w:color w:val="auto"/>
          <w:sz w:val="21"/>
          <w:szCs w:val="21"/>
          <w:highlight w:val="none"/>
          <w:u w:val="dotted"/>
        </w:rPr>
        <w:t xml:space="preserve">                                </w:t>
      </w:r>
    </w:p>
    <w:p w14:paraId="3FA7346B">
      <w:pPr>
        <w:shd w:val="clear"/>
        <w:spacing w:line="288"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 xml:space="preserve">  </w:t>
      </w:r>
    </w:p>
    <w:p w14:paraId="22C8949E">
      <w:pPr>
        <w:shd w:val="clear"/>
        <w:spacing w:line="288" w:lineRule="auto"/>
        <w:ind w:firstLine="315" w:firstLineChars="1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dotted"/>
        </w:rPr>
        <w:t>采购人/代理机构</w:t>
      </w:r>
      <w:r>
        <w:rPr>
          <w:rFonts w:hint="eastAsia" w:ascii="仿宋" w:hAnsi="仿宋" w:eastAsia="仿宋" w:cs="仿宋"/>
          <w:color w:val="auto"/>
          <w:sz w:val="21"/>
          <w:szCs w:val="21"/>
          <w:highlight w:val="none"/>
        </w:rPr>
        <w:t>于</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日,就质疑事项作出了答复/没有在法定期限内作出答复。</w:t>
      </w:r>
    </w:p>
    <w:p w14:paraId="47E28B36">
      <w:pPr>
        <w:shd w:val="clear"/>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四、投诉事项具体内容</w:t>
      </w:r>
    </w:p>
    <w:p w14:paraId="113EC869">
      <w:pPr>
        <w:shd w:val="clear"/>
        <w:spacing w:line="288"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投诉事项 1：</w:t>
      </w:r>
      <w:r>
        <w:rPr>
          <w:rFonts w:hint="eastAsia" w:ascii="仿宋" w:hAnsi="仿宋" w:eastAsia="仿宋" w:cs="仿宋"/>
          <w:color w:val="auto"/>
          <w:sz w:val="21"/>
          <w:szCs w:val="21"/>
          <w:highlight w:val="none"/>
          <w:u w:val="dotted"/>
        </w:rPr>
        <w:t xml:space="preserve">                                       </w:t>
      </w:r>
    </w:p>
    <w:p w14:paraId="757107F1">
      <w:pPr>
        <w:shd w:val="clear"/>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事实依据：</w:t>
      </w:r>
      <w:r>
        <w:rPr>
          <w:rFonts w:hint="eastAsia" w:ascii="仿宋" w:hAnsi="仿宋" w:eastAsia="仿宋" w:cs="仿宋"/>
          <w:color w:val="auto"/>
          <w:sz w:val="21"/>
          <w:szCs w:val="21"/>
          <w:highlight w:val="none"/>
          <w:u w:val="dotted"/>
        </w:rPr>
        <w:t xml:space="preserve">                                         </w:t>
      </w:r>
    </w:p>
    <w:p w14:paraId="6CE3DD0D">
      <w:pPr>
        <w:shd w:val="clear"/>
        <w:spacing w:line="288"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u w:val="dotted"/>
        </w:rPr>
        <w:t xml:space="preserve">                                                      </w:t>
      </w:r>
    </w:p>
    <w:p w14:paraId="34B46B46">
      <w:pPr>
        <w:shd w:val="clear"/>
        <w:spacing w:line="288"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法律依据：</w:t>
      </w:r>
      <w:r>
        <w:rPr>
          <w:rFonts w:hint="eastAsia" w:ascii="仿宋" w:hAnsi="仿宋" w:eastAsia="仿宋" w:cs="仿宋"/>
          <w:color w:val="auto"/>
          <w:sz w:val="21"/>
          <w:szCs w:val="21"/>
          <w:highlight w:val="none"/>
          <w:u w:val="dotted"/>
        </w:rPr>
        <w:t xml:space="preserve">                                          </w:t>
      </w:r>
    </w:p>
    <w:p w14:paraId="4239138D">
      <w:pPr>
        <w:shd w:val="clear"/>
        <w:spacing w:line="288"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u w:val="dotted"/>
        </w:rPr>
        <w:t xml:space="preserve">                                                      </w:t>
      </w:r>
    </w:p>
    <w:p w14:paraId="7ACB7B4B">
      <w:pPr>
        <w:shd w:val="clear"/>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投诉事项2</w:t>
      </w:r>
    </w:p>
    <w:p w14:paraId="36B982F4">
      <w:pPr>
        <w:shd w:val="clear"/>
        <w:spacing w:line="288" w:lineRule="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w:t>
      </w:r>
    </w:p>
    <w:p w14:paraId="3A970FB9">
      <w:pPr>
        <w:shd w:val="clear"/>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五、与投诉事项相关的投诉请求</w:t>
      </w:r>
    </w:p>
    <w:p w14:paraId="2FBE7988">
      <w:pPr>
        <w:shd w:val="clear"/>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请求：</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 xml:space="preserve"> </w:t>
      </w:r>
    </w:p>
    <w:p w14:paraId="1E70A013">
      <w:pPr>
        <w:shd w:val="clear"/>
        <w:spacing w:line="288"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 xml:space="preserve">                                                                                                    </w:t>
      </w:r>
    </w:p>
    <w:p w14:paraId="328F0467">
      <w:pPr>
        <w:shd w:val="clear"/>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签字(签章)：                   公章：                      </w:t>
      </w:r>
    </w:p>
    <w:p w14:paraId="66076987">
      <w:pPr>
        <w:shd w:val="clear"/>
        <w:spacing w:line="288"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日期：    </w:t>
      </w:r>
    </w:p>
    <w:p w14:paraId="3F28039A">
      <w:pPr>
        <w:shd w:val="clear"/>
        <w:spacing w:line="288" w:lineRule="auto"/>
        <w:rPr>
          <w:rFonts w:hint="eastAsia" w:ascii="仿宋" w:hAnsi="仿宋" w:eastAsia="仿宋" w:cs="仿宋"/>
          <w:b/>
          <w:color w:val="auto"/>
          <w:sz w:val="21"/>
          <w:szCs w:val="21"/>
          <w:highlight w:val="none"/>
        </w:rPr>
      </w:pPr>
    </w:p>
    <w:p w14:paraId="702686E9">
      <w:pPr>
        <w:shd w:val="clear"/>
        <w:spacing w:line="288" w:lineRule="auto"/>
        <w:rPr>
          <w:rFonts w:hint="eastAsia" w:ascii="仿宋" w:hAnsi="仿宋" w:eastAsia="仿宋" w:cs="仿宋"/>
          <w:b/>
          <w:color w:val="auto"/>
          <w:sz w:val="21"/>
          <w:szCs w:val="21"/>
          <w:highlight w:val="none"/>
        </w:rPr>
      </w:pPr>
    </w:p>
    <w:p w14:paraId="15637B64">
      <w:pPr>
        <w:shd w:val="clear"/>
        <w:spacing w:line="288"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投诉书制作说明：</w:t>
      </w:r>
    </w:p>
    <w:p w14:paraId="03580F4B">
      <w:pPr>
        <w:widowControl/>
        <w:shd w:val="clear"/>
        <w:spacing w:line="288"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1.投诉人提起投诉时，应当提交投诉书和必要的证明材料，并按照被投诉人和与投诉事项有关的供应商数量提供投诉书副本。</w:t>
      </w:r>
    </w:p>
    <w:p w14:paraId="51F168C8">
      <w:pPr>
        <w:widowControl/>
        <w:shd w:val="clear"/>
        <w:spacing w:line="288"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2.投诉人若委托代理人进行投诉的，投诉书应按照要求列明“授权代表”的有关内容，并在附件中提交由</w:t>
      </w:r>
      <w:r>
        <w:rPr>
          <w:rFonts w:hint="eastAsia" w:ascii="仿宋" w:hAnsi="仿宋" w:eastAsia="仿宋" w:cs="仿宋"/>
          <w:color w:val="auto"/>
          <w:kern w:val="0"/>
          <w:sz w:val="21"/>
          <w:szCs w:val="21"/>
          <w:highlight w:val="none"/>
        </w:rPr>
        <w:t>投诉人签署的授权委托书。授权委托书应当载明代理人的姓名或者名称、代理事项、具体权限、期限和相关事项。</w:t>
      </w:r>
    </w:p>
    <w:p w14:paraId="2E97ACD5">
      <w:pPr>
        <w:widowControl/>
        <w:shd w:val="clear"/>
        <w:spacing w:line="288"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3.投诉人若对项目的某一分包进行投诉，投诉书应列明具体分包号。</w:t>
      </w:r>
    </w:p>
    <w:p w14:paraId="5940E843">
      <w:pPr>
        <w:widowControl/>
        <w:shd w:val="clear"/>
        <w:spacing w:line="288"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4.投诉书应简要列明质疑事项，质疑函、质疑答复等作为附件材料提供。</w:t>
      </w:r>
    </w:p>
    <w:p w14:paraId="5A5997D2">
      <w:pPr>
        <w:widowControl/>
        <w:shd w:val="clear"/>
        <w:spacing w:line="288"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5.投诉书的投诉事项应具体、明确，并有必要的事实依据和法律依据。</w:t>
      </w:r>
    </w:p>
    <w:p w14:paraId="62855CB4">
      <w:pPr>
        <w:widowControl/>
        <w:shd w:val="clear"/>
        <w:spacing w:line="288"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6.投诉书的投诉请求应与投诉事项相关。</w:t>
      </w:r>
    </w:p>
    <w:p w14:paraId="51F169C3">
      <w:pPr>
        <w:widowControl/>
        <w:shd w:val="clear"/>
        <w:spacing w:line="288"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2EE5EA83">
      <w:pPr>
        <w:shd w:val="clear"/>
        <w:rPr>
          <w:rFonts w:hint="eastAsia" w:ascii="仿宋" w:hAnsi="仿宋" w:eastAsia="仿宋" w:cs="仿宋"/>
          <w:color w:val="auto"/>
          <w:highlight w:val="none"/>
        </w:rPr>
      </w:pPr>
    </w:p>
    <w:p w14:paraId="1A07231E">
      <w:pPr>
        <w:rPr>
          <w:rFonts w:hint="eastAsia" w:ascii="仿宋" w:hAnsi="仿宋" w:eastAsia="仿宋" w:cs="仿宋"/>
          <w:color w:val="auto"/>
          <w:highlight w:val="none"/>
        </w:rPr>
      </w:pPr>
    </w:p>
    <w:sectPr>
      <w:footerReference r:id="rId8" w:type="default"/>
      <w:pgSz w:w="11906" w:h="16838"/>
      <w:pgMar w:top="1247" w:right="1247" w:bottom="1247" w:left="1247" w:header="850" w:footer="850" w:gutter="0"/>
      <w:pgNumType w:start="1"/>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1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D9600">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8D760">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C3426">
    <w:pPr>
      <w:pStyle w:val="16"/>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647A5">
    <w:pPr>
      <w:pStyle w:val="16"/>
      <w:jc w:val="center"/>
      <w:rPr>
        <w:rFonts w:hint="eastAsia"/>
      </w:rPr>
    </w:pPr>
    <w:r>
      <w:fldChar w:fldCharType="begin"/>
    </w:r>
    <w:r>
      <w:instrText xml:space="preserve">PAGE   \* MERGEFORMAT</w:instrText>
    </w:r>
    <w:r>
      <w:fldChar w:fldCharType="separate"/>
    </w:r>
    <w:r>
      <w:rPr>
        <w:lang w:val="zh-CN"/>
      </w:rPr>
      <w:t>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AC2ED">
    <w:pPr>
      <w:pStyle w:val="18"/>
      <w:pBdr>
        <w:bottom w:val="single" w:color="auto" w:sz="4" w:space="0"/>
      </w:pBdr>
      <w:spacing w:afterLines="100"/>
      <w:jc w:val="left"/>
      <w:rPr>
        <w:rFonts w:hint="eastAsia" w:ascii="仿宋" w:hAnsi="仿宋" w:eastAsia="仿宋" w:cs="仿宋"/>
        <w:iCs/>
      </w:rPr>
    </w:pPr>
    <w:r>
      <w:rPr>
        <w:rFonts w:hint="eastAsia"/>
      </w:rPr>
      <w:drawing>
        <wp:inline distT="0" distB="0" distL="114300" distR="114300">
          <wp:extent cx="283210" cy="285750"/>
          <wp:effectExtent l="0" t="0" r="2540" b="0"/>
          <wp:docPr id="2" name="图片 2" descr="成套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成套新logo"/>
                  <pic:cNvPicPr>
                    <a:picLocks noChangeAspect="1"/>
                  </pic:cNvPicPr>
                </pic:nvPicPr>
                <pic:blipFill>
                  <a:blip r:embed="rId1"/>
                  <a:stretch>
                    <a:fillRect/>
                  </a:stretch>
                </pic:blipFill>
                <pic:spPr>
                  <a:xfrm>
                    <a:off x="0" y="0"/>
                    <a:ext cx="283210" cy="285750"/>
                  </a:xfrm>
                  <a:prstGeom prst="rect">
                    <a:avLst/>
                  </a:prstGeom>
                  <a:noFill/>
                  <a:ln>
                    <a:noFill/>
                  </a:ln>
                </pic:spPr>
              </pic:pic>
            </a:graphicData>
          </a:graphic>
        </wp:inline>
      </w:drawing>
    </w:r>
    <w:r>
      <w:rPr>
        <w:rFonts w:hint="eastAsia"/>
      </w:rPr>
      <w:t xml:space="preserve">  </w:t>
    </w:r>
    <w:r>
      <w:rPr>
        <w:rFonts w:hint="eastAsia" w:ascii="仿宋" w:hAnsi="仿宋" w:eastAsia="仿宋" w:cs="仿宋"/>
        <w:iCs/>
      </w:rPr>
      <w:t xml:space="preserve">浙江省成套招标代理有限公司                                                   </w:t>
    </w:r>
    <w:r>
      <w:rPr>
        <w:rFonts w:hint="eastAsia" w:ascii="仿宋" w:hAnsi="仿宋" w:eastAsia="仿宋" w:cs="仿宋"/>
        <w:iCs/>
        <w:lang w:val="en-US" w:eastAsia="zh-CN"/>
      </w:rPr>
      <w:t xml:space="preserve">     竞争性磋商</w:t>
    </w:r>
    <w:r>
      <w:rPr>
        <w:rFonts w:hint="eastAsia" w:ascii="仿宋" w:hAnsi="仿宋" w:eastAsia="仿宋" w:cs="仿宋"/>
        <w:iCs/>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3DB65">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575BE"/>
    <w:multiLevelType w:val="singleLevel"/>
    <w:tmpl w:val="FEF575BE"/>
    <w:lvl w:ilvl="0" w:tentative="0">
      <w:start w:val="6"/>
      <w:numFmt w:val="decimal"/>
      <w:suff w:val="nothing"/>
      <w:lvlText w:val="%1、"/>
      <w:lvlJc w:val="left"/>
    </w:lvl>
  </w:abstractNum>
  <w:abstractNum w:abstractNumId="1">
    <w:nsid w:val="7F2D6699"/>
    <w:multiLevelType w:val="singleLevel"/>
    <w:tmpl w:val="7F2D669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5ZDg0MDc2MGM5YTUzZmExMzM5YjMyNzgxMThlNGQifQ=="/>
    <w:docVar w:name="KSO_WPS_MARK_KEY" w:val="5841e099-2ade-4920-b54d-ccff54884328"/>
  </w:docVars>
  <w:rsids>
    <w:rsidRoot w:val="00A00D7E"/>
    <w:rsid w:val="00020A03"/>
    <w:rsid w:val="00034BEF"/>
    <w:rsid w:val="0006404E"/>
    <w:rsid w:val="000A04EC"/>
    <w:rsid w:val="00105806"/>
    <w:rsid w:val="00122353"/>
    <w:rsid w:val="00126981"/>
    <w:rsid w:val="00150264"/>
    <w:rsid w:val="00173EAE"/>
    <w:rsid w:val="001B26E4"/>
    <w:rsid w:val="001D6C3B"/>
    <w:rsid w:val="00234018"/>
    <w:rsid w:val="00236886"/>
    <w:rsid w:val="00237F5A"/>
    <w:rsid w:val="00270694"/>
    <w:rsid w:val="00274DEB"/>
    <w:rsid w:val="002A42C8"/>
    <w:rsid w:val="002F3EB8"/>
    <w:rsid w:val="002F7BAD"/>
    <w:rsid w:val="0030391F"/>
    <w:rsid w:val="00306960"/>
    <w:rsid w:val="00310FB4"/>
    <w:rsid w:val="00323122"/>
    <w:rsid w:val="003462B6"/>
    <w:rsid w:val="003653E6"/>
    <w:rsid w:val="00374CD4"/>
    <w:rsid w:val="00394CBD"/>
    <w:rsid w:val="003973FB"/>
    <w:rsid w:val="00406280"/>
    <w:rsid w:val="00415D52"/>
    <w:rsid w:val="004244A4"/>
    <w:rsid w:val="0046666F"/>
    <w:rsid w:val="004C5784"/>
    <w:rsid w:val="004C5B21"/>
    <w:rsid w:val="004D0F6A"/>
    <w:rsid w:val="004D19F5"/>
    <w:rsid w:val="004F1B09"/>
    <w:rsid w:val="00515E35"/>
    <w:rsid w:val="00546185"/>
    <w:rsid w:val="00592D13"/>
    <w:rsid w:val="005B4A5D"/>
    <w:rsid w:val="005C1687"/>
    <w:rsid w:val="00612BBC"/>
    <w:rsid w:val="006337CD"/>
    <w:rsid w:val="006720CC"/>
    <w:rsid w:val="006A50B0"/>
    <w:rsid w:val="006C515B"/>
    <w:rsid w:val="00705BF3"/>
    <w:rsid w:val="00712143"/>
    <w:rsid w:val="00742779"/>
    <w:rsid w:val="007639F5"/>
    <w:rsid w:val="00775160"/>
    <w:rsid w:val="007B6FE3"/>
    <w:rsid w:val="007D34D0"/>
    <w:rsid w:val="00806D1E"/>
    <w:rsid w:val="00815CDB"/>
    <w:rsid w:val="008249D1"/>
    <w:rsid w:val="0083379E"/>
    <w:rsid w:val="008628F6"/>
    <w:rsid w:val="00865DBD"/>
    <w:rsid w:val="00875CF9"/>
    <w:rsid w:val="008B3EBD"/>
    <w:rsid w:val="008E6DF3"/>
    <w:rsid w:val="008F5212"/>
    <w:rsid w:val="009003ED"/>
    <w:rsid w:val="00910557"/>
    <w:rsid w:val="00913833"/>
    <w:rsid w:val="00954952"/>
    <w:rsid w:val="009846A4"/>
    <w:rsid w:val="009D7629"/>
    <w:rsid w:val="009E337B"/>
    <w:rsid w:val="009F44B2"/>
    <w:rsid w:val="00A00D7E"/>
    <w:rsid w:val="00A2145F"/>
    <w:rsid w:val="00A43381"/>
    <w:rsid w:val="00A509FF"/>
    <w:rsid w:val="00A624AA"/>
    <w:rsid w:val="00A75BDA"/>
    <w:rsid w:val="00AA3873"/>
    <w:rsid w:val="00AA49E7"/>
    <w:rsid w:val="00AB1E0F"/>
    <w:rsid w:val="00B07033"/>
    <w:rsid w:val="00B071EC"/>
    <w:rsid w:val="00B80C9B"/>
    <w:rsid w:val="00B82408"/>
    <w:rsid w:val="00B91979"/>
    <w:rsid w:val="00BA1CCE"/>
    <w:rsid w:val="00BB68C8"/>
    <w:rsid w:val="00BF0E19"/>
    <w:rsid w:val="00C1746A"/>
    <w:rsid w:val="00C23179"/>
    <w:rsid w:val="00C25D41"/>
    <w:rsid w:val="00C37CB7"/>
    <w:rsid w:val="00C53C04"/>
    <w:rsid w:val="00C57B27"/>
    <w:rsid w:val="00C77F32"/>
    <w:rsid w:val="00CA1406"/>
    <w:rsid w:val="00CA3B98"/>
    <w:rsid w:val="00CA54AD"/>
    <w:rsid w:val="00CA5A00"/>
    <w:rsid w:val="00CC5D84"/>
    <w:rsid w:val="00CD2460"/>
    <w:rsid w:val="00CF6256"/>
    <w:rsid w:val="00D04460"/>
    <w:rsid w:val="00D23404"/>
    <w:rsid w:val="00DD04C2"/>
    <w:rsid w:val="00DD30E3"/>
    <w:rsid w:val="00DD6CE1"/>
    <w:rsid w:val="00E07DDF"/>
    <w:rsid w:val="00E125AB"/>
    <w:rsid w:val="00E37D12"/>
    <w:rsid w:val="00E47207"/>
    <w:rsid w:val="00E608CE"/>
    <w:rsid w:val="00E80488"/>
    <w:rsid w:val="00EE00FF"/>
    <w:rsid w:val="00EE499A"/>
    <w:rsid w:val="00F37931"/>
    <w:rsid w:val="00F52931"/>
    <w:rsid w:val="00F92E84"/>
    <w:rsid w:val="00FA1AA0"/>
    <w:rsid w:val="00FA1E51"/>
    <w:rsid w:val="00FB6CEA"/>
    <w:rsid w:val="046B3792"/>
    <w:rsid w:val="04E01E50"/>
    <w:rsid w:val="05AD6BC7"/>
    <w:rsid w:val="07140111"/>
    <w:rsid w:val="092A791F"/>
    <w:rsid w:val="0D143EA3"/>
    <w:rsid w:val="0D1520DD"/>
    <w:rsid w:val="0E0802A4"/>
    <w:rsid w:val="12AA7B7B"/>
    <w:rsid w:val="12B31FD7"/>
    <w:rsid w:val="13B54EBC"/>
    <w:rsid w:val="151A10E0"/>
    <w:rsid w:val="1571672E"/>
    <w:rsid w:val="1A197394"/>
    <w:rsid w:val="1A3B5E92"/>
    <w:rsid w:val="1B1026FF"/>
    <w:rsid w:val="1BAD2B80"/>
    <w:rsid w:val="1D5232E9"/>
    <w:rsid w:val="1F811E74"/>
    <w:rsid w:val="202A40A9"/>
    <w:rsid w:val="203E7B55"/>
    <w:rsid w:val="20BF4A50"/>
    <w:rsid w:val="250E7CC6"/>
    <w:rsid w:val="25E90563"/>
    <w:rsid w:val="270A3BC8"/>
    <w:rsid w:val="27261244"/>
    <w:rsid w:val="277013CA"/>
    <w:rsid w:val="2AAF1D7B"/>
    <w:rsid w:val="2C701C77"/>
    <w:rsid w:val="2D285E15"/>
    <w:rsid w:val="30907F59"/>
    <w:rsid w:val="32FF6752"/>
    <w:rsid w:val="367C4DD1"/>
    <w:rsid w:val="3775168B"/>
    <w:rsid w:val="3AF67F25"/>
    <w:rsid w:val="3C6D5069"/>
    <w:rsid w:val="3EA37633"/>
    <w:rsid w:val="429726FC"/>
    <w:rsid w:val="4565330A"/>
    <w:rsid w:val="46DF51CB"/>
    <w:rsid w:val="48570EBF"/>
    <w:rsid w:val="491312CF"/>
    <w:rsid w:val="49244A81"/>
    <w:rsid w:val="495518E8"/>
    <w:rsid w:val="4C83051A"/>
    <w:rsid w:val="4F7C1CA3"/>
    <w:rsid w:val="507C3BFE"/>
    <w:rsid w:val="50F21F18"/>
    <w:rsid w:val="51356D1E"/>
    <w:rsid w:val="52846D9A"/>
    <w:rsid w:val="52B4767F"/>
    <w:rsid w:val="53602970"/>
    <w:rsid w:val="53E6079D"/>
    <w:rsid w:val="546205F2"/>
    <w:rsid w:val="55A3253B"/>
    <w:rsid w:val="5E9309DC"/>
    <w:rsid w:val="5ECC76C5"/>
    <w:rsid w:val="5F4215C7"/>
    <w:rsid w:val="60552D8C"/>
    <w:rsid w:val="60607DAB"/>
    <w:rsid w:val="626C4E1E"/>
    <w:rsid w:val="62C96410"/>
    <w:rsid w:val="62F95F6B"/>
    <w:rsid w:val="63185E15"/>
    <w:rsid w:val="666D77B3"/>
    <w:rsid w:val="666F0290"/>
    <w:rsid w:val="6A25326D"/>
    <w:rsid w:val="6BC96206"/>
    <w:rsid w:val="6CBA18DE"/>
    <w:rsid w:val="6D995997"/>
    <w:rsid w:val="6E276AFF"/>
    <w:rsid w:val="710B095A"/>
    <w:rsid w:val="71190F5D"/>
    <w:rsid w:val="71526589"/>
    <w:rsid w:val="727F0E26"/>
    <w:rsid w:val="739D593D"/>
    <w:rsid w:val="793B7903"/>
    <w:rsid w:val="79815A85"/>
    <w:rsid w:val="7DEA092A"/>
    <w:rsid w:val="7E0B0000"/>
    <w:rsid w:val="7EEA7E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0" w:semiHidden="0" w:name="toc 2"/>
    <w:lsdException w:qFormat="1" w:uiPriority="0" w:semiHidden="0"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0" w:semiHidden="0"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4"/>
      <w:szCs w:val="24"/>
      <w:lang w:val="en-US" w:eastAsia="zh-CN" w:bidi="ar-SA"/>
    </w:rPr>
  </w:style>
  <w:style w:type="paragraph" w:styleId="2">
    <w:name w:val="heading 1"/>
    <w:basedOn w:val="1"/>
    <w:next w:val="1"/>
    <w:link w:val="35"/>
    <w:qFormat/>
    <w:uiPriority w:val="0"/>
    <w:pPr>
      <w:keepNext/>
      <w:overflowPunct w:val="0"/>
      <w:autoSpaceDE w:val="0"/>
      <w:autoSpaceDN w:val="0"/>
      <w:adjustRightInd w:val="0"/>
      <w:snapToGrid w:val="0"/>
      <w:spacing w:before="240" w:after="240"/>
      <w:ind w:firstLine="402"/>
      <w:textAlignment w:val="baseline"/>
      <w:outlineLvl w:val="0"/>
    </w:pPr>
    <w:rPr>
      <w:rFonts w:ascii="Times New Roman" w:hAnsi="Times New Roman" w:cs="Times New Roman"/>
      <w:b/>
      <w:vanish/>
      <w:color w:val="000000"/>
      <w:kern w:val="28"/>
      <w:sz w:val="36"/>
      <w:szCs w:val="36"/>
    </w:rPr>
  </w:style>
  <w:style w:type="paragraph" w:styleId="3">
    <w:name w:val="heading 2"/>
    <w:basedOn w:val="1"/>
    <w:next w:val="1"/>
    <w:link w:val="36"/>
    <w:qFormat/>
    <w:uiPriority w:val="0"/>
    <w:pPr>
      <w:keepNext/>
      <w:keepLines/>
      <w:spacing w:line="360" w:lineRule="auto"/>
      <w:ind w:firstLine="200"/>
      <w:outlineLvl w:val="1"/>
    </w:pPr>
    <w:rPr>
      <w:rFonts w:ascii="Arial" w:hAnsi="Arial" w:eastAsia="Arial" w:cs="Arial"/>
      <w:b/>
      <w:bCs/>
      <w:color w:val="000000"/>
      <w:sz w:val="21"/>
      <w:szCs w:val="21"/>
    </w:rPr>
  </w:style>
  <w:style w:type="paragraph" w:styleId="4">
    <w:name w:val="heading 3"/>
    <w:basedOn w:val="1"/>
    <w:next w:val="1"/>
    <w:link w:val="37"/>
    <w:qFormat/>
    <w:uiPriority w:val="9"/>
    <w:pPr>
      <w:keepNext/>
      <w:keepLines/>
      <w:spacing w:line="416" w:lineRule="auto"/>
      <w:outlineLvl w:val="2"/>
    </w:pPr>
    <w:rPr>
      <w:rFonts w:ascii="Calibri" w:hAnsi="Calibri"/>
      <w:b/>
      <w:bCs/>
      <w:sz w:val="32"/>
      <w:szCs w:val="32"/>
    </w:rPr>
  </w:style>
  <w:style w:type="paragraph" w:styleId="5">
    <w:name w:val="heading 4"/>
    <w:basedOn w:val="1"/>
    <w:next w:val="1"/>
    <w:link w:val="38"/>
    <w:qFormat/>
    <w:uiPriority w:val="99"/>
    <w:pPr>
      <w:widowControl/>
      <w:spacing w:before="100" w:beforeAutospacing="1" w:after="100" w:afterAutospacing="1"/>
      <w:jc w:val="left"/>
      <w:outlineLvl w:val="3"/>
    </w:pPr>
    <w:rPr>
      <w:kern w:val="0"/>
      <w:szCs w:val="20"/>
    </w:rPr>
  </w:style>
  <w:style w:type="character" w:default="1" w:styleId="30">
    <w:name w:val="Default Paragraph Font"/>
    <w:unhideWhenUsed/>
    <w:qFormat/>
    <w:uiPriority w:val="1"/>
  </w:style>
  <w:style w:type="table" w:default="1" w:styleId="28">
    <w:name w:val="Normal Table"/>
    <w:unhideWhenUsed/>
    <w:qFormat/>
    <w:uiPriority w:val="99"/>
    <w:tblPr>
      <w:tblCellMar>
        <w:top w:w="0" w:type="dxa"/>
        <w:left w:w="108" w:type="dxa"/>
        <w:bottom w:w="0" w:type="dxa"/>
        <w:right w:w="108" w:type="dxa"/>
      </w:tblCellMar>
    </w:tblPr>
  </w:style>
  <w:style w:type="paragraph" w:styleId="6">
    <w:name w:val="Normal Indent"/>
    <w:basedOn w:val="1"/>
    <w:next w:val="1"/>
    <w:unhideWhenUsed/>
    <w:qFormat/>
    <w:uiPriority w:val="0"/>
    <w:pPr>
      <w:ind w:firstLine="420" w:firstLineChars="200"/>
    </w:pPr>
    <w:rPr>
      <w:rFonts w:ascii="Times New Roman" w:hAnsi="Times New Roman" w:cs="Times New Roman"/>
      <w:sz w:val="21"/>
      <w:szCs w:val="21"/>
    </w:rPr>
  </w:style>
  <w:style w:type="paragraph" w:styleId="7">
    <w:name w:val="annotation text"/>
    <w:basedOn w:val="1"/>
    <w:link w:val="39"/>
    <w:unhideWhenUsed/>
    <w:qFormat/>
    <w:uiPriority w:val="0"/>
    <w:pPr>
      <w:jc w:val="left"/>
    </w:pPr>
    <w:rPr>
      <w:rFonts w:ascii="Times New Roman" w:hAnsi="Times New Roman" w:cs="Times New Roman"/>
      <w:sz w:val="28"/>
    </w:rPr>
  </w:style>
  <w:style w:type="paragraph" w:styleId="8">
    <w:name w:val="Body Text 3"/>
    <w:basedOn w:val="1"/>
    <w:link w:val="40"/>
    <w:qFormat/>
    <w:uiPriority w:val="99"/>
    <w:pPr>
      <w:spacing w:line="440" w:lineRule="atLeast"/>
      <w:jc w:val="center"/>
    </w:pPr>
    <w:rPr>
      <w:rFonts w:ascii="楷体_GB2312" w:eastAsia="楷体_GB2312"/>
      <w:b/>
      <w:color w:val="000000"/>
      <w:sz w:val="30"/>
    </w:rPr>
  </w:style>
  <w:style w:type="paragraph" w:styleId="9">
    <w:name w:val="Body Text"/>
    <w:basedOn w:val="1"/>
    <w:next w:val="1"/>
    <w:link w:val="41"/>
    <w:unhideWhenUsed/>
    <w:qFormat/>
    <w:uiPriority w:val="0"/>
    <w:pPr>
      <w:spacing w:after="120"/>
    </w:pPr>
  </w:style>
  <w:style w:type="paragraph" w:styleId="10">
    <w:name w:val="Body Text Indent"/>
    <w:basedOn w:val="1"/>
    <w:next w:val="1"/>
    <w:link w:val="42"/>
    <w:qFormat/>
    <w:uiPriority w:val="0"/>
    <w:pPr>
      <w:spacing w:line="200" w:lineRule="atLeast"/>
      <w:ind w:firstLine="301"/>
    </w:pPr>
    <w:rPr>
      <w:rFonts w:hAnsi="Courier New" w:cs="Times New Roman"/>
      <w:spacing w:val="-4"/>
      <w:sz w:val="18"/>
      <w:szCs w:val="20"/>
    </w:rPr>
  </w:style>
  <w:style w:type="paragraph" w:styleId="11">
    <w:name w:val="index 4"/>
    <w:basedOn w:val="1"/>
    <w:next w:val="1"/>
    <w:unhideWhenUsed/>
    <w:qFormat/>
    <w:uiPriority w:val="99"/>
    <w:rPr>
      <w:rFonts w:ascii="Calibri" w:hAnsi="Calibri" w:cs="Times New Roman"/>
      <w:b/>
      <w:szCs w:val="22"/>
      <w:lang w:val="zh-CN"/>
    </w:rPr>
  </w:style>
  <w:style w:type="paragraph" w:styleId="12">
    <w:name w:val="toc 3"/>
    <w:basedOn w:val="1"/>
    <w:next w:val="1"/>
    <w:unhideWhenUsed/>
    <w:qFormat/>
    <w:uiPriority w:val="0"/>
    <w:pPr>
      <w:ind w:left="840" w:leftChars="400"/>
    </w:pPr>
  </w:style>
  <w:style w:type="paragraph" w:styleId="13">
    <w:name w:val="Plain Text"/>
    <w:basedOn w:val="1"/>
    <w:next w:val="9"/>
    <w:link w:val="43"/>
    <w:qFormat/>
    <w:uiPriority w:val="99"/>
    <w:pPr>
      <w:spacing w:beforeLines="50" w:afterLines="50" w:line="400" w:lineRule="atLeast"/>
    </w:pPr>
    <w:rPr>
      <w:rFonts w:hAnsi="Courier New" w:cs="Times New Roman"/>
    </w:rPr>
  </w:style>
  <w:style w:type="paragraph" w:styleId="14">
    <w:name w:val="Date"/>
    <w:basedOn w:val="1"/>
    <w:next w:val="1"/>
    <w:link w:val="44"/>
    <w:qFormat/>
    <w:uiPriority w:val="0"/>
    <w:pPr>
      <w:ind w:left="100" w:leftChars="2500"/>
    </w:pPr>
    <w:rPr>
      <w:szCs w:val="21"/>
      <w:lang w:val="zh-CN"/>
    </w:rPr>
  </w:style>
  <w:style w:type="paragraph" w:styleId="15">
    <w:name w:val="Balloon Text"/>
    <w:basedOn w:val="1"/>
    <w:link w:val="45"/>
    <w:qFormat/>
    <w:uiPriority w:val="0"/>
    <w:rPr>
      <w:rFonts w:cs="Times New Roman"/>
      <w:sz w:val="18"/>
      <w:szCs w:val="18"/>
    </w:rPr>
  </w:style>
  <w:style w:type="paragraph" w:styleId="16">
    <w:name w:val="footer"/>
    <w:basedOn w:val="1"/>
    <w:link w:val="46"/>
    <w:unhideWhenUsed/>
    <w:qFormat/>
    <w:uiPriority w:val="99"/>
    <w:pPr>
      <w:tabs>
        <w:tab w:val="center" w:pos="4153"/>
        <w:tab w:val="right" w:pos="8306"/>
      </w:tabs>
      <w:snapToGrid w:val="0"/>
      <w:jc w:val="left"/>
    </w:pPr>
    <w:rPr>
      <w:sz w:val="18"/>
      <w:szCs w:val="18"/>
    </w:rPr>
  </w:style>
  <w:style w:type="paragraph" w:styleId="17">
    <w:name w:val="envelope return"/>
    <w:basedOn w:val="1"/>
    <w:unhideWhenUsed/>
    <w:qFormat/>
    <w:uiPriority w:val="99"/>
    <w:pPr>
      <w:snapToGrid w:val="0"/>
    </w:pPr>
    <w:rPr>
      <w:rFonts w:ascii="Cambria" w:hAnsi="Cambria" w:cs="Times New Roman"/>
    </w:rPr>
  </w:style>
  <w:style w:type="paragraph" w:styleId="18">
    <w:name w:val="header"/>
    <w:basedOn w:val="1"/>
    <w:link w:val="47"/>
    <w:unhideWhenUsed/>
    <w:qFormat/>
    <w:uiPriority w:val="99"/>
    <w:pPr>
      <w:tabs>
        <w:tab w:val="center" w:pos="4153"/>
        <w:tab w:val="right" w:pos="8306"/>
      </w:tabs>
      <w:snapToGrid w:val="0"/>
      <w:jc w:val="center"/>
    </w:pPr>
    <w:rPr>
      <w:sz w:val="18"/>
      <w:szCs w:val="18"/>
    </w:rPr>
  </w:style>
  <w:style w:type="paragraph" w:styleId="19">
    <w:name w:val="toc 1"/>
    <w:basedOn w:val="1"/>
    <w:next w:val="1"/>
    <w:unhideWhenUsed/>
    <w:qFormat/>
    <w:uiPriority w:val="0"/>
  </w:style>
  <w:style w:type="paragraph" w:styleId="20">
    <w:name w:val="toc 6"/>
    <w:basedOn w:val="1"/>
    <w:next w:val="1"/>
    <w:unhideWhenUsed/>
    <w:qFormat/>
    <w:uiPriority w:val="39"/>
    <w:rPr>
      <w:rFonts w:ascii="Calibri" w:hAnsi="Calibri"/>
      <w:sz w:val="22"/>
      <w:szCs w:val="22"/>
    </w:rPr>
  </w:style>
  <w:style w:type="paragraph" w:styleId="21">
    <w:name w:val="toc 2"/>
    <w:basedOn w:val="1"/>
    <w:next w:val="1"/>
    <w:unhideWhenUsed/>
    <w:qFormat/>
    <w:uiPriority w:val="0"/>
    <w:pPr>
      <w:ind w:left="420" w:leftChars="200"/>
    </w:pPr>
  </w:style>
  <w:style w:type="paragraph" w:styleId="22">
    <w:name w:val="Body Text 2"/>
    <w:basedOn w:val="1"/>
    <w:link w:val="48"/>
    <w:qFormat/>
    <w:uiPriority w:val="0"/>
    <w:pPr>
      <w:spacing w:after="120" w:line="480" w:lineRule="auto"/>
    </w:pPr>
  </w:style>
  <w:style w:type="paragraph" w:styleId="23">
    <w:name w:val="Normal (Web)"/>
    <w:basedOn w:val="1"/>
    <w:unhideWhenUsed/>
    <w:qFormat/>
    <w:uiPriority w:val="0"/>
    <w:pPr>
      <w:widowControl/>
      <w:spacing w:before="100" w:beforeAutospacing="1" w:after="100" w:afterAutospacing="1"/>
      <w:jc w:val="left"/>
    </w:pPr>
    <w:rPr>
      <w:kern w:val="0"/>
    </w:rPr>
  </w:style>
  <w:style w:type="paragraph" w:styleId="24">
    <w:name w:val="Title"/>
    <w:basedOn w:val="1"/>
    <w:next w:val="1"/>
    <w:link w:val="49"/>
    <w:qFormat/>
    <w:uiPriority w:val="0"/>
    <w:pPr>
      <w:tabs>
        <w:tab w:val="left" w:pos="1200"/>
      </w:tabs>
      <w:spacing w:after="624" w:afterLines="200"/>
      <w:ind w:left="1440" w:hanging="720"/>
      <w:jc w:val="center"/>
    </w:pPr>
    <w:rPr>
      <w:b/>
      <w:bCs/>
      <w:spacing w:val="60"/>
      <w:sz w:val="32"/>
    </w:rPr>
  </w:style>
  <w:style w:type="paragraph" w:styleId="25">
    <w:name w:val="annotation subject"/>
    <w:basedOn w:val="7"/>
    <w:next w:val="7"/>
    <w:link w:val="50"/>
    <w:unhideWhenUsed/>
    <w:qFormat/>
    <w:uiPriority w:val="0"/>
    <w:rPr>
      <w:rFonts w:ascii="宋体" w:hAnsi="宋体"/>
      <w:b/>
      <w:bCs/>
      <w:sz w:val="24"/>
    </w:rPr>
  </w:style>
  <w:style w:type="paragraph" w:styleId="26">
    <w:name w:val="Body Text First Indent"/>
    <w:basedOn w:val="9"/>
    <w:link w:val="51"/>
    <w:unhideWhenUsed/>
    <w:qFormat/>
    <w:uiPriority w:val="99"/>
    <w:pPr>
      <w:widowControl/>
      <w:ind w:firstLine="420" w:firstLineChars="100"/>
      <w:jc w:val="left"/>
    </w:pPr>
  </w:style>
  <w:style w:type="paragraph" w:styleId="27">
    <w:name w:val="Body Text First Indent 2"/>
    <w:basedOn w:val="10"/>
    <w:link w:val="52"/>
    <w:unhideWhenUsed/>
    <w:qFormat/>
    <w:uiPriority w:val="99"/>
    <w:pPr>
      <w:ind w:firstLine="420"/>
    </w:pPr>
  </w:style>
  <w:style w:type="table" w:styleId="29">
    <w:name w:val="Table Grid"/>
    <w:basedOn w:val="2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qFormat/>
    <w:uiPriority w:val="0"/>
    <w:rPr>
      <w:rFonts w:ascii="Arial" w:hAnsi="Arial" w:eastAsia="黑体" w:cs="Arial"/>
      <w:snapToGrid w:val="0"/>
      <w:kern w:val="0"/>
      <w:szCs w:val="21"/>
    </w:rPr>
  </w:style>
  <w:style w:type="character" w:styleId="32">
    <w:name w:val="Hyperlink"/>
    <w:unhideWhenUsed/>
    <w:qFormat/>
    <w:uiPriority w:val="99"/>
    <w:rPr>
      <w:color w:val="0000FF"/>
      <w:u w:val="single"/>
    </w:rPr>
  </w:style>
  <w:style w:type="character" w:styleId="33">
    <w:name w:val="annotation reference"/>
    <w:unhideWhenUsed/>
    <w:qFormat/>
    <w:uiPriority w:val="99"/>
    <w:rPr>
      <w:sz w:val="21"/>
      <w:szCs w:val="21"/>
    </w:rPr>
  </w:style>
  <w:style w:type="character" w:styleId="34">
    <w:name w:val="HTML Sample"/>
    <w:unhideWhenUsed/>
    <w:qFormat/>
    <w:uiPriority w:val="0"/>
    <w:rPr>
      <w:rFonts w:ascii="Courier New" w:hAnsi="Courier New"/>
    </w:rPr>
  </w:style>
  <w:style w:type="character" w:customStyle="1" w:styleId="35">
    <w:name w:val="标题 1 字符"/>
    <w:link w:val="2"/>
    <w:qFormat/>
    <w:uiPriority w:val="0"/>
    <w:rPr>
      <w:rFonts w:ascii="Times New Roman" w:hAnsi="Times New Roman" w:eastAsia="宋体" w:cs="Times New Roman"/>
      <w:b/>
      <w:vanish/>
      <w:color w:val="000000"/>
      <w:kern w:val="28"/>
      <w:sz w:val="36"/>
      <w:szCs w:val="36"/>
    </w:rPr>
  </w:style>
  <w:style w:type="character" w:customStyle="1" w:styleId="36">
    <w:name w:val="标题 2 字符"/>
    <w:link w:val="3"/>
    <w:qFormat/>
    <w:uiPriority w:val="0"/>
    <w:rPr>
      <w:rFonts w:ascii="Arial" w:hAnsi="Arial" w:eastAsia="Arial" w:cs="Arial"/>
      <w:b/>
      <w:bCs/>
      <w:color w:val="000000"/>
      <w:szCs w:val="21"/>
    </w:rPr>
  </w:style>
  <w:style w:type="character" w:customStyle="1" w:styleId="37">
    <w:name w:val="标题 3 字符"/>
    <w:link w:val="4"/>
    <w:qFormat/>
    <w:uiPriority w:val="9"/>
    <w:rPr>
      <w:rFonts w:ascii="Calibri" w:hAnsi="Calibri" w:eastAsia="宋体" w:cs="宋体"/>
      <w:b/>
      <w:bCs/>
      <w:sz w:val="32"/>
      <w:szCs w:val="32"/>
    </w:rPr>
  </w:style>
  <w:style w:type="character" w:customStyle="1" w:styleId="38">
    <w:name w:val="标题 4 字符"/>
    <w:link w:val="5"/>
    <w:qFormat/>
    <w:uiPriority w:val="99"/>
    <w:rPr>
      <w:rFonts w:ascii="宋体" w:hAnsi="宋体" w:eastAsia="宋体" w:cs="宋体"/>
      <w:kern w:val="0"/>
      <w:sz w:val="24"/>
      <w:szCs w:val="20"/>
    </w:rPr>
  </w:style>
  <w:style w:type="character" w:customStyle="1" w:styleId="39">
    <w:name w:val="批注文字 字符"/>
    <w:link w:val="7"/>
    <w:qFormat/>
    <w:uiPriority w:val="99"/>
    <w:rPr>
      <w:rFonts w:ascii="Times New Roman" w:hAnsi="Times New Roman" w:eastAsia="宋体" w:cs="Times New Roman"/>
      <w:sz w:val="28"/>
      <w:szCs w:val="24"/>
    </w:rPr>
  </w:style>
  <w:style w:type="character" w:customStyle="1" w:styleId="40">
    <w:name w:val="正文文本 3 字符"/>
    <w:link w:val="8"/>
    <w:qFormat/>
    <w:uiPriority w:val="99"/>
    <w:rPr>
      <w:rFonts w:ascii="楷体_GB2312" w:hAnsi="宋体" w:eastAsia="楷体_GB2312" w:cs="宋体"/>
      <w:b/>
      <w:color w:val="000000"/>
      <w:sz w:val="30"/>
      <w:szCs w:val="24"/>
    </w:rPr>
  </w:style>
  <w:style w:type="character" w:customStyle="1" w:styleId="41">
    <w:name w:val="正文文本 字符"/>
    <w:link w:val="9"/>
    <w:qFormat/>
    <w:uiPriority w:val="0"/>
    <w:rPr>
      <w:rFonts w:ascii="宋体" w:hAnsi="宋体" w:eastAsia="宋体" w:cs="宋体"/>
      <w:sz w:val="24"/>
      <w:szCs w:val="24"/>
    </w:rPr>
  </w:style>
  <w:style w:type="character" w:customStyle="1" w:styleId="42">
    <w:name w:val="正文文本缩进 字符1"/>
    <w:link w:val="10"/>
    <w:qFormat/>
    <w:uiPriority w:val="0"/>
    <w:rPr>
      <w:rFonts w:ascii="宋体" w:hAnsi="Courier New" w:eastAsia="宋体" w:cs="Times New Roman"/>
      <w:spacing w:val="-4"/>
      <w:sz w:val="18"/>
      <w:szCs w:val="20"/>
    </w:rPr>
  </w:style>
  <w:style w:type="character" w:customStyle="1" w:styleId="43">
    <w:name w:val="纯文本 字符1"/>
    <w:link w:val="13"/>
    <w:qFormat/>
    <w:uiPriority w:val="99"/>
    <w:rPr>
      <w:rFonts w:ascii="宋体" w:hAnsi="Courier New" w:eastAsia="宋体" w:cs="Times New Roman"/>
      <w:sz w:val="24"/>
      <w:szCs w:val="24"/>
    </w:rPr>
  </w:style>
  <w:style w:type="character" w:customStyle="1" w:styleId="44">
    <w:name w:val="日期 字符"/>
    <w:link w:val="14"/>
    <w:qFormat/>
    <w:uiPriority w:val="0"/>
    <w:rPr>
      <w:rFonts w:ascii="宋体" w:hAnsi="宋体" w:eastAsia="宋体" w:cs="宋体"/>
      <w:sz w:val="24"/>
      <w:szCs w:val="21"/>
      <w:lang w:val="zh-CN"/>
    </w:rPr>
  </w:style>
  <w:style w:type="character" w:customStyle="1" w:styleId="45">
    <w:name w:val="批注框文本 字符"/>
    <w:link w:val="15"/>
    <w:qFormat/>
    <w:uiPriority w:val="0"/>
    <w:rPr>
      <w:rFonts w:ascii="宋体" w:hAnsi="宋体" w:eastAsia="宋体" w:cs="Times New Roman"/>
      <w:sz w:val="18"/>
      <w:szCs w:val="18"/>
    </w:rPr>
  </w:style>
  <w:style w:type="character" w:customStyle="1" w:styleId="46">
    <w:name w:val="页脚 字符"/>
    <w:link w:val="16"/>
    <w:qFormat/>
    <w:uiPriority w:val="99"/>
    <w:rPr>
      <w:sz w:val="18"/>
      <w:szCs w:val="18"/>
    </w:rPr>
  </w:style>
  <w:style w:type="character" w:customStyle="1" w:styleId="47">
    <w:name w:val="页眉 字符"/>
    <w:link w:val="18"/>
    <w:qFormat/>
    <w:uiPriority w:val="99"/>
    <w:rPr>
      <w:sz w:val="18"/>
      <w:szCs w:val="18"/>
    </w:rPr>
  </w:style>
  <w:style w:type="character" w:customStyle="1" w:styleId="48">
    <w:name w:val="正文文本 2 字符"/>
    <w:link w:val="22"/>
    <w:qFormat/>
    <w:uiPriority w:val="0"/>
    <w:rPr>
      <w:rFonts w:ascii="宋体" w:hAnsi="宋体" w:eastAsia="宋体" w:cs="宋体"/>
      <w:sz w:val="24"/>
      <w:szCs w:val="24"/>
    </w:rPr>
  </w:style>
  <w:style w:type="character" w:customStyle="1" w:styleId="49">
    <w:name w:val="标题 字符"/>
    <w:link w:val="24"/>
    <w:qFormat/>
    <w:uiPriority w:val="0"/>
    <w:rPr>
      <w:rFonts w:ascii="宋体" w:hAnsi="宋体" w:eastAsia="宋体" w:cs="宋体"/>
      <w:b/>
      <w:bCs/>
      <w:spacing w:val="60"/>
      <w:sz w:val="32"/>
      <w:szCs w:val="24"/>
    </w:rPr>
  </w:style>
  <w:style w:type="character" w:customStyle="1" w:styleId="50">
    <w:name w:val="批注主题 字符"/>
    <w:link w:val="25"/>
    <w:qFormat/>
    <w:uiPriority w:val="0"/>
    <w:rPr>
      <w:rFonts w:ascii="宋体" w:hAnsi="宋体" w:eastAsia="宋体" w:cs="Times New Roman"/>
      <w:b/>
      <w:bCs/>
      <w:sz w:val="24"/>
      <w:szCs w:val="24"/>
    </w:rPr>
  </w:style>
  <w:style w:type="character" w:customStyle="1" w:styleId="51">
    <w:name w:val="正文文本首行缩进 字符"/>
    <w:link w:val="26"/>
    <w:qFormat/>
    <w:uiPriority w:val="99"/>
    <w:rPr>
      <w:rFonts w:ascii="宋体" w:hAnsi="宋体" w:eastAsia="宋体" w:cs="宋体"/>
      <w:sz w:val="24"/>
      <w:szCs w:val="24"/>
    </w:rPr>
  </w:style>
  <w:style w:type="character" w:customStyle="1" w:styleId="52">
    <w:name w:val="正文文本首行缩进 2 字符"/>
    <w:link w:val="27"/>
    <w:qFormat/>
    <w:uiPriority w:val="99"/>
    <w:rPr>
      <w:rFonts w:ascii="宋体" w:hAnsi="Courier New" w:eastAsia="宋体" w:cs="Times New Roman"/>
      <w:spacing w:val="-4"/>
      <w:sz w:val="18"/>
      <w:szCs w:val="20"/>
    </w:rPr>
  </w:style>
  <w:style w:type="paragraph" w:customStyle="1" w:styleId="53">
    <w:name w:val="Default"/>
    <w:next w:val="5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55">
    <w:name w:val="正文文本缩进 字符"/>
    <w:qFormat/>
    <w:uiPriority w:val="0"/>
    <w:rPr>
      <w:rFonts w:ascii="宋体" w:hAnsi="宋体" w:eastAsia="宋体" w:cs="宋体"/>
      <w:sz w:val="24"/>
      <w:szCs w:val="24"/>
    </w:rPr>
  </w:style>
  <w:style w:type="character" w:customStyle="1" w:styleId="56">
    <w:name w:val="纯文本 字符"/>
    <w:qFormat/>
    <w:uiPriority w:val="0"/>
    <w:rPr>
      <w:rFonts w:ascii="等线" w:hAnsi="Courier New" w:cs="Courier New"/>
      <w:sz w:val="24"/>
      <w:szCs w:val="24"/>
    </w:rPr>
  </w:style>
  <w:style w:type="character" w:customStyle="1" w:styleId="57">
    <w:name w:val="16"/>
    <w:qFormat/>
    <w:uiPriority w:val="0"/>
    <w:rPr>
      <w:rFonts w:hint="default" w:ascii="Times New Roman" w:hAnsi="Times New Roman" w:cs="Times New Roman"/>
    </w:rPr>
  </w:style>
  <w:style w:type="character" w:customStyle="1" w:styleId="58">
    <w:name w:val="正文文本缩进 字符2"/>
    <w:qFormat/>
    <w:uiPriority w:val="0"/>
    <w:rPr>
      <w:rFonts w:ascii="宋体" w:hAnsi="Courier New"/>
      <w:spacing w:val="-4"/>
      <w:kern w:val="2"/>
      <w:sz w:val="18"/>
    </w:rPr>
  </w:style>
  <w:style w:type="character" w:customStyle="1" w:styleId="59">
    <w:name w:val="font31"/>
    <w:qFormat/>
    <w:uiPriority w:val="0"/>
    <w:rPr>
      <w:rFonts w:hint="default" w:ascii="Arial" w:hAnsi="Arial" w:cs="Arial"/>
      <w:color w:val="000000"/>
      <w:sz w:val="20"/>
      <w:szCs w:val="20"/>
      <w:u w:val="none"/>
    </w:rPr>
  </w:style>
  <w:style w:type="character" w:customStyle="1" w:styleId="60">
    <w:name w:val="font41"/>
    <w:qFormat/>
    <w:uiPriority w:val="0"/>
    <w:rPr>
      <w:rFonts w:hint="eastAsia" w:ascii="宋体" w:hAnsi="宋体" w:eastAsia="宋体" w:cs="宋体"/>
      <w:color w:val="000000"/>
      <w:sz w:val="24"/>
      <w:szCs w:val="24"/>
      <w:u w:val="none"/>
    </w:rPr>
  </w:style>
  <w:style w:type="character" w:customStyle="1" w:styleId="61">
    <w:name w:val="未处理的提及1"/>
    <w:unhideWhenUsed/>
    <w:qFormat/>
    <w:uiPriority w:val="99"/>
    <w:rPr>
      <w:color w:val="605E5C"/>
      <w:shd w:val="clear" w:color="auto" w:fill="E1DFDD"/>
    </w:rPr>
  </w:style>
  <w:style w:type="character" w:customStyle="1" w:styleId="62">
    <w:name w:val="15"/>
    <w:qFormat/>
    <w:uiPriority w:val="0"/>
    <w:rPr>
      <w:rFonts w:hint="default" w:ascii="Times New Roman" w:hAnsi="Times New Roman" w:cs="Times New Roman"/>
    </w:rPr>
  </w:style>
  <w:style w:type="paragraph" w:customStyle="1" w:styleId="6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自定义正文"/>
    <w:basedOn w:val="1"/>
    <w:qFormat/>
    <w:uiPriority w:val="0"/>
    <w:pPr>
      <w:spacing w:after="156" w:afterLines="50" w:line="360" w:lineRule="auto"/>
      <w:ind w:firstLine="200" w:firstLineChars="200"/>
      <w:jc w:val="left"/>
    </w:pPr>
    <w:rPr>
      <w:rFonts w:ascii="Times New Roman" w:hAnsi="Times New Roman" w:cs="Times New Roman"/>
    </w:rPr>
  </w:style>
  <w:style w:type="paragraph" w:customStyle="1" w:styleId="65">
    <w:name w:val="样式 小四 行距: 1.5 倍行距 首行缩进: 2 字符"/>
    <w:basedOn w:val="1"/>
    <w:qFormat/>
    <w:uiPriority w:val="0"/>
    <w:pPr>
      <w:spacing w:line="360" w:lineRule="auto"/>
      <w:ind w:firstLine="480" w:firstLineChars="200"/>
    </w:pPr>
    <w:rPr>
      <w:rFonts w:ascii="Times New Roman" w:hAnsi="Times New Roman" w:cs="Times New Roman"/>
    </w:rPr>
  </w:style>
  <w:style w:type="paragraph" w:customStyle="1" w:styleId="66">
    <w:name w:val="左对齐正文"/>
    <w:qFormat/>
    <w:uiPriority w:val="99"/>
    <w:rPr>
      <w:rFonts w:ascii="Calibri" w:hAnsi="Calibri" w:eastAsia="仿宋_GB2312" w:cs="Calibri"/>
      <w:kern w:val="2"/>
      <w:sz w:val="32"/>
      <w:szCs w:val="32"/>
      <w:lang w:val="en-US" w:eastAsia="zh-CN" w:bidi="ar-SA"/>
    </w:rPr>
  </w:style>
  <w:style w:type="paragraph" w:customStyle="1" w:styleId="67">
    <w:name w:val="无间隔1"/>
    <w:qFormat/>
    <w:uiPriority w:val="0"/>
    <w:rPr>
      <w:rFonts w:ascii="Times New Roman" w:hAnsi="Times New Roman" w:eastAsia="宋体" w:cs="Times New Roman"/>
      <w:sz w:val="22"/>
      <w:szCs w:val="22"/>
      <w:lang w:val="en-US" w:eastAsia="en-US" w:bidi="ar-SA"/>
    </w:rPr>
  </w:style>
  <w:style w:type="paragraph" w:customStyle="1" w:styleId="68">
    <w:name w:val="纯文本_0_0"/>
    <w:basedOn w:val="63"/>
    <w:qFormat/>
    <w:uiPriority w:val="0"/>
    <w:rPr>
      <w:rFonts w:ascii="宋体" w:hAnsi="Courier New"/>
      <w:szCs w:val="21"/>
    </w:rPr>
  </w:style>
  <w:style w:type="paragraph" w:customStyle="1" w:styleId="69">
    <w:name w:val="样式1"/>
    <w:basedOn w:val="1"/>
    <w:qFormat/>
    <w:uiPriority w:val="0"/>
    <w:pPr>
      <w:spacing w:line="360" w:lineRule="exact"/>
      <w:ind w:firstLine="200" w:firstLineChars="200"/>
    </w:pPr>
    <w:rPr>
      <w:rFonts w:ascii="Arial" w:hAnsi="Arial"/>
      <w:szCs w:val="20"/>
    </w:rPr>
  </w:style>
  <w:style w:type="paragraph" w:customStyle="1" w:styleId="70">
    <w:name w:val="正文 A"/>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 w:type="paragraph" w:customStyle="1" w:styleId="71">
    <w:name w:val="WPSOffice手动目录 1"/>
    <w:qFormat/>
    <w:uiPriority w:val="0"/>
    <w:rPr>
      <w:rFonts w:ascii="Times New Roman" w:hAnsi="Times New Roman" w:eastAsia="宋体" w:cs="Times New Roman"/>
      <w:lang w:val="en-US" w:eastAsia="zh-CN" w:bidi="ar-SA"/>
    </w:rPr>
  </w:style>
  <w:style w:type="paragraph" w:customStyle="1" w:styleId="72">
    <w:name w:val="首行缩进"/>
    <w:basedOn w:val="1"/>
    <w:qFormat/>
    <w:uiPriority w:val="0"/>
    <w:pPr>
      <w:spacing w:line="360" w:lineRule="auto"/>
      <w:ind w:firstLine="480" w:firstLineChars="200"/>
    </w:pPr>
  </w:style>
  <w:style w:type="paragraph" w:customStyle="1" w:styleId="7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4">
    <w:name w:val="表格文字"/>
    <w:basedOn w:val="1"/>
    <w:next w:val="9"/>
    <w:qFormat/>
    <w:uiPriority w:val="99"/>
    <w:pPr>
      <w:spacing w:line="420" w:lineRule="atLeast"/>
      <w:textAlignment w:val="baseline"/>
    </w:pPr>
    <w:rPr>
      <w:rFonts w:ascii="Calibri" w:hAnsi="Calibri"/>
    </w:rPr>
  </w:style>
  <w:style w:type="paragraph" w:customStyle="1" w:styleId="7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6">
    <w:name w:val="样式 正文缩进 + 首行缩进: 2 字符"/>
    <w:qFormat/>
    <w:uiPriority w:val="0"/>
    <w:pPr>
      <w:spacing w:line="360" w:lineRule="auto"/>
      <w:ind w:firstLine="200"/>
    </w:pPr>
    <w:rPr>
      <w:rFonts w:ascii="Times New Roman" w:hAnsi="Times New Roman" w:eastAsia="仿宋" w:cs="Times New Roman"/>
      <w:sz w:val="24"/>
      <w:szCs w:val="24"/>
      <w:lang w:val="en-US" w:eastAsia="zh-CN" w:bidi="ar-SA"/>
    </w:rPr>
  </w:style>
  <w:style w:type="paragraph" w:customStyle="1" w:styleId="77">
    <w:name w:val="_Style 1"/>
    <w:qFormat/>
    <w:uiPriority w:val="0"/>
    <w:rPr>
      <w:rFonts w:ascii="Calibri" w:hAnsi="Calibri" w:eastAsia="宋体" w:cs="Times New Roman"/>
      <w:kern w:val="2"/>
      <w:sz w:val="28"/>
      <w:szCs w:val="22"/>
      <w:lang w:val="en-US" w:eastAsia="zh-CN" w:bidi="ar-SA"/>
    </w:rPr>
  </w:style>
  <w:style w:type="paragraph" w:customStyle="1" w:styleId="78">
    <w:name w:val="修订1"/>
    <w:semiHidden/>
    <w:qFormat/>
    <w:uiPriority w:val="99"/>
    <w:rPr>
      <w:rFonts w:ascii="宋体" w:hAnsi="宋体" w:eastAsia="宋体" w:cs="宋体"/>
      <w:kern w:val="2"/>
      <w:sz w:val="24"/>
      <w:szCs w:val="24"/>
      <w:lang w:val="en-US" w:eastAsia="zh-CN" w:bidi="ar-SA"/>
    </w:rPr>
  </w:style>
  <w:style w:type="paragraph" w:customStyle="1" w:styleId="79">
    <w:name w:val="列表段落1"/>
    <w:basedOn w:val="1"/>
    <w:qFormat/>
    <w:uiPriority w:val="0"/>
    <w:pPr>
      <w:ind w:firstLine="420" w:firstLineChars="200"/>
    </w:pPr>
    <w:rPr>
      <w:rFonts w:ascii="Calibri" w:hAnsi="Calibri" w:cs="Times New Roman"/>
      <w:sz w:val="21"/>
      <w:szCs w:val="21"/>
    </w:rPr>
  </w:style>
  <w:style w:type="paragraph" w:customStyle="1" w:styleId="80">
    <w:name w:val="正文空2字"/>
    <w:basedOn w:val="6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列出段落1"/>
    <w:basedOn w:val="1"/>
    <w:qFormat/>
    <w:uiPriority w:val="99"/>
    <w:pPr>
      <w:ind w:firstLine="420" w:firstLineChars="200"/>
    </w:pPr>
  </w:style>
  <w:style w:type="paragraph" w:customStyle="1" w:styleId="82">
    <w:name w:val="正文2"/>
    <w:basedOn w:val="1"/>
    <w:qFormat/>
    <w:uiPriority w:val="0"/>
    <w:pPr>
      <w:spacing w:before="156" w:line="360" w:lineRule="auto"/>
      <w:ind w:firstLine="200" w:firstLineChars="200"/>
    </w:pPr>
    <w:rPr>
      <w:rFonts w:eastAsia="??"/>
      <w:szCs w:val="28"/>
    </w:rPr>
  </w:style>
  <w:style w:type="paragraph" w:customStyle="1" w:styleId="83">
    <w:name w:val="修订2"/>
    <w:unhideWhenUsed/>
    <w:qFormat/>
    <w:uiPriority w:val="99"/>
    <w:rPr>
      <w:rFonts w:ascii="宋体" w:hAnsi="宋体" w:eastAsia="宋体" w:cs="宋体"/>
      <w:kern w:val="2"/>
      <w:sz w:val="24"/>
      <w:szCs w:val="24"/>
      <w:lang w:val="en-US" w:eastAsia="zh-CN" w:bidi="ar-SA"/>
    </w:rPr>
  </w:style>
  <w:style w:type="paragraph" w:customStyle="1" w:styleId="8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85">
    <w:name w:val="未处理的提及2"/>
    <w:unhideWhenUsed/>
    <w:qFormat/>
    <w:uiPriority w:val="99"/>
    <w:rPr>
      <w:color w:val="605E5C"/>
      <w:shd w:val="clear" w:color="auto" w:fill="E1DFDD"/>
    </w:rPr>
  </w:style>
  <w:style w:type="paragraph" w:customStyle="1" w:styleId="86">
    <w:name w:val="正文首行缩进两字"/>
    <w:qFormat/>
    <w:uiPriority w:val="99"/>
    <w:pPr>
      <w:spacing w:line="360" w:lineRule="auto"/>
    </w:pPr>
    <w:rPr>
      <w:rFonts w:ascii="Times New Roman" w:hAnsi="Times New Roman" w:eastAsia="宋体" w:cs="Times New Roman"/>
      <w:color w:val="000000"/>
      <w:sz w:val="24"/>
      <w:szCs w:val="24"/>
      <w:lang w:val="en-US" w:eastAsia="zh-CN" w:bidi="ar-SA"/>
    </w:rPr>
  </w:style>
  <w:style w:type="paragraph" w:customStyle="1" w:styleId="87">
    <w:name w:val="修订3"/>
    <w:unhideWhenUsed/>
    <w:qFormat/>
    <w:uiPriority w:val="99"/>
    <w:rPr>
      <w:rFonts w:ascii="宋体" w:hAnsi="宋体" w:eastAsia="宋体" w:cs="宋体"/>
      <w:kern w:val="2"/>
      <w:sz w:val="24"/>
      <w:szCs w:val="24"/>
      <w:lang w:val="en-US" w:eastAsia="zh-CN" w:bidi="ar-SA"/>
    </w:rPr>
  </w:style>
  <w:style w:type="paragraph" w:customStyle="1" w:styleId="88">
    <w:name w:val="21bc9c4b-6a32-43e5-beaa-fd2d792c5735"/>
    <w:basedOn w:val="2"/>
    <w:next w:val="89"/>
    <w:link w:val="90"/>
    <w:qFormat/>
    <w:uiPriority w:val="0"/>
    <w:pPr>
      <w:keepNext w:val="0"/>
      <w:widowControl/>
      <w:overflowPunct/>
      <w:autoSpaceDE/>
      <w:autoSpaceDN/>
      <w:snapToGrid/>
      <w:spacing w:before="0" w:after="0" w:line="288" w:lineRule="auto"/>
      <w:ind w:firstLine="0"/>
      <w:jc w:val="left"/>
      <w:textAlignment w:val="auto"/>
    </w:pPr>
    <w:rPr>
      <w:rFonts w:ascii="微软雅黑" w:hAnsi="微软雅黑" w:eastAsia="微软雅黑"/>
      <w:bCs/>
      <w:vanish w:val="0"/>
      <w:kern w:val="44"/>
      <w:sz w:val="32"/>
      <w:szCs w:val="48"/>
    </w:rPr>
  </w:style>
  <w:style w:type="paragraph" w:customStyle="1" w:styleId="89">
    <w:name w:val="acbfdd8b-e11b-4d36-88ff-6049b138f862"/>
    <w:basedOn w:val="1"/>
    <w:link w:val="91"/>
    <w:qFormat/>
    <w:uiPriority w:val="0"/>
    <w:pPr>
      <w:widowControl/>
      <w:adjustRightInd w:val="0"/>
      <w:spacing w:line="288" w:lineRule="auto"/>
      <w:jc w:val="left"/>
    </w:pPr>
    <w:rPr>
      <w:rFonts w:ascii="微软雅黑" w:hAnsi="微软雅黑" w:eastAsia="微软雅黑" w:cs="Times New Roman"/>
      <w:color w:val="000000"/>
      <w:kern w:val="44"/>
      <w:sz w:val="22"/>
    </w:rPr>
  </w:style>
  <w:style w:type="character" w:customStyle="1" w:styleId="90">
    <w:name w:val="21bc9c4b-6a32-43e5-beaa-fd2d792c5735 字符"/>
    <w:link w:val="88"/>
    <w:qFormat/>
    <w:uiPriority w:val="0"/>
    <w:rPr>
      <w:rFonts w:ascii="微软雅黑" w:hAnsi="微软雅黑" w:eastAsia="微软雅黑" w:cs="Times New Roman"/>
      <w:bCs/>
      <w:color w:val="000000"/>
      <w:kern w:val="44"/>
      <w:sz w:val="32"/>
      <w:szCs w:val="48"/>
    </w:rPr>
  </w:style>
  <w:style w:type="character" w:customStyle="1" w:styleId="91">
    <w:name w:val="acbfdd8b-e11b-4d36-88ff-6049b138f862 字符"/>
    <w:link w:val="89"/>
    <w:qFormat/>
    <w:uiPriority w:val="0"/>
    <w:rPr>
      <w:rFonts w:ascii="微软雅黑" w:hAnsi="微软雅黑" w:eastAsia="微软雅黑" w:cs="Times New Roman"/>
      <w:color w:val="000000"/>
      <w:kern w:val="44"/>
      <w:sz w:val="22"/>
      <w:szCs w:val="24"/>
    </w:rPr>
  </w:style>
  <w:style w:type="paragraph" w:customStyle="1" w:styleId="92">
    <w:name w:val="修订4"/>
    <w:unhideWhenUsed/>
    <w:qFormat/>
    <w:uiPriority w:val="99"/>
    <w:rPr>
      <w:rFonts w:ascii="宋体" w:hAnsi="宋体" w:eastAsia="宋体" w:cs="宋体"/>
      <w:kern w:val="2"/>
      <w:sz w:val="24"/>
      <w:szCs w:val="24"/>
      <w:lang w:val="en-US" w:eastAsia="zh-CN" w:bidi="ar-SA"/>
    </w:rPr>
  </w:style>
  <w:style w:type="paragraph" w:customStyle="1" w:styleId="93">
    <w:name w:val="Revision"/>
    <w:unhideWhenUsed/>
    <w:qFormat/>
    <w:uiPriority w:val="99"/>
    <w:rPr>
      <w:rFonts w:ascii="宋体" w:hAnsi="宋体" w:eastAsia="宋体" w:cs="宋体"/>
      <w:kern w:val="2"/>
      <w:sz w:val="24"/>
      <w:szCs w:val="24"/>
      <w:lang w:val="en-US" w:eastAsia="zh-CN" w:bidi="ar-SA"/>
    </w:rPr>
  </w:style>
  <w:style w:type="paragraph" w:customStyle="1" w:styleId="94">
    <w:name w:val="_Style 93"/>
    <w:unhideWhenUsed/>
    <w:qFormat/>
    <w:uiPriority w:val="99"/>
    <w:rPr>
      <w:rFonts w:ascii="宋体" w:hAnsi="宋体" w:eastAsia="宋体" w:cs="宋体"/>
      <w:kern w:val="2"/>
      <w:sz w:val="24"/>
      <w:szCs w:val="24"/>
      <w:lang w:val="en-US" w:eastAsia="zh-CN" w:bidi="ar-SA"/>
    </w:rPr>
  </w:style>
  <w:style w:type="paragraph" w:styleId="9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GYDN</Company>
  <Pages>67</Pages>
  <Words>26254</Words>
  <Characters>27664</Characters>
  <Lines>1730</Lines>
  <Paragraphs>1697</Paragraphs>
  <TotalTime>89</TotalTime>
  <ScaleCrop>false</ScaleCrop>
  <LinksUpToDate>false</LinksUpToDate>
  <CharactersWithSpaces>27855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2025-04-30T11:30:00Z</dcterms:created>
  <dc:creator>CS ZZ</dc:creator>
  <cp:lastModifiedBy>Janove</cp:lastModifiedBy>
  <dcterms:modified xsi:type="dcterms:W3CDTF">2025-07-07T09:56:30Z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505EC0D4FB4F4DDAABDA2A51DC94D993_13</vt:lpwstr>
  </property>
  <property fmtid="{D5CDD505-2E9C-101B-9397-08002B2CF9AE}" pid="4" name="KSOTemplateDocerSaveRecord">
    <vt:lpwstr>eyJoZGlkIjoiMTcwNGYyYzk4MDdkZWI2YjNiMjQwYzk5YTY2NDhiZTYiLCJ1c2VySWQiOiI1Mjk4OTIxMzEifQ==</vt:lpwstr>
  </property>
</Properties>
</file>