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1AF01">
      <w:pPr>
        <w:spacing w:line="360" w:lineRule="auto"/>
        <w:jc w:val="center"/>
        <w:rPr>
          <w:rFonts w:ascii="宋体" w:hAnsi="宋体" w:cs="宋体"/>
          <w:b/>
          <w:color w:val="auto"/>
          <w:sz w:val="24"/>
          <w:highlight w:val="none"/>
        </w:rPr>
      </w:pPr>
    </w:p>
    <w:p w14:paraId="4511C468">
      <w:pPr>
        <w:adjustRightInd/>
        <w:spacing w:line="360" w:lineRule="auto"/>
        <w:jc w:val="center"/>
        <w:rPr>
          <w:rFonts w:ascii="宋体" w:hAnsi="宋体" w:cs="宋体"/>
          <w:b/>
          <w:color w:val="auto"/>
          <w:sz w:val="44"/>
          <w:szCs w:val="44"/>
          <w:highlight w:val="none"/>
        </w:rPr>
      </w:pPr>
    </w:p>
    <w:p w14:paraId="04531338">
      <w:pPr>
        <w:spacing w:line="360" w:lineRule="auto"/>
        <w:jc w:val="center"/>
        <w:rPr>
          <w:rFonts w:ascii="宋体" w:hAnsi="宋体" w:cs="宋体"/>
          <w:b/>
          <w:color w:val="auto"/>
          <w:sz w:val="44"/>
          <w:szCs w:val="44"/>
          <w:highlight w:val="none"/>
        </w:rPr>
      </w:pPr>
    </w:p>
    <w:p w14:paraId="493C9056">
      <w:pPr>
        <w:adjustRightInd/>
        <w:spacing w:line="360" w:lineRule="auto"/>
        <w:jc w:val="center"/>
        <w:rPr>
          <w:rFonts w:ascii="宋体" w:hAnsi="宋体" w:cs="宋体"/>
          <w:b/>
          <w:color w:val="auto"/>
          <w:sz w:val="48"/>
          <w:szCs w:val="48"/>
          <w:highlight w:val="none"/>
        </w:rPr>
      </w:pPr>
    </w:p>
    <w:p w14:paraId="01BFA6B1">
      <w:pPr>
        <w:snapToGrid w:val="0"/>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内河航道工程项目投融资模式创新研究</w:t>
      </w:r>
    </w:p>
    <w:p w14:paraId="4D03DDA0">
      <w:pPr>
        <w:snapToGrid w:val="0"/>
        <w:spacing w:line="360" w:lineRule="auto"/>
        <w:jc w:val="center"/>
        <w:rPr>
          <w:color w:val="auto"/>
          <w:sz w:val="72"/>
          <w:szCs w:val="72"/>
          <w:highlight w:val="none"/>
        </w:rPr>
      </w:pPr>
      <w:r>
        <w:rPr>
          <w:rFonts w:hint="eastAsia"/>
          <w:color w:val="auto"/>
          <w:sz w:val="72"/>
          <w:szCs w:val="72"/>
          <w:highlight w:val="none"/>
        </w:rPr>
        <w:t>公开招标文件</w:t>
      </w:r>
    </w:p>
    <w:p w14:paraId="1A87F593">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1E8656AA">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编号:ZJHY-SJTYST-202514</w:t>
      </w:r>
    </w:p>
    <w:p w14:paraId="772D5F02">
      <w:pPr>
        <w:adjustRightInd/>
        <w:spacing w:line="360" w:lineRule="auto"/>
        <w:rPr>
          <w:rFonts w:ascii="宋体" w:hAnsi="宋体" w:cs="宋体"/>
          <w:color w:val="auto"/>
          <w:sz w:val="28"/>
          <w:szCs w:val="20"/>
          <w:highlight w:val="none"/>
        </w:rPr>
      </w:pPr>
    </w:p>
    <w:p w14:paraId="6D466629">
      <w:pPr>
        <w:spacing w:line="360" w:lineRule="auto"/>
        <w:jc w:val="center"/>
        <w:rPr>
          <w:rFonts w:ascii="宋体" w:hAnsi="宋体" w:cs="宋体"/>
          <w:b/>
          <w:color w:val="auto"/>
          <w:sz w:val="44"/>
          <w:szCs w:val="44"/>
          <w:highlight w:val="none"/>
        </w:rPr>
      </w:pPr>
    </w:p>
    <w:p w14:paraId="59863966">
      <w:pPr>
        <w:spacing w:line="360" w:lineRule="auto"/>
        <w:jc w:val="center"/>
        <w:rPr>
          <w:rFonts w:ascii="宋体" w:hAnsi="宋体" w:cs="宋体"/>
          <w:b/>
          <w:color w:val="auto"/>
          <w:sz w:val="44"/>
          <w:szCs w:val="44"/>
          <w:highlight w:val="none"/>
        </w:rPr>
      </w:pPr>
    </w:p>
    <w:p w14:paraId="1D23E0B9">
      <w:pPr>
        <w:spacing w:line="360" w:lineRule="auto"/>
        <w:jc w:val="center"/>
        <w:rPr>
          <w:rFonts w:ascii="宋体" w:hAnsi="宋体" w:cs="宋体"/>
          <w:color w:val="auto"/>
          <w:sz w:val="24"/>
          <w:highlight w:val="none"/>
        </w:rPr>
      </w:pPr>
    </w:p>
    <w:p w14:paraId="5A8AAC8A">
      <w:pPr>
        <w:spacing w:line="360" w:lineRule="auto"/>
        <w:jc w:val="center"/>
        <w:rPr>
          <w:rFonts w:ascii="宋体" w:hAnsi="宋体" w:cs="宋体"/>
          <w:color w:val="auto"/>
          <w:sz w:val="24"/>
          <w:highlight w:val="none"/>
        </w:rPr>
      </w:pPr>
    </w:p>
    <w:p w14:paraId="52A73074">
      <w:pPr>
        <w:spacing w:line="360" w:lineRule="auto"/>
        <w:rPr>
          <w:rFonts w:ascii="宋体" w:hAnsi="宋体" w:cs="宋体"/>
          <w:color w:val="auto"/>
          <w:sz w:val="32"/>
          <w:szCs w:val="32"/>
          <w:highlight w:val="none"/>
        </w:rPr>
      </w:pPr>
    </w:p>
    <w:p w14:paraId="50838DDE">
      <w:pPr>
        <w:pStyle w:val="23"/>
        <w:ind w:firstLine="1606" w:firstLineChars="500"/>
        <w:jc w:val="left"/>
        <w:rPr>
          <w:b/>
          <w:color w:val="auto"/>
          <w:sz w:val="32"/>
          <w:szCs w:val="32"/>
          <w:highlight w:val="none"/>
        </w:rPr>
      </w:pPr>
      <w:r>
        <w:rPr>
          <w:rFonts w:hint="eastAsia"/>
          <w:b/>
          <w:color w:val="auto"/>
          <w:sz w:val="32"/>
          <w:szCs w:val="32"/>
          <w:highlight w:val="none"/>
        </w:rPr>
        <w:t>采购计划文号：[2025]43836号</w:t>
      </w:r>
    </w:p>
    <w:p w14:paraId="3BBAC153">
      <w:pPr>
        <w:pStyle w:val="23"/>
        <w:ind w:firstLine="1606" w:firstLineChars="500"/>
        <w:jc w:val="left"/>
        <w:rPr>
          <w:b/>
          <w:color w:val="auto"/>
          <w:sz w:val="32"/>
          <w:szCs w:val="32"/>
          <w:highlight w:val="none"/>
        </w:rPr>
      </w:pPr>
      <w:r>
        <w:rPr>
          <w:rFonts w:hint="eastAsia"/>
          <w:b/>
          <w:color w:val="auto"/>
          <w:sz w:val="32"/>
          <w:szCs w:val="32"/>
          <w:highlight w:val="none"/>
        </w:rPr>
        <w:t>采购单位：浙江省交通运输厅</w:t>
      </w:r>
    </w:p>
    <w:p w14:paraId="291C750C">
      <w:pPr>
        <w:pStyle w:val="23"/>
        <w:ind w:firstLine="1606" w:firstLineChars="500"/>
        <w:jc w:val="left"/>
        <w:rPr>
          <w:b/>
          <w:color w:val="auto"/>
          <w:sz w:val="32"/>
          <w:szCs w:val="32"/>
          <w:highlight w:val="none"/>
          <w:lang w:val="en-US"/>
        </w:rPr>
      </w:pPr>
      <w:r>
        <w:rPr>
          <w:rFonts w:hint="eastAsia"/>
          <w:b/>
          <w:color w:val="auto"/>
          <w:sz w:val="32"/>
          <w:szCs w:val="32"/>
          <w:highlight w:val="none"/>
        </w:rPr>
        <w:t>代理机构：</w:t>
      </w:r>
      <w:r>
        <w:rPr>
          <w:rFonts w:hint="eastAsia"/>
          <w:b/>
          <w:color w:val="auto"/>
          <w:sz w:val="32"/>
          <w:szCs w:val="32"/>
          <w:highlight w:val="none"/>
          <w:lang w:val="en-US"/>
        </w:rPr>
        <w:t>浙江华耀建设咨询有限公司</w:t>
      </w:r>
    </w:p>
    <w:p w14:paraId="7A4C938F">
      <w:pPr>
        <w:pStyle w:val="23"/>
        <w:ind w:firstLine="1606" w:firstLineChars="500"/>
        <w:jc w:val="left"/>
        <w:rPr>
          <w:rFonts w:ascii="Calibri" w:hAnsi="Calibri" w:cs="Times New Roman"/>
          <w:bCs/>
          <w:color w:val="auto"/>
          <w:sz w:val="32"/>
          <w:szCs w:val="32"/>
          <w:highlight w:val="none"/>
        </w:rPr>
      </w:pPr>
      <w:r>
        <w:rPr>
          <w:rFonts w:hint="eastAsia"/>
          <w:b/>
          <w:color w:val="auto"/>
          <w:sz w:val="32"/>
          <w:szCs w:val="32"/>
          <w:highlight w:val="none"/>
        </w:rPr>
        <w:t>日    期：二〇二五年</w:t>
      </w:r>
      <w:r>
        <w:rPr>
          <w:rFonts w:hint="eastAsia"/>
          <w:b/>
          <w:color w:val="auto"/>
          <w:sz w:val="32"/>
          <w:szCs w:val="32"/>
          <w:highlight w:val="none"/>
          <w:lang w:val="en-US"/>
        </w:rPr>
        <w:t>七</w:t>
      </w:r>
      <w:r>
        <w:rPr>
          <w:rFonts w:hint="eastAsia"/>
          <w:b/>
          <w:color w:val="auto"/>
          <w:sz w:val="32"/>
          <w:szCs w:val="32"/>
          <w:highlight w:val="none"/>
        </w:rPr>
        <w:t>月</w:t>
      </w:r>
    </w:p>
    <w:p w14:paraId="0EE012A6">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0346EDF">
      <w:pPr>
        <w:spacing w:line="360" w:lineRule="auto"/>
        <w:jc w:val="center"/>
        <w:rPr>
          <w:rFonts w:ascii="宋体" w:hAnsi="宋体" w:cs="宋体"/>
          <w:color w:val="auto"/>
          <w:sz w:val="24"/>
          <w:highlight w:val="none"/>
        </w:rPr>
      </w:pPr>
    </w:p>
    <w:p w14:paraId="6B8CB81C">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902AB82">
      <w:pPr>
        <w:spacing w:line="360" w:lineRule="auto"/>
        <w:rPr>
          <w:rFonts w:ascii="宋体" w:hAnsi="宋体" w:cs="宋体"/>
          <w:color w:val="auto"/>
          <w:sz w:val="32"/>
          <w:szCs w:val="32"/>
          <w:highlight w:val="none"/>
        </w:rPr>
      </w:pPr>
    </w:p>
    <w:p w14:paraId="38092BCF">
      <w:pPr>
        <w:spacing w:line="360" w:lineRule="auto"/>
        <w:rPr>
          <w:rFonts w:ascii="宋体" w:hAnsi="宋体" w:cs="宋体"/>
          <w:color w:val="auto"/>
          <w:sz w:val="32"/>
          <w:szCs w:val="32"/>
          <w:highlight w:val="none"/>
        </w:rPr>
      </w:pPr>
    </w:p>
    <w:p w14:paraId="7FE8FFB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3F8A39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988BDB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792231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823BE7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3D3EE2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446A6F2C">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23AB2BE7">
      <w:pPr>
        <w:spacing w:line="360" w:lineRule="auto"/>
        <w:ind w:firstLine="549" w:firstLineChars="229"/>
        <w:rPr>
          <w:rFonts w:ascii="宋体" w:hAnsi="宋体" w:cs="宋体"/>
          <w:color w:val="auto"/>
          <w:sz w:val="24"/>
          <w:highlight w:val="none"/>
        </w:rPr>
      </w:pPr>
    </w:p>
    <w:p w14:paraId="738E2F37">
      <w:pPr>
        <w:spacing w:line="360" w:lineRule="auto"/>
        <w:ind w:firstLine="549" w:firstLineChars="229"/>
        <w:rPr>
          <w:rFonts w:ascii="宋体" w:hAnsi="宋体" w:cs="宋体"/>
          <w:color w:val="auto"/>
          <w:sz w:val="24"/>
          <w:highlight w:val="none"/>
        </w:rPr>
      </w:pPr>
    </w:p>
    <w:p w14:paraId="2648065D">
      <w:pPr>
        <w:spacing w:line="360" w:lineRule="auto"/>
        <w:ind w:firstLine="549" w:firstLineChars="229"/>
        <w:rPr>
          <w:rFonts w:ascii="宋体" w:hAnsi="宋体" w:cs="宋体"/>
          <w:color w:val="auto"/>
          <w:sz w:val="24"/>
          <w:highlight w:val="none"/>
        </w:rPr>
      </w:pPr>
    </w:p>
    <w:p w14:paraId="03FFDC93">
      <w:pPr>
        <w:spacing w:line="360" w:lineRule="auto"/>
        <w:ind w:firstLine="549" w:firstLineChars="229"/>
        <w:rPr>
          <w:rFonts w:ascii="宋体" w:hAnsi="宋体" w:cs="宋体"/>
          <w:color w:val="auto"/>
          <w:sz w:val="24"/>
          <w:highlight w:val="none"/>
        </w:rPr>
      </w:pPr>
    </w:p>
    <w:p w14:paraId="613595A9">
      <w:pPr>
        <w:spacing w:line="360" w:lineRule="auto"/>
        <w:ind w:firstLine="549" w:firstLineChars="229"/>
        <w:rPr>
          <w:rFonts w:ascii="宋体" w:hAnsi="宋体" w:cs="宋体"/>
          <w:color w:val="auto"/>
          <w:sz w:val="24"/>
          <w:highlight w:val="none"/>
        </w:rPr>
      </w:pPr>
    </w:p>
    <w:p w14:paraId="52267291">
      <w:pPr>
        <w:spacing w:line="360" w:lineRule="auto"/>
        <w:ind w:firstLine="549" w:firstLineChars="229"/>
        <w:rPr>
          <w:rFonts w:ascii="宋体" w:hAnsi="宋体" w:cs="宋体"/>
          <w:color w:val="auto"/>
          <w:sz w:val="24"/>
          <w:highlight w:val="none"/>
        </w:rPr>
      </w:pPr>
    </w:p>
    <w:p w14:paraId="6C8FCCF3">
      <w:pPr>
        <w:spacing w:line="360" w:lineRule="auto"/>
        <w:ind w:firstLine="549" w:firstLineChars="229"/>
        <w:rPr>
          <w:rFonts w:ascii="宋体" w:hAnsi="宋体" w:cs="宋体"/>
          <w:color w:val="auto"/>
          <w:sz w:val="24"/>
          <w:highlight w:val="none"/>
        </w:rPr>
      </w:pPr>
    </w:p>
    <w:p w14:paraId="64C51F94">
      <w:pPr>
        <w:spacing w:line="360" w:lineRule="auto"/>
        <w:ind w:firstLine="549" w:firstLineChars="229"/>
        <w:rPr>
          <w:rFonts w:ascii="宋体" w:hAnsi="宋体" w:cs="宋体"/>
          <w:color w:val="auto"/>
          <w:sz w:val="24"/>
          <w:highlight w:val="none"/>
        </w:rPr>
      </w:pPr>
    </w:p>
    <w:p w14:paraId="0A1F3515">
      <w:pPr>
        <w:spacing w:line="360" w:lineRule="auto"/>
        <w:ind w:firstLine="549" w:firstLineChars="229"/>
        <w:rPr>
          <w:rFonts w:ascii="宋体" w:hAnsi="宋体" w:cs="宋体"/>
          <w:color w:val="auto"/>
          <w:sz w:val="24"/>
          <w:highlight w:val="none"/>
        </w:rPr>
      </w:pPr>
    </w:p>
    <w:p w14:paraId="4C8D380E">
      <w:pPr>
        <w:spacing w:line="360" w:lineRule="auto"/>
        <w:ind w:firstLine="549" w:firstLineChars="229"/>
        <w:rPr>
          <w:rFonts w:ascii="宋体" w:hAnsi="宋体" w:cs="宋体"/>
          <w:color w:val="auto"/>
          <w:sz w:val="24"/>
          <w:highlight w:val="none"/>
        </w:rPr>
      </w:pPr>
    </w:p>
    <w:p w14:paraId="766CCF03">
      <w:pPr>
        <w:spacing w:line="360" w:lineRule="auto"/>
        <w:ind w:firstLine="549" w:firstLineChars="229"/>
        <w:rPr>
          <w:rFonts w:ascii="宋体" w:hAnsi="宋体" w:cs="宋体"/>
          <w:color w:val="auto"/>
          <w:sz w:val="24"/>
          <w:highlight w:val="none"/>
        </w:rPr>
      </w:pPr>
    </w:p>
    <w:p w14:paraId="79D6E96B">
      <w:pPr>
        <w:spacing w:line="360" w:lineRule="auto"/>
        <w:ind w:firstLine="549" w:firstLineChars="229"/>
        <w:rPr>
          <w:rFonts w:ascii="宋体" w:hAnsi="宋体" w:cs="宋体"/>
          <w:color w:val="auto"/>
          <w:sz w:val="24"/>
          <w:highlight w:val="none"/>
        </w:rPr>
      </w:pPr>
    </w:p>
    <w:p w14:paraId="4F1E905B">
      <w:pPr>
        <w:spacing w:line="360" w:lineRule="auto"/>
        <w:rPr>
          <w:rFonts w:ascii="宋体" w:hAnsi="宋体" w:cs="宋体"/>
          <w:color w:val="auto"/>
          <w:sz w:val="24"/>
          <w:highlight w:val="none"/>
        </w:rPr>
      </w:pPr>
    </w:p>
    <w:bookmarkEnd w:id="2"/>
    <w:p w14:paraId="4280058D">
      <w:pPr>
        <w:rPr>
          <w:rFonts w:ascii="宋体" w:hAnsi="宋体" w:cs="宋体"/>
          <w:b/>
          <w:color w:val="auto"/>
          <w:sz w:val="36"/>
          <w:szCs w:val="20"/>
          <w:highlight w:val="none"/>
        </w:rPr>
      </w:pPr>
      <w:bookmarkStart w:id="3" w:name="_Hlt74728647"/>
      <w:bookmarkEnd w:id="3"/>
      <w:bookmarkStart w:id="4" w:name="_Hlt74707423"/>
      <w:bookmarkEnd w:id="4"/>
      <w:bookmarkStart w:id="5" w:name="_Hlt74729822"/>
      <w:bookmarkEnd w:id="5"/>
      <w:bookmarkStart w:id="6" w:name="_Hlt74649545"/>
      <w:bookmarkEnd w:id="6"/>
      <w:bookmarkStart w:id="7" w:name="_Toc91899870"/>
      <w:bookmarkStart w:id="8" w:name="_Toc91899871"/>
      <w:r>
        <w:rPr>
          <w:rFonts w:hint="eastAsia" w:ascii="宋体" w:hAnsi="宋体" w:cs="宋体"/>
          <w:b/>
          <w:color w:val="auto"/>
          <w:sz w:val="36"/>
          <w:szCs w:val="20"/>
          <w:highlight w:val="none"/>
        </w:rPr>
        <w:br w:type="page"/>
      </w:r>
    </w:p>
    <w:p w14:paraId="7A9E2D9C">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13BD3CA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5260443B">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内河航道工程项目投融资模式创新研究</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08</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04</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14</w:t>
      </w:r>
      <w:r>
        <w:rPr>
          <w:rStyle w:val="76"/>
          <w:rFonts w:hint="eastAsia" w:cs="Times New Roman" w:asciiTheme="minorEastAsia" w:hAnsiTheme="minorEastAsia" w:eastAsiaTheme="minorEastAsia"/>
          <w:snapToGrid/>
          <w:color w:val="auto"/>
          <w:kern w:val="2"/>
          <w:sz w:val="24"/>
          <w:szCs w:val="24"/>
          <w:highlight w:val="none"/>
        </w:rPr>
        <w:t>点00分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73C07EE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0A9479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ZJHY-SJTYST-202514</w:t>
      </w:r>
    </w:p>
    <w:p w14:paraId="1813335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内河航道工程项目投融资模式创新研究</w:t>
      </w:r>
    </w:p>
    <w:p w14:paraId="7361D23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Theme="minorEastAsia" w:hAnsiTheme="minorEastAsia" w:eastAsiaTheme="minorEastAsia" w:cstheme="minorEastAsia"/>
          <w:b/>
          <w:color w:val="auto"/>
          <w:sz w:val="24"/>
          <w:highlight w:val="none"/>
        </w:rPr>
        <w:t>580000</w:t>
      </w:r>
    </w:p>
    <w:p w14:paraId="47816A44">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Theme="minorEastAsia" w:hAnsiTheme="minorEastAsia" w:eastAsiaTheme="minorEastAsia" w:cstheme="minorEastAsia"/>
          <w:b/>
          <w:color w:val="auto"/>
          <w:sz w:val="24"/>
          <w:highlight w:val="none"/>
        </w:rPr>
        <w:t>580000</w:t>
      </w:r>
    </w:p>
    <w:p w14:paraId="1AF4209F">
      <w:pPr>
        <w:pStyle w:val="1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sz w:val="24"/>
          <w:highlight w:val="none"/>
        </w:rPr>
        <w:t>内河航道工程项目投融资模式创新研究</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6BBB8437">
      <w:pPr>
        <w:pStyle w:val="15"/>
        <w:spacing w:line="360" w:lineRule="auto"/>
        <w:ind w:firstLine="480"/>
        <w:rPr>
          <w:rFonts w:hAnsi="宋体" w:cs="宋体"/>
          <w:b/>
          <w:color w:val="auto"/>
          <w:highlight w:val="none"/>
        </w:rPr>
      </w:pPr>
      <w:r>
        <w:rPr>
          <w:rFonts w:hint="eastAsia" w:hAnsi="宋体" w:cs="宋体"/>
          <w:b/>
          <w:color w:val="auto"/>
          <w:sz w:val="24"/>
          <w:highlight w:val="none"/>
        </w:rPr>
        <w:t>合同履约期限：</w:t>
      </w:r>
      <w:r>
        <w:rPr>
          <w:rFonts w:hint="eastAsia" w:hAnsi="宋体" w:cs="宋体"/>
          <w:bCs/>
          <w:color w:val="auto"/>
          <w:sz w:val="24"/>
          <w:highlight w:val="none"/>
        </w:rPr>
        <w:t>详见</w:t>
      </w:r>
      <w:r>
        <w:rPr>
          <w:rFonts w:hint="eastAsia" w:asciiTheme="minorEastAsia" w:hAnsiTheme="minorEastAsia" w:eastAsiaTheme="minorEastAsia"/>
          <w:snapToGrid/>
          <w:color w:val="auto"/>
          <w:kern w:val="2"/>
          <w:sz w:val="24"/>
          <w:szCs w:val="24"/>
          <w:highlight w:val="none"/>
        </w:rPr>
        <w:t>第三部分采购需求</w:t>
      </w:r>
      <w:r>
        <w:rPr>
          <w:rFonts w:hint="eastAsia" w:asciiTheme="minorEastAsia" w:hAnsiTheme="minorEastAsia" w:eastAsiaTheme="minorEastAsia"/>
          <w:bCs/>
          <w:snapToGrid/>
          <w:color w:val="auto"/>
          <w:kern w:val="2"/>
          <w:sz w:val="24"/>
          <w:szCs w:val="24"/>
          <w:highlight w:val="none"/>
        </w:rPr>
        <w:t>。</w:t>
      </w:r>
    </w:p>
    <w:p w14:paraId="3AF00BB7">
      <w:pPr>
        <w:pStyle w:val="1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2D24BDC2">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9" w:name="_Hlk101132948"/>
      <w:r>
        <w:rPr>
          <w:rFonts w:hint="eastAsia" w:ascii="宋体" w:hAnsi="宋体" w:cs="宋体"/>
          <w:b/>
          <w:color w:val="auto"/>
          <w:sz w:val="24"/>
          <w:highlight w:val="none"/>
        </w:rPr>
        <w:t>申请人的资格要求</w:t>
      </w:r>
      <w:bookmarkEnd w:id="9"/>
      <w:r>
        <w:rPr>
          <w:rFonts w:hint="eastAsia" w:ascii="宋体" w:hAnsi="宋体" w:cs="宋体"/>
          <w:b/>
          <w:color w:val="auto"/>
          <w:sz w:val="24"/>
          <w:highlight w:val="none"/>
        </w:rPr>
        <w:t>：</w:t>
      </w:r>
    </w:p>
    <w:p w14:paraId="793FD40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BF9062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w:t>
      </w:r>
    </w:p>
    <w:p w14:paraId="4A4E2559">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.落实政府采购政策需满足的资格要求：无。</w:t>
      </w:r>
    </w:p>
    <w:p w14:paraId="79B1E91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无。</w:t>
      </w:r>
    </w:p>
    <w:p w14:paraId="68072B7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C27B1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4D66B2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C4A602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395134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730798E">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DB13AF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点00分00秒</w:t>
      </w:r>
      <w:r>
        <w:rPr>
          <w:rFonts w:hint="eastAsia" w:ascii="宋体" w:hAnsi="宋体" w:cs="宋体"/>
          <w:color w:val="auto"/>
          <w:sz w:val="24"/>
          <w:highlight w:val="none"/>
        </w:rPr>
        <w:t>（北京时间）</w:t>
      </w:r>
    </w:p>
    <w:p w14:paraId="74E1533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请登录政采云投标客户端投标 </w:t>
      </w:r>
    </w:p>
    <w:p w14:paraId="36C7E05A">
      <w:pPr>
        <w:spacing w:line="360" w:lineRule="auto"/>
        <w:ind w:firstLine="482" w:firstLineChars="200"/>
        <w:rPr>
          <w:rFonts w:ascii="宋体" w:hAnsi="宋体" w:cs="宋体"/>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点00分00秒</w:t>
      </w:r>
    </w:p>
    <w:p w14:paraId="506740F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03F6D36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9FBCC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3F4382B">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B16E7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88F1C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E796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1128BC">
      <w:pPr>
        <w:spacing w:line="360" w:lineRule="auto"/>
        <w:ind w:firstLine="480" w:firstLineChars="200"/>
        <w:rPr>
          <w:color w:val="auto"/>
          <w:highlight w:val="none"/>
        </w:rPr>
      </w:pPr>
      <w:r>
        <w:rPr>
          <w:rFonts w:hint="eastAsia" w:ascii="宋体" w:hAnsi="宋体" w:cs="宋体"/>
          <w:color w:val="auto"/>
          <w:sz w:val="24"/>
          <w:highlight w:val="none"/>
        </w:rPr>
        <w:t>4.其他事项：（1）招标文件公告期限与招标公告的公告期限一致；（2）单位负责人为同一人或者存在直接控股、管理关系的不同供应商，不得参加同一合同项下的政府采购活动；（3）为采购项目提供整体设计、规范编制或者项目管理、监理、检测等服务后不得再参加该采购项目的其他采购活动；</w:t>
      </w:r>
      <w:r>
        <w:rPr>
          <w:rFonts w:hint="eastAsia" w:hAnsi="宋体" w:cs="宋体"/>
          <w:color w:val="auto"/>
          <w:sz w:val="24"/>
          <w:highlight w:val="none"/>
        </w:rPr>
        <w:t>（4）公益一类事业单位、使用事业编制且由财政拨款保障的群团组织，不作为政府购买服务的购买主体和承接主体；（5）</w:t>
      </w:r>
      <w:r>
        <w:rPr>
          <w:rFonts w:hint="eastAsia" w:cs="仿宋_GB2312" w:asciiTheme="majorEastAsia" w:hAnsiTheme="majorEastAsia" w:eastAsiaTheme="majorEastAsia"/>
          <w:b/>
          <w:color w:val="auto"/>
          <w:sz w:val="24"/>
          <w:highlight w:val="none"/>
        </w:rPr>
        <w:t>电子交易的说明: 1）电子交易：</w:t>
      </w:r>
      <w:r>
        <w:rPr>
          <w:rFonts w:hint="eastAsia" w:cs="仿宋_GB2312" w:asciiTheme="majorEastAsia" w:hAnsiTheme="majorEastAsia" w:eastAsiaTheme="majorEastAsia"/>
          <w:color w:val="auto"/>
          <w:sz w:val="24"/>
          <w:highlight w:val="none"/>
        </w:rPr>
        <w:t>本项目以数据电文形式，依托“政府采购云平台（www.zcygov.cn）”进行采购活动，不接受纸质响应文件；</w:t>
      </w:r>
      <w:r>
        <w:rPr>
          <w:rFonts w:hint="eastAsia" w:cs="仿宋_GB2312" w:asciiTheme="majorEastAsia" w:hAnsiTheme="majorEastAsia" w:eastAsiaTheme="majorEastAsia"/>
          <w:b/>
          <w:color w:val="auto"/>
          <w:sz w:val="24"/>
          <w:highlight w:val="none"/>
        </w:rPr>
        <w:t>2）响应准备：</w:t>
      </w:r>
      <w:r>
        <w:rPr>
          <w:rFonts w:hint="eastAsia" w:cs="仿宋_GB2312" w:asciiTheme="majorEastAsia" w:hAnsiTheme="majorEastAsia" w:eastAsiaTheme="maj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ajorEastAsia" w:hAnsiTheme="majorEastAsia" w:eastAsiaTheme="majorEastAsia"/>
          <w:b/>
          <w:color w:val="auto"/>
          <w:sz w:val="24"/>
          <w:highlight w:val="none"/>
        </w:rPr>
        <w:t>3）采购文件的获取：</w:t>
      </w:r>
      <w:r>
        <w:rPr>
          <w:rFonts w:hint="eastAsia" w:cs="仿宋_GB2312" w:asciiTheme="majorEastAsia" w:hAnsiTheme="majorEastAsia" w:eastAsiaTheme="majorEastAsia"/>
          <w:color w:val="auto"/>
          <w:sz w:val="24"/>
          <w:highlight w:val="none"/>
        </w:rPr>
        <w:t>使用账号登录或者使用CA登录政采云平台；进入“项目采购”应用，在获取采购文件菜单中选择项目，获取采购文件；</w:t>
      </w:r>
      <w:r>
        <w:rPr>
          <w:rFonts w:hint="eastAsia" w:cs="仿宋_GB2312" w:asciiTheme="majorEastAsia" w:hAnsiTheme="majorEastAsia" w:eastAsiaTheme="majorEastAsia"/>
          <w:b/>
          <w:color w:val="auto"/>
          <w:sz w:val="24"/>
          <w:highlight w:val="none"/>
        </w:rPr>
        <w:t>4）响应文件的制作：</w:t>
      </w:r>
      <w:r>
        <w:rPr>
          <w:rFonts w:hint="eastAsia" w:cs="仿宋_GB2312" w:asciiTheme="majorEastAsia" w:hAnsiTheme="majorEastAsia" w:eastAsiaTheme="majorEastAsia"/>
          <w:color w:val="auto"/>
          <w:sz w:val="24"/>
          <w:highlight w:val="none"/>
        </w:rPr>
        <w:t>在“政采云电子交易客户端”中完成“填写基本信息”、“导入投标文件”、“标书关联”、“标书检查”、“电子签名”、“生成电子标书”等操作；</w:t>
      </w:r>
      <w:r>
        <w:rPr>
          <w:rFonts w:cs="仿宋_GB2312" w:asciiTheme="majorEastAsia" w:hAnsiTheme="majorEastAsia" w:eastAsiaTheme="majorEastAsia"/>
          <w:b/>
          <w:color w:val="auto"/>
          <w:sz w:val="24"/>
          <w:highlight w:val="none"/>
        </w:rPr>
        <w:t>5）</w:t>
      </w:r>
      <w:r>
        <w:rPr>
          <w:rFonts w:hint="eastAsia" w:cs="仿宋_GB2312" w:asciiTheme="majorEastAsia" w:hAnsiTheme="majorEastAsia" w:eastAsiaTheme="majorEastAsia"/>
          <w:color w:val="auto"/>
          <w:sz w:val="24"/>
          <w:highlight w:val="none"/>
        </w:rPr>
        <w:t>采购人、采购代理机构将依托政采云平台完成本项目的电子交易活动，平台不接受未按本公告约定方式获取采购文件的供应商进行响应活动；</w:t>
      </w:r>
      <w:r>
        <w:rPr>
          <w:rFonts w:cs="仿宋_GB2312" w:asciiTheme="majorEastAsia" w:hAnsiTheme="majorEastAsia" w:eastAsiaTheme="majorEastAsia"/>
          <w:b/>
          <w:color w:val="auto"/>
          <w:sz w:val="24"/>
          <w:highlight w:val="none"/>
        </w:rPr>
        <w:t>6）</w:t>
      </w:r>
      <w:r>
        <w:rPr>
          <w:rFonts w:hint="eastAsia" w:cs="仿宋_GB2312" w:asciiTheme="majorEastAsia" w:hAnsiTheme="majorEastAsia" w:eastAsiaTheme="majorEastAsia"/>
          <w:color w:val="auto"/>
          <w:sz w:val="24"/>
          <w:highlight w:val="none"/>
        </w:rPr>
        <w:t>对未按上述方式获取采购文件的供应商对该文件提出的质疑，采购人或采购代理机构将不予处理</w:t>
      </w:r>
      <w:r>
        <w:rPr>
          <w:rFonts w:hint="eastAsia" w:cs="仿宋_GB2312" w:asciiTheme="majorEastAsia" w:hAnsiTheme="majorEastAsia" w:eastAsiaTheme="majorEastAsia"/>
          <w:b/>
          <w:color w:val="auto"/>
          <w:sz w:val="24"/>
          <w:highlight w:val="none"/>
        </w:rPr>
        <w:t>；</w:t>
      </w:r>
      <w:r>
        <w:rPr>
          <w:rFonts w:cs="仿宋_GB2312" w:asciiTheme="majorEastAsia" w:hAnsiTheme="majorEastAsia" w:eastAsiaTheme="majorEastAsia"/>
          <w:b/>
          <w:color w:val="auto"/>
          <w:sz w:val="24"/>
          <w:highlight w:val="none"/>
        </w:rPr>
        <w:t>7）</w:t>
      </w:r>
      <w:r>
        <w:rPr>
          <w:rFonts w:hint="eastAsia" w:cs="仿宋_GB2312" w:asciiTheme="majorEastAsia" w:hAnsiTheme="majorEastAsia" w:eastAsiaTheme="majorEastAsia"/>
          <w:color w:val="auto"/>
          <w:sz w:val="24"/>
          <w:highlight w:val="none"/>
        </w:rPr>
        <w:t>不提供采购文件纸质版；</w:t>
      </w:r>
      <w:r>
        <w:rPr>
          <w:rFonts w:cs="仿宋_GB2312" w:asciiTheme="majorEastAsia" w:hAnsiTheme="majorEastAsia" w:eastAsiaTheme="majorEastAsia"/>
          <w:b/>
          <w:color w:val="auto"/>
          <w:sz w:val="24"/>
          <w:highlight w:val="none"/>
        </w:rPr>
        <w:t>8</w:t>
      </w:r>
      <w:r>
        <w:rPr>
          <w:rFonts w:hint="eastAsia" w:cs="仿宋_GB2312" w:asciiTheme="majorEastAsia" w:hAnsiTheme="majorEastAsia" w:eastAsiaTheme="majorEastAsia"/>
          <w:b/>
          <w:color w:val="auto"/>
          <w:sz w:val="24"/>
          <w:highlight w:val="none"/>
        </w:rPr>
        <w:t>）响应文件的传输提交：</w:t>
      </w:r>
      <w:r>
        <w:rPr>
          <w:rFonts w:hint="eastAsia" w:cs="仿宋_GB2312" w:asciiTheme="majorEastAsia" w:hAnsiTheme="majorEastAsia" w:eastAsiaTheme="majorEastAsia"/>
          <w:color w:val="auto"/>
          <w:sz w:val="24"/>
          <w:highlight w:val="none"/>
        </w:rPr>
        <w:t>供应商在提交响应文件的截止时间前将加密的响应文件上传至政府采购云平台，还可以在提交响应文件的截止时间前以发送邮件方式提交备份响应文件1份。备份响应文件的制作、存储及提交等详见采购文件第三部分 “备份响应文件”；</w:t>
      </w:r>
      <w:r>
        <w:rPr>
          <w:rFonts w:hint="eastAsia" w:cs="仿宋_GB2312" w:asciiTheme="majorEastAsia" w:hAnsiTheme="majorEastAsia" w:eastAsiaTheme="majorEastAsia"/>
          <w:b/>
          <w:color w:val="auto"/>
          <w:sz w:val="24"/>
          <w:highlight w:val="none"/>
        </w:rPr>
        <w:t>9）响应文件的解密：</w:t>
      </w:r>
      <w:r>
        <w:rPr>
          <w:rFonts w:hint="eastAsia" w:cs="仿宋_GB2312" w:asciiTheme="majorEastAsia" w:hAnsiTheme="majorEastAsia" w:eastAsiaTheme="majorEastAsia"/>
          <w:color w:val="auto"/>
          <w:sz w:val="24"/>
          <w:highlight w:val="none"/>
        </w:rPr>
        <w:t>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r>
        <w:rPr>
          <w:rFonts w:hint="eastAsia" w:cs="仿宋_GB2312" w:asciiTheme="majorEastAsia" w:hAnsiTheme="majorEastAsia" w:eastAsiaTheme="majorEastAsia"/>
          <w:b/>
          <w:bCs/>
          <w:color w:val="auto"/>
          <w:sz w:val="24"/>
          <w:highlight w:val="none"/>
        </w:rPr>
        <w:t>10）</w:t>
      </w:r>
      <w:r>
        <w:rPr>
          <w:rFonts w:hint="eastAsia" w:cs="仿宋_GB2312" w:asciiTheme="majorEastAsia" w:hAnsiTheme="majorEastAsia" w:eastAsiaTheme="majorEastAsia"/>
          <w:b/>
          <w:color w:val="auto"/>
          <w:sz w:val="24"/>
          <w:highlight w:val="none"/>
        </w:rPr>
        <w:t>具体操作指南</w:t>
      </w:r>
      <w:r>
        <w:rPr>
          <w:rFonts w:hint="eastAsia" w:cs="仿宋_GB2312" w:asciiTheme="majorEastAsia" w:hAnsiTheme="majorEastAsia" w:eastAsiaTheme="majorEastAsia"/>
          <w:color w:val="auto"/>
          <w:sz w:val="24"/>
          <w:highlight w:val="none"/>
        </w:rPr>
        <w:t>：详见政采云平台“服务中心-帮助文档-项目采购-操作流程-电子招投标-政府采购项目电子交易管理操作指南-供应商”。</w:t>
      </w:r>
    </w:p>
    <w:p w14:paraId="2287BAB5">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5FE60D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29E577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称：浙江省交通运输厅 </w:t>
      </w:r>
    </w:p>
    <w:p w14:paraId="6135F7C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 杭州市上城区梅花碑4号</w:t>
      </w:r>
    </w:p>
    <w:p w14:paraId="745AEF0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1CED19C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项目联系人（询问）：全老师</w:t>
      </w:r>
    </w:p>
    <w:p w14:paraId="6AADA37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项目联系方式（询问）：0571-87816536</w:t>
      </w:r>
    </w:p>
    <w:p w14:paraId="024306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质疑联系人：陶老师</w:t>
      </w:r>
    </w:p>
    <w:p w14:paraId="5CA1E2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质疑联系方式：0571-87811381 </w:t>
      </w:r>
    </w:p>
    <w:p w14:paraId="14B4344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w:t>
      </w:r>
    </w:p>
    <w:p w14:paraId="7350984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称：浙江华耀建设咨询有限公司</w:t>
      </w:r>
    </w:p>
    <w:p w14:paraId="049FBA1E">
      <w:pPr>
        <w:spacing w:line="360" w:lineRule="auto"/>
        <w:ind w:firstLine="480"/>
        <w:rPr>
          <w:rFonts w:ascii="宋体" w:hAnsi="宋体" w:cs="宋体" w:eastAsiaTheme="minorEastAsia"/>
          <w:color w:val="auto"/>
          <w:sz w:val="24"/>
          <w:highlight w:val="none"/>
        </w:rPr>
      </w:pPr>
      <w:r>
        <w:rPr>
          <w:rFonts w:hint="eastAsia" w:ascii="宋体" w:hAnsi="宋体" w:cs="宋体"/>
          <w:color w:val="auto"/>
          <w:sz w:val="24"/>
          <w:highlight w:val="none"/>
        </w:rPr>
        <w:t>地    址：</w:t>
      </w:r>
      <w:r>
        <w:rPr>
          <w:rFonts w:hint="eastAsia" w:asciiTheme="minorEastAsia" w:hAnsiTheme="minorEastAsia" w:eastAsiaTheme="minorEastAsia" w:cstheme="minorEastAsia"/>
          <w:color w:val="auto"/>
          <w:sz w:val="24"/>
          <w:highlight w:val="none"/>
        </w:rPr>
        <w:t>杭州市上城区秋涛北路328号佰富时代中心3幢13楼</w:t>
      </w:r>
    </w:p>
    <w:p w14:paraId="4880C0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8FFD0A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项目联系人（询问）：陈瑶、潘正阳</w:t>
      </w:r>
    </w:p>
    <w:p w14:paraId="42A76D7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项目联系方式（询问）：18757567243、13758171369</w:t>
      </w:r>
    </w:p>
    <w:p w14:paraId="1A9B409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质疑联系人：张焕欣 </w:t>
      </w:r>
    </w:p>
    <w:p w14:paraId="6DD6857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质疑联系方式：15657173595</w:t>
      </w:r>
    </w:p>
    <w:p w14:paraId="0E923B1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3.</w:t>
      </w:r>
      <w:r>
        <w:rPr>
          <w:rFonts w:hint="eastAsia"/>
          <w:color w:val="auto"/>
          <w:highlight w:val="none"/>
        </w:rPr>
        <w:t xml:space="preserve"> </w:t>
      </w:r>
      <w:r>
        <w:rPr>
          <w:rFonts w:hint="eastAsia" w:ascii="宋体" w:hAnsi="宋体" w:cs="宋体"/>
          <w:color w:val="auto"/>
          <w:sz w:val="24"/>
          <w:highlight w:val="none"/>
        </w:rPr>
        <w:t>该项目由采购人处理采购争议。质疑环节，采购人委托采购代理机构处理的，可由采购代理机构答复。对质疑答复不满意的，向采购人内部设置的采购监督机构反映。</w:t>
      </w:r>
    </w:p>
    <w:p w14:paraId="2A12B3F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政策咨询：何一平、冯华，0571-87058424、87055741</w:t>
      </w:r>
    </w:p>
    <w:p w14:paraId="4CEE34D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预算金额未达100万元的采购项目，由采购人处理采购争议。</w:t>
      </w:r>
    </w:p>
    <w:p w14:paraId="115238DB">
      <w:pPr>
        <w:spacing w:line="360" w:lineRule="auto"/>
        <w:ind w:firstLine="480" w:firstLineChars="200"/>
        <w:rPr>
          <w:rFonts w:ascii="宋体" w:hAnsi="宋体" w:cs="宋体"/>
          <w:color w:val="auto"/>
          <w:sz w:val="24"/>
          <w:highlight w:val="none"/>
        </w:rPr>
      </w:pPr>
    </w:p>
    <w:p w14:paraId="48BFF5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B453F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1DBEF1A">
      <w:pPr>
        <w:pStyle w:val="3"/>
        <w:rPr>
          <w:rFonts w:ascii="宋体"/>
          <w:snapToGrid w:val="0"/>
          <w:color w:val="auto"/>
          <w:highlight w:val="none"/>
        </w:rPr>
      </w:pPr>
      <w:r>
        <w:rPr>
          <w:color w:val="auto"/>
          <w:highlight w:val="none"/>
        </w:rPr>
        <w:br w:type="page"/>
      </w:r>
    </w:p>
    <w:p w14:paraId="74B954A5">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 投标人须知</w:t>
      </w:r>
      <w:bookmarkEnd w:id="7"/>
    </w:p>
    <w:p w14:paraId="0E8BD31C">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28" w:type="dxa"/>
          <w:bottom w:w="0" w:type="dxa"/>
          <w:right w:w="28" w:type="dxa"/>
        </w:tblCellMar>
      </w:tblPr>
      <w:tblGrid>
        <w:gridCol w:w="629"/>
        <w:gridCol w:w="1843"/>
        <w:gridCol w:w="6095"/>
      </w:tblGrid>
      <w:tr w14:paraId="554F5EC2">
        <w:tc>
          <w:tcPr>
            <w:tcW w:w="629" w:type="dxa"/>
            <w:tcBorders>
              <w:tl2br w:val="nil"/>
              <w:tr2bl w:val="nil"/>
            </w:tcBorders>
            <w:vAlign w:val="center"/>
          </w:tcPr>
          <w:p w14:paraId="693294C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l2br w:val="nil"/>
              <w:tr2bl w:val="nil"/>
            </w:tcBorders>
            <w:vAlign w:val="center"/>
          </w:tcPr>
          <w:p w14:paraId="7F416EE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l2br w:val="nil"/>
              <w:tr2bl w:val="nil"/>
            </w:tcBorders>
            <w:vAlign w:val="center"/>
          </w:tcPr>
          <w:p w14:paraId="5DFEE7B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84253D6">
        <w:tc>
          <w:tcPr>
            <w:tcW w:w="629" w:type="dxa"/>
            <w:tcBorders>
              <w:tl2br w:val="nil"/>
              <w:tr2bl w:val="nil"/>
            </w:tcBorders>
            <w:vAlign w:val="center"/>
          </w:tcPr>
          <w:p w14:paraId="6EB50F4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l2br w:val="nil"/>
              <w:tr2bl w:val="nil"/>
            </w:tcBorders>
            <w:vAlign w:val="center"/>
          </w:tcPr>
          <w:p w14:paraId="14A341F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l2br w:val="nil"/>
              <w:tr2bl w:val="nil"/>
            </w:tcBorders>
            <w:vAlign w:val="center"/>
          </w:tcPr>
          <w:p w14:paraId="51C673E4">
            <w:pPr>
              <w:spacing w:line="360" w:lineRule="auto"/>
              <w:rPr>
                <w:color w:val="auto"/>
                <w:highlight w:val="none"/>
              </w:rPr>
            </w:pPr>
            <w:r>
              <w:rPr>
                <w:rFonts w:hint="eastAsia" w:ascii="宋体" w:hAnsi="宋体" w:cs="宋体"/>
                <w:color w:val="auto"/>
                <w:sz w:val="24"/>
                <w:highlight w:val="none"/>
              </w:rPr>
              <w:t>服务类。</w:t>
            </w:r>
          </w:p>
        </w:tc>
      </w:tr>
      <w:tr w14:paraId="075E6EF8">
        <w:tc>
          <w:tcPr>
            <w:tcW w:w="629" w:type="dxa"/>
            <w:tcBorders>
              <w:tl2br w:val="nil"/>
              <w:tr2bl w:val="nil"/>
            </w:tcBorders>
            <w:vAlign w:val="center"/>
          </w:tcPr>
          <w:p w14:paraId="59307E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l2br w:val="nil"/>
              <w:tr2bl w:val="nil"/>
            </w:tcBorders>
            <w:vAlign w:val="center"/>
          </w:tcPr>
          <w:p w14:paraId="42FC434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l2br w:val="nil"/>
              <w:tr2bl w:val="nil"/>
            </w:tcBorders>
            <w:vAlign w:val="center"/>
          </w:tcPr>
          <w:p w14:paraId="089D1BE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rPr>
              <w:t>内河航道工程项目投融资模式创新研究</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其他未列明行业</w:t>
            </w:r>
            <w:r>
              <w:rPr>
                <w:rFonts w:hint="eastAsia" w:ascii="宋体" w:hAnsi="宋体" w:cs="宋体"/>
                <w:color w:val="auto"/>
                <w:kern w:val="0"/>
                <w:sz w:val="24"/>
                <w:highlight w:val="none"/>
              </w:rPr>
              <w:t>；</w:t>
            </w:r>
          </w:p>
          <w:p w14:paraId="720D9F6D">
            <w:pPr>
              <w:spacing w:line="360" w:lineRule="auto"/>
              <w:rPr>
                <w:rFonts w:ascii="宋体" w:hAnsi="宋体" w:cs="宋体"/>
                <w:color w:val="auto"/>
                <w:highlight w:val="none"/>
              </w:rPr>
            </w:pPr>
            <w:r>
              <w:rPr>
                <w:rFonts w:hint="eastAsia" w:ascii="宋体" w:hAnsi="宋体" w:cs="宋体"/>
                <w:color w:val="auto"/>
                <w:kern w:val="0"/>
                <w:sz w:val="24"/>
                <w:highlight w:val="none"/>
              </w:rPr>
              <w:t>根据《关于印发中小企业划型标准规定的通知》（工信部联企业〔2011〕300）第四条第（十六）项规定：其他未列明行业：从业人员300人以下的为中小微型企业。其中，从业人员100人及以上的为中型企业；从业人员10人及以上的为小型企业；从业人员10人以下的为微型企业。</w:t>
            </w:r>
          </w:p>
        </w:tc>
      </w:tr>
      <w:tr w14:paraId="5230214C">
        <w:tc>
          <w:tcPr>
            <w:tcW w:w="629" w:type="dxa"/>
            <w:tcBorders>
              <w:tl2br w:val="nil"/>
              <w:tr2bl w:val="nil"/>
            </w:tcBorders>
            <w:vAlign w:val="center"/>
          </w:tcPr>
          <w:p w14:paraId="1F28239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l2br w:val="nil"/>
              <w:tr2bl w:val="nil"/>
            </w:tcBorders>
            <w:vAlign w:val="center"/>
          </w:tcPr>
          <w:p w14:paraId="2B9CC8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l2br w:val="nil"/>
              <w:tr2bl w:val="nil"/>
            </w:tcBorders>
            <w:vAlign w:val="center"/>
          </w:tcPr>
          <w:p w14:paraId="27F7972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474835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1D2C4AA">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4746407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0E7A6C7D">
        <w:tc>
          <w:tcPr>
            <w:tcW w:w="629" w:type="dxa"/>
            <w:tcBorders>
              <w:tl2br w:val="nil"/>
              <w:tr2bl w:val="nil"/>
            </w:tcBorders>
            <w:vAlign w:val="center"/>
          </w:tcPr>
          <w:p w14:paraId="299A721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l2br w:val="nil"/>
              <w:tr2bl w:val="nil"/>
            </w:tcBorders>
            <w:vAlign w:val="center"/>
          </w:tcPr>
          <w:p w14:paraId="7FBD009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是否允许转包与分包</w:t>
            </w:r>
          </w:p>
        </w:tc>
        <w:tc>
          <w:tcPr>
            <w:tcW w:w="6095" w:type="dxa"/>
            <w:tcBorders>
              <w:tl2br w:val="nil"/>
              <w:tr2bl w:val="nil"/>
            </w:tcBorders>
            <w:vAlign w:val="center"/>
          </w:tcPr>
          <w:p w14:paraId="306B892B">
            <w:pPr>
              <w:spacing w:line="360" w:lineRule="auto"/>
              <w:rPr>
                <w:rFonts w:ascii="宋体" w:hAnsi="宋体" w:cs="宋体"/>
                <w:color w:val="auto"/>
                <w:sz w:val="24"/>
                <w:highlight w:val="none"/>
              </w:rPr>
            </w:pPr>
            <w:r>
              <w:rPr>
                <w:rFonts w:hint="eastAsia" w:ascii="宋体" w:hAnsi="宋体" w:cs="宋体"/>
                <w:color w:val="auto"/>
                <w:sz w:val="24"/>
                <w:highlight w:val="none"/>
              </w:rPr>
              <w:t>转包：本项目不允许转包</w:t>
            </w:r>
          </w:p>
          <w:p w14:paraId="5DBAE4E9">
            <w:pPr>
              <w:spacing w:line="360" w:lineRule="auto"/>
              <w:rPr>
                <w:rFonts w:ascii="宋体" w:hAnsi="宋体" w:cs="宋体"/>
                <w:color w:val="auto"/>
                <w:sz w:val="24"/>
                <w:highlight w:val="none"/>
              </w:rPr>
            </w:pPr>
            <w:r>
              <w:rPr>
                <w:rFonts w:hint="eastAsia" w:ascii="宋体" w:hAnsi="宋体" w:cs="宋体"/>
                <w:color w:val="auto"/>
                <w:sz w:val="24"/>
                <w:highlight w:val="none"/>
              </w:rPr>
              <w:t>分包：</w:t>
            </w:r>
          </w:p>
          <w:p w14:paraId="0B35F5B2">
            <w:pPr>
              <w:spacing w:line="360" w:lineRule="auto"/>
              <w:rPr>
                <w:rFonts w:ascii="宋体" w:hAnsi="宋体" w:cs="宋体"/>
                <w:color w:val="auto"/>
                <w:sz w:val="24"/>
                <w:highlight w:val="none"/>
              </w:rPr>
            </w:pPr>
            <w:sdt>
              <w:sdtPr>
                <w:rPr>
                  <w:rFonts w:hint="eastAsia"/>
                  <w:color w:val="auto"/>
                  <w:highlight w:val="none"/>
                </w:rPr>
                <w:id w:val="183031108"/>
                <w14:checkbox>
                  <w14:checked w14:val="1"/>
                  <w14:checkedState w14:val="00FE" w14:font="Wingdings"/>
                  <w14:uncheckedState w14:val="2610" w14:font="MS Gothic"/>
                </w14:checkbox>
              </w:sdtPr>
              <w:sdtEndPr>
                <w:rPr>
                  <w:rFonts w:hint="eastAsia"/>
                  <w:color w:val="auto"/>
                  <w:highlight w:val="none"/>
                </w:rPr>
              </w:sdtEndPr>
              <w:sdtContent>
                <w:r>
                  <w:rPr>
                    <w:rFonts w:ascii="Wingdings" w:hAnsi="Wingdings"/>
                    <w:color w:val="auto"/>
                    <w:highlight w:val="none"/>
                  </w:rPr>
                  <w:t></w:t>
                </w:r>
              </w:sdtContent>
            </w:sdt>
            <w:r>
              <w:rPr>
                <w:rFonts w:hint="eastAsia" w:ascii="宋体" w:hAnsi="宋体" w:cs="宋体"/>
                <w:color w:val="auto"/>
                <w:sz w:val="24"/>
                <w:highlight w:val="none"/>
              </w:rPr>
              <w:t>A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4E79706A">
            <w:pPr>
              <w:spacing w:line="360" w:lineRule="auto"/>
              <w:rPr>
                <w:rFonts w:ascii="宋体" w:hAnsi="宋体" w:cs="宋体"/>
                <w:color w:val="auto"/>
                <w:sz w:val="24"/>
                <w:highlight w:val="none"/>
              </w:rPr>
            </w:pPr>
            <w:r>
              <w:rPr>
                <w:rFonts w:hint="eastAsia" w:ascii="宋体" w:hAnsi="宋体" w:cs="宋体"/>
                <w:color w:val="auto"/>
                <w:sz w:val="24"/>
                <w:highlight w:val="none"/>
              </w:rPr>
              <w:t>☐ B不同意分包。</w:t>
            </w:r>
          </w:p>
        </w:tc>
      </w:tr>
      <w:tr w14:paraId="730795F1">
        <w:tc>
          <w:tcPr>
            <w:tcW w:w="629" w:type="dxa"/>
            <w:tcBorders>
              <w:tl2br w:val="nil"/>
              <w:tr2bl w:val="nil"/>
            </w:tcBorders>
            <w:vAlign w:val="center"/>
          </w:tcPr>
          <w:p w14:paraId="703CE8C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l2br w:val="nil"/>
              <w:tr2bl w:val="nil"/>
            </w:tcBorders>
            <w:vAlign w:val="center"/>
          </w:tcPr>
          <w:p w14:paraId="407703B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l2br w:val="nil"/>
              <w:tr2bl w:val="nil"/>
            </w:tcBorders>
            <w:vAlign w:val="center"/>
          </w:tcPr>
          <w:p w14:paraId="40FCB256">
            <w:pPr>
              <w:spacing w:line="360" w:lineRule="auto"/>
              <w:rPr>
                <w:rFonts w:ascii="宋体" w:hAnsi="宋体" w:cs="宋体"/>
                <w:color w:val="auto"/>
                <w:sz w:val="24"/>
                <w:highlight w:val="none"/>
              </w:rPr>
            </w:pPr>
            <w:sdt>
              <w:sdtPr>
                <w:rPr>
                  <w:rFonts w:hint="eastAsia"/>
                  <w:color w:val="auto"/>
                  <w:highlight w:val="none"/>
                </w:rPr>
                <w:id w:val="147461205"/>
                <w14:checkbox>
                  <w14:checked w14:val="1"/>
                  <w14:checkedState w14:val="00FE" w14:font="Wingdings"/>
                  <w14:uncheckedState w14:val="2610" w14:font="MS Gothic"/>
                </w14:checkbox>
              </w:sdtPr>
              <w:sdtEndPr>
                <w:rPr>
                  <w:rFonts w:hint="eastAsia"/>
                  <w:color w:val="auto"/>
                  <w:highlight w:val="none"/>
                </w:rPr>
              </w:sdtEndPr>
              <w:sdtContent>
                <w:r>
                  <w:rPr>
                    <w:rFonts w:ascii="Wingdings" w:hAnsi="Wingdings"/>
                    <w:color w:val="auto"/>
                    <w:highlight w:val="none"/>
                  </w:rPr>
                  <w:t></w:t>
                </w:r>
              </w:sdtContent>
            </w:sdt>
            <w:r>
              <w:rPr>
                <w:rFonts w:hint="eastAsia" w:ascii="宋体" w:hAnsi="宋体" w:cs="宋体"/>
                <w:color w:val="auto"/>
                <w:sz w:val="24"/>
                <w:highlight w:val="none"/>
              </w:rPr>
              <w:t>A不组织。</w:t>
            </w:r>
          </w:p>
          <w:p w14:paraId="585B6E0F">
            <w:pPr>
              <w:spacing w:line="360" w:lineRule="auto"/>
              <w:rPr>
                <w:rFonts w:ascii="宋体" w:hAnsi="宋体" w:cs="宋体"/>
                <w:color w:val="auto"/>
                <w:sz w:val="24"/>
                <w:highlight w:val="none"/>
              </w:rPr>
            </w:pPr>
            <w:sdt>
              <w:sdtPr>
                <w:rPr>
                  <w:rFonts w:hint="eastAsia" w:ascii="宋体" w:hAnsi="宋体" w:cs="宋体"/>
                  <w:color w:val="auto"/>
                  <w:sz w:val="24"/>
                  <w:highlight w:val="none"/>
                </w:rPr>
                <w:id w:val="147458470"/>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B组织，时间：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2BAC9E3">
            <w:pPr>
              <w:pStyle w:val="81"/>
              <w:ind w:firstLine="0" w:firstLineChars="0"/>
              <w:rPr>
                <w:color w:val="auto"/>
                <w:highlight w:val="none"/>
              </w:rPr>
            </w:pPr>
            <w:r>
              <w:rPr>
                <w:rFonts w:hint="eastAsia" w:ascii="宋体" w:hAnsi="宋体" w:eastAsia="宋体" w:cs="宋体"/>
                <w:color w:val="auto"/>
                <w:sz w:val="24"/>
                <w:szCs w:val="24"/>
                <w:highlight w:val="none"/>
              </w:rPr>
              <w:t>☐C不统一组织，供应商在获取采购文件后，自行至项目现场考察。地点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color w:val="auto"/>
                <w:highlight w:val="none"/>
              </w:rPr>
              <w:t>。</w:t>
            </w:r>
          </w:p>
          <w:p w14:paraId="153B20B3">
            <w:pPr>
              <w:pStyle w:val="81"/>
              <w:rPr>
                <w:color w:val="auto"/>
                <w:highlight w:val="none"/>
              </w:rPr>
            </w:pPr>
          </w:p>
        </w:tc>
      </w:tr>
      <w:tr w14:paraId="5D582A28">
        <w:tc>
          <w:tcPr>
            <w:tcW w:w="629" w:type="dxa"/>
            <w:tcBorders>
              <w:tl2br w:val="nil"/>
              <w:tr2bl w:val="nil"/>
            </w:tcBorders>
            <w:vAlign w:val="center"/>
          </w:tcPr>
          <w:p w14:paraId="340DDE1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l2br w:val="nil"/>
              <w:tr2bl w:val="nil"/>
            </w:tcBorders>
            <w:vAlign w:val="center"/>
          </w:tcPr>
          <w:p w14:paraId="4208792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l2br w:val="nil"/>
              <w:tr2bl w:val="nil"/>
            </w:tcBorders>
            <w:vAlign w:val="center"/>
          </w:tcPr>
          <w:p w14:paraId="532D029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327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6D7138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8E3CB3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BB8451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FE1BEC4">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479525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DEA4C9B">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C89F8D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9D9F51F">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4519E24">
        <w:tc>
          <w:tcPr>
            <w:tcW w:w="629" w:type="dxa"/>
            <w:tcBorders>
              <w:tl2br w:val="nil"/>
              <w:tr2bl w:val="nil"/>
            </w:tcBorders>
            <w:vAlign w:val="center"/>
          </w:tcPr>
          <w:p w14:paraId="00F7AEC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l2br w:val="nil"/>
              <w:tr2bl w:val="nil"/>
            </w:tcBorders>
            <w:vAlign w:val="center"/>
          </w:tcPr>
          <w:p w14:paraId="4AFCACE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l2br w:val="nil"/>
              <w:tr2bl w:val="nil"/>
            </w:tcBorders>
            <w:vAlign w:val="center"/>
          </w:tcPr>
          <w:p w14:paraId="76CD7E2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47668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CE1D35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56F761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0E33C0A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725D5E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684AD9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99770C5">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21F9FD5">
        <w:tc>
          <w:tcPr>
            <w:tcW w:w="629" w:type="dxa"/>
            <w:vMerge w:val="restart"/>
            <w:tcBorders>
              <w:tl2br w:val="nil"/>
              <w:tr2bl w:val="nil"/>
            </w:tcBorders>
            <w:vAlign w:val="center"/>
          </w:tcPr>
          <w:p w14:paraId="0D7CF0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l2br w:val="nil"/>
              <w:tr2bl w:val="nil"/>
            </w:tcBorders>
            <w:vAlign w:val="center"/>
          </w:tcPr>
          <w:p w14:paraId="4D117B8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l2br w:val="nil"/>
              <w:tr2bl w:val="nil"/>
            </w:tcBorders>
            <w:vAlign w:val="center"/>
          </w:tcPr>
          <w:p w14:paraId="7ACBEB85">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BF407BC">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D35462F">
        <w:tc>
          <w:tcPr>
            <w:tcW w:w="629" w:type="dxa"/>
            <w:vMerge w:val="continue"/>
            <w:tcBorders>
              <w:tl2br w:val="nil"/>
              <w:tr2bl w:val="nil"/>
            </w:tcBorders>
            <w:vAlign w:val="center"/>
          </w:tcPr>
          <w:p w14:paraId="48A0674A">
            <w:pPr>
              <w:snapToGrid w:val="0"/>
              <w:spacing w:line="360" w:lineRule="auto"/>
              <w:jc w:val="center"/>
              <w:rPr>
                <w:rFonts w:ascii="宋体" w:hAnsi="宋体" w:cs="宋体"/>
                <w:color w:val="auto"/>
                <w:sz w:val="24"/>
                <w:highlight w:val="none"/>
              </w:rPr>
            </w:pPr>
          </w:p>
        </w:tc>
        <w:tc>
          <w:tcPr>
            <w:tcW w:w="1843" w:type="dxa"/>
            <w:vMerge w:val="continue"/>
            <w:tcBorders>
              <w:tl2br w:val="nil"/>
              <w:tr2bl w:val="nil"/>
            </w:tcBorders>
            <w:vAlign w:val="center"/>
          </w:tcPr>
          <w:p w14:paraId="0AF369D9">
            <w:pPr>
              <w:snapToGrid w:val="0"/>
              <w:spacing w:line="360" w:lineRule="auto"/>
              <w:jc w:val="center"/>
              <w:rPr>
                <w:rFonts w:ascii="宋体" w:hAnsi="宋体" w:cs="宋体"/>
                <w:b/>
                <w:color w:val="auto"/>
                <w:sz w:val="24"/>
                <w:highlight w:val="none"/>
              </w:rPr>
            </w:pPr>
          </w:p>
        </w:tc>
        <w:tc>
          <w:tcPr>
            <w:tcW w:w="6095" w:type="dxa"/>
            <w:tcBorders>
              <w:tl2br w:val="nil"/>
              <w:tr2bl w:val="nil"/>
            </w:tcBorders>
            <w:vAlign w:val="center"/>
          </w:tcPr>
          <w:p w14:paraId="1FCF4CB6">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1479403">
        <w:tc>
          <w:tcPr>
            <w:tcW w:w="629" w:type="dxa"/>
            <w:tcBorders>
              <w:tl2br w:val="nil"/>
              <w:tr2bl w:val="nil"/>
            </w:tcBorders>
            <w:vAlign w:val="center"/>
          </w:tcPr>
          <w:p w14:paraId="278E0E9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l2br w:val="nil"/>
              <w:tr2bl w:val="nil"/>
            </w:tcBorders>
            <w:vAlign w:val="center"/>
          </w:tcPr>
          <w:p w14:paraId="2ADDA56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l2br w:val="nil"/>
              <w:tr2bl w:val="nil"/>
            </w:tcBorders>
            <w:vAlign w:val="center"/>
          </w:tcPr>
          <w:p w14:paraId="047EF332">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6E4D405">
            <w:pPr>
              <w:spacing w:line="360" w:lineRule="auto"/>
              <w:rPr>
                <w:rFonts w:ascii="宋体" w:hAnsi="宋体" w:cs="宋体"/>
                <w:color w:val="auto"/>
                <w:sz w:val="24"/>
                <w:highlight w:val="none"/>
              </w:rPr>
            </w:pPr>
            <w:sdt>
              <w:sdtPr>
                <w:rPr>
                  <w:rFonts w:hint="eastAsia" w:ascii="宋体" w:hAnsi="宋体" w:cs="宋体"/>
                  <w:color w:val="auto"/>
                  <w:sz w:val="24"/>
                  <w:highlight w:val="none"/>
                </w:rPr>
                <w:id w:val="147461840"/>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宋体" w:hAnsi="宋体" w:cs="宋体"/>
                    <w:color w:val="auto"/>
                    <w:sz w:val="24"/>
                    <w:highlight w:val="none"/>
                  </w:rPr>
                  <w:t>☐</w:t>
                </w:r>
              </w:sdtContent>
            </w:sdt>
            <w:r>
              <w:rPr>
                <w:rFonts w:hint="eastAsia" w:ascii="宋体" w:hAnsi="宋体" w:cs="宋体"/>
                <w:color w:val="auto"/>
                <w:sz w:val="24"/>
                <w:highlight w:val="none"/>
              </w:rPr>
              <w:t xml:space="preserve">强制采购。产品：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   </w:t>
            </w:r>
          </w:p>
          <w:p w14:paraId="370F88D1">
            <w:pPr>
              <w:spacing w:line="360" w:lineRule="auto"/>
              <w:rPr>
                <w:rFonts w:ascii="宋体" w:hAnsi="宋体" w:cs="宋体"/>
                <w:color w:val="auto"/>
                <w:sz w:val="24"/>
                <w:highlight w:val="none"/>
              </w:rPr>
            </w:pPr>
            <w:r>
              <w:rPr>
                <w:rFonts w:hint="eastAsia" w:ascii="宋体" w:hAnsi="宋体" w:cs="宋体"/>
                <w:color w:val="auto"/>
                <w:sz w:val="24"/>
                <w:highlight w:val="none"/>
              </w:rPr>
              <w:t>□优先采购节能产品。产品：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12712A">
            <w:pPr>
              <w:spacing w:line="360" w:lineRule="auto"/>
              <w:rPr>
                <w:rFonts w:ascii="宋体" w:hAnsi="宋体" w:cs="宋体"/>
                <w:color w:val="auto"/>
                <w:sz w:val="24"/>
                <w:highlight w:val="none"/>
              </w:rPr>
            </w:pPr>
            <w:r>
              <w:rPr>
                <w:rFonts w:hint="eastAsia" w:ascii="宋体" w:hAnsi="宋体" w:cs="宋体"/>
                <w:color w:val="auto"/>
                <w:sz w:val="24"/>
                <w:highlight w:val="none"/>
              </w:rPr>
              <w:t>□优先采购环保产品。产品：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   </w:t>
            </w:r>
          </w:p>
          <w:p w14:paraId="58956343">
            <w:pPr>
              <w:spacing w:line="360" w:lineRule="auto"/>
              <w:rPr>
                <w:rFonts w:ascii="宋体" w:hAnsi="宋体" w:cs="宋体"/>
                <w:color w:val="auto"/>
                <w:kern w:val="0"/>
                <w:sz w:val="24"/>
                <w:highlight w:val="none"/>
              </w:rPr>
            </w:pPr>
            <w:r>
              <w:rPr>
                <w:rFonts w:hint="eastAsia" w:ascii="宋体" w:hAnsi="宋体" w:cs="宋体"/>
                <w:color w:val="auto"/>
                <w:sz w:val="24"/>
                <w:highlight w:val="none"/>
              </w:rPr>
              <w:t>☑无：本项目为服务项目，不适用。</w:t>
            </w:r>
          </w:p>
        </w:tc>
      </w:tr>
      <w:tr w14:paraId="67858370">
        <w:tc>
          <w:tcPr>
            <w:tcW w:w="629" w:type="dxa"/>
            <w:tcBorders>
              <w:tl2br w:val="nil"/>
              <w:tr2bl w:val="nil"/>
            </w:tcBorders>
            <w:vAlign w:val="center"/>
          </w:tcPr>
          <w:p w14:paraId="4AACFE1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l2br w:val="nil"/>
              <w:tr2bl w:val="nil"/>
            </w:tcBorders>
            <w:vAlign w:val="center"/>
          </w:tcPr>
          <w:p w14:paraId="4E3D28A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l2br w:val="nil"/>
              <w:tr2bl w:val="nil"/>
            </w:tcBorders>
            <w:vAlign w:val="center"/>
          </w:tcPr>
          <w:p w14:paraId="31158F81">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5DD0FBD1">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FD819FD">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rPr>
              <w:t>1.</w:t>
            </w:r>
            <w:r>
              <w:rPr>
                <w:rFonts w:hint="eastAsia" w:ascii="宋体" w:hAnsi="宋体" w:cs="宋体"/>
                <w:b/>
                <w:color w:val="auto"/>
                <w:kern w:val="0"/>
                <w:sz w:val="24"/>
                <w:highlight w:val="none"/>
                <w:lang w:val="zh-CN"/>
              </w:rPr>
              <w:t>投标文件出现不是唯一的、有选择性投标报价的；</w:t>
            </w:r>
          </w:p>
          <w:p w14:paraId="117BB367">
            <w:pPr>
              <w:snapToGrid w:val="0"/>
              <w:spacing w:line="360" w:lineRule="auto"/>
              <w:jc w:val="left"/>
              <w:rPr>
                <w:rFonts w:ascii="宋体" w:hAnsi="宋体" w:cs="宋体"/>
                <w:color w:val="auto"/>
                <w:kern w:val="0"/>
                <w:sz w:val="24"/>
                <w:highlight w:val="none"/>
                <w:lang w:val="zh-CN"/>
              </w:rPr>
            </w:pP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投标报价超过招标文件中规定的预算金额或者最高限价的;</w:t>
            </w:r>
          </w:p>
          <w:p w14:paraId="499FD8BB">
            <w:pPr>
              <w:spacing w:line="360" w:lineRule="auto"/>
              <w:rPr>
                <w:rFonts w:ascii="宋体" w:hAnsi="宋体" w:cs="宋体"/>
                <w:b/>
                <w:color w:val="auto"/>
                <w:sz w:val="24"/>
                <w:highlight w:val="none"/>
              </w:rPr>
            </w:pPr>
            <w:r>
              <w:rPr>
                <w:rFonts w:hint="eastAsia" w:ascii="宋体" w:hAnsi="宋体" w:cs="宋体"/>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3D0F860">
            <w:pPr>
              <w:spacing w:line="360" w:lineRule="auto"/>
              <w:rPr>
                <w:rFonts w:ascii="宋体" w:hAnsi="宋体" w:cs="宋体"/>
                <w:color w:val="auto"/>
                <w:sz w:val="24"/>
                <w:highlight w:val="none"/>
              </w:rPr>
            </w:pPr>
            <w:r>
              <w:rPr>
                <w:rFonts w:hint="eastAsia" w:ascii="宋体" w:hAnsi="宋体" w:cs="宋体"/>
                <w:b/>
                <w:color w:val="auto"/>
                <w:kern w:val="0"/>
                <w:sz w:val="24"/>
                <w:highlight w:val="none"/>
              </w:rPr>
              <w:t>4.投标人对根据修正原则修正后的报价不确认的</w:t>
            </w:r>
            <w:r>
              <w:rPr>
                <w:rFonts w:hint="eastAsia" w:ascii="宋体" w:hAnsi="宋体" w:cs="宋体"/>
                <w:b/>
                <w:color w:val="auto"/>
                <w:sz w:val="24"/>
                <w:highlight w:val="none"/>
              </w:rPr>
              <w:t>。</w:t>
            </w:r>
          </w:p>
        </w:tc>
      </w:tr>
      <w:tr w14:paraId="67CD7E9A">
        <w:tc>
          <w:tcPr>
            <w:tcW w:w="629" w:type="dxa"/>
            <w:tcBorders>
              <w:tl2br w:val="nil"/>
              <w:tr2bl w:val="nil"/>
            </w:tcBorders>
            <w:vAlign w:val="center"/>
          </w:tcPr>
          <w:p w14:paraId="73AA07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l2br w:val="nil"/>
              <w:tr2bl w:val="nil"/>
            </w:tcBorders>
            <w:vAlign w:val="center"/>
          </w:tcPr>
          <w:p w14:paraId="0037F3C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l2br w:val="nil"/>
              <w:tr2bl w:val="nil"/>
            </w:tcBorders>
            <w:vAlign w:val="center"/>
          </w:tcPr>
          <w:p w14:paraId="7F4A52C1">
            <w:pPr>
              <w:spacing w:line="360" w:lineRule="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EB506B0">
        <w:tc>
          <w:tcPr>
            <w:tcW w:w="629" w:type="dxa"/>
            <w:tcBorders>
              <w:tl2br w:val="nil"/>
              <w:tr2bl w:val="nil"/>
            </w:tcBorders>
            <w:vAlign w:val="center"/>
          </w:tcPr>
          <w:p w14:paraId="40A0F20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l2br w:val="nil"/>
              <w:tr2bl w:val="nil"/>
            </w:tcBorders>
            <w:vAlign w:val="center"/>
          </w:tcPr>
          <w:p w14:paraId="0400995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l2br w:val="nil"/>
              <w:tr2bl w:val="nil"/>
            </w:tcBorders>
            <w:vAlign w:val="center"/>
          </w:tcPr>
          <w:p w14:paraId="4856574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投标人可在投标截止时间前以Email形式发送备份投标文件至采购代理机构邮箱：1241596092@qq.com,邮件主题建议为：项目名称+“备份文件”。</w:t>
            </w:r>
          </w:p>
          <w:p w14:paraId="7F990DB6">
            <w:pPr>
              <w:pStyle w:val="33"/>
              <w:spacing w:line="360" w:lineRule="auto"/>
              <w:rPr>
                <w:rFonts w:hAnsi="宋体" w:cs="宋体"/>
                <w:color w:val="auto"/>
                <w:kern w:val="28"/>
                <w:sz w:val="24"/>
                <w:highlight w:val="none"/>
              </w:rPr>
            </w:pPr>
            <w:r>
              <w:rPr>
                <w:rFonts w:hint="eastAsia" w:hAnsi="宋体" w:cs="宋体"/>
                <w:b/>
                <w:color w:val="auto"/>
                <w:sz w:val="24"/>
                <w:szCs w:val="24"/>
                <w:highlight w:val="none"/>
              </w:rPr>
              <w:t>采购人、采购代理机构不强制或变相强制投标人提交备份投标文件。</w:t>
            </w:r>
          </w:p>
        </w:tc>
      </w:tr>
      <w:tr w14:paraId="090DF9B9">
        <w:tc>
          <w:tcPr>
            <w:tcW w:w="629" w:type="dxa"/>
            <w:vMerge w:val="restart"/>
            <w:tcBorders>
              <w:tl2br w:val="nil"/>
              <w:tr2bl w:val="nil"/>
            </w:tcBorders>
            <w:vAlign w:val="center"/>
          </w:tcPr>
          <w:p w14:paraId="65CFF26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l2br w:val="nil"/>
              <w:tr2bl w:val="nil"/>
            </w:tcBorders>
            <w:vAlign w:val="center"/>
          </w:tcPr>
          <w:p w14:paraId="678A77AB">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联合体投标特别说明</w:t>
            </w:r>
          </w:p>
        </w:tc>
        <w:tc>
          <w:tcPr>
            <w:tcW w:w="6095" w:type="dxa"/>
            <w:tcBorders>
              <w:tl2br w:val="nil"/>
              <w:tr2bl w:val="nil"/>
            </w:tcBorders>
            <w:vAlign w:val="center"/>
          </w:tcPr>
          <w:p w14:paraId="0E23569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以联合体形式投标的，须提供联合协议，且协议由联合体各方加盖公章。（除联合体协议及中小企业声明函（若要求）须由联合体各方加盖公章，投标文件其余部分由联合体牵头单位盖章即可）</w:t>
            </w:r>
          </w:p>
        </w:tc>
      </w:tr>
      <w:tr w14:paraId="72AC81A7">
        <w:tc>
          <w:tcPr>
            <w:tcW w:w="629" w:type="dxa"/>
            <w:vMerge w:val="continue"/>
            <w:tcBorders>
              <w:tl2br w:val="nil"/>
              <w:tr2bl w:val="nil"/>
            </w:tcBorders>
            <w:vAlign w:val="center"/>
          </w:tcPr>
          <w:p w14:paraId="4686EEB9">
            <w:pPr>
              <w:snapToGrid w:val="0"/>
              <w:spacing w:line="360" w:lineRule="auto"/>
              <w:jc w:val="center"/>
              <w:rPr>
                <w:rFonts w:ascii="宋体" w:hAnsi="宋体" w:cs="宋体"/>
                <w:color w:val="auto"/>
                <w:sz w:val="24"/>
                <w:highlight w:val="none"/>
              </w:rPr>
            </w:pPr>
          </w:p>
        </w:tc>
        <w:tc>
          <w:tcPr>
            <w:tcW w:w="1843" w:type="dxa"/>
            <w:vMerge w:val="continue"/>
            <w:tcBorders>
              <w:tl2br w:val="nil"/>
              <w:tr2bl w:val="nil"/>
            </w:tcBorders>
            <w:vAlign w:val="center"/>
          </w:tcPr>
          <w:p w14:paraId="1B144559">
            <w:pPr>
              <w:snapToGrid w:val="0"/>
              <w:spacing w:line="360" w:lineRule="auto"/>
              <w:jc w:val="center"/>
              <w:rPr>
                <w:rFonts w:ascii="宋体" w:hAnsi="宋体" w:cs="宋体"/>
                <w:b/>
                <w:color w:val="auto"/>
                <w:sz w:val="24"/>
                <w:highlight w:val="none"/>
              </w:rPr>
            </w:pPr>
          </w:p>
        </w:tc>
        <w:tc>
          <w:tcPr>
            <w:tcW w:w="6095" w:type="dxa"/>
            <w:tcBorders>
              <w:tl2br w:val="nil"/>
              <w:tr2bl w:val="nil"/>
            </w:tcBorders>
            <w:vAlign w:val="center"/>
          </w:tcPr>
          <w:p w14:paraId="06EFDD37">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828A4F4">
        <w:tc>
          <w:tcPr>
            <w:tcW w:w="629" w:type="dxa"/>
            <w:vMerge w:val="continue"/>
            <w:tcBorders>
              <w:tl2br w:val="nil"/>
              <w:tr2bl w:val="nil"/>
            </w:tcBorders>
            <w:vAlign w:val="center"/>
          </w:tcPr>
          <w:p w14:paraId="24E418BD">
            <w:pPr>
              <w:snapToGrid w:val="0"/>
              <w:spacing w:line="360" w:lineRule="auto"/>
              <w:jc w:val="center"/>
              <w:rPr>
                <w:rFonts w:ascii="宋体" w:hAnsi="宋体" w:cs="宋体"/>
                <w:color w:val="auto"/>
                <w:sz w:val="24"/>
                <w:highlight w:val="none"/>
              </w:rPr>
            </w:pPr>
          </w:p>
        </w:tc>
        <w:tc>
          <w:tcPr>
            <w:tcW w:w="1843" w:type="dxa"/>
            <w:vMerge w:val="continue"/>
            <w:tcBorders>
              <w:tl2br w:val="nil"/>
              <w:tr2bl w:val="nil"/>
            </w:tcBorders>
            <w:vAlign w:val="center"/>
          </w:tcPr>
          <w:p w14:paraId="47E3A761">
            <w:pPr>
              <w:snapToGrid w:val="0"/>
              <w:spacing w:line="360" w:lineRule="auto"/>
              <w:jc w:val="center"/>
              <w:rPr>
                <w:rFonts w:cs="仿宋_GB2312" w:asciiTheme="minorEastAsia" w:hAnsiTheme="minorEastAsia" w:eastAsiaTheme="minorEastAsia"/>
                <w:b/>
                <w:color w:val="auto"/>
                <w:sz w:val="24"/>
                <w:highlight w:val="none"/>
              </w:rPr>
            </w:pPr>
          </w:p>
        </w:tc>
        <w:tc>
          <w:tcPr>
            <w:tcW w:w="6095" w:type="dxa"/>
            <w:tcBorders>
              <w:tl2br w:val="nil"/>
              <w:tr2bl w:val="nil"/>
            </w:tcBorders>
            <w:vAlign w:val="center"/>
          </w:tcPr>
          <w:p w14:paraId="19693082">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联合体中有同类资质的供应商按照联合体分工承担相同工作的，应当按照资质等级较低的供应商确定资质等级。</w:t>
            </w:r>
          </w:p>
        </w:tc>
      </w:tr>
      <w:tr w14:paraId="3E8B07EE">
        <w:tc>
          <w:tcPr>
            <w:tcW w:w="629" w:type="dxa"/>
            <w:vMerge w:val="continue"/>
            <w:tcBorders>
              <w:tl2br w:val="nil"/>
              <w:tr2bl w:val="nil"/>
            </w:tcBorders>
            <w:vAlign w:val="center"/>
          </w:tcPr>
          <w:p w14:paraId="5CECA268">
            <w:pPr>
              <w:snapToGrid w:val="0"/>
              <w:spacing w:line="360" w:lineRule="auto"/>
              <w:jc w:val="center"/>
              <w:rPr>
                <w:rFonts w:ascii="宋体" w:hAnsi="宋体" w:cs="宋体"/>
                <w:color w:val="auto"/>
                <w:sz w:val="24"/>
                <w:highlight w:val="none"/>
              </w:rPr>
            </w:pPr>
          </w:p>
        </w:tc>
        <w:tc>
          <w:tcPr>
            <w:tcW w:w="1843" w:type="dxa"/>
            <w:vMerge w:val="continue"/>
            <w:tcBorders>
              <w:tl2br w:val="nil"/>
              <w:tr2bl w:val="nil"/>
            </w:tcBorders>
            <w:vAlign w:val="center"/>
          </w:tcPr>
          <w:p w14:paraId="6133CBBF">
            <w:pPr>
              <w:snapToGrid w:val="0"/>
              <w:spacing w:line="360" w:lineRule="auto"/>
              <w:jc w:val="center"/>
              <w:rPr>
                <w:rFonts w:ascii="宋体" w:hAnsi="宋体" w:cs="宋体"/>
                <w:b/>
                <w:color w:val="auto"/>
                <w:sz w:val="24"/>
                <w:highlight w:val="none"/>
              </w:rPr>
            </w:pPr>
          </w:p>
        </w:tc>
        <w:tc>
          <w:tcPr>
            <w:tcW w:w="6095" w:type="dxa"/>
            <w:tcBorders>
              <w:tl2br w:val="nil"/>
              <w:tr2bl w:val="nil"/>
            </w:tcBorders>
            <w:vAlign w:val="center"/>
          </w:tcPr>
          <w:p w14:paraId="11FF6FC7">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426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C4D8443">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E50AE3E">
        <w:tc>
          <w:tcPr>
            <w:tcW w:w="629" w:type="dxa"/>
            <w:vMerge w:val="continue"/>
            <w:tcBorders>
              <w:tl2br w:val="nil"/>
              <w:tr2bl w:val="nil"/>
            </w:tcBorders>
            <w:vAlign w:val="center"/>
          </w:tcPr>
          <w:p w14:paraId="58D626D8">
            <w:pPr>
              <w:snapToGrid w:val="0"/>
              <w:spacing w:line="360" w:lineRule="auto"/>
              <w:jc w:val="center"/>
              <w:rPr>
                <w:rFonts w:ascii="宋体" w:hAnsi="宋体" w:cs="宋体"/>
                <w:color w:val="auto"/>
                <w:sz w:val="24"/>
                <w:highlight w:val="none"/>
              </w:rPr>
            </w:pPr>
          </w:p>
        </w:tc>
        <w:tc>
          <w:tcPr>
            <w:tcW w:w="1843" w:type="dxa"/>
            <w:vMerge w:val="continue"/>
            <w:tcBorders>
              <w:tl2br w:val="nil"/>
              <w:tr2bl w:val="nil"/>
            </w:tcBorders>
            <w:vAlign w:val="center"/>
          </w:tcPr>
          <w:p w14:paraId="7E46CDBF">
            <w:pPr>
              <w:snapToGrid w:val="0"/>
              <w:spacing w:line="360" w:lineRule="auto"/>
              <w:jc w:val="center"/>
              <w:rPr>
                <w:rFonts w:ascii="宋体" w:hAnsi="宋体" w:cs="宋体"/>
                <w:b/>
                <w:color w:val="auto"/>
                <w:sz w:val="24"/>
                <w:highlight w:val="none"/>
              </w:rPr>
            </w:pPr>
          </w:p>
        </w:tc>
        <w:tc>
          <w:tcPr>
            <w:tcW w:w="6095" w:type="dxa"/>
            <w:tcBorders>
              <w:tl2br w:val="nil"/>
              <w:tr2bl w:val="nil"/>
            </w:tcBorders>
            <w:vAlign w:val="center"/>
          </w:tcPr>
          <w:p w14:paraId="35D4C086">
            <w:pPr>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▲以联合体形式参加政府采购活动的，联合体各方不得再单独参加或者与其他投标人另外组成联合体参加同一合同项下的政府采购活动；</w:t>
            </w:r>
          </w:p>
        </w:tc>
      </w:tr>
      <w:tr w14:paraId="6ADDF119">
        <w:tc>
          <w:tcPr>
            <w:tcW w:w="629" w:type="dxa"/>
            <w:tcBorders>
              <w:tl2br w:val="nil"/>
              <w:tr2bl w:val="nil"/>
            </w:tcBorders>
            <w:vAlign w:val="center"/>
          </w:tcPr>
          <w:p w14:paraId="7D5F4FB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l2br w:val="nil"/>
              <w:tr2bl w:val="nil"/>
            </w:tcBorders>
            <w:vAlign w:val="center"/>
          </w:tcPr>
          <w:p w14:paraId="443FB52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rPr>
              <w:t>中标候选人数量</w:t>
            </w:r>
          </w:p>
        </w:tc>
        <w:tc>
          <w:tcPr>
            <w:tcW w:w="6095" w:type="dxa"/>
            <w:tcBorders>
              <w:tl2br w:val="nil"/>
              <w:tr2bl w:val="nil"/>
            </w:tcBorders>
            <w:vAlign w:val="center"/>
          </w:tcPr>
          <w:p w14:paraId="486D6A2C">
            <w:pPr>
              <w:spacing w:line="360" w:lineRule="auto"/>
              <w:rPr>
                <w:rFonts w:cs="Arial" w:asciiTheme="minorEastAsia" w:hAnsiTheme="minorEastAsia" w:eastAsiaTheme="minorEastAsia"/>
                <w:color w:val="auto"/>
                <w:kern w:val="0"/>
                <w:sz w:val="24"/>
                <w:highlight w:val="none"/>
              </w:rPr>
            </w:pP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1家</w:t>
            </w:r>
            <w:r>
              <w:rPr>
                <w:rFonts w:hint="eastAsia" w:ascii="宋体" w:hAnsi="宋体" w:cs="宋体"/>
                <w:color w:val="auto"/>
                <w:kern w:val="0"/>
                <w:sz w:val="24"/>
                <w:highlight w:val="none"/>
                <w:lang w:val="en"/>
              </w:rPr>
              <w:t>。</w:t>
            </w:r>
          </w:p>
        </w:tc>
      </w:tr>
      <w:tr w14:paraId="1A2A64B2">
        <w:tc>
          <w:tcPr>
            <w:tcW w:w="629" w:type="dxa"/>
            <w:tcBorders>
              <w:tl2br w:val="nil"/>
              <w:tr2bl w:val="nil"/>
            </w:tcBorders>
            <w:vAlign w:val="center"/>
          </w:tcPr>
          <w:p w14:paraId="232E80A7">
            <w:pPr>
              <w:snapToGrid w:val="0"/>
              <w:spacing w:line="360" w:lineRule="auto"/>
              <w:jc w:val="center"/>
              <w:rPr>
                <w:rFonts w:ascii="宋体" w:hAnsi="宋体" w:cs="宋体"/>
                <w:color w:val="auto"/>
                <w:sz w:val="24"/>
                <w:highlight w:val="none"/>
              </w:rPr>
            </w:pPr>
            <w:bookmarkStart w:id="10" w:name="_Toc164416483"/>
            <w:r>
              <w:rPr>
                <w:rFonts w:hint="eastAsia" w:ascii="宋体" w:hAnsi="宋体" w:cs="宋体"/>
                <w:color w:val="auto"/>
                <w:sz w:val="24"/>
                <w:highlight w:val="none"/>
              </w:rPr>
              <w:t>15</w:t>
            </w:r>
          </w:p>
        </w:tc>
        <w:tc>
          <w:tcPr>
            <w:tcW w:w="1843" w:type="dxa"/>
            <w:tcBorders>
              <w:tl2br w:val="nil"/>
              <w:tr2bl w:val="nil"/>
            </w:tcBorders>
            <w:vAlign w:val="center"/>
          </w:tcPr>
          <w:p w14:paraId="13793787">
            <w:pPr>
              <w:spacing w:line="360" w:lineRule="auto"/>
              <w:jc w:val="center"/>
              <w:rPr>
                <w:rFonts w:ascii="宋体" w:hAnsi="宋体" w:cs="宋体"/>
                <w:color w:val="auto"/>
                <w:kern w:val="0"/>
                <w:sz w:val="24"/>
                <w:highlight w:val="none"/>
                <w:lang w:val="en"/>
              </w:rPr>
            </w:pPr>
            <w:r>
              <w:rPr>
                <w:rFonts w:hint="eastAsia" w:asciiTheme="minorEastAsia" w:hAnsiTheme="minorEastAsia" w:eastAsiaTheme="minorEastAsia" w:cstheme="minorEastAsia"/>
                <w:b/>
                <w:color w:val="auto"/>
                <w:sz w:val="24"/>
                <w:highlight w:val="none"/>
              </w:rPr>
              <w:t>招标代理服务费</w:t>
            </w:r>
          </w:p>
        </w:tc>
        <w:tc>
          <w:tcPr>
            <w:tcW w:w="6095" w:type="dxa"/>
            <w:tcBorders>
              <w:tl2br w:val="nil"/>
              <w:tr2bl w:val="nil"/>
            </w:tcBorders>
            <w:vAlign w:val="center"/>
          </w:tcPr>
          <w:p w14:paraId="31043864">
            <w:pPr>
              <w:snapToGrid w:val="0"/>
              <w:spacing w:line="288" w:lineRule="auto"/>
              <w:rPr>
                <w:rFonts w:ascii="宋体" w:hAnsi="宋体"/>
                <w:color w:val="auto"/>
                <w:szCs w:val="21"/>
                <w:highlight w:val="none"/>
              </w:rPr>
            </w:pPr>
            <w:r>
              <w:rPr>
                <w:rFonts w:hint="eastAsia" w:asciiTheme="minorEastAsia" w:hAnsiTheme="minorEastAsia" w:eastAsiaTheme="minorEastAsia" w:cstheme="minorEastAsia"/>
                <w:b/>
                <w:bCs/>
                <w:snapToGrid w:val="0"/>
                <w:color w:val="auto"/>
                <w:kern w:val="28"/>
                <w:sz w:val="24"/>
                <w:highlight w:val="none"/>
              </w:rPr>
              <w:t>收取标准</w:t>
            </w:r>
            <w:r>
              <w:rPr>
                <w:rFonts w:hint="eastAsia" w:asciiTheme="minorEastAsia" w:hAnsiTheme="minorEastAsia" w:eastAsiaTheme="minorEastAsia" w:cstheme="minorEastAsia"/>
                <w:snapToGrid w:val="0"/>
                <w:color w:val="auto"/>
                <w:kern w:val="28"/>
                <w:sz w:val="24"/>
                <w:highlight w:val="none"/>
              </w:rPr>
              <w:t>：参照国家计委计价格[2002]1980号《招标代理服务收费管理暂行办法》收费标准的80%计取。</w:t>
            </w:r>
          </w:p>
          <w:tbl>
            <w:tblPr>
              <w:tblStyle w:val="6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551"/>
              <w:gridCol w:w="3070"/>
            </w:tblGrid>
            <w:tr w14:paraId="34B199F7">
              <w:trPr>
                <w:trHeight w:val="175" w:hRule="atLeast"/>
                <w:jc w:val="center"/>
              </w:trPr>
              <w:tc>
                <w:tcPr>
                  <w:tcW w:w="2551" w:type="dxa"/>
                  <w:tcMar>
                    <w:top w:w="0" w:type="dxa"/>
                    <w:left w:w="108" w:type="dxa"/>
                    <w:bottom w:w="0" w:type="dxa"/>
                    <w:right w:w="108" w:type="dxa"/>
                  </w:tcMar>
                  <w:vAlign w:val="center"/>
                </w:tcPr>
                <w:p w14:paraId="494DF3D3">
                  <w:pPr>
                    <w:spacing w:line="360" w:lineRule="auto"/>
                    <w:rPr>
                      <w:rFonts w:ascii="宋体" w:hAnsi="宋体" w:cs="宋体"/>
                      <w:color w:val="auto"/>
                      <w:kern w:val="0"/>
                      <w:sz w:val="24"/>
                      <w:highlight w:val="none"/>
                      <w:lang w:val="en"/>
                    </w:rPr>
                  </w:pPr>
                  <w:r>
                    <w:rPr>
                      <w:rFonts w:hint="eastAsia" w:ascii="宋体" w:hAnsi="宋体" w:cs="宋体"/>
                      <w:color w:val="auto"/>
                      <w:kern w:val="0"/>
                      <w:sz w:val="24"/>
                      <w:highlight w:val="none"/>
                      <w:lang w:val="en"/>
                    </w:rPr>
                    <w:t>中标金额（万元）</w:t>
                  </w:r>
                </w:p>
              </w:tc>
              <w:tc>
                <w:tcPr>
                  <w:tcW w:w="3070" w:type="dxa"/>
                  <w:tcMar>
                    <w:top w:w="0" w:type="dxa"/>
                    <w:left w:w="108" w:type="dxa"/>
                    <w:bottom w:w="0" w:type="dxa"/>
                    <w:right w:w="108" w:type="dxa"/>
                  </w:tcMar>
                  <w:vAlign w:val="center"/>
                </w:tcPr>
                <w:p w14:paraId="4301370C">
                  <w:pPr>
                    <w:spacing w:line="360" w:lineRule="auto"/>
                    <w:rPr>
                      <w:rFonts w:ascii="宋体" w:hAnsi="宋体" w:cs="宋体"/>
                      <w:color w:val="auto"/>
                      <w:kern w:val="0"/>
                      <w:sz w:val="24"/>
                      <w:highlight w:val="none"/>
                      <w:lang w:val="en"/>
                    </w:rPr>
                  </w:pPr>
                  <w:r>
                    <w:rPr>
                      <w:rFonts w:hint="eastAsia" w:ascii="宋体" w:hAnsi="宋体" w:cs="宋体"/>
                      <w:color w:val="auto"/>
                      <w:kern w:val="0"/>
                      <w:sz w:val="24"/>
                      <w:highlight w:val="none"/>
                      <w:lang w:val="en"/>
                    </w:rPr>
                    <w:t>收费标准（费率，%）</w:t>
                  </w:r>
                </w:p>
              </w:tc>
            </w:tr>
            <w:tr w14:paraId="3CFE04BC">
              <w:trPr>
                <w:trHeight w:val="267" w:hRule="atLeast"/>
                <w:jc w:val="center"/>
              </w:trPr>
              <w:tc>
                <w:tcPr>
                  <w:tcW w:w="2551" w:type="dxa"/>
                  <w:tcMar>
                    <w:top w:w="0" w:type="dxa"/>
                    <w:left w:w="108" w:type="dxa"/>
                    <w:bottom w:w="0" w:type="dxa"/>
                    <w:right w:w="108" w:type="dxa"/>
                  </w:tcMar>
                  <w:vAlign w:val="center"/>
                </w:tcPr>
                <w:p w14:paraId="5D646F4A">
                  <w:pPr>
                    <w:spacing w:line="360" w:lineRule="auto"/>
                    <w:rPr>
                      <w:rFonts w:ascii="宋体" w:hAnsi="宋体" w:cs="宋体"/>
                      <w:color w:val="auto"/>
                      <w:kern w:val="0"/>
                      <w:sz w:val="24"/>
                      <w:highlight w:val="none"/>
                      <w:lang w:val="en"/>
                    </w:rPr>
                  </w:pPr>
                  <w:r>
                    <w:rPr>
                      <w:rFonts w:hint="eastAsia" w:ascii="宋体" w:hAnsi="宋体" w:cs="宋体"/>
                      <w:color w:val="auto"/>
                      <w:kern w:val="0"/>
                      <w:sz w:val="24"/>
                      <w:highlight w:val="none"/>
                      <w:lang w:val="en"/>
                    </w:rPr>
                    <w:t>100以下</w:t>
                  </w:r>
                </w:p>
              </w:tc>
              <w:tc>
                <w:tcPr>
                  <w:tcW w:w="3070" w:type="dxa"/>
                  <w:tcMar>
                    <w:top w:w="0" w:type="dxa"/>
                    <w:left w:w="108" w:type="dxa"/>
                    <w:bottom w:w="0" w:type="dxa"/>
                    <w:right w:w="108" w:type="dxa"/>
                  </w:tcMar>
                  <w:vAlign w:val="center"/>
                </w:tcPr>
                <w:p w14:paraId="3C5863D3">
                  <w:pPr>
                    <w:spacing w:line="360" w:lineRule="auto"/>
                    <w:rPr>
                      <w:rFonts w:ascii="宋体" w:hAnsi="宋体" w:cs="宋体"/>
                      <w:color w:val="auto"/>
                      <w:kern w:val="0"/>
                      <w:sz w:val="24"/>
                      <w:highlight w:val="none"/>
                      <w:lang w:val="en"/>
                    </w:rPr>
                  </w:pPr>
                  <w:r>
                    <w:rPr>
                      <w:rFonts w:hint="eastAsia" w:ascii="宋体" w:hAnsi="宋体" w:cs="宋体"/>
                      <w:color w:val="auto"/>
                      <w:kern w:val="0"/>
                      <w:sz w:val="24"/>
                      <w:highlight w:val="none"/>
                      <w:lang w:val="en"/>
                    </w:rPr>
                    <w:t>1.</w:t>
                  </w:r>
                  <w:r>
                    <w:rPr>
                      <w:rFonts w:hint="eastAsia" w:ascii="宋体" w:hAnsi="宋体" w:cs="宋体"/>
                      <w:color w:val="auto"/>
                      <w:kern w:val="0"/>
                      <w:sz w:val="24"/>
                      <w:highlight w:val="none"/>
                    </w:rPr>
                    <w:t>2</w:t>
                  </w:r>
                </w:p>
              </w:tc>
            </w:tr>
          </w:tbl>
          <w:p w14:paraId="31781820">
            <w:pPr>
              <w:spacing w:line="360" w:lineRule="auto"/>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招标代理服务费=中标金额*</w:t>
            </w:r>
            <w:r>
              <w:rPr>
                <w:rFonts w:hint="eastAsia" w:ascii="宋体" w:hAnsi="宋体" w:cs="宋体"/>
                <w:color w:val="auto"/>
                <w:kern w:val="0"/>
                <w:sz w:val="24"/>
                <w:highlight w:val="none"/>
                <w:lang w:val="en"/>
              </w:rPr>
              <w:t>1.</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en"/>
              </w:rPr>
              <w:t>%</w:t>
            </w:r>
          </w:p>
          <w:p w14:paraId="2399C879">
            <w:pPr>
              <w:spacing w:line="360" w:lineRule="auto"/>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bCs/>
                <w:snapToGrid w:val="0"/>
                <w:color w:val="auto"/>
                <w:kern w:val="28"/>
                <w:sz w:val="24"/>
                <w:highlight w:val="none"/>
              </w:rPr>
              <w:t>收取方式</w:t>
            </w:r>
            <w:r>
              <w:rPr>
                <w:rFonts w:hint="eastAsia" w:asciiTheme="minorEastAsia" w:hAnsiTheme="minorEastAsia" w:eastAsiaTheme="minorEastAsia" w:cstheme="minorEastAsia"/>
                <w:snapToGrid w:val="0"/>
                <w:color w:val="auto"/>
                <w:kern w:val="28"/>
                <w:sz w:val="24"/>
                <w:highlight w:val="none"/>
              </w:rPr>
              <w:t>：本项目的代理费由中标人支付。由中标人在领取中标通知书时一次性向代理机构付清。账户信息如下：</w:t>
            </w:r>
          </w:p>
          <w:p w14:paraId="60488994">
            <w:pPr>
              <w:spacing w:line="360" w:lineRule="auto"/>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收款单位：浙江华耀建设咨询有限公司</w:t>
            </w:r>
          </w:p>
          <w:p w14:paraId="4D24CD8F">
            <w:pPr>
              <w:spacing w:line="360" w:lineRule="auto"/>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账号：1202026109900014283</w:t>
            </w:r>
          </w:p>
          <w:p w14:paraId="5330E1DC">
            <w:pPr>
              <w:spacing w:line="360" w:lineRule="auto"/>
              <w:rPr>
                <w:rFonts w:ascii="宋体" w:hAnsi="宋体" w:cs="宋体"/>
                <w:color w:val="auto"/>
                <w:kern w:val="0"/>
                <w:sz w:val="24"/>
                <w:highlight w:val="none"/>
                <w:lang w:val="en"/>
              </w:rPr>
            </w:pPr>
            <w:r>
              <w:rPr>
                <w:rFonts w:hint="eastAsia" w:asciiTheme="minorEastAsia" w:hAnsiTheme="minorEastAsia" w:eastAsiaTheme="minorEastAsia" w:cstheme="minorEastAsia"/>
                <w:snapToGrid w:val="0"/>
                <w:color w:val="auto"/>
                <w:kern w:val="28"/>
                <w:sz w:val="24"/>
                <w:highlight w:val="none"/>
              </w:rPr>
              <w:t>开户行：中国工商银行杭州莫干山路支行</w:t>
            </w:r>
          </w:p>
        </w:tc>
      </w:tr>
      <w:tr w14:paraId="5CE188A7">
        <w:tc>
          <w:tcPr>
            <w:tcW w:w="629" w:type="dxa"/>
            <w:tcBorders>
              <w:tl2br w:val="nil"/>
              <w:tr2bl w:val="nil"/>
            </w:tcBorders>
            <w:vAlign w:val="center"/>
          </w:tcPr>
          <w:p w14:paraId="27138CA6">
            <w:pPr>
              <w:spacing w:line="360" w:lineRule="auto"/>
              <w:jc w:val="center"/>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16</w:t>
            </w:r>
          </w:p>
        </w:tc>
        <w:tc>
          <w:tcPr>
            <w:tcW w:w="1843" w:type="dxa"/>
            <w:tcBorders>
              <w:tl2br w:val="nil"/>
              <w:tr2bl w:val="nil"/>
            </w:tcBorders>
            <w:vAlign w:val="center"/>
          </w:tcPr>
          <w:p w14:paraId="0FB1FDD1">
            <w:pPr>
              <w:spacing w:line="360" w:lineRule="auto"/>
              <w:jc w:val="center"/>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b/>
                <w:color w:val="auto"/>
                <w:sz w:val="24"/>
                <w:highlight w:val="none"/>
              </w:rPr>
              <w:t>解释权</w:t>
            </w:r>
          </w:p>
        </w:tc>
        <w:tc>
          <w:tcPr>
            <w:tcW w:w="6095" w:type="dxa"/>
            <w:tcBorders>
              <w:tl2br w:val="nil"/>
              <w:tr2bl w:val="nil"/>
            </w:tcBorders>
            <w:vAlign w:val="center"/>
          </w:tcPr>
          <w:p w14:paraId="63841C22">
            <w:pPr>
              <w:spacing w:line="360" w:lineRule="auto"/>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本招标文件的解释权属于浙江华耀建设咨询有限公司。</w:t>
            </w:r>
          </w:p>
        </w:tc>
      </w:tr>
      <w:bookmarkEnd w:id="8"/>
    </w:tbl>
    <w:p w14:paraId="29B03144">
      <w:pPr>
        <w:adjustRightInd/>
        <w:spacing w:line="360" w:lineRule="auto"/>
        <w:ind w:firstLine="3845" w:firstLineChars="1197"/>
        <w:outlineLvl w:val="0"/>
        <w:rPr>
          <w:rFonts w:ascii="宋体" w:hAnsi="宋体" w:cs="宋体"/>
          <w:b/>
          <w:color w:val="auto"/>
          <w:sz w:val="32"/>
          <w:szCs w:val="20"/>
          <w:highlight w:val="none"/>
        </w:rPr>
      </w:pPr>
    </w:p>
    <w:p w14:paraId="64F92CF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35E357C5">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AF4BC5E">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6EBF99B">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D4E10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D6623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A525B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2CE4A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8A982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0BD7D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209AAD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7DE47F7">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89444B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A208AF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5E9B3E9B">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详见《关于印发节能产品政府采购品目清单的通知》财库〔2019〕19号），若有新规定，按新规定执行）的，投标人相应的投标产品未获得国家确定的认证机构出具的、处于有效期之内的节能产品认证证书的，投标无效。</w:t>
      </w:r>
    </w:p>
    <w:p w14:paraId="0A959C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54CDA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FA77A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522C466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7F98D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w:t>
      </w:r>
      <w:r>
        <w:rPr>
          <w:rFonts w:hint="eastAsia" w:ascii="宋体" w:hAnsi="宋体" w:cs="宋体"/>
          <w:b/>
          <w:bCs/>
          <w:color w:val="auto"/>
          <w:sz w:val="24"/>
          <w:highlight w:val="none"/>
        </w:rPr>
        <w:t>但与大企业的负责人为同一人，或者与大企业存在直接控股、管理关系的除</w:t>
      </w:r>
      <w:r>
        <w:rPr>
          <w:rFonts w:hint="eastAsia" w:ascii="宋体" w:hAnsi="宋体" w:cs="宋体"/>
          <w:color w:val="auto"/>
          <w:sz w:val="24"/>
          <w:highlight w:val="none"/>
        </w:rPr>
        <w:t>外。</w:t>
      </w:r>
    </w:p>
    <w:p w14:paraId="76ABF9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33ABA47">
      <w:pPr>
        <w:widowControl/>
        <w:spacing w:line="360" w:lineRule="auto"/>
        <w:ind w:firstLine="480" w:firstLineChars="200"/>
        <w:jc w:val="left"/>
        <w:rPr>
          <w:rFonts w:ascii="宋体" w:hAnsi="宋体" w:cs="宋体"/>
          <w:bCs/>
          <w:color w:val="auto"/>
          <w:sz w:val="24"/>
          <w:highlight w:val="none"/>
        </w:rPr>
      </w:pPr>
      <w:r>
        <w:rPr>
          <w:rFonts w:ascii="宋体" w:hAnsi="宋体" w:cs="宋体"/>
          <w:bCs/>
          <w:color w:val="auto"/>
          <w:sz w:val="24"/>
          <w:highlight w:val="none"/>
        </w:rPr>
        <w:t>3.3.2</w:t>
      </w:r>
      <w:r>
        <w:rPr>
          <w:rFonts w:hint="eastAsia" w:ascii="宋体" w:hAnsi="宋体" w:cs="宋体"/>
          <w:bCs/>
          <w:color w:val="auto"/>
          <w:sz w:val="24"/>
          <w:highlight w:val="none"/>
        </w:rPr>
        <w:t xml:space="preserve">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 </w:t>
      </w:r>
    </w:p>
    <w:p w14:paraId="7A9D782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612B0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C5C0B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D320B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BB061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58367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11DBD8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支持创新发展（如适用）</w:t>
      </w:r>
    </w:p>
    <w:p w14:paraId="5D53E2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E278F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252AD2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3.4.3 采购人应当贯彻落实知识产权保护相关法律法规，应当采购使用正版软件。</w:t>
      </w:r>
    </w:p>
    <w:p w14:paraId="4C572A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14547572">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仿宋"/>
          <w:b/>
          <w:bCs/>
          <w:color w:val="auto"/>
          <w:sz w:val="24"/>
          <w:highlight w:val="none"/>
        </w:rPr>
        <w:t>4. 询问、质疑、投诉</w:t>
      </w:r>
    </w:p>
    <w:p w14:paraId="15D0CC50">
      <w:pPr>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4.1在线询问、质疑、投诉</w:t>
      </w:r>
    </w:p>
    <w:p w14:paraId="6093B7F7">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921873">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B6E8AD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3A1FB0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9471FFF">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74D4FD2">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1C0C34C">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2F873BBC">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9F2099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C7ACB9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45E356A">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AB2640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6A93D5D4">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8F5F31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9AEA5B5">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D15B55B">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47F0F6BF">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质疑函范本及制作说明详见附件2。</w:t>
      </w:r>
    </w:p>
    <w:p w14:paraId="10281CC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4.3.4对同一采购程序环节的质疑，供应商须在法定质疑期内一次性提出。</w:t>
      </w:r>
    </w:p>
    <w:p w14:paraId="423B269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zh-CN"/>
        </w:rPr>
        <w:t>4.3</w:t>
      </w:r>
      <w:r>
        <w:rPr>
          <w:rFonts w:hint="eastAsia" w:hAnsi="宋体" w:cs="宋体"/>
          <w:color w:val="auto"/>
          <w:sz w:val="24"/>
          <w:szCs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3082849B">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zh-CN"/>
        </w:rPr>
        <w:t>4.3</w:t>
      </w:r>
      <w:r>
        <w:rPr>
          <w:rFonts w:hint="eastAsia" w:hAnsi="宋体" w:cs="宋体"/>
          <w:color w:val="auto"/>
          <w:sz w:val="24"/>
          <w:szCs w:val="24"/>
          <w:highlight w:val="none"/>
        </w:rPr>
        <w:t>.6询问或者质疑事项可能影响采购结果的，采购人应当暂停签订合同，已经签订合同的，应当中止履行合同。</w:t>
      </w:r>
    </w:p>
    <w:p w14:paraId="326B1381">
      <w:pPr>
        <w:pStyle w:val="33"/>
        <w:spacing w:line="360" w:lineRule="auto"/>
        <w:ind w:firstLine="480" w:firstLineChars="200"/>
        <w:rPr>
          <w:rFonts w:hAnsi="宋体" w:cs="宋体"/>
          <w:color w:val="auto"/>
          <w:sz w:val="24"/>
          <w:szCs w:val="24"/>
          <w:highlight w:val="none"/>
          <w:lang w:val="zh-CN"/>
        </w:rPr>
      </w:pPr>
      <w:r>
        <w:rPr>
          <w:rFonts w:hint="eastAsia" w:hAnsi="宋体" w:cs="宋体"/>
          <w:color w:val="auto"/>
          <w:sz w:val="24"/>
          <w:szCs w:val="24"/>
          <w:highlight w:val="none"/>
          <w:lang w:val="zh-CN"/>
        </w:rPr>
        <w:t>4.4供应商投诉</w:t>
      </w:r>
    </w:p>
    <w:p w14:paraId="44A34BC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171A21F">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4.4.</w:t>
      </w:r>
      <w:r>
        <w:rPr>
          <w:rFonts w:hint="eastAsia" w:hAnsi="宋体" w:cs="宋体"/>
          <w:color w:val="auto"/>
          <w:sz w:val="24"/>
          <w:szCs w:val="24"/>
          <w:highlight w:val="none"/>
          <w:lang w:val="zh-CN"/>
        </w:rPr>
        <w:t>2</w:t>
      </w:r>
      <w:r>
        <w:rPr>
          <w:rFonts w:hint="eastAsia" w:hAnsi="宋体" w:cs="宋体"/>
          <w:color w:val="auto"/>
          <w:sz w:val="24"/>
          <w:szCs w:val="24"/>
          <w:highlight w:val="none"/>
        </w:rPr>
        <w:t>供应商投诉的事项不得超出已质疑事项的范围，基于质疑答复内容提出的投诉事项除外。</w:t>
      </w:r>
    </w:p>
    <w:p w14:paraId="62122AC9">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4.4.3供应商投诉应当有明确的请求和必要的证明材料。</w:t>
      </w:r>
    </w:p>
    <w:p w14:paraId="07D595A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4.4.4 以联合体形式参加政府采购活动的，其投诉应当由组成联合体的所有供应商共同提出。</w:t>
      </w:r>
    </w:p>
    <w:p w14:paraId="5465A03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投诉书范本及制作说明详见附件3。</w:t>
      </w:r>
    </w:p>
    <w:p w14:paraId="37F09A71">
      <w:pPr>
        <w:pStyle w:val="133"/>
        <w:snapToGrid w:val="0"/>
        <w:spacing w:before="0"/>
        <w:ind w:firstLine="360"/>
        <w:rPr>
          <w:rFonts w:ascii="宋体" w:hAnsi="宋体" w:cs="宋体"/>
          <w:color w:val="auto"/>
          <w:sz w:val="18"/>
          <w:szCs w:val="18"/>
          <w:highlight w:val="none"/>
        </w:rPr>
      </w:pPr>
    </w:p>
    <w:p w14:paraId="3C075162">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5AE53E3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6C8F9A9">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5.1招标文件包括下列文件及附件：</w:t>
      </w:r>
    </w:p>
    <w:p w14:paraId="504D3D0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F61DC2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5A5C03F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A88193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031122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6160EB5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3926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622276F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6.招标文件的澄清、修改</w:t>
      </w:r>
    </w:p>
    <w:p w14:paraId="7AF7370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0985C501">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17429B3">
      <w:pPr>
        <w:adjustRightInd/>
        <w:spacing w:line="360" w:lineRule="auto"/>
        <w:jc w:val="center"/>
        <w:outlineLvl w:val="0"/>
        <w:rPr>
          <w:rFonts w:hint="eastAsia" w:ascii="宋体" w:hAnsi="宋体" w:cs="宋体"/>
          <w:b/>
          <w:color w:val="auto"/>
          <w:sz w:val="30"/>
          <w:szCs w:val="20"/>
          <w:highlight w:val="none"/>
        </w:rPr>
      </w:pPr>
    </w:p>
    <w:p w14:paraId="49DCEE0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992A71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7.招标文件的获取</w:t>
      </w:r>
    </w:p>
    <w:p w14:paraId="66937DD6">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2D9D77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2B071AC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A43275E">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77669453">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DF48C12">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10.投标文件的语言</w:t>
      </w:r>
    </w:p>
    <w:p w14:paraId="12BA80F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D2282D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11.投标文件的组成</w:t>
      </w:r>
    </w:p>
    <w:p w14:paraId="7C4459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5BCA21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27410E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2" w:name="_Hlk101259339"/>
      <w:r>
        <w:rPr>
          <w:rFonts w:hint="eastAsia" w:ascii="宋体" w:hAnsi="宋体" w:cs="宋体"/>
          <w:snapToGrid w:val="0"/>
          <w:color w:val="auto"/>
          <w:kern w:val="28"/>
          <w:sz w:val="24"/>
          <w:szCs w:val="20"/>
          <w:highlight w:val="none"/>
        </w:rPr>
        <w:t>联合协议</w:t>
      </w:r>
      <w:bookmarkEnd w:id="12"/>
      <w:r>
        <w:rPr>
          <w:rFonts w:hint="eastAsia" w:ascii="宋体" w:hAnsi="宋体" w:cs="宋体"/>
          <w:snapToGrid w:val="0"/>
          <w:color w:val="auto"/>
          <w:kern w:val="28"/>
          <w:sz w:val="24"/>
          <w:szCs w:val="20"/>
          <w:highlight w:val="none"/>
        </w:rPr>
        <w:t>（如果有)；</w:t>
      </w:r>
    </w:p>
    <w:p w14:paraId="63882BD7">
      <w:pPr>
        <w:tabs>
          <w:tab w:val="left" w:leader="middleDot" w:pos="9240"/>
        </w:tabs>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4E5F38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29D0EF8">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78D7A57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p>
    <w:p w14:paraId="1A6AAA3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24B581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358387A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5489026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14:paraId="057C7AF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11.2.6投标标的清单；</w:t>
      </w:r>
    </w:p>
    <w:p w14:paraId="2C127B3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11.2.7商务技术偏离表；</w:t>
      </w:r>
    </w:p>
    <w:p w14:paraId="4664ACF0">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EA08636">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14:paraId="4476462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5D7055B0">
      <w:pPr>
        <w:pStyle w:val="82"/>
        <w:adjustRightInd w:val="0"/>
        <w:spacing w:line="360" w:lineRule="auto"/>
        <w:ind w:firstLine="960" w:firstLineChars="40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11.3.2 报价情况说明（如果有）；</w:t>
      </w:r>
    </w:p>
    <w:p w14:paraId="11F8744F">
      <w:pPr>
        <w:pStyle w:val="82"/>
        <w:adjustRightInd w:val="0"/>
        <w:spacing w:line="360" w:lineRule="auto"/>
        <w:ind w:firstLine="960" w:firstLineChars="400"/>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11.3.3中小企业声明函或属于监狱企业证明文件或残疾人福利性单位声明函（如果有)。</w:t>
      </w:r>
    </w:p>
    <w:p w14:paraId="6C9573A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6206BCB">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21168A32">
      <w:pPr>
        <w:spacing w:line="360" w:lineRule="auto"/>
        <w:ind w:firstLine="720" w:firstLineChars="300"/>
        <w:rPr>
          <w:color w:val="auto"/>
          <w:sz w:val="24"/>
          <w:highlight w:val="none"/>
          <w:shd w:val="clear" w:color="auto" w:fill="FFFFFF"/>
        </w:rPr>
      </w:pPr>
      <w:r>
        <w:rPr>
          <w:rFonts w:hint="eastAsia"/>
          <w:color w:val="auto"/>
          <w:sz w:val="24"/>
          <w:highlight w:val="none"/>
          <w:shd w:val="clear" w:color="auto" w:fill="FFFFFF"/>
        </w:rPr>
        <w:t>投标人应对投标文件中材料的真实性、合法性负责。</w:t>
      </w:r>
    </w:p>
    <w:p w14:paraId="5D3AEF18">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F23868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957370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3BBBE36">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2ED050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AA8F86F">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96D712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10BA73D">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5F5CA977">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14.投标文件的提交、补充、修改、撤回</w:t>
      </w:r>
    </w:p>
    <w:p w14:paraId="0879E96C">
      <w:pPr>
        <w:pStyle w:val="133"/>
        <w:ind w:firstLine="480"/>
        <w:rPr>
          <w:rFonts w:ascii="宋体" w:hAnsi="宋体" w:cs="宋体"/>
          <w:color w:val="auto"/>
          <w:szCs w:val="24"/>
          <w:highlight w:val="none"/>
        </w:rPr>
      </w:pPr>
      <w:r>
        <w:rPr>
          <w:rFonts w:hint="eastAsia" w:ascii="宋体" w:hAnsi="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B1B734">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89A9F9E">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A55F9C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6465018E">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15.1投标人在电子交易平台传输递交投标文件后，还可以在投标截止时间前以Email方式递交备份投标文件1份，</w:t>
      </w:r>
      <w:r>
        <w:rPr>
          <w:rFonts w:hint="eastAsia" w:hAnsi="宋体" w:cs="宋体"/>
          <w:b/>
          <w:color w:val="auto"/>
          <w:sz w:val="24"/>
          <w:szCs w:val="24"/>
          <w:highlight w:val="none"/>
        </w:rPr>
        <w:t>但采购人、采购代理机构不强制或变相强制投标人提交备份投标文件。</w:t>
      </w:r>
    </w:p>
    <w:p w14:paraId="6C7D6C5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15.2备份投标文件须在“政采云投标客户端”制作生成，投标人应于投标截止时间前发送至采购代理机构邮箱，采购代理机构将拒绝接受逾期送达的备份投标文件。</w:t>
      </w:r>
    </w:p>
    <w:p w14:paraId="1977BE19">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15.3电子备份投标文件在发送邮箱中发生泄露、遗失、损坏或延期送达等情况的，由投标人自行负责。</w:t>
      </w:r>
    </w:p>
    <w:p w14:paraId="1D0B1288">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15.4投标人仅提交备份投标文件，未在电子交易平台传输递交投标文件的，投标无效。</w:t>
      </w:r>
    </w:p>
    <w:p w14:paraId="42831D49">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F990B6D">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27D8846A">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7C6C26E">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E42E513">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E9465E9">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D407387">
      <w:pPr>
        <w:pStyle w:val="133"/>
        <w:spacing w:before="0"/>
        <w:ind w:firstLine="643"/>
        <w:rPr>
          <w:rFonts w:ascii="宋体" w:hAnsi="宋体" w:cs="宋体"/>
          <w:b/>
          <w:color w:val="auto"/>
          <w:sz w:val="32"/>
          <w:highlight w:val="none"/>
        </w:rPr>
      </w:pPr>
    </w:p>
    <w:p w14:paraId="1243DAA7">
      <w:pPr>
        <w:pStyle w:val="133"/>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03CB3DC">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p>
    <w:p w14:paraId="6840CC0B">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1DC03732">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76919AC3">
      <w:pPr>
        <w:pStyle w:val="558"/>
        <w:spacing w:before="0" w:line="360" w:lineRule="auto"/>
        <w:ind w:left="0" w:firstLine="480" w:firstLineChars="200"/>
        <w:contextualSpacing/>
        <w:rPr>
          <w:rFonts w:ascii="宋体" w:hAnsi="宋体" w:cs="宋体"/>
          <w:b/>
          <w:color w:val="auto"/>
          <w:sz w:val="24"/>
          <w:highlight w:val="none"/>
        </w:rPr>
      </w:pP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D3230DB">
      <w:pPr>
        <w:ind w:firstLine="482" w:firstLineChars="200"/>
        <w:rPr>
          <w:rFonts w:ascii="宋体" w:hAnsi="宋体" w:cs="宋体"/>
          <w:b/>
          <w:color w:val="auto"/>
          <w:sz w:val="24"/>
          <w:highlight w:val="none"/>
        </w:rPr>
      </w:pPr>
      <w:r>
        <w:rPr>
          <w:rFonts w:hint="eastAsia" w:ascii="宋体" w:hAnsi="宋体" w:cs="宋体"/>
          <w:b/>
          <w:color w:val="auto"/>
          <w:kern w:val="0"/>
          <w:sz w:val="24"/>
          <w:szCs w:val="20"/>
          <w:highlight w:val="none"/>
        </w:rPr>
        <w:t>18.4解密结束后，《政府采购活动现场确认声明书》（详见附件8）由投标人法定代表人或其授权代表按要求填写签字后扫描回传至采购代理机构邮箱</w:t>
      </w:r>
      <w:r>
        <w:rPr>
          <w:rFonts w:ascii="宋体" w:hAnsi="宋体" w:cs="宋体"/>
          <w:b/>
          <w:color w:val="auto"/>
          <w:kern w:val="0"/>
          <w:sz w:val="24"/>
          <w:szCs w:val="20"/>
          <w:highlight w:val="none"/>
        </w:rPr>
        <w:t>:1241596092@qq.com</w:t>
      </w:r>
      <w:r>
        <w:rPr>
          <w:rFonts w:hint="eastAsia" w:ascii="宋体" w:hAnsi="宋体" w:cs="宋体"/>
          <w:b/>
          <w:color w:val="auto"/>
          <w:kern w:val="0"/>
          <w:sz w:val="24"/>
          <w:szCs w:val="20"/>
          <w:highlight w:val="none"/>
        </w:rPr>
        <w:t>。</w:t>
      </w:r>
    </w:p>
    <w:p w14:paraId="6985EE63">
      <w:pPr>
        <w:pStyle w:val="558"/>
        <w:spacing w:before="0" w:line="360" w:lineRule="auto"/>
        <w:ind w:left="0" w:leftChars="0" w:firstLine="0" w:firstLineChars="0"/>
        <w:contextualSpacing/>
        <w:rPr>
          <w:rFonts w:hint="eastAsia"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018233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44929B0F">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E9BE9BB">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46674398">
      <w:pPr>
        <w:pStyle w:val="133"/>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15A0FC5B">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F4996FE">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20.1信用信息查询渠道及截止时间：采购代理机构将在资格审查时通过“信用中国”网站(www.creditchina.gov.cn)、中国政府采购网(www.ccgp.gov.cn)渠道查询投标人的信用记录。</w:t>
      </w:r>
    </w:p>
    <w:p w14:paraId="0F93ECCB">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3784B02">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B7A5849">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57110F9">
      <w:pPr>
        <w:pStyle w:val="133"/>
        <w:spacing w:before="0"/>
        <w:ind w:firstLine="0" w:firstLineChars="0"/>
        <w:rPr>
          <w:rFonts w:ascii="宋体" w:hAnsi="宋体" w:cs="宋体"/>
          <w:color w:val="auto"/>
          <w:kern w:val="0"/>
          <w:szCs w:val="24"/>
          <w:highlight w:val="none"/>
        </w:rPr>
      </w:pPr>
    </w:p>
    <w:p w14:paraId="78AFBB8A">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3ADDAB4">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1D025F2">
      <w:pPr>
        <w:spacing w:line="360" w:lineRule="auto"/>
        <w:rPr>
          <w:rFonts w:ascii="宋体" w:hAnsi="宋体" w:cs="宋体"/>
          <w:b/>
          <w:color w:val="auto"/>
          <w:sz w:val="24"/>
          <w:highlight w:val="none"/>
        </w:rPr>
      </w:pPr>
    </w:p>
    <w:p w14:paraId="7F30697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0462A4C">
      <w:pPr>
        <w:pStyle w:val="25"/>
        <w:spacing w:line="360" w:lineRule="auto"/>
        <w:ind w:left="479" w:hanging="479" w:hangingChars="199"/>
        <w:rPr>
          <w:rFonts w:cs="宋体"/>
          <w:b/>
          <w:color w:val="auto"/>
          <w:highlight w:val="none"/>
        </w:rPr>
      </w:pPr>
      <w:r>
        <w:rPr>
          <w:rFonts w:hint="eastAsia" w:cs="宋体"/>
          <w:b/>
          <w:color w:val="auto"/>
          <w:highlight w:val="none"/>
        </w:rPr>
        <w:t>22.确定中标供应商</w:t>
      </w:r>
    </w:p>
    <w:p w14:paraId="75A91F45">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采购代理机构将自评审结束之日起2个工作日内将评审报告送交采购人。采购人将自收到评审报告之日起5个工作日内在评审报告推荐的中标候选人中按顺序确定中标人。</w:t>
      </w:r>
    </w:p>
    <w:p w14:paraId="00CACCB5">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23.中标通知与中标结果公告</w:t>
      </w:r>
    </w:p>
    <w:p w14:paraId="5BE547E0">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23.1自中标人确定之日起2个工作日内，采购代理机构通过电子交易平台向中标人发出中标通知书，同时编制发布采购结果公告。采购代理机构也可以以纸质形式进行中标通知。</w:t>
      </w:r>
    </w:p>
    <w:p w14:paraId="1B7BC50A">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中标公告期限以及评审专家名单、评分汇总及明细。</w:t>
      </w:r>
    </w:p>
    <w:p w14:paraId="6B079AA5">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23.3公告期限为1个工作日。</w:t>
      </w:r>
    </w:p>
    <w:p w14:paraId="6E1EAEEF">
      <w:pPr>
        <w:pStyle w:val="133"/>
        <w:snapToGrid w:val="0"/>
        <w:spacing w:before="0"/>
        <w:ind w:firstLine="480"/>
        <w:rPr>
          <w:rStyle w:val="78"/>
          <w:color w:val="auto"/>
          <w:highlight w:val="none"/>
        </w:rPr>
      </w:pPr>
      <w:r>
        <w:rPr>
          <w:rFonts w:hint="eastAsia" w:ascii="宋体" w:hAnsi="宋体" w:cs="宋体"/>
          <w:bCs/>
          <w:color w:val="auto"/>
          <w:szCs w:val="24"/>
          <w:highlight w:val="none"/>
        </w:rPr>
        <w:t>23.4</w:t>
      </w:r>
      <w:r>
        <w:rPr>
          <w:rFonts w:hint="eastAsia" w:ascii="宋体" w:hAnsi="宋体" w:cs="宋体"/>
          <w:b/>
          <w:color w:val="auto"/>
          <w:szCs w:val="24"/>
          <w:highlight w:val="none"/>
        </w:rPr>
        <w:t xml:space="preserve">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34D9183A">
      <w:pPr>
        <w:pStyle w:val="82"/>
        <w:rPr>
          <w:color w:val="auto"/>
          <w:highlight w:val="none"/>
        </w:rPr>
      </w:pPr>
    </w:p>
    <w:p w14:paraId="747C3D4D">
      <w:pPr>
        <w:snapToGrid w:val="0"/>
        <w:spacing w:line="360" w:lineRule="auto"/>
        <w:ind w:left="120" w:leftChars="57" w:firstLine="482" w:firstLineChars="150"/>
        <w:jc w:val="center"/>
        <w:rPr>
          <w:rFonts w:ascii="宋体" w:hAnsi="宋体" w:cs="宋体"/>
          <w:b/>
          <w:color w:val="auto"/>
          <w:sz w:val="32"/>
          <w:highlight w:val="none"/>
        </w:rPr>
      </w:pPr>
    </w:p>
    <w:p w14:paraId="7328849B">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F244572">
      <w:pPr>
        <w:pStyle w:val="25"/>
        <w:spacing w:line="360" w:lineRule="auto"/>
        <w:ind w:left="479" w:hanging="479" w:hangingChars="199"/>
        <w:rPr>
          <w:rFonts w:cs="宋体"/>
          <w:b/>
          <w:color w:val="auto"/>
          <w:highlight w:val="none"/>
        </w:rPr>
      </w:pPr>
      <w:r>
        <w:rPr>
          <w:rFonts w:hint="eastAsia" w:cs="宋体"/>
          <w:b/>
          <w:color w:val="auto"/>
          <w:highlight w:val="none"/>
        </w:rPr>
        <w:t>24.</w:t>
      </w:r>
      <w:r>
        <w:rPr>
          <w:rFonts w:hint="eastAsia" w:cs="宋体"/>
          <w:color w:val="auto"/>
          <w:highlight w:val="none"/>
        </w:rPr>
        <w:t>合同主要条款详见第五部分拟签订的合同文本。</w:t>
      </w:r>
    </w:p>
    <w:p w14:paraId="2FD5EE38">
      <w:pPr>
        <w:pStyle w:val="25"/>
        <w:spacing w:line="360" w:lineRule="auto"/>
        <w:ind w:left="479" w:hanging="479" w:hangingChars="199"/>
        <w:rPr>
          <w:rFonts w:cs="宋体"/>
          <w:b/>
          <w:color w:val="auto"/>
          <w:highlight w:val="none"/>
        </w:rPr>
      </w:pPr>
      <w:r>
        <w:rPr>
          <w:rFonts w:hint="eastAsia" w:cs="宋体"/>
          <w:b/>
          <w:color w:val="auto"/>
          <w:highlight w:val="none"/>
        </w:rPr>
        <w:t>25.合同的签订</w:t>
      </w:r>
    </w:p>
    <w:p w14:paraId="0ABF8C38">
      <w:pPr>
        <w:pStyle w:val="25"/>
        <w:spacing w:line="360" w:lineRule="auto"/>
        <w:ind w:firstLine="420" w:firstLineChars="175"/>
        <w:rPr>
          <w:rFonts w:cs="宋体"/>
          <w:color w:val="auto"/>
          <w:kern w:val="0"/>
          <w:szCs w:val="20"/>
          <w:highlight w:val="none"/>
          <w:lang w:val="zh-CN"/>
        </w:rPr>
      </w:pPr>
      <w:r>
        <w:rPr>
          <w:rFonts w:hint="eastAsia" w:cs="宋体"/>
          <w:color w:val="auto"/>
          <w:kern w:val="0"/>
          <w:szCs w:val="20"/>
          <w:highlight w:val="none"/>
          <w:lang w:val="zh-CN"/>
        </w:rPr>
        <w:t>25.1采购人与中标人应当在中标通知书发出之日起30日内，按照采购文件确定的事项签订政府采购合同。</w:t>
      </w:r>
    </w:p>
    <w:p w14:paraId="64B2117C">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E97EE1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16BB9D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3A380F9F">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3D88323">
      <w:pPr>
        <w:pStyle w:val="25"/>
        <w:spacing w:line="360" w:lineRule="auto"/>
        <w:ind w:left="479" w:hanging="479" w:hangingChars="199"/>
        <w:rPr>
          <w:rFonts w:cs="宋体"/>
          <w:b/>
          <w:color w:val="auto"/>
          <w:highlight w:val="none"/>
        </w:rPr>
      </w:pPr>
      <w:r>
        <w:rPr>
          <w:rFonts w:hint="eastAsia" w:cs="宋体"/>
          <w:b/>
          <w:color w:val="auto"/>
          <w:highlight w:val="none"/>
        </w:rPr>
        <w:t>26.履约保证金</w:t>
      </w:r>
    </w:p>
    <w:p w14:paraId="1F6FD4DF">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8F3DC2F">
      <w:pPr>
        <w:tabs>
          <w:tab w:val="left" w:pos="0"/>
        </w:tabs>
        <w:spacing w:line="360" w:lineRule="auto"/>
        <w:ind w:firstLine="482"/>
        <w:rPr>
          <w:rFonts w:hint="eastAsia" w:ascii="宋体" w:hAnsi="宋体" w:eastAsia="宋体" w:cs="宋体"/>
          <w:b w:val="0"/>
          <w:bCs w:val="0"/>
          <w:snapToGrid/>
          <w:color w:val="auto"/>
          <w:kern w:val="0"/>
          <w:sz w:val="24"/>
          <w:highlight w:val="none"/>
        </w:rPr>
      </w:pPr>
      <w:r>
        <w:rPr>
          <w:rFonts w:hint="eastAsia" w:ascii="宋体" w:hAnsi="宋体" w:eastAsia="宋体" w:cs="宋体"/>
          <w:b w:val="0"/>
          <w:bCs w:val="0"/>
          <w:snapToGrid/>
          <w:color w:val="auto"/>
          <w:kern w:val="0"/>
          <w:sz w:val="24"/>
          <w:highlight w:val="none"/>
        </w:rPr>
        <w:t>采购人不得拒收履约保函。</w:t>
      </w:r>
    </w:p>
    <w:p w14:paraId="708B9831">
      <w:pPr>
        <w:tabs>
          <w:tab w:val="left" w:pos="0"/>
        </w:tabs>
        <w:spacing w:line="360" w:lineRule="auto"/>
        <w:ind w:firstLine="482"/>
        <w:rPr>
          <w:rFonts w:hint="eastAsia" w:ascii="宋体" w:hAnsi="宋体" w:eastAsia="宋体" w:cs="宋体"/>
          <w:b w:val="0"/>
          <w:bCs w:val="0"/>
          <w:snapToGrid/>
          <w:color w:val="auto"/>
          <w:kern w:val="0"/>
          <w:sz w:val="24"/>
          <w:highlight w:val="none"/>
        </w:rPr>
      </w:pPr>
      <w:r>
        <w:rPr>
          <w:rFonts w:hint="eastAsia" w:ascii="宋体" w:hAnsi="宋体" w:eastAsia="宋体" w:cs="宋体"/>
          <w:b w:val="0"/>
          <w:bCs w:val="0"/>
          <w:snapToGrid/>
          <w:color w:val="auto"/>
          <w:kern w:val="0"/>
          <w:sz w:val="24"/>
          <w:highlight w:val="none"/>
        </w:rPr>
        <w:t>供应商</w:t>
      </w:r>
      <w:r>
        <w:rPr>
          <w:rFonts w:hint="eastAsia" w:ascii="宋体" w:hAnsi="宋体" w:eastAsia="宋体" w:cs="宋体"/>
          <w:b w:val="0"/>
          <w:bCs w:val="0"/>
          <w:snapToGrid/>
          <w:color w:val="auto"/>
          <w:kern w:val="0"/>
          <w:sz w:val="24"/>
          <w:highlight w:val="none"/>
          <w:lang w:val="en-US"/>
        </w:rPr>
        <w:t>可</w:t>
      </w:r>
      <w:r>
        <w:rPr>
          <w:rFonts w:hint="eastAsia" w:ascii="宋体" w:hAnsi="宋体" w:eastAsia="宋体" w:cs="宋体"/>
          <w:b w:val="0"/>
          <w:bCs w:val="0"/>
          <w:snapToGrid/>
          <w:color w:val="auto"/>
          <w:kern w:val="0"/>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color w:val="auto"/>
          <w:kern w:val="0"/>
          <w:sz w:val="24"/>
          <w:highlight w:val="none"/>
          <w:lang w:val="en-US"/>
        </w:rPr>
        <w:t>95763</w:t>
      </w:r>
      <w:r>
        <w:rPr>
          <w:rFonts w:hint="eastAsia" w:ascii="宋体" w:hAnsi="宋体" w:eastAsia="宋体" w:cs="宋体"/>
          <w:b w:val="0"/>
          <w:bCs w:val="0"/>
          <w:snapToGrid/>
          <w:color w:val="auto"/>
          <w:kern w:val="0"/>
          <w:sz w:val="24"/>
          <w:highlight w:val="none"/>
        </w:rPr>
        <w:t>。</w:t>
      </w:r>
    </w:p>
    <w:p w14:paraId="4922CB83">
      <w:pPr>
        <w:pStyle w:val="25"/>
        <w:ind w:left="479" w:hanging="479" w:hangingChars="199"/>
        <w:rPr>
          <w:rFonts w:hint="eastAsia" w:cs="宋体"/>
          <w:b/>
          <w:color w:val="auto"/>
          <w:highlight w:val="none"/>
        </w:rPr>
      </w:pPr>
      <w:r>
        <w:rPr>
          <w:rFonts w:hint="eastAsia" w:ascii="宋体" w:hAnsi="宋体" w:eastAsia="宋体" w:cs="宋体"/>
          <w:b/>
          <w:color w:val="auto"/>
          <w:sz w:val="24"/>
          <w:highlight w:val="none"/>
          <w:lang w:val="en-US"/>
        </w:rPr>
        <w:t>27.预付款</w:t>
      </w:r>
    </w:p>
    <w:p w14:paraId="45248E8E">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政府采购工程以及与工程建设有关的货物、服务，采用采购人式采购的，预付款从其相关规定。</w:t>
      </w:r>
    </w:p>
    <w:p w14:paraId="1581A927">
      <w:pPr>
        <w:snapToGrid w:val="0"/>
        <w:spacing w:line="360" w:lineRule="auto"/>
        <w:ind w:firstLine="3357" w:firstLineChars="1045"/>
        <w:rPr>
          <w:rFonts w:ascii="宋体" w:hAnsi="宋体" w:cs="宋体"/>
          <w:b/>
          <w:color w:val="auto"/>
          <w:sz w:val="32"/>
          <w:highlight w:val="none"/>
        </w:rPr>
      </w:pPr>
    </w:p>
    <w:p w14:paraId="7A06E3F7">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52DF4F67">
      <w:pPr>
        <w:pStyle w:val="133"/>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0AFC81E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C2E2EEB">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3F0EF25">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1859958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02B8D63">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167D905">
      <w:pPr>
        <w:pStyle w:val="133"/>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29.</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E7A3EF2">
      <w:pPr>
        <w:tabs>
          <w:tab w:val="left" w:pos="0"/>
        </w:tabs>
        <w:spacing w:line="360" w:lineRule="auto"/>
        <w:ind w:firstLine="480"/>
        <w:rPr>
          <w:rFonts w:ascii="宋体" w:hAnsi="宋体" w:cs="宋体"/>
          <w:color w:val="auto"/>
          <w:sz w:val="24"/>
          <w:highlight w:val="none"/>
        </w:rPr>
      </w:pPr>
    </w:p>
    <w:p w14:paraId="4DA6DD9B">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九、验收</w:t>
      </w:r>
    </w:p>
    <w:p w14:paraId="1000C507">
      <w:pPr>
        <w:pStyle w:val="25"/>
        <w:spacing w:line="360" w:lineRule="auto"/>
        <w:ind w:firstLine="0" w:firstLineChars="0"/>
        <w:rPr>
          <w:rFonts w:cs="宋体"/>
          <w:b/>
          <w:color w:val="auto"/>
          <w:highlight w:val="none"/>
        </w:rPr>
      </w:pPr>
      <w:r>
        <w:rPr>
          <w:rFonts w:hint="eastAsia" w:cs="宋体"/>
          <w:b/>
          <w:color w:val="auto"/>
          <w:highlight w:val="none"/>
        </w:rPr>
        <w:t>30.验收</w:t>
      </w:r>
    </w:p>
    <w:p w14:paraId="43C608A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B00B4D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338FC68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BA9631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4" w:name="_Hlt74714665"/>
      <w:bookmarkEnd w:id="14"/>
      <w:bookmarkStart w:id="15" w:name="_Hlt74707468"/>
      <w:bookmarkEnd w:id="15"/>
      <w:bookmarkStart w:id="16" w:name="_Hlt68072990"/>
      <w:bookmarkEnd w:id="16"/>
      <w:bookmarkStart w:id="17" w:name="_Hlt68403820"/>
      <w:bookmarkEnd w:id="17"/>
      <w:bookmarkStart w:id="18" w:name="_Hlt75236101"/>
      <w:bookmarkEnd w:id="18"/>
      <w:bookmarkStart w:id="19" w:name="_Hlt74730295"/>
      <w:bookmarkEnd w:id="19"/>
      <w:bookmarkStart w:id="20" w:name="_Hlt74729768"/>
      <w:bookmarkEnd w:id="20"/>
      <w:bookmarkStart w:id="21" w:name="_Hlt75236290"/>
      <w:bookmarkEnd w:id="21"/>
      <w:bookmarkStart w:id="22" w:name="_Hlt68073093"/>
      <w:bookmarkEnd w:id="22"/>
      <w:bookmarkStart w:id="23" w:name="_Hlt75236011"/>
      <w:bookmarkEnd w:id="23"/>
      <w:bookmarkStart w:id="24" w:name="_Hlt68072998"/>
      <w:bookmarkEnd w:id="24"/>
      <w:bookmarkStart w:id="25" w:name="_Hlt68057669"/>
      <w:bookmarkEnd w:id="25"/>
    </w:p>
    <w:p w14:paraId="3CADE39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796A1698">
      <w:pPr>
        <w:pStyle w:val="82"/>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0"/>
    <w:p w14:paraId="4CCA1D65">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3CF70633">
      <w:pPr>
        <w:tabs>
          <w:tab w:val="left" w:pos="0"/>
        </w:tabs>
        <w:spacing w:line="360" w:lineRule="auto"/>
        <w:ind w:firstLine="480"/>
        <w:rPr>
          <w:rFonts w:ascii="宋体" w:hAnsi="宋体" w:cs="宋体"/>
          <w:b/>
          <w:bCs/>
          <w:color w:val="auto"/>
          <w:kern w:val="0"/>
          <w:sz w:val="24"/>
          <w:highlight w:val="none"/>
        </w:rPr>
      </w:pPr>
      <w:r>
        <w:rPr>
          <w:rFonts w:hint="eastAsia" w:ascii="宋体" w:hAnsi="宋体" w:cs="宋体"/>
          <w:b/>
          <w:bCs/>
          <w:color w:val="auto"/>
          <w:kern w:val="0"/>
          <w:sz w:val="24"/>
          <w:highlight w:val="none"/>
        </w:rPr>
        <w:t>一、项目背景</w:t>
      </w:r>
    </w:p>
    <w:p w14:paraId="1837AA7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内河航道是综合交通运输体系的关键一环，在区域经济发展中发挥显著作用。近年来，国家层面谋划推进内河航运高质量发展系列举措，对内河航道建设提出了更高要求，现行的投融资模式难以满足交通运输发展的需要与国家深化财税体制改革的要求。通过深化投融资体制改革，建立新的交通运输基础设施投融资模式迫在眉睫。2019年，中共中央 国务院印发《交通强国建设纲要》，提出“鼓励采用多元化市场融资方式拓宽融资渠道，积极引导社会资本参与交通强国建设，强化风险防控机制建设”。省委省政府高度重视内河航运发展，谋划推动“航运浙江”建设，提出推进基础设施提能升级，打造高等级航道网络体系。创新开展内河航道工程项目投融资模式创新研究，通过对不同投融资模式的分析、比较与创新应用，有助于缓解政府财政压力，提高项目建设和运营效率，进一步释放水运建设需求，推动内河航道事业持续、健康、快速发展，全力支撑交通强省和世界一流强港建设。</w:t>
      </w:r>
    </w:p>
    <w:p w14:paraId="25D242B2">
      <w:pPr>
        <w:tabs>
          <w:tab w:val="left" w:pos="0"/>
        </w:tabs>
        <w:spacing w:line="360" w:lineRule="auto"/>
        <w:ind w:firstLine="480"/>
        <w:rPr>
          <w:rFonts w:ascii="宋体" w:hAnsi="宋体" w:cs="宋体"/>
          <w:b/>
          <w:bCs/>
          <w:color w:val="auto"/>
          <w:kern w:val="0"/>
          <w:sz w:val="24"/>
          <w:highlight w:val="none"/>
        </w:rPr>
      </w:pPr>
      <w:r>
        <w:rPr>
          <w:rFonts w:hint="eastAsia" w:ascii="宋体" w:hAnsi="宋体" w:cs="宋体"/>
          <w:b/>
          <w:bCs/>
          <w:color w:val="auto"/>
          <w:kern w:val="0"/>
          <w:sz w:val="24"/>
          <w:highlight w:val="none"/>
        </w:rPr>
        <w:t>二、项目服务目标</w:t>
      </w:r>
    </w:p>
    <w:p w14:paraId="0BCEECA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剖析浙江省内河航道项目投融资现状及需求，明确全省内河航道投融资面临的挑战，总结国内外投融资发达地区先进经验做法，创新提出浙江省内河航道项目投融资模式实施路径及政策建议，助力浙江内河航运高质量发展。</w:t>
      </w:r>
    </w:p>
    <w:p w14:paraId="286E1DDA">
      <w:pPr>
        <w:tabs>
          <w:tab w:val="left" w:pos="0"/>
        </w:tabs>
        <w:spacing w:line="360" w:lineRule="auto"/>
        <w:ind w:firstLine="480"/>
        <w:rPr>
          <w:rFonts w:ascii="宋体" w:hAnsi="宋体" w:cs="宋体"/>
          <w:b/>
          <w:bCs/>
          <w:color w:val="auto"/>
          <w:kern w:val="0"/>
          <w:sz w:val="24"/>
          <w:highlight w:val="none"/>
        </w:rPr>
      </w:pPr>
      <w:r>
        <w:rPr>
          <w:rFonts w:hint="eastAsia" w:ascii="宋体" w:hAnsi="宋体" w:cs="宋体"/>
          <w:b/>
          <w:bCs/>
          <w:color w:val="auto"/>
          <w:kern w:val="0"/>
          <w:sz w:val="24"/>
          <w:highlight w:val="none"/>
        </w:rPr>
        <w:t>三、项目内容</w:t>
      </w:r>
    </w:p>
    <w:p w14:paraId="7E284F9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编制形成《内河航道工程项目投融资模式创新研究》报告1份。</w:t>
      </w:r>
    </w:p>
    <w:p w14:paraId="732F518A">
      <w:pPr>
        <w:tabs>
          <w:tab w:val="left" w:pos="0"/>
        </w:tabs>
        <w:spacing w:line="360" w:lineRule="auto"/>
        <w:ind w:firstLine="480"/>
        <w:rPr>
          <w:rFonts w:ascii="宋体" w:hAnsi="宋体" w:cs="宋体"/>
          <w:b/>
          <w:bCs/>
          <w:color w:val="auto"/>
          <w:kern w:val="0"/>
          <w:sz w:val="24"/>
          <w:highlight w:val="none"/>
        </w:rPr>
      </w:pPr>
      <w:r>
        <w:rPr>
          <w:rFonts w:hint="eastAsia" w:ascii="宋体" w:hAnsi="宋体" w:cs="宋体"/>
          <w:b/>
          <w:bCs/>
          <w:color w:val="auto"/>
          <w:kern w:val="0"/>
          <w:sz w:val="24"/>
          <w:highlight w:val="none"/>
        </w:rPr>
        <w:t>四、项目服务方式及人员要求</w:t>
      </w:r>
    </w:p>
    <w:p w14:paraId="7A671CA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1.由项目中标人自行安排。</w:t>
      </w:r>
    </w:p>
    <w:p w14:paraId="4FFE0764">
      <w:pPr>
        <w:autoSpaceDE w:val="0"/>
        <w:autoSpaceDN w:val="0"/>
        <w:spacing w:line="360" w:lineRule="auto"/>
        <w:ind w:firstLine="480" w:firstLineChars="200"/>
        <w:rPr>
          <w:rFonts w:hint="eastAsia" w:eastAsiaTheme="minorEastAsia"/>
          <w:color w:val="auto"/>
          <w:highlight w:val="none"/>
          <w:lang w:val="en-US" w:eastAsia="zh-CN"/>
        </w:rPr>
      </w:pPr>
      <w:r>
        <w:rPr>
          <w:rFonts w:hint="eastAsia" w:cs="宋体"/>
          <w:color w:val="auto"/>
          <w:kern w:val="0"/>
          <w:sz w:val="24"/>
          <w:szCs w:val="20"/>
          <w:highlight w:val="none"/>
          <w:lang w:bidi="ar"/>
        </w:rPr>
        <w:t>2.项目组成员（含项目负责人）不少于</w:t>
      </w:r>
      <w:r>
        <w:rPr>
          <w:color w:val="auto"/>
          <w:kern w:val="0"/>
          <w:sz w:val="24"/>
          <w:szCs w:val="20"/>
          <w:highlight w:val="none"/>
          <w:lang w:bidi="ar"/>
        </w:rPr>
        <w:t>5</w:t>
      </w:r>
      <w:r>
        <w:rPr>
          <w:rFonts w:hint="eastAsia" w:cs="宋体"/>
          <w:color w:val="auto"/>
          <w:kern w:val="0"/>
          <w:sz w:val="24"/>
          <w:szCs w:val="20"/>
          <w:highlight w:val="none"/>
          <w:lang w:bidi="ar"/>
        </w:rPr>
        <w:t>人；项目负责人应具有副高级及以上职称，</w:t>
      </w:r>
      <w:r>
        <w:rPr>
          <w:rFonts w:hint="eastAsia" w:asciiTheme="minorEastAsia" w:hAnsiTheme="minorEastAsia" w:eastAsiaTheme="minorEastAsia" w:cstheme="minorEastAsia"/>
          <w:color w:val="auto"/>
          <w:kern w:val="0"/>
          <w:sz w:val="24"/>
          <w:highlight w:val="none"/>
        </w:rPr>
        <w:t>专业为交通运输规划与管理、交通运输工程等与本项目服务内容相关专业</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具</w:t>
      </w:r>
      <w:r>
        <w:rPr>
          <w:rFonts w:hint="eastAsia" w:asciiTheme="minorEastAsia" w:hAnsiTheme="minorEastAsia" w:eastAsiaTheme="minorEastAsia" w:cstheme="minorEastAsia"/>
          <w:color w:val="auto"/>
          <w:kern w:val="0"/>
          <w:sz w:val="24"/>
          <w:highlight w:val="none"/>
        </w:rPr>
        <w:t>备同类项目相关经验</w:t>
      </w:r>
      <w:r>
        <w:rPr>
          <w:rFonts w:hint="eastAsia" w:asciiTheme="minorEastAsia" w:hAnsiTheme="minorEastAsia" w:eastAsiaTheme="minorEastAsia" w:cstheme="minorEastAsia"/>
          <w:color w:val="auto"/>
          <w:kern w:val="0"/>
          <w:sz w:val="24"/>
          <w:highlight w:val="none"/>
          <w:lang w:eastAsia="zh-CN"/>
        </w:rPr>
        <w:t>，</w:t>
      </w:r>
      <w:r>
        <w:rPr>
          <w:rFonts w:hint="eastAsia" w:cs="宋体"/>
          <w:color w:val="auto"/>
          <w:kern w:val="0"/>
          <w:sz w:val="24"/>
          <w:szCs w:val="20"/>
          <w:highlight w:val="none"/>
          <w:lang w:bidi="ar"/>
        </w:rPr>
        <w:t>有较高的政治思想素养和业务水平，有较强的组织协调能力；</w:t>
      </w:r>
      <w:r>
        <w:rPr>
          <w:rFonts w:hint="eastAsia" w:asciiTheme="minorEastAsia" w:hAnsiTheme="minorEastAsia" w:eastAsiaTheme="minorEastAsia" w:cstheme="minorEastAsia"/>
          <w:color w:val="auto"/>
          <w:sz w:val="24"/>
          <w:szCs w:val="24"/>
          <w:highlight w:val="none"/>
        </w:rPr>
        <w:t>项目组人员</w:t>
      </w:r>
      <w:r>
        <w:rPr>
          <w:rFonts w:hint="eastAsia" w:asciiTheme="minorEastAsia" w:hAnsiTheme="minorEastAsia" w:eastAsiaTheme="minorEastAsia" w:cstheme="minorEastAsia"/>
          <w:color w:val="auto"/>
          <w:sz w:val="24"/>
          <w:szCs w:val="24"/>
          <w:highlight w:val="none"/>
          <w:lang w:val="en-US" w:eastAsia="zh-CN"/>
        </w:rPr>
        <w:t>应具有</w:t>
      </w:r>
      <w:r>
        <w:rPr>
          <w:rFonts w:hint="eastAsia" w:asciiTheme="minorEastAsia" w:hAnsiTheme="minorEastAsia" w:eastAsiaTheme="minorEastAsia" w:cstheme="minorEastAsia"/>
          <w:color w:val="auto"/>
          <w:sz w:val="24"/>
          <w:szCs w:val="24"/>
          <w:highlight w:val="none"/>
        </w:rPr>
        <w:t>中级</w:t>
      </w:r>
      <w:r>
        <w:rPr>
          <w:rFonts w:hint="eastAsia" w:asciiTheme="minorEastAsia" w:hAnsiTheme="minorEastAsia" w:eastAsiaTheme="minorEastAsia" w:cstheme="minorEastAsia"/>
          <w:color w:val="auto"/>
          <w:sz w:val="24"/>
          <w:szCs w:val="24"/>
          <w:highlight w:val="none"/>
          <w:lang w:val="en-US" w:eastAsia="zh-CN"/>
        </w:rPr>
        <w:t>及以上</w:t>
      </w:r>
      <w:r>
        <w:rPr>
          <w:rFonts w:hint="eastAsia" w:asciiTheme="minorEastAsia" w:hAnsiTheme="minorEastAsia" w:eastAsiaTheme="minorEastAsia" w:cstheme="minorEastAsia"/>
          <w:color w:val="auto"/>
          <w:sz w:val="24"/>
          <w:szCs w:val="24"/>
          <w:highlight w:val="none"/>
        </w:rPr>
        <w:t>职称</w:t>
      </w:r>
      <w:r>
        <w:rPr>
          <w:rFonts w:hint="eastAsia" w:asciiTheme="minorEastAsia" w:hAnsiTheme="minorEastAsia" w:eastAsiaTheme="minorEastAsia" w:cstheme="minorEastAsia"/>
          <w:color w:val="auto"/>
          <w:sz w:val="24"/>
          <w:szCs w:val="24"/>
          <w:highlight w:val="none"/>
          <w:lang w:eastAsia="zh-CN"/>
        </w:rPr>
        <w:t>；</w:t>
      </w:r>
    </w:p>
    <w:p w14:paraId="72228819">
      <w:pPr>
        <w:autoSpaceDE w:val="0"/>
        <w:autoSpaceDN w:val="0"/>
        <w:spacing w:line="360" w:lineRule="auto"/>
        <w:ind w:firstLine="480" w:firstLineChars="200"/>
        <w:rPr>
          <w:color w:val="auto"/>
          <w:highlight w:val="none"/>
        </w:rPr>
      </w:pPr>
      <w:r>
        <w:rPr>
          <w:rFonts w:hint="eastAsia"/>
          <w:color w:val="auto"/>
          <w:kern w:val="0"/>
          <w:sz w:val="24"/>
          <w:szCs w:val="20"/>
          <w:highlight w:val="none"/>
          <w:lang w:bidi="ar"/>
        </w:rPr>
        <w:t>3.</w:t>
      </w:r>
      <w:r>
        <w:rPr>
          <w:rFonts w:hint="eastAsia" w:cs="宋体"/>
          <w:color w:val="auto"/>
          <w:kern w:val="0"/>
          <w:sz w:val="24"/>
          <w:szCs w:val="20"/>
          <w:highlight w:val="none"/>
          <w:lang w:bidi="ar"/>
        </w:rPr>
        <w:t>在项目进行期间，确保项目组成员的稳定性</w:t>
      </w:r>
      <w:r>
        <w:rPr>
          <w:rFonts w:hint="eastAsia" w:cs="宋体"/>
          <w:color w:val="auto"/>
          <w:kern w:val="0"/>
          <w:sz w:val="24"/>
          <w:szCs w:val="20"/>
          <w:highlight w:val="none"/>
          <w:lang w:eastAsia="zh-CN" w:bidi="ar"/>
        </w:rPr>
        <w:t>，</w:t>
      </w:r>
      <w:r>
        <w:rPr>
          <w:rFonts w:hint="eastAsia" w:cs="宋体"/>
          <w:color w:val="auto"/>
          <w:kern w:val="0"/>
          <w:sz w:val="24"/>
          <w:szCs w:val="20"/>
          <w:highlight w:val="none"/>
          <w:lang w:val="en-US" w:eastAsia="zh-CN" w:bidi="ar"/>
        </w:rPr>
        <w:t>并</w:t>
      </w:r>
      <w:r>
        <w:rPr>
          <w:rFonts w:hint="eastAsia" w:cs="宋体"/>
          <w:color w:val="auto"/>
          <w:kern w:val="0"/>
          <w:sz w:val="24"/>
          <w:szCs w:val="20"/>
          <w:highlight w:val="none"/>
          <w:lang w:eastAsia="zh-CN" w:bidi="ar"/>
        </w:rPr>
        <w:t>承诺项目组成员服务期间至少派1人到采购人驻地办公</w:t>
      </w:r>
      <w:r>
        <w:rPr>
          <w:rFonts w:hint="eastAsia" w:cs="宋体"/>
          <w:color w:val="auto"/>
          <w:kern w:val="0"/>
          <w:sz w:val="24"/>
          <w:szCs w:val="20"/>
          <w:highlight w:val="none"/>
          <w:lang w:bidi="ar"/>
        </w:rPr>
        <w:t>；</w:t>
      </w:r>
    </w:p>
    <w:p w14:paraId="79BFC6F9">
      <w:pPr>
        <w:autoSpaceDE w:val="0"/>
        <w:autoSpaceDN w:val="0"/>
        <w:spacing w:line="360" w:lineRule="auto"/>
        <w:ind w:firstLine="480" w:firstLineChars="200"/>
        <w:rPr>
          <w:color w:val="auto"/>
          <w:highlight w:val="none"/>
        </w:rPr>
      </w:pPr>
      <w:r>
        <w:rPr>
          <w:rFonts w:hint="eastAsia"/>
          <w:color w:val="auto"/>
          <w:kern w:val="0"/>
          <w:sz w:val="24"/>
          <w:szCs w:val="20"/>
          <w:highlight w:val="none"/>
          <w:lang w:bidi="ar"/>
        </w:rPr>
        <w:t>4.</w:t>
      </w:r>
      <w:r>
        <w:rPr>
          <w:rFonts w:hint="eastAsia" w:cs="宋体"/>
          <w:color w:val="auto"/>
          <w:kern w:val="0"/>
          <w:sz w:val="24"/>
          <w:szCs w:val="20"/>
          <w:highlight w:val="none"/>
          <w:lang w:bidi="ar"/>
        </w:rPr>
        <w:t>所有人员应遵守法律法规和职业道德，要求具有保密意识。</w:t>
      </w:r>
    </w:p>
    <w:p w14:paraId="57EDEB0D">
      <w:pPr>
        <w:tabs>
          <w:tab w:val="left" w:pos="0"/>
        </w:tabs>
        <w:spacing w:line="360" w:lineRule="auto"/>
        <w:ind w:firstLine="480"/>
        <w:rPr>
          <w:rFonts w:ascii="宋体" w:hAnsi="宋体" w:cs="宋体"/>
          <w:b/>
          <w:bCs/>
          <w:color w:val="auto"/>
          <w:kern w:val="0"/>
          <w:sz w:val="24"/>
          <w:highlight w:val="none"/>
        </w:rPr>
      </w:pPr>
      <w:r>
        <w:rPr>
          <w:rFonts w:hint="eastAsia" w:ascii="宋体" w:hAnsi="宋体" w:cs="宋体"/>
          <w:b/>
          <w:bCs/>
          <w:color w:val="auto"/>
          <w:kern w:val="0"/>
          <w:sz w:val="24"/>
          <w:highlight w:val="none"/>
        </w:rPr>
        <w:t>五、服务地点、工期及质量等要求</w:t>
      </w:r>
    </w:p>
    <w:p w14:paraId="678F3FC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1．项目服务地点：</w:t>
      </w:r>
      <w:r>
        <w:rPr>
          <w:rFonts w:hint="eastAsia" w:ascii="宋体" w:hAnsi="宋体" w:cs="宋体"/>
          <w:color w:val="auto"/>
          <w:kern w:val="0"/>
          <w:sz w:val="24"/>
          <w:highlight w:val="none"/>
          <w:u w:val="single"/>
        </w:rPr>
        <w:t>杭州。</w:t>
      </w:r>
    </w:p>
    <w:p w14:paraId="5D4BF40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2．项目服务期限：</w:t>
      </w:r>
      <w:r>
        <w:rPr>
          <w:rFonts w:hint="eastAsia" w:ascii="宋体" w:hAnsi="宋体" w:cs="宋体"/>
          <w:color w:val="auto"/>
          <w:kern w:val="0"/>
          <w:sz w:val="24"/>
          <w:highlight w:val="none"/>
          <w:u w:val="single"/>
        </w:rPr>
        <w:t>合同签订之日起至2025年12月31日。</w:t>
      </w:r>
    </w:p>
    <w:p w14:paraId="7C535F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3．项目服务进度：</w:t>
      </w:r>
      <w:r>
        <w:rPr>
          <w:rFonts w:hint="eastAsia" w:ascii="宋体" w:hAnsi="宋体" w:cs="宋体"/>
          <w:color w:val="auto"/>
          <w:kern w:val="0"/>
          <w:sz w:val="24"/>
          <w:highlight w:val="none"/>
          <w:u w:val="single"/>
        </w:rPr>
        <w:t>按项目的进度计划进行。</w:t>
      </w:r>
    </w:p>
    <w:p w14:paraId="405F413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4．项目服务质量要求：</w:t>
      </w:r>
      <w:r>
        <w:rPr>
          <w:rFonts w:hint="eastAsia" w:ascii="宋体" w:hAnsi="宋体" w:cs="宋体"/>
          <w:color w:val="auto"/>
          <w:kern w:val="0"/>
          <w:sz w:val="24"/>
          <w:highlight w:val="none"/>
          <w:u w:val="single"/>
        </w:rPr>
        <w:t>按照采购人的要求开展工作。</w:t>
      </w:r>
    </w:p>
    <w:p w14:paraId="4ACFEDB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5．项目服务质量期限要求：</w:t>
      </w:r>
      <w:r>
        <w:rPr>
          <w:rFonts w:hint="eastAsia" w:ascii="宋体" w:hAnsi="宋体" w:cs="宋体"/>
          <w:color w:val="auto"/>
          <w:kern w:val="0"/>
          <w:sz w:val="24"/>
          <w:highlight w:val="none"/>
          <w:u w:val="single"/>
        </w:rPr>
        <w:t>与项目服务期限同步。</w:t>
      </w:r>
    </w:p>
    <w:p w14:paraId="05060175">
      <w:pPr>
        <w:tabs>
          <w:tab w:val="left" w:pos="0"/>
        </w:tabs>
        <w:spacing w:line="360" w:lineRule="auto"/>
        <w:ind w:firstLine="480"/>
        <w:rPr>
          <w:rFonts w:ascii="宋体" w:hAnsi="宋体" w:cs="宋体"/>
          <w:b/>
          <w:bCs/>
          <w:color w:val="auto"/>
          <w:kern w:val="0"/>
          <w:sz w:val="24"/>
          <w:highlight w:val="none"/>
        </w:rPr>
      </w:pPr>
      <w:r>
        <w:rPr>
          <w:rFonts w:hint="eastAsia" w:ascii="宋体" w:hAnsi="宋体" w:cs="宋体"/>
          <w:b/>
          <w:bCs/>
          <w:color w:val="auto"/>
          <w:kern w:val="0"/>
          <w:sz w:val="24"/>
          <w:highlight w:val="none"/>
        </w:rPr>
        <w:t>六、验收要求</w:t>
      </w:r>
    </w:p>
    <w:p w14:paraId="2E2E866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项目服务工作成果的验收要求：</w:t>
      </w:r>
    </w:p>
    <w:p w14:paraId="7BB9CE1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（1）验收资料齐全。</w:t>
      </w:r>
    </w:p>
    <w:p w14:paraId="5847BF0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（2）完成采购人要求完成的相关事项。</w:t>
      </w:r>
    </w:p>
    <w:p w14:paraId="41A3B9E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3．项目服务工作成果的验收方法：采购人成立验收小组，对项目研究成果进行评估、审核，出具验收报告。</w:t>
      </w:r>
    </w:p>
    <w:p w14:paraId="1A75ACD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4．验收的时间和地点：合同服务期限结束后，向采购人提交验收申请，采购人接到验收申请的15个工作日内，组织验收小组对项目进行验收。</w:t>
      </w:r>
    </w:p>
    <w:p w14:paraId="3A8909BB">
      <w:pPr>
        <w:tabs>
          <w:tab w:val="left" w:pos="0"/>
        </w:tabs>
        <w:spacing w:line="360" w:lineRule="auto"/>
        <w:ind w:firstLine="480"/>
        <w:rPr>
          <w:rFonts w:ascii="宋体" w:hAnsi="宋体" w:cs="宋体"/>
          <w:b/>
          <w:bCs/>
          <w:color w:val="auto"/>
          <w:kern w:val="0"/>
          <w:sz w:val="24"/>
          <w:highlight w:val="none"/>
        </w:rPr>
      </w:pPr>
      <w:r>
        <w:rPr>
          <w:rFonts w:hint="eastAsia" w:ascii="宋体" w:hAnsi="宋体" w:cs="宋体"/>
          <w:b/>
          <w:bCs/>
          <w:color w:val="auto"/>
          <w:kern w:val="0"/>
          <w:sz w:val="24"/>
          <w:highlight w:val="none"/>
        </w:rPr>
        <w:t>七、其它</w:t>
      </w:r>
    </w:p>
    <w:p w14:paraId="7A6EC55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1．在本合同有效期内，采购人利用的技术服务工作成果所完成的新的技术成果，归采购人所有。</w:t>
      </w:r>
    </w:p>
    <w:p w14:paraId="6294621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2．在本合同有效期内，中标人利用采购人提供的技术资料和工作条件所完成的新的技术成果，归双方所有。</w:t>
      </w:r>
    </w:p>
    <w:p w14:paraId="681FBCD5">
      <w:pPr>
        <w:tabs>
          <w:tab w:val="left" w:pos="0"/>
        </w:tabs>
        <w:spacing w:line="360" w:lineRule="auto"/>
        <w:ind w:firstLine="480"/>
        <w:rPr>
          <w:rFonts w:ascii="宋体" w:hAnsi="宋体" w:cs="宋体"/>
          <w:b/>
          <w:bCs/>
          <w:color w:val="auto"/>
          <w:kern w:val="0"/>
          <w:sz w:val="24"/>
          <w:highlight w:val="none"/>
        </w:rPr>
      </w:pPr>
      <w:r>
        <w:rPr>
          <w:rFonts w:hint="eastAsia" w:ascii="宋体" w:hAnsi="宋体" w:cs="宋体"/>
          <w:b/>
          <w:bCs/>
          <w:color w:val="auto"/>
          <w:kern w:val="0"/>
          <w:sz w:val="24"/>
          <w:highlight w:val="none"/>
        </w:rPr>
        <w:t>八、商务条款</w:t>
      </w:r>
    </w:p>
    <w:p w14:paraId="4C26DD1C">
      <w:pPr>
        <w:tabs>
          <w:tab w:val="left" w:pos="0"/>
        </w:tabs>
        <w:spacing w:line="360" w:lineRule="auto"/>
        <w:ind w:firstLine="480"/>
        <w:rPr>
          <w:rFonts w:ascii="宋体" w:hAnsi="宋体" w:cs="宋体"/>
          <w:color w:val="auto"/>
          <w:kern w:val="0"/>
          <w:sz w:val="24"/>
          <w:highlight w:val="none"/>
        </w:rPr>
      </w:pPr>
      <w:bookmarkStart w:id="26" w:name="_Toc7532"/>
      <w:bookmarkStart w:id="27" w:name="_Toc3890"/>
      <w:bookmarkStart w:id="28" w:name="_Toc32067627"/>
      <w:bookmarkStart w:id="29" w:name="_Toc11289"/>
      <w:bookmarkStart w:id="30" w:name="_Toc8126"/>
      <w:bookmarkStart w:id="31" w:name="_Toc45798576"/>
      <w:bookmarkStart w:id="32" w:name="_Toc32067628"/>
      <w:bookmarkStart w:id="33" w:name="_Toc31687"/>
      <w:r>
        <w:rPr>
          <w:rFonts w:hint="eastAsia" w:ascii="宋体" w:hAnsi="宋体" w:cs="宋体"/>
          <w:color w:val="auto"/>
          <w:kern w:val="0"/>
          <w:sz w:val="24"/>
          <w:highlight w:val="none"/>
        </w:rPr>
        <w:t>1、</w:t>
      </w:r>
      <w:bookmarkEnd w:id="26"/>
      <w:bookmarkEnd w:id="27"/>
      <w:bookmarkEnd w:id="28"/>
      <w:bookmarkEnd w:id="29"/>
      <w:bookmarkEnd w:id="30"/>
      <w:bookmarkEnd w:id="31"/>
      <w:bookmarkStart w:id="34" w:name="_Toc21277"/>
      <w:bookmarkStart w:id="35" w:name="_Toc13518"/>
      <w:bookmarkStart w:id="36" w:name="_Toc45798577"/>
      <w:bookmarkStart w:id="37" w:name="_Toc9806"/>
      <w:bookmarkStart w:id="38" w:name="_Toc20183"/>
      <w:r>
        <w:rPr>
          <w:rFonts w:hint="eastAsia" w:ascii="宋体" w:hAnsi="宋体" w:cs="宋体"/>
          <w:color w:val="auto"/>
          <w:kern w:val="0"/>
          <w:sz w:val="24"/>
          <w:highlight w:val="none"/>
        </w:rPr>
        <w:t>付款方式</w:t>
      </w:r>
      <w:bookmarkEnd w:id="32"/>
      <w:bookmarkEnd w:id="33"/>
      <w:bookmarkEnd w:id="34"/>
      <w:bookmarkEnd w:id="35"/>
      <w:bookmarkEnd w:id="36"/>
      <w:bookmarkEnd w:id="37"/>
      <w:bookmarkEnd w:id="38"/>
    </w:p>
    <w:p w14:paraId="66B56F0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（1）项目合同生效以及具备实施条件后7个工作日内支付合同金额的70%。</w:t>
      </w:r>
    </w:p>
    <w:p w14:paraId="2CDFA75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（2）项目终验合格后7个工作日内支付合同金额的30%。</w:t>
      </w:r>
    </w:p>
    <w:p w14:paraId="6C7C6324">
      <w:pPr>
        <w:rPr>
          <w:rFonts w:ascii="宋体" w:hAnsi="宋体" w:cs="宋体"/>
          <w:color w:val="auto"/>
          <w:kern w:val="0"/>
          <w:sz w:val="24"/>
          <w:highlight w:val="none"/>
          <w:lang w:eastAsia="zh-Hans"/>
        </w:rPr>
      </w:pPr>
      <w:r>
        <w:rPr>
          <w:rFonts w:hint="eastAsia" w:ascii="宋体" w:hAnsi="宋体" w:cs="宋体"/>
          <w:color w:val="auto"/>
          <w:kern w:val="0"/>
          <w:sz w:val="24"/>
          <w:highlight w:val="none"/>
          <w:lang w:eastAsia="zh-Hans"/>
        </w:rPr>
        <w:br w:type="page"/>
      </w:r>
    </w:p>
    <w:p w14:paraId="375AE652">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9" w:name="_Toc184312139"/>
      <w:bookmarkEnd w:id="39"/>
      <w:bookmarkStart w:id="40" w:name="_Toc184308058"/>
      <w:bookmarkEnd w:id="40"/>
      <w:bookmarkStart w:id="41" w:name="_Toc184313293"/>
      <w:bookmarkEnd w:id="41"/>
      <w:bookmarkStart w:id="42" w:name="_Toc184313286"/>
      <w:bookmarkEnd w:id="42"/>
      <w:bookmarkStart w:id="43" w:name="_Toc184313247"/>
      <w:bookmarkEnd w:id="43"/>
      <w:bookmarkStart w:id="44" w:name="_Toc184308047"/>
      <w:bookmarkEnd w:id="44"/>
      <w:bookmarkStart w:id="45" w:name="_Toc184312080"/>
      <w:bookmarkEnd w:id="45"/>
      <w:bookmarkStart w:id="46" w:name="_Toc184313239"/>
      <w:bookmarkEnd w:id="46"/>
      <w:bookmarkStart w:id="47" w:name="_Toc184314416"/>
      <w:bookmarkEnd w:id="47"/>
      <w:bookmarkStart w:id="48" w:name="_Toc184310286"/>
      <w:bookmarkEnd w:id="48"/>
      <w:bookmarkStart w:id="49" w:name="_Toc184310287"/>
      <w:bookmarkEnd w:id="49"/>
      <w:bookmarkStart w:id="50" w:name="_Toc184308089"/>
      <w:bookmarkEnd w:id="50"/>
      <w:bookmarkStart w:id="51" w:name="_Toc184313267"/>
      <w:bookmarkEnd w:id="51"/>
      <w:bookmarkStart w:id="52" w:name="_Toc184313263"/>
      <w:bookmarkEnd w:id="52"/>
      <w:bookmarkStart w:id="53" w:name="_Toc184312107"/>
      <w:bookmarkEnd w:id="53"/>
      <w:bookmarkStart w:id="54" w:name="_Toc184310307"/>
      <w:bookmarkEnd w:id="54"/>
      <w:bookmarkStart w:id="55" w:name="_Toc184310280"/>
      <w:bookmarkEnd w:id="55"/>
      <w:bookmarkStart w:id="56" w:name="_Toc184308059"/>
      <w:bookmarkEnd w:id="56"/>
      <w:bookmarkStart w:id="57" w:name="_Toc184308038"/>
      <w:bookmarkEnd w:id="57"/>
      <w:bookmarkStart w:id="58" w:name="_Toc184313254"/>
      <w:bookmarkEnd w:id="58"/>
      <w:bookmarkStart w:id="59" w:name="_Toc184313249"/>
      <w:bookmarkEnd w:id="59"/>
      <w:bookmarkStart w:id="60" w:name="_Toc184313269"/>
      <w:bookmarkEnd w:id="60"/>
      <w:bookmarkStart w:id="61" w:name="_Toc184308085"/>
      <w:bookmarkEnd w:id="61"/>
      <w:bookmarkStart w:id="62" w:name="_Toc184313251"/>
      <w:bookmarkEnd w:id="62"/>
      <w:bookmarkStart w:id="63" w:name="_Toc184312087"/>
      <w:bookmarkEnd w:id="63"/>
      <w:bookmarkStart w:id="64" w:name="_Toc184310326"/>
      <w:bookmarkEnd w:id="64"/>
      <w:bookmarkStart w:id="65" w:name="_Toc184308086"/>
      <w:bookmarkEnd w:id="65"/>
      <w:bookmarkStart w:id="66" w:name="_Toc184314421"/>
      <w:bookmarkEnd w:id="66"/>
      <w:bookmarkStart w:id="67" w:name="_Toc184313241"/>
      <w:bookmarkEnd w:id="67"/>
      <w:bookmarkStart w:id="68" w:name="_Toc184313246"/>
      <w:bookmarkEnd w:id="68"/>
      <w:bookmarkStart w:id="69" w:name="_Toc184314422"/>
      <w:bookmarkEnd w:id="69"/>
      <w:bookmarkStart w:id="70" w:name="_Toc184312095"/>
      <w:bookmarkEnd w:id="70"/>
      <w:bookmarkStart w:id="71" w:name="_Toc184308101"/>
      <w:bookmarkEnd w:id="71"/>
      <w:bookmarkStart w:id="72" w:name="_Toc184313292"/>
      <w:bookmarkEnd w:id="72"/>
      <w:bookmarkStart w:id="73" w:name="_Toc184308057"/>
      <w:bookmarkEnd w:id="73"/>
      <w:bookmarkStart w:id="74" w:name="_Toc184313265"/>
      <w:bookmarkEnd w:id="74"/>
      <w:bookmarkStart w:id="75" w:name="_Toc184313279"/>
      <w:bookmarkEnd w:id="75"/>
      <w:bookmarkStart w:id="76" w:name="_Toc184310318"/>
      <w:bookmarkEnd w:id="76"/>
      <w:bookmarkStart w:id="77" w:name="_Toc184312133"/>
      <w:bookmarkEnd w:id="77"/>
      <w:bookmarkStart w:id="78" w:name="_Toc184310274"/>
      <w:bookmarkEnd w:id="78"/>
      <w:bookmarkStart w:id="79" w:name="_Toc184313298"/>
      <w:bookmarkEnd w:id="79"/>
      <w:bookmarkStart w:id="80" w:name="_Toc184314436"/>
      <w:bookmarkEnd w:id="80"/>
      <w:bookmarkStart w:id="81" w:name="_Toc184308098"/>
      <w:bookmarkEnd w:id="81"/>
      <w:bookmarkStart w:id="82" w:name="_Toc184310305"/>
      <w:bookmarkEnd w:id="82"/>
      <w:bookmarkStart w:id="83" w:name="_Toc184310293"/>
      <w:bookmarkEnd w:id="83"/>
      <w:bookmarkStart w:id="84" w:name="_Toc184310341"/>
      <w:bookmarkEnd w:id="84"/>
      <w:bookmarkStart w:id="85" w:name="_Toc184314464"/>
      <w:bookmarkEnd w:id="85"/>
      <w:bookmarkStart w:id="86" w:name="_Toc184313274"/>
      <w:bookmarkEnd w:id="86"/>
      <w:bookmarkStart w:id="87" w:name="_Toc184313271"/>
      <w:bookmarkEnd w:id="87"/>
      <w:bookmarkStart w:id="88" w:name="_Toc184312125"/>
      <w:bookmarkEnd w:id="88"/>
      <w:bookmarkStart w:id="89" w:name="_Toc184310334"/>
      <w:bookmarkEnd w:id="89"/>
      <w:bookmarkStart w:id="90" w:name="_Toc184308078"/>
      <w:bookmarkEnd w:id="90"/>
      <w:bookmarkStart w:id="91" w:name="_Toc184310283"/>
      <w:bookmarkEnd w:id="91"/>
      <w:bookmarkStart w:id="92" w:name="_Toc184310291"/>
      <w:bookmarkEnd w:id="92"/>
      <w:bookmarkStart w:id="93" w:name="_Toc184310302"/>
      <w:bookmarkEnd w:id="93"/>
      <w:bookmarkStart w:id="94" w:name="_Toc184312135"/>
      <w:bookmarkEnd w:id="94"/>
      <w:bookmarkStart w:id="95" w:name="_Toc184314410"/>
      <w:bookmarkEnd w:id="95"/>
      <w:bookmarkStart w:id="96" w:name="_Toc184314435"/>
      <w:bookmarkEnd w:id="96"/>
      <w:bookmarkStart w:id="97" w:name="_Toc184314473"/>
      <w:bookmarkEnd w:id="97"/>
      <w:bookmarkStart w:id="98" w:name="_Toc184314425"/>
      <w:bookmarkEnd w:id="98"/>
      <w:bookmarkStart w:id="99" w:name="_Toc184308051"/>
      <w:bookmarkEnd w:id="99"/>
      <w:bookmarkStart w:id="100" w:name="_Toc184310281"/>
      <w:bookmarkEnd w:id="100"/>
      <w:bookmarkStart w:id="101" w:name="_Toc184314482"/>
      <w:bookmarkEnd w:id="101"/>
      <w:bookmarkStart w:id="102" w:name="_Toc184313301"/>
      <w:bookmarkEnd w:id="102"/>
      <w:bookmarkStart w:id="103" w:name="_Toc184314430"/>
      <w:bookmarkEnd w:id="103"/>
      <w:bookmarkStart w:id="104" w:name="_Toc184308102"/>
      <w:bookmarkEnd w:id="104"/>
      <w:bookmarkStart w:id="105" w:name="_Toc184314466"/>
      <w:bookmarkEnd w:id="105"/>
      <w:bookmarkStart w:id="106" w:name="_Toc184308100"/>
      <w:bookmarkEnd w:id="106"/>
      <w:bookmarkStart w:id="107" w:name="_Toc184308037"/>
      <w:bookmarkEnd w:id="107"/>
      <w:bookmarkStart w:id="108" w:name="_Toc184314443"/>
      <w:bookmarkEnd w:id="108"/>
      <w:bookmarkStart w:id="109" w:name="_Toc184312128"/>
      <w:bookmarkEnd w:id="109"/>
      <w:bookmarkStart w:id="110" w:name="_Toc184310324"/>
      <w:bookmarkEnd w:id="110"/>
      <w:bookmarkStart w:id="111" w:name="_Toc184312092"/>
      <w:bookmarkEnd w:id="111"/>
      <w:bookmarkStart w:id="112" w:name="_Toc184312103"/>
      <w:bookmarkEnd w:id="112"/>
      <w:bookmarkStart w:id="113" w:name="_Toc184313272"/>
      <w:bookmarkEnd w:id="113"/>
      <w:bookmarkStart w:id="114" w:name="_Toc184313283"/>
      <w:bookmarkEnd w:id="114"/>
      <w:bookmarkStart w:id="115" w:name="_Toc184308088"/>
      <w:bookmarkEnd w:id="115"/>
      <w:bookmarkStart w:id="116" w:name="_Toc184313276"/>
      <w:bookmarkEnd w:id="116"/>
      <w:bookmarkStart w:id="117" w:name="_Toc184314440"/>
      <w:bookmarkEnd w:id="117"/>
      <w:bookmarkStart w:id="118" w:name="_Toc184314412"/>
      <w:bookmarkEnd w:id="118"/>
      <w:bookmarkStart w:id="119" w:name="_Toc184310277"/>
      <w:bookmarkEnd w:id="119"/>
      <w:bookmarkStart w:id="120" w:name="_Toc184314433"/>
      <w:bookmarkEnd w:id="120"/>
      <w:bookmarkStart w:id="121" w:name="_Toc184312104"/>
      <w:bookmarkEnd w:id="121"/>
      <w:bookmarkStart w:id="122" w:name="_Toc184308107"/>
      <w:bookmarkEnd w:id="122"/>
      <w:bookmarkStart w:id="123" w:name="_Toc184312114"/>
      <w:bookmarkEnd w:id="123"/>
      <w:bookmarkStart w:id="124" w:name="_Toc184308082"/>
      <w:bookmarkEnd w:id="124"/>
      <w:bookmarkStart w:id="125" w:name="_Toc184313262"/>
      <w:bookmarkEnd w:id="125"/>
      <w:bookmarkStart w:id="126" w:name="_Toc184310300"/>
      <w:bookmarkEnd w:id="126"/>
      <w:bookmarkStart w:id="127" w:name="_Toc184314438"/>
      <w:bookmarkEnd w:id="127"/>
      <w:bookmarkStart w:id="128" w:name="_Toc184314419"/>
      <w:bookmarkEnd w:id="128"/>
      <w:bookmarkStart w:id="129" w:name="_Toc184308092"/>
      <w:bookmarkEnd w:id="129"/>
      <w:bookmarkStart w:id="130" w:name="_Toc184310282"/>
      <w:bookmarkEnd w:id="130"/>
      <w:bookmarkStart w:id="131" w:name="_Toc184313306"/>
      <w:bookmarkEnd w:id="131"/>
      <w:bookmarkStart w:id="132" w:name="_Toc184312127"/>
      <w:bookmarkEnd w:id="132"/>
      <w:bookmarkStart w:id="133" w:name="_Toc184308073"/>
      <w:bookmarkEnd w:id="133"/>
      <w:bookmarkStart w:id="134" w:name="_Toc184314463"/>
      <w:bookmarkEnd w:id="134"/>
      <w:bookmarkStart w:id="135" w:name="_Toc184310295"/>
      <w:bookmarkEnd w:id="135"/>
      <w:bookmarkStart w:id="136" w:name="_Toc184313308"/>
      <w:bookmarkEnd w:id="136"/>
      <w:bookmarkStart w:id="137" w:name="_Toc184312094"/>
      <w:bookmarkEnd w:id="137"/>
      <w:bookmarkStart w:id="138" w:name="_Toc184313291"/>
      <w:bookmarkEnd w:id="138"/>
      <w:bookmarkStart w:id="139" w:name="_Toc184310284"/>
      <w:bookmarkEnd w:id="139"/>
      <w:bookmarkStart w:id="140" w:name="_Toc184313288"/>
      <w:bookmarkEnd w:id="140"/>
      <w:bookmarkStart w:id="141" w:name="_Toc184312118"/>
      <w:bookmarkEnd w:id="141"/>
      <w:bookmarkStart w:id="142" w:name="_Toc184313244"/>
      <w:bookmarkEnd w:id="142"/>
      <w:bookmarkStart w:id="143" w:name="_Toc184313266"/>
      <w:bookmarkEnd w:id="143"/>
      <w:bookmarkStart w:id="144" w:name="_Toc184314474"/>
      <w:bookmarkEnd w:id="144"/>
      <w:bookmarkStart w:id="145" w:name="_Toc184308063"/>
      <w:bookmarkEnd w:id="145"/>
      <w:bookmarkStart w:id="146" w:name="_Toc184308042"/>
      <w:bookmarkEnd w:id="146"/>
      <w:bookmarkStart w:id="147" w:name="_Toc184308074"/>
      <w:bookmarkEnd w:id="147"/>
      <w:bookmarkStart w:id="148" w:name="_Toc184310278"/>
      <w:bookmarkEnd w:id="148"/>
      <w:bookmarkStart w:id="149" w:name="_Toc184313240"/>
      <w:bookmarkEnd w:id="149"/>
      <w:bookmarkStart w:id="150" w:name="_Toc184310301"/>
      <w:bookmarkEnd w:id="150"/>
      <w:bookmarkStart w:id="151" w:name="_Toc184310289"/>
      <w:bookmarkEnd w:id="151"/>
      <w:bookmarkStart w:id="152" w:name="_Toc184310342"/>
      <w:bookmarkEnd w:id="152"/>
      <w:bookmarkStart w:id="153" w:name="_Toc184313287"/>
      <w:bookmarkEnd w:id="153"/>
      <w:bookmarkStart w:id="154" w:name="_Toc184308036"/>
      <w:bookmarkEnd w:id="154"/>
      <w:bookmarkStart w:id="155" w:name="_Toc184314434"/>
      <w:bookmarkEnd w:id="155"/>
      <w:bookmarkStart w:id="156" w:name="_Toc184308095"/>
      <w:bookmarkEnd w:id="156"/>
      <w:bookmarkStart w:id="157" w:name="_Toc184312074"/>
      <w:bookmarkEnd w:id="157"/>
      <w:bookmarkStart w:id="158" w:name="_Toc184313242"/>
      <w:bookmarkEnd w:id="158"/>
      <w:bookmarkStart w:id="159" w:name="_Toc184308094"/>
      <w:bookmarkEnd w:id="159"/>
      <w:bookmarkStart w:id="160" w:name="_Toc184314458"/>
      <w:bookmarkEnd w:id="160"/>
      <w:bookmarkStart w:id="161" w:name="_Toc184308108"/>
      <w:bookmarkEnd w:id="161"/>
      <w:bookmarkStart w:id="162" w:name="_Toc184310285"/>
      <w:bookmarkEnd w:id="162"/>
      <w:bookmarkStart w:id="163" w:name="_Toc184308083"/>
      <w:bookmarkEnd w:id="163"/>
      <w:bookmarkStart w:id="164" w:name="_Toc184314446"/>
      <w:bookmarkEnd w:id="164"/>
      <w:bookmarkStart w:id="165" w:name="_Toc184312096"/>
      <w:bookmarkEnd w:id="165"/>
      <w:bookmarkStart w:id="166" w:name="_Toc184314468"/>
      <w:bookmarkEnd w:id="166"/>
      <w:bookmarkStart w:id="167" w:name="_Toc184308065"/>
      <w:bookmarkEnd w:id="167"/>
      <w:bookmarkStart w:id="168" w:name="_Toc184308043"/>
      <w:bookmarkEnd w:id="168"/>
      <w:bookmarkStart w:id="169" w:name="_Toc184314452"/>
      <w:bookmarkEnd w:id="169"/>
      <w:bookmarkStart w:id="170" w:name="_Toc184308079"/>
      <w:bookmarkEnd w:id="170"/>
      <w:bookmarkStart w:id="171" w:name="_Toc184313277"/>
      <w:bookmarkEnd w:id="171"/>
      <w:bookmarkStart w:id="172" w:name="_Toc184308044"/>
      <w:bookmarkEnd w:id="172"/>
      <w:bookmarkStart w:id="173" w:name="_Toc184312105"/>
      <w:bookmarkEnd w:id="173"/>
      <w:bookmarkStart w:id="174" w:name="_Toc184308064"/>
      <w:bookmarkEnd w:id="174"/>
      <w:bookmarkStart w:id="175" w:name="_Toc184310321"/>
      <w:bookmarkEnd w:id="175"/>
      <w:bookmarkStart w:id="176" w:name="_Toc184312083"/>
      <w:bookmarkEnd w:id="176"/>
      <w:bookmarkStart w:id="177" w:name="_Toc184308056"/>
      <w:bookmarkEnd w:id="177"/>
      <w:bookmarkStart w:id="178" w:name="_Toc184310279"/>
      <w:bookmarkEnd w:id="178"/>
      <w:bookmarkStart w:id="179" w:name="_Toc184310297"/>
      <w:bookmarkEnd w:id="179"/>
      <w:bookmarkStart w:id="180" w:name="_Toc184312093"/>
      <w:bookmarkEnd w:id="180"/>
      <w:bookmarkStart w:id="181" w:name="_Toc184312111"/>
      <w:bookmarkEnd w:id="181"/>
      <w:bookmarkStart w:id="182" w:name="_Toc184310315"/>
      <w:bookmarkEnd w:id="182"/>
      <w:bookmarkStart w:id="183" w:name="_Toc184314475"/>
      <w:bookmarkEnd w:id="183"/>
      <w:bookmarkStart w:id="184" w:name="_Toc184313278"/>
      <w:bookmarkEnd w:id="184"/>
      <w:bookmarkStart w:id="185" w:name="_Toc184314428"/>
      <w:bookmarkEnd w:id="185"/>
      <w:bookmarkStart w:id="186" w:name="_Toc184312078"/>
      <w:bookmarkEnd w:id="186"/>
      <w:bookmarkStart w:id="187" w:name="_Toc184308062"/>
      <w:bookmarkEnd w:id="187"/>
      <w:bookmarkStart w:id="188" w:name="_Toc184310339"/>
      <w:bookmarkEnd w:id="188"/>
      <w:bookmarkStart w:id="189" w:name="_Toc184314439"/>
      <w:bookmarkEnd w:id="189"/>
      <w:bookmarkStart w:id="190" w:name="_Toc184313238"/>
      <w:bookmarkEnd w:id="190"/>
      <w:bookmarkStart w:id="191" w:name="_Toc184314472"/>
      <w:bookmarkEnd w:id="191"/>
      <w:bookmarkStart w:id="192" w:name="_Toc184313296"/>
      <w:bookmarkEnd w:id="192"/>
      <w:bookmarkStart w:id="193" w:name="_Toc184308066"/>
      <w:bookmarkEnd w:id="193"/>
      <w:bookmarkStart w:id="194" w:name="_Toc184310273"/>
      <w:bookmarkEnd w:id="194"/>
      <w:bookmarkStart w:id="195" w:name="_Toc184313264"/>
      <w:bookmarkEnd w:id="195"/>
      <w:bookmarkStart w:id="196" w:name="_Toc184312091"/>
      <w:bookmarkEnd w:id="196"/>
      <w:bookmarkStart w:id="197" w:name="_Toc184313300"/>
      <w:bookmarkEnd w:id="197"/>
      <w:bookmarkStart w:id="198" w:name="_Toc184314420"/>
      <w:bookmarkEnd w:id="198"/>
      <w:bookmarkStart w:id="199" w:name="_Toc184314413"/>
      <w:bookmarkEnd w:id="199"/>
      <w:bookmarkStart w:id="200" w:name="_Toc184312132"/>
      <w:bookmarkEnd w:id="200"/>
      <w:bookmarkStart w:id="201" w:name="_Toc184312113"/>
      <w:bookmarkEnd w:id="201"/>
      <w:bookmarkStart w:id="202" w:name="_Toc184313295"/>
      <w:bookmarkEnd w:id="202"/>
      <w:bookmarkStart w:id="203" w:name="_Toc184308097"/>
      <w:bookmarkEnd w:id="203"/>
      <w:bookmarkStart w:id="204" w:name="_Toc184310335"/>
      <w:bookmarkEnd w:id="204"/>
      <w:bookmarkStart w:id="205" w:name="_Toc184313304"/>
      <w:bookmarkEnd w:id="205"/>
      <w:bookmarkStart w:id="206" w:name="_Toc184313284"/>
      <w:bookmarkEnd w:id="206"/>
      <w:bookmarkStart w:id="207" w:name="_Toc184314462"/>
      <w:bookmarkEnd w:id="207"/>
      <w:bookmarkStart w:id="208" w:name="_Toc184308081"/>
      <w:bookmarkEnd w:id="208"/>
      <w:bookmarkStart w:id="209" w:name="_Toc184312100"/>
      <w:bookmarkEnd w:id="209"/>
      <w:bookmarkStart w:id="210" w:name="_Toc184310312"/>
      <w:bookmarkEnd w:id="210"/>
      <w:bookmarkStart w:id="211" w:name="_Toc184314447"/>
      <w:bookmarkEnd w:id="211"/>
      <w:bookmarkStart w:id="212" w:name="_Toc184312126"/>
      <w:bookmarkEnd w:id="212"/>
      <w:bookmarkStart w:id="213" w:name="_Toc184312134"/>
      <w:bookmarkEnd w:id="213"/>
      <w:bookmarkStart w:id="214" w:name="_Toc184313259"/>
      <w:bookmarkEnd w:id="214"/>
      <w:bookmarkStart w:id="215" w:name="_Toc184310288"/>
      <w:bookmarkEnd w:id="215"/>
      <w:bookmarkStart w:id="216" w:name="_Toc184310320"/>
      <w:bookmarkEnd w:id="216"/>
      <w:bookmarkStart w:id="217" w:name="_Toc184314461"/>
      <w:bookmarkEnd w:id="217"/>
      <w:bookmarkStart w:id="218" w:name="_Toc184312130"/>
      <w:bookmarkEnd w:id="218"/>
      <w:bookmarkStart w:id="219" w:name="_Toc184312136"/>
      <w:bookmarkEnd w:id="219"/>
      <w:bookmarkStart w:id="220" w:name="_Toc184314460"/>
      <w:bookmarkEnd w:id="220"/>
      <w:bookmarkStart w:id="221" w:name="_Toc184314429"/>
      <w:bookmarkEnd w:id="221"/>
      <w:bookmarkStart w:id="222" w:name="_Toc184314465"/>
      <w:bookmarkEnd w:id="222"/>
      <w:bookmarkStart w:id="223" w:name="_Toc184313280"/>
      <w:bookmarkEnd w:id="223"/>
      <w:bookmarkStart w:id="224" w:name="_Toc184308040"/>
      <w:bookmarkEnd w:id="224"/>
      <w:bookmarkStart w:id="225" w:name="_Toc184310317"/>
      <w:bookmarkEnd w:id="225"/>
      <w:bookmarkStart w:id="226" w:name="_Toc184312121"/>
      <w:bookmarkEnd w:id="226"/>
      <w:bookmarkStart w:id="227" w:name="_Toc184312131"/>
      <w:bookmarkEnd w:id="227"/>
      <w:bookmarkStart w:id="228" w:name="_Toc184314437"/>
      <w:bookmarkEnd w:id="228"/>
      <w:bookmarkStart w:id="229" w:name="_Toc184310294"/>
      <w:bookmarkEnd w:id="229"/>
      <w:bookmarkStart w:id="230" w:name="_Toc184310338"/>
      <w:bookmarkEnd w:id="230"/>
      <w:bookmarkStart w:id="231" w:name="_Toc184314423"/>
      <w:bookmarkEnd w:id="231"/>
      <w:bookmarkStart w:id="232" w:name="_Toc184308080"/>
      <w:bookmarkEnd w:id="232"/>
      <w:bookmarkStart w:id="233" w:name="_Toc184314411"/>
      <w:bookmarkEnd w:id="233"/>
      <w:bookmarkStart w:id="234" w:name="_Toc184312138"/>
      <w:bookmarkEnd w:id="234"/>
      <w:bookmarkStart w:id="235" w:name="_Toc184313307"/>
      <w:bookmarkEnd w:id="235"/>
      <w:bookmarkStart w:id="236" w:name="_Toc184313245"/>
      <w:bookmarkEnd w:id="236"/>
      <w:bookmarkStart w:id="237" w:name="_Toc184312088"/>
      <w:bookmarkEnd w:id="237"/>
      <w:bookmarkStart w:id="238" w:name="_Toc184308096"/>
      <w:bookmarkEnd w:id="238"/>
      <w:bookmarkStart w:id="239" w:name="_Toc184313258"/>
      <w:bookmarkEnd w:id="239"/>
      <w:bookmarkStart w:id="240" w:name="_Toc184313310"/>
      <w:bookmarkEnd w:id="240"/>
      <w:bookmarkStart w:id="241" w:name="_Toc184310299"/>
      <w:bookmarkEnd w:id="241"/>
      <w:bookmarkStart w:id="242" w:name="_Toc184314418"/>
      <w:bookmarkEnd w:id="242"/>
      <w:bookmarkStart w:id="243" w:name="_Toc184314432"/>
      <w:bookmarkEnd w:id="243"/>
      <w:bookmarkStart w:id="244" w:name="_Toc184308048"/>
      <w:bookmarkEnd w:id="244"/>
      <w:bookmarkStart w:id="245" w:name="_Toc184313290"/>
      <w:bookmarkEnd w:id="245"/>
      <w:bookmarkStart w:id="246" w:name="_Toc184310298"/>
      <w:bookmarkEnd w:id="246"/>
      <w:bookmarkStart w:id="247" w:name="_Toc184313297"/>
      <w:bookmarkEnd w:id="247"/>
      <w:bookmarkStart w:id="248" w:name="_Toc184314480"/>
      <w:bookmarkEnd w:id="248"/>
      <w:bookmarkStart w:id="249" w:name="_Toc184310327"/>
      <w:bookmarkEnd w:id="249"/>
      <w:bookmarkStart w:id="250" w:name="_Toc184314453"/>
      <w:bookmarkEnd w:id="250"/>
      <w:bookmarkStart w:id="251" w:name="_Toc184308103"/>
      <w:bookmarkEnd w:id="251"/>
      <w:bookmarkStart w:id="252" w:name="_Toc184310328"/>
      <w:bookmarkEnd w:id="252"/>
      <w:bookmarkStart w:id="253" w:name="_Toc184310272"/>
      <w:bookmarkEnd w:id="253"/>
      <w:bookmarkStart w:id="254" w:name="_Toc184308071"/>
      <w:bookmarkEnd w:id="254"/>
      <w:bookmarkStart w:id="255" w:name="_Toc184314467"/>
      <w:bookmarkEnd w:id="255"/>
      <w:bookmarkStart w:id="256" w:name="_Toc184310336"/>
      <w:bookmarkEnd w:id="256"/>
      <w:bookmarkStart w:id="257" w:name="_Toc184314456"/>
      <w:bookmarkEnd w:id="257"/>
      <w:bookmarkStart w:id="258" w:name="_Toc184313282"/>
      <w:bookmarkEnd w:id="258"/>
      <w:bookmarkStart w:id="259" w:name="_Toc184313260"/>
      <w:bookmarkEnd w:id="259"/>
      <w:bookmarkStart w:id="260" w:name="_Toc184313261"/>
      <w:bookmarkEnd w:id="260"/>
      <w:bookmarkStart w:id="261" w:name="_Toc184313305"/>
      <w:bookmarkEnd w:id="261"/>
      <w:bookmarkStart w:id="262" w:name="_Toc184308106"/>
      <w:bookmarkEnd w:id="262"/>
      <w:bookmarkStart w:id="263" w:name="_Toc184314459"/>
      <w:bookmarkEnd w:id="263"/>
      <w:bookmarkStart w:id="264" w:name="_Toc184312115"/>
      <w:bookmarkEnd w:id="264"/>
      <w:bookmarkStart w:id="265" w:name="_Toc184313294"/>
      <w:bookmarkEnd w:id="265"/>
      <w:bookmarkStart w:id="266" w:name="_Toc184310308"/>
      <w:bookmarkEnd w:id="266"/>
      <w:bookmarkStart w:id="267" w:name="_Toc184308090"/>
      <w:bookmarkEnd w:id="267"/>
      <w:bookmarkStart w:id="268" w:name="_Toc184314476"/>
      <w:bookmarkEnd w:id="268"/>
      <w:bookmarkStart w:id="269" w:name="_Toc184314450"/>
      <w:bookmarkEnd w:id="269"/>
      <w:bookmarkStart w:id="270" w:name="_Toc184308039"/>
      <w:bookmarkEnd w:id="270"/>
      <w:bookmarkStart w:id="271" w:name="_Toc184310275"/>
      <w:bookmarkEnd w:id="271"/>
      <w:bookmarkStart w:id="272" w:name="_Toc184312109"/>
      <w:bookmarkEnd w:id="272"/>
      <w:bookmarkStart w:id="273" w:name="_Toc184312117"/>
      <w:bookmarkEnd w:id="273"/>
      <w:bookmarkStart w:id="274" w:name="_Toc184312089"/>
      <w:bookmarkEnd w:id="274"/>
      <w:bookmarkStart w:id="275" w:name="_Toc184310296"/>
      <w:bookmarkEnd w:id="275"/>
      <w:bookmarkStart w:id="276" w:name="_Toc184313252"/>
      <w:bookmarkEnd w:id="276"/>
      <w:bookmarkStart w:id="277" w:name="_Toc184312082"/>
      <w:bookmarkEnd w:id="277"/>
      <w:bookmarkStart w:id="278" w:name="_Toc184313270"/>
      <w:bookmarkEnd w:id="278"/>
      <w:bookmarkStart w:id="279" w:name="_Toc184308045"/>
      <w:bookmarkEnd w:id="279"/>
      <w:bookmarkStart w:id="280" w:name="_Toc184312086"/>
      <w:bookmarkEnd w:id="280"/>
      <w:bookmarkStart w:id="281" w:name="_Toc184314469"/>
      <w:bookmarkEnd w:id="281"/>
      <w:bookmarkStart w:id="282" w:name="_Toc184312098"/>
      <w:bookmarkEnd w:id="282"/>
      <w:bookmarkStart w:id="283" w:name="_Toc184312090"/>
      <w:bookmarkEnd w:id="283"/>
      <w:bookmarkStart w:id="284" w:name="_Toc184314449"/>
      <w:bookmarkEnd w:id="284"/>
      <w:bookmarkStart w:id="285" w:name="_Toc184314424"/>
      <w:bookmarkEnd w:id="285"/>
      <w:bookmarkStart w:id="286" w:name="_Toc184310290"/>
      <w:bookmarkEnd w:id="286"/>
      <w:bookmarkStart w:id="287" w:name="_Toc184312108"/>
      <w:bookmarkEnd w:id="287"/>
      <w:bookmarkStart w:id="288" w:name="_Toc184308050"/>
      <w:bookmarkEnd w:id="288"/>
      <w:bookmarkStart w:id="289" w:name="_Toc184308067"/>
      <w:bookmarkEnd w:id="289"/>
      <w:bookmarkStart w:id="290" w:name="_Toc184312123"/>
      <w:bookmarkEnd w:id="290"/>
      <w:bookmarkStart w:id="291" w:name="_Toc184310323"/>
      <w:bookmarkEnd w:id="291"/>
      <w:bookmarkStart w:id="292" w:name="_Toc184308104"/>
      <w:bookmarkEnd w:id="292"/>
      <w:bookmarkStart w:id="293" w:name="_Toc184310322"/>
      <w:bookmarkEnd w:id="293"/>
      <w:bookmarkStart w:id="294" w:name="_Toc184308068"/>
      <w:bookmarkEnd w:id="294"/>
      <w:bookmarkStart w:id="295" w:name="_Toc184308061"/>
      <w:bookmarkEnd w:id="295"/>
      <w:bookmarkStart w:id="296" w:name="_Toc184308093"/>
      <w:bookmarkEnd w:id="296"/>
      <w:bookmarkStart w:id="297" w:name="_Toc184314444"/>
      <w:bookmarkEnd w:id="297"/>
      <w:bookmarkStart w:id="298" w:name="_Toc184313256"/>
      <w:bookmarkEnd w:id="298"/>
      <w:bookmarkStart w:id="299" w:name="_Toc184310330"/>
      <w:bookmarkEnd w:id="299"/>
      <w:bookmarkStart w:id="300" w:name="_Toc184310331"/>
      <w:bookmarkEnd w:id="300"/>
      <w:bookmarkStart w:id="301" w:name="_Toc184310292"/>
      <w:bookmarkEnd w:id="301"/>
      <w:bookmarkStart w:id="302" w:name="_Toc184313309"/>
      <w:bookmarkEnd w:id="302"/>
      <w:bookmarkStart w:id="303" w:name="_Toc184314457"/>
      <w:bookmarkEnd w:id="303"/>
      <w:bookmarkStart w:id="304" w:name="_Toc184314451"/>
      <w:bookmarkEnd w:id="304"/>
      <w:bookmarkStart w:id="305" w:name="_Toc184312099"/>
      <w:bookmarkEnd w:id="305"/>
      <w:bookmarkStart w:id="306" w:name="_Toc184314414"/>
      <w:bookmarkEnd w:id="306"/>
      <w:bookmarkStart w:id="307" w:name="_Toc184308070"/>
      <w:bookmarkEnd w:id="307"/>
      <w:bookmarkStart w:id="308" w:name="_Toc184313285"/>
      <w:bookmarkEnd w:id="308"/>
      <w:bookmarkStart w:id="309" w:name="_Toc184314477"/>
      <w:bookmarkEnd w:id="309"/>
      <w:bookmarkStart w:id="310" w:name="_Toc184313289"/>
      <w:bookmarkEnd w:id="310"/>
      <w:bookmarkStart w:id="311" w:name="_Toc184313250"/>
      <w:bookmarkEnd w:id="311"/>
      <w:bookmarkStart w:id="312" w:name="_Toc184308054"/>
      <w:bookmarkEnd w:id="312"/>
      <w:bookmarkStart w:id="313" w:name="_Toc184312067"/>
      <w:bookmarkEnd w:id="313"/>
      <w:bookmarkStart w:id="314" w:name="_Toc184310309"/>
      <w:bookmarkEnd w:id="314"/>
      <w:bookmarkStart w:id="315" w:name="_Toc184312120"/>
      <w:bookmarkEnd w:id="315"/>
      <w:bookmarkStart w:id="316" w:name="_Toc184310337"/>
      <w:bookmarkEnd w:id="316"/>
      <w:bookmarkStart w:id="317" w:name="_Toc184308091"/>
      <w:bookmarkEnd w:id="317"/>
      <w:bookmarkStart w:id="318" w:name="_Toc184308060"/>
      <w:bookmarkEnd w:id="318"/>
      <w:bookmarkStart w:id="319" w:name="_Toc184312116"/>
      <w:bookmarkEnd w:id="319"/>
      <w:bookmarkStart w:id="320" w:name="_Toc184308077"/>
      <w:bookmarkEnd w:id="320"/>
      <w:bookmarkStart w:id="321" w:name="_Toc184310340"/>
      <w:bookmarkEnd w:id="321"/>
      <w:bookmarkStart w:id="322" w:name="_Toc184312081"/>
      <w:bookmarkEnd w:id="322"/>
      <w:bookmarkStart w:id="323" w:name="_Toc184310313"/>
      <w:bookmarkEnd w:id="323"/>
      <w:bookmarkStart w:id="324" w:name="_Toc184312129"/>
      <w:bookmarkEnd w:id="324"/>
      <w:bookmarkStart w:id="325" w:name="_Toc184314442"/>
      <w:bookmarkEnd w:id="325"/>
      <w:bookmarkStart w:id="326" w:name="_Toc184312122"/>
      <w:bookmarkEnd w:id="326"/>
      <w:bookmarkStart w:id="327" w:name="_Toc184312101"/>
      <w:bookmarkEnd w:id="327"/>
      <w:bookmarkStart w:id="328" w:name="_Toc184314470"/>
      <w:bookmarkEnd w:id="328"/>
      <w:bookmarkStart w:id="329" w:name="_Toc184312076"/>
      <w:bookmarkEnd w:id="329"/>
      <w:bookmarkStart w:id="330" w:name="_Toc184312069"/>
      <w:bookmarkEnd w:id="330"/>
      <w:bookmarkStart w:id="331" w:name="_Toc184310332"/>
      <w:bookmarkEnd w:id="331"/>
      <w:bookmarkStart w:id="332" w:name="_Toc184308087"/>
      <w:bookmarkEnd w:id="332"/>
      <w:bookmarkStart w:id="333" w:name="_Toc184312070"/>
      <w:bookmarkEnd w:id="333"/>
      <w:bookmarkStart w:id="334" w:name="_Toc184308099"/>
      <w:bookmarkEnd w:id="334"/>
      <w:bookmarkStart w:id="335" w:name="_Toc184313257"/>
      <w:bookmarkEnd w:id="335"/>
      <w:bookmarkStart w:id="336" w:name="_Toc184313299"/>
      <w:bookmarkEnd w:id="336"/>
      <w:bookmarkStart w:id="337" w:name="_Toc184314415"/>
      <w:bookmarkEnd w:id="337"/>
      <w:bookmarkStart w:id="338" w:name="_Toc184312075"/>
      <w:bookmarkEnd w:id="338"/>
      <w:bookmarkStart w:id="339" w:name="_Toc184314448"/>
      <w:bookmarkEnd w:id="339"/>
      <w:bookmarkStart w:id="340" w:name="_Toc184308053"/>
      <w:bookmarkEnd w:id="340"/>
      <w:bookmarkStart w:id="341" w:name="_Toc184310311"/>
      <w:bookmarkEnd w:id="341"/>
      <w:bookmarkStart w:id="342" w:name="_Toc184308105"/>
      <w:bookmarkEnd w:id="342"/>
      <w:bookmarkStart w:id="343" w:name="_Toc184312102"/>
      <w:bookmarkEnd w:id="343"/>
      <w:bookmarkStart w:id="344" w:name="_Toc184314445"/>
      <w:bookmarkEnd w:id="344"/>
      <w:bookmarkStart w:id="345" w:name="_Toc184310325"/>
      <w:bookmarkEnd w:id="345"/>
      <w:bookmarkStart w:id="346" w:name="_Toc184313253"/>
      <w:bookmarkEnd w:id="346"/>
      <w:bookmarkStart w:id="347" w:name="_Toc184308052"/>
      <w:bookmarkEnd w:id="347"/>
      <w:bookmarkStart w:id="348" w:name="_Toc184310316"/>
      <w:bookmarkEnd w:id="348"/>
      <w:bookmarkStart w:id="349" w:name="_Toc184308046"/>
      <w:bookmarkEnd w:id="349"/>
      <w:bookmarkStart w:id="350" w:name="_Toc184310304"/>
      <w:bookmarkEnd w:id="350"/>
      <w:bookmarkStart w:id="351" w:name="_Toc184308084"/>
      <w:bookmarkEnd w:id="351"/>
      <w:bookmarkStart w:id="352" w:name="_Toc184310310"/>
      <w:bookmarkEnd w:id="352"/>
      <w:bookmarkStart w:id="353" w:name="_Toc184312110"/>
      <w:bookmarkEnd w:id="353"/>
      <w:bookmarkStart w:id="354" w:name="_Toc184312084"/>
      <w:bookmarkEnd w:id="354"/>
      <w:bookmarkStart w:id="355" w:name="_Toc184313302"/>
      <w:bookmarkEnd w:id="355"/>
      <w:bookmarkStart w:id="356" w:name="_Toc184313275"/>
      <w:bookmarkEnd w:id="356"/>
      <w:bookmarkStart w:id="357" w:name="_Toc184312112"/>
      <w:bookmarkEnd w:id="357"/>
      <w:bookmarkStart w:id="358" w:name="_Toc184308049"/>
      <w:bookmarkEnd w:id="358"/>
      <w:bookmarkStart w:id="359" w:name="_Toc184312068"/>
      <w:bookmarkEnd w:id="359"/>
      <w:bookmarkStart w:id="360" w:name="_Toc184314441"/>
      <w:bookmarkEnd w:id="360"/>
      <w:bookmarkStart w:id="361" w:name="_Toc184308055"/>
      <w:bookmarkEnd w:id="361"/>
      <w:bookmarkStart w:id="362" w:name="_Toc184308041"/>
      <w:bookmarkEnd w:id="362"/>
      <w:bookmarkStart w:id="363" w:name="_Toc184308072"/>
      <w:bookmarkEnd w:id="363"/>
      <w:bookmarkStart w:id="364" w:name="_Toc184313268"/>
      <w:bookmarkEnd w:id="364"/>
      <w:bookmarkStart w:id="365" w:name="_Toc184312097"/>
      <w:bookmarkEnd w:id="365"/>
      <w:bookmarkStart w:id="366" w:name="_Toc184312106"/>
      <w:bookmarkEnd w:id="366"/>
      <w:bookmarkStart w:id="367" w:name="_Toc184313273"/>
      <w:bookmarkEnd w:id="367"/>
      <w:bookmarkStart w:id="368" w:name="_Toc184310344"/>
      <w:bookmarkEnd w:id="368"/>
      <w:bookmarkStart w:id="369" w:name="_Toc184308075"/>
      <w:bookmarkEnd w:id="369"/>
      <w:bookmarkStart w:id="370" w:name="_Toc184314431"/>
      <w:bookmarkEnd w:id="370"/>
      <w:bookmarkStart w:id="371" w:name="_Toc184313255"/>
      <w:bookmarkEnd w:id="371"/>
      <w:bookmarkStart w:id="372" w:name="_Toc184310319"/>
      <w:bookmarkEnd w:id="372"/>
      <w:bookmarkStart w:id="373" w:name="_Toc184308069"/>
      <w:bookmarkEnd w:id="373"/>
      <w:bookmarkStart w:id="374" w:name="_Toc184313243"/>
      <w:bookmarkEnd w:id="374"/>
      <w:bookmarkStart w:id="375" w:name="_Toc184314481"/>
      <w:bookmarkEnd w:id="375"/>
      <w:bookmarkStart w:id="376" w:name="_Toc184312071"/>
      <w:bookmarkEnd w:id="376"/>
      <w:bookmarkStart w:id="377" w:name="_Toc184310314"/>
      <w:bookmarkEnd w:id="377"/>
      <w:bookmarkStart w:id="378" w:name="_Toc184313248"/>
      <w:bookmarkEnd w:id="378"/>
      <w:bookmarkStart w:id="379" w:name="_Toc184310343"/>
      <w:bookmarkEnd w:id="379"/>
      <w:bookmarkStart w:id="380" w:name="_Toc184312085"/>
      <w:bookmarkEnd w:id="380"/>
      <w:bookmarkStart w:id="381" w:name="_Toc184314471"/>
      <w:bookmarkEnd w:id="381"/>
      <w:bookmarkStart w:id="382" w:name="_Toc184308076"/>
      <w:bookmarkEnd w:id="382"/>
      <w:bookmarkStart w:id="383" w:name="_Toc184310303"/>
      <w:bookmarkEnd w:id="383"/>
      <w:bookmarkStart w:id="384" w:name="_Toc184314417"/>
      <w:bookmarkEnd w:id="384"/>
      <w:bookmarkStart w:id="385" w:name="_Toc184313281"/>
      <w:bookmarkEnd w:id="385"/>
      <w:bookmarkStart w:id="386" w:name="_Toc184312137"/>
      <w:bookmarkEnd w:id="386"/>
      <w:bookmarkStart w:id="387" w:name="_Toc184312079"/>
      <w:bookmarkEnd w:id="387"/>
      <w:bookmarkStart w:id="388" w:name="_Toc184312124"/>
      <w:bookmarkEnd w:id="388"/>
      <w:bookmarkStart w:id="389" w:name="_Toc184310333"/>
      <w:bookmarkEnd w:id="389"/>
      <w:bookmarkStart w:id="390" w:name="_Toc184314478"/>
      <w:bookmarkEnd w:id="390"/>
      <w:bookmarkStart w:id="391" w:name="_Toc184310276"/>
      <w:bookmarkEnd w:id="391"/>
      <w:bookmarkStart w:id="392" w:name="_Toc184310329"/>
      <w:bookmarkEnd w:id="392"/>
      <w:bookmarkStart w:id="393" w:name="_Toc184312072"/>
      <w:bookmarkEnd w:id="393"/>
      <w:bookmarkStart w:id="394" w:name="_Toc184312073"/>
      <w:bookmarkEnd w:id="394"/>
      <w:bookmarkStart w:id="395" w:name="_Toc184314427"/>
      <w:bookmarkEnd w:id="395"/>
      <w:bookmarkStart w:id="396" w:name="_Toc184314454"/>
      <w:bookmarkEnd w:id="396"/>
      <w:bookmarkStart w:id="397" w:name="_Toc184313303"/>
      <w:bookmarkEnd w:id="397"/>
      <w:bookmarkStart w:id="398" w:name="_Toc184314455"/>
      <w:bookmarkEnd w:id="398"/>
      <w:bookmarkStart w:id="399" w:name="_Toc184310306"/>
      <w:bookmarkEnd w:id="399"/>
      <w:bookmarkStart w:id="400" w:name="_Toc184314426"/>
      <w:bookmarkEnd w:id="400"/>
      <w:bookmarkStart w:id="401" w:name="_Toc184312077"/>
      <w:bookmarkEnd w:id="401"/>
      <w:bookmarkStart w:id="402" w:name="_Toc184312119"/>
      <w:bookmarkEnd w:id="402"/>
      <w:bookmarkStart w:id="403" w:name="_Toc184314479"/>
      <w:bookmarkEnd w:id="403"/>
      <w:r>
        <w:rPr>
          <w:rFonts w:hint="eastAsia" w:ascii="宋体" w:hAnsi="宋体" w:cs="宋体"/>
          <w:b/>
          <w:color w:val="auto"/>
          <w:sz w:val="36"/>
          <w:szCs w:val="36"/>
          <w:highlight w:val="none"/>
        </w:rPr>
        <w:t>评标办法</w:t>
      </w:r>
    </w:p>
    <w:p w14:paraId="0EDD5B1B">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53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6951"/>
        <w:gridCol w:w="622"/>
        <w:gridCol w:w="1026"/>
      </w:tblGrid>
      <w:tr w14:paraId="5952EE46">
        <w:trPr>
          <w:trHeight w:val="467" w:hRule="atLeast"/>
          <w:tblHeader/>
          <w:jc w:val="center"/>
        </w:trPr>
        <w:tc>
          <w:tcPr>
            <w:tcW w:w="647" w:type="pct"/>
            <w:vAlign w:val="center"/>
          </w:tcPr>
          <w:p w14:paraId="124D88AA">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序号</w:t>
            </w:r>
          </w:p>
        </w:tc>
        <w:tc>
          <w:tcPr>
            <w:tcW w:w="3519" w:type="pct"/>
            <w:vAlign w:val="center"/>
          </w:tcPr>
          <w:p w14:paraId="09B85A6D">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评分内容和标准</w:t>
            </w:r>
          </w:p>
        </w:tc>
        <w:tc>
          <w:tcPr>
            <w:tcW w:w="315" w:type="pct"/>
            <w:vAlign w:val="center"/>
          </w:tcPr>
          <w:p w14:paraId="42F3D008">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分值</w:t>
            </w:r>
          </w:p>
        </w:tc>
        <w:tc>
          <w:tcPr>
            <w:tcW w:w="519" w:type="pct"/>
            <w:vAlign w:val="center"/>
          </w:tcPr>
          <w:p w14:paraId="2A082865">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主观分/客观分属性</w:t>
            </w:r>
          </w:p>
        </w:tc>
      </w:tr>
      <w:tr w14:paraId="56DB4576">
        <w:trPr>
          <w:trHeight w:val="900" w:hRule="atLeast"/>
          <w:jc w:val="center"/>
        </w:trPr>
        <w:tc>
          <w:tcPr>
            <w:tcW w:w="647" w:type="pct"/>
            <w:vAlign w:val="center"/>
          </w:tcPr>
          <w:p w14:paraId="4DB462A8">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519" w:type="pct"/>
            <w:vAlign w:val="center"/>
          </w:tcPr>
          <w:p w14:paraId="5E32C05D">
            <w:pPr>
              <w:widowControl/>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投标人自2022年1月1日以来具有的同类项目业绩，每个得</w:t>
            </w:r>
            <w:r>
              <w:rPr>
                <w:rFonts w:asciiTheme="minorEastAsia" w:hAnsiTheme="minorEastAsia" w:eastAsiaTheme="minorEastAsia" w:cstheme="minorEastAsia"/>
                <w:color w:val="auto"/>
                <w:kern w:val="0"/>
                <w:sz w:val="24"/>
                <w:highlight w:val="none"/>
              </w:rPr>
              <w:t>0.5</w:t>
            </w:r>
            <w:r>
              <w:rPr>
                <w:rFonts w:hint="eastAsia" w:asciiTheme="minorEastAsia" w:hAnsiTheme="minorEastAsia" w:eastAsiaTheme="minorEastAsia" w:cstheme="minorEastAsia"/>
                <w:color w:val="auto"/>
                <w:kern w:val="0"/>
                <w:sz w:val="24"/>
                <w:highlight w:val="none"/>
              </w:rPr>
              <w:t>分，最高得</w:t>
            </w:r>
            <w:r>
              <w:rPr>
                <w:rFonts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rPr>
              <w:t>分。</w:t>
            </w:r>
          </w:p>
          <w:p w14:paraId="6308310F">
            <w:pPr>
              <w:widowControl/>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注：提供相应的证明文件（合同扫描件），时间以合同签订时间为准。</w:t>
            </w:r>
          </w:p>
        </w:tc>
        <w:tc>
          <w:tcPr>
            <w:tcW w:w="315" w:type="pct"/>
            <w:vAlign w:val="center"/>
          </w:tcPr>
          <w:p w14:paraId="6DE90A9F">
            <w:pPr>
              <w:widowControl/>
              <w:jc w:val="center"/>
              <w:rPr>
                <w:rFonts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w:t>
            </w:r>
          </w:p>
        </w:tc>
        <w:tc>
          <w:tcPr>
            <w:tcW w:w="519" w:type="pct"/>
            <w:vAlign w:val="center"/>
          </w:tcPr>
          <w:p w14:paraId="6BDE49EF">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客观分</w:t>
            </w:r>
          </w:p>
        </w:tc>
      </w:tr>
      <w:tr w14:paraId="2A5E856B">
        <w:trPr>
          <w:trHeight w:val="378" w:hRule="atLeast"/>
          <w:jc w:val="center"/>
        </w:trPr>
        <w:tc>
          <w:tcPr>
            <w:tcW w:w="647" w:type="pct"/>
            <w:vAlign w:val="center"/>
          </w:tcPr>
          <w:p w14:paraId="0A17B240">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4353" w:type="pct"/>
            <w:gridSpan w:val="3"/>
            <w:vAlign w:val="center"/>
          </w:tcPr>
          <w:p w14:paraId="0CF08B92">
            <w:pPr>
              <w:widowControl/>
              <w:jc w:val="left"/>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拟派项目组人员</w:t>
            </w:r>
          </w:p>
        </w:tc>
      </w:tr>
      <w:tr w14:paraId="10D6C55C">
        <w:trPr>
          <w:trHeight w:val="588" w:hRule="atLeast"/>
          <w:jc w:val="center"/>
        </w:trPr>
        <w:tc>
          <w:tcPr>
            <w:tcW w:w="647" w:type="pct"/>
            <w:vAlign w:val="center"/>
          </w:tcPr>
          <w:p w14:paraId="389A4180">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2.1</w:t>
            </w:r>
          </w:p>
        </w:tc>
        <w:tc>
          <w:tcPr>
            <w:tcW w:w="3519" w:type="pct"/>
            <w:vAlign w:val="center"/>
          </w:tcPr>
          <w:p w14:paraId="53C4FB99">
            <w:pPr>
              <w:pStyle w:val="79"/>
              <w:spacing w:line="24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项目组成员（含项目负责人）5人及以上得2分，不足5人不得分。</w:t>
            </w:r>
          </w:p>
          <w:p w14:paraId="5C7A1CF6">
            <w:pPr>
              <w:pStyle w:val="79"/>
              <w:spacing w:line="24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注：提供人员清单。</w:t>
            </w:r>
          </w:p>
        </w:tc>
        <w:tc>
          <w:tcPr>
            <w:tcW w:w="315" w:type="pct"/>
            <w:vAlign w:val="center"/>
          </w:tcPr>
          <w:p w14:paraId="61E12FFF">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519" w:type="pct"/>
            <w:vAlign w:val="center"/>
          </w:tcPr>
          <w:p w14:paraId="2305C6FE">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客观分</w:t>
            </w:r>
          </w:p>
        </w:tc>
      </w:tr>
      <w:tr w14:paraId="652B98F6">
        <w:trPr>
          <w:trHeight w:val="588" w:hRule="atLeast"/>
          <w:jc w:val="center"/>
        </w:trPr>
        <w:tc>
          <w:tcPr>
            <w:tcW w:w="647" w:type="pct"/>
            <w:vAlign w:val="center"/>
          </w:tcPr>
          <w:p w14:paraId="25D7600E">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2.2</w:t>
            </w:r>
          </w:p>
        </w:tc>
        <w:tc>
          <w:tcPr>
            <w:tcW w:w="3519" w:type="pct"/>
            <w:vAlign w:val="center"/>
          </w:tcPr>
          <w:p w14:paraId="425A794B">
            <w:pPr>
              <w:widowControl/>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拟派项目负责人具有副高级及以上职称的，得3分，提供职称证书扫描件；</w:t>
            </w:r>
          </w:p>
          <w:p w14:paraId="3BDC7E3E">
            <w:pPr>
              <w:widowControl/>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拟派项目负责人专业为交通运输规划与管理、交通运输工程等与本项目服务内容相关专业，提供学历证书或职称证书扫描件，得</w:t>
            </w:r>
            <w:r>
              <w:rPr>
                <w:rFonts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color w:val="auto"/>
                <w:kern w:val="0"/>
                <w:sz w:val="24"/>
                <w:highlight w:val="none"/>
              </w:rPr>
              <w:t>分；</w:t>
            </w:r>
          </w:p>
          <w:p w14:paraId="5D4B3779">
            <w:pPr>
              <w:widowControl/>
              <w:jc w:val="left"/>
              <w:rPr>
                <w:color w:val="auto"/>
                <w:highlight w:val="none"/>
              </w:rPr>
            </w:pPr>
            <w:r>
              <w:rPr>
                <w:rFonts w:hint="eastAsia" w:asciiTheme="minorEastAsia" w:hAnsiTheme="minorEastAsia" w:eastAsiaTheme="minorEastAsia" w:cstheme="minorEastAsia"/>
                <w:color w:val="auto"/>
                <w:kern w:val="0"/>
                <w:sz w:val="24"/>
                <w:highlight w:val="none"/>
              </w:rPr>
              <w:t>拟派项目负责人具备同类项目相关经验的，提供相关证明材料（以中标通知书或合同复印件或成果文件为准，如不能显示项目负责人姓名，提供其他证明材料），得2分。</w:t>
            </w:r>
          </w:p>
        </w:tc>
        <w:tc>
          <w:tcPr>
            <w:tcW w:w="315" w:type="pct"/>
            <w:vAlign w:val="center"/>
          </w:tcPr>
          <w:p w14:paraId="338FC12F">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8</w:t>
            </w:r>
          </w:p>
        </w:tc>
        <w:tc>
          <w:tcPr>
            <w:tcW w:w="519" w:type="pct"/>
            <w:vAlign w:val="center"/>
          </w:tcPr>
          <w:p w14:paraId="3C1748D5">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客观分</w:t>
            </w:r>
          </w:p>
        </w:tc>
      </w:tr>
      <w:tr w14:paraId="7EFE20EA">
        <w:trPr>
          <w:trHeight w:val="229" w:hRule="atLeast"/>
          <w:jc w:val="center"/>
        </w:trPr>
        <w:tc>
          <w:tcPr>
            <w:tcW w:w="647" w:type="pct"/>
            <w:vAlign w:val="center"/>
          </w:tcPr>
          <w:p w14:paraId="470CE093">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2.3</w:t>
            </w:r>
          </w:p>
        </w:tc>
        <w:tc>
          <w:tcPr>
            <w:tcW w:w="3519" w:type="pct"/>
            <w:vAlign w:val="center"/>
          </w:tcPr>
          <w:p w14:paraId="5309801A">
            <w:pPr>
              <w:pStyle w:val="79"/>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除拟派项目负责人以外</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项目组人员具有副高级工程师及以上职称的每提供一人得3分，具有中级职称的每有一人得2分，本项最高得12分。</w:t>
            </w:r>
          </w:p>
          <w:p w14:paraId="77EAC08C">
            <w:pPr>
              <w:pStyle w:val="79"/>
              <w:spacing w:line="240" w:lineRule="auto"/>
              <w:rPr>
                <w:color w:val="auto"/>
                <w:highlight w:val="none"/>
              </w:rPr>
            </w:pPr>
            <w:r>
              <w:rPr>
                <w:rFonts w:hint="eastAsia" w:asciiTheme="minorEastAsia" w:hAnsiTheme="minorEastAsia" w:eastAsiaTheme="minorEastAsia" w:cstheme="minorEastAsia"/>
                <w:color w:val="auto"/>
                <w:sz w:val="24"/>
                <w:szCs w:val="24"/>
                <w:highlight w:val="none"/>
                <w:lang w:val="en-US" w:eastAsia="zh-CN"/>
              </w:rPr>
              <w:t>注：1人多证不重复计分。</w:t>
            </w:r>
          </w:p>
        </w:tc>
        <w:tc>
          <w:tcPr>
            <w:tcW w:w="315" w:type="pct"/>
            <w:vAlign w:val="center"/>
          </w:tcPr>
          <w:p w14:paraId="21918B56">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12</w:t>
            </w:r>
          </w:p>
        </w:tc>
        <w:tc>
          <w:tcPr>
            <w:tcW w:w="519" w:type="pct"/>
            <w:vAlign w:val="center"/>
          </w:tcPr>
          <w:p w14:paraId="6CA7C822">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客观分</w:t>
            </w:r>
          </w:p>
        </w:tc>
      </w:tr>
      <w:tr w14:paraId="5B7655D2">
        <w:trPr>
          <w:trHeight w:val="664" w:hRule="atLeast"/>
          <w:jc w:val="center"/>
        </w:trPr>
        <w:tc>
          <w:tcPr>
            <w:tcW w:w="647" w:type="pct"/>
            <w:vAlign w:val="center"/>
          </w:tcPr>
          <w:p w14:paraId="743E03EB">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2.4</w:t>
            </w:r>
          </w:p>
        </w:tc>
        <w:tc>
          <w:tcPr>
            <w:tcW w:w="3519" w:type="pct"/>
            <w:vAlign w:val="center"/>
          </w:tcPr>
          <w:p w14:paraId="041BCE7A">
            <w:pPr>
              <w:widowControl/>
              <w:jc w:val="left"/>
              <w:rPr>
                <w:rFonts w:asciiTheme="minorEastAsia" w:hAnsiTheme="minorEastAsia" w:eastAsiaTheme="minorEastAsia" w:cstheme="minorEastAsia"/>
                <w:strike/>
                <w:color w:val="auto"/>
                <w:kern w:val="0"/>
                <w:sz w:val="24"/>
                <w:highlight w:val="none"/>
              </w:rPr>
            </w:pPr>
            <w:r>
              <w:rPr>
                <w:rFonts w:hint="eastAsia" w:asciiTheme="minorEastAsia" w:hAnsiTheme="minorEastAsia" w:eastAsiaTheme="minorEastAsia" w:cstheme="minorEastAsia"/>
                <w:color w:val="auto"/>
                <w:kern w:val="0"/>
                <w:sz w:val="24"/>
                <w:highlight w:val="none"/>
              </w:rPr>
              <w:t>驻场服务：投标人承诺项目组成员服务期间</w:t>
            </w:r>
            <w:r>
              <w:rPr>
                <w:rFonts w:hint="eastAsia" w:asciiTheme="minorEastAsia" w:hAnsiTheme="minorEastAsia" w:eastAsiaTheme="minorEastAsia" w:cstheme="minorEastAsia"/>
                <w:color w:val="auto"/>
                <w:kern w:val="0"/>
                <w:sz w:val="24"/>
                <w:highlight w:val="none"/>
                <w:lang w:val="en-US" w:eastAsia="zh-CN"/>
              </w:rPr>
              <w:t>至少派1人</w:t>
            </w:r>
            <w:r>
              <w:rPr>
                <w:rFonts w:hint="eastAsia" w:asciiTheme="minorEastAsia" w:hAnsiTheme="minorEastAsia" w:eastAsiaTheme="minorEastAsia" w:cstheme="minorEastAsia"/>
                <w:color w:val="auto"/>
                <w:kern w:val="0"/>
                <w:sz w:val="24"/>
                <w:highlight w:val="none"/>
              </w:rPr>
              <w:t>到采购人驻地办公的，</w:t>
            </w:r>
            <w:r>
              <w:rPr>
                <w:rFonts w:hint="eastAsia" w:asciiTheme="minorEastAsia" w:hAnsiTheme="minorEastAsia" w:eastAsiaTheme="minorEastAsia" w:cstheme="minorEastAsia"/>
                <w:color w:val="auto"/>
                <w:kern w:val="0"/>
                <w:sz w:val="24"/>
                <w:highlight w:val="none"/>
                <w:lang w:val="en-US" w:eastAsia="zh-CN"/>
              </w:rPr>
              <w:t>满足得3分，不提供不得分</w:t>
            </w:r>
            <w:r>
              <w:rPr>
                <w:rFonts w:asciiTheme="minorEastAsia" w:hAnsiTheme="minorEastAsia" w:eastAsiaTheme="minorEastAsia" w:cstheme="minorEastAsia"/>
                <w:color w:val="auto"/>
                <w:kern w:val="0"/>
                <w:sz w:val="24"/>
                <w:highlight w:val="none"/>
              </w:rPr>
              <w:t>。</w:t>
            </w:r>
          </w:p>
        </w:tc>
        <w:tc>
          <w:tcPr>
            <w:tcW w:w="315" w:type="pct"/>
            <w:vAlign w:val="center"/>
          </w:tcPr>
          <w:p w14:paraId="1E197069">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519" w:type="pct"/>
            <w:vAlign w:val="center"/>
          </w:tcPr>
          <w:p w14:paraId="7B90B8EF">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客观分</w:t>
            </w:r>
          </w:p>
        </w:tc>
      </w:tr>
      <w:tr w14:paraId="0FC799DA">
        <w:trPr>
          <w:trHeight w:val="404" w:hRule="atLeast"/>
          <w:jc w:val="center"/>
        </w:trPr>
        <w:tc>
          <w:tcPr>
            <w:tcW w:w="647" w:type="pct"/>
            <w:vAlign w:val="center"/>
          </w:tcPr>
          <w:p w14:paraId="5FD29F04">
            <w:pPr>
              <w:widowControl/>
              <w:jc w:val="center"/>
              <w:rPr>
                <w:rFonts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3</w:t>
            </w:r>
          </w:p>
        </w:tc>
        <w:tc>
          <w:tcPr>
            <w:tcW w:w="4353" w:type="pct"/>
            <w:gridSpan w:val="3"/>
            <w:vAlign w:val="center"/>
          </w:tcPr>
          <w:p w14:paraId="6F07DDCD">
            <w:pPr>
              <w:widowControl/>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项目认知情况</w:t>
            </w:r>
          </w:p>
        </w:tc>
      </w:tr>
      <w:tr w14:paraId="4DC359C7">
        <w:trPr>
          <w:trHeight w:val="900" w:hRule="atLeast"/>
          <w:jc w:val="center"/>
        </w:trPr>
        <w:tc>
          <w:tcPr>
            <w:tcW w:w="647" w:type="pct"/>
            <w:vAlign w:val="center"/>
          </w:tcPr>
          <w:p w14:paraId="39C9336D">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asciiTheme="minorEastAsia" w:hAnsiTheme="minorEastAsia" w:eastAsiaTheme="minorEastAsia" w:cstheme="minorEastAsia"/>
                <w:color w:val="auto"/>
                <w:kern w:val="0"/>
                <w:sz w:val="24"/>
                <w:highlight w:val="none"/>
              </w:rPr>
              <w:t>.1</w:t>
            </w:r>
          </w:p>
        </w:tc>
        <w:tc>
          <w:tcPr>
            <w:tcW w:w="3519" w:type="pct"/>
            <w:vAlign w:val="center"/>
          </w:tcPr>
          <w:p w14:paraId="133AB474">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投标人针对本项目背景及概况的认识程度及理解。评审小组根据投标人提供内容的合理性、与项目符合程度，综合评分：</w:t>
            </w:r>
          </w:p>
          <w:p w14:paraId="55ED6F07">
            <w:pPr>
              <w:widowControl/>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理解全面、透彻、到位，完全符合项目实际情况的得5分；</w:t>
            </w:r>
          </w:p>
          <w:p w14:paraId="6308580A">
            <w:pPr>
              <w:widowControl/>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理解较为全面且准确地把握项目核心要点，与实际情况较为契合得4分；</w:t>
            </w:r>
          </w:p>
          <w:p w14:paraId="3442F932">
            <w:pPr>
              <w:widowControl/>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理解较为全面，基本符合项目实际情况的得3分；</w:t>
            </w:r>
          </w:p>
          <w:p w14:paraId="07BA3715">
            <w:pPr>
              <w:widowControl/>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理解基本到位，部分符合项目实际情况的得2分；</w:t>
            </w:r>
          </w:p>
          <w:p w14:paraId="6BB04B97">
            <w:pPr>
              <w:widowControl/>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理解一般，与项目实际情况有一定偏离的得1分；</w:t>
            </w:r>
          </w:p>
          <w:p w14:paraId="4F8D4736">
            <w:pPr>
              <w:widowControl/>
              <w:adjustRightInd/>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未提供相关内容不得分。</w:t>
            </w:r>
          </w:p>
          <w:p w14:paraId="1892D78A">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（评分范围：5，4，3，2，1，0）</w:t>
            </w:r>
          </w:p>
        </w:tc>
        <w:tc>
          <w:tcPr>
            <w:tcW w:w="315" w:type="pct"/>
            <w:vAlign w:val="center"/>
          </w:tcPr>
          <w:p w14:paraId="40C8231F">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519" w:type="pct"/>
            <w:vAlign w:val="center"/>
          </w:tcPr>
          <w:p w14:paraId="276F571E">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w:t>
            </w:r>
          </w:p>
        </w:tc>
      </w:tr>
      <w:tr w14:paraId="71948666">
        <w:trPr>
          <w:trHeight w:val="2895" w:hRule="atLeast"/>
          <w:jc w:val="center"/>
        </w:trPr>
        <w:tc>
          <w:tcPr>
            <w:tcW w:w="647" w:type="pct"/>
            <w:vAlign w:val="center"/>
          </w:tcPr>
          <w:p w14:paraId="1614EEAE">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r>
              <w:rPr>
                <w:rFonts w:asciiTheme="minorEastAsia" w:hAnsiTheme="minorEastAsia" w:eastAsiaTheme="minorEastAsia" w:cstheme="minorEastAsia"/>
                <w:color w:val="auto"/>
                <w:kern w:val="0"/>
                <w:sz w:val="24"/>
                <w:highlight w:val="none"/>
              </w:rPr>
              <w:t>.2</w:t>
            </w:r>
          </w:p>
        </w:tc>
        <w:tc>
          <w:tcPr>
            <w:tcW w:w="3519" w:type="pct"/>
            <w:vAlign w:val="center"/>
          </w:tcPr>
          <w:p w14:paraId="538F1BA6">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kern w:val="0"/>
                <w:sz w:val="24"/>
                <w:highlight w:val="none"/>
              </w:rPr>
              <w:t>投标人对项目现状及趋势理解。</w:t>
            </w:r>
            <w:r>
              <w:rPr>
                <w:rFonts w:hint="eastAsia" w:asciiTheme="minorEastAsia" w:hAnsiTheme="minorEastAsia" w:eastAsiaTheme="minorEastAsia" w:cstheme="minorEastAsia"/>
                <w:color w:val="auto"/>
                <w:kern w:val="0"/>
                <w:sz w:val="24"/>
                <w:highlight w:val="none"/>
              </w:rPr>
              <w:t>评审小组根据投标人提供内容的合理性、与项目符合程度，综合评分：</w:t>
            </w:r>
          </w:p>
          <w:p w14:paraId="0079002D">
            <w:pPr>
              <w:widowControl/>
              <w:rPr>
                <w:rFonts w:asciiTheme="minorEastAsia" w:hAnsiTheme="minorEastAsia" w:eastAsiaTheme="minorEastAsia" w:cstheme="minorEastAsia"/>
                <w:bCs/>
                <w:color w:val="auto"/>
                <w:kern w:val="0"/>
                <w:sz w:val="24"/>
                <w:highlight w:val="none"/>
              </w:rPr>
            </w:pPr>
            <w:r>
              <w:rPr>
                <w:rFonts w:hint="eastAsia" w:asciiTheme="minorEastAsia" w:hAnsiTheme="minorEastAsia" w:eastAsiaTheme="minorEastAsia" w:cstheme="minorEastAsia"/>
                <w:bCs/>
                <w:color w:val="auto"/>
                <w:kern w:val="0"/>
                <w:sz w:val="24"/>
                <w:highlight w:val="none"/>
              </w:rPr>
              <w:t>切合实际，分析透彻得</w:t>
            </w:r>
            <w:r>
              <w:rPr>
                <w:rFonts w:asciiTheme="minorEastAsia" w:hAnsiTheme="minorEastAsia" w:eastAsiaTheme="minorEastAsia" w:cstheme="minorEastAsia"/>
                <w:bCs/>
                <w:color w:val="auto"/>
                <w:kern w:val="0"/>
                <w:sz w:val="24"/>
                <w:highlight w:val="none"/>
              </w:rPr>
              <w:t>5分；</w:t>
            </w:r>
          </w:p>
          <w:p w14:paraId="4636C2F5">
            <w:pPr>
              <w:widowControl/>
              <w:rPr>
                <w:rFonts w:asciiTheme="minorEastAsia" w:hAnsiTheme="minorEastAsia" w:eastAsiaTheme="minorEastAsia" w:cstheme="minorEastAsia"/>
                <w:bCs/>
                <w:color w:val="auto"/>
                <w:kern w:val="0"/>
                <w:sz w:val="24"/>
                <w:highlight w:val="none"/>
              </w:rPr>
            </w:pPr>
            <w:r>
              <w:rPr>
                <w:rFonts w:asciiTheme="minorEastAsia" w:hAnsiTheme="minorEastAsia" w:eastAsiaTheme="minorEastAsia" w:cstheme="minorEastAsia"/>
                <w:bCs/>
                <w:color w:val="auto"/>
                <w:kern w:val="0"/>
                <w:sz w:val="24"/>
                <w:highlight w:val="none"/>
              </w:rPr>
              <w:t>较切合透彻得4分；</w:t>
            </w:r>
          </w:p>
          <w:p w14:paraId="294132FE">
            <w:pPr>
              <w:widowControl/>
              <w:rPr>
                <w:rFonts w:asciiTheme="minorEastAsia" w:hAnsiTheme="minorEastAsia" w:eastAsiaTheme="minorEastAsia" w:cstheme="minorEastAsia"/>
                <w:bCs/>
                <w:color w:val="auto"/>
                <w:kern w:val="0"/>
                <w:sz w:val="24"/>
                <w:highlight w:val="none"/>
              </w:rPr>
            </w:pPr>
            <w:r>
              <w:rPr>
                <w:rFonts w:asciiTheme="minorEastAsia" w:hAnsiTheme="minorEastAsia" w:eastAsiaTheme="minorEastAsia" w:cstheme="minorEastAsia"/>
                <w:bCs/>
                <w:color w:val="auto"/>
                <w:kern w:val="0"/>
                <w:sz w:val="24"/>
                <w:highlight w:val="none"/>
              </w:rPr>
              <w:t>切合程度、透彻性一般得3分；</w:t>
            </w:r>
          </w:p>
          <w:p w14:paraId="3E6CEF8B">
            <w:pPr>
              <w:widowControl/>
              <w:rPr>
                <w:rFonts w:asciiTheme="minorEastAsia" w:hAnsiTheme="minorEastAsia" w:eastAsiaTheme="minorEastAsia" w:cstheme="minorEastAsia"/>
                <w:bCs/>
                <w:color w:val="auto"/>
                <w:kern w:val="0"/>
                <w:sz w:val="24"/>
                <w:highlight w:val="none"/>
              </w:rPr>
            </w:pPr>
            <w:r>
              <w:rPr>
                <w:rFonts w:asciiTheme="minorEastAsia" w:hAnsiTheme="minorEastAsia" w:eastAsiaTheme="minorEastAsia" w:cstheme="minorEastAsia"/>
                <w:bCs/>
                <w:color w:val="auto"/>
                <w:kern w:val="0"/>
                <w:sz w:val="24"/>
                <w:highlight w:val="none"/>
              </w:rPr>
              <w:t>切合程度、透彻性有欠缺得2分；</w:t>
            </w:r>
          </w:p>
          <w:p w14:paraId="7832B29C">
            <w:pPr>
              <w:widowControl/>
              <w:rPr>
                <w:rFonts w:asciiTheme="minorEastAsia" w:hAnsiTheme="minorEastAsia" w:eastAsiaTheme="minorEastAsia" w:cstheme="minorEastAsia"/>
                <w:bCs/>
                <w:color w:val="auto"/>
                <w:kern w:val="0"/>
                <w:sz w:val="24"/>
                <w:highlight w:val="none"/>
              </w:rPr>
            </w:pPr>
            <w:r>
              <w:rPr>
                <w:rFonts w:asciiTheme="minorEastAsia" w:hAnsiTheme="minorEastAsia" w:eastAsiaTheme="minorEastAsia" w:cstheme="minorEastAsia"/>
                <w:bCs/>
                <w:color w:val="auto"/>
                <w:kern w:val="0"/>
                <w:sz w:val="24"/>
                <w:highlight w:val="none"/>
              </w:rPr>
              <w:t>切合程度、透彻性较低得1分；</w:t>
            </w:r>
          </w:p>
          <w:p w14:paraId="3D692685">
            <w:pPr>
              <w:widowControl/>
              <w:rPr>
                <w:rFonts w:asciiTheme="minorEastAsia" w:hAnsiTheme="minorEastAsia" w:eastAsiaTheme="minorEastAsia" w:cstheme="minorEastAsia"/>
                <w:bCs/>
                <w:color w:val="auto"/>
                <w:kern w:val="0"/>
                <w:sz w:val="24"/>
                <w:highlight w:val="none"/>
              </w:rPr>
            </w:pPr>
            <w:r>
              <w:rPr>
                <w:rFonts w:asciiTheme="minorEastAsia" w:hAnsiTheme="minorEastAsia" w:eastAsiaTheme="minorEastAsia" w:cstheme="minorEastAsia"/>
                <w:bCs/>
                <w:color w:val="auto"/>
                <w:kern w:val="0"/>
                <w:sz w:val="24"/>
                <w:highlight w:val="none"/>
              </w:rPr>
              <w:t>未</w:t>
            </w:r>
            <w:r>
              <w:rPr>
                <w:rFonts w:hint="eastAsia" w:asciiTheme="minorEastAsia" w:hAnsiTheme="minorEastAsia" w:eastAsiaTheme="minorEastAsia" w:cstheme="minorEastAsia"/>
                <w:bCs/>
                <w:color w:val="auto"/>
                <w:kern w:val="0"/>
                <w:sz w:val="24"/>
                <w:highlight w:val="none"/>
              </w:rPr>
              <w:t>提供相关内容不得分。</w:t>
            </w:r>
          </w:p>
          <w:p w14:paraId="63250141">
            <w:pPr>
              <w:pStyle w:val="3"/>
              <w:widowControl/>
              <w:rPr>
                <w:rFonts w:asciiTheme="minorEastAsia" w:hAnsiTheme="minorEastAsia" w:eastAsiaTheme="minorEastAsia" w:cstheme="minorEastAsia"/>
                <w:b w:val="0"/>
                <w:bCs w:val="0"/>
                <w:color w:val="auto"/>
                <w:kern w:val="0"/>
                <w:sz w:val="24"/>
                <w:highlight w:val="none"/>
              </w:rPr>
            </w:pPr>
            <w:r>
              <w:rPr>
                <w:rFonts w:hint="eastAsia" w:asciiTheme="minorEastAsia" w:hAnsiTheme="minorEastAsia" w:eastAsiaTheme="minorEastAsia" w:cstheme="minorEastAsia"/>
                <w:b w:val="0"/>
                <w:color w:val="auto"/>
                <w:kern w:val="0"/>
                <w:sz w:val="24"/>
                <w:highlight w:val="none"/>
              </w:rPr>
              <w:t>（评分范围：</w:t>
            </w:r>
            <w:r>
              <w:rPr>
                <w:rFonts w:asciiTheme="minorEastAsia" w:hAnsiTheme="minorEastAsia" w:eastAsiaTheme="minorEastAsia" w:cstheme="minorEastAsia"/>
                <w:b w:val="0"/>
                <w:color w:val="auto"/>
                <w:kern w:val="0"/>
                <w:sz w:val="24"/>
                <w:highlight w:val="none"/>
              </w:rPr>
              <w:t>5，4，3，2，1，0）</w:t>
            </w:r>
          </w:p>
        </w:tc>
        <w:tc>
          <w:tcPr>
            <w:tcW w:w="315" w:type="pct"/>
            <w:vAlign w:val="center"/>
          </w:tcPr>
          <w:p w14:paraId="505B1A4D">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519" w:type="pct"/>
            <w:vAlign w:val="center"/>
          </w:tcPr>
          <w:p w14:paraId="34349A4E">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w:t>
            </w:r>
          </w:p>
        </w:tc>
      </w:tr>
      <w:tr w14:paraId="438961C7">
        <w:trPr>
          <w:trHeight w:val="614" w:hRule="atLeast"/>
          <w:jc w:val="center"/>
        </w:trPr>
        <w:tc>
          <w:tcPr>
            <w:tcW w:w="647" w:type="pct"/>
            <w:vAlign w:val="center"/>
          </w:tcPr>
          <w:p w14:paraId="648103CB">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p>
        </w:tc>
        <w:tc>
          <w:tcPr>
            <w:tcW w:w="4353" w:type="pct"/>
            <w:gridSpan w:val="3"/>
            <w:vAlign w:val="center"/>
          </w:tcPr>
          <w:p w14:paraId="262D61C7">
            <w:pPr>
              <w:widowControl/>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项目难点、要点把握及解决措施</w:t>
            </w:r>
          </w:p>
        </w:tc>
      </w:tr>
      <w:tr w14:paraId="6A928FE9">
        <w:trPr>
          <w:trHeight w:val="4643" w:hRule="atLeast"/>
          <w:jc w:val="center"/>
        </w:trPr>
        <w:tc>
          <w:tcPr>
            <w:tcW w:w="647" w:type="pct"/>
            <w:vAlign w:val="center"/>
          </w:tcPr>
          <w:p w14:paraId="4D49BE3A">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r>
              <w:rPr>
                <w:rFonts w:asciiTheme="minorEastAsia" w:hAnsiTheme="minorEastAsia" w:eastAsiaTheme="minorEastAsia" w:cstheme="minorEastAsia"/>
                <w:color w:val="auto"/>
                <w:kern w:val="0"/>
                <w:sz w:val="24"/>
                <w:highlight w:val="none"/>
              </w:rPr>
              <w:t>.1</w:t>
            </w:r>
          </w:p>
        </w:tc>
        <w:tc>
          <w:tcPr>
            <w:tcW w:w="3519" w:type="pct"/>
            <w:vAlign w:val="center"/>
          </w:tcPr>
          <w:p w14:paraId="53C0910E">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投标人针对本项目难点、要点提出自己对项目的理解与分析。评审小组根据投标人提供内容的合理性、与项目符合程度，综合评分：</w:t>
            </w:r>
          </w:p>
          <w:p w14:paraId="1A33F10D">
            <w:pPr>
              <w:widowControl/>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对项目提出的工作重点、难点分析深入且精准，能结合项目实际情况，提供极具针对性的分析思路，充分展现专业能力得5分；</w:t>
            </w:r>
          </w:p>
          <w:p w14:paraId="25A940E5">
            <w:pPr>
              <w:widowControl/>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对项目工作重点、难点的分析合理，具有针对性，基本覆盖关键环节得4分；</w:t>
            </w:r>
          </w:p>
          <w:p w14:paraId="1D1D9EC9">
            <w:pPr>
              <w:widowControl/>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对项目提出的工作重点、难点分析基本合理，有一定的针对性得3分；</w:t>
            </w:r>
          </w:p>
          <w:p w14:paraId="7295DD55">
            <w:pPr>
              <w:widowControl/>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对项目工作重点、难点的分析存在部分不足，针对性欠佳得2分；</w:t>
            </w:r>
          </w:p>
          <w:p w14:paraId="5EBD376D">
            <w:pPr>
              <w:widowControl/>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对项目提出的工作的重点、难点分析不够合理，针对性欠缺得1分；</w:t>
            </w:r>
          </w:p>
          <w:p w14:paraId="27F3DE9C">
            <w:pPr>
              <w:widowControl/>
              <w:adjustRightInd/>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未提供相关内容不得分。</w:t>
            </w:r>
          </w:p>
          <w:p w14:paraId="38168202">
            <w:pPr>
              <w:widowControl/>
              <w:jc w:val="left"/>
              <w:rPr>
                <w:color w:val="auto"/>
                <w:highlight w:val="none"/>
              </w:rPr>
            </w:pPr>
            <w:r>
              <w:rPr>
                <w:rFonts w:hint="eastAsia" w:asciiTheme="minorEastAsia" w:hAnsiTheme="minorEastAsia" w:eastAsiaTheme="minorEastAsia" w:cstheme="minorEastAsia"/>
                <w:color w:val="auto"/>
                <w:kern w:val="0"/>
                <w:sz w:val="24"/>
                <w:highlight w:val="none"/>
              </w:rPr>
              <w:t>（评分范围：5，4，3，2，1，0）</w:t>
            </w:r>
          </w:p>
        </w:tc>
        <w:tc>
          <w:tcPr>
            <w:tcW w:w="315" w:type="pct"/>
            <w:vAlign w:val="center"/>
          </w:tcPr>
          <w:p w14:paraId="4E5BE2AD">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519" w:type="pct"/>
            <w:vAlign w:val="center"/>
          </w:tcPr>
          <w:p w14:paraId="6DA6370B">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w:t>
            </w:r>
          </w:p>
        </w:tc>
      </w:tr>
      <w:tr w14:paraId="24DA8D76">
        <w:trPr>
          <w:trHeight w:val="415" w:hRule="atLeast"/>
          <w:jc w:val="center"/>
        </w:trPr>
        <w:tc>
          <w:tcPr>
            <w:tcW w:w="647" w:type="pct"/>
            <w:vAlign w:val="center"/>
          </w:tcPr>
          <w:p w14:paraId="02CB18DA">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r>
              <w:rPr>
                <w:rFonts w:asciiTheme="minorEastAsia" w:hAnsiTheme="minorEastAsia" w:eastAsiaTheme="minorEastAsia" w:cstheme="minorEastAsia"/>
                <w:color w:val="auto"/>
                <w:kern w:val="0"/>
                <w:sz w:val="24"/>
                <w:highlight w:val="none"/>
              </w:rPr>
              <w:t>.2</w:t>
            </w:r>
          </w:p>
        </w:tc>
        <w:tc>
          <w:tcPr>
            <w:tcW w:w="3519" w:type="pct"/>
            <w:vAlign w:val="center"/>
          </w:tcPr>
          <w:p w14:paraId="2D029F06">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投标人针对本项目难点、要点提出的</w:t>
            </w:r>
            <w:r>
              <w:rPr>
                <w:rFonts w:hint="eastAsia" w:asciiTheme="minorEastAsia" w:hAnsiTheme="minorEastAsia" w:eastAsiaTheme="minorEastAsia" w:cstheme="minorEastAsia"/>
                <w:snapToGrid w:val="0"/>
                <w:color w:val="auto"/>
                <w:kern w:val="28"/>
                <w:sz w:val="24"/>
                <w:highlight w:val="none"/>
              </w:rPr>
              <w:t>解决措施。</w:t>
            </w:r>
            <w:r>
              <w:rPr>
                <w:rFonts w:hint="eastAsia" w:asciiTheme="minorEastAsia" w:hAnsiTheme="minorEastAsia" w:eastAsiaTheme="minorEastAsia" w:cstheme="minorEastAsia"/>
                <w:color w:val="auto"/>
                <w:kern w:val="0"/>
                <w:sz w:val="24"/>
                <w:highlight w:val="none"/>
              </w:rPr>
              <w:t>评审小组根据投标人提供内容的合理性、与项目符合程度，综合评分：</w:t>
            </w:r>
          </w:p>
          <w:p w14:paraId="451B9165">
            <w:pPr>
              <w:widowControl/>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解决措施合理有效得5分；</w:t>
            </w:r>
          </w:p>
          <w:p w14:paraId="793FCDB4">
            <w:pPr>
              <w:widowControl/>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解决措施较合理有效得4分；</w:t>
            </w:r>
          </w:p>
          <w:p w14:paraId="58F23B34">
            <w:pPr>
              <w:widowControl/>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解决措施部分合理得3分；</w:t>
            </w:r>
          </w:p>
          <w:p w14:paraId="663D45CF">
            <w:pPr>
              <w:widowControl/>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解决措施合理性有效性有欠缺得2分；</w:t>
            </w:r>
          </w:p>
          <w:p w14:paraId="1E99CDA3">
            <w:pPr>
              <w:widowControl/>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解决措施合理性有效性较低得1分；</w:t>
            </w:r>
          </w:p>
          <w:p w14:paraId="083FB58E">
            <w:pPr>
              <w:widowControl/>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未提供相关内容不得分。</w:t>
            </w:r>
          </w:p>
          <w:p w14:paraId="2F011441">
            <w:pPr>
              <w:pStyle w:val="3"/>
              <w:widowControl/>
              <w:rPr>
                <w:rFonts w:asciiTheme="minorEastAsia" w:hAnsiTheme="minorEastAsia" w:eastAsiaTheme="minorEastAsia" w:cstheme="minorEastAsia"/>
                <w:b w:val="0"/>
                <w:bCs w:val="0"/>
                <w:color w:val="auto"/>
                <w:kern w:val="0"/>
                <w:sz w:val="24"/>
                <w:highlight w:val="none"/>
              </w:rPr>
            </w:pPr>
            <w:r>
              <w:rPr>
                <w:rFonts w:hint="eastAsia" w:asciiTheme="minorEastAsia" w:hAnsiTheme="minorEastAsia" w:eastAsiaTheme="minorEastAsia" w:cstheme="minorEastAsia"/>
                <w:b w:val="0"/>
                <w:color w:val="auto"/>
                <w:kern w:val="0"/>
                <w:sz w:val="24"/>
                <w:highlight w:val="none"/>
              </w:rPr>
              <w:t>（评分范围：</w:t>
            </w:r>
            <w:r>
              <w:rPr>
                <w:rFonts w:asciiTheme="minorEastAsia" w:hAnsiTheme="minorEastAsia" w:eastAsiaTheme="minorEastAsia" w:cstheme="minorEastAsia"/>
                <w:b w:val="0"/>
                <w:color w:val="auto"/>
                <w:kern w:val="0"/>
                <w:sz w:val="24"/>
                <w:highlight w:val="none"/>
              </w:rPr>
              <w:t>5，4，3，2，1，0）</w:t>
            </w:r>
          </w:p>
        </w:tc>
        <w:tc>
          <w:tcPr>
            <w:tcW w:w="315" w:type="pct"/>
            <w:vAlign w:val="center"/>
          </w:tcPr>
          <w:p w14:paraId="72D76D43">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519" w:type="pct"/>
            <w:vAlign w:val="center"/>
          </w:tcPr>
          <w:p w14:paraId="31ABD466">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w:t>
            </w:r>
          </w:p>
        </w:tc>
      </w:tr>
      <w:tr w14:paraId="16D1B6E3">
        <w:trPr>
          <w:trHeight w:val="415" w:hRule="atLeast"/>
          <w:jc w:val="center"/>
        </w:trPr>
        <w:tc>
          <w:tcPr>
            <w:tcW w:w="647" w:type="pct"/>
            <w:vAlign w:val="center"/>
          </w:tcPr>
          <w:p w14:paraId="34395C73">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4353" w:type="pct"/>
            <w:gridSpan w:val="3"/>
            <w:vAlign w:val="center"/>
          </w:tcPr>
          <w:p w14:paraId="06269F4B">
            <w:pPr>
              <w:widowControl/>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项目总体实施方案</w:t>
            </w:r>
          </w:p>
        </w:tc>
      </w:tr>
      <w:tr w14:paraId="08B8C2B6">
        <w:trPr>
          <w:trHeight w:val="371" w:hRule="atLeast"/>
          <w:jc w:val="center"/>
        </w:trPr>
        <w:tc>
          <w:tcPr>
            <w:tcW w:w="647" w:type="pct"/>
            <w:vAlign w:val="center"/>
          </w:tcPr>
          <w:p w14:paraId="06BCEEF9">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r>
              <w:rPr>
                <w:rFonts w:asciiTheme="minorEastAsia" w:hAnsiTheme="minorEastAsia" w:eastAsiaTheme="minorEastAsia" w:cstheme="minorEastAsia"/>
                <w:color w:val="auto"/>
                <w:kern w:val="0"/>
                <w:sz w:val="24"/>
                <w:highlight w:val="none"/>
              </w:rPr>
              <w:t>.1</w:t>
            </w:r>
          </w:p>
        </w:tc>
        <w:tc>
          <w:tcPr>
            <w:tcW w:w="3519" w:type="pct"/>
            <w:vAlign w:val="center"/>
          </w:tcPr>
          <w:p w14:paraId="1F232464">
            <w:pPr>
              <w:widowControl/>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投标人针对本项目思路、目标的理解。评审小组根据投标人提供的内容的专业性、合理性、与项目要求的符合程度，综合评分：</w:t>
            </w:r>
          </w:p>
          <w:p w14:paraId="625BB2D2">
            <w:pPr>
              <w:widowControl/>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理解全面、透彻、到位，完全符合项目实际情况的得5分；</w:t>
            </w:r>
          </w:p>
          <w:p w14:paraId="6B7AD51F">
            <w:pPr>
              <w:widowControl/>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理解较为全面且准确地把握项目核心要点，与实际情况较为契合得4分；</w:t>
            </w:r>
          </w:p>
          <w:p w14:paraId="7D7EC31C">
            <w:pPr>
              <w:widowControl/>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理解较为全面，基本符合项目实际情况的得3分；</w:t>
            </w:r>
          </w:p>
          <w:p w14:paraId="50DF471B">
            <w:pPr>
              <w:widowControl/>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理解基本到位，部分符合项目实际情况的得2分；</w:t>
            </w:r>
          </w:p>
          <w:p w14:paraId="45C7F7F9">
            <w:pPr>
              <w:widowControl/>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理解一般，与项目实际情况有一定偏离的得1分；</w:t>
            </w:r>
          </w:p>
          <w:p w14:paraId="0C83CB0B">
            <w:pPr>
              <w:widowControl/>
              <w:adjustRightInd/>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未提供相关内容不得分。</w:t>
            </w:r>
          </w:p>
          <w:p w14:paraId="57CF171D">
            <w:pPr>
              <w:widowControl/>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（评分范围：5，4，3，2，1，0）</w:t>
            </w:r>
          </w:p>
        </w:tc>
        <w:tc>
          <w:tcPr>
            <w:tcW w:w="315" w:type="pct"/>
            <w:vAlign w:val="center"/>
          </w:tcPr>
          <w:p w14:paraId="068DD37F">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519" w:type="pct"/>
            <w:vAlign w:val="center"/>
          </w:tcPr>
          <w:p w14:paraId="60FB08BB">
            <w:pPr>
              <w:widowControl/>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w:t>
            </w:r>
          </w:p>
        </w:tc>
      </w:tr>
      <w:tr w14:paraId="6AA84FAC">
        <w:trPr>
          <w:trHeight w:val="912" w:hRule="atLeast"/>
          <w:jc w:val="center"/>
        </w:trPr>
        <w:tc>
          <w:tcPr>
            <w:tcW w:w="647" w:type="pct"/>
            <w:vAlign w:val="center"/>
          </w:tcPr>
          <w:p w14:paraId="6CFC9AEB">
            <w:pPr>
              <w:widowControl/>
              <w:jc w:val="center"/>
              <w:rPr>
                <w:rFonts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5.2</w:t>
            </w:r>
          </w:p>
        </w:tc>
        <w:tc>
          <w:tcPr>
            <w:tcW w:w="3519" w:type="pct"/>
            <w:vAlign w:val="center"/>
          </w:tcPr>
          <w:p w14:paraId="5472CEF4">
            <w:pPr>
              <w:rPr>
                <w:rFonts w:asciiTheme="minorEastAsia" w:hAnsiTheme="minorEastAsia" w:eastAsiaTheme="minorEastAsia" w:cstheme="minorEastAsia"/>
                <w:color w:val="auto"/>
                <w:kern w:val="0"/>
                <w:sz w:val="24"/>
                <w:highlight w:val="none"/>
              </w:rPr>
            </w:pPr>
            <w:r>
              <w:rPr>
                <w:rFonts w:hint="eastAsia" w:ascii="宋体" w:hAnsi="宋体" w:cs="宋体"/>
                <w:bCs/>
                <w:color w:val="auto"/>
                <w:kern w:val="0"/>
                <w:sz w:val="24"/>
                <w:highlight w:val="none"/>
              </w:rPr>
              <w:t>投标人针对本项目服务内容的理解。</w:t>
            </w:r>
            <w:r>
              <w:rPr>
                <w:rFonts w:hint="eastAsia" w:asciiTheme="minorEastAsia" w:hAnsiTheme="minorEastAsia" w:eastAsiaTheme="minorEastAsia" w:cstheme="minorEastAsia"/>
                <w:color w:val="auto"/>
                <w:kern w:val="0"/>
                <w:sz w:val="24"/>
                <w:highlight w:val="none"/>
              </w:rPr>
              <w:t>评审小组根据投标人提供内容的专业性、合理性、与项目符合程度，综合评分：</w:t>
            </w:r>
          </w:p>
          <w:p w14:paraId="04221749">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服务内容详实，科学合理，具有针对性，</w:t>
            </w:r>
            <w:r>
              <w:rPr>
                <w:rFonts w:hint="eastAsia" w:asciiTheme="minorEastAsia" w:hAnsiTheme="minorEastAsia" w:eastAsiaTheme="minorEastAsia" w:cstheme="minorEastAsia"/>
                <w:color w:val="auto"/>
                <w:kern w:val="0"/>
                <w:sz w:val="24"/>
                <w:highlight w:val="none"/>
              </w:rPr>
              <w:t>完全符合项目实际情况的</w:t>
            </w:r>
            <w:r>
              <w:rPr>
                <w:rFonts w:hint="eastAsia" w:asciiTheme="minorEastAsia" w:hAnsiTheme="minorEastAsia" w:eastAsiaTheme="minorEastAsia" w:cstheme="minorEastAsia"/>
                <w:color w:val="auto"/>
                <w:sz w:val="24"/>
                <w:highlight w:val="none"/>
              </w:rPr>
              <w:t>得5分；</w:t>
            </w:r>
          </w:p>
          <w:p w14:paraId="55CDE77F">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服务内容较为详实，较为科学合理，具有针对性，</w:t>
            </w:r>
            <w:r>
              <w:rPr>
                <w:rFonts w:hint="eastAsia" w:asciiTheme="minorEastAsia" w:hAnsiTheme="minorEastAsia" w:eastAsiaTheme="minorEastAsia" w:cstheme="minorEastAsia"/>
                <w:color w:val="auto"/>
                <w:kern w:val="0"/>
                <w:sz w:val="24"/>
                <w:highlight w:val="none"/>
              </w:rPr>
              <w:t>基本符合项目实际情况的</w:t>
            </w:r>
            <w:r>
              <w:rPr>
                <w:rFonts w:hint="eastAsia" w:asciiTheme="minorEastAsia" w:hAnsiTheme="minorEastAsia" w:eastAsiaTheme="minorEastAsia" w:cstheme="minorEastAsia"/>
                <w:color w:val="auto"/>
                <w:sz w:val="24"/>
                <w:highlight w:val="none"/>
              </w:rPr>
              <w:t>得4分；</w:t>
            </w:r>
          </w:p>
          <w:p w14:paraId="6D04A464">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服务内容较为详实，基本科学合理，具有一定针对性，</w:t>
            </w:r>
            <w:r>
              <w:rPr>
                <w:rFonts w:hint="eastAsia" w:asciiTheme="minorEastAsia" w:hAnsiTheme="minorEastAsia" w:eastAsiaTheme="minorEastAsia" w:cstheme="minorEastAsia"/>
                <w:color w:val="auto"/>
                <w:kern w:val="0"/>
                <w:sz w:val="24"/>
                <w:highlight w:val="none"/>
              </w:rPr>
              <w:t>基本符合项目实际情况的</w:t>
            </w:r>
            <w:r>
              <w:rPr>
                <w:rFonts w:hint="eastAsia" w:asciiTheme="minorEastAsia" w:hAnsiTheme="minorEastAsia" w:eastAsiaTheme="minorEastAsia" w:cstheme="minorEastAsia"/>
                <w:color w:val="auto"/>
                <w:sz w:val="24"/>
                <w:highlight w:val="none"/>
              </w:rPr>
              <w:t>得3分；</w:t>
            </w:r>
          </w:p>
          <w:p w14:paraId="61AD5209">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服务内容基本合理，有一定的针对性的得2分；</w:t>
            </w:r>
          </w:p>
          <w:p w14:paraId="1F1465ED">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服务内容科学合理性欠缺的得1分；</w:t>
            </w:r>
          </w:p>
          <w:p w14:paraId="77665601">
            <w:pPr>
              <w:widowControl/>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未提供方案不得分。</w:t>
            </w:r>
          </w:p>
          <w:p w14:paraId="55B6CF3F">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（评分范围：5，4，3，2，1，0）</w:t>
            </w:r>
          </w:p>
        </w:tc>
        <w:tc>
          <w:tcPr>
            <w:tcW w:w="315" w:type="pct"/>
            <w:vAlign w:val="center"/>
          </w:tcPr>
          <w:p w14:paraId="3DEDAEEC">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519" w:type="pct"/>
            <w:vAlign w:val="center"/>
          </w:tcPr>
          <w:p w14:paraId="1FCE4A27">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w:t>
            </w:r>
          </w:p>
        </w:tc>
      </w:tr>
      <w:tr w14:paraId="76318DFA">
        <w:trPr>
          <w:trHeight w:val="310" w:hRule="atLeast"/>
          <w:jc w:val="center"/>
        </w:trPr>
        <w:tc>
          <w:tcPr>
            <w:tcW w:w="647" w:type="pct"/>
            <w:vAlign w:val="center"/>
          </w:tcPr>
          <w:p w14:paraId="70F29C49">
            <w:pPr>
              <w:widowControl/>
              <w:jc w:val="center"/>
              <w:rPr>
                <w:rFonts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5.3</w:t>
            </w:r>
          </w:p>
        </w:tc>
        <w:tc>
          <w:tcPr>
            <w:tcW w:w="3519" w:type="pct"/>
            <w:vAlign w:val="center"/>
          </w:tcPr>
          <w:p w14:paraId="42B33A48">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投标人针对本项目的大纲编制方案。</w:t>
            </w:r>
            <w:r>
              <w:rPr>
                <w:rFonts w:hint="eastAsia" w:asciiTheme="minorEastAsia" w:hAnsiTheme="minorEastAsia" w:eastAsiaTheme="minorEastAsia" w:cstheme="minorEastAsia"/>
                <w:color w:val="auto"/>
                <w:kern w:val="0"/>
                <w:sz w:val="24"/>
                <w:highlight w:val="none"/>
              </w:rPr>
              <w:t>评审小组根据投标人提供内容的专业性、合理性、与项目符合程度，综合评分：</w:t>
            </w:r>
          </w:p>
          <w:p w14:paraId="06FDF113">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方案详实，科学合理，具有针对性，</w:t>
            </w:r>
            <w:r>
              <w:rPr>
                <w:rFonts w:hint="eastAsia" w:asciiTheme="minorEastAsia" w:hAnsiTheme="minorEastAsia" w:eastAsiaTheme="minorEastAsia" w:cstheme="minorEastAsia"/>
                <w:color w:val="auto"/>
                <w:kern w:val="0"/>
                <w:sz w:val="24"/>
                <w:highlight w:val="none"/>
              </w:rPr>
              <w:t>完全符合项目实际情况的</w:t>
            </w:r>
            <w:r>
              <w:rPr>
                <w:rFonts w:hint="eastAsia" w:asciiTheme="minorEastAsia" w:hAnsiTheme="minorEastAsia" w:eastAsiaTheme="minorEastAsia" w:cstheme="minorEastAsia"/>
                <w:color w:val="auto"/>
                <w:sz w:val="24"/>
                <w:highlight w:val="none"/>
              </w:rPr>
              <w:t>得5分；</w:t>
            </w:r>
          </w:p>
          <w:p w14:paraId="50A505B1">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方案较为详实，较为科学合理，具有针对性，</w:t>
            </w:r>
            <w:r>
              <w:rPr>
                <w:rFonts w:hint="eastAsia" w:asciiTheme="minorEastAsia" w:hAnsiTheme="minorEastAsia" w:eastAsiaTheme="minorEastAsia" w:cstheme="minorEastAsia"/>
                <w:color w:val="auto"/>
                <w:kern w:val="0"/>
                <w:sz w:val="24"/>
                <w:highlight w:val="none"/>
              </w:rPr>
              <w:t>基本符合项目实际情况的</w:t>
            </w:r>
            <w:r>
              <w:rPr>
                <w:rFonts w:hint="eastAsia" w:asciiTheme="minorEastAsia" w:hAnsiTheme="minorEastAsia" w:eastAsiaTheme="minorEastAsia" w:cstheme="minorEastAsia"/>
                <w:color w:val="auto"/>
                <w:sz w:val="24"/>
                <w:highlight w:val="none"/>
              </w:rPr>
              <w:t>得4分；</w:t>
            </w:r>
          </w:p>
          <w:p w14:paraId="274A92E3">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方案较为详实，基本科学合理，具有一定针对性，</w:t>
            </w:r>
            <w:r>
              <w:rPr>
                <w:rFonts w:hint="eastAsia" w:asciiTheme="minorEastAsia" w:hAnsiTheme="minorEastAsia" w:eastAsiaTheme="minorEastAsia" w:cstheme="minorEastAsia"/>
                <w:color w:val="auto"/>
                <w:kern w:val="0"/>
                <w:sz w:val="24"/>
                <w:highlight w:val="none"/>
              </w:rPr>
              <w:t>基本符合项目实际情况的</w:t>
            </w:r>
            <w:r>
              <w:rPr>
                <w:rFonts w:hint="eastAsia" w:asciiTheme="minorEastAsia" w:hAnsiTheme="minorEastAsia" w:eastAsiaTheme="minorEastAsia" w:cstheme="minorEastAsia"/>
                <w:color w:val="auto"/>
                <w:sz w:val="24"/>
                <w:highlight w:val="none"/>
              </w:rPr>
              <w:t>得3分；</w:t>
            </w:r>
          </w:p>
          <w:p w14:paraId="1DF5FFC6">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方案基本合理，有一定的针对性的得2分；</w:t>
            </w:r>
          </w:p>
          <w:p w14:paraId="2EB8779A">
            <w:pPr>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方案科学合理性欠缺的得1分；</w:t>
            </w:r>
          </w:p>
          <w:p w14:paraId="6A88FE5F">
            <w:pPr>
              <w:widowControl/>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未提供方案不得分。</w:t>
            </w:r>
          </w:p>
          <w:p w14:paraId="782CB35C">
            <w:pPr>
              <w:widowControl/>
              <w:jc w:val="left"/>
              <w:rPr>
                <w:color w:val="auto"/>
                <w:highlight w:val="none"/>
              </w:rPr>
            </w:pPr>
            <w:r>
              <w:rPr>
                <w:rFonts w:hint="eastAsia" w:asciiTheme="minorEastAsia" w:hAnsiTheme="minorEastAsia" w:eastAsiaTheme="minorEastAsia" w:cstheme="minorEastAsia"/>
                <w:color w:val="auto"/>
                <w:kern w:val="0"/>
                <w:sz w:val="24"/>
                <w:highlight w:val="none"/>
              </w:rPr>
              <w:t>（评分范围：5，4，3，2，1，0）</w:t>
            </w:r>
          </w:p>
        </w:tc>
        <w:tc>
          <w:tcPr>
            <w:tcW w:w="315" w:type="pct"/>
            <w:vAlign w:val="center"/>
          </w:tcPr>
          <w:p w14:paraId="2B60BFC6">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519" w:type="pct"/>
            <w:vAlign w:val="center"/>
          </w:tcPr>
          <w:p w14:paraId="3328BB2A">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w:t>
            </w:r>
          </w:p>
        </w:tc>
      </w:tr>
      <w:tr w14:paraId="3425188D">
        <w:trPr>
          <w:trHeight w:val="912" w:hRule="atLeast"/>
          <w:jc w:val="center"/>
        </w:trPr>
        <w:tc>
          <w:tcPr>
            <w:tcW w:w="647" w:type="pct"/>
            <w:vAlign w:val="center"/>
          </w:tcPr>
          <w:p w14:paraId="340366E9">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r>
              <w:rPr>
                <w:rFonts w:asciiTheme="minorEastAsia" w:hAnsiTheme="minorEastAsia" w:eastAsiaTheme="minorEastAsia" w:cstheme="minorEastAsia"/>
                <w:color w:val="auto"/>
                <w:kern w:val="0"/>
                <w:sz w:val="24"/>
                <w:highlight w:val="none"/>
              </w:rPr>
              <w:t>.4</w:t>
            </w:r>
          </w:p>
        </w:tc>
        <w:tc>
          <w:tcPr>
            <w:tcW w:w="3519" w:type="pct"/>
            <w:vAlign w:val="center"/>
          </w:tcPr>
          <w:p w14:paraId="25511F26">
            <w:pPr>
              <w:widowControl/>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投标人针对本项目的技术路线。</w:t>
            </w:r>
            <w:r>
              <w:rPr>
                <w:rFonts w:hint="eastAsia" w:asciiTheme="minorEastAsia" w:hAnsiTheme="minorEastAsia" w:eastAsiaTheme="minorEastAsia" w:cstheme="minorEastAsia"/>
                <w:color w:val="auto"/>
                <w:kern w:val="0"/>
                <w:sz w:val="24"/>
                <w:highlight w:val="none"/>
              </w:rPr>
              <w:t>评审小组根据投标人提供内容的专业性、合理性、与项目符合程度，综合评分：</w:t>
            </w:r>
          </w:p>
          <w:p w14:paraId="15C2D364">
            <w:pPr>
              <w:widowControl/>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路线科学可行得5分；</w:t>
            </w:r>
          </w:p>
          <w:p w14:paraId="247E3417">
            <w:pPr>
              <w:widowControl/>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路线较科学可行得4分；</w:t>
            </w:r>
          </w:p>
          <w:p w14:paraId="76CC8326">
            <w:pPr>
              <w:widowControl/>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线路科学性可行性一般得3分；</w:t>
            </w:r>
          </w:p>
          <w:p w14:paraId="0E19C19E">
            <w:pPr>
              <w:widowControl/>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线路科学性可行性较低得2分；</w:t>
            </w:r>
          </w:p>
          <w:p w14:paraId="14CEFB12">
            <w:pPr>
              <w:widowControl/>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线路存在缺陷得1分；</w:t>
            </w:r>
          </w:p>
          <w:p w14:paraId="5A7A7932">
            <w:pPr>
              <w:widowControl/>
              <w:rPr>
                <w:rFonts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未体现相关内容不得分。</w:t>
            </w:r>
          </w:p>
          <w:p w14:paraId="003E624C">
            <w:pPr>
              <w:pStyle w:val="3"/>
              <w:widowControl/>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val="0"/>
                <w:color w:val="auto"/>
                <w:kern w:val="0"/>
                <w:sz w:val="24"/>
                <w:highlight w:val="none"/>
              </w:rPr>
              <w:t>（评分范围：</w:t>
            </w:r>
            <w:r>
              <w:rPr>
                <w:rFonts w:hint="eastAsia" w:asciiTheme="minorEastAsia" w:hAnsiTheme="minorEastAsia" w:eastAsiaTheme="minorEastAsia" w:cstheme="minorEastAsia"/>
                <w:b w:val="0"/>
                <w:color w:val="auto"/>
                <w:kern w:val="0"/>
                <w:sz w:val="24"/>
                <w:highlight w:val="none"/>
                <w:lang w:val="en-US"/>
              </w:rPr>
              <w:t>5，</w:t>
            </w:r>
            <w:r>
              <w:rPr>
                <w:rFonts w:asciiTheme="minorEastAsia" w:hAnsiTheme="minorEastAsia" w:eastAsiaTheme="minorEastAsia" w:cstheme="minorEastAsia"/>
                <w:b w:val="0"/>
                <w:color w:val="auto"/>
                <w:kern w:val="0"/>
                <w:sz w:val="24"/>
                <w:highlight w:val="none"/>
              </w:rPr>
              <w:t>4，3，2，1，0）</w:t>
            </w:r>
          </w:p>
        </w:tc>
        <w:tc>
          <w:tcPr>
            <w:tcW w:w="315" w:type="pct"/>
            <w:vAlign w:val="center"/>
          </w:tcPr>
          <w:p w14:paraId="3D8EB962">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519" w:type="pct"/>
            <w:vAlign w:val="center"/>
          </w:tcPr>
          <w:p w14:paraId="70DD43B6">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w:t>
            </w:r>
          </w:p>
        </w:tc>
      </w:tr>
      <w:tr w14:paraId="476611BA">
        <w:trPr>
          <w:trHeight w:val="245" w:hRule="atLeast"/>
          <w:jc w:val="center"/>
        </w:trPr>
        <w:tc>
          <w:tcPr>
            <w:tcW w:w="647" w:type="pct"/>
            <w:vAlign w:val="center"/>
          </w:tcPr>
          <w:p w14:paraId="769DE117">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6</w:t>
            </w:r>
          </w:p>
        </w:tc>
        <w:tc>
          <w:tcPr>
            <w:tcW w:w="3519" w:type="pct"/>
            <w:shd w:val="clear" w:color="auto" w:fill="auto"/>
            <w:vAlign w:val="center"/>
          </w:tcPr>
          <w:p w14:paraId="3D173B9A">
            <w:pPr>
              <w:widowControl/>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保密方案：</w:t>
            </w:r>
          </w:p>
          <w:p w14:paraId="24ADF56A">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投标人针对本项目提供保密方案。评审小组根据投标人提供的内容的专业性、合理性、与项目要求的符合程度，综合评分：</w:t>
            </w:r>
          </w:p>
          <w:p w14:paraId="4BD2E837">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方案内容详实，科学合理，具有针对性，可实施性强的得5分；</w:t>
            </w:r>
          </w:p>
          <w:p w14:paraId="0AF5E737">
            <w:pPr>
              <w:widowControl/>
              <w:rPr>
                <w:color w:val="auto"/>
                <w:highlight w:val="none"/>
              </w:rPr>
            </w:pPr>
            <w:r>
              <w:rPr>
                <w:rFonts w:hint="eastAsia" w:asciiTheme="minorEastAsia" w:hAnsiTheme="minorEastAsia" w:eastAsiaTheme="minorEastAsia" w:cstheme="minorEastAsia"/>
                <w:color w:val="auto"/>
                <w:kern w:val="0"/>
                <w:sz w:val="24"/>
                <w:highlight w:val="none"/>
              </w:rPr>
              <w:t>方案内容较为详实，科学合理，有一定的针对性、可实施性的得4分；</w:t>
            </w:r>
          </w:p>
          <w:p w14:paraId="3793C955">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方案内容基本合理，有一定的针对性、可实施性的得3分；</w:t>
            </w:r>
          </w:p>
          <w:p w14:paraId="5838D565">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方案内容基本合理，针对性、可实施性欠缺的得2分；</w:t>
            </w:r>
          </w:p>
          <w:p w14:paraId="07C7A7FD">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方案科学合理性欠缺的得1分；</w:t>
            </w:r>
          </w:p>
          <w:p w14:paraId="31EE76D2">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未提供方案不得分。</w:t>
            </w:r>
          </w:p>
          <w:p w14:paraId="0167006B">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（评分范围：5，4，3，2，1，0）</w:t>
            </w:r>
          </w:p>
        </w:tc>
        <w:tc>
          <w:tcPr>
            <w:tcW w:w="315" w:type="pct"/>
            <w:shd w:val="clear" w:color="auto" w:fill="auto"/>
            <w:vAlign w:val="center"/>
          </w:tcPr>
          <w:p w14:paraId="3EA5CA7A">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519" w:type="pct"/>
            <w:shd w:val="clear" w:color="auto" w:fill="auto"/>
            <w:vAlign w:val="center"/>
          </w:tcPr>
          <w:p w14:paraId="77A48E1C">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w:t>
            </w:r>
          </w:p>
        </w:tc>
      </w:tr>
      <w:tr w14:paraId="2C12AAE5">
        <w:trPr>
          <w:trHeight w:val="245" w:hRule="atLeast"/>
          <w:jc w:val="center"/>
        </w:trPr>
        <w:tc>
          <w:tcPr>
            <w:tcW w:w="647" w:type="pct"/>
            <w:vAlign w:val="center"/>
          </w:tcPr>
          <w:p w14:paraId="635B267B">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7</w:t>
            </w:r>
          </w:p>
        </w:tc>
        <w:tc>
          <w:tcPr>
            <w:tcW w:w="3519" w:type="pct"/>
            <w:shd w:val="clear" w:color="auto" w:fill="auto"/>
            <w:vAlign w:val="center"/>
          </w:tcPr>
          <w:p w14:paraId="6BFF3E29">
            <w:pPr>
              <w:widowControl/>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服务质量保障方案：</w:t>
            </w:r>
          </w:p>
          <w:p w14:paraId="004BE937">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投标人针对本项目提供服务</w:t>
            </w:r>
            <w:r>
              <w:rPr>
                <w:rFonts w:hint="eastAsia" w:asciiTheme="minorEastAsia" w:hAnsiTheme="minorEastAsia" w:eastAsiaTheme="minorEastAsia" w:cstheme="minorEastAsia"/>
                <w:color w:val="auto"/>
                <w:kern w:val="0"/>
                <w:sz w:val="24"/>
                <w:highlight w:val="none"/>
                <w:lang w:eastAsia="zh-Hans"/>
              </w:rPr>
              <w:t>质量保障</w:t>
            </w:r>
            <w:r>
              <w:rPr>
                <w:rFonts w:hint="eastAsia" w:asciiTheme="minorEastAsia" w:hAnsiTheme="minorEastAsia" w:eastAsiaTheme="minorEastAsia" w:cstheme="minorEastAsia"/>
                <w:color w:val="auto"/>
                <w:kern w:val="0"/>
                <w:sz w:val="24"/>
                <w:highlight w:val="none"/>
              </w:rPr>
              <w:t>方案。评审小组根据投标人提供的内容的专业性、合理性、与项目要求的符合程度，综合评分：</w:t>
            </w:r>
          </w:p>
          <w:p w14:paraId="5F5D19D6">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方案内容详实，科学合理，具有针对性，可实施性强的得5分；</w:t>
            </w:r>
          </w:p>
          <w:p w14:paraId="6B092698">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方案内容较为详实，科学合理，有一定的针对性、可实施性的得4分；</w:t>
            </w:r>
          </w:p>
          <w:p w14:paraId="4F7EBF4B">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方案内容基本合理，有一定的针对性、可实施性的得3分；</w:t>
            </w:r>
          </w:p>
          <w:p w14:paraId="440067AC">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方案内容基本合理，针对性、可实施性欠缺的得2分；</w:t>
            </w:r>
          </w:p>
          <w:p w14:paraId="535AE1EA">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方案科学合理性欠缺的得1分；</w:t>
            </w:r>
          </w:p>
          <w:p w14:paraId="60FDD1F6">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未提供方案不得分。</w:t>
            </w:r>
          </w:p>
          <w:p w14:paraId="2ED495B3">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（评分范围：5，4，3，2，1，0）</w:t>
            </w:r>
          </w:p>
        </w:tc>
        <w:tc>
          <w:tcPr>
            <w:tcW w:w="315" w:type="pct"/>
            <w:shd w:val="clear" w:color="auto" w:fill="auto"/>
            <w:vAlign w:val="center"/>
          </w:tcPr>
          <w:p w14:paraId="60519A6E">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519" w:type="pct"/>
            <w:shd w:val="clear" w:color="auto" w:fill="auto"/>
            <w:vAlign w:val="center"/>
          </w:tcPr>
          <w:p w14:paraId="4AF49D8E">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w:t>
            </w:r>
          </w:p>
        </w:tc>
      </w:tr>
      <w:tr w14:paraId="21FCC586">
        <w:trPr>
          <w:trHeight w:val="245" w:hRule="atLeast"/>
          <w:jc w:val="center"/>
        </w:trPr>
        <w:tc>
          <w:tcPr>
            <w:tcW w:w="647" w:type="pct"/>
            <w:vAlign w:val="center"/>
          </w:tcPr>
          <w:p w14:paraId="57420F73">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8</w:t>
            </w:r>
          </w:p>
        </w:tc>
        <w:tc>
          <w:tcPr>
            <w:tcW w:w="3519" w:type="pct"/>
            <w:shd w:val="clear" w:color="auto" w:fill="auto"/>
            <w:vAlign w:val="center"/>
          </w:tcPr>
          <w:p w14:paraId="660EC0E4">
            <w:pPr>
              <w:widowControl/>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项目进度保障方案：</w:t>
            </w:r>
          </w:p>
          <w:p w14:paraId="56EC603E">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投标人针对本项目提供项目进度保障方案。评审小组根据投标人提供的内容的专业性、合理性、与项目要求的符合程度，综合评分：</w:t>
            </w:r>
          </w:p>
          <w:p w14:paraId="7349C0CD">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方案内容详实，科学合理，具有针对性，可实施性强的得5分；</w:t>
            </w:r>
          </w:p>
          <w:p w14:paraId="2A6E2206">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方案内容较为详实，科学合理，有一定的针对性、可实施性的得4分；</w:t>
            </w:r>
          </w:p>
          <w:p w14:paraId="7AF93D20">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方案内容基本合理，有一定的针对性、可实施性的得3分；</w:t>
            </w:r>
          </w:p>
          <w:p w14:paraId="7C7E5FDB">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方案内容基本合理，针对性、可实施性欠缺的得2分；</w:t>
            </w:r>
          </w:p>
          <w:p w14:paraId="5A63BB58">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方案科学合理性欠缺的得1分；</w:t>
            </w:r>
          </w:p>
          <w:p w14:paraId="1547D18E">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未提供方案不得分。</w:t>
            </w:r>
          </w:p>
          <w:p w14:paraId="32843BA8">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（评分范围：5，4，3，2，1，0）</w:t>
            </w:r>
          </w:p>
        </w:tc>
        <w:tc>
          <w:tcPr>
            <w:tcW w:w="315" w:type="pct"/>
            <w:shd w:val="clear" w:color="auto" w:fill="auto"/>
            <w:vAlign w:val="center"/>
          </w:tcPr>
          <w:p w14:paraId="5E3C18FE">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519" w:type="pct"/>
            <w:shd w:val="clear" w:color="auto" w:fill="auto"/>
            <w:vAlign w:val="center"/>
          </w:tcPr>
          <w:p w14:paraId="648F8197">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w:t>
            </w:r>
          </w:p>
        </w:tc>
      </w:tr>
      <w:tr w14:paraId="23001246">
        <w:trPr>
          <w:trHeight w:val="245" w:hRule="atLeast"/>
          <w:jc w:val="center"/>
        </w:trPr>
        <w:tc>
          <w:tcPr>
            <w:tcW w:w="647" w:type="pct"/>
            <w:vAlign w:val="center"/>
          </w:tcPr>
          <w:p w14:paraId="4F17E8E1">
            <w:pPr>
              <w:widowControl/>
              <w:jc w:val="center"/>
              <w:rPr>
                <w:rFonts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9</w:t>
            </w:r>
          </w:p>
        </w:tc>
        <w:tc>
          <w:tcPr>
            <w:tcW w:w="3519" w:type="pct"/>
            <w:shd w:val="clear" w:color="auto" w:fill="auto"/>
            <w:vAlign w:val="center"/>
          </w:tcPr>
          <w:p w14:paraId="591FCB95">
            <w:pPr>
              <w:widowControl/>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其它有助提高项目服务质量和进度的建议:</w:t>
            </w:r>
          </w:p>
          <w:p w14:paraId="74E129B8">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建议内容详实全面，提出的创新性举措具有行业前瞻性，可操作性强，能有效保障项目服务质量显著提升和进度高效推进，且与项目整体目标高度契合的得</w:t>
            </w:r>
            <w:r>
              <w:rPr>
                <w:rFonts w:asciiTheme="minorEastAsia" w:hAnsiTheme="minorEastAsia" w:eastAsiaTheme="minorEastAsia" w:cstheme="minorEastAsia"/>
                <w:color w:val="auto"/>
                <w:kern w:val="0"/>
                <w:sz w:val="24"/>
                <w:highlight w:val="none"/>
              </w:rPr>
              <w:t>5</w:t>
            </w:r>
            <w:r>
              <w:rPr>
                <w:rFonts w:hint="eastAsia" w:asciiTheme="minorEastAsia" w:hAnsiTheme="minorEastAsia" w:eastAsiaTheme="minorEastAsia" w:cstheme="minorEastAsia"/>
                <w:color w:val="auto"/>
                <w:kern w:val="0"/>
                <w:sz w:val="24"/>
                <w:highlight w:val="none"/>
              </w:rPr>
              <w:t>分；</w:t>
            </w:r>
          </w:p>
          <w:p w14:paraId="6483FBC4">
            <w:pPr>
              <w:widowControl/>
              <w:rPr>
                <w:rFonts w:ascii="宋体" w:hAnsi="宋体"/>
                <w:color w:val="auto"/>
                <w:kern w:val="0"/>
                <w:sz w:val="24"/>
                <w:highlight w:val="none"/>
              </w:rPr>
            </w:pPr>
            <w:r>
              <w:rPr>
                <w:rFonts w:hint="eastAsia" w:ascii="宋体" w:hAnsi="宋体"/>
                <w:color w:val="auto"/>
                <w:kern w:val="0"/>
                <w:sz w:val="24"/>
                <w:highlight w:val="none"/>
              </w:rPr>
              <w:t>建议内容较为合理，提出有针对性的优化方案，具有一定可行性和可操作性，对项目服务质量和进度有积极促进作用，与项目要求较为相符的得4分；</w:t>
            </w:r>
          </w:p>
          <w:p w14:paraId="60A92CAB">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建议内容基本合理，提出有针对性的优化方案，具有一定可行性和可操作性，对项目服务质量和进度有积极促进作用，与项目要求基本相符的得3分；</w:t>
            </w:r>
          </w:p>
          <w:p w14:paraId="7BBBC90E">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建议内容基本合理，针对性、可行性存在不足，对项目服务质量和进度的提升效果有限的得2分。</w:t>
            </w:r>
          </w:p>
          <w:p w14:paraId="116C845C">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建议缺乏科学合理性或建议内容模糊、不具体，无法明确实施方向，得1分。</w:t>
            </w:r>
          </w:p>
          <w:p w14:paraId="00758479">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未提供方案不得分。</w:t>
            </w:r>
          </w:p>
          <w:p w14:paraId="3DD209CF">
            <w:pPr>
              <w:widowControl/>
              <w:rPr>
                <w:rFonts w:ascii="宋体" w:hAnsi="Arial" w:cs="Arial"/>
                <w:snapToGrid w:val="0"/>
                <w:color w:val="auto"/>
                <w:sz w:val="24"/>
                <w:szCs w:val="21"/>
                <w:highlight w:val="none"/>
              </w:rPr>
            </w:pPr>
            <w:r>
              <w:rPr>
                <w:rFonts w:hint="eastAsia" w:asciiTheme="minorEastAsia" w:hAnsiTheme="minorEastAsia" w:eastAsiaTheme="minorEastAsia" w:cstheme="minorEastAsia"/>
                <w:color w:val="auto"/>
                <w:kern w:val="0"/>
                <w:sz w:val="24"/>
                <w:highlight w:val="none"/>
              </w:rPr>
              <w:t>（评分范围：5，4，3，2，1，0）</w:t>
            </w:r>
          </w:p>
        </w:tc>
        <w:tc>
          <w:tcPr>
            <w:tcW w:w="315" w:type="pct"/>
            <w:shd w:val="clear" w:color="auto" w:fill="auto"/>
            <w:vAlign w:val="center"/>
          </w:tcPr>
          <w:p w14:paraId="4A8FF2DC">
            <w:pPr>
              <w:widowControl/>
              <w:jc w:val="center"/>
              <w:rPr>
                <w:rFonts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5</w:t>
            </w:r>
          </w:p>
        </w:tc>
        <w:tc>
          <w:tcPr>
            <w:tcW w:w="519" w:type="pct"/>
            <w:shd w:val="clear" w:color="auto" w:fill="auto"/>
            <w:vAlign w:val="center"/>
          </w:tcPr>
          <w:p w14:paraId="383AFF9F">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主观分</w:t>
            </w:r>
          </w:p>
        </w:tc>
      </w:tr>
      <w:tr w14:paraId="7C35760C">
        <w:trPr>
          <w:trHeight w:val="245" w:hRule="atLeast"/>
          <w:jc w:val="center"/>
        </w:trPr>
        <w:tc>
          <w:tcPr>
            <w:tcW w:w="647" w:type="pct"/>
            <w:vAlign w:val="center"/>
          </w:tcPr>
          <w:p w14:paraId="4D1F9478">
            <w:pPr>
              <w:widowControl/>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asciiTheme="minorEastAsia" w:hAnsiTheme="minorEastAsia" w:eastAsiaTheme="minorEastAsia" w:cstheme="minorEastAsia"/>
                <w:color w:val="auto"/>
                <w:kern w:val="0"/>
                <w:sz w:val="24"/>
                <w:highlight w:val="none"/>
              </w:rPr>
              <w:t>0</w:t>
            </w:r>
          </w:p>
        </w:tc>
        <w:tc>
          <w:tcPr>
            <w:tcW w:w="3519" w:type="pct"/>
            <w:shd w:val="clear" w:color="auto" w:fill="auto"/>
            <w:vAlign w:val="center"/>
          </w:tcPr>
          <w:p w14:paraId="4F8FA678">
            <w:pPr>
              <w:widowControl/>
              <w:rPr>
                <w:rFonts w:hint="eastAsia" w:asciiTheme="minorEastAsia" w:hAnsiTheme="minorEastAsia" w:eastAsiaTheme="minorEastAsia" w:cstheme="minorEastAsia"/>
                <w:b/>
                <w:bCs/>
                <w:color w:val="auto"/>
                <w:kern w:val="0"/>
                <w:sz w:val="24"/>
                <w:highlight w:val="none"/>
              </w:rPr>
            </w:pPr>
            <w:bookmarkStart w:id="413" w:name="_GoBack"/>
            <w:r>
              <w:rPr>
                <w:rFonts w:hint="eastAsia" w:asciiTheme="minorEastAsia" w:hAnsiTheme="minorEastAsia" w:eastAsiaTheme="minorEastAsia" w:cstheme="minorEastAsia"/>
                <w:color w:val="auto"/>
                <w:kern w:val="0"/>
                <w:sz w:val="24"/>
                <w:highlight w:val="none"/>
              </w:rPr>
              <w:t>投标人具有有</w:t>
            </w:r>
            <w:bookmarkEnd w:id="413"/>
            <w:r>
              <w:rPr>
                <w:rFonts w:hint="eastAsia" w:asciiTheme="minorEastAsia" w:hAnsiTheme="minorEastAsia" w:eastAsiaTheme="minorEastAsia" w:cstheme="minorEastAsia"/>
                <w:color w:val="auto"/>
                <w:kern w:val="0"/>
                <w:sz w:val="24"/>
                <w:highlight w:val="none"/>
              </w:rPr>
              <w:t>效期内的ISO9001质量管理体系认证证书、ISO14001环境管理体系认证证书、ISO45001职业健康安全管理体系认证证书，每项满足得</w:t>
            </w:r>
            <w:r>
              <w:rPr>
                <w:rFonts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kern w:val="0"/>
                <w:sz w:val="24"/>
                <w:highlight w:val="none"/>
              </w:rPr>
              <w:t>分，最高得</w:t>
            </w:r>
            <w:r>
              <w:rPr>
                <w:rFonts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kern w:val="0"/>
                <w:sz w:val="24"/>
                <w:highlight w:val="none"/>
              </w:rPr>
              <w:t>分。（以上内容提供有效证书扫描件并加盖公章，或提供全国认证认可信息公共服务平台网站http://www.cnca.gov.cn/查询页面截图扫描件并加盖公章）</w:t>
            </w:r>
          </w:p>
        </w:tc>
        <w:tc>
          <w:tcPr>
            <w:tcW w:w="315" w:type="pct"/>
            <w:shd w:val="clear" w:color="auto" w:fill="auto"/>
            <w:vAlign w:val="center"/>
          </w:tcPr>
          <w:p w14:paraId="54F2327E">
            <w:pPr>
              <w:widowControl/>
              <w:jc w:val="center"/>
              <w:rPr>
                <w:rFonts w:hint="eastAsia"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4</w:t>
            </w:r>
          </w:p>
        </w:tc>
        <w:tc>
          <w:tcPr>
            <w:tcW w:w="519" w:type="pct"/>
            <w:shd w:val="clear" w:color="auto" w:fill="auto"/>
            <w:vAlign w:val="center"/>
          </w:tcPr>
          <w:p w14:paraId="6A87F100">
            <w:pPr>
              <w:widowControl/>
              <w:jc w:val="center"/>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客观分</w:t>
            </w:r>
          </w:p>
        </w:tc>
      </w:tr>
      <w:tr w14:paraId="45540EA7">
        <w:trPr>
          <w:trHeight w:val="433" w:hRule="atLeast"/>
          <w:jc w:val="center"/>
        </w:trPr>
        <w:tc>
          <w:tcPr>
            <w:tcW w:w="647" w:type="pct"/>
            <w:vAlign w:val="center"/>
          </w:tcPr>
          <w:p w14:paraId="603E2050">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11</w:t>
            </w:r>
          </w:p>
        </w:tc>
        <w:tc>
          <w:tcPr>
            <w:tcW w:w="3519" w:type="pct"/>
            <w:vAlign w:val="center"/>
          </w:tcPr>
          <w:p w14:paraId="181F51AF">
            <w:pPr>
              <w:widowControl/>
              <w:rPr>
                <w:rFonts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价格分：</w:t>
            </w:r>
          </w:p>
          <w:p w14:paraId="7A14CE81">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价格分采用低价优先法计算，即有效投标报价的最低价为评审基准价，其最低报价为满分。其他投标人的报价分统一按照下列公式计算：</w:t>
            </w:r>
          </w:p>
          <w:p w14:paraId="085F596D">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报价得分=（评审基准价/投标报价）*10</w:t>
            </w:r>
          </w:p>
          <w:p w14:paraId="7044FEA7">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评标过程中，不得去掉报价中的最高报价和最低报价。</w:t>
            </w:r>
          </w:p>
          <w:p w14:paraId="62911DFC">
            <w:pPr>
              <w:widowControl/>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315" w:type="pct"/>
            <w:vAlign w:val="center"/>
          </w:tcPr>
          <w:p w14:paraId="1081A135">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10</w:t>
            </w:r>
          </w:p>
        </w:tc>
        <w:tc>
          <w:tcPr>
            <w:tcW w:w="519" w:type="pct"/>
            <w:vAlign w:val="center"/>
          </w:tcPr>
          <w:p w14:paraId="767A8BB4">
            <w:pPr>
              <w:widowControl/>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客观分</w:t>
            </w:r>
          </w:p>
        </w:tc>
      </w:tr>
    </w:tbl>
    <w:p w14:paraId="7C8CCB51">
      <w:pPr>
        <w:snapToGrid w:val="0"/>
        <w:spacing w:line="360" w:lineRule="auto"/>
        <w:rPr>
          <w:rFonts w:ascii="宋体" w:hAnsi="宋体" w:cs="宋体"/>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14:paraId="3D9F229D">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0336B96">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F2B9C6B">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FBABA1E">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6A96354">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092B49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E43040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90E4B2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830CE8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6D68466">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DCAB411">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3.4.1.1政采云系统中的报价与投标文件中开标一览表(报价表)内容与不一致的，以投标文件中开标一览表(报价表)为准;</w:t>
      </w:r>
    </w:p>
    <w:p w14:paraId="59A50E74">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3.4.1.2投标文件中开标一览表(报价表)内容与报价文件其它部分中的报价不一致的，以开标一览表(报价表)为准；</w:t>
      </w:r>
    </w:p>
    <w:p w14:paraId="69934661">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3.4.1.3大写金额和小写金额不一致的，以大写金额为准;</w:t>
      </w:r>
    </w:p>
    <w:p w14:paraId="0CED5028">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3.4.1.4单价金额小数点或者百分比有明显错位的，以开标一览表的总价为准，并修改单价;</w:t>
      </w:r>
    </w:p>
    <w:p w14:paraId="1578A963">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3.4.1.5总价金额与按单价汇总金额不一致的，以单价金额计算结果为准。</w:t>
      </w:r>
    </w:p>
    <w:p w14:paraId="1FA7B741">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3.4.1.6同时出现两种以上不一致的，按照3.4.1规定的顺序修正。修正后的报价按照财政部第87号令 《政府采购货物和服务招标投标管理办法》第五十一条第二款的规定经投标人确认后产生约束力。</w:t>
      </w:r>
    </w:p>
    <w:p w14:paraId="1057A3D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18F277A">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A2D6CE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F856705">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6AE71B2">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5C0EB39">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299D30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BAF27A8">
      <w:pPr>
        <w:snapToGrid w:val="0"/>
        <w:spacing w:line="360" w:lineRule="auto"/>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221FB46">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FBAD2CE">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DA6E0C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0EC129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5A1756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07964B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E0229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393371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4.2.6投标文件出现不是唯一的、有选择性投标报价的;</w:t>
      </w:r>
    </w:p>
    <w:p w14:paraId="3FA6CB6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0041E8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4.2.8专门面向中小企业采购的项目，《中小企业声明函》填写企业类型错误或者未填写企业类型的，投标无效；</w:t>
      </w:r>
    </w:p>
    <w:p w14:paraId="000C95D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D0238C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F1A20B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4.2.11投标人有恶意串通、妨碍其他投标人的竞争行为、损害采购人或者其他投标人的合法权益情形的；</w:t>
      </w:r>
    </w:p>
    <w:p w14:paraId="5194899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参与同一个项目（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175805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4.2.13投标人仅提交备份投标文件，未在电子交易平台传输递交投标文件的，投标无效；</w:t>
      </w:r>
    </w:p>
    <w:p w14:paraId="732F87C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4.2.14投标文件不满足招标文件的其它实质性要求的；</w:t>
      </w:r>
    </w:p>
    <w:p w14:paraId="5BE6DF3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79125B01">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BD6701A">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A215253">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7A57F746">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98B6FFF">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2E780A9F">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65E98D96">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3CFC41D">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9CB2060">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47825AE">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992E854">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E470B8D">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8E6B92A">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C54C0F3">
      <w:pPr>
        <w:rPr>
          <w:rFonts w:ascii="宋体" w:hAnsi="宋体" w:cs="宋体"/>
          <w:b/>
          <w:color w:val="auto"/>
          <w:sz w:val="36"/>
          <w:szCs w:val="36"/>
          <w:highlight w:val="none"/>
        </w:rPr>
      </w:pPr>
      <w:bookmarkStart w:id="404" w:name="_Toc86217003"/>
      <w:r>
        <w:rPr>
          <w:rFonts w:hint="eastAsia" w:ascii="宋体" w:hAnsi="宋体" w:cs="宋体"/>
          <w:b/>
          <w:color w:val="auto"/>
          <w:sz w:val="36"/>
          <w:szCs w:val="36"/>
          <w:highlight w:val="none"/>
        </w:rPr>
        <w:br w:type="page"/>
      </w:r>
    </w:p>
    <w:p w14:paraId="2245EF7D">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5C1505C">
      <w:pPr>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本章所述合同格式及合同条款为指引性文件。在合同签订时，采购人有权合理修改本合同条款。若采购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14:paraId="3DB6BFC0">
      <w:pPr>
        <w:snapToGrid w:val="0"/>
        <w:spacing w:before="120" w:beforeLines="50" w:after="120" w:afterLines="50" w:line="360" w:lineRule="auto"/>
        <w:jc w:val="center"/>
        <w:rPr>
          <w:rFonts w:ascii="宋体" w:hAnsi="宋体" w:cs="宋体"/>
          <w:b/>
          <w:color w:val="auto"/>
          <w:sz w:val="24"/>
          <w:highlight w:val="none"/>
        </w:rPr>
      </w:pPr>
      <w:r>
        <w:rPr>
          <w:rFonts w:hint="eastAsia" w:ascii="宋体" w:hAnsi="宋体" w:cs="宋体"/>
          <w:b/>
          <w:color w:val="auto"/>
          <w:sz w:val="24"/>
          <w:highlight w:val="none"/>
        </w:rPr>
        <w:t>浙江省政府采购合同（参考）</w:t>
      </w:r>
    </w:p>
    <w:p w14:paraId="5D95EF52">
      <w:pPr>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内河航道工程项目投融资模式创新研究</w:t>
      </w:r>
    </w:p>
    <w:p w14:paraId="033A06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ZJHY-SJTYST-202514</w:t>
      </w:r>
    </w:p>
    <w:p w14:paraId="38B99785">
      <w:pPr>
        <w:snapToGrid w:val="0"/>
        <w:spacing w:line="360" w:lineRule="auto"/>
        <w:ind w:firstLine="482" w:firstLineChars="200"/>
        <w:rPr>
          <w:rFonts w:ascii="宋体" w:hAnsi="宋体" w:cs="宋体"/>
          <w:b/>
          <w:bCs/>
          <w:color w:val="auto"/>
          <w:sz w:val="24"/>
          <w:highlight w:val="none"/>
          <w:u w:val="single"/>
        </w:rPr>
      </w:pPr>
      <w:r>
        <w:rPr>
          <w:rFonts w:hint="eastAsia" w:ascii="宋体" w:hAnsi="宋体" w:cs="宋体"/>
          <w:b/>
          <w:bCs/>
          <w:color w:val="auto"/>
          <w:sz w:val="24"/>
          <w:highlight w:val="none"/>
          <w:u w:val="single"/>
        </w:rPr>
        <w:t>甲方：（采购人）</w:t>
      </w:r>
      <w:r>
        <w:rPr>
          <w:rFonts w:hint="eastAsia" w:ascii="宋体" w:hAnsi="宋体" w:cs="宋体"/>
          <w:color w:val="auto"/>
          <w:sz w:val="24"/>
          <w:highlight w:val="none"/>
          <w:u w:val="single"/>
        </w:rPr>
        <w:t xml:space="preserve">   </w:t>
      </w:r>
    </w:p>
    <w:p w14:paraId="790E6864">
      <w:pPr>
        <w:snapToGrid w:val="0"/>
        <w:spacing w:line="360" w:lineRule="auto"/>
        <w:ind w:firstLine="482" w:firstLineChars="200"/>
        <w:rPr>
          <w:rFonts w:ascii="宋体" w:hAnsi="宋体" w:cs="宋体"/>
          <w:bCs/>
          <w:color w:val="auto"/>
          <w:sz w:val="24"/>
          <w:highlight w:val="none"/>
          <w:u w:val="single"/>
        </w:rPr>
      </w:pPr>
      <w:r>
        <w:rPr>
          <w:rFonts w:hint="eastAsia" w:ascii="宋体" w:hAnsi="宋体" w:cs="宋体"/>
          <w:b/>
          <w:bCs/>
          <w:color w:val="auto"/>
          <w:sz w:val="24"/>
          <w:highlight w:val="none"/>
          <w:u w:val="single"/>
        </w:rPr>
        <w:t xml:space="preserve">乙方：（中标人）   </w:t>
      </w:r>
    </w:p>
    <w:p w14:paraId="6D35A9BD">
      <w:pPr>
        <w:wordWrap w:val="0"/>
        <w:spacing w:line="360" w:lineRule="auto"/>
        <w:ind w:firstLine="720" w:firstLineChars="300"/>
        <w:jc w:val="left"/>
        <w:rPr>
          <w:rFonts w:ascii="宋体" w:hAnsi="宋体" w:cs="宋体"/>
          <w:b/>
          <w:color w:val="auto"/>
          <w:sz w:val="24"/>
          <w:highlight w:val="none"/>
        </w:rPr>
      </w:pPr>
      <w:r>
        <w:rPr>
          <w:rFonts w:hint="eastAsia" w:ascii="宋体" w:hAnsi="宋体" w:cs="宋体"/>
          <w:color w:val="auto"/>
          <w:sz w:val="24"/>
          <w:highlight w:val="none"/>
        </w:rPr>
        <w:t>甲、乙双方根据</w:t>
      </w:r>
      <w:r>
        <w:rPr>
          <w:rFonts w:hint="eastAsia" w:ascii="宋体" w:hAnsi="宋体" w:cs="宋体"/>
          <w:color w:val="auto"/>
          <w:sz w:val="24"/>
          <w:highlight w:val="none"/>
          <w:u w:val="single"/>
        </w:rPr>
        <w:t>内河航道工程项目投融资模式创新研究</w:t>
      </w:r>
      <w:r>
        <w:rPr>
          <w:rFonts w:hint="eastAsia" w:ascii="宋体" w:hAnsi="宋体" w:cs="宋体"/>
          <w:color w:val="auto"/>
          <w:sz w:val="24"/>
          <w:highlight w:val="none"/>
        </w:rPr>
        <w:t>（项目编号：</w:t>
      </w:r>
      <w:r>
        <w:rPr>
          <w:rFonts w:hint="eastAsia" w:ascii="宋体" w:hAnsi="宋体" w:cs="宋体"/>
          <w:color w:val="auto"/>
          <w:sz w:val="24"/>
          <w:highlight w:val="none"/>
          <w:u w:val="single"/>
        </w:rPr>
        <w:t>ZJHY-SJTYST-202514</w:t>
      </w:r>
      <w:r>
        <w:rPr>
          <w:rFonts w:hint="eastAsia" w:ascii="宋体" w:hAnsi="宋体" w:cs="宋体"/>
          <w:color w:val="auto"/>
          <w:sz w:val="24"/>
          <w:highlight w:val="none"/>
        </w:rPr>
        <w:t>）招标的结果，签署本合同。</w:t>
      </w:r>
    </w:p>
    <w:p w14:paraId="73FC5536">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一、合同内容</w:t>
      </w:r>
    </w:p>
    <w:p w14:paraId="1040873E">
      <w:pPr>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本项目为</w:t>
      </w:r>
      <w:r>
        <w:rPr>
          <w:rFonts w:hint="eastAsia" w:ascii="宋体" w:hAnsi="宋体" w:cs="宋体"/>
          <w:b/>
          <w:bCs/>
          <w:color w:val="auto"/>
          <w:sz w:val="24"/>
          <w:highlight w:val="none"/>
          <w:u w:val="single"/>
        </w:rPr>
        <w:t>内河航道工程项目投融资模式创新研究</w:t>
      </w:r>
      <w:r>
        <w:rPr>
          <w:rFonts w:hint="eastAsia" w:ascii="宋体" w:hAnsi="宋体" w:cs="宋体"/>
          <w:bCs/>
          <w:color w:val="auto"/>
          <w:sz w:val="24"/>
          <w:highlight w:val="none"/>
          <w:u w:val="single"/>
        </w:rPr>
        <w:t>，</w:t>
      </w:r>
      <w:r>
        <w:rPr>
          <w:rFonts w:hint="eastAsia" w:ascii="宋体" w:hAnsi="宋体" w:cs="宋体"/>
          <w:color w:val="auto"/>
          <w:sz w:val="24"/>
          <w:highlight w:val="none"/>
        </w:rPr>
        <w:t>乙方负责甲方招标文件中</w:t>
      </w:r>
      <w:r>
        <w:rPr>
          <w:rFonts w:hint="eastAsia" w:ascii="宋体" w:hAnsi="宋体" w:cs="宋体"/>
          <w:bCs/>
          <w:color w:val="auto"/>
          <w:sz w:val="24"/>
          <w:highlight w:val="none"/>
          <w:u w:val="single"/>
        </w:rPr>
        <w:t>指定的各项工作</w:t>
      </w:r>
      <w:r>
        <w:rPr>
          <w:rFonts w:hint="eastAsia" w:ascii="宋体" w:hAnsi="宋体" w:cs="宋体"/>
          <w:color w:val="auto"/>
          <w:sz w:val="24"/>
          <w:highlight w:val="none"/>
        </w:rPr>
        <w:t>。</w:t>
      </w:r>
    </w:p>
    <w:p w14:paraId="53976BBC">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二、合同金额</w:t>
      </w:r>
    </w:p>
    <w:p w14:paraId="335AA3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本合同金额为人民币（大写）：</w:t>
      </w:r>
      <w:r>
        <w:rPr>
          <w:rFonts w:hint="eastAsia" w:ascii="宋体" w:hAnsi="宋体" w:cs="宋体"/>
          <w:b/>
          <w:bCs/>
          <w:color w:val="auto"/>
          <w:kern w:val="0"/>
          <w:sz w:val="24"/>
          <w:highlight w:val="none"/>
          <w:u w:val="single"/>
        </w:rPr>
        <w:t xml:space="preserve">      元整 </w:t>
      </w:r>
      <w:r>
        <w:rPr>
          <w:rFonts w:hint="eastAsia" w:ascii="宋体" w:hAnsi="宋体" w:cs="宋体"/>
          <w:b/>
          <w:bCs/>
          <w:color w:val="auto"/>
          <w:sz w:val="24"/>
          <w:highlight w:val="none"/>
          <w:u w:val="single"/>
        </w:rPr>
        <w:t>（￥</w:t>
      </w:r>
      <w:r>
        <w:rPr>
          <w:rFonts w:hint="eastAsia" w:ascii="宋体" w:hAnsi="宋体" w:cs="宋体"/>
          <w:b/>
          <w:bCs/>
          <w:color w:val="auto"/>
          <w:kern w:val="0"/>
          <w:sz w:val="24"/>
          <w:highlight w:val="none"/>
          <w:u w:val="single"/>
        </w:rPr>
        <w:t xml:space="preserve">   </w:t>
      </w:r>
      <w:r>
        <w:rPr>
          <w:rFonts w:hint="eastAsia" w:ascii="宋体" w:hAnsi="宋体" w:cs="宋体"/>
          <w:b/>
          <w:bCs/>
          <w:color w:val="auto"/>
          <w:sz w:val="24"/>
          <w:highlight w:val="none"/>
          <w:u w:val="single"/>
        </w:rPr>
        <w:t>元）。</w:t>
      </w:r>
    </w:p>
    <w:p w14:paraId="737926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合同价</w:t>
      </w:r>
      <w:r>
        <w:rPr>
          <w:rFonts w:hint="eastAsia" w:ascii="宋体" w:hAnsi="宋体" w:cs="宋体"/>
          <w:color w:val="auto"/>
          <w:sz w:val="24"/>
          <w:highlight w:val="none"/>
          <w:u w:val="single"/>
        </w:rPr>
        <w:t>包含完成本项目甲方指定内容的整体包干价，即包含完成本项目工作任务所发生的一切费用及不可预见费等所需的全部费用，全部费用已包含在合同价中。全部费用包括（但不限于）：差旅费、咨询费、管理费、会议费、劳务费、印刷费、其他交通费用、办公费、其他不可预见费用及所有有关的管理成本等全部费用。</w:t>
      </w:r>
      <w:r>
        <w:rPr>
          <w:rFonts w:hint="eastAsia" w:ascii="宋体" w:hAnsi="宋体" w:cs="宋体"/>
          <w:color w:val="auto"/>
          <w:sz w:val="24"/>
          <w:highlight w:val="none"/>
        </w:rPr>
        <w:t>凡乙方在报价中未列明但又为本次采购所必备的项目或遗漏项目，甲方将一律视为已包括在合同价中，在合同执行中将不予考虑。</w:t>
      </w:r>
    </w:p>
    <w:p w14:paraId="156DFBC2">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三、服务内容</w:t>
      </w:r>
    </w:p>
    <w:p w14:paraId="152A80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编制形成《内河航道工程项目投融资模式创新研究》报告1份。</w:t>
      </w:r>
    </w:p>
    <w:p w14:paraId="6CE70133">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四、相关法规、管理条例与技术标准、行业规范</w:t>
      </w:r>
    </w:p>
    <w:p w14:paraId="32E2E4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1.符合国家相关法规及规范标准，有新标准按新标准执行；</w:t>
      </w:r>
    </w:p>
    <w:p w14:paraId="7E4C4D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2.其他相关标准。</w:t>
      </w:r>
    </w:p>
    <w:p w14:paraId="43B302AB">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五、知识产权</w:t>
      </w:r>
    </w:p>
    <w:p w14:paraId="1C7C1E55">
      <w:pPr>
        <w:spacing w:line="360" w:lineRule="auto"/>
        <w:ind w:firstLine="477" w:firstLineChars="199"/>
        <w:rPr>
          <w:rFonts w:ascii="宋体" w:hAnsi="宋体" w:cs="宋体"/>
          <w:b/>
          <w:bCs/>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1、乙方应保证所提供的服务或其任何一部分均不会侵犯任何第三方的知识产权。</w:t>
      </w:r>
    </w:p>
    <w:p w14:paraId="011908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2、与本项目相关的数据、研究、评估报告、政策建议等知识产权的所有权和使用权均为甲方和乙方共有。未经甲方书面同意，任何单位和个人不得转让和使用本项目成果。</w:t>
      </w:r>
    </w:p>
    <w:p w14:paraId="2681D6CE">
      <w:pPr>
        <w:spacing w:line="360" w:lineRule="auto"/>
        <w:rPr>
          <w:rFonts w:ascii="宋体" w:hAnsi="宋体" w:cs="宋体"/>
          <w:b/>
          <w:color w:val="auto"/>
          <w:sz w:val="24"/>
          <w:highlight w:val="none"/>
        </w:rPr>
      </w:pPr>
      <w:r>
        <w:rPr>
          <w:rFonts w:hint="eastAsia" w:ascii="宋体" w:hAnsi="宋体" w:cs="宋体"/>
          <w:b/>
          <w:color w:val="auto"/>
          <w:sz w:val="24"/>
          <w:highlight w:val="none"/>
          <w:shd w:val="clear" w:color="auto" w:fill="FFFFFF"/>
        </w:rPr>
        <w:t>六、</w:t>
      </w:r>
      <w:r>
        <w:rPr>
          <w:rFonts w:hint="eastAsia" w:ascii="宋体" w:hAnsi="宋体" w:cs="宋体"/>
          <w:b/>
          <w:color w:val="auto"/>
          <w:sz w:val="24"/>
          <w:highlight w:val="none"/>
        </w:rPr>
        <w:t>服务地点</w:t>
      </w:r>
      <w:r>
        <w:rPr>
          <w:rFonts w:hint="eastAsia" w:ascii="宋体" w:hAnsi="宋体" w:cs="宋体"/>
          <w:b/>
          <w:bCs/>
          <w:color w:val="auto"/>
          <w:kern w:val="0"/>
          <w:sz w:val="24"/>
          <w:highlight w:val="none"/>
        </w:rPr>
        <w:t>、工期及质量等要求</w:t>
      </w:r>
    </w:p>
    <w:p w14:paraId="671617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1、项目服务地点：</w:t>
      </w:r>
      <w:r>
        <w:rPr>
          <w:rFonts w:hint="eastAsia" w:ascii="宋体" w:hAnsi="宋体" w:cs="宋体"/>
          <w:color w:val="auto"/>
          <w:sz w:val="24"/>
          <w:highlight w:val="none"/>
          <w:u w:val="single"/>
        </w:rPr>
        <w:t>杭州。</w:t>
      </w:r>
    </w:p>
    <w:p w14:paraId="047B6D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2、项目服务期限：</w:t>
      </w:r>
      <w:r>
        <w:rPr>
          <w:rFonts w:hint="eastAsia" w:ascii="宋体" w:hAnsi="宋体" w:cs="宋体"/>
          <w:color w:val="auto"/>
          <w:sz w:val="24"/>
          <w:highlight w:val="none"/>
          <w:u w:val="single"/>
        </w:rPr>
        <w:t>合同签订之日起至2025年12月31日。</w:t>
      </w:r>
    </w:p>
    <w:p w14:paraId="518D196C">
      <w:pPr>
        <w:snapToGrid w:val="0"/>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sz w:val="24"/>
          <w:highlight w:val="none"/>
        </w:rPr>
        <w:t>3、项目服务进度：</w:t>
      </w:r>
      <w:r>
        <w:rPr>
          <w:rFonts w:hint="eastAsia" w:ascii="宋体" w:hAnsi="宋体" w:cs="宋体"/>
          <w:color w:val="auto"/>
          <w:kern w:val="0"/>
          <w:sz w:val="24"/>
          <w:highlight w:val="none"/>
          <w:u w:val="single"/>
        </w:rPr>
        <w:t>按项目的进度计划进行。</w:t>
      </w:r>
    </w:p>
    <w:p w14:paraId="4D544E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4、项目服务质量要求：</w:t>
      </w:r>
      <w:r>
        <w:rPr>
          <w:rFonts w:hint="eastAsia" w:ascii="宋体" w:hAnsi="宋体" w:cs="宋体"/>
          <w:color w:val="auto"/>
          <w:sz w:val="24"/>
          <w:highlight w:val="none"/>
          <w:u w:val="single"/>
        </w:rPr>
        <w:t>按照甲方的要求开展工作。</w:t>
      </w:r>
    </w:p>
    <w:p w14:paraId="5E3C1D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5、项目服务质量期限要求：</w:t>
      </w:r>
      <w:r>
        <w:rPr>
          <w:rFonts w:hint="eastAsia" w:ascii="宋体" w:hAnsi="宋体" w:cs="宋体"/>
          <w:color w:val="auto"/>
          <w:sz w:val="24"/>
          <w:highlight w:val="none"/>
          <w:u w:val="single"/>
        </w:rPr>
        <w:t>与项目服务期限同步。</w:t>
      </w:r>
    </w:p>
    <w:p w14:paraId="7C130AB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七、付款方式</w:t>
      </w:r>
    </w:p>
    <w:p w14:paraId="58840F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1、项目合同生效以及具备实施条件后7个工作日内支付合同金额的70%。</w:t>
      </w:r>
    </w:p>
    <w:p w14:paraId="1D4CFA7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2、项目终验合格后7个工作日内支付合同金额的30%。</w:t>
      </w:r>
    </w:p>
    <w:p w14:paraId="1C8BDA34">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八、验收要求</w:t>
      </w:r>
    </w:p>
    <w:p w14:paraId="73E741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1、项目服务工作成果的验收要求：</w:t>
      </w:r>
    </w:p>
    <w:p w14:paraId="7D6190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（1）验收资料齐全。</w:t>
      </w:r>
    </w:p>
    <w:p w14:paraId="693D32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（2）完成甲方要求完成的相关事项。</w:t>
      </w:r>
    </w:p>
    <w:p w14:paraId="389BB8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2、项目服务工作成果的验收方法：甲方成立验收小组，对项目研究成果进行评估、审核，出具验收报告。</w:t>
      </w:r>
    </w:p>
    <w:p w14:paraId="4837E7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3、验收的时间和地点：合同服务期限结束后，向甲方提交验收申请，甲方接到验收申请的15个工作日内，组织验收小组对项目进行验收。</w:t>
      </w:r>
    </w:p>
    <w:p w14:paraId="4FD53B0A">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九、税费</w:t>
      </w:r>
    </w:p>
    <w:p w14:paraId="179C9D07">
      <w:pPr>
        <w:snapToGrid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本合同执行中相关的一切税费均由乙方负担。</w:t>
      </w:r>
    </w:p>
    <w:p w14:paraId="4EA09416">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十、违约责任</w:t>
      </w:r>
    </w:p>
    <w:p w14:paraId="713503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1、违反本合同约定，造成本合同不能履行或不能完全履行，由违约方承担违约责任，违约方应按《中华人民共和国民法典》相关规定赔偿对方经济损失。</w:t>
      </w:r>
    </w:p>
    <w:p w14:paraId="7695339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2、甲方无故逾期验收和办理合同</w:t>
      </w:r>
      <w:r>
        <w:rPr>
          <w:rFonts w:hint="eastAsia" w:ascii="宋体" w:hAnsi="宋体" w:cs="宋体"/>
          <w:color w:val="auto"/>
          <w:sz w:val="24"/>
          <w:highlight w:val="none"/>
          <w:lang w:eastAsia="zh-Hans"/>
        </w:rPr>
        <w:t>价</w:t>
      </w:r>
      <w:r>
        <w:rPr>
          <w:rFonts w:hint="eastAsia" w:ascii="宋体" w:hAnsi="宋体" w:cs="宋体"/>
          <w:color w:val="auto"/>
          <w:sz w:val="24"/>
          <w:highlight w:val="none"/>
        </w:rPr>
        <w:t>款支付手续的,甲方应按逾期付款总额每日万分之五向乙方支付违约金。</w:t>
      </w:r>
    </w:p>
    <w:p w14:paraId="0637352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乙方未按甲方要求的时间提供服务的，乙方应按逾期每日总额千分之六向甲方支付违约金，由甲方从待付合同款中扣除。逾期超过约定日期10个工作日不能履行服务的，甲方可解除本合同，乙方应退还全部已收款项。乙方因逾期履行服务或因其他违约行为导致甲方解除合同，或乙方擅自解除合同的，乙方应向甲方支付合同总额5%的违约金，如造成甲方损失超过违约金的，超出部分由乙方继续承担赔偿责任，此外，乙方还应退还全部已收款项。</w:t>
      </w:r>
    </w:p>
    <w:p w14:paraId="034CFC4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4、乙方达不到项目要求，乙方应负责根据合同及甲方的要求采取相应的处理措施，并承担由此发生的一切损失和费用，整改延误的时间不作为整个项目工期延期的理由。</w:t>
      </w:r>
    </w:p>
    <w:p w14:paraId="2116DA80">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十一、不可抗力事件处理</w:t>
      </w:r>
    </w:p>
    <w:p w14:paraId="3E7D88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14:paraId="2AA7ED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2.不可抗力事件发生后，应立即通知对方，并寄送有关权威机构出具的证明。</w:t>
      </w:r>
    </w:p>
    <w:p w14:paraId="4E9CE777">
      <w:pPr>
        <w:snapToGrid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3.不可抗力事件延续60天以上，双方应通过友好协商，确定是否继续履行合同。</w:t>
      </w:r>
      <w:r>
        <w:rPr>
          <w:rFonts w:hint="eastAsia" w:ascii="宋体" w:hAnsi="宋体" w:cs="宋体"/>
          <w:b/>
          <w:bCs/>
          <w:color w:val="auto"/>
          <w:sz w:val="24"/>
          <w:highlight w:val="none"/>
        </w:rPr>
        <w:t>十二、安全责任</w:t>
      </w:r>
    </w:p>
    <w:p w14:paraId="6F6143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在采购及合同执行过程中，乙方应承担由于其行为所造成的人身伤害、财产损失或损坏的责任，无论何种原因所造成，甲方均不负责。</w:t>
      </w:r>
    </w:p>
    <w:p w14:paraId="50CE7CB6">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十三、争议的解决</w:t>
      </w:r>
    </w:p>
    <w:p w14:paraId="19641A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双方在执行合同中所发生的一切争议，应通过协商解决。如协商不成，可向甲方所在地法院起诉。</w:t>
      </w:r>
    </w:p>
    <w:p w14:paraId="3BD78F8B">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十四、合同生效及其它</w:t>
      </w:r>
    </w:p>
    <w:p w14:paraId="38F58279">
      <w:pPr>
        <w:snapToGrid w:val="0"/>
        <w:spacing w:before="120" w:after="12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1.合同经双方法定代表人或授权代表签字并加盖单位公章后生效。</w:t>
      </w:r>
    </w:p>
    <w:p w14:paraId="3E50B6A9">
      <w:pPr>
        <w:tabs>
          <w:tab w:val="left" w:pos="0"/>
          <w:tab w:val="left" w:pos="8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2.下述文件是构成合同不可分割的部分，应一并阅读和理解。</w:t>
      </w:r>
    </w:p>
    <w:p w14:paraId="7B4832D1">
      <w:pPr>
        <w:tabs>
          <w:tab w:val="left" w:pos="0"/>
          <w:tab w:val="left" w:pos="8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（1）本合同协议书；</w:t>
      </w:r>
    </w:p>
    <w:p w14:paraId="52569B72">
      <w:pPr>
        <w:tabs>
          <w:tab w:val="left" w:pos="0"/>
          <w:tab w:val="left" w:pos="8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（2）中标通知书；</w:t>
      </w:r>
    </w:p>
    <w:p w14:paraId="3F87BFB4">
      <w:pPr>
        <w:tabs>
          <w:tab w:val="left" w:pos="0"/>
          <w:tab w:val="left" w:pos="8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（3）招标文件及附件；</w:t>
      </w:r>
    </w:p>
    <w:p w14:paraId="0A37FB9D">
      <w:pPr>
        <w:tabs>
          <w:tab w:val="left" w:pos="0"/>
          <w:tab w:val="left" w:pos="8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（4）投标文件及附件。</w:t>
      </w:r>
    </w:p>
    <w:p w14:paraId="36B6A6F5">
      <w:pPr>
        <w:snapToGrid w:val="0"/>
        <w:spacing w:before="120" w:after="12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3.合同执行中涉及采购资金和采购内容修改或补充的，须经财政部门审批，并签书面补充协议报政府采购监督管理部门备案，方可作为主合同不可分割的一部分。</w:t>
      </w:r>
    </w:p>
    <w:p w14:paraId="332F7A7D">
      <w:pPr>
        <w:snapToGrid w:val="0"/>
        <w:spacing w:before="120" w:after="12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4.本合同未尽事宜，遵照《民法典》有关条文执行。</w:t>
      </w:r>
    </w:p>
    <w:p w14:paraId="35E0FD4D">
      <w:pPr>
        <w:snapToGrid w:val="0"/>
        <w:spacing w:before="120" w:after="12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5.本合同正本一式</w:t>
      </w:r>
      <w:r>
        <w:rPr>
          <w:rFonts w:hint="eastAsia" w:ascii="宋体" w:hAnsi="宋体" w:cs="宋体"/>
          <w:color w:val="auto"/>
          <w:sz w:val="24"/>
          <w:highlight w:val="none"/>
          <w:u w:val="single"/>
        </w:rPr>
        <w:t>陆</w:t>
      </w:r>
      <w:r>
        <w:rPr>
          <w:rFonts w:hint="eastAsia" w:ascii="宋体" w:hAnsi="宋体" w:cs="宋体"/>
          <w:color w:val="auto"/>
          <w:sz w:val="24"/>
          <w:highlight w:val="none"/>
        </w:rPr>
        <w:t xml:space="preserve">份，具有同等法律效力，甲方执 </w:t>
      </w:r>
      <w:r>
        <w:rPr>
          <w:rFonts w:hint="eastAsia" w:ascii="宋体" w:hAnsi="宋体" w:cs="宋体"/>
          <w:color w:val="auto"/>
          <w:sz w:val="24"/>
          <w:highlight w:val="none"/>
          <w:u w:val="single"/>
        </w:rPr>
        <w:t>叁</w:t>
      </w:r>
      <w:r>
        <w:rPr>
          <w:rFonts w:hint="eastAsia" w:ascii="宋体" w:hAnsi="宋体" w:cs="宋体"/>
          <w:color w:val="auto"/>
          <w:sz w:val="24"/>
          <w:highlight w:val="none"/>
        </w:rPr>
        <w:t xml:space="preserve">份，乙方执 </w:t>
      </w:r>
      <w:r>
        <w:rPr>
          <w:rFonts w:hint="eastAsia" w:ascii="宋体" w:hAnsi="宋体" w:cs="宋体"/>
          <w:color w:val="auto"/>
          <w:sz w:val="24"/>
          <w:highlight w:val="none"/>
          <w:u w:val="single"/>
        </w:rPr>
        <w:t>叁</w:t>
      </w:r>
      <w:r>
        <w:rPr>
          <w:rFonts w:hint="eastAsia" w:ascii="宋体" w:hAnsi="宋体" w:cs="宋体"/>
          <w:color w:val="auto"/>
          <w:sz w:val="24"/>
          <w:highlight w:val="none"/>
        </w:rPr>
        <w:t>份。</w:t>
      </w: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10E6B04E">
        <w:trPr>
          <w:trHeight w:val="490" w:hRule="atLeast"/>
        </w:trPr>
        <w:tc>
          <w:tcPr>
            <w:tcW w:w="4303" w:type="dxa"/>
            <w:gridSpan w:val="2"/>
            <w:tcBorders>
              <w:bottom w:val="single" w:color="auto" w:sz="2" w:space="0"/>
              <w:right w:val="single" w:color="auto" w:sz="2" w:space="0"/>
            </w:tcBorders>
            <w:vAlign w:val="center"/>
          </w:tcPr>
          <w:p w14:paraId="1285E67C">
            <w:pPr>
              <w:snapToGrid w:val="0"/>
              <w:spacing w:line="300" w:lineRule="exact"/>
              <w:rPr>
                <w:color w:val="auto"/>
                <w:highlight w:val="none"/>
              </w:rPr>
            </w:pPr>
            <w:r>
              <w:rPr>
                <w:color w:val="auto"/>
                <w:szCs w:val="21"/>
                <w:highlight w:val="none"/>
              </w:rPr>
              <w:t>甲方</w:t>
            </w:r>
            <w:r>
              <w:rPr>
                <w:rFonts w:hint="eastAsia"/>
                <w:color w:val="auto"/>
                <w:szCs w:val="21"/>
                <w:highlight w:val="none"/>
              </w:rPr>
              <w:t>：</w:t>
            </w:r>
          </w:p>
        </w:tc>
        <w:tc>
          <w:tcPr>
            <w:tcW w:w="4095" w:type="dxa"/>
            <w:gridSpan w:val="2"/>
            <w:tcBorders>
              <w:left w:val="single" w:color="auto" w:sz="2" w:space="0"/>
              <w:bottom w:val="single" w:color="auto" w:sz="2" w:space="0"/>
            </w:tcBorders>
            <w:vAlign w:val="center"/>
          </w:tcPr>
          <w:p w14:paraId="17A6F107">
            <w:pPr>
              <w:snapToGrid w:val="0"/>
              <w:spacing w:line="300" w:lineRule="exact"/>
              <w:rPr>
                <w:color w:val="auto"/>
                <w:highlight w:val="none"/>
              </w:rPr>
            </w:pPr>
            <w:r>
              <w:rPr>
                <w:color w:val="auto"/>
                <w:szCs w:val="21"/>
                <w:highlight w:val="none"/>
              </w:rPr>
              <w:t>乙方</w:t>
            </w:r>
            <w:r>
              <w:rPr>
                <w:rFonts w:hint="eastAsia"/>
                <w:color w:val="auto"/>
                <w:szCs w:val="21"/>
                <w:highlight w:val="none"/>
              </w:rPr>
              <w:t>：</w:t>
            </w:r>
          </w:p>
        </w:tc>
      </w:tr>
      <w:tr w14:paraId="5B2AA6FF">
        <w:trPr>
          <w:trHeight w:val="917" w:hRule="atLeast"/>
        </w:trPr>
        <w:tc>
          <w:tcPr>
            <w:tcW w:w="1891" w:type="dxa"/>
            <w:tcBorders>
              <w:top w:val="single" w:color="auto" w:sz="2" w:space="0"/>
              <w:bottom w:val="single" w:color="auto" w:sz="2" w:space="0"/>
              <w:right w:val="single" w:color="auto" w:sz="2" w:space="0"/>
            </w:tcBorders>
            <w:vAlign w:val="center"/>
          </w:tcPr>
          <w:p w14:paraId="3FB61B18">
            <w:pPr>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6CE03BA6">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AFE21EC">
            <w:pPr>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116" w:type="dxa"/>
            <w:tcBorders>
              <w:top w:val="single" w:color="auto" w:sz="2" w:space="0"/>
              <w:left w:val="single" w:color="auto" w:sz="2" w:space="0"/>
              <w:bottom w:val="single" w:color="auto" w:sz="2" w:space="0"/>
            </w:tcBorders>
            <w:vAlign w:val="center"/>
          </w:tcPr>
          <w:p w14:paraId="598B803B">
            <w:pPr>
              <w:snapToGrid w:val="0"/>
              <w:spacing w:line="300" w:lineRule="exact"/>
              <w:jc w:val="center"/>
              <w:rPr>
                <w:color w:val="auto"/>
                <w:spacing w:val="20"/>
                <w:szCs w:val="21"/>
                <w:highlight w:val="none"/>
              </w:rPr>
            </w:pPr>
          </w:p>
        </w:tc>
      </w:tr>
      <w:tr w14:paraId="264D6799">
        <w:trPr>
          <w:trHeight w:val="1171" w:hRule="atLeast"/>
        </w:trPr>
        <w:tc>
          <w:tcPr>
            <w:tcW w:w="1891" w:type="dxa"/>
            <w:tcBorders>
              <w:top w:val="single" w:color="auto" w:sz="2" w:space="0"/>
              <w:right w:val="single" w:color="auto" w:sz="2" w:space="0"/>
            </w:tcBorders>
            <w:vAlign w:val="center"/>
          </w:tcPr>
          <w:p w14:paraId="20E28EAE">
            <w:pPr>
              <w:snapToGrid w:val="0"/>
              <w:spacing w:line="300" w:lineRule="exact"/>
              <w:jc w:val="center"/>
              <w:rPr>
                <w:color w:val="auto"/>
                <w:szCs w:val="21"/>
                <w:highlight w:val="none"/>
              </w:rPr>
            </w:pPr>
            <w:r>
              <w:rPr>
                <w:color w:val="auto"/>
                <w:szCs w:val="21"/>
                <w:highlight w:val="none"/>
              </w:rPr>
              <w:t>法定代表人</w:t>
            </w:r>
          </w:p>
          <w:p w14:paraId="1AB22405">
            <w:pPr>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tcBorders>
              <w:top w:val="single" w:color="auto" w:sz="2" w:space="0"/>
              <w:left w:val="single" w:color="auto" w:sz="2" w:space="0"/>
              <w:right w:val="single" w:color="auto" w:sz="2" w:space="0"/>
            </w:tcBorders>
            <w:vAlign w:val="center"/>
          </w:tcPr>
          <w:p w14:paraId="1F18A59A">
            <w:pPr>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18E4C86F">
            <w:pPr>
              <w:snapToGrid w:val="0"/>
              <w:spacing w:line="300" w:lineRule="exact"/>
              <w:jc w:val="center"/>
              <w:rPr>
                <w:color w:val="auto"/>
                <w:szCs w:val="21"/>
                <w:highlight w:val="none"/>
              </w:rPr>
            </w:pPr>
            <w:r>
              <w:rPr>
                <w:color w:val="auto"/>
                <w:szCs w:val="21"/>
                <w:highlight w:val="none"/>
              </w:rPr>
              <w:t>法定代表人</w:t>
            </w:r>
          </w:p>
          <w:p w14:paraId="7D54EBE4">
            <w:pPr>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4DF26EBC">
            <w:pPr>
              <w:snapToGrid w:val="0"/>
              <w:spacing w:line="300" w:lineRule="exact"/>
              <w:jc w:val="center"/>
              <w:rPr>
                <w:color w:val="auto"/>
                <w:szCs w:val="21"/>
                <w:highlight w:val="none"/>
              </w:rPr>
            </w:pPr>
          </w:p>
        </w:tc>
      </w:tr>
      <w:tr w14:paraId="02EB05B4">
        <w:trPr>
          <w:trHeight w:val="483" w:hRule="atLeast"/>
        </w:trPr>
        <w:tc>
          <w:tcPr>
            <w:tcW w:w="1891" w:type="dxa"/>
            <w:tcBorders>
              <w:bottom w:val="single" w:color="auto" w:sz="2" w:space="0"/>
              <w:right w:val="single" w:color="auto" w:sz="2" w:space="0"/>
            </w:tcBorders>
            <w:vAlign w:val="center"/>
          </w:tcPr>
          <w:p w14:paraId="78709DEB">
            <w:pPr>
              <w:snapToGrid w:val="0"/>
              <w:spacing w:line="300" w:lineRule="exact"/>
              <w:jc w:val="center"/>
              <w:rPr>
                <w:color w:val="auto"/>
                <w:szCs w:val="21"/>
                <w:highlight w:val="none"/>
              </w:rPr>
            </w:pPr>
            <w:r>
              <w:rPr>
                <w:rFonts w:hint="eastAsia"/>
                <w:color w:val="auto"/>
                <w:szCs w:val="21"/>
                <w:highlight w:val="none"/>
              </w:rPr>
              <w:t>拥有者性别</w:t>
            </w:r>
          </w:p>
        </w:tc>
        <w:tc>
          <w:tcPr>
            <w:tcW w:w="2412" w:type="dxa"/>
            <w:tcBorders>
              <w:left w:val="single" w:color="auto" w:sz="2" w:space="0"/>
              <w:bottom w:val="single" w:color="auto" w:sz="2" w:space="0"/>
              <w:right w:val="single" w:color="auto" w:sz="2" w:space="0"/>
            </w:tcBorders>
            <w:vAlign w:val="center"/>
          </w:tcPr>
          <w:p w14:paraId="378CAE74">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BDAAB36">
            <w:pPr>
              <w:snapToGrid w:val="0"/>
              <w:spacing w:line="300" w:lineRule="exact"/>
              <w:jc w:val="center"/>
              <w:rPr>
                <w:color w:val="auto"/>
                <w:szCs w:val="21"/>
                <w:highlight w:val="none"/>
              </w:rPr>
            </w:pPr>
            <w:r>
              <w:rPr>
                <w:rFonts w:hint="eastAsia"/>
                <w:color w:val="auto"/>
                <w:szCs w:val="21"/>
                <w:highlight w:val="none"/>
              </w:rPr>
              <w:t>拥有者性别</w:t>
            </w:r>
          </w:p>
        </w:tc>
        <w:tc>
          <w:tcPr>
            <w:tcW w:w="2116" w:type="dxa"/>
            <w:tcBorders>
              <w:top w:val="single" w:color="auto" w:sz="2" w:space="0"/>
              <w:left w:val="single" w:color="auto" w:sz="2" w:space="0"/>
              <w:bottom w:val="single" w:color="auto" w:sz="2" w:space="0"/>
            </w:tcBorders>
            <w:vAlign w:val="center"/>
          </w:tcPr>
          <w:p w14:paraId="0C033A34">
            <w:pPr>
              <w:snapToGrid w:val="0"/>
              <w:spacing w:line="300" w:lineRule="exact"/>
              <w:jc w:val="center"/>
              <w:rPr>
                <w:color w:val="auto"/>
                <w:spacing w:val="20"/>
                <w:szCs w:val="21"/>
                <w:highlight w:val="none"/>
              </w:rPr>
            </w:pPr>
          </w:p>
        </w:tc>
      </w:tr>
      <w:tr w14:paraId="309DE40E">
        <w:trPr>
          <w:trHeight w:val="483" w:hRule="atLeast"/>
        </w:trPr>
        <w:tc>
          <w:tcPr>
            <w:tcW w:w="1891" w:type="dxa"/>
            <w:tcBorders>
              <w:top w:val="single" w:color="auto" w:sz="2" w:space="0"/>
              <w:bottom w:val="single" w:color="auto" w:sz="2" w:space="0"/>
              <w:right w:val="single" w:color="auto" w:sz="2" w:space="0"/>
            </w:tcBorders>
            <w:vAlign w:val="center"/>
          </w:tcPr>
          <w:p w14:paraId="3BECB4A9">
            <w:pPr>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7DC62E79">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2FFACF">
            <w:pPr>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0EC69717">
            <w:pPr>
              <w:snapToGrid w:val="0"/>
              <w:spacing w:line="300" w:lineRule="exact"/>
              <w:jc w:val="center"/>
              <w:rPr>
                <w:color w:val="auto"/>
                <w:spacing w:val="20"/>
                <w:szCs w:val="21"/>
                <w:highlight w:val="none"/>
              </w:rPr>
            </w:pPr>
          </w:p>
        </w:tc>
      </w:tr>
      <w:tr w14:paraId="7C8114FE">
        <w:trPr>
          <w:trHeight w:val="483" w:hRule="atLeast"/>
        </w:trPr>
        <w:tc>
          <w:tcPr>
            <w:tcW w:w="1891" w:type="dxa"/>
            <w:tcBorders>
              <w:top w:val="single" w:color="auto" w:sz="2" w:space="0"/>
              <w:bottom w:val="single" w:color="auto" w:sz="2" w:space="0"/>
              <w:right w:val="single" w:color="auto" w:sz="2" w:space="0"/>
            </w:tcBorders>
            <w:vAlign w:val="center"/>
          </w:tcPr>
          <w:p w14:paraId="3D40916F">
            <w:pPr>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466F51E4">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35506A3">
            <w:pPr>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40F1A50F">
            <w:pPr>
              <w:snapToGrid w:val="0"/>
              <w:spacing w:line="300" w:lineRule="exact"/>
              <w:jc w:val="center"/>
              <w:rPr>
                <w:color w:val="auto"/>
                <w:spacing w:val="20"/>
                <w:szCs w:val="21"/>
                <w:highlight w:val="none"/>
              </w:rPr>
            </w:pPr>
          </w:p>
        </w:tc>
      </w:tr>
      <w:tr w14:paraId="472F12D2">
        <w:trPr>
          <w:trHeight w:val="483" w:hRule="atLeast"/>
        </w:trPr>
        <w:tc>
          <w:tcPr>
            <w:tcW w:w="1891" w:type="dxa"/>
            <w:tcBorders>
              <w:top w:val="single" w:color="auto" w:sz="2" w:space="0"/>
              <w:bottom w:val="single" w:color="auto" w:sz="2" w:space="0"/>
              <w:right w:val="single" w:color="auto" w:sz="2" w:space="0"/>
            </w:tcBorders>
            <w:vAlign w:val="center"/>
          </w:tcPr>
          <w:p w14:paraId="7141A531">
            <w:pPr>
              <w:snapToGrid w:val="0"/>
              <w:spacing w:line="300" w:lineRule="exact"/>
              <w:jc w:val="center"/>
              <w:rPr>
                <w:color w:val="auto"/>
                <w:szCs w:val="21"/>
                <w:highlight w:val="none"/>
              </w:rPr>
            </w:pPr>
            <w:r>
              <w:rPr>
                <w:rFonts w:hint="eastAsia"/>
                <w:color w:val="auto"/>
                <w:szCs w:val="21"/>
                <w:highlight w:val="none"/>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2F9976EC">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F54CD6A">
            <w:pPr>
              <w:snapToGrid w:val="0"/>
              <w:spacing w:line="300" w:lineRule="exact"/>
              <w:jc w:val="center"/>
              <w:rPr>
                <w:color w:val="auto"/>
                <w:szCs w:val="21"/>
                <w:highlight w:val="none"/>
              </w:rPr>
            </w:pPr>
            <w:r>
              <w:rPr>
                <w:rFonts w:hint="eastAsia"/>
                <w:color w:val="auto"/>
                <w:szCs w:val="21"/>
                <w:highlight w:val="none"/>
              </w:rPr>
              <w:t>通信地址</w:t>
            </w:r>
          </w:p>
        </w:tc>
        <w:tc>
          <w:tcPr>
            <w:tcW w:w="2116" w:type="dxa"/>
            <w:tcBorders>
              <w:top w:val="single" w:color="auto" w:sz="2" w:space="0"/>
              <w:left w:val="single" w:color="auto" w:sz="2" w:space="0"/>
              <w:bottom w:val="single" w:color="auto" w:sz="2" w:space="0"/>
            </w:tcBorders>
            <w:vAlign w:val="center"/>
          </w:tcPr>
          <w:p w14:paraId="69ED4060">
            <w:pPr>
              <w:snapToGrid w:val="0"/>
              <w:spacing w:line="300" w:lineRule="exact"/>
              <w:jc w:val="center"/>
              <w:rPr>
                <w:color w:val="auto"/>
                <w:spacing w:val="20"/>
                <w:szCs w:val="21"/>
                <w:highlight w:val="none"/>
              </w:rPr>
            </w:pPr>
          </w:p>
        </w:tc>
      </w:tr>
      <w:tr w14:paraId="1A189828">
        <w:trPr>
          <w:trHeight w:val="483" w:hRule="atLeast"/>
        </w:trPr>
        <w:tc>
          <w:tcPr>
            <w:tcW w:w="1891" w:type="dxa"/>
            <w:tcBorders>
              <w:top w:val="single" w:color="auto" w:sz="2" w:space="0"/>
              <w:bottom w:val="single" w:color="auto" w:sz="2" w:space="0"/>
              <w:right w:val="single" w:color="auto" w:sz="2" w:space="0"/>
            </w:tcBorders>
            <w:vAlign w:val="center"/>
          </w:tcPr>
          <w:p w14:paraId="76D66794">
            <w:pPr>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CE72C66">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CEB138F">
            <w:pPr>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100E905E">
            <w:pPr>
              <w:snapToGrid w:val="0"/>
              <w:spacing w:line="300" w:lineRule="exact"/>
              <w:jc w:val="center"/>
              <w:rPr>
                <w:color w:val="auto"/>
                <w:spacing w:val="20"/>
                <w:szCs w:val="21"/>
                <w:highlight w:val="none"/>
              </w:rPr>
            </w:pPr>
          </w:p>
        </w:tc>
      </w:tr>
      <w:tr w14:paraId="3BD268F6">
        <w:trPr>
          <w:trHeight w:val="483" w:hRule="atLeast"/>
        </w:trPr>
        <w:tc>
          <w:tcPr>
            <w:tcW w:w="1891" w:type="dxa"/>
            <w:tcBorders>
              <w:top w:val="single" w:color="auto" w:sz="2" w:space="0"/>
              <w:bottom w:val="single" w:color="auto" w:sz="2" w:space="0"/>
              <w:right w:val="single" w:color="auto" w:sz="2" w:space="0"/>
            </w:tcBorders>
            <w:vAlign w:val="center"/>
          </w:tcPr>
          <w:p w14:paraId="2669435C">
            <w:pPr>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70310BE3">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596FBC6">
            <w:pPr>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2045E0C1">
            <w:pPr>
              <w:snapToGrid w:val="0"/>
              <w:spacing w:line="300" w:lineRule="exact"/>
              <w:jc w:val="center"/>
              <w:rPr>
                <w:color w:val="auto"/>
                <w:spacing w:val="20"/>
                <w:szCs w:val="21"/>
                <w:highlight w:val="none"/>
              </w:rPr>
            </w:pPr>
          </w:p>
        </w:tc>
      </w:tr>
      <w:tr w14:paraId="3196B9D3">
        <w:trPr>
          <w:trHeight w:val="483" w:hRule="atLeast"/>
        </w:trPr>
        <w:tc>
          <w:tcPr>
            <w:tcW w:w="1891" w:type="dxa"/>
            <w:tcBorders>
              <w:top w:val="single" w:color="auto" w:sz="2" w:space="0"/>
              <w:bottom w:val="single" w:color="auto" w:sz="2" w:space="0"/>
              <w:right w:val="single" w:color="auto" w:sz="2" w:space="0"/>
            </w:tcBorders>
            <w:vAlign w:val="center"/>
          </w:tcPr>
          <w:p w14:paraId="757AB6AE">
            <w:pPr>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355E3FEE">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EFF68EE">
            <w:pPr>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044C0551">
            <w:pPr>
              <w:snapToGrid w:val="0"/>
              <w:spacing w:line="300" w:lineRule="exact"/>
              <w:jc w:val="center"/>
              <w:rPr>
                <w:color w:val="auto"/>
                <w:spacing w:val="20"/>
                <w:szCs w:val="21"/>
                <w:highlight w:val="none"/>
              </w:rPr>
            </w:pPr>
          </w:p>
        </w:tc>
      </w:tr>
      <w:tr w14:paraId="27574C58">
        <w:trPr>
          <w:trHeight w:val="483" w:hRule="atLeast"/>
        </w:trPr>
        <w:tc>
          <w:tcPr>
            <w:tcW w:w="1891" w:type="dxa"/>
            <w:tcBorders>
              <w:top w:val="single" w:color="auto" w:sz="2" w:space="0"/>
              <w:bottom w:val="single" w:color="auto" w:sz="2" w:space="0"/>
              <w:right w:val="single" w:color="auto" w:sz="2" w:space="0"/>
            </w:tcBorders>
            <w:vAlign w:val="center"/>
          </w:tcPr>
          <w:p w14:paraId="41095DBC">
            <w:pPr>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587C7489">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D0DC8A5">
            <w:pPr>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77D834F8">
            <w:pPr>
              <w:snapToGrid w:val="0"/>
              <w:spacing w:line="300" w:lineRule="exact"/>
              <w:jc w:val="center"/>
              <w:rPr>
                <w:color w:val="auto"/>
                <w:spacing w:val="20"/>
                <w:szCs w:val="21"/>
                <w:highlight w:val="none"/>
              </w:rPr>
            </w:pPr>
          </w:p>
        </w:tc>
      </w:tr>
      <w:tr w14:paraId="54925817">
        <w:trPr>
          <w:trHeight w:val="483" w:hRule="atLeast"/>
        </w:trPr>
        <w:tc>
          <w:tcPr>
            <w:tcW w:w="1891" w:type="dxa"/>
            <w:tcBorders>
              <w:top w:val="single" w:color="auto" w:sz="2" w:space="0"/>
              <w:bottom w:val="single" w:color="auto" w:sz="2" w:space="0"/>
              <w:right w:val="single" w:color="auto" w:sz="2" w:space="0"/>
            </w:tcBorders>
            <w:vAlign w:val="center"/>
          </w:tcPr>
          <w:p w14:paraId="538D274A">
            <w:pPr>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778DE95E">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609B1D0">
            <w:pPr>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B08B802">
            <w:pPr>
              <w:snapToGrid w:val="0"/>
              <w:spacing w:line="300" w:lineRule="exact"/>
              <w:jc w:val="center"/>
              <w:rPr>
                <w:color w:val="auto"/>
                <w:spacing w:val="20"/>
                <w:szCs w:val="21"/>
                <w:highlight w:val="none"/>
              </w:rPr>
            </w:pPr>
          </w:p>
        </w:tc>
      </w:tr>
      <w:tr w14:paraId="1A0D5A8F">
        <w:trPr>
          <w:trHeight w:val="483" w:hRule="atLeast"/>
        </w:trPr>
        <w:tc>
          <w:tcPr>
            <w:tcW w:w="1891" w:type="dxa"/>
            <w:tcBorders>
              <w:top w:val="single" w:color="auto" w:sz="2" w:space="0"/>
              <w:bottom w:val="single" w:color="auto" w:sz="2" w:space="0"/>
              <w:right w:val="single" w:color="auto" w:sz="2" w:space="0"/>
            </w:tcBorders>
            <w:vAlign w:val="center"/>
          </w:tcPr>
          <w:p w14:paraId="4AC91334">
            <w:pPr>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4D3A5C81">
            <w:pPr>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77E3A3B">
            <w:pPr>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61BCC44F">
            <w:pPr>
              <w:snapToGrid w:val="0"/>
              <w:spacing w:line="300" w:lineRule="exact"/>
              <w:jc w:val="center"/>
              <w:rPr>
                <w:color w:val="auto"/>
                <w:spacing w:val="20"/>
                <w:szCs w:val="21"/>
                <w:highlight w:val="none"/>
              </w:rPr>
            </w:pPr>
          </w:p>
        </w:tc>
      </w:tr>
      <w:tr w14:paraId="7BC59057">
        <w:trPr>
          <w:trHeight w:val="586" w:hRule="atLeast"/>
        </w:trPr>
        <w:tc>
          <w:tcPr>
            <w:tcW w:w="8398" w:type="dxa"/>
            <w:gridSpan w:val="4"/>
            <w:tcBorders>
              <w:top w:val="single" w:color="auto" w:sz="2" w:space="0"/>
            </w:tcBorders>
            <w:vAlign w:val="center"/>
          </w:tcPr>
          <w:p w14:paraId="7BFCCCF2">
            <w:pPr>
              <w:pStyle w:val="25"/>
              <w:snapToGrid w:val="0"/>
              <w:spacing w:before="120" w:beforeLines="50" w:line="360" w:lineRule="auto"/>
              <w:jc w:val="left"/>
              <w:rPr>
                <w:color w:val="auto"/>
                <w:spacing w:val="20"/>
                <w:szCs w:val="21"/>
                <w:highlight w:val="none"/>
              </w:rPr>
            </w:pPr>
            <w:r>
              <w:rPr>
                <w:rFonts w:hint="eastAsia"/>
                <w:color w:val="auto"/>
                <w:szCs w:val="21"/>
                <w:highlight w:val="none"/>
              </w:rPr>
              <w:t>注：涉及联合体或其他合同主体的信息应按上表格式加列。</w:t>
            </w:r>
          </w:p>
        </w:tc>
      </w:tr>
    </w:tbl>
    <w:p w14:paraId="4FD46DDB">
      <w:pPr>
        <w:rPr>
          <w:rFonts w:ascii="宋体" w:hAnsi="宋体"/>
          <w:color w:val="auto"/>
          <w:szCs w:val="21"/>
          <w:highlight w:val="none"/>
          <w:u w:val="single"/>
        </w:rPr>
      </w:pPr>
      <w:r>
        <w:rPr>
          <w:rFonts w:ascii="宋体" w:hAnsi="宋体"/>
          <w:color w:val="auto"/>
          <w:szCs w:val="21"/>
          <w:highlight w:val="none"/>
          <w:u w:val="single"/>
        </w:rPr>
        <w:br w:type="page"/>
      </w:r>
    </w:p>
    <w:p w14:paraId="68AF3789">
      <w:pPr>
        <w:pStyle w:val="23"/>
        <w:rPr>
          <w:color w:val="auto"/>
          <w:highlight w:val="none"/>
        </w:rPr>
      </w:pPr>
    </w:p>
    <w:p w14:paraId="05A42221">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 xml:space="preserve">第六部分 </w:t>
      </w:r>
      <w:bookmarkEnd w:id="404"/>
      <w:r>
        <w:rPr>
          <w:rFonts w:hint="eastAsia" w:ascii="宋体" w:hAnsi="宋体" w:cs="宋体"/>
          <w:b/>
          <w:color w:val="auto"/>
          <w:sz w:val="36"/>
          <w:szCs w:val="20"/>
          <w:highlight w:val="none"/>
        </w:rPr>
        <w:t>应提交的有关格式范例</w:t>
      </w:r>
    </w:p>
    <w:p w14:paraId="1E587375">
      <w:pPr>
        <w:spacing w:line="360" w:lineRule="auto"/>
        <w:jc w:val="center"/>
        <w:outlineLvl w:val="0"/>
        <w:rPr>
          <w:rFonts w:ascii="宋体" w:hAnsi="宋体" w:cs="宋体"/>
          <w:b/>
          <w:color w:val="auto"/>
          <w:kern w:val="0"/>
          <w:sz w:val="36"/>
          <w:szCs w:val="36"/>
          <w:highlight w:val="none"/>
        </w:rPr>
      </w:pPr>
    </w:p>
    <w:p w14:paraId="5427110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01A6E2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98CFA34">
      <w:pPr>
        <w:spacing w:line="360" w:lineRule="auto"/>
        <w:jc w:val="center"/>
        <w:outlineLvl w:val="0"/>
        <w:rPr>
          <w:rFonts w:ascii="宋体" w:hAnsi="宋体" w:cs="宋体"/>
          <w:b/>
          <w:color w:val="auto"/>
          <w:kern w:val="0"/>
          <w:sz w:val="36"/>
          <w:szCs w:val="36"/>
          <w:highlight w:val="none"/>
        </w:rPr>
      </w:pPr>
    </w:p>
    <w:p w14:paraId="5FEC7F3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329E436">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1CE36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ECB82C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2048A3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14:paraId="3FB9B84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浙江省交通运输厅、浙江华耀建设咨询有限公司：</w:t>
      </w:r>
    </w:p>
    <w:p w14:paraId="16285A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我方参与内河航道工程项目投融资模式创新研究【招标编号：ZJHY-SJTYST-202514】政府采购活动，郑重承诺：</w:t>
      </w:r>
    </w:p>
    <w:p w14:paraId="0FF8E0A7">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BE1BDC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673A3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F6E12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B8618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56B0D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F01B7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D3214E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681983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84EA8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A073A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D89B07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5386E4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9508BE8">
      <w:pPr>
        <w:snapToGrid w:val="0"/>
        <w:spacing w:line="360" w:lineRule="auto"/>
        <w:ind w:right="480"/>
        <w:jc w:val="center"/>
        <w:rPr>
          <w:rFonts w:ascii="宋体" w:hAnsi="宋体" w:cs="宋体"/>
          <w:b/>
          <w:color w:val="auto"/>
          <w:kern w:val="0"/>
          <w:sz w:val="32"/>
          <w:szCs w:val="32"/>
          <w:highlight w:val="none"/>
        </w:rPr>
      </w:pPr>
    </w:p>
    <w:p w14:paraId="273FF5C3">
      <w:pPr>
        <w:snapToGrid w:val="0"/>
        <w:spacing w:line="360" w:lineRule="auto"/>
        <w:ind w:right="480"/>
        <w:jc w:val="center"/>
        <w:rPr>
          <w:rFonts w:ascii="宋体" w:hAnsi="宋体" w:cs="宋体"/>
          <w:b/>
          <w:color w:val="auto"/>
          <w:kern w:val="0"/>
          <w:sz w:val="32"/>
          <w:szCs w:val="32"/>
          <w:highlight w:val="none"/>
        </w:rPr>
      </w:pPr>
    </w:p>
    <w:p w14:paraId="50A2EACF">
      <w:pPr>
        <w:snapToGrid w:val="0"/>
        <w:spacing w:line="360" w:lineRule="auto"/>
        <w:ind w:right="480"/>
        <w:jc w:val="center"/>
        <w:rPr>
          <w:rFonts w:ascii="宋体" w:hAnsi="宋体" w:cs="宋体"/>
          <w:b/>
          <w:color w:val="auto"/>
          <w:kern w:val="0"/>
          <w:sz w:val="32"/>
          <w:szCs w:val="32"/>
          <w:highlight w:val="none"/>
        </w:rPr>
      </w:pPr>
    </w:p>
    <w:p w14:paraId="7CD6A619">
      <w:pPr>
        <w:rPr>
          <w:rFonts w:ascii="宋体" w:hAnsi="宋体" w:cs="宋体"/>
          <w:color w:val="auto"/>
          <w:highlight w:val="none"/>
        </w:rPr>
      </w:pPr>
    </w:p>
    <w:p w14:paraId="6CD21428">
      <w:pPr>
        <w:snapToGrid w:val="0"/>
        <w:spacing w:line="360" w:lineRule="auto"/>
        <w:ind w:right="480"/>
        <w:jc w:val="center"/>
        <w:rPr>
          <w:rFonts w:ascii="宋体" w:hAnsi="宋体" w:cs="宋体"/>
          <w:b/>
          <w:color w:val="auto"/>
          <w:kern w:val="0"/>
          <w:sz w:val="32"/>
          <w:szCs w:val="32"/>
          <w:highlight w:val="none"/>
        </w:rPr>
      </w:pPr>
    </w:p>
    <w:p w14:paraId="6158BAAE">
      <w:pPr>
        <w:snapToGrid w:val="0"/>
        <w:spacing w:line="360" w:lineRule="auto"/>
        <w:ind w:right="480"/>
        <w:jc w:val="center"/>
        <w:rPr>
          <w:rFonts w:ascii="宋体" w:hAnsi="宋体" w:cs="宋体"/>
          <w:b/>
          <w:color w:val="auto"/>
          <w:kern w:val="0"/>
          <w:sz w:val="32"/>
          <w:szCs w:val="32"/>
          <w:highlight w:val="none"/>
        </w:rPr>
      </w:pPr>
    </w:p>
    <w:p w14:paraId="5950C3CA">
      <w:pPr>
        <w:snapToGrid w:val="0"/>
        <w:spacing w:line="360" w:lineRule="auto"/>
        <w:ind w:right="480"/>
        <w:jc w:val="center"/>
        <w:rPr>
          <w:rFonts w:ascii="宋体" w:hAnsi="宋体" w:cs="宋体"/>
          <w:b/>
          <w:color w:val="auto"/>
          <w:kern w:val="0"/>
          <w:sz w:val="32"/>
          <w:szCs w:val="32"/>
          <w:highlight w:val="none"/>
        </w:rPr>
      </w:pPr>
    </w:p>
    <w:p w14:paraId="08F48E1F">
      <w:pPr>
        <w:widowControl/>
        <w:spacing w:line="360" w:lineRule="auto"/>
        <w:ind w:firstLine="643" w:firstLineChars="200"/>
        <w:jc w:val="center"/>
        <w:rPr>
          <w:rFonts w:ascii="宋体" w:hAnsi="宋体" w:cs="宋体"/>
          <w:b/>
          <w:color w:val="auto"/>
          <w:kern w:val="0"/>
          <w:sz w:val="32"/>
          <w:szCs w:val="32"/>
          <w:highlight w:val="none"/>
        </w:rPr>
      </w:pPr>
    </w:p>
    <w:p w14:paraId="465D8BB3">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69F5AE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63342A13">
      <w:pPr>
        <w:snapToGrid w:val="0"/>
        <w:spacing w:line="360" w:lineRule="auto"/>
        <w:ind w:right="480"/>
        <w:jc w:val="center"/>
        <w:rPr>
          <w:rFonts w:ascii="宋体" w:hAnsi="宋体" w:cs="宋体"/>
          <w:b/>
          <w:color w:val="auto"/>
          <w:kern w:val="0"/>
          <w:sz w:val="32"/>
          <w:szCs w:val="32"/>
          <w:highlight w:val="none"/>
        </w:rPr>
      </w:pPr>
    </w:p>
    <w:p w14:paraId="52C74B5E">
      <w:pPr>
        <w:snapToGrid w:val="0"/>
        <w:spacing w:line="360" w:lineRule="auto"/>
        <w:ind w:right="480"/>
        <w:jc w:val="center"/>
        <w:rPr>
          <w:rFonts w:ascii="宋体" w:hAnsi="宋体" w:cs="宋体"/>
          <w:b/>
          <w:color w:val="auto"/>
          <w:kern w:val="0"/>
          <w:sz w:val="32"/>
          <w:szCs w:val="32"/>
          <w:highlight w:val="none"/>
        </w:rPr>
      </w:pPr>
    </w:p>
    <w:p w14:paraId="2470C94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4F03069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DDE4FCD">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.专门面向中小企业，服务全部由符合政策要求的中小企业（或小微企业）承接的，提供相应的中小企业声明函（附件7）（或残疾人福利性企业声明函或监狱企业证明文件）。 </w:t>
      </w:r>
    </w:p>
    <w:p w14:paraId="6D1DB0CE">
      <w:pPr>
        <w:widowControl/>
        <w:spacing w:line="360" w:lineRule="auto"/>
        <w:ind w:firstLine="480"/>
        <w:jc w:val="left"/>
        <w:rPr>
          <w:rFonts w:ascii="宋体" w:hAnsi="宋体" w:cs="宋体"/>
          <w:color w:val="auto"/>
          <w:sz w:val="24"/>
          <w:highlight w:val="none"/>
        </w:rPr>
      </w:pPr>
    </w:p>
    <w:p w14:paraId="787CCC5E">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52D844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2B84EB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00FC55D">
      <w:pPr>
        <w:widowControl/>
        <w:spacing w:line="360" w:lineRule="auto"/>
        <w:ind w:left="150"/>
        <w:jc w:val="center"/>
        <w:rPr>
          <w:rFonts w:ascii="宋体" w:hAnsi="宋体" w:cs="宋体"/>
          <w:b/>
          <w:color w:val="auto"/>
          <w:kern w:val="0"/>
          <w:sz w:val="32"/>
          <w:szCs w:val="32"/>
          <w:highlight w:val="none"/>
        </w:rPr>
      </w:pPr>
    </w:p>
    <w:p w14:paraId="63AE8198">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5BA5B6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7C6BB450">
      <w:pPr>
        <w:rPr>
          <w:rFonts w:ascii="宋体" w:hAnsi="宋体" w:cs="宋体"/>
          <w:color w:val="auto"/>
          <w:highlight w:val="none"/>
        </w:rPr>
      </w:pPr>
    </w:p>
    <w:p w14:paraId="0CC070F7">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B516740">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AAE6CC9">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7DD062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12A95A4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0FDD821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531278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D2F6AC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7A74090">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96600BB">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1B1CB4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浙江省交通运输厅、浙江华耀建设咨询有限公司：</w:t>
      </w:r>
    </w:p>
    <w:p w14:paraId="15CE0AE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我方参加你方组织的内河航道工程项目投融资模式创新研究【招标编号：ZJHY-SJTYST-202514】招标的有关活动，并对此项目进行投标。为此：</w:t>
      </w:r>
    </w:p>
    <w:p w14:paraId="710D68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0E527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CAA390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CBC09F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EEECFD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920ABD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C268A5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420454A">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D88256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576C63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5AC6D1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F8B461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F19806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30A52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810AC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D180764">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91AF98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6B8C9A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945CA8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（如果有）；</w:t>
      </w:r>
    </w:p>
    <w:p w14:paraId="3D9F0240">
      <w:pPr>
        <w:snapToGrid w:val="0"/>
        <w:spacing w:line="360" w:lineRule="auto"/>
        <w:ind w:left="420" w:leftChars="200" w:firstLine="480" w:firstLineChars="200"/>
        <w:rPr>
          <w:rFonts w:hAnsi="仿宋_GB2312" w:cs="仿宋_GB2312"/>
          <w:bCs/>
          <w:snapToGrid w:val="0"/>
          <w:color w:val="auto"/>
          <w:sz w:val="24"/>
          <w:highlight w:val="none"/>
        </w:rPr>
      </w:pPr>
      <w:r>
        <w:rPr>
          <w:rFonts w:hint="eastAsia" w:ascii="宋体" w:hAnsi="宋体" w:cs="宋体"/>
          <w:color w:val="auto"/>
          <w:sz w:val="24"/>
          <w:highlight w:val="none"/>
        </w:rPr>
        <w:t>2.3.3</w:t>
      </w:r>
      <w:r>
        <w:rPr>
          <w:rFonts w:hint="eastAsia" w:hAnsi="仿宋_GB2312" w:cs="仿宋_GB2312"/>
          <w:bCs/>
          <w:snapToGrid w:val="0"/>
          <w:color w:val="auto"/>
          <w:sz w:val="24"/>
          <w:highlight w:val="none"/>
        </w:rPr>
        <w:t>中小企业声明函或属于监狱企业证明文件或残疾人福利性单位声明函（如果有)。</w:t>
      </w:r>
    </w:p>
    <w:p w14:paraId="1781B9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10B70D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9B644E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EFC30B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FEE4C2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1EED30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62CA551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205887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A347F08">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9DE7D4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00D5CE8">
      <w:pPr>
        <w:snapToGrid w:val="0"/>
        <w:spacing w:line="360" w:lineRule="auto"/>
        <w:ind w:left="420" w:leftChars="200" w:firstLine="4200" w:firstLineChars="1750"/>
        <w:rPr>
          <w:rFonts w:ascii="宋体" w:hAnsi="宋体" w:cs="宋体"/>
          <w:color w:val="auto"/>
          <w:kern w:val="0"/>
          <w:sz w:val="24"/>
          <w:highlight w:val="none"/>
          <w:u w:val="single"/>
        </w:rPr>
      </w:pPr>
    </w:p>
    <w:p w14:paraId="77A5CB0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6ED01C3">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9BB410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D21378E">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4AB59DF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浙江省交通运输厅、浙江华耀建设咨询有限公司</w:t>
      </w:r>
      <w:r>
        <w:rPr>
          <w:rFonts w:hint="eastAsia" w:ascii="宋体" w:hAnsi="宋体" w:cs="宋体"/>
          <w:color w:val="auto"/>
          <w:kern w:val="0"/>
          <w:sz w:val="24"/>
          <w:highlight w:val="none"/>
          <w:lang w:val="zh-CN"/>
        </w:rPr>
        <w:t>：</w:t>
      </w:r>
    </w:p>
    <w:p w14:paraId="2C696A6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内河航道工程项目投融资模式创新研究【招标编号：ZJHY-SJTYST-202514】</w:t>
      </w:r>
      <w:r>
        <w:rPr>
          <w:rFonts w:hint="eastAsia" w:ascii="宋体" w:hAnsi="宋体" w:cs="宋体"/>
          <w:color w:val="auto"/>
          <w:kern w:val="0"/>
          <w:sz w:val="24"/>
          <w:highlight w:val="none"/>
          <w:lang w:val="zh-CN"/>
        </w:rPr>
        <w:t>政府采购投标的一切事项，其法律后果由我方承担。</w:t>
      </w:r>
    </w:p>
    <w:p w14:paraId="58875FA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日止。</w:t>
      </w:r>
    </w:p>
    <w:p w14:paraId="5264508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B4B008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2EF6D9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3AB1D55">
      <w:pPr>
        <w:snapToGrid w:val="0"/>
        <w:spacing w:line="360" w:lineRule="auto"/>
        <w:rPr>
          <w:rFonts w:ascii="宋体" w:hAnsi="宋体" w:cs="宋体"/>
          <w:color w:val="auto"/>
          <w:sz w:val="24"/>
          <w:highlight w:val="none"/>
        </w:rPr>
      </w:pPr>
    </w:p>
    <w:p w14:paraId="6B0939AD">
      <w:pPr>
        <w:snapToGrid w:val="0"/>
        <w:spacing w:line="360" w:lineRule="auto"/>
        <w:rPr>
          <w:rFonts w:ascii="宋体" w:hAnsi="宋体" w:cs="宋体"/>
          <w:color w:val="auto"/>
          <w:sz w:val="24"/>
          <w:highlight w:val="none"/>
        </w:rPr>
      </w:pPr>
    </w:p>
    <w:p w14:paraId="64BD7D0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FBA33A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浙江省交通运输厅、浙江华耀建设咨询有限公司</w:t>
      </w:r>
      <w:r>
        <w:rPr>
          <w:rFonts w:hint="eastAsia" w:ascii="宋体" w:hAnsi="宋体" w:cs="宋体"/>
          <w:color w:val="auto"/>
          <w:kern w:val="0"/>
          <w:sz w:val="24"/>
          <w:highlight w:val="none"/>
          <w:lang w:val="zh-CN"/>
        </w:rPr>
        <w:t>：</w:t>
      </w:r>
    </w:p>
    <w:p w14:paraId="141F8E60">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内河航道工程项目投融资模式创新研究【招标编号：ZJHY-SJTYST-202514】</w:t>
      </w:r>
      <w:r>
        <w:rPr>
          <w:rFonts w:hint="eastAsia" w:ascii="宋体" w:hAnsi="宋体" w:cs="宋体"/>
          <w:color w:val="auto"/>
          <w:kern w:val="0"/>
          <w:sz w:val="24"/>
          <w:highlight w:val="none"/>
          <w:lang w:val="zh-CN"/>
        </w:rPr>
        <w:t>政府采购投标的一切事项，其法律后果由我方承担。</w:t>
      </w:r>
    </w:p>
    <w:p w14:paraId="37BBBCF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日止。</w:t>
      </w:r>
    </w:p>
    <w:p w14:paraId="7759C6A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8521748">
      <w:pPr>
        <w:jc w:val="center"/>
        <w:rPr>
          <w:rFonts w:ascii="宋体" w:hAnsi="宋体" w:cs="宋体"/>
          <w:b/>
          <w:color w:val="auto"/>
          <w:kern w:val="0"/>
          <w:sz w:val="32"/>
          <w:szCs w:val="32"/>
          <w:highlight w:val="none"/>
        </w:rPr>
      </w:pPr>
    </w:p>
    <w:p w14:paraId="60F9B647">
      <w:pPr>
        <w:jc w:val="center"/>
        <w:rPr>
          <w:rFonts w:ascii="宋体" w:hAnsi="宋体" w:cs="宋体"/>
          <w:b/>
          <w:color w:val="auto"/>
          <w:kern w:val="0"/>
          <w:sz w:val="32"/>
          <w:szCs w:val="32"/>
          <w:highlight w:val="none"/>
        </w:rPr>
      </w:pPr>
    </w:p>
    <w:p w14:paraId="22328294">
      <w:pPr>
        <w:jc w:val="center"/>
        <w:rPr>
          <w:rFonts w:ascii="宋体" w:hAnsi="宋体" w:cs="宋体"/>
          <w:b/>
          <w:color w:val="auto"/>
          <w:kern w:val="0"/>
          <w:sz w:val="32"/>
          <w:szCs w:val="32"/>
          <w:highlight w:val="none"/>
        </w:rPr>
      </w:pPr>
    </w:p>
    <w:p w14:paraId="443040D3">
      <w:pPr>
        <w:rPr>
          <w:rFonts w:ascii="宋体" w:hAnsi="宋体" w:cs="宋体"/>
          <w:color w:val="auto"/>
          <w:highlight w:val="none"/>
        </w:rPr>
      </w:pPr>
    </w:p>
    <w:p w14:paraId="601DCDF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721D6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7963CB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FEE199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3E6719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8A2E608">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50E3FE5">
        <w:trPr>
          <w:trHeight w:val="4812" w:hRule="atLeast"/>
          <w:jc w:val="center"/>
        </w:trPr>
        <w:tc>
          <w:tcPr>
            <w:tcW w:w="9207" w:type="dxa"/>
          </w:tcPr>
          <w:p w14:paraId="35A81B45">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DE5C0A1">
            <w:pPr>
              <w:pStyle w:val="151"/>
              <w:adjustRightInd w:val="0"/>
              <w:spacing w:line="360" w:lineRule="auto"/>
              <w:rPr>
                <w:rFonts w:hAnsi="宋体" w:cs="宋体"/>
                <w:bCs/>
                <w:color w:val="auto"/>
                <w:sz w:val="24"/>
                <w:highlight w:val="none"/>
              </w:rPr>
            </w:pPr>
          </w:p>
        </w:tc>
      </w:tr>
    </w:tbl>
    <w:p w14:paraId="0E5C56F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AD10BC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2C1327D0">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60D6B44">
      <w:pPr>
        <w:snapToGrid w:val="0"/>
        <w:spacing w:line="360" w:lineRule="auto"/>
        <w:jc w:val="center"/>
        <w:rPr>
          <w:rFonts w:hint="eastAsia" w:ascii="宋体" w:hAnsi="宋体" w:cs="宋体"/>
          <w:b/>
          <w:color w:val="auto"/>
          <w:kern w:val="0"/>
          <w:sz w:val="32"/>
          <w:szCs w:val="32"/>
          <w:highlight w:val="none"/>
        </w:rPr>
      </w:pPr>
    </w:p>
    <w:p w14:paraId="08901028">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5F4A04DD">
      <w:pPr>
        <w:widowControl/>
        <w:spacing w:line="360" w:lineRule="auto"/>
        <w:ind w:firstLine="120" w:firstLineChars="50"/>
        <w:jc w:val="left"/>
        <w:rPr>
          <w:rFonts w:ascii="宋体" w:hAnsi="宋体" w:cs="宋体"/>
          <w:color w:val="auto"/>
          <w:sz w:val="24"/>
          <w:highlight w:val="none"/>
        </w:rPr>
      </w:pPr>
      <w:bookmarkStart w:id="40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5"/>
    <w:p w14:paraId="4F2088E3">
      <w:pPr>
        <w:jc w:val="center"/>
        <w:rPr>
          <w:rFonts w:ascii="宋体" w:hAnsi="宋体" w:cs="宋体"/>
          <w:b/>
          <w:color w:val="auto"/>
          <w:kern w:val="0"/>
          <w:sz w:val="32"/>
          <w:szCs w:val="32"/>
          <w:highlight w:val="none"/>
        </w:rPr>
      </w:pPr>
    </w:p>
    <w:p w14:paraId="65DB381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577CFC8">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2EA087A">
        <w:trPr>
          <w:trHeight w:val="882" w:hRule="atLeast"/>
        </w:trPr>
        <w:tc>
          <w:tcPr>
            <w:tcW w:w="646" w:type="dxa"/>
            <w:vAlign w:val="center"/>
          </w:tcPr>
          <w:p w14:paraId="6971A55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A10DE1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EF23CC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5D4399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67259B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F04859A">
        <w:trPr>
          <w:trHeight w:val="860" w:hRule="atLeast"/>
        </w:trPr>
        <w:tc>
          <w:tcPr>
            <w:tcW w:w="646" w:type="dxa"/>
            <w:vAlign w:val="center"/>
          </w:tcPr>
          <w:p w14:paraId="6F6E09A7">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B5572F3">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534649CA">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CCD38B7">
            <w:pPr>
              <w:rPr>
                <w:rFonts w:ascii="宋体" w:hAnsi="宋体" w:cs="宋体"/>
                <w:color w:val="auto"/>
                <w:sz w:val="24"/>
                <w:highlight w:val="none"/>
              </w:rPr>
            </w:pPr>
          </w:p>
          <w:p w14:paraId="46D77FAC">
            <w:pPr>
              <w:rPr>
                <w:rFonts w:ascii="宋体" w:hAnsi="宋体" w:cs="宋体"/>
                <w:color w:val="auto"/>
                <w:sz w:val="24"/>
                <w:highlight w:val="none"/>
              </w:rPr>
            </w:pPr>
            <w:r>
              <w:rPr>
                <w:rFonts w:hint="eastAsia" w:ascii="宋体" w:hAnsi="宋体" w:cs="宋体"/>
                <w:color w:val="auto"/>
                <w:sz w:val="24"/>
                <w:highlight w:val="none"/>
              </w:rPr>
              <w:t>见投标文件</w:t>
            </w:r>
          </w:p>
          <w:p w14:paraId="01EA5469">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C1BEB70">
        <w:trPr>
          <w:trHeight w:val="860" w:hRule="atLeast"/>
        </w:trPr>
        <w:tc>
          <w:tcPr>
            <w:tcW w:w="646" w:type="dxa"/>
            <w:vAlign w:val="center"/>
          </w:tcPr>
          <w:p w14:paraId="699A0B7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B8BE4F1">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582C849">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DCFAC7E">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755D2AE">
        <w:trPr>
          <w:trHeight w:val="860" w:hRule="atLeast"/>
        </w:trPr>
        <w:tc>
          <w:tcPr>
            <w:tcW w:w="646" w:type="dxa"/>
            <w:vAlign w:val="center"/>
          </w:tcPr>
          <w:p w14:paraId="129F0D2A">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71415C1D">
            <w:pPr>
              <w:snapToGrid w:val="0"/>
              <w:spacing w:line="360" w:lineRule="auto"/>
              <w:rPr>
                <w:rFonts w:ascii="宋体" w:hAnsi="宋体" w:cs="宋体"/>
                <w:snapToGrid w:val="0"/>
                <w:color w:val="auto"/>
                <w:sz w:val="24"/>
                <w:highlight w:val="none"/>
              </w:rPr>
            </w:pPr>
            <w:r>
              <w:rPr>
                <w:rFonts w:hint="eastAsia" w:ascii="宋体" w:hAnsi="宋体" w:cs="宋体"/>
                <w:snapToGrid w:val="0"/>
                <w:color w:val="auto"/>
                <w:sz w:val="24"/>
                <w:highlight w:val="none"/>
              </w:rPr>
              <w:t>投标文件的组成应符合招标文件要求</w:t>
            </w:r>
          </w:p>
          <w:p w14:paraId="39036D58">
            <w:pPr>
              <w:spacing w:line="360" w:lineRule="auto"/>
              <w:rPr>
                <w:rFonts w:ascii="宋体" w:hAnsi="宋体" w:cs="宋体"/>
                <w:color w:val="auto"/>
                <w:sz w:val="24"/>
                <w:highlight w:val="none"/>
              </w:rPr>
            </w:pPr>
          </w:p>
        </w:tc>
        <w:tc>
          <w:tcPr>
            <w:tcW w:w="2551" w:type="dxa"/>
            <w:vAlign w:val="center"/>
          </w:tcPr>
          <w:p w14:paraId="2A75E4E4">
            <w:pPr>
              <w:rPr>
                <w:rFonts w:ascii="宋体" w:hAnsi="宋体" w:cs="宋体"/>
                <w:color w:val="auto"/>
                <w:sz w:val="24"/>
                <w:highlight w:val="none"/>
              </w:rPr>
            </w:pPr>
            <w:r>
              <w:rPr>
                <w:rFonts w:hint="eastAsia" w:ascii="宋体" w:hAnsi="宋体" w:cs="宋体"/>
                <w:color w:val="auto"/>
                <w:sz w:val="24"/>
                <w:highlight w:val="none"/>
              </w:rPr>
              <w:t>投标文件</w:t>
            </w:r>
          </w:p>
        </w:tc>
        <w:tc>
          <w:tcPr>
            <w:tcW w:w="1418" w:type="dxa"/>
          </w:tcPr>
          <w:p w14:paraId="7631EF32">
            <w:pPr>
              <w:rPr>
                <w:rFonts w:ascii="宋体" w:hAnsi="宋体" w:cs="宋体"/>
                <w:color w:val="auto"/>
                <w:highlight w:val="none"/>
              </w:rPr>
            </w:pPr>
            <w:r>
              <w:rPr>
                <w:rFonts w:hint="eastAsia" w:ascii="宋体" w:hAnsi="宋体" w:cs="宋体"/>
                <w:color w:val="auto"/>
                <w:sz w:val="24"/>
                <w:highlight w:val="none"/>
              </w:rPr>
              <w:t>/</w:t>
            </w:r>
          </w:p>
        </w:tc>
      </w:tr>
      <w:tr w14:paraId="56A07FA8">
        <w:trPr>
          <w:trHeight w:val="860" w:hRule="atLeast"/>
        </w:trPr>
        <w:tc>
          <w:tcPr>
            <w:tcW w:w="646" w:type="dxa"/>
            <w:vAlign w:val="center"/>
          </w:tcPr>
          <w:p w14:paraId="7FF93484">
            <w:pPr>
              <w:jc w:val="center"/>
              <w:rPr>
                <w:rFonts w:ascii="宋体" w:hAnsi="宋体" w:cs="宋体"/>
                <w:color w:val="auto"/>
                <w:sz w:val="24"/>
                <w:highlight w:val="none"/>
              </w:rPr>
            </w:pPr>
            <w:r>
              <w:rPr>
                <w:rFonts w:hint="eastAsia" w:ascii="宋体" w:hAnsi="宋体" w:cs="宋体"/>
                <w:color w:val="auto"/>
                <w:sz w:val="24"/>
                <w:highlight w:val="none"/>
              </w:rPr>
              <w:t>4</w:t>
            </w:r>
          </w:p>
        </w:tc>
        <w:tc>
          <w:tcPr>
            <w:tcW w:w="4991" w:type="dxa"/>
          </w:tcPr>
          <w:p w14:paraId="4771B020">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3C7B2681">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139A29D8">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3AD1926">
        <w:trPr>
          <w:trHeight w:val="860" w:hRule="atLeast"/>
        </w:trPr>
        <w:tc>
          <w:tcPr>
            <w:tcW w:w="646" w:type="dxa"/>
            <w:vAlign w:val="center"/>
          </w:tcPr>
          <w:p w14:paraId="0CD7CEF4">
            <w:pPr>
              <w:jc w:val="center"/>
              <w:rPr>
                <w:rFonts w:ascii="宋体" w:hAnsi="宋体" w:cs="宋体"/>
                <w:color w:val="auto"/>
                <w:sz w:val="24"/>
                <w:highlight w:val="none"/>
              </w:rPr>
            </w:pPr>
            <w:r>
              <w:rPr>
                <w:rFonts w:hint="eastAsia" w:ascii="宋体" w:hAnsi="宋体" w:cs="宋体"/>
                <w:color w:val="auto"/>
                <w:sz w:val="24"/>
                <w:highlight w:val="none"/>
              </w:rPr>
              <w:t>5</w:t>
            </w:r>
          </w:p>
        </w:tc>
        <w:tc>
          <w:tcPr>
            <w:tcW w:w="4991" w:type="dxa"/>
          </w:tcPr>
          <w:p w14:paraId="5C1ACB70">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49C0298A">
            <w:pPr>
              <w:rPr>
                <w:rFonts w:ascii="宋体" w:hAnsi="宋体" w:cs="宋体"/>
                <w:color w:val="auto"/>
                <w:sz w:val="24"/>
                <w:highlight w:val="none"/>
              </w:rPr>
            </w:pPr>
          </w:p>
        </w:tc>
        <w:tc>
          <w:tcPr>
            <w:tcW w:w="1418" w:type="dxa"/>
          </w:tcPr>
          <w:p w14:paraId="1152D396">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FF966F5">
        <w:trPr>
          <w:trHeight w:val="860" w:hRule="atLeast"/>
        </w:trPr>
        <w:tc>
          <w:tcPr>
            <w:tcW w:w="646" w:type="dxa"/>
            <w:vAlign w:val="center"/>
          </w:tcPr>
          <w:p w14:paraId="2DF313E6">
            <w:pPr>
              <w:jc w:val="center"/>
              <w:rPr>
                <w:rFonts w:ascii="宋体" w:hAnsi="宋体" w:cs="宋体"/>
                <w:color w:val="auto"/>
                <w:sz w:val="24"/>
                <w:highlight w:val="none"/>
              </w:rPr>
            </w:pPr>
            <w:r>
              <w:rPr>
                <w:rFonts w:hint="eastAsia" w:ascii="宋体" w:hAnsi="宋体" w:cs="宋体"/>
                <w:color w:val="auto"/>
                <w:kern w:val="0"/>
                <w:sz w:val="24"/>
                <w:highlight w:val="none"/>
              </w:rPr>
              <w:t>……</w:t>
            </w:r>
          </w:p>
        </w:tc>
        <w:tc>
          <w:tcPr>
            <w:tcW w:w="4991" w:type="dxa"/>
          </w:tcPr>
          <w:p w14:paraId="2304CFEC">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1AFCD637">
            <w:pPr>
              <w:rPr>
                <w:rFonts w:ascii="宋体" w:hAnsi="宋体" w:cs="宋体"/>
                <w:color w:val="auto"/>
                <w:sz w:val="24"/>
                <w:highlight w:val="none"/>
              </w:rPr>
            </w:pPr>
          </w:p>
        </w:tc>
        <w:tc>
          <w:tcPr>
            <w:tcW w:w="1418" w:type="dxa"/>
          </w:tcPr>
          <w:p w14:paraId="595A84FB">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0ECD3D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3A7DDE72">
      <w:pPr>
        <w:spacing w:line="360" w:lineRule="auto"/>
        <w:ind w:right="420"/>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4FAB4FB7">
      <w:pPr>
        <w:pStyle w:val="81"/>
        <w:rPr>
          <w:color w:val="auto"/>
          <w:highlight w:val="none"/>
        </w:rPr>
      </w:pPr>
    </w:p>
    <w:p w14:paraId="0AF96B9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C848745">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C7F99AC">
        <w:tc>
          <w:tcPr>
            <w:tcW w:w="774" w:type="dxa"/>
          </w:tcPr>
          <w:p w14:paraId="69DDD574">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序号</w:t>
            </w:r>
          </w:p>
        </w:tc>
        <w:tc>
          <w:tcPr>
            <w:tcW w:w="5465" w:type="dxa"/>
          </w:tcPr>
          <w:p w14:paraId="5473F987">
            <w:pPr>
              <w:snapToGrid w:val="0"/>
              <w:spacing w:line="360" w:lineRule="auto"/>
              <w:jc w:val="center"/>
              <w:rPr>
                <w:rFonts w:ascii="宋体" w:hAnsi="宋体" w:cs="宋体"/>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c>
          <w:tcPr>
            <w:tcW w:w="3046" w:type="dxa"/>
          </w:tcPr>
          <w:p w14:paraId="1A7A37C6">
            <w:pPr>
              <w:snapToGrid w:val="0"/>
              <w:spacing w:line="240" w:lineRule="atLeast"/>
              <w:jc w:val="center"/>
              <w:rPr>
                <w:rFonts w:ascii="宋体" w:hAnsi="宋体" w:cs="宋体"/>
                <w:bCs/>
                <w:color w:val="auto"/>
                <w:sz w:val="24"/>
                <w:highlight w:val="none"/>
              </w:rPr>
            </w:pPr>
            <w:r>
              <w:rPr>
                <w:rFonts w:hint="eastAsia" w:ascii="宋体" w:hAnsi="宋体" w:cs="宋体"/>
                <w:bCs/>
                <w:color w:val="auto"/>
                <w:sz w:val="24"/>
                <w:highlight w:val="none"/>
              </w:rPr>
              <w:t>投标文件中的页码位置</w:t>
            </w:r>
          </w:p>
        </w:tc>
      </w:tr>
      <w:tr w14:paraId="7B2D90E7">
        <w:tc>
          <w:tcPr>
            <w:tcW w:w="774" w:type="dxa"/>
          </w:tcPr>
          <w:p w14:paraId="48C7E2C8">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5465" w:type="dxa"/>
          </w:tcPr>
          <w:p w14:paraId="522670DE">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XXX（预先填写）</w:t>
            </w:r>
          </w:p>
        </w:tc>
        <w:tc>
          <w:tcPr>
            <w:tcW w:w="3046" w:type="dxa"/>
          </w:tcPr>
          <w:p w14:paraId="661340EF">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575FF58C">
        <w:tc>
          <w:tcPr>
            <w:tcW w:w="774" w:type="dxa"/>
          </w:tcPr>
          <w:p w14:paraId="397A7318">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5465" w:type="dxa"/>
          </w:tcPr>
          <w:p w14:paraId="58059CAA">
            <w:pPr>
              <w:snapToGrid w:val="0"/>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XXX</w:t>
            </w:r>
          </w:p>
        </w:tc>
        <w:tc>
          <w:tcPr>
            <w:tcW w:w="3046" w:type="dxa"/>
          </w:tcPr>
          <w:p w14:paraId="4FEE29D8">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r w14:paraId="74CF7067">
        <w:tc>
          <w:tcPr>
            <w:tcW w:w="774" w:type="dxa"/>
          </w:tcPr>
          <w:p w14:paraId="33EA0B74">
            <w:pPr>
              <w:snapToGrid w:val="0"/>
              <w:spacing w:line="360" w:lineRule="auto"/>
              <w:jc w:val="center"/>
              <w:rPr>
                <w:rFonts w:ascii="宋体" w:hAnsi="宋体" w:cs="宋体"/>
                <w:bCs/>
                <w:color w:val="auto"/>
                <w:sz w:val="24"/>
                <w:highlight w:val="none"/>
              </w:rPr>
            </w:pPr>
            <w:r>
              <w:rPr>
                <w:rFonts w:hint="eastAsia" w:ascii="宋体" w:hAnsi="宋体" w:cs="宋体"/>
                <w:color w:val="auto"/>
                <w:kern w:val="0"/>
                <w:sz w:val="24"/>
                <w:highlight w:val="none"/>
              </w:rPr>
              <w:t>……</w:t>
            </w:r>
          </w:p>
        </w:tc>
        <w:tc>
          <w:tcPr>
            <w:tcW w:w="5465" w:type="dxa"/>
          </w:tcPr>
          <w:p w14:paraId="708A06E6">
            <w:pPr>
              <w:snapToGrid w:val="0"/>
              <w:spacing w:line="360" w:lineRule="auto"/>
              <w:jc w:val="center"/>
              <w:rPr>
                <w:rFonts w:ascii="宋体" w:hAnsi="宋体" w:cs="宋体"/>
                <w:bCs/>
                <w:color w:val="auto"/>
                <w:sz w:val="24"/>
                <w:highlight w:val="none"/>
              </w:rPr>
            </w:pPr>
          </w:p>
        </w:tc>
        <w:tc>
          <w:tcPr>
            <w:tcW w:w="3046" w:type="dxa"/>
          </w:tcPr>
          <w:p w14:paraId="7E17E1A7">
            <w:pPr>
              <w:jc w:val="center"/>
              <w:rPr>
                <w:rFonts w:ascii="宋体" w:hAnsi="宋体" w:cs="宋体"/>
                <w:bCs/>
                <w:color w:val="auto"/>
                <w:sz w:val="24"/>
                <w:highlight w:val="none"/>
              </w:rPr>
            </w:pPr>
            <w:r>
              <w:rPr>
                <w:rFonts w:hint="eastAsia" w:ascii="宋体" w:hAnsi="宋体" w:cs="宋体"/>
                <w:bCs/>
                <w:color w:val="auto"/>
                <w:sz w:val="24"/>
                <w:highlight w:val="none"/>
              </w:rPr>
              <w:t>见投标文件第</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页</w:t>
            </w:r>
          </w:p>
        </w:tc>
      </w:tr>
    </w:tbl>
    <w:p w14:paraId="1175038A">
      <w:pPr>
        <w:jc w:val="center"/>
        <w:rPr>
          <w:rFonts w:ascii="宋体" w:hAnsi="宋体" w:cs="宋体"/>
          <w:b/>
          <w:color w:val="auto"/>
          <w:kern w:val="0"/>
          <w:sz w:val="32"/>
          <w:szCs w:val="32"/>
          <w:highlight w:val="none"/>
        </w:rPr>
      </w:pPr>
    </w:p>
    <w:p w14:paraId="5A908807">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23CF856">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1A05AA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245789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87896CA">
            <w:pPr>
              <w:spacing w:line="360" w:lineRule="auto"/>
              <w:jc w:val="center"/>
              <w:rPr>
                <w:rFonts w:ascii="宋体" w:hAnsi="宋体" w:cs="宋体"/>
                <w:b/>
                <w:color w:val="auto"/>
                <w:sz w:val="24"/>
                <w:highlight w:val="none"/>
              </w:rPr>
            </w:pPr>
          </w:p>
          <w:p w14:paraId="7FC5F59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EE9CD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891B4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D8266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6AE97A56">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9443A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C6D81E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5783A23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EF4FB5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D6144C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20F3453">
            <w:pPr>
              <w:spacing w:line="360" w:lineRule="auto"/>
              <w:jc w:val="center"/>
              <w:rPr>
                <w:rFonts w:ascii="宋体" w:hAnsi="宋体" w:cs="宋体"/>
                <w:color w:val="auto"/>
                <w:sz w:val="24"/>
                <w:highlight w:val="none"/>
              </w:rPr>
            </w:pPr>
          </w:p>
        </w:tc>
      </w:tr>
      <w:tr w14:paraId="7D204930">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61A8D5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A80E28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0220468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CD32EE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B140258">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593DA4F">
            <w:pPr>
              <w:spacing w:line="360" w:lineRule="auto"/>
              <w:jc w:val="center"/>
              <w:rPr>
                <w:rFonts w:ascii="宋体" w:hAnsi="宋体" w:cs="宋体"/>
                <w:color w:val="auto"/>
                <w:sz w:val="24"/>
                <w:highlight w:val="none"/>
              </w:rPr>
            </w:pPr>
          </w:p>
        </w:tc>
      </w:tr>
      <w:tr w14:paraId="7F236FB0">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4D114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2CA384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6E0516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6A9D3D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4E58F0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989F118">
            <w:pPr>
              <w:spacing w:line="360" w:lineRule="auto"/>
              <w:jc w:val="center"/>
              <w:rPr>
                <w:rFonts w:ascii="宋体" w:hAnsi="宋体" w:cs="宋体"/>
                <w:color w:val="auto"/>
                <w:sz w:val="24"/>
                <w:highlight w:val="none"/>
              </w:rPr>
            </w:pPr>
          </w:p>
        </w:tc>
      </w:tr>
    </w:tbl>
    <w:p w14:paraId="1248748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316658A">
      <w:pPr>
        <w:jc w:val="center"/>
        <w:rPr>
          <w:rFonts w:ascii="宋体" w:hAnsi="宋体" w:cs="宋体"/>
          <w:b/>
          <w:color w:val="auto"/>
          <w:kern w:val="0"/>
          <w:sz w:val="32"/>
          <w:szCs w:val="32"/>
          <w:highlight w:val="none"/>
        </w:rPr>
      </w:pPr>
    </w:p>
    <w:p w14:paraId="593E14B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64045702">
        <w:tc>
          <w:tcPr>
            <w:tcW w:w="828" w:type="dxa"/>
          </w:tcPr>
          <w:p w14:paraId="2D2E5230">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1A9E2373">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7A76DFF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7039673E">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c>
          <w:tcPr>
            <w:tcW w:w="1088" w:type="dxa"/>
          </w:tcPr>
          <w:p w14:paraId="13B58153">
            <w:pPr>
              <w:jc w:val="center"/>
              <w:rPr>
                <w:rFonts w:ascii="宋体" w:hAnsi="宋体" w:cs="宋体"/>
                <w:b/>
                <w:bCs/>
                <w:color w:val="auto"/>
                <w:sz w:val="24"/>
                <w:highlight w:val="none"/>
              </w:rPr>
            </w:pPr>
          </w:p>
        </w:tc>
      </w:tr>
      <w:tr w14:paraId="3144DDB9">
        <w:tc>
          <w:tcPr>
            <w:tcW w:w="828" w:type="dxa"/>
          </w:tcPr>
          <w:p w14:paraId="36ADF861">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099961A5">
            <w:pPr>
              <w:jc w:val="center"/>
              <w:rPr>
                <w:rFonts w:ascii="宋体" w:hAnsi="宋体" w:cs="宋体"/>
                <w:b/>
                <w:color w:val="auto"/>
                <w:kern w:val="0"/>
                <w:sz w:val="32"/>
                <w:szCs w:val="32"/>
                <w:highlight w:val="none"/>
              </w:rPr>
            </w:pPr>
          </w:p>
        </w:tc>
        <w:tc>
          <w:tcPr>
            <w:tcW w:w="3062" w:type="dxa"/>
          </w:tcPr>
          <w:p w14:paraId="72D260EA">
            <w:pPr>
              <w:jc w:val="center"/>
              <w:rPr>
                <w:rFonts w:ascii="宋体" w:hAnsi="宋体" w:cs="宋体"/>
                <w:b/>
                <w:color w:val="auto"/>
                <w:kern w:val="0"/>
                <w:sz w:val="32"/>
                <w:szCs w:val="32"/>
                <w:highlight w:val="none"/>
              </w:rPr>
            </w:pPr>
          </w:p>
        </w:tc>
        <w:tc>
          <w:tcPr>
            <w:tcW w:w="1102" w:type="dxa"/>
          </w:tcPr>
          <w:p w14:paraId="3BB92260">
            <w:pPr>
              <w:jc w:val="center"/>
              <w:rPr>
                <w:rFonts w:ascii="宋体" w:hAnsi="宋体" w:cs="宋体"/>
                <w:b/>
                <w:color w:val="auto"/>
                <w:kern w:val="0"/>
                <w:sz w:val="32"/>
                <w:szCs w:val="32"/>
                <w:highlight w:val="none"/>
              </w:rPr>
            </w:pPr>
          </w:p>
        </w:tc>
        <w:tc>
          <w:tcPr>
            <w:tcW w:w="1088" w:type="dxa"/>
          </w:tcPr>
          <w:p w14:paraId="207964EA">
            <w:pPr>
              <w:jc w:val="center"/>
              <w:rPr>
                <w:rFonts w:ascii="宋体" w:hAnsi="宋体" w:cs="宋体"/>
                <w:b/>
                <w:color w:val="auto"/>
                <w:kern w:val="0"/>
                <w:sz w:val="32"/>
                <w:szCs w:val="32"/>
                <w:highlight w:val="none"/>
              </w:rPr>
            </w:pPr>
          </w:p>
        </w:tc>
      </w:tr>
      <w:tr w14:paraId="126F6BD4">
        <w:tc>
          <w:tcPr>
            <w:tcW w:w="828" w:type="dxa"/>
          </w:tcPr>
          <w:p w14:paraId="6815648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1A3312CE">
            <w:pPr>
              <w:jc w:val="center"/>
              <w:rPr>
                <w:rFonts w:ascii="宋体" w:hAnsi="宋体" w:cs="宋体"/>
                <w:b/>
                <w:color w:val="auto"/>
                <w:kern w:val="0"/>
                <w:sz w:val="32"/>
                <w:szCs w:val="32"/>
                <w:highlight w:val="none"/>
              </w:rPr>
            </w:pPr>
          </w:p>
        </w:tc>
        <w:tc>
          <w:tcPr>
            <w:tcW w:w="3062" w:type="dxa"/>
          </w:tcPr>
          <w:p w14:paraId="644E174E">
            <w:pPr>
              <w:jc w:val="center"/>
              <w:rPr>
                <w:rFonts w:ascii="宋体" w:hAnsi="宋体" w:cs="宋体"/>
                <w:b/>
                <w:color w:val="auto"/>
                <w:kern w:val="0"/>
                <w:sz w:val="32"/>
                <w:szCs w:val="32"/>
                <w:highlight w:val="none"/>
              </w:rPr>
            </w:pPr>
          </w:p>
        </w:tc>
        <w:tc>
          <w:tcPr>
            <w:tcW w:w="1102" w:type="dxa"/>
          </w:tcPr>
          <w:p w14:paraId="55561C94">
            <w:pPr>
              <w:jc w:val="center"/>
              <w:rPr>
                <w:rFonts w:ascii="宋体" w:hAnsi="宋体" w:cs="宋体"/>
                <w:b/>
                <w:color w:val="auto"/>
                <w:kern w:val="0"/>
                <w:sz w:val="32"/>
                <w:szCs w:val="32"/>
                <w:highlight w:val="none"/>
              </w:rPr>
            </w:pPr>
          </w:p>
        </w:tc>
        <w:tc>
          <w:tcPr>
            <w:tcW w:w="1088" w:type="dxa"/>
          </w:tcPr>
          <w:p w14:paraId="060DAADF">
            <w:pPr>
              <w:jc w:val="center"/>
              <w:rPr>
                <w:rFonts w:ascii="宋体" w:hAnsi="宋体" w:cs="宋体"/>
                <w:b/>
                <w:color w:val="auto"/>
                <w:kern w:val="0"/>
                <w:sz w:val="32"/>
                <w:szCs w:val="32"/>
                <w:highlight w:val="none"/>
              </w:rPr>
            </w:pPr>
          </w:p>
        </w:tc>
      </w:tr>
      <w:tr w14:paraId="28862D62">
        <w:tc>
          <w:tcPr>
            <w:tcW w:w="828" w:type="dxa"/>
          </w:tcPr>
          <w:p w14:paraId="132B6AE2">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2A9B9B2C">
            <w:pPr>
              <w:jc w:val="center"/>
              <w:rPr>
                <w:rFonts w:ascii="宋体" w:hAnsi="宋体" w:cs="宋体"/>
                <w:b/>
                <w:color w:val="auto"/>
                <w:kern w:val="0"/>
                <w:sz w:val="32"/>
                <w:szCs w:val="32"/>
                <w:highlight w:val="none"/>
              </w:rPr>
            </w:pPr>
          </w:p>
        </w:tc>
        <w:tc>
          <w:tcPr>
            <w:tcW w:w="3062" w:type="dxa"/>
          </w:tcPr>
          <w:p w14:paraId="61F7F618">
            <w:pPr>
              <w:jc w:val="center"/>
              <w:rPr>
                <w:rFonts w:ascii="宋体" w:hAnsi="宋体" w:cs="宋体"/>
                <w:b/>
                <w:color w:val="auto"/>
                <w:kern w:val="0"/>
                <w:sz w:val="32"/>
                <w:szCs w:val="32"/>
                <w:highlight w:val="none"/>
              </w:rPr>
            </w:pPr>
          </w:p>
        </w:tc>
        <w:tc>
          <w:tcPr>
            <w:tcW w:w="1102" w:type="dxa"/>
          </w:tcPr>
          <w:p w14:paraId="28FA00EA">
            <w:pPr>
              <w:jc w:val="center"/>
              <w:rPr>
                <w:rFonts w:ascii="宋体" w:hAnsi="宋体" w:cs="宋体"/>
                <w:b/>
                <w:color w:val="auto"/>
                <w:kern w:val="0"/>
                <w:sz w:val="32"/>
                <w:szCs w:val="32"/>
                <w:highlight w:val="none"/>
              </w:rPr>
            </w:pPr>
          </w:p>
        </w:tc>
        <w:tc>
          <w:tcPr>
            <w:tcW w:w="1088" w:type="dxa"/>
          </w:tcPr>
          <w:p w14:paraId="0664FEA7">
            <w:pPr>
              <w:jc w:val="center"/>
              <w:rPr>
                <w:rFonts w:ascii="宋体" w:hAnsi="宋体" w:cs="宋体"/>
                <w:b/>
                <w:color w:val="auto"/>
                <w:kern w:val="0"/>
                <w:sz w:val="32"/>
                <w:szCs w:val="32"/>
                <w:highlight w:val="none"/>
              </w:rPr>
            </w:pPr>
          </w:p>
        </w:tc>
      </w:tr>
    </w:tbl>
    <w:p w14:paraId="635E3AEC">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25C3749">
      <w:pPr>
        <w:jc w:val="center"/>
        <w:rPr>
          <w:rFonts w:ascii="宋体" w:hAnsi="宋体" w:cs="宋体"/>
          <w:b/>
          <w:color w:val="auto"/>
          <w:kern w:val="0"/>
          <w:sz w:val="32"/>
          <w:szCs w:val="32"/>
          <w:highlight w:val="none"/>
        </w:rPr>
      </w:pPr>
    </w:p>
    <w:p w14:paraId="51BD5B07">
      <w:pPr>
        <w:jc w:val="left"/>
        <w:rPr>
          <w:rFonts w:ascii="宋体" w:hAnsi="宋体" w:cs="宋体"/>
          <w:color w:val="auto"/>
          <w:kern w:val="0"/>
          <w:sz w:val="24"/>
          <w:highlight w:val="none"/>
        </w:rPr>
      </w:pPr>
      <w:r>
        <w:rPr>
          <w:rFonts w:hint="eastAsia" w:ascii="宋体" w:hAnsi="宋体" w:cs="宋体"/>
          <w:color w:val="auto"/>
          <w:sz w:val="24"/>
          <w:highlight w:val="none"/>
        </w:rPr>
        <w:t>注：</w:t>
      </w:r>
      <w:r>
        <w:rPr>
          <w:rFonts w:hint="eastAsia" w:ascii="宋体" w:hAnsi="宋体" w:cs="宋体"/>
          <w:color w:val="auto"/>
          <w:kern w:val="0"/>
          <w:sz w:val="24"/>
          <w:highlight w:val="none"/>
        </w:rPr>
        <w:t>1.按本格式和要求提供。</w:t>
      </w:r>
    </w:p>
    <w:p w14:paraId="31333B78">
      <w:pPr>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2.本表格所反映的偏离情况与“符合性审查资料”、“评标标准相应的商务技术资料”不一致的，以“符合性审查资料”、“评标标准相应的商务技术资料”为准。</w:t>
      </w:r>
    </w:p>
    <w:p w14:paraId="2B3D3586">
      <w:pPr>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3.投标人须保证：除商务技术偏离表列出的偏离外，投标人响应招标文件的全部非实质性要求。</w:t>
      </w:r>
    </w:p>
    <w:p w14:paraId="64B053E6">
      <w:pPr>
        <w:rPr>
          <w:rFonts w:ascii="宋体" w:hAnsi="宋体" w:cs="宋体"/>
          <w:b/>
          <w:bCs/>
          <w:color w:val="auto"/>
          <w:sz w:val="32"/>
          <w:szCs w:val="32"/>
          <w:highlight w:val="none"/>
        </w:rPr>
      </w:pPr>
    </w:p>
    <w:p w14:paraId="06EF035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7E7261E">
      <w:pPr>
        <w:snapToGrid w:val="0"/>
        <w:spacing w:line="360" w:lineRule="auto"/>
        <w:rPr>
          <w:rFonts w:ascii="宋体" w:hAnsi="宋体" w:cs="宋体"/>
          <w:color w:val="auto"/>
          <w:sz w:val="24"/>
          <w:highlight w:val="none"/>
        </w:rPr>
      </w:pPr>
    </w:p>
    <w:p w14:paraId="5BBE9B2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浙江省交通运输厅、浙江华耀建设咨询有限公司</w:t>
      </w:r>
      <w:r>
        <w:rPr>
          <w:rFonts w:hint="eastAsia" w:ascii="宋体" w:hAnsi="宋体" w:cs="宋体"/>
          <w:color w:val="auto"/>
          <w:kern w:val="0"/>
          <w:sz w:val="24"/>
          <w:highlight w:val="none"/>
          <w:lang w:val="zh-CN"/>
        </w:rPr>
        <w:t>：</w:t>
      </w:r>
    </w:p>
    <w:p w14:paraId="15703B6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07CE3B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81469E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AB87FA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F30F86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DC0D9B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F5C5AD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722FF1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8B884A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67E112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3E61231">
      <w:pPr>
        <w:autoSpaceDE w:val="0"/>
        <w:autoSpaceDN w:val="0"/>
        <w:spacing w:line="360" w:lineRule="auto"/>
        <w:ind w:left="2"/>
        <w:jc w:val="left"/>
        <w:rPr>
          <w:rFonts w:ascii="宋体" w:hAnsi="宋体" w:cs="宋体"/>
          <w:color w:val="auto"/>
          <w:kern w:val="0"/>
          <w:sz w:val="24"/>
          <w:highlight w:val="none"/>
          <w:lang w:val="zh-CN"/>
        </w:rPr>
      </w:pPr>
    </w:p>
    <w:p w14:paraId="09102AFF">
      <w:pPr>
        <w:autoSpaceDE w:val="0"/>
        <w:autoSpaceDN w:val="0"/>
        <w:spacing w:line="360" w:lineRule="auto"/>
        <w:ind w:left="2"/>
        <w:jc w:val="left"/>
        <w:rPr>
          <w:rFonts w:ascii="宋体" w:hAnsi="宋体" w:cs="宋体"/>
          <w:color w:val="auto"/>
          <w:kern w:val="0"/>
          <w:sz w:val="24"/>
          <w:highlight w:val="none"/>
          <w:lang w:val="zh-CN"/>
        </w:rPr>
      </w:pPr>
    </w:p>
    <w:p w14:paraId="452260C5">
      <w:pPr>
        <w:autoSpaceDE w:val="0"/>
        <w:autoSpaceDN w:val="0"/>
        <w:spacing w:line="360" w:lineRule="auto"/>
        <w:ind w:left="2"/>
        <w:jc w:val="left"/>
        <w:rPr>
          <w:rFonts w:ascii="宋体" w:hAnsi="宋体" w:cs="宋体"/>
          <w:color w:val="auto"/>
          <w:kern w:val="0"/>
          <w:sz w:val="24"/>
          <w:highlight w:val="none"/>
          <w:lang w:val="zh-CN"/>
        </w:rPr>
      </w:pPr>
    </w:p>
    <w:p w14:paraId="3E9F126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6F3C17F7">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B228729">
      <w:pPr>
        <w:spacing w:line="360" w:lineRule="auto"/>
        <w:jc w:val="center"/>
        <w:rPr>
          <w:rFonts w:ascii="宋体" w:hAnsi="宋体" w:cs="宋体"/>
          <w:b/>
          <w:bCs/>
          <w:color w:val="auto"/>
          <w:sz w:val="24"/>
          <w:highlight w:val="none"/>
        </w:rPr>
      </w:pPr>
    </w:p>
    <w:p w14:paraId="47DD5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DBB9D7F">
      <w:pPr>
        <w:spacing w:line="360" w:lineRule="auto"/>
        <w:jc w:val="center"/>
        <w:rPr>
          <w:rFonts w:ascii="宋体" w:hAnsi="宋体" w:cs="宋体"/>
          <w:b/>
          <w:bCs/>
          <w:color w:val="auto"/>
          <w:sz w:val="24"/>
          <w:highlight w:val="none"/>
        </w:rPr>
        <w:sectPr>
          <w:footerReference r:id="rId9" w:type="first"/>
          <w:footerReference r:id="rId8" w:type="default"/>
          <w:pgSz w:w="11906" w:h="16838"/>
          <w:pgMar w:top="1276" w:right="1418" w:bottom="1247" w:left="1418" w:header="851" w:footer="992" w:gutter="0"/>
          <w:cols w:space="720" w:num="1"/>
          <w:titlePg/>
          <w:docGrid w:linePitch="312" w:charSpace="0"/>
        </w:sectPr>
      </w:pPr>
    </w:p>
    <w:p w14:paraId="0D845AF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18EF88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5516BF5">
      <w:pPr>
        <w:spacing w:line="360" w:lineRule="auto"/>
        <w:jc w:val="center"/>
        <w:outlineLvl w:val="0"/>
        <w:rPr>
          <w:rFonts w:ascii="宋体" w:hAnsi="宋体" w:cs="宋体"/>
          <w:b/>
          <w:color w:val="auto"/>
          <w:kern w:val="0"/>
          <w:sz w:val="36"/>
          <w:szCs w:val="36"/>
          <w:highlight w:val="none"/>
        </w:rPr>
      </w:pPr>
    </w:p>
    <w:p w14:paraId="4FF41934">
      <w:pPr>
        <w:numPr>
          <w:ilvl w:val="0"/>
          <w:numId w:val="1"/>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3A5B1049">
      <w:pPr>
        <w:numPr>
          <w:ilvl w:val="0"/>
          <w:numId w:val="1"/>
        </w:numPr>
        <w:snapToGrid w:val="0"/>
        <w:spacing w:line="360" w:lineRule="auto"/>
        <w:rPr>
          <w:rFonts w:ascii="宋体" w:hAnsi="宋体" w:cs="宋体"/>
          <w:color w:val="auto"/>
          <w:sz w:val="24"/>
          <w:highlight w:val="none"/>
        </w:rPr>
      </w:pP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58FB06D8">
      <w:pPr>
        <w:numPr>
          <w:ilvl w:val="0"/>
          <w:numId w:val="1"/>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中小企业声明函或属于监狱企业证明文件或残疾人福利性单位声明函……………………………………………………………………………………（页码）</w:t>
      </w:r>
    </w:p>
    <w:p w14:paraId="29302CE2">
      <w:pPr>
        <w:bidi w:val="0"/>
        <w:rPr>
          <w:color w:val="auto"/>
          <w:highlight w:val="none"/>
        </w:rPr>
      </w:pPr>
    </w:p>
    <w:p w14:paraId="02ECE64D">
      <w:pPr>
        <w:pStyle w:val="4"/>
        <w:ind w:left="0" w:firstLine="0"/>
        <w:rPr>
          <w:color w:val="auto"/>
          <w:highlight w:val="none"/>
        </w:rPr>
        <w:sectPr>
          <w:footerReference r:id="rId11" w:type="first"/>
          <w:footerReference r:id="rId10" w:type="default"/>
          <w:pgSz w:w="11906" w:h="16838"/>
          <w:pgMar w:top="1247" w:right="1418" w:bottom="1276" w:left="1418" w:header="851" w:footer="992" w:gutter="0"/>
          <w:cols w:space="720" w:num="1"/>
          <w:titlePg/>
          <w:docGrid w:linePitch="312" w:charSpace="0"/>
        </w:sectPr>
      </w:pPr>
    </w:p>
    <w:p w14:paraId="27CC4911">
      <w:pPr>
        <w:pStyle w:val="23"/>
        <w:rPr>
          <w:color w:val="auto"/>
          <w:highlight w:val="none"/>
        </w:rPr>
      </w:pPr>
    </w:p>
    <w:p w14:paraId="1DE08B82">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F64C15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浙江省交通运输厅、浙江华耀建设咨询有限公司</w:t>
      </w:r>
      <w:r>
        <w:rPr>
          <w:rFonts w:hint="eastAsia" w:ascii="宋体" w:hAnsi="宋体" w:cs="宋体"/>
          <w:color w:val="auto"/>
          <w:kern w:val="0"/>
          <w:sz w:val="24"/>
          <w:highlight w:val="none"/>
          <w:lang w:val="zh-CN"/>
        </w:rPr>
        <w:t>：</w:t>
      </w:r>
    </w:p>
    <w:p w14:paraId="4D112B59">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内河航道工程项目投融资模式创新研究</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ZJHY-SJTYST-202514】的实施</w:t>
      </w:r>
      <w:r>
        <w:rPr>
          <w:rFonts w:hint="eastAsia" w:ascii="宋体" w:hAnsi="宋体" w:cs="宋体"/>
          <w:color w:val="auto"/>
          <w:kern w:val="0"/>
          <w:sz w:val="24"/>
          <w:highlight w:val="none"/>
          <w:lang w:val="zh-CN"/>
        </w:rPr>
        <w:t>。</w:t>
      </w:r>
    </w:p>
    <w:p w14:paraId="52D5A5DE">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F0AF515">
        <w:trPr>
          <w:trHeight w:val="1373" w:hRule="atLeast"/>
        </w:trPr>
        <w:tc>
          <w:tcPr>
            <w:tcW w:w="817" w:type="dxa"/>
            <w:vAlign w:val="center"/>
          </w:tcPr>
          <w:p w14:paraId="7C22262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4182297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5BF14AFA">
            <w:pPr>
              <w:spacing w:line="360" w:lineRule="auto"/>
              <w:jc w:val="center"/>
              <w:rPr>
                <w:rFonts w:ascii="宋体" w:hAnsi="宋体" w:cs="宋体"/>
                <w:b/>
                <w:color w:val="auto"/>
                <w:sz w:val="24"/>
                <w:highlight w:val="none"/>
              </w:rPr>
            </w:pPr>
          </w:p>
          <w:p w14:paraId="19922F6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3798194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2F5532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24C5ADA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1CB1106">
            <w:pPr>
              <w:spacing w:line="360" w:lineRule="auto"/>
              <w:jc w:val="center"/>
              <w:rPr>
                <w:rFonts w:ascii="宋体" w:hAnsi="宋体" w:cs="宋体"/>
                <w:b/>
                <w:color w:val="auto"/>
                <w:sz w:val="24"/>
                <w:highlight w:val="none"/>
              </w:rPr>
            </w:pPr>
          </w:p>
          <w:p w14:paraId="0909766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339446D3">
            <w:pPr>
              <w:spacing w:line="360" w:lineRule="auto"/>
              <w:jc w:val="center"/>
              <w:rPr>
                <w:rFonts w:ascii="宋体" w:hAnsi="宋体" w:cs="宋体"/>
                <w:b/>
                <w:color w:val="auto"/>
                <w:sz w:val="24"/>
                <w:highlight w:val="none"/>
              </w:rPr>
            </w:pPr>
          </w:p>
          <w:p w14:paraId="77911A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F1662AE">
            <w:pPr>
              <w:spacing w:line="360" w:lineRule="auto"/>
              <w:jc w:val="center"/>
              <w:rPr>
                <w:rFonts w:ascii="宋体" w:hAnsi="宋体" w:cs="宋体"/>
                <w:b/>
                <w:color w:val="auto"/>
                <w:sz w:val="24"/>
                <w:highlight w:val="none"/>
              </w:rPr>
            </w:pPr>
          </w:p>
        </w:tc>
      </w:tr>
      <w:tr w14:paraId="3D10B274">
        <w:trPr>
          <w:trHeight w:val="441" w:hRule="atLeast"/>
        </w:trPr>
        <w:tc>
          <w:tcPr>
            <w:tcW w:w="817" w:type="dxa"/>
            <w:vAlign w:val="center"/>
          </w:tcPr>
          <w:p w14:paraId="0137A42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3667512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03009BAE">
            <w:pPr>
              <w:snapToGrid w:val="0"/>
              <w:spacing w:line="360" w:lineRule="auto"/>
              <w:jc w:val="center"/>
              <w:rPr>
                <w:rFonts w:ascii="宋体" w:hAnsi="宋体" w:cs="宋体"/>
                <w:color w:val="auto"/>
                <w:sz w:val="24"/>
                <w:highlight w:val="none"/>
              </w:rPr>
            </w:pPr>
          </w:p>
        </w:tc>
        <w:tc>
          <w:tcPr>
            <w:tcW w:w="2410" w:type="dxa"/>
            <w:vAlign w:val="center"/>
          </w:tcPr>
          <w:p w14:paraId="2CC4E48D">
            <w:pPr>
              <w:snapToGrid w:val="0"/>
              <w:spacing w:line="360" w:lineRule="auto"/>
              <w:jc w:val="center"/>
              <w:rPr>
                <w:rFonts w:ascii="宋体" w:hAnsi="宋体" w:cs="宋体"/>
                <w:color w:val="auto"/>
                <w:sz w:val="24"/>
                <w:highlight w:val="none"/>
              </w:rPr>
            </w:pPr>
          </w:p>
        </w:tc>
        <w:tc>
          <w:tcPr>
            <w:tcW w:w="2268" w:type="dxa"/>
            <w:vAlign w:val="center"/>
          </w:tcPr>
          <w:p w14:paraId="231BD38C">
            <w:pPr>
              <w:snapToGrid w:val="0"/>
              <w:spacing w:line="360" w:lineRule="auto"/>
              <w:jc w:val="center"/>
              <w:rPr>
                <w:rFonts w:ascii="宋体" w:hAnsi="宋体" w:cs="宋体"/>
                <w:color w:val="auto"/>
                <w:sz w:val="24"/>
                <w:highlight w:val="none"/>
              </w:rPr>
            </w:pPr>
          </w:p>
        </w:tc>
        <w:tc>
          <w:tcPr>
            <w:tcW w:w="2126" w:type="dxa"/>
            <w:vAlign w:val="center"/>
          </w:tcPr>
          <w:p w14:paraId="4129A475">
            <w:pPr>
              <w:spacing w:line="360" w:lineRule="auto"/>
              <w:jc w:val="center"/>
              <w:rPr>
                <w:rFonts w:ascii="宋体" w:hAnsi="宋体" w:cs="宋体"/>
                <w:color w:val="auto"/>
                <w:sz w:val="24"/>
                <w:highlight w:val="none"/>
              </w:rPr>
            </w:pPr>
          </w:p>
        </w:tc>
        <w:tc>
          <w:tcPr>
            <w:tcW w:w="2127" w:type="dxa"/>
          </w:tcPr>
          <w:p w14:paraId="24EF4B68">
            <w:pPr>
              <w:spacing w:line="360" w:lineRule="auto"/>
              <w:jc w:val="center"/>
              <w:rPr>
                <w:rFonts w:ascii="宋体" w:hAnsi="宋体" w:cs="宋体"/>
                <w:color w:val="auto"/>
                <w:sz w:val="24"/>
                <w:highlight w:val="none"/>
              </w:rPr>
            </w:pPr>
          </w:p>
        </w:tc>
        <w:tc>
          <w:tcPr>
            <w:tcW w:w="2126" w:type="dxa"/>
            <w:vAlign w:val="center"/>
          </w:tcPr>
          <w:p w14:paraId="5465C723">
            <w:pPr>
              <w:spacing w:line="360" w:lineRule="auto"/>
              <w:jc w:val="center"/>
              <w:rPr>
                <w:rFonts w:ascii="宋体" w:hAnsi="宋体" w:cs="宋体"/>
                <w:color w:val="auto"/>
                <w:sz w:val="24"/>
                <w:highlight w:val="none"/>
              </w:rPr>
            </w:pPr>
          </w:p>
        </w:tc>
      </w:tr>
      <w:tr w14:paraId="59512EDB">
        <w:trPr>
          <w:trHeight w:val="453" w:hRule="atLeast"/>
        </w:trPr>
        <w:tc>
          <w:tcPr>
            <w:tcW w:w="817" w:type="dxa"/>
            <w:vAlign w:val="center"/>
          </w:tcPr>
          <w:p w14:paraId="77B6A2D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2DAAF44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12D7DE13">
            <w:pPr>
              <w:snapToGrid w:val="0"/>
              <w:spacing w:line="360" w:lineRule="auto"/>
              <w:jc w:val="center"/>
              <w:rPr>
                <w:rFonts w:ascii="宋体" w:hAnsi="宋体" w:cs="宋体"/>
                <w:color w:val="auto"/>
                <w:sz w:val="24"/>
                <w:highlight w:val="none"/>
              </w:rPr>
            </w:pPr>
          </w:p>
        </w:tc>
        <w:tc>
          <w:tcPr>
            <w:tcW w:w="2410" w:type="dxa"/>
            <w:vAlign w:val="center"/>
          </w:tcPr>
          <w:p w14:paraId="3849A61C">
            <w:pPr>
              <w:snapToGrid w:val="0"/>
              <w:spacing w:line="360" w:lineRule="auto"/>
              <w:jc w:val="center"/>
              <w:rPr>
                <w:rFonts w:ascii="宋体" w:hAnsi="宋体" w:cs="宋体"/>
                <w:color w:val="auto"/>
                <w:sz w:val="24"/>
                <w:highlight w:val="none"/>
              </w:rPr>
            </w:pPr>
          </w:p>
        </w:tc>
        <w:tc>
          <w:tcPr>
            <w:tcW w:w="2268" w:type="dxa"/>
            <w:vAlign w:val="center"/>
          </w:tcPr>
          <w:p w14:paraId="190941CB">
            <w:pPr>
              <w:snapToGrid w:val="0"/>
              <w:spacing w:line="360" w:lineRule="auto"/>
              <w:jc w:val="center"/>
              <w:rPr>
                <w:rFonts w:ascii="宋体" w:hAnsi="宋体" w:cs="宋体"/>
                <w:color w:val="auto"/>
                <w:sz w:val="24"/>
                <w:highlight w:val="none"/>
              </w:rPr>
            </w:pPr>
          </w:p>
        </w:tc>
        <w:tc>
          <w:tcPr>
            <w:tcW w:w="2126" w:type="dxa"/>
            <w:vAlign w:val="center"/>
          </w:tcPr>
          <w:p w14:paraId="6C06338E">
            <w:pPr>
              <w:spacing w:line="360" w:lineRule="auto"/>
              <w:jc w:val="center"/>
              <w:rPr>
                <w:rFonts w:ascii="宋体" w:hAnsi="宋体" w:cs="宋体"/>
                <w:color w:val="auto"/>
                <w:sz w:val="24"/>
                <w:highlight w:val="none"/>
              </w:rPr>
            </w:pPr>
          </w:p>
        </w:tc>
        <w:tc>
          <w:tcPr>
            <w:tcW w:w="2127" w:type="dxa"/>
          </w:tcPr>
          <w:p w14:paraId="389939C0">
            <w:pPr>
              <w:spacing w:line="360" w:lineRule="auto"/>
              <w:jc w:val="center"/>
              <w:rPr>
                <w:rFonts w:ascii="宋体" w:hAnsi="宋体" w:cs="宋体"/>
                <w:color w:val="auto"/>
                <w:sz w:val="24"/>
                <w:highlight w:val="none"/>
              </w:rPr>
            </w:pPr>
          </w:p>
        </w:tc>
        <w:tc>
          <w:tcPr>
            <w:tcW w:w="2126" w:type="dxa"/>
            <w:vAlign w:val="center"/>
          </w:tcPr>
          <w:p w14:paraId="539620E5">
            <w:pPr>
              <w:spacing w:line="360" w:lineRule="auto"/>
              <w:jc w:val="center"/>
              <w:rPr>
                <w:rFonts w:ascii="宋体" w:hAnsi="宋体" w:cs="宋体"/>
                <w:color w:val="auto"/>
                <w:sz w:val="24"/>
                <w:highlight w:val="none"/>
              </w:rPr>
            </w:pPr>
          </w:p>
        </w:tc>
      </w:tr>
      <w:tr w14:paraId="2840DAFE">
        <w:trPr>
          <w:trHeight w:val="453" w:hRule="atLeast"/>
        </w:trPr>
        <w:tc>
          <w:tcPr>
            <w:tcW w:w="817" w:type="dxa"/>
            <w:vAlign w:val="center"/>
          </w:tcPr>
          <w:p w14:paraId="5AB956C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1E722D86">
            <w:pPr>
              <w:snapToGrid w:val="0"/>
              <w:spacing w:line="360" w:lineRule="auto"/>
              <w:jc w:val="center"/>
              <w:rPr>
                <w:rFonts w:ascii="宋体" w:hAnsi="宋体" w:cs="宋体"/>
                <w:color w:val="auto"/>
                <w:sz w:val="24"/>
                <w:highlight w:val="none"/>
              </w:rPr>
            </w:pPr>
          </w:p>
        </w:tc>
        <w:tc>
          <w:tcPr>
            <w:tcW w:w="2268" w:type="dxa"/>
            <w:vAlign w:val="center"/>
          </w:tcPr>
          <w:p w14:paraId="04105224">
            <w:pPr>
              <w:snapToGrid w:val="0"/>
              <w:spacing w:line="360" w:lineRule="auto"/>
              <w:jc w:val="center"/>
              <w:rPr>
                <w:rFonts w:ascii="宋体" w:hAnsi="宋体" w:cs="宋体"/>
                <w:color w:val="auto"/>
                <w:sz w:val="24"/>
                <w:highlight w:val="none"/>
              </w:rPr>
            </w:pPr>
          </w:p>
        </w:tc>
        <w:tc>
          <w:tcPr>
            <w:tcW w:w="2410" w:type="dxa"/>
            <w:vAlign w:val="center"/>
          </w:tcPr>
          <w:p w14:paraId="4FAFD093">
            <w:pPr>
              <w:snapToGrid w:val="0"/>
              <w:spacing w:line="360" w:lineRule="auto"/>
              <w:jc w:val="center"/>
              <w:rPr>
                <w:rFonts w:ascii="宋体" w:hAnsi="宋体" w:cs="宋体"/>
                <w:color w:val="auto"/>
                <w:sz w:val="24"/>
                <w:highlight w:val="none"/>
              </w:rPr>
            </w:pPr>
          </w:p>
        </w:tc>
        <w:tc>
          <w:tcPr>
            <w:tcW w:w="2268" w:type="dxa"/>
            <w:vAlign w:val="center"/>
          </w:tcPr>
          <w:p w14:paraId="18282E1F">
            <w:pPr>
              <w:snapToGrid w:val="0"/>
              <w:spacing w:line="360" w:lineRule="auto"/>
              <w:jc w:val="center"/>
              <w:rPr>
                <w:rFonts w:ascii="宋体" w:hAnsi="宋体" w:cs="宋体"/>
                <w:color w:val="auto"/>
                <w:sz w:val="24"/>
                <w:highlight w:val="none"/>
              </w:rPr>
            </w:pPr>
          </w:p>
        </w:tc>
        <w:tc>
          <w:tcPr>
            <w:tcW w:w="2126" w:type="dxa"/>
            <w:vAlign w:val="center"/>
          </w:tcPr>
          <w:p w14:paraId="562EBBB9">
            <w:pPr>
              <w:spacing w:line="360" w:lineRule="auto"/>
              <w:jc w:val="center"/>
              <w:rPr>
                <w:rFonts w:ascii="宋体" w:hAnsi="宋体" w:cs="宋体"/>
                <w:color w:val="auto"/>
                <w:sz w:val="24"/>
                <w:highlight w:val="none"/>
              </w:rPr>
            </w:pPr>
          </w:p>
        </w:tc>
        <w:tc>
          <w:tcPr>
            <w:tcW w:w="2127" w:type="dxa"/>
          </w:tcPr>
          <w:p w14:paraId="0565C690">
            <w:pPr>
              <w:spacing w:line="360" w:lineRule="auto"/>
              <w:jc w:val="center"/>
              <w:rPr>
                <w:rFonts w:ascii="宋体" w:hAnsi="宋体" w:cs="宋体"/>
                <w:color w:val="auto"/>
                <w:sz w:val="24"/>
                <w:highlight w:val="none"/>
              </w:rPr>
            </w:pPr>
          </w:p>
        </w:tc>
        <w:tc>
          <w:tcPr>
            <w:tcW w:w="2126" w:type="dxa"/>
            <w:vAlign w:val="center"/>
          </w:tcPr>
          <w:p w14:paraId="1E63752A">
            <w:pPr>
              <w:spacing w:line="360" w:lineRule="auto"/>
              <w:jc w:val="center"/>
              <w:rPr>
                <w:rFonts w:ascii="宋体" w:hAnsi="宋体" w:cs="宋体"/>
                <w:color w:val="auto"/>
                <w:sz w:val="24"/>
                <w:highlight w:val="none"/>
              </w:rPr>
            </w:pPr>
          </w:p>
        </w:tc>
      </w:tr>
      <w:tr w14:paraId="0380927E">
        <w:trPr>
          <w:trHeight w:val="453" w:hRule="atLeast"/>
        </w:trPr>
        <w:tc>
          <w:tcPr>
            <w:tcW w:w="817" w:type="dxa"/>
            <w:vAlign w:val="center"/>
          </w:tcPr>
          <w:p w14:paraId="0C7DDE85">
            <w:pPr>
              <w:spacing w:line="360" w:lineRule="auto"/>
              <w:jc w:val="center"/>
              <w:rPr>
                <w:rFonts w:ascii="宋体" w:hAnsi="宋体" w:cs="宋体"/>
                <w:color w:val="auto"/>
                <w:sz w:val="24"/>
                <w:highlight w:val="none"/>
              </w:rPr>
            </w:pPr>
          </w:p>
        </w:tc>
        <w:tc>
          <w:tcPr>
            <w:tcW w:w="992" w:type="dxa"/>
            <w:vAlign w:val="center"/>
          </w:tcPr>
          <w:p w14:paraId="7D7AC6D3">
            <w:pPr>
              <w:snapToGrid w:val="0"/>
              <w:spacing w:line="360" w:lineRule="auto"/>
              <w:jc w:val="center"/>
              <w:rPr>
                <w:rFonts w:ascii="宋体" w:hAnsi="宋体" w:cs="宋体"/>
                <w:color w:val="auto"/>
                <w:sz w:val="24"/>
                <w:highlight w:val="none"/>
              </w:rPr>
            </w:pPr>
          </w:p>
        </w:tc>
        <w:tc>
          <w:tcPr>
            <w:tcW w:w="2268" w:type="dxa"/>
            <w:vAlign w:val="center"/>
          </w:tcPr>
          <w:p w14:paraId="65D05E8F">
            <w:pPr>
              <w:snapToGrid w:val="0"/>
              <w:spacing w:line="360" w:lineRule="auto"/>
              <w:jc w:val="center"/>
              <w:rPr>
                <w:rFonts w:ascii="宋体" w:hAnsi="宋体" w:cs="宋体"/>
                <w:color w:val="auto"/>
                <w:sz w:val="24"/>
                <w:highlight w:val="none"/>
              </w:rPr>
            </w:pPr>
          </w:p>
        </w:tc>
        <w:tc>
          <w:tcPr>
            <w:tcW w:w="2410" w:type="dxa"/>
            <w:vAlign w:val="center"/>
          </w:tcPr>
          <w:p w14:paraId="324B08DF">
            <w:pPr>
              <w:snapToGrid w:val="0"/>
              <w:spacing w:line="360" w:lineRule="auto"/>
              <w:jc w:val="center"/>
              <w:rPr>
                <w:rFonts w:ascii="宋体" w:hAnsi="宋体" w:cs="宋体"/>
                <w:color w:val="auto"/>
                <w:sz w:val="24"/>
                <w:highlight w:val="none"/>
              </w:rPr>
            </w:pPr>
          </w:p>
        </w:tc>
        <w:tc>
          <w:tcPr>
            <w:tcW w:w="2268" w:type="dxa"/>
            <w:vAlign w:val="center"/>
          </w:tcPr>
          <w:p w14:paraId="1E76A09C">
            <w:pPr>
              <w:snapToGrid w:val="0"/>
              <w:spacing w:line="360" w:lineRule="auto"/>
              <w:jc w:val="center"/>
              <w:rPr>
                <w:rFonts w:ascii="宋体" w:hAnsi="宋体" w:cs="宋体"/>
                <w:color w:val="auto"/>
                <w:sz w:val="24"/>
                <w:highlight w:val="none"/>
              </w:rPr>
            </w:pPr>
          </w:p>
        </w:tc>
        <w:tc>
          <w:tcPr>
            <w:tcW w:w="2126" w:type="dxa"/>
            <w:vAlign w:val="center"/>
          </w:tcPr>
          <w:p w14:paraId="318673BA">
            <w:pPr>
              <w:spacing w:line="360" w:lineRule="auto"/>
              <w:jc w:val="center"/>
              <w:rPr>
                <w:rFonts w:ascii="宋体" w:hAnsi="宋体" w:cs="宋体"/>
                <w:color w:val="auto"/>
                <w:sz w:val="24"/>
                <w:highlight w:val="none"/>
              </w:rPr>
            </w:pPr>
          </w:p>
        </w:tc>
        <w:tc>
          <w:tcPr>
            <w:tcW w:w="2127" w:type="dxa"/>
          </w:tcPr>
          <w:p w14:paraId="2BC5FE44">
            <w:pPr>
              <w:spacing w:line="360" w:lineRule="auto"/>
              <w:jc w:val="center"/>
              <w:rPr>
                <w:rFonts w:ascii="宋体" w:hAnsi="宋体" w:cs="宋体"/>
                <w:color w:val="auto"/>
                <w:sz w:val="24"/>
                <w:highlight w:val="none"/>
              </w:rPr>
            </w:pPr>
          </w:p>
        </w:tc>
        <w:tc>
          <w:tcPr>
            <w:tcW w:w="2126" w:type="dxa"/>
            <w:vAlign w:val="center"/>
          </w:tcPr>
          <w:p w14:paraId="3DAF26D8">
            <w:pPr>
              <w:spacing w:line="360" w:lineRule="auto"/>
              <w:jc w:val="center"/>
              <w:rPr>
                <w:rFonts w:ascii="宋体" w:hAnsi="宋体" w:cs="宋体"/>
                <w:color w:val="auto"/>
                <w:sz w:val="24"/>
                <w:highlight w:val="none"/>
              </w:rPr>
            </w:pPr>
          </w:p>
        </w:tc>
      </w:tr>
      <w:tr w14:paraId="22E83C6A">
        <w:trPr>
          <w:trHeight w:val="453" w:hRule="atLeast"/>
        </w:trPr>
        <w:tc>
          <w:tcPr>
            <w:tcW w:w="817" w:type="dxa"/>
            <w:vAlign w:val="center"/>
          </w:tcPr>
          <w:p w14:paraId="3F57B0C6">
            <w:pPr>
              <w:spacing w:line="360" w:lineRule="auto"/>
              <w:jc w:val="center"/>
              <w:rPr>
                <w:rFonts w:ascii="宋体" w:hAnsi="宋体" w:cs="宋体"/>
                <w:color w:val="auto"/>
                <w:sz w:val="24"/>
                <w:highlight w:val="none"/>
              </w:rPr>
            </w:pPr>
          </w:p>
        </w:tc>
        <w:tc>
          <w:tcPr>
            <w:tcW w:w="992" w:type="dxa"/>
            <w:vAlign w:val="center"/>
          </w:tcPr>
          <w:p w14:paraId="7028BCCB">
            <w:pPr>
              <w:snapToGrid w:val="0"/>
              <w:spacing w:line="360" w:lineRule="auto"/>
              <w:jc w:val="center"/>
              <w:rPr>
                <w:rFonts w:ascii="宋体" w:hAnsi="宋体" w:cs="宋体"/>
                <w:color w:val="auto"/>
                <w:sz w:val="24"/>
                <w:highlight w:val="none"/>
              </w:rPr>
            </w:pPr>
          </w:p>
        </w:tc>
        <w:tc>
          <w:tcPr>
            <w:tcW w:w="2268" w:type="dxa"/>
            <w:vAlign w:val="center"/>
          </w:tcPr>
          <w:p w14:paraId="2F52F3E8">
            <w:pPr>
              <w:snapToGrid w:val="0"/>
              <w:spacing w:line="360" w:lineRule="auto"/>
              <w:jc w:val="center"/>
              <w:rPr>
                <w:rFonts w:ascii="宋体" w:hAnsi="宋体" w:cs="宋体"/>
                <w:color w:val="auto"/>
                <w:sz w:val="24"/>
                <w:highlight w:val="none"/>
              </w:rPr>
            </w:pPr>
          </w:p>
        </w:tc>
        <w:tc>
          <w:tcPr>
            <w:tcW w:w="2410" w:type="dxa"/>
            <w:vAlign w:val="center"/>
          </w:tcPr>
          <w:p w14:paraId="6AEF373D">
            <w:pPr>
              <w:snapToGrid w:val="0"/>
              <w:spacing w:line="360" w:lineRule="auto"/>
              <w:jc w:val="center"/>
              <w:rPr>
                <w:rFonts w:ascii="宋体" w:hAnsi="宋体" w:cs="宋体"/>
                <w:color w:val="auto"/>
                <w:sz w:val="24"/>
                <w:highlight w:val="none"/>
              </w:rPr>
            </w:pPr>
          </w:p>
        </w:tc>
        <w:tc>
          <w:tcPr>
            <w:tcW w:w="2268" w:type="dxa"/>
            <w:vAlign w:val="center"/>
          </w:tcPr>
          <w:p w14:paraId="694C414B">
            <w:pPr>
              <w:snapToGrid w:val="0"/>
              <w:spacing w:line="360" w:lineRule="auto"/>
              <w:jc w:val="center"/>
              <w:rPr>
                <w:rFonts w:ascii="宋体" w:hAnsi="宋体" w:cs="宋体"/>
                <w:color w:val="auto"/>
                <w:sz w:val="24"/>
                <w:highlight w:val="none"/>
              </w:rPr>
            </w:pPr>
          </w:p>
        </w:tc>
        <w:tc>
          <w:tcPr>
            <w:tcW w:w="2126" w:type="dxa"/>
            <w:vAlign w:val="center"/>
          </w:tcPr>
          <w:p w14:paraId="0FC33F15">
            <w:pPr>
              <w:spacing w:line="360" w:lineRule="auto"/>
              <w:jc w:val="center"/>
              <w:rPr>
                <w:rFonts w:ascii="宋体" w:hAnsi="宋体" w:cs="宋体"/>
                <w:color w:val="auto"/>
                <w:sz w:val="24"/>
                <w:highlight w:val="none"/>
              </w:rPr>
            </w:pPr>
          </w:p>
        </w:tc>
        <w:tc>
          <w:tcPr>
            <w:tcW w:w="2127" w:type="dxa"/>
          </w:tcPr>
          <w:p w14:paraId="7F55A686">
            <w:pPr>
              <w:spacing w:line="360" w:lineRule="auto"/>
              <w:jc w:val="center"/>
              <w:rPr>
                <w:rFonts w:ascii="宋体" w:hAnsi="宋体" w:cs="宋体"/>
                <w:color w:val="auto"/>
                <w:sz w:val="24"/>
                <w:highlight w:val="none"/>
              </w:rPr>
            </w:pPr>
          </w:p>
        </w:tc>
        <w:tc>
          <w:tcPr>
            <w:tcW w:w="2126" w:type="dxa"/>
            <w:vAlign w:val="center"/>
          </w:tcPr>
          <w:p w14:paraId="726C13C0">
            <w:pPr>
              <w:spacing w:line="360" w:lineRule="auto"/>
              <w:jc w:val="center"/>
              <w:rPr>
                <w:rFonts w:ascii="宋体" w:hAnsi="宋体" w:cs="宋体"/>
                <w:color w:val="auto"/>
                <w:sz w:val="24"/>
                <w:highlight w:val="none"/>
              </w:rPr>
            </w:pPr>
          </w:p>
        </w:tc>
      </w:tr>
      <w:tr w14:paraId="751493D7">
        <w:trPr>
          <w:trHeight w:val="659" w:hRule="atLeast"/>
        </w:trPr>
        <w:tc>
          <w:tcPr>
            <w:tcW w:w="6487" w:type="dxa"/>
            <w:gridSpan w:val="4"/>
            <w:vAlign w:val="center"/>
          </w:tcPr>
          <w:p w14:paraId="27E73FE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0F63FBC2">
            <w:pPr>
              <w:spacing w:line="360" w:lineRule="auto"/>
              <w:jc w:val="center"/>
              <w:rPr>
                <w:rFonts w:ascii="宋体" w:hAnsi="宋体" w:cs="宋体"/>
                <w:color w:val="auto"/>
                <w:sz w:val="24"/>
                <w:highlight w:val="none"/>
              </w:rPr>
            </w:pPr>
          </w:p>
        </w:tc>
      </w:tr>
      <w:tr w14:paraId="04DD1C7D">
        <w:trPr>
          <w:trHeight w:val="597" w:hRule="atLeast"/>
        </w:trPr>
        <w:tc>
          <w:tcPr>
            <w:tcW w:w="6487" w:type="dxa"/>
            <w:gridSpan w:val="4"/>
            <w:vAlign w:val="center"/>
          </w:tcPr>
          <w:p w14:paraId="5B67716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56F87CA4">
            <w:pPr>
              <w:spacing w:line="360" w:lineRule="auto"/>
              <w:jc w:val="center"/>
              <w:rPr>
                <w:rFonts w:ascii="宋体" w:hAnsi="宋体" w:cs="宋体"/>
                <w:color w:val="auto"/>
                <w:sz w:val="24"/>
                <w:highlight w:val="none"/>
              </w:rPr>
            </w:pPr>
          </w:p>
        </w:tc>
      </w:tr>
    </w:tbl>
    <w:p w14:paraId="1CB4A59E">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D8F53E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F3CDB9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797BA66">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EEE3A74">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D7AEC55">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D544830">
      <w:pPr>
        <w:pStyle w:val="695"/>
        <w:keepNext w:val="0"/>
        <w:pageBreakBefore w:val="0"/>
        <w:numPr>
          <w:ilvl w:val="0"/>
          <w:numId w:val="2"/>
        </w:numP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w:t>
      </w:r>
      <w:r>
        <w:rPr>
          <w:rFonts w:hint="eastAsia" w:ascii="宋体" w:hAnsi="宋体" w:eastAsia="宋体" w:cs="宋体"/>
          <w:color w:val="auto"/>
          <w:sz w:val="32"/>
          <w:szCs w:val="32"/>
          <w:highlight w:val="none"/>
        </w:rPr>
        <w:t>（如果有）</w:t>
      </w:r>
    </w:p>
    <w:p w14:paraId="50C7342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若投标人报价低于本项目预算50%，有可能影响产品质量或者不能诚信履约的，建议提供书面说明或者提交相关证明材料证明其报价合理性的。</w:t>
      </w:r>
    </w:p>
    <w:p w14:paraId="5DB04469">
      <w:pPr>
        <w:pStyle w:val="695"/>
        <w:keepNext w:val="0"/>
        <w:pageBreakBefore w:val="0"/>
        <w:numPr>
          <w:ilvl w:val="0"/>
          <w:numId w:val="2"/>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中小企业声明函或属于监狱企业证明文件或残疾人福利性单位声明函（如果有）</w:t>
      </w:r>
    </w:p>
    <w:p w14:paraId="279532EE">
      <w:pPr>
        <w:ind w:left="3" w:hanging="3"/>
        <w:rPr>
          <w:color w:val="auto"/>
          <w:highlight w:val="none"/>
        </w:rPr>
      </w:pPr>
      <w:r>
        <w:rPr>
          <w:rFonts w:hint="eastAsia"/>
          <w:color w:val="auto"/>
          <w:highlight w:val="none"/>
        </w:rPr>
        <w:t>（</w:t>
      </w: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或残疾人福利性单位声明函或由省级以上监狱管理局、戒毒管理局（含新疆生产建设兵团）出具的属于监狱企业的证明文件。）</w:t>
      </w:r>
    </w:p>
    <w:p w14:paraId="3509463B">
      <w:pPr>
        <w:rPr>
          <w:color w:val="auto"/>
          <w:highlight w:val="none"/>
        </w:rPr>
      </w:pPr>
    </w:p>
    <w:p w14:paraId="41F97215">
      <w:pPr>
        <w:pStyle w:val="695"/>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14:paraId="3957E924">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06" w:name="_Toc465665161"/>
      <w:r>
        <w:rPr>
          <w:rFonts w:hint="eastAsia" w:ascii="宋体" w:hAnsi="宋体" w:cs="宋体"/>
          <w:color w:val="auto"/>
          <w:highlight w:val="none"/>
        </w:rPr>
        <w:t>附件</w:t>
      </w:r>
      <w:bookmarkEnd w:id="406"/>
    </w:p>
    <w:p w14:paraId="026D9307">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BD87CE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14:paraId="410D8DDF">
      <w:pPr>
        <w:spacing w:line="360" w:lineRule="auto"/>
        <w:rPr>
          <w:rFonts w:ascii="宋体" w:hAnsi="宋体" w:cs="宋体"/>
          <w:b/>
          <w:color w:val="auto"/>
          <w:spacing w:val="6"/>
          <w:sz w:val="30"/>
          <w:szCs w:val="30"/>
          <w:highlight w:val="none"/>
        </w:rPr>
      </w:pPr>
    </w:p>
    <w:p w14:paraId="2E74A4FC">
      <w:pPr>
        <w:tabs>
          <w:tab w:val="left" w:pos="4860"/>
        </w:tabs>
        <w:spacing w:line="360" w:lineRule="auto"/>
        <w:ind w:right="450"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kern w:val="0"/>
          <w:sz w:val="24"/>
          <w:highlight w:val="none"/>
          <w:u w:val="single"/>
          <w:lang w:val="zh-CN"/>
        </w:rPr>
        <w:t>浙江省交通运输厅（</w:t>
      </w:r>
      <w:r>
        <w:rPr>
          <w:rFonts w:hint="eastAsia" w:ascii="宋体" w:hAnsi="宋体" w:cs="宋体"/>
          <w:color w:val="auto"/>
          <w:kern w:val="0"/>
          <w:sz w:val="24"/>
          <w:highlight w:val="none"/>
          <w:lang w:val="zh-CN"/>
        </w:rPr>
        <w:t>采购人）单位的</w:t>
      </w:r>
      <w:r>
        <w:rPr>
          <w:rFonts w:hint="eastAsia" w:ascii="宋体" w:hAnsi="宋体" w:cs="宋体"/>
          <w:color w:val="auto"/>
          <w:kern w:val="0"/>
          <w:sz w:val="24"/>
          <w:highlight w:val="none"/>
          <w:u w:val="single"/>
          <w:lang w:val="zh-CN"/>
        </w:rPr>
        <w:t>内河航道工程项目投融资模式创新研究</w:t>
      </w:r>
      <w:r>
        <w:rPr>
          <w:rFonts w:hint="eastAsia" w:ascii="宋体" w:hAnsi="宋体" w:cs="宋体"/>
          <w:color w:val="auto"/>
          <w:kern w:val="0"/>
          <w:sz w:val="24"/>
          <w:highlight w:val="none"/>
          <w:lang w:val="zh-CN"/>
        </w:rPr>
        <w:t>（项目名称）项目由本单位提供服务。</w:t>
      </w:r>
    </w:p>
    <w:p w14:paraId="4EC38097">
      <w:pPr>
        <w:tabs>
          <w:tab w:val="left" w:pos="4860"/>
        </w:tabs>
        <w:spacing w:line="360" w:lineRule="auto"/>
        <w:ind w:right="1560"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本单位对上述声明的真实性负责。如有虚假，将依法承担相应责任。</w:t>
      </w:r>
    </w:p>
    <w:p w14:paraId="02E34320">
      <w:pPr>
        <w:snapToGrid w:val="0"/>
        <w:spacing w:line="288" w:lineRule="auto"/>
        <w:rPr>
          <w:rFonts w:ascii="宋体" w:hAnsi="宋体"/>
          <w:color w:val="auto"/>
          <w:szCs w:val="21"/>
          <w:highlight w:val="none"/>
        </w:rPr>
      </w:pPr>
    </w:p>
    <w:p w14:paraId="5555686D">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971E0D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F979E2D">
      <w:pPr>
        <w:tabs>
          <w:tab w:val="left" w:pos="4860"/>
        </w:tabs>
        <w:spacing w:line="360" w:lineRule="auto"/>
        <w:ind w:right="1560"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说明：</w:t>
      </w:r>
    </w:p>
    <w:p w14:paraId="72888D6F">
      <w:pPr>
        <w:tabs>
          <w:tab w:val="left" w:pos="4860"/>
        </w:tabs>
        <w:spacing w:line="360" w:lineRule="auto"/>
        <w:ind w:right="1560"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一、享受政府采购支持政策的残疾人福利性单位应当同时满足以下条件：</w:t>
      </w:r>
    </w:p>
    <w:p w14:paraId="7B46D41D">
      <w:pPr>
        <w:tabs>
          <w:tab w:val="left" w:pos="4860"/>
        </w:tabs>
        <w:spacing w:line="360" w:lineRule="auto"/>
        <w:ind w:right="1560"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（一）安置的残疾人占本单位在职职工人数的比例不低于25%（含25%），并且安置的残疾人人数不少于10人（含10人）；</w:t>
      </w:r>
    </w:p>
    <w:p w14:paraId="2E459439">
      <w:pPr>
        <w:tabs>
          <w:tab w:val="left" w:pos="4860"/>
        </w:tabs>
        <w:spacing w:line="360" w:lineRule="auto"/>
        <w:ind w:right="1560"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（二）依法与安置的每位残疾人签订了一年以上（含一年）的劳动合同或服务协议；</w:t>
      </w:r>
    </w:p>
    <w:p w14:paraId="3A9BAB70">
      <w:pPr>
        <w:tabs>
          <w:tab w:val="left" w:pos="4860"/>
        </w:tabs>
        <w:spacing w:line="360" w:lineRule="auto"/>
        <w:ind w:right="1560"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（三）为安置的每位残疾人按月足额缴纳了基本养老保险、基本医疗保险、失业保险、工伤保险和生育保险等社会保险费；</w:t>
      </w:r>
    </w:p>
    <w:p w14:paraId="03ED6974">
      <w:pPr>
        <w:tabs>
          <w:tab w:val="left" w:pos="4860"/>
        </w:tabs>
        <w:spacing w:line="360" w:lineRule="auto"/>
        <w:ind w:right="1560"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（四）通过银行等金融机构向安置的每位残疾人，按月支付了不低于单位所在区县适用的经省级人民政府批准的月最低工资标准的工资；</w:t>
      </w:r>
    </w:p>
    <w:p w14:paraId="61675287">
      <w:pPr>
        <w:tabs>
          <w:tab w:val="left" w:pos="4860"/>
        </w:tabs>
        <w:spacing w:line="360" w:lineRule="auto"/>
        <w:ind w:right="1560"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（五）提供本单位制造的货物、承担的工程或者服务（以下简称产品），或者提供其他残疾人福利性单位制造的货物（不包括使用非残疾人福利性单位注册商标的货物）。</w:t>
      </w:r>
    </w:p>
    <w:p w14:paraId="1A9447D0">
      <w:pPr>
        <w:tabs>
          <w:tab w:val="left" w:pos="4860"/>
        </w:tabs>
        <w:spacing w:line="360" w:lineRule="auto"/>
        <w:ind w:right="1560"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CD114B3">
      <w:pPr>
        <w:tabs>
          <w:tab w:val="left" w:pos="4860"/>
        </w:tabs>
        <w:spacing w:line="360" w:lineRule="auto"/>
        <w:ind w:right="1560"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二、符合条件的残疾人福利性单位在参加政府采购活动时，应当提供财库[2017]141号文件规定的《残疾人福利性单位声明函》，并对声明的真实性负责。</w:t>
      </w:r>
    </w:p>
    <w:p w14:paraId="2D0D59F8">
      <w:pPr>
        <w:tabs>
          <w:tab w:val="left" w:pos="4860"/>
        </w:tabs>
        <w:spacing w:line="360" w:lineRule="auto"/>
        <w:ind w:right="1560"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三、在政府采购活动中，残疾人福利性单位视同小型、微型企业，享受预留份额、评审中价格扣除等促进中小企业发展的政府采购政策。</w:t>
      </w:r>
    </w:p>
    <w:p w14:paraId="29F5BCD0">
      <w:pPr>
        <w:tabs>
          <w:tab w:val="left" w:pos="4860"/>
        </w:tabs>
        <w:spacing w:line="360" w:lineRule="auto"/>
        <w:ind w:right="1560"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残疾人福利性单位属于小型、微型企业的，不重复享受政策。</w:t>
      </w:r>
    </w:p>
    <w:p w14:paraId="5BA146F9">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15874B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A46849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1D01F01">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55049A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D1EE65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4632F1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2B0058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6F114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92C153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171068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AFFDD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D1AB3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5BEA97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82659A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D189AA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54F94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38C6AF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EDDA24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8B0437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9CCCA9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02B42E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A65FAD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E58971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86C7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FC1052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691BF9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E1E6B17">
      <w:pPr>
        <w:spacing w:line="360" w:lineRule="auto"/>
        <w:jc w:val="center"/>
        <w:rPr>
          <w:rFonts w:ascii="宋体" w:hAnsi="宋体" w:cs="宋体"/>
          <w:b/>
          <w:bCs/>
          <w:color w:val="auto"/>
          <w:sz w:val="24"/>
          <w:highlight w:val="none"/>
        </w:rPr>
      </w:pPr>
    </w:p>
    <w:p w14:paraId="1F6AD968">
      <w:pPr>
        <w:spacing w:line="360" w:lineRule="auto"/>
        <w:rPr>
          <w:rFonts w:ascii="宋体" w:hAnsi="宋体" w:cs="宋体"/>
          <w:b/>
          <w:color w:val="auto"/>
          <w:sz w:val="24"/>
          <w:highlight w:val="none"/>
        </w:rPr>
      </w:pPr>
    </w:p>
    <w:p w14:paraId="6FCD258F">
      <w:pPr>
        <w:spacing w:line="360" w:lineRule="auto"/>
        <w:rPr>
          <w:rFonts w:ascii="宋体" w:hAnsi="宋体" w:cs="宋体"/>
          <w:b/>
          <w:color w:val="auto"/>
          <w:sz w:val="24"/>
          <w:highlight w:val="none"/>
        </w:rPr>
      </w:pPr>
    </w:p>
    <w:p w14:paraId="2DDBCD84">
      <w:pPr>
        <w:spacing w:line="360" w:lineRule="auto"/>
        <w:rPr>
          <w:rFonts w:ascii="宋体" w:hAnsi="宋体" w:cs="宋体"/>
          <w:b/>
          <w:color w:val="auto"/>
          <w:sz w:val="24"/>
          <w:highlight w:val="none"/>
        </w:rPr>
      </w:pPr>
    </w:p>
    <w:p w14:paraId="754B8FD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46B5EF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789C9E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908EB7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1CF7BD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AFCD8F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4A3112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2CB2152">
      <w:pPr>
        <w:widowControl/>
        <w:spacing w:line="360" w:lineRule="auto"/>
        <w:ind w:firstLine="600" w:firstLineChars="200"/>
        <w:jc w:val="left"/>
        <w:rPr>
          <w:rFonts w:ascii="宋体" w:hAnsi="宋体" w:cs="宋体"/>
          <w:color w:val="auto"/>
          <w:sz w:val="30"/>
          <w:szCs w:val="30"/>
          <w:highlight w:val="none"/>
        </w:rPr>
      </w:pPr>
    </w:p>
    <w:p w14:paraId="27725B4E">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6DAD95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7DCAAC1">
      <w:pPr>
        <w:spacing w:line="360" w:lineRule="auto"/>
        <w:jc w:val="center"/>
        <w:rPr>
          <w:rFonts w:ascii="宋体" w:hAnsi="宋体" w:cs="宋体"/>
          <w:b/>
          <w:color w:val="auto"/>
          <w:sz w:val="24"/>
          <w:highlight w:val="none"/>
        </w:rPr>
      </w:pPr>
    </w:p>
    <w:p w14:paraId="0B6670C4">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6718B7D0">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B014576">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963559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9A5300A">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89053E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968C12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0739732">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27F04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14D45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EFBFE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C8D944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F2858E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DEFC3E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A61D22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887411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462A0DE">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3E2F31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EBE477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F4CD918">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00CD37">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E1EC1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18A916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AB7ECD5">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D17B139">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22B5B3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D18D3A7">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B2B1FF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56214D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D49495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08C91B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0A504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DBC755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71E05E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B0C2D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486DC3A">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B3A3C88">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5B860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A777E5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A36891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30FFBD3">
      <w:pPr>
        <w:spacing w:line="360" w:lineRule="auto"/>
        <w:rPr>
          <w:rFonts w:ascii="宋体" w:hAnsi="宋体" w:cs="宋体"/>
          <w:b/>
          <w:color w:val="auto"/>
          <w:sz w:val="24"/>
          <w:highlight w:val="none"/>
        </w:rPr>
      </w:pPr>
    </w:p>
    <w:p w14:paraId="21F598E8">
      <w:pPr>
        <w:spacing w:line="360" w:lineRule="auto"/>
        <w:rPr>
          <w:rFonts w:ascii="宋体" w:hAnsi="宋体" w:cs="宋体"/>
          <w:b/>
          <w:color w:val="auto"/>
          <w:sz w:val="24"/>
          <w:highlight w:val="none"/>
        </w:rPr>
      </w:pPr>
    </w:p>
    <w:p w14:paraId="6E576B9D">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4C676F7">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7A0DC5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089F0B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48C01B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C481CC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E07303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D09F46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1E10BF6">
      <w:pPr>
        <w:spacing w:line="360" w:lineRule="auto"/>
        <w:rPr>
          <w:rFonts w:ascii="宋体" w:hAnsi="宋体" w:cs="宋体"/>
          <w:b/>
          <w:color w:val="auto"/>
          <w:sz w:val="24"/>
          <w:highlight w:val="none"/>
        </w:rPr>
      </w:pPr>
    </w:p>
    <w:p w14:paraId="4F27627A">
      <w:pPr>
        <w:autoSpaceDE w:val="0"/>
        <w:autoSpaceDN w:val="0"/>
        <w:jc w:val="center"/>
        <w:rPr>
          <w:rFonts w:ascii="宋体" w:hAnsi="宋体" w:cs="宋体"/>
          <w:b/>
          <w:color w:val="auto"/>
          <w:spacing w:val="6"/>
          <w:sz w:val="32"/>
          <w:szCs w:val="32"/>
          <w:highlight w:val="none"/>
        </w:rPr>
      </w:pPr>
    </w:p>
    <w:p w14:paraId="67B32E5D">
      <w:pPr>
        <w:autoSpaceDE w:val="0"/>
        <w:autoSpaceDN w:val="0"/>
        <w:jc w:val="center"/>
        <w:rPr>
          <w:rFonts w:ascii="宋体" w:hAnsi="宋体" w:cs="宋体"/>
          <w:b/>
          <w:color w:val="auto"/>
          <w:spacing w:val="6"/>
          <w:sz w:val="32"/>
          <w:szCs w:val="32"/>
          <w:highlight w:val="none"/>
        </w:rPr>
      </w:pPr>
    </w:p>
    <w:p w14:paraId="3D1DC2AC">
      <w:pPr>
        <w:autoSpaceDE w:val="0"/>
        <w:autoSpaceDN w:val="0"/>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1DC6F99">
      <w:pPr>
        <w:spacing w:line="360" w:lineRule="auto"/>
        <w:rPr>
          <w:rFonts w:ascii="宋体" w:hAnsi="宋体" w:cs="宋体"/>
          <w:color w:val="auto"/>
          <w:sz w:val="24"/>
          <w:highlight w:val="none"/>
          <w:u w:val="single"/>
        </w:rPr>
      </w:pPr>
    </w:p>
    <w:p w14:paraId="22C1C80E">
      <w:pPr>
        <w:spacing w:line="360" w:lineRule="auto"/>
        <w:rPr>
          <w:rFonts w:ascii="宋体" w:hAnsi="宋体" w:cs="宋体"/>
          <w:color w:val="auto"/>
          <w:sz w:val="24"/>
          <w:highlight w:val="none"/>
        </w:rPr>
      </w:pPr>
      <w:r>
        <w:rPr>
          <w:rFonts w:hint="eastAsia" w:ascii="宋体" w:hAnsi="宋体" w:cs="宋体"/>
          <w:color w:val="auto"/>
          <w:sz w:val="24"/>
          <w:highlight w:val="none"/>
          <w:u w:val="single"/>
        </w:rPr>
        <w:t>浙江省交通运输厅、浙江华耀建设咨询有限公司：</w:t>
      </w:r>
    </w:p>
    <w:p w14:paraId="158984F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内河航道工程项目投融资模式创新研究</w:t>
      </w:r>
      <w:r>
        <w:rPr>
          <w:rFonts w:hint="eastAsia" w:ascii="宋体" w:hAnsi="宋体" w:cs="宋体"/>
          <w:color w:val="auto"/>
          <w:sz w:val="24"/>
          <w:highlight w:val="none"/>
        </w:rPr>
        <w:t>【招标编号：</w:t>
      </w:r>
      <w:r>
        <w:rPr>
          <w:rFonts w:hint="eastAsia" w:ascii="宋体" w:hAnsi="宋体" w:cs="宋体"/>
          <w:color w:val="auto"/>
          <w:sz w:val="24"/>
          <w:highlight w:val="none"/>
          <w:u w:val="single"/>
        </w:rPr>
        <w:t>ZJHY-SJTYST-202514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B03C5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9D4AB10">
      <w:pPr>
        <w:spacing w:line="360" w:lineRule="auto"/>
        <w:ind w:firstLine="494"/>
        <w:rPr>
          <w:rFonts w:ascii="宋体" w:hAnsi="宋体" w:cs="宋体"/>
          <w:color w:val="auto"/>
          <w:sz w:val="24"/>
          <w:highlight w:val="none"/>
        </w:rPr>
      </w:pPr>
    </w:p>
    <w:p w14:paraId="4C853327">
      <w:pPr>
        <w:spacing w:line="360" w:lineRule="auto"/>
        <w:ind w:firstLine="494"/>
        <w:rPr>
          <w:rFonts w:ascii="宋体" w:hAnsi="宋体" w:cs="宋体"/>
          <w:color w:val="auto"/>
          <w:sz w:val="24"/>
          <w:highlight w:val="none"/>
        </w:rPr>
      </w:pPr>
    </w:p>
    <w:p w14:paraId="4B78A17A">
      <w:pPr>
        <w:spacing w:line="360" w:lineRule="auto"/>
        <w:ind w:firstLine="494"/>
        <w:rPr>
          <w:rFonts w:ascii="宋体" w:hAnsi="宋体" w:cs="宋体"/>
          <w:color w:val="auto"/>
          <w:sz w:val="24"/>
          <w:highlight w:val="none"/>
        </w:rPr>
      </w:pPr>
    </w:p>
    <w:p w14:paraId="4A2CE618">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81418A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F55FED3">
      <w:pPr>
        <w:rPr>
          <w:rFonts w:ascii="宋体" w:hAnsi="宋体" w:cs="宋体"/>
          <w:color w:val="auto"/>
          <w:sz w:val="24"/>
          <w:highlight w:val="none"/>
        </w:rPr>
      </w:pPr>
      <w:r>
        <w:rPr>
          <w:rFonts w:hint="eastAsia" w:ascii="宋体" w:hAnsi="宋体" w:cs="宋体"/>
          <w:b/>
          <w:bCs/>
          <w:color w:val="auto"/>
          <w:sz w:val="24"/>
          <w:highlight w:val="none"/>
        </w:rPr>
        <w:t>附：</w:t>
      </w:r>
    </w:p>
    <w:p w14:paraId="49C71E7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3FD62C8">
      <w:pPr>
        <w:autoSpaceDE w:val="0"/>
        <w:autoSpaceDN w:val="0"/>
        <w:jc w:val="center"/>
        <w:rPr>
          <w:rFonts w:ascii="宋体" w:hAnsi="宋体" w:cs="宋体"/>
          <w:b/>
          <w:color w:val="auto"/>
          <w:spacing w:val="6"/>
          <w:sz w:val="32"/>
          <w:szCs w:val="32"/>
          <w:highlight w:val="none"/>
        </w:rPr>
      </w:pPr>
    </w:p>
    <w:p w14:paraId="78DD6DC3">
      <w:pPr>
        <w:autoSpaceDE w:val="0"/>
        <w:autoSpaceDN w:val="0"/>
        <w:jc w:val="center"/>
        <w:rPr>
          <w:rFonts w:ascii="宋体" w:hAnsi="宋体" w:cs="宋体"/>
          <w:b/>
          <w:color w:val="auto"/>
          <w:spacing w:val="6"/>
          <w:sz w:val="32"/>
          <w:szCs w:val="32"/>
          <w:highlight w:val="none"/>
        </w:rPr>
      </w:pPr>
    </w:p>
    <w:p w14:paraId="6D48F3BE">
      <w:pPr>
        <w:autoSpaceDE w:val="0"/>
        <w:autoSpaceDN w:val="0"/>
        <w:jc w:val="center"/>
        <w:rPr>
          <w:rFonts w:ascii="宋体" w:hAnsi="宋体" w:cs="宋体"/>
          <w:b/>
          <w:color w:val="auto"/>
          <w:spacing w:val="6"/>
          <w:sz w:val="32"/>
          <w:szCs w:val="32"/>
          <w:highlight w:val="none"/>
        </w:rPr>
      </w:pPr>
    </w:p>
    <w:p w14:paraId="0029FF35">
      <w:pPr>
        <w:autoSpaceDE w:val="0"/>
        <w:autoSpaceDN w:val="0"/>
        <w:jc w:val="center"/>
        <w:rPr>
          <w:rFonts w:ascii="宋体" w:hAnsi="宋体" w:cs="宋体"/>
          <w:b/>
          <w:color w:val="auto"/>
          <w:spacing w:val="6"/>
          <w:sz w:val="32"/>
          <w:szCs w:val="32"/>
          <w:highlight w:val="none"/>
        </w:rPr>
      </w:pPr>
    </w:p>
    <w:p w14:paraId="35B42327">
      <w:pPr>
        <w:autoSpaceDE w:val="0"/>
        <w:autoSpaceDN w:val="0"/>
        <w:jc w:val="center"/>
        <w:rPr>
          <w:rFonts w:ascii="宋体" w:hAnsi="宋体" w:cs="宋体"/>
          <w:b/>
          <w:color w:val="auto"/>
          <w:spacing w:val="6"/>
          <w:sz w:val="32"/>
          <w:szCs w:val="32"/>
          <w:highlight w:val="none"/>
        </w:rPr>
      </w:pPr>
    </w:p>
    <w:p w14:paraId="47FFC306">
      <w:pPr>
        <w:autoSpaceDE w:val="0"/>
        <w:autoSpaceDN w:val="0"/>
        <w:jc w:val="center"/>
        <w:rPr>
          <w:rFonts w:ascii="宋体" w:hAnsi="宋体" w:cs="宋体"/>
          <w:b/>
          <w:color w:val="auto"/>
          <w:spacing w:val="6"/>
          <w:sz w:val="32"/>
          <w:szCs w:val="32"/>
          <w:highlight w:val="none"/>
        </w:rPr>
      </w:pPr>
    </w:p>
    <w:p w14:paraId="49D4AC31">
      <w:pPr>
        <w:autoSpaceDE w:val="0"/>
        <w:autoSpaceDN w:val="0"/>
        <w:jc w:val="center"/>
        <w:rPr>
          <w:rFonts w:ascii="宋体" w:hAnsi="宋体" w:cs="宋体"/>
          <w:b/>
          <w:color w:val="auto"/>
          <w:spacing w:val="6"/>
          <w:sz w:val="32"/>
          <w:szCs w:val="32"/>
          <w:highlight w:val="none"/>
        </w:rPr>
      </w:pPr>
    </w:p>
    <w:p w14:paraId="073A03B3">
      <w:pPr>
        <w:autoSpaceDE w:val="0"/>
        <w:autoSpaceDN w:val="0"/>
        <w:jc w:val="center"/>
        <w:rPr>
          <w:rFonts w:ascii="宋体" w:hAnsi="宋体" w:cs="宋体"/>
          <w:b/>
          <w:color w:val="auto"/>
          <w:spacing w:val="6"/>
          <w:sz w:val="32"/>
          <w:szCs w:val="32"/>
          <w:highlight w:val="none"/>
        </w:rPr>
      </w:pPr>
    </w:p>
    <w:p w14:paraId="4DA104BB">
      <w:pPr>
        <w:autoSpaceDE w:val="0"/>
        <w:autoSpaceDN w:val="0"/>
        <w:jc w:val="center"/>
        <w:rPr>
          <w:rFonts w:ascii="宋体" w:hAnsi="宋体" w:cs="宋体"/>
          <w:b/>
          <w:color w:val="auto"/>
          <w:spacing w:val="6"/>
          <w:sz w:val="32"/>
          <w:szCs w:val="32"/>
          <w:highlight w:val="none"/>
        </w:rPr>
      </w:pPr>
    </w:p>
    <w:p w14:paraId="2C4C7854">
      <w:pPr>
        <w:autoSpaceDE w:val="0"/>
        <w:autoSpaceDN w:val="0"/>
        <w:jc w:val="center"/>
        <w:rPr>
          <w:rFonts w:ascii="宋体" w:hAnsi="宋体" w:cs="宋体"/>
          <w:b/>
          <w:color w:val="auto"/>
          <w:spacing w:val="6"/>
          <w:sz w:val="32"/>
          <w:szCs w:val="32"/>
          <w:highlight w:val="none"/>
        </w:rPr>
      </w:pPr>
    </w:p>
    <w:p w14:paraId="08DF4EDC">
      <w:pPr>
        <w:autoSpaceDE w:val="0"/>
        <w:autoSpaceDN w:val="0"/>
        <w:jc w:val="center"/>
        <w:rPr>
          <w:rFonts w:ascii="宋体" w:hAnsi="宋体" w:cs="宋体"/>
          <w:b/>
          <w:color w:val="auto"/>
          <w:spacing w:val="6"/>
          <w:sz w:val="32"/>
          <w:szCs w:val="32"/>
          <w:highlight w:val="none"/>
        </w:rPr>
      </w:pPr>
    </w:p>
    <w:p w14:paraId="78B1AC79">
      <w:pPr>
        <w:autoSpaceDE w:val="0"/>
        <w:autoSpaceDN w:val="0"/>
        <w:jc w:val="center"/>
        <w:rPr>
          <w:rFonts w:ascii="宋体" w:hAnsi="宋体" w:cs="宋体"/>
          <w:b/>
          <w:color w:val="auto"/>
          <w:spacing w:val="6"/>
          <w:sz w:val="32"/>
          <w:szCs w:val="32"/>
          <w:highlight w:val="none"/>
        </w:rPr>
      </w:pPr>
    </w:p>
    <w:p w14:paraId="574E28D9">
      <w:pPr>
        <w:autoSpaceDE w:val="0"/>
        <w:autoSpaceDN w:val="0"/>
        <w:jc w:val="center"/>
        <w:rPr>
          <w:rFonts w:ascii="宋体" w:hAnsi="宋体" w:cs="宋体"/>
          <w:b/>
          <w:color w:val="auto"/>
          <w:spacing w:val="6"/>
          <w:sz w:val="32"/>
          <w:szCs w:val="32"/>
          <w:highlight w:val="none"/>
        </w:rPr>
      </w:pPr>
    </w:p>
    <w:p w14:paraId="7E480784">
      <w:pPr>
        <w:autoSpaceDE w:val="0"/>
        <w:autoSpaceDN w:val="0"/>
        <w:jc w:val="center"/>
        <w:rPr>
          <w:rFonts w:ascii="宋体" w:hAnsi="宋体" w:cs="宋体"/>
          <w:b/>
          <w:color w:val="auto"/>
          <w:spacing w:val="6"/>
          <w:sz w:val="32"/>
          <w:szCs w:val="32"/>
          <w:highlight w:val="none"/>
        </w:rPr>
      </w:pPr>
    </w:p>
    <w:p w14:paraId="05EC5E81">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7D9D3A3">
      <w:pPr>
        <w:snapToGrid w:val="0"/>
        <w:spacing w:line="360" w:lineRule="auto"/>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7A35CBD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F4D0A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内河航道工程项目投融资模式创新研究【招标编号：ZJHY-SJTYST-202514】</w:t>
      </w:r>
      <w:r>
        <w:rPr>
          <w:rFonts w:hint="eastAsia" w:ascii="宋体" w:hAnsi="宋体" w:cs="宋体"/>
          <w:color w:val="auto"/>
          <w:kern w:val="0"/>
          <w:sz w:val="24"/>
          <w:highlight w:val="none"/>
          <w:lang w:val="zh-CN"/>
        </w:rPr>
        <w:t xml:space="preserve">投标。 </w:t>
      </w:r>
    </w:p>
    <w:p w14:paraId="49F2DC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69EDA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3249F4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6EECDF5">
      <w:pPr>
        <w:snapToGrid w:val="0"/>
        <w:spacing w:line="360" w:lineRule="auto"/>
        <w:ind w:firstLine="576"/>
        <w:rPr>
          <w:rFonts w:ascii="宋体" w:hAnsi="宋体" w:cs="宋体"/>
          <w:color w:val="auto"/>
          <w:kern w:val="0"/>
          <w:sz w:val="24"/>
          <w:highlight w:val="none"/>
          <w:lang w:val="zh-CN"/>
        </w:rPr>
      </w:pPr>
      <w:bookmarkStart w:id="407"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17B214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6E7B48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07"/>
    <w:p w14:paraId="49F09E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E1CA578">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44258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227829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53449D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C752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EE8FC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81C658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D14282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E49277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904AA24">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C6E8966">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AFB411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45AFCF5">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86BA00A">
      <w:pPr>
        <w:snapToGrid w:val="0"/>
        <w:spacing w:line="360" w:lineRule="auto"/>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5089776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C488A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内河航道工程项目投融资模式创新研究【招标编号：ZJHY-SJTYST-202514】</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651C7B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EA44F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C5B3169">
      <w:pPr>
        <w:rPr>
          <w:color w:val="auto"/>
          <w:highlight w:val="none"/>
        </w:rPr>
      </w:pPr>
      <w:r>
        <w:rPr>
          <w:rFonts w:hint="eastAsia"/>
          <w:color w:val="auto"/>
          <w:highlight w:val="none"/>
        </w:rPr>
        <w:t>……</w:t>
      </w:r>
    </w:p>
    <w:p w14:paraId="4F75AE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F55F86C">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D31CAD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08"/>
    </w:p>
    <w:p w14:paraId="0B201E0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CD04FD0">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2ED2CB7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E69D5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3D583E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52E9F6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104E29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02ECB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BDA0D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098CB4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1401CD4">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3695ACE1">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44F86D8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888791C">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21FE49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5BBCD31">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78A8181">
      <w:pPr>
        <w:snapToGrid w:val="0"/>
        <w:spacing w:line="360" w:lineRule="auto"/>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53313A4F">
      <w:pPr>
        <w:spacing w:line="360" w:lineRule="auto"/>
        <w:jc w:val="center"/>
        <w:rPr>
          <w:rFonts w:ascii="宋体" w:hAnsi="宋体" w:cs="宋体"/>
          <w:color w:val="auto"/>
          <w:sz w:val="24"/>
          <w:highlight w:val="none"/>
          <w:u w:val="single"/>
        </w:rPr>
      </w:pPr>
    </w:p>
    <w:p w14:paraId="0F24D72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E6E4E71">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76CECBA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39179B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F6EBC1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B9F8C5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CFD3F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AC9A5C2">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9FB150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81EE5BF">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21EEE4C2">
      <w:pPr>
        <w:spacing w:line="360" w:lineRule="auto"/>
        <w:jc w:val="left"/>
        <w:rPr>
          <w:rFonts w:ascii="宋体" w:hAnsi="宋体" w:cs="宋体"/>
          <w:b/>
          <w:color w:val="auto"/>
          <w:sz w:val="32"/>
          <w:szCs w:val="32"/>
          <w:highlight w:val="none"/>
        </w:rPr>
      </w:pPr>
      <w:r>
        <w:rPr>
          <w:rFonts w:hint="eastAsia" w:ascii="宋体" w:hAnsi="宋体" w:cs="宋体"/>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30FCC166">
      <w:pPr>
        <w:rPr>
          <w:rFonts w:ascii="宋体" w:hAnsi="宋体" w:cs="宋体"/>
          <w:bCs/>
          <w:color w:val="auto"/>
          <w:sz w:val="24"/>
          <w:highlight w:val="none"/>
        </w:rPr>
      </w:pPr>
      <w:r>
        <w:rPr>
          <w:rFonts w:hint="eastAsia" w:ascii="宋体" w:hAnsi="宋体" w:cs="宋体"/>
          <w:bCs/>
          <w:color w:val="auto"/>
          <w:sz w:val="24"/>
          <w:highlight w:val="none"/>
        </w:rPr>
        <w:br w:type="page"/>
      </w:r>
    </w:p>
    <w:p w14:paraId="24EF87B7">
      <w:pPr>
        <w:snapToGrid w:val="0"/>
        <w:spacing w:line="360" w:lineRule="auto"/>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附件8：政府采购活动现场确认声明书</w:t>
      </w:r>
    </w:p>
    <w:p w14:paraId="5C44BB22">
      <w:pPr>
        <w:pStyle w:val="608"/>
        <w:snapToGrid w:val="0"/>
        <w:spacing w:line="400" w:lineRule="exact"/>
        <w:rPr>
          <w:rFonts w:hAnsi="宋体" w:cs="宋体"/>
          <w:color w:val="auto"/>
          <w:kern w:val="0"/>
          <w:sz w:val="24"/>
          <w:szCs w:val="24"/>
          <w:highlight w:val="none"/>
          <w:u w:val="single"/>
        </w:rPr>
      </w:pPr>
    </w:p>
    <w:p w14:paraId="4450801B">
      <w:pPr>
        <w:pStyle w:val="608"/>
        <w:snapToGrid w:val="0"/>
        <w:spacing w:line="400" w:lineRule="exact"/>
        <w:rPr>
          <w:rFonts w:hAnsi="宋体" w:cs="宋体"/>
          <w:b/>
          <w:color w:val="auto"/>
          <w:sz w:val="24"/>
          <w:szCs w:val="24"/>
          <w:highlight w:val="none"/>
        </w:rPr>
      </w:pPr>
      <w:r>
        <w:rPr>
          <w:rFonts w:hint="eastAsia" w:hAnsi="宋体" w:cs="宋体"/>
          <w:color w:val="auto"/>
          <w:kern w:val="0"/>
          <w:sz w:val="24"/>
          <w:szCs w:val="24"/>
          <w:highlight w:val="none"/>
          <w:u w:val="single"/>
        </w:rPr>
        <w:t>浙江华耀建设咨询有限公司</w:t>
      </w:r>
      <w:r>
        <w:rPr>
          <w:rFonts w:hint="eastAsia" w:hAnsi="宋体" w:cs="宋体"/>
          <w:color w:val="auto"/>
          <w:kern w:val="0"/>
          <w:sz w:val="24"/>
          <w:szCs w:val="24"/>
          <w:highlight w:val="none"/>
        </w:rPr>
        <w:t>：</w:t>
      </w:r>
    </w:p>
    <w:p w14:paraId="521913BD">
      <w:pPr>
        <w:pStyle w:val="608"/>
        <w:snapToGrid w:val="0"/>
        <w:spacing w:line="400" w:lineRule="exact"/>
        <w:ind w:firstLine="504" w:firstLineChars="200"/>
        <w:rPr>
          <w:rFonts w:hAnsi="宋体" w:cs="宋体"/>
          <w:color w:val="auto"/>
          <w:spacing w:val="6"/>
          <w:sz w:val="24"/>
          <w:szCs w:val="24"/>
          <w:highlight w:val="none"/>
        </w:rPr>
      </w:pPr>
      <w:r>
        <w:rPr>
          <w:rFonts w:hint="eastAsia" w:hAnsi="宋体" w:cs="宋体"/>
          <w:color w:val="auto"/>
          <w:spacing w:val="6"/>
          <w:sz w:val="24"/>
          <w:szCs w:val="24"/>
          <w:highlight w:val="none"/>
        </w:rPr>
        <w:t>本人经由</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u w:val="single"/>
        </w:rPr>
        <w:t>（</w:t>
      </w:r>
      <w:r>
        <w:rPr>
          <w:rFonts w:hint="eastAsia" w:hAnsi="宋体" w:cs="宋体"/>
          <w:color w:val="auto"/>
          <w:spacing w:val="6"/>
          <w:sz w:val="24"/>
          <w:szCs w:val="24"/>
          <w:highlight w:val="none"/>
          <w:u w:val="single"/>
        </w:rPr>
        <w:t>单位）</w:t>
      </w:r>
      <w:r>
        <w:rPr>
          <w:rFonts w:hint="eastAsia" w:hAnsi="宋体" w:cs="宋体"/>
          <w:color w:val="auto"/>
          <w:spacing w:val="6"/>
          <w:sz w:val="24"/>
          <w:szCs w:val="24"/>
          <w:highlight w:val="none"/>
        </w:rPr>
        <w:t>法定代表人（负责人）</w:t>
      </w:r>
      <w:r>
        <w:rPr>
          <w:rFonts w:hint="eastAsia" w:hAnsi="宋体" w:cs="宋体"/>
          <w:color w:val="auto"/>
          <w:spacing w:val="6"/>
          <w:sz w:val="24"/>
          <w:szCs w:val="24"/>
          <w:highlight w:val="none"/>
          <w:u w:val="single"/>
        </w:rPr>
        <w:t xml:space="preserve">        （姓名）</w:t>
      </w:r>
      <w:r>
        <w:rPr>
          <w:rFonts w:hint="eastAsia" w:hAnsi="宋体" w:cs="宋体"/>
          <w:color w:val="auto"/>
          <w:spacing w:val="6"/>
          <w:sz w:val="24"/>
          <w:szCs w:val="24"/>
          <w:highlight w:val="none"/>
        </w:rPr>
        <w:t>合法授权参加</w:t>
      </w:r>
      <w:r>
        <w:rPr>
          <w:rFonts w:hint="eastAsia" w:hAnsi="宋体" w:cs="宋体"/>
          <w:color w:val="auto"/>
          <w:spacing w:val="6"/>
          <w:sz w:val="24"/>
          <w:szCs w:val="24"/>
          <w:highlight w:val="none"/>
          <w:u w:val="single"/>
        </w:rPr>
        <w:t>内河航道工程项目投融资模式创新研究</w:t>
      </w:r>
      <w:r>
        <w:rPr>
          <w:rFonts w:hint="eastAsia" w:hAnsi="宋体" w:cs="宋体"/>
          <w:color w:val="auto"/>
          <w:kern w:val="0"/>
          <w:sz w:val="24"/>
          <w:szCs w:val="24"/>
          <w:highlight w:val="none"/>
          <w:u w:val="single"/>
        </w:rPr>
        <w:t>（</w:t>
      </w:r>
      <w:r>
        <w:rPr>
          <w:rFonts w:hint="eastAsia" w:hAnsi="宋体" w:cs="宋体"/>
          <w:color w:val="auto"/>
          <w:spacing w:val="6"/>
          <w:sz w:val="24"/>
          <w:szCs w:val="24"/>
          <w:highlight w:val="none"/>
          <w:u w:val="single"/>
        </w:rPr>
        <w:t>项目编号：ZJHY-SJTYST-202514）</w:t>
      </w:r>
      <w:r>
        <w:rPr>
          <w:rFonts w:hint="eastAsia" w:hAnsi="宋体" w:cs="宋体"/>
          <w:color w:val="auto"/>
          <w:spacing w:val="6"/>
          <w:sz w:val="24"/>
          <w:szCs w:val="24"/>
          <w:highlight w:val="none"/>
        </w:rPr>
        <w:t xml:space="preserve">政府采购活动，经与本单位法定代表人（负责人）联系确认，现就有关公平竞争事项郑重声明如下： </w:t>
      </w:r>
    </w:p>
    <w:p w14:paraId="25D42BD3">
      <w:pPr>
        <w:pStyle w:val="608"/>
        <w:numPr>
          <w:ilvl w:val="0"/>
          <w:numId w:val="3"/>
        </w:numPr>
        <w:snapToGrid w:val="0"/>
        <w:spacing w:line="400" w:lineRule="exact"/>
        <w:ind w:firstLine="240"/>
        <w:rPr>
          <w:rFonts w:hAnsi="宋体" w:cs="宋体"/>
          <w:color w:val="auto"/>
          <w:kern w:val="0"/>
          <w:sz w:val="24"/>
          <w:szCs w:val="24"/>
          <w:highlight w:val="none"/>
        </w:rPr>
      </w:pPr>
      <w:r>
        <w:rPr>
          <w:rFonts w:hint="eastAsia" w:hAnsi="宋体" w:cs="宋体"/>
          <w:color w:val="auto"/>
          <w:kern w:val="0"/>
          <w:sz w:val="24"/>
          <w:szCs w:val="24"/>
          <w:highlight w:val="none"/>
        </w:rPr>
        <w:t>本单位与采购人之间□不存在利害关系 □存在下列利害关系</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rPr>
        <w:t>：</w:t>
      </w:r>
    </w:p>
    <w:p w14:paraId="5741E783">
      <w:pPr>
        <w:pStyle w:val="608"/>
        <w:snapToGrid w:val="0"/>
        <w:spacing w:line="400" w:lineRule="exact"/>
        <w:ind w:firstLine="240" w:firstLineChars="100"/>
        <w:rPr>
          <w:rFonts w:hAnsi="宋体" w:cs="宋体"/>
          <w:color w:val="auto"/>
          <w:kern w:val="0"/>
          <w:sz w:val="24"/>
          <w:szCs w:val="24"/>
          <w:highlight w:val="none"/>
        </w:rPr>
      </w:pPr>
      <w:r>
        <w:rPr>
          <w:rFonts w:hint="eastAsia" w:hAnsi="宋体" w:cs="宋体"/>
          <w:color w:val="auto"/>
          <w:kern w:val="0"/>
          <w:sz w:val="24"/>
          <w:szCs w:val="24"/>
          <w:highlight w:val="none"/>
        </w:rPr>
        <w:t>A.投资关系    B.行政隶属关系    C.业务指导关系</w:t>
      </w:r>
    </w:p>
    <w:p w14:paraId="2B5AF346">
      <w:pPr>
        <w:pStyle w:val="608"/>
        <w:snapToGrid w:val="0"/>
        <w:spacing w:line="400" w:lineRule="exact"/>
        <w:ind w:firstLine="240" w:firstLineChars="100"/>
        <w:rPr>
          <w:rFonts w:hAnsi="宋体" w:cs="宋体"/>
          <w:color w:val="auto"/>
          <w:kern w:val="0"/>
          <w:sz w:val="24"/>
          <w:szCs w:val="24"/>
          <w:highlight w:val="none"/>
        </w:rPr>
      </w:pPr>
      <w:r>
        <w:rPr>
          <w:rFonts w:hint="eastAsia" w:hAnsi="宋体" w:cs="宋体"/>
          <w:color w:val="auto"/>
          <w:kern w:val="0"/>
          <w:sz w:val="24"/>
          <w:szCs w:val="24"/>
          <w:highlight w:val="none"/>
        </w:rPr>
        <w:t>D.其他可能</w:t>
      </w:r>
      <w:r>
        <w:rPr>
          <w:rFonts w:hint="eastAsia" w:hAnsi="宋体" w:cs="宋体"/>
          <w:color w:val="auto"/>
          <w:sz w:val="24"/>
          <w:szCs w:val="24"/>
          <w:highlight w:val="none"/>
        </w:rPr>
        <w:t>影响采购公正的</w:t>
      </w:r>
      <w:r>
        <w:rPr>
          <w:rFonts w:hint="eastAsia" w:hAnsi="宋体" w:cs="宋体"/>
          <w:color w:val="auto"/>
          <w:kern w:val="0"/>
          <w:sz w:val="24"/>
          <w:szCs w:val="24"/>
          <w:highlight w:val="none"/>
        </w:rPr>
        <w:t>利害关系</w:t>
      </w:r>
      <w:r>
        <w:rPr>
          <w:rFonts w:hint="eastAsia" w:hAnsi="宋体" w:cs="宋体"/>
          <w:color w:val="auto"/>
          <w:kern w:val="0"/>
          <w:sz w:val="24"/>
          <w:szCs w:val="24"/>
          <w:highlight w:val="none"/>
          <w:u w:val="single"/>
        </w:rPr>
        <w:t xml:space="preserve">（如有，请如实说明）                 </w:t>
      </w:r>
      <w:r>
        <w:rPr>
          <w:rFonts w:hint="eastAsia" w:hAnsi="宋体" w:cs="宋体"/>
          <w:color w:val="auto"/>
          <w:kern w:val="0"/>
          <w:sz w:val="24"/>
          <w:szCs w:val="24"/>
          <w:highlight w:val="none"/>
        </w:rPr>
        <w:t>。</w:t>
      </w:r>
    </w:p>
    <w:p w14:paraId="29EA1749">
      <w:pPr>
        <w:pStyle w:val="609"/>
        <w:widowControl/>
        <w:snapToGrid w:val="0"/>
        <w:spacing w:line="400" w:lineRule="exact"/>
        <w:rPr>
          <w:rFonts w:ascii="宋体" w:hAnsi="宋体" w:cs="宋体"/>
          <w:color w:val="auto"/>
          <w:kern w:val="0"/>
          <w:sz w:val="24"/>
          <w:szCs w:val="24"/>
          <w:highlight w:val="none"/>
        </w:rPr>
      </w:pPr>
      <w:r>
        <w:rPr>
          <w:rFonts w:hint="eastAsia" w:ascii="宋体" w:hAnsi="宋体" w:cs="宋体"/>
          <w:color w:val="auto"/>
          <w:spacing w:val="6"/>
          <w:sz w:val="24"/>
          <w:szCs w:val="24"/>
          <w:highlight w:val="none"/>
        </w:rPr>
        <w:t xml:space="preserve">  二、</w:t>
      </w:r>
      <w:r>
        <w:rPr>
          <w:rFonts w:hint="eastAsia" w:ascii="宋体" w:hAnsi="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宋体" w:hAnsi="宋体" w:cs="宋体"/>
          <w:color w:val="auto"/>
          <w:kern w:val="0"/>
          <w:sz w:val="24"/>
          <w:szCs w:val="24"/>
          <w:highlight w:val="none"/>
          <w:u w:val="single"/>
        </w:rPr>
        <w:t xml:space="preserve">           （供应商名称）</w:t>
      </w:r>
      <w:r>
        <w:rPr>
          <w:rFonts w:hint="eastAsia" w:ascii="宋体" w:hAnsi="宋体" w:cs="宋体"/>
          <w:color w:val="auto"/>
          <w:kern w:val="0"/>
          <w:sz w:val="24"/>
          <w:szCs w:val="24"/>
          <w:highlight w:val="none"/>
        </w:rPr>
        <w:t>之间存在下列利害关系</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01F2BAE">
      <w:pPr>
        <w:pStyle w:val="608"/>
        <w:snapToGrid w:val="0"/>
        <w:spacing w:line="400" w:lineRule="exact"/>
        <w:rPr>
          <w:rFonts w:hAnsi="宋体" w:cs="宋体"/>
          <w:color w:val="auto"/>
          <w:kern w:val="0"/>
          <w:sz w:val="24"/>
          <w:szCs w:val="24"/>
          <w:highlight w:val="none"/>
        </w:rPr>
      </w:pPr>
      <w:r>
        <w:rPr>
          <w:rFonts w:hint="eastAsia" w:hAnsi="宋体" w:cs="宋体"/>
          <w:color w:val="auto"/>
          <w:kern w:val="0"/>
          <w:sz w:val="24"/>
          <w:szCs w:val="24"/>
          <w:highlight w:val="none"/>
        </w:rPr>
        <w:t xml:space="preserve">  A.法定代表人或负责人或实际控制人是同一人</w:t>
      </w:r>
    </w:p>
    <w:p w14:paraId="173B82C3">
      <w:pPr>
        <w:pStyle w:val="608"/>
        <w:snapToGrid w:val="0"/>
        <w:spacing w:line="400" w:lineRule="exact"/>
        <w:rPr>
          <w:rFonts w:hAnsi="宋体" w:cs="宋体"/>
          <w:color w:val="auto"/>
          <w:spacing w:val="6"/>
          <w:sz w:val="24"/>
          <w:szCs w:val="24"/>
          <w:highlight w:val="none"/>
        </w:rPr>
      </w:pPr>
      <w:r>
        <w:rPr>
          <w:rFonts w:hint="eastAsia" w:hAnsi="宋体" w:cs="宋体"/>
          <w:color w:val="auto"/>
          <w:kern w:val="0"/>
          <w:sz w:val="24"/>
          <w:szCs w:val="24"/>
          <w:highlight w:val="none"/>
        </w:rPr>
        <w:t xml:space="preserve">  B.法定代表人或负责人或实际控制人是夫妻关系</w:t>
      </w:r>
    </w:p>
    <w:p w14:paraId="693A74C5">
      <w:pPr>
        <w:pStyle w:val="608"/>
        <w:snapToGrid w:val="0"/>
        <w:spacing w:line="400" w:lineRule="exact"/>
        <w:rPr>
          <w:rFonts w:hAnsi="宋体" w:cs="宋体"/>
          <w:color w:val="auto"/>
          <w:spacing w:val="6"/>
          <w:sz w:val="24"/>
          <w:szCs w:val="24"/>
          <w:highlight w:val="none"/>
        </w:rPr>
      </w:pPr>
      <w:r>
        <w:rPr>
          <w:rFonts w:hint="eastAsia" w:hAnsi="宋体" w:cs="宋体"/>
          <w:color w:val="auto"/>
          <w:kern w:val="0"/>
          <w:sz w:val="24"/>
          <w:szCs w:val="24"/>
          <w:highlight w:val="none"/>
        </w:rPr>
        <w:t xml:space="preserve">  C.法定代表人或负责人或实际控制人是直系血亲关系</w:t>
      </w:r>
    </w:p>
    <w:p w14:paraId="0B830C0C">
      <w:pPr>
        <w:pStyle w:val="608"/>
        <w:snapToGrid w:val="0"/>
        <w:spacing w:line="400" w:lineRule="exact"/>
        <w:rPr>
          <w:rFonts w:hAnsi="宋体" w:cs="宋体"/>
          <w:color w:val="auto"/>
          <w:spacing w:val="6"/>
          <w:sz w:val="24"/>
          <w:szCs w:val="24"/>
          <w:highlight w:val="none"/>
        </w:rPr>
      </w:pPr>
      <w:r>
        <w:rPr>
          <w:rFonts w:hint="eastAsia" w:hAnsi="宋体" w:cs="宋体"/>
          <w:color w:val="auto"/>
          <w:kern w:val="0"/>
          <w:sz w:val="24"/>
          <w:szCs w:val="24"/>
          <w:highlight w:val="none"/>
        </w:rPr>
        <w:t xml:space="preserve">  D.法定代表人或负责人或实际控制人存在三代以内旁系血亲关系</w:t>
      </w:r>
    </w:p>
    <w:p w14:paraId="6BEC6D35">
      <w:pPr>
        <w:pStyle w:val="608"/>
        <w:snapToGrid w:val="0"/>
        <w:spacing w:line="400" w:lineRule="exact"/>
        <w:rPr>
          <w:rFonts w:hAnsi="宋体" w:cs="宋体"/>
          <w:color w:val="auto"/>
          <w:kern w:val="0"/>
          <w:sz w:val="24"/>
          <w:szCs w:val="24"/>
          <w:highlight w:val="none"/>
        </w:rPr>
      </w:pPr>
      <w:r>
        <w:rPr>
          <w:rFonts w:hint="eastAsia" w:hAnsi="宋体" w:cs="宋体"/>
          <w:color w:val="auto"/>
          <w:kern w:val="0"/>
          <w:sz w:val="24"/>
          <w:szCs w:val="24"/>
          <w:highlight w:val="none"/>
        </w:rPr>
        <w:t xml:space="preserve">  E.法定代表人或负责人或实际控制人存在近姻亲关系</w:t>
      </w:r>
    </w:p>
    <w:p w14:paraId="636F29C0">
      <w:pPr>
        <w:pStyle w:val="608"/>
        <w:snapToGrid w:val="0"/>
        <w:spacing w:line="400" w:lineRule="exact"/>
        <w:rPr>
          <w:rFonts w:hAnsi="宋体" w:cs="宋体"/>
          <w:color w:val="auto"/>
          <w:kern w:val="0"/>
          <w:sz w:val="24"/>
          <w:szCs w:val="24"/>
          <w:highlight w:val="none"/>
        </w:rPr>
      </w:pPr>
      <w:r>
        <w:rPr>
          <w:rFonts w:hint="eastAsia" w:hAnsi="宋体" w:cs="宋体"/>
          <w:color w:val="auto"/>
          <w:kern w:val="0"/>
          <w:sz w:val="24"/>
          <w:szCs w:val="24"/>
          <w:highlight w:val="none"/>
        </w:rPr>
        <w:t xml:space="preserve">  F.法定代表人或负责人或实际控制人存在股份控制或实际控制关系</w:t>
      </w:r>
    </w:p>
    <w:p w14:paraId="3B0CFC6A">
      <w:pPr>
        <w:pStyle w:val="608"/>
        <w:snapToGrid w:val="0"/>
        <w:spacing w:line="400" w:lineRule="exact"/>
        <w:rPr>
          <w:rFonts w:hAnsi="宋体" w:cs="宋体"/>
          <w:color w:val="auto"/>
          <w:kern w:val="0"/>
          <w:sz w:val="24"/>
          <w:szCs w:val="24"/>
          <w:highlight w:val="none"/>
        </w:rPr>
      </w:pPr>
      <w:r>
        <w:rPr>
          <w:rFonts w:hint="eastAsia" w:hAnsi="宋体" w:cs="宋体"/>
          <w:color w:val="auto"/>
          <w:kern w:val="0"/>
          <w:sz w:val="24"/>
          <w:szCs w:val="24"/>
          <w:highlight w:val="none"/>
        </w:rPr>
        <w:t xml:space="preserve">  G.存在共同直接或间接投资设立子公司、联营企业和合营企业情况</w:t>
      </w:r>
    </w:p>
    <w:p w14:paraId="537197F9">
      <w:pPr>
        <w:pStyle w:val="608"/>
        <w:snapToGrid w:val="0"/>
        <w:spacing w:line="400" w:lineRule="exact"/>
        <w:rPr>
          <w:rFonts w:hAnsi="宋体" w:cs="宋体"/>
          <w:color w:val="auto"/>
          <w:sz w:val="24"/>
          <w:szCs w:val="24"/>
          <w:highlight w:val="none"/>
        </w:rPr>
      </w:pPr>
      <w:r>
        <w:rPr>
          <w:rFonts w:hint="eastAsia" w:hAnsi="宋体" w:cs="宋体"/>
          <w:color w:val="auto"/>
          <w:kern w:val="0"/>
          <w:sz w:val="24"/>
          <w:szCs w:val="24"/>
          <w:highlight w:val="none"/>
        </w:rPr>
        <w:t xml:space="preserve">  H.存在分级代理或代销关系、同一生产制造商关系、</w:t>
      </w:r>
      <w:r>
        <w:rPr>
          <w:rFonts w:hint="eastAsia" w:hAnsi="宋体" w:cs="宋体"/>
          <w:color w:val="auto"/>
          <w:sz w:val="24"/>
          <w:szCs w:val="24"/>
          <w:highlight w:val="none"/>
        </w:rPr>
        <w:t>管理关系、重要业务（占主营业务收入50%以上）或重要财务往来关系（如融资）等其他实质性控制关系</w:t>
      </w:r>
    </w:p>
    <w:p w14:paraId="1BA4953A">
      <w:pPr>
        <w:pStyle w:val="608"/>
        <w:snapToGrid w:val="0"/>
        <w:spacing w:line="400" w:lineRule="exact"/>
        <w:rPr>
          <w:rFonts w:hAnsi="宋体" w:cs="宋体"/>
          <w:color w:val="auto"/>
          <w:spacing w:val="6"/>
          <w:sz w:val="24"/>
          <w:szCs w:val="24"/>
          <w:highlight w:val="none"/>
        </w:rPr>
      </w:pPr>
      <w:r>
        <w:rPr>
          <w:rFonts w:hint="eastAsia" w:hAnsi="宋体" w:cs="宋体"/>
          <w:color w:val="auto"/>
          <w:sz w:val="24"/>
          <w:szCs w:val="24"/>
          <w:highlight w:val="none"/>
        </w:rPr>
        <w:t xml:space="preserve">    I</w:t>
      </w:r>
      <w:r>
        <w:rPr>
          <w:rFonts w:hint="eastAsia" w:hAnsi="宋体" w:cs="宋体"/>
          <w:color w:val="auto"/>
          <w:kern w:val="0"/>
          <w:sz w:val="24"/>
          <w:szCs w:val="24"/>
          <w:highlight w:val="none"/>
        </w:rPr>
        <w:t>.</w:t>
      </w:r>
      <w:r>
        <w:rPr>
          <w:rFonts w:hint="eastAsia" w:hAnsi="宋体" w:cs="宋体"/>
          <w:color w:val="auto"/>
          <w:sz w:val="24"/>
          <w:szCs w:val="24"/>
          <w:highlight w:val="none"/>
        </w:rPr>
        <w:t>其他利害关系情况</w:t>
      </w:r>
      <w:r>
        <w:rPr>
          <w:rFonts w:hint="eastAsia" w:hAnsi="宋体" w:cs="宋体"/>
          <w:color w:val="auto"/>
          <w:spacing w:val="6"/>
          <w:sz w:val="24"/>
          <w:szCs w:val="24"/>
          <w:highlight w:val="none"/>
          <w:u w:val="single"/>
        </w:rPr>
        <w:t xml:space="preserve">    </w:t>
      </w:r>
      <w:r>
        <w:rPr>
          <w:rFonts w:hint="eastAsia" w:hAnsi="宋体" w:cs="宋体"/>
          <w:color w:val="auto"/>
          <w:kern w:val="0"/>
          <w:sz w:val="24"/>
          <w:szCs w:val="24"/>
          <w:highlight w:val="none"/>
        </w:rPr>
        <w:t>。</w:t>
      </w:r>
    </w:p>
    <w:p w14:paraId="5339627F">
      <w:pPr>
        <w:pStyle w:val="609"/>
        <w:widowControl/>
        <w:numPr>
          <w:ilvl w:val="0"/>
          <w:numId w:val="4"/>
        </w:numPr>
        <w:snapToGrid w:val="0"/>
        <w:spacing w:line="400" w:lineRule="exact"/>
        <w:ind w:firstLine="453" w:firstLineChars="189"/>
        <w:rPr>
          <w:rFonts w:ascii="宋体" w:hAnsi="宋体" w:cs="宋体"/>
          <w:color w:val="auto"/>
          <w:kern w:val="0"/>
          <w:sz w:val="24"/>
          <w:szCs w:val="24"/>
          <w:highlight w:val="none"/>
        </w:rPr>
      </w:pPr>
      <w:r>
        <w:rPr>
          <w:rFonts w:hint="eastAsia" w:ascii="宋体" w:hAnsi="宋体" w:cs="宋体"/>
          <w:color w:val="auto"/>
          <w:sz w:val="24"/>
          <w:szCs w:val="24"/>
          <w:highlight w:val="none"/>
        </w:rPr>
        <w:t>现已清楚知道并</w:t>
      </w:r>
      <w:r>
        <w:rPr>
          <w:rFonts w:hint="eastAsia" w:ascii="宋体" w:hAnsi="宋体" w:cs="宋体"/>
          <w:color w:val="auto"/>
          <w:kern w:val="0"/>
          <w:sz w:val="24"/>
          <w:szCs w:val="24"/>
          <w:highlight w:val="none"/>
        </w:rPr>
        <w:t>严格遵守政府采购法律法规和现场纪律。</w:t>
      </w:r>
    </w:p>
    <w:p w14:paraId="165785CE">
      <w:pPr>
        <w:pStyle w:val="609"/>
        <w:widowControl/>
        <w:numPr>
          <w:ilvl w:val="0"/>
          <w:numId w:val="4"/>
        </w:numPr>
        <w:snapToGrid w:val="0"/>
        <w:spacing w:line="400" w:lineRule="exact"/>
        <w:ind w:firstLine="453" w:firstLineChars="189"/>
        <w:rPr>
          <w:rFonts w:ascii="宋体" w:hAnsi="宋体" w:cs="宋体"/>
          <w:color w:val="auto"/>
          <w:kern w:val="0"/>
          <w:sz w:val="24"/>
          <w:szCs w:val="24"/>
          <w:highlight w:val="none"/>
        </w:rPr>
      </w:pPr>
      <w:r>
        <w:rPr>
          <w:rFonts w:hint="eastAsia" w:ascii="宋体" w:hAnsi="宋体" w:cs="宋体"/>
          <w:color w:val="auto"/>
          <w:kern w:val="0"/>
          <w:sz w:val="24"/>
          <w:szCs w:val="24"/>
          <w:highlight w:val="none"/>
        </w:rPr>
        <w:t>我发现</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供应商之间存在或可能存在上述第二条第</w:t>
      </w:r>
      <w:r>
        <w:rPr>
          <w:rFonts w:hint="eastAsia" w:ascii="宋体" w:hAnsi="宋体" w:cs="宋体"/>
          <w:color w:val="auto"/>
          <w:spacing w:val="6"/>
          <w:sz w:val="24"/>
          <w:szCs w:val="24"/>
          <w:highlight w:val="none"/>
          <w:u w:val="single"/>
        </w:rPr>
        <w:t xml:space="preserve">    </w:t>
      </w:r>
      <w:r>
        <w:rPr>
          <w:rFonts w:hint="eastAsia" w:ascii="宋体" w:hAnsi="宋体" w:cs="宋体"/>
          <w:color w:val="auto"/>
          <w:kern w:val="0"/>
          <w:sz w:val="24"/>
          <w:szCs w:val="24"/>
          <w:highlight w:val="none"/>
        </w:rPr>
        <w:t>项利害关系。</w:t>
      </w:r>
    </w:p>
    <w:p w14:paraId="747A75C3">
      <w:pPr>
        <w:pStyle w:val="608"/>
        <w:snapToGrid w:val="0"/>
        <w:spacing w:line="400" w:lineRule="exact"/>
        <w:ind w:firstLine="480" w:firstLineChars="200"/>
        <w:rPr>
          <w:rFonts w:hAnsi="宋体" w:cs="宋体"/>
          <w:color w:val="auto"/>
          <w:sz w:val="24"/>
          <w:szCs w:val="24"/>
          <w:highlight w:val="none"/>
        </w:rPr>
      </w:pPr>
    </w:p>
    <w:p w14:paraId="7D797ED7">
      <w:pPr>
        <w:pStyle w:val="608"/>
        <w:snapToGrid w:val="0"/>
        <w:spacing w:line="6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                                      投标人</w:t>
      </w:r>
      <w:r>
        <w:rPr>
          <w:rFonts w:hint="eastAsia" w:hAnsi="宋体" w:cs="宋体"/>
          <w:color w:val="auto"/>
          <w:spacing w:val="6"/>
          <w:sz w:val="24"/>
          <w:szCs w:val="24"/>
          <w:highlight w:val="none"/>
        </w:rPr>
        <w:t>法定代表人或</w:t>
      </w:r>
      <w:r>
        <w:rPr>
          <w:rFonts w:hint="eastAsia" w:hAnsi="宋体" w:cs="宋体"/>
          <w:color w:val="auto"/>
          <w:sz w:val="24"/>
          <w:szCs w:val="24"/>
          <w:highlight w:val="none"/>
        </w:rPr>
        <w:t>授权代表签名：</w:t>
      </w:r>
    </w:p>
    <w:p w14:paraId="49020559">
      <w:pPr>
        <w:pStyle w:val="608"/>
        <w:snapToGrid w:val="0"/>
        <w:spacing w:line="600" w:lineRule="exact"/>
        <w:jc w:val="right"/>
        <w:rPr>
          <w:rFonts w:hAnsi="宋体" w:cs="宋体"/>
          <w:color w:val="auto"/>
          <w:sz w:val="24"/>
          <w:szCs w:val="24"/>
          <w:highlight w:val="none"/>
        </w:rPr>
      </w:pPr>
      <w:r>
        <w:rPr>
          <w:rFonts w:hint="eastAsia" w:hAnsi="宋体" w:cs="宋体"/>
          <w:color w:val="auto"/>
          <w:sz w:val="24"/>
          <w:szCs w:val="24"/>
          <w:highlight w:val="none"/>
        </w:rPr>
        <w:t xml:space="preserve">2025年X月X日  </w:t>
      </w:r>
    </w:p>
    <w:p w14:paraId="030EA010">
      <w:pPr>
        <w:pStyle w:val="28"/>
        <w:ind w:right="-512" w:firstLine="526"/>
        <w:rPr>
          <w:rFonts w:ascii="宋体" w:hAnsi="宋体" w:eastAsia="宋体" w:cs="宋体"/>
          <w:color w:val="auto"/>
          <w:sz w:val="22"/>
          <w:highlight w:val="none"/>
        </w:rPr>
      </w:pPr>
    </w:p>
    <w:p w14:paraId="1B8C9B93">
      <w:pPr>
        <w:rPr>
          <w:rFonts w:ascii="宋体" w:hAnsi="宋体" w:cs="宋体"/>
          <w:b/>
          <w:color w:val="auto"/>
          <w:sz w:val="22"/>
          <w:highlight w:val="none"/>
        </w:rPr>
      </w:pPr>
      <w:r>
        <w:rPr>
          <w:rFonts w:hint="eastAsia" w:ascii="宋体" w:hAnsi="宋体" w:cs="宋体"/>
          <w:b/>
          <w:bCs/>
          <w:color w:val="auto"/>
          <w:sz w:val="22"/>
          <w:highlight w:val="none"/>
        </w:rPr>
        <w:t>备注：《政府采购活动现场确认声明书》不用编制进投标文件中，投标人在投标文件解密后，通过电子邮件形式向邮箱地址（1241596092@qq.com）发送填写完整的确认声明书即可，落款处由投标人法定代表人或授权代表签名，无需加盖公章，日期填写开标当日。</w:t>
      </w:r>
    </w:p>
    <w:p w14:paraId="6429DB12">
      <w:pPr>
        <w:pStyle w:val="80"/>
        <w:ind w:firstLine="460"/>
        <w:rPr>
          <w:color w:val="auto"/>
          <w:highlight w:val="none"/>
        </w:rPr>
      </w:pP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altName w:val="苹方-简"/>
    <w:panose1 w:val="02040503050406030204"/>
    <w:charset w:val="00"/>
    <w:family w:val="roman"/>
    <w:pitch w:val="default"/>
    <w:sig w:usb0="00000000" w:usb1="00000000" w:usb2="02000000" w:usb3="00000000" w:csb0="0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80000287" w:usb1="280F3C52" w:usb2="00000016" w:usb3="00000000" w:csb0="0004001F" w:csb1="00000000"/>
  </w:font>
  <w:font w:name="Futura Bk">
    <w:altName w:val="苹方-简"/>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AFF" w:usb1="C000605B" w:usb2="00000029" w:usb3="00000000" w:csb0="200101FF" w:csb1="20280000"/>
  </w:font>
  <w:font w:name="MS Sans Serif">
    <w:altName w:val="苹方-简"/>
    <w:panose1 w:val="00000000000000000000"/>
    <w:charset w:val="00"/>
    <w:family w:val="swiss"/>
    <w:pitch w:val="default"/>
    <w:sig w:usb0="00000000" w:usb1="00000000" w:usb2="00000000" w:usb3="00000000" w:csb0="00000001" w:csb1="00000000"/>
  </w:font>
  <w:font w:name="Lucida Sans">
    <w:altName w:val="苹方-简"/>
    <w:panose1 w:val="020B0602030504020204"/>
    <w:charset w:val="00"/>
    <w:family w:val="swiss"/>
    <w:pitch w:val="default"/>
    <w:sig w:usb0="00000000" w:usb1="00000000" w:usb2="00000000" w:usb3="00000000" w:csb0="00000001" w:csb1="00000000"/>
  </w:font>
  <w:font w:name="等线 Light">
    <w:altName w:val="汉仪中等线KW"/>
    <w:panose1 w:val="02010600030101010101"/>
    <w:charset w:val="86"/>
    <w:family w:val="auto"/>
    <w:pitch w:val="default"/>
    <w:sig w:usb0="00000000" w:usb1="00000000" w:usb2="00000016" w:usb3="00000000" w:csb0="0004000F" w:csb1="00000000"/>
  </w:font>
  <w:font w:name="Verdana">
    <w:panose1 w:val="020B0804030504040204"/>
    <w:charset w:val="00"/>
    <w:family w:val="swiss"/>
    <w:pitch w:val="default"/>
    <w:sig w:usb0="A10006FF" w:usb1="4000205B" w:usb2="00000010" w:usb3="00000000" w:csb0="2000019F" w:csb1="00000000"/>
  </w:font>
  <w:font w:name="ˎ̥">
    <w:altName w:val="苹方-简"/>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苹方-简"/>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0000000000000000000"/>
    <w:charset w:val="00"/>
    <w:family w:val="swiss"/>
    <w:pitch w:val="default"/>
    <w:sig w:usb0="E00002FF" w:usb1="5000785B" w:usb2="00000000" w:usb3="00000000" w:csb0="2000019F" w:csb1="4F010000"/>
  </w:font>
  <w:font w:name="Cumberland">
    <w:altName w:val="苹方-简"/>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苹方-简"/>
    <w:panose1 w:val="00000000000000000000"/>
    <w:charset w:val="00"/>
    <w:family w:val="swiss"/>
    <w:pitch w:val="default"/>
    <w:sig w:usb0="00000000" w:usb1="00000000" w:usb2="00000000" w:usb3="00000000" w:csb0="000001FB" w:csb1="00000000"/>
  </w:font>
  <w:font w:name="Segoe UI">
    <w:altName w:val="苹方-简"/>
    <w:panose1 w:val="020B0502040204020203"/>
    <w:charset w:val="00"/>
    <w:family w:val="swiss"/>
    <w:pitch w:val="default"/>
    <w:sig w:usb0="00000000" w:usb1="00000000" w:usb2="00000009" w:usb3="00000000" w:csb0="000001FF" w:csb1="00000000"/>
  </w:font>
  <w:font w:name="Latha">
    <w:altName w:val="苹方-简"/>
    <w:panose1 w:val="02000400000000000000"/>
    <w:charset w:val="00"/>
    <w:family w:val="swiss"/>
    <w:pitch w:val="default"/>
    <w:sig w:usb0="00000000" w:usb1="00000000" w:usb2="00000000" w:usb3="00000000" w:csb0="00000001" w:csb1="00000000"/>
  </w:font>
  <w:font w:name="等线">
    <w:altName w:val="汉仪中等线KW"/>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altName w:val="苹方-简"/>
    <w:panose1 w:val="020B0602030504020204"/>
    <w:charset w:val="00"/>
    <w:family w:val="swiss"/>
    <w:pitch w:val="default"/>
    <w:sig w:usb0="00000000" w:usb1="00000000" w:usb2="00000000" w:usb3="00000000" w:csb0="000000BF" w:csb1="00000000"/>
  </w:font>
  <w:font w:name="Century Gothic">
    <w:altName w:val="苹方-简"/>
    <w:panose1 w:val="020B0502020202020204"/>
    <w:charset w:val="00"/>
    <w:family w:val="swiss"/>
    <w:pitch w:val="default"/>
    <w:sig w:usb0="00000000" w:usb1="00000000" w:usb2="00000000" w:usb3="00000000" w:csb0="0000009F" w:csb1="00000000"/>
  </w:font>
  <w:font w:name="Aldine401 BT">
    <w:altName w:val="苹方-简"/>
    <w:panose1 w:val="00000000000000000000"/>
    <w:charset w:val="00"/>
    <w:family w:val="roman"/>
    <w:pitch w:val="default"/>
    <w:sig w:usb0="00000000" w:usb1="00000000" w:usb2="00000000" w:usb3="00000000" w:csb0="00000011" w:csb1="00000000"/>
  </w:font>
  <w:font w:name=".PingFang SC">
    <w:panose1 w:val="02020503050405090304"/>
    <w:charset w:val="00"/>
    <w:family w:val="modern"/>
    <w:pitch w:val="default"/>
    <w:sig w:usb0="E0000AFF" w:usb1="00007843" w:usb2="00000001" w:usb3="00000000" w:csb0="400001BF" w:csb1="DFF70000"/>
  </w:font>
  <w:font w:name="MS Gothic">
    <w:altName w:val="Hiragino Sans"/>
    <w:panose1 w:val="020B0609070205080204"/>
    <w:charset w:val="80"/>
    <w:family w:val="modern"/>
    <w:pitch w:val="default"/>
    <w:sig w:usb0="00000000" w:usb1="00000000" w:usb2="08000012" w:usb3="00000000" w:csb0="0002009F" w:csb1="00000000"/>
  </w:font>
  <w:font w:name="MS Mincho">
    <w:altName w:val="Hiragino Sans"/>
    <w:panose1 w:val="02020609040205080304"/>
    <w:charset w:val="80"/>
    <w:family w:val="modern"/>
    <w:pitch w:val="default"/>
    <w:sig w:usb0="00000000" w:usb1="00000000" w:usb2="08000012" w:usb3="00000000" w:csb0="0002009F"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Hiragino Sans">
    <w:panose1 w:val="020B0300000000000000"/>
    <w:charset w:val="80"/>
    <w:family w:val="auto"/>
    <w:pitch w:val="default"/>
    <w:sig w:usb0="E00002FF" w:usb1="7AE7FFFF" w:usb2="00000012" w:usb3="00000000" w:csb0="0002000D"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汉仪楷体简">
    <w:panose1 w:val="02010600000101010101"/>
    <w:charset w:val="86"/>
    <w:family w:val="auto"/>
    <w:pitch w:val="default"/>
    <w:sig w:usb0="00000001" w:usb1="080E0800" w:usb2="00000002" w:usb3="00000000" w:csb0="00040000" w:csb1="00000000"/>
  </w:font>
  <w:font w:name="汉仪中等线KW">
    <w:panose1 w:val="01010104010101010101"/>
    <w:charset w:val="86"/>
    <w:family w:val="auto"/>
    <w:pitch w:val="default"/>
    <w:sig w:usb0="800002BF" w:usb1="004F7CFA" w:usb2="00000000" w:usb3="00000000" w:csb0="00040001" w:csb1="00000000"/>
  </w:font>
  <w:font w:name="Arial">
    <w:panose1 w:val="020B0604020202090204"/>
    <w:charset w:val="00"/>
    <w:family w:val="auto"/>
    <w:pitch w:val="default"/>
    <w:sig w:usb0="E0000AFF" w:usb1="00007843"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D36E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D2E0F">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409" w:name="_Toc131845147"/>
    <w:bookmarkStart w:id="410" w:name="_Toc164085800"/>
    <w:bookmarkStart w:id="411" w:name="_Toc91899912"/>
    <w:bookmarkStart w:id="412" w:name="_Toc36110187"/>
    <w:r>
      <w:rPr>
        <w:rFonts w:hint="eastAsia" w:ascii="仿宋_GB2312" w:eastAsia="仿宋_GB2312"/>
        <w:kern w:val="0"/>
        <w:szCs w:val="21"/>
      </w:rPr>
      <w:t xml:space="preserve"> 页</w:t>
    </w:r>
    <w:bookmarkEnd w:id="409"/>
    <w:bookmarkEnd w:id="410"/>
    <w:bookmarkEnd w:id="411"/>
    <w:bookmarkEnd w:id="41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5CE31">
    <w:pPr>
      <w:pStyle w:val="40"/>
      <w:framePr w:wrap="around" w:vAnchor="text" w:hAnchor="margin" w:xAlign="right" w:y="1"/>
      <w:rPr>
        <w:rStyle w:val="72"/>
      </w:rPr>
    </w:pPr>
    <w:r>
      <w:fldChar w:fldCharType="begin"/>
    </w:r>
    <w:r>
      <w:rPr>
        <w:rStyle w:val="72"/>
      </w:rPr>
      <w:instrText xml:space="preserve">PAGE  </w:instrText>
    </w:r>
    <w:r>
      <w:fldChar w:fldCharType="end"/>
    </w:r>
  </w:p>
  <w:p w14:paraId="6FDF5750">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86F1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F92E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69DBE9D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6618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5D5B709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C10C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2E9131F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E799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0C7F1D4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63D4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0A97A">
    <w:pPr>
      <w:pStyle w:val="40"/>
      <w:framePr w:wrap="around" w:vAnchor="text" w:hAnchor="margin" w:xAlign="right" w:y="1"/>
      <w:rPr>
        <w:rStyle w:val="72"/>
      </w:rPr>
    </w:pPr>
    <w:r>
      <w:fldChar w:fldCharType="begin"/>
    </w:r>
    <w:r>
      <w:rPr>
        <w:rStyle w:val="72"/>
      </w:rPr>
      <w:instrText xml:space="preserve">PAGE  </w:instrText>
    </w:r>
    <w:r>
      <w:fldChar w:fldCharType="end"/>
    </w:r>
  </w:p>
  <w:p w14:paraId="37BB3A99">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2BDA1">
    <w:pPr>
      <w:pStyle w:val="41"/>
      <w:pBdr>
        <w:bottom w:val="single" w:color="auto" w:sz="6" w:space="4"/>
      </w:pBdr>
      <w:jc w:val="right"/>
    </w:pPr>
    <w:r>
      <w:t></w:t>
    </w:r>
    <w:r>
      <w:rPr>
        <w:rFonts w:hint="eastAsia"/>
      </w:rPr>
      <w:t xml:space="preserve">            </w:t>
    </w:r>
    <w:r>
      <w:t>政府采购公开招标文件</w:t>
    </w:r>
  </w:p>
  <w:p w14:paraId="2C17E9C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F18F9">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00CB4">
    <w:pPr>
      <w:pStyle w:val="41"/>
      <w:jc w:val="right"/>
      <w:rPr>
        <w:rFonts w:ascii="仿宋_GB2312" w:eastAsia="仿宋_GB2312"/>
        <w:b/>
        <w:i/>
        <w:iCs/>
        <w:u w:val="single"/>
      </w:rPr>
    </w:pP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0A5D4">
    <w:pPr>
      <w:pStyle w:val="41"/>
    </w:pPr>
    <w:r>
      <w:t></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B16661"/>
    <w:multiLevelType w:val="singleLevel"/>
    <w:tmpl w:val="C8B16661"/>
    <w:lvl w:ilvl="0" w:tentative="0">
      <w:start w:val="1"/>
      <w:numFmt w:val="chineseCounting"/>
      <w:suff w:val="nothing"/>
      <w:lvlText w:val="%1、"/>
      <w:lvlJc w:val="left"/>
      <w:pPr>
        <w:ind w:left="-11"/>
      </w:pPr>
      <w:rPr>
        <w:rFonts w:hint="eastAsia"/>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292178FB"/>
    <w:multiLevelType w:val="singleLevel"/>
    <w:tmpl w:val="292178FB"/>
    <w:lvl w:ilvl="0" w:tentative="0">
      <w:start w:val="2"/>
      <w:numFmt w:val="chineseCounting"/>
      <w:suff w:val="nothing"/>
      <w:lvlText w:val="%1、"/>
      <w:lvlJc w:val="left"/>
      <w:rPr>
        <w:rFonts w:hint="eastAsia"/>
      </w:rPr>
    </w:lvl>
  </w:abstractNum>
  <w:abstractNum w:abstractNumId="3">
    <w:nsid w:val="557FD3DA"/>
    <w:multiLevelType w:val="singleLevel"/>
    <w:tmpl w:val="557FD3DA"/>
    <w:lvl w:ilvl="0" w:tentative="0">
      <w:start w:val="3"/>
      <w:numFmt w:val="chineseCounting"/>
      <w:suff w:val="nothing"/>
      <w:lvlText w:val="%1、"/>
      <w:lvlJc w:val="left"/>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791"/>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A0E"/>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1A9"/>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50F"/>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58FD"/>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023"/>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0F45"/>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57"/>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274"/>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344"/>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6D3"/>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A5E"/>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3D2"/>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76"/>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325"/>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25FF"/>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2"/>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008"/>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D49"/>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565"/>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1A9E"/>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677"/>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21F"/>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C85"/>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469"/>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309"/>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46D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22"/>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4BC"/>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B20"/>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96"/>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81A"/>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4"/>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5"/>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B94"/>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47778C"/>
    <w:rsid w:val="017244EE"/>
    <w:rsid w:val="018C519F"/>
    <w:rsid w:val="019F7441"/>
    <w:rsid w:val="01B37585"/>
    <w:rsid w:val="01D55165"/>
    <w:rsid w:val="01DF6BF8"/>
    <w:rsid w:val="01EC2C57"/>
    <w:rsid w:val="02117D9A"/>
    <w:rsid w:val="022B2C0A"/>
    <w:rsid w:val="025F0711"/>
    <w:rsid w:val="026B2E25"/>
    <w:rsid w:val="02824D4D"/>
    <w:rsid w:val="02DC4B10"/>
    <w:rsid w:val="02DD76CE"/>
    <w:rsid w:val="02ED7EC0"/>
    <w:rsid w:val="02F36323"/>
    <w:rsid w:val="02F5619C"/>
    <w:rsid w:val="02FE3E7B"/>
    <w:rsid w:val="03062D2F"/>
    <w:rsid w:val="0317318F"/>
    <w:rsid w:val="0326446A"/>
    <w:rsid w:val="032D5555"/>
    <w:rsid w:val="03563CB7"/>
    <w:rsid w:val="036634D2"/>
    <w:rsid w:val="037B196F"/>
    <w:rsid w:val="037E4FBC"/>
    <w:rsid w:val="0385459C"/>
    <w:rsid w:val="03AC38D7"/>
    <w:rsid w:val="03BE185C"/>
    <w:rsid w:val="03DD35E4"/>
    <w:rsid w:val="04076900"/>
    <w:rsid w:val="041A5A3B"/>
    <w:rsid w:val="042311BA"/>
    <w:rsid w:val="042B157A"/>
    <w:rsid w:val="04620439"/>
    <w:rsid w:val="04700DA8"/>
    <w:rsid w:val="048F763B"/>
    <w:rsid w:val="049F330E"/>
    <w:rsid w:val="04AA775C"/>
    <w:rsid w:val="04AF1889"/>
    <w:rsid w:val="04F66F48"/>
    <w:rsid w:val="05251E14"/>
    <w:rsid w:val="056401E1"/>
    <w:rsid w:val="05A16594"/>
    <w:rsid w:val="05A7762D"/>
    <w:rsid w:val="060E5941"/>
    <w:rsid w:val="06110FAF"/>
    <w:rsid w:val="06493CA7"/>
    <w:rsid w:val="065A1D10"/>
    <w:rsid w:val="065A6178"/>
    <w:rsid w:val="066F1CF3"/>
    <w:rsid w:val="06871610"/>
    <w:rsid w:val="06930BB8"/>
    <w:rsid w:val="06AE0FD2"/>
    <w:rsid w:val="06B86A37"/>
    <w:rsid w:val="07245D42"/>
    <w:rsid w:val="07264C62"/>
    <w:rsid w:val="0779354C"/>
    <w:rsid w:val="07AD5E6F"/>
    <w:rsid w:val="07C05BA3"/>
    <w:rsid w:val="07D63618"/>
    <w:rsid w:val="07E07FF3"/>
    <w:rsid w:val="08061376"/>
    <w:rsid w:val="08452D77"/>
    <w:rsid w:val="08522B41"/>
    <w:rsid w:val="086401F8"/>
    <w:rsid w:val="08751CAA"/>
    <w:rsid w:val="087E4C40"/>
    <w:rsid w:val="08844E22"/>
    <w:rsid w:val="08A871D0"/>
    <w:rsid w:val="08D66AD6"/>
    <w:rsid w:val="08DA33A3"/>
    <w:rsid w:val="08E80F13"/>
    <w:rsid w:val="08E87F44"/>
    <w:rsid w:val="08FC70AE"/>
    <w:rsid w:val="09320D22"/>
    <w:rsid w:val="09335624"/>
    <w:rsid w:val="0944690F"/>
    <w:rsid w:val="094B5940"/>
    <w:rsid w:val="09535675"/>
    <w:rsid w:val="095F057D"/>
    <w:rsid w:val="09642282"/>
    <w:rsid w:val="09722ECD"/>
    <w:rsid w:val="09733572"/>
    <w:rsid w:val="09736C45"/>
    <w:rsid w:val="09772C16"/>
    <w:rsid w:val="098353B5"/>
    <w:rsid w:val="09A92330"/>
    <w:rsid w:val="09B06B87"/>
    <w:rsid w:val="09C13146"/>
    <w:rsid w:val="09E04166"/>
    <w:rsid w:val="0A075D0B"/>
    <w:rsid w:val="0A1C0718"/>
    <w:rsid w:val="0A1E3055"/>
    <w:rsid w:val="0A2322F7"/>
    <w:rsid w:val="0A3E7710"/>
    <w:rsid w:val="0A5B7E63"/>
    <w:rsid w:val="0AA374A5"/>
    <w:rsid w:val="0AAB7649"/>
    <w:rsid w:val="0ABC5606"/>
    <w:rsid w:val="0ACF4E8E"/>
    <w:rsid w:val="0B2B3C7B"/>
    <w:rsid w:val="0B30404E"/>
    <w:rsid w:val="0B4C6C14"/>
    <w:rsid w:val="0B547599"/>
    <w:rsid w:val="0B631A88"/>
    <w:rsid w:val="0B683D45"/>
    <w:rsid w:val="0B7078E0"/>
    <w:rsid w:val="0B7F3F11"/>
    <w:rsid w:val="0B884417"/>
    <w:rsid w:val="0B9C06D5"/>
    <w:rsid w:val="0BB43C70"/>
    <w:rsid w:val="0BC1013B"/>
    <w:rsid w:val="0BE1258C"/>
    <w:rsid w:val="0BF6188C"/>
    <w:rsid w:val="0BF73C91"/>
    <w:rsid w:val="0C170175"/>
    <w:rsid w:val="0C571A41"/>
    <w:rsid w:val="0C5C1171"/>
    <w:rsid w:val="0C5E1CBC"/>
    <w:rsid w:val="0C615B50"/>
    <w:rsid w:val="0C692CAD"/>
    <w:rsid w:val="0C8445DA"/>
    <w:rsid w:val="0C87121B"/>
    <w:rsid w:val="0C8E44C1"/>
    <w:rsid w:val="0CC007F7"/>
    <w:rsid w:val="0CC617AC"/>
    <w:rsid w:val="0CE618DF"/>
    <w:rsid w:val="0CFE707A"/>
    <w:rsid w:val="0D063BDA"/>
    <w:rsid w:val="0D08375F"/>
    <w:rsid w:val="0D110C4F"/>
    <w:rsid w:val="0D184CFB"/>
    <w:rsid w:val="0D1A2A5B"/>
    <w:rsid w:val="0D3D37F2"/>
    <w:rsid w:val="0D4A7419"/>
    <w:rsid w:val="0D8238FA"/>
    <w:rsid w:val="0D827401"/>
    <w:rsid w:val="0D84094E"/>
    <w:rsid w:val="0D854AD0"/>
    <w:rsid w:val="0D8A00E9"/>
    <w:rsid w:val="0D8D589E"/>
    <w:rsid w:val="0D9773A6"/>
    <w:rsid w:val="0DA01C73"/>
    <w:rsid w:val="0DC83A03"/>
    <w:rsid w:val="0DD63300"/>
    <w:rsid w:val="0DD95C10"/>
    <w:rsid w:val="0DF50604"/>
    <w:rsid w:val="0DF702FE"/>
    <w:rsid w:val="0E060E51"/>
    <w:rsid w:val="0E407A3D"/>
    <w:rsid w:val="0E454C51"/>
    <w:rsid w:val="0E5604B2"/>
    <w:rsid w:val="0E5B4877"/>
    <w:rsid w:val="0E6D5D79"/>
    <w:rsid w:val="0E76520D"/>
    <w:rsid w:val="0E9D0089"/>
    <w:rsid w:val="0EA474D2"/>
    <w:rsid w:val="0EB803EE"/>
    <w:rsid w:val="0EE26D46"/>
    <w:rsid w:val="0EF94D4B"/>
    <w:rsid w:val="0EFB3964"/>
    <w:rsid w:val="0F0547E3"/>
    <w:rsid w:val="0F1467D4"/>
    <w:rsid w:val="0F4958DC"/>
    <w:rsid w:val="0F515DF7"/>
    <w:rsid w:val="0F596BA8"/>
    <w:rsid w:val="0F6248D2"/>
    <w:rsid w:val="0F693536"/>
    <w:rsid w:val="0F7B0511"/>
    <w:rsid w:val="0F7B76D9"/>
    <w:rsid w:val="0F816ACD"/>
    <w:rsid w:val="0F9832DB"/>
    <w:rsid w:val="0FBF3FD2"/>
    <w:rsid w:val="0FBF7FF3"/>
    <w:rsid w:val="10613C9B"/>
    <w:rsid w:val="10646583"/>
    <w:rsid w:val="106A2B50"/>
    <w:rsid w:val="107D4B15"/>
    <w:rsid w:val="108A3C80"/>
    <w:rsid w:val="10C26171"/>
    <w:rsid w:val="10EA3C90"/>
    <w:rsid w:val="10EB73E2"/>
    <w:rsid w:val="10F33360"/>
    <w:rsid w:val="10FC16EA"/>
    <w:rsid w:val="110F1D40"/>
    <w:rsid w:val="11266F33"/>
    <w:rsid w:val="117479FE"/>
    <w:rsid w:val="118963A1"/>
    <w:rsid w:val="118C1950"/>
    <w:rsid w:val="11C6522A"/>
    <w:rsid w:val="11E104CC"/>
    <w:rsid w:val="11E20309"/>
    <w:rsid w:val="12255233"/>
    <w:rsid w:val="12530213"/>
    <w:rsid w:val="125E66E4"/>
    <w:rsid w:val="12753A2E"/>
    <w:rsid w:val="127723A9"/>
    <w:rsid w:val="12862074"/>
    <w:rsid w:val="12883966"/>
    <w:rsid w:val="129E45B4"/>
    <w:rsid w:val="12C7072D"/>
    <w:rsid w:val="12D81596"/>
    <w:rsid w:val="13072A44"/>
    <w:rsid w:val="13545D39"/>
    <w:rsid w:val="135F4BE2"/>
    <w:rsid w:val="139B1A0A"/>
    <w:rsid w:val="139D25C7"/>
    <w:rsid w:val="13B80076"/>
    <w:rsid w:val="13BF3CE4"/>
    <w:rsid w:val="13C05EA9"/>
    <w:rsid w:val="13C77A9D"/>
    <w:rsid w:val="141008D8"/>
    <w:rsid w:val="14125FE6"/>
    <w:rsid w:val="1437C3F5"/>
    <w:rsid w:val="144D4C62"/>
    <w:rsid w:val="146D271E"/>
    <w:rsid w:val="14982588"/>
    <w:rsid w:val="149A5AD9"/>
    <w:rsid w:val="14A34882"/>
    <w:rsid w:val="14A7619D"/>
    <w:rsid w:val="14FB2910"/>
    <w:rsid w:val="150536C3"/>
    <w:rsid w:val="150C1963"/>
    <w:rsid w:val="151447A0"/>
    <w:rsid w:val="15267261"/>
    <w:rsid w:val="154A6454"/>
    <w:rsid w:val="155D0ED5"/>
    <w:rsid w:val="15762120"/>
    <w:rsid w:val="15832374"/>
    <w:rsid w:val="15FD4466"/>
    <w:rsid w:val="16094BB9"/>
    <w:rsid w:val="160E6673"/>
    <w:rsid w:val="161672D6"/>
    <w:rsid w:val="164E081E"/>
    <w:rsid w:val="168B1A72"/>
    <w:rsid w:val="16A8729C"/>
    <w:rsid w:val="16B33777"/>
    <w:rsid w:val="16BC70A7"/>
    <w:rsid w:val="16C6339E"/>
    <w:rsid w:val="171657DF"/>
    <w:rsid w:val="17214184"/>
    <w:rsid w:val="172F2D79"/>
    <w:rsid w:val="17557BEF"/>
    <w:rsid w:val="17D349C1"/>
    <w:rsid w:val="17F17FFA"/>
    <w:rsid w:val="18244F26"/>
    <w:rsid w:val="1830729E"/>
    <w:rsid w:val="18363C5F"/>
    <w:rsid w:val="1852128A"/>
    <w:rsid w:val="18626802"/>
    <w:rsid w:val="1870062C"/>
    <w:rsid w:val="18817102"/>
    <w:rsid w:val="18830A15"/>
    <w:rsid w:val="18852B28"/>
    <w:rsid w:val="188B5321"/>
    <w:rsid w:val="188E3A9B"/>
    <w:rsid w:val="18910E95"/>
    <w:rsid w:val="18E92A80"/>
    <w:rsid w:val="18F03E0E"/>
    <w:rsid w:val="19810F0A"/>
    <w:rsid w:val="19932372"/>
    <w:rsid w:val="19A20DD5"/>
    <w:rsid w:val="19AE03F1"/>
    <w:rsid w:val="19CF1C75"/>
    <w:rsid w:val="19D454DE"/>
    <w:rsid w:val="1A071A03"/>
    <w:rsid w:val="1A1F16AE"/>
    <w:rsid w:val="1A3B5C77"/>
    <w:rsid w:val="1A404921"/>
    <w:rsid w:val="1A6B1B55"/>
    <w:rsid w:val="1A9133CF"/>
    <w:rsid w:val="1A984BAD"/>
    <w:rsid w:val="1AB704C9"/>
    <w:rsid w:val="1AB8220E"/>
    <w:rsid w:val="1AE3458F"/>
    <w:rsid w:val="1AE4166C"/>
    <w:rsid w:val="1AE96D67"/>
    <w:rsid w:val="1AF06CFB"/>
    <w:rsid w:val="1AF11B8D"/>
    <w:rsid w:val="1AFC6E29"/>
    <w:rsid w:val="1B11359C"/>
    <w:rsid w:val="1B1A33C4"/>
    <w:rsid w:val="1B2A271F"/>
    <w:rsid w:val="1B530544"/>
    <w:rsid w:val="1B713184"/>
    <w:rsid w:val="1B860A5A"/>
    <w:rsid w:val="1BA209CF"/>
    <w:rsid w:val="1BB43819"/>
    <w:rsid w:val="1BB4777D"/>
    <w:rsid w:val="1BD75AB8"/>
    <w:rsid w:val="1BDB3116"/>
    <w:rsid w:val="1C0459C2"/>
    <w:rsid w:val="1C057BD0"/>
    <w:rsid w:val="1C1B3B4A"/>
    <w:rsid w:val="1C5B1EE6"/>
    <w:rsid w:val="1C8651B5"/>
    <w:rsid w:val="1C88086E"/>
    <w:rsid w:val="1CCB5193"/>
    <w:rsid w:val="1CDD6D9F"/>
    <w:rsid w:val="1D266CE1"/>
    <w:rsid w:val="1D3963AF"/>
    <w:rsid w:val="1D6A673C"/>
    <w:rsid w:val="1D9247AE"/>
    <w:rsid w:val="1DB567EC"/>
    <w:rsid w:val="1DBA2C3C"/>
    <w:rsid w:val="1DCD471E"/>
    <w:rsid w:val="1DD9C554"/>
    <w:rsid w:val="1DF51A98"/>
    <w:rsid w:val="1E051CD9"/>
    <w:rsid w:val="1E067C30"/>
    <w:rsid w:val="1E0839A8"/>
    <w:rsid w:val="1E1C7453"/>
    <w:rsid w:val="1E3D060F"/>
    <w:rsid w:val="1E3F7D2E"/>
    <w:rsid w:val="1E4134E4"/>
    <w:rsid w:val="1E430E84"/>
    <w:rsid w:val="1E5062B3"/>
    <w:rsid w:val="1E523514"/>
    <w:rsid w:val="1E5E6DE6"/>
    <w:rsid w:val="1E714A66"/>
    <w:rsid w:val="1E7E1EBC"/>
    <w:rsid w:val="1E802593"/>
    <w:rsid w:val="1E8B6156"/>
    <w:rsid w:val="1EA703CC"/>
    <w:rsid w:val="1EB7330C"/>
    <w:rsid w:val="1EC78F74"/>
    <w:rsid w:val="1F0A0FF3"/>
    <w:rsid w:val="1F234F3D"/>
    <w:rsid w:val="1F3A4035"/>
    <w:rsid w:val="1F5771FF"/>
    <w:rsid w:val="1F971487"/>
    <w:rsid w:val="1FD52574"/>
    <w:rsid w:val="1FDD7FC4"/>
    <w:rsid w:val="1FE868A9"/>
    <w:rsid w:val="1FED554B"/>
    <w:rsid w:val="20034907"/>
    <w:rsid w:val="200F54C2"/>
    <w:rsid w:val="20173E4B"/>
    <w:rsid w:val="204E48BC"/>
    <w:rsid w:val="20731E7D"/>
    <w:rsid w:val="208921B3"/>
    <w:rsid w:val="20973DEB"/>
    <w:rsid w:val="20A35C0A"/>
    <w:rsid w:val="20B26522"/>
    <w:rsid w:val="20B44310"/>
    <w:rsid w:val="20F87D04"/>
    <w:rsid w:val="211116EB"/>
    <w:rsid w:val="21224D81"/>
    <w:rsid w:val="216133FC"/>
    <w:rsid w:val="2188552B"/>
    <w:rsid w:val="219043E0"/>
    <w:rsid w:val="21C36564"/>
    <w:rsid w:val="21D56769"/>
    <w:rsid w:val="21E52EF3"/>
    <w:rsid w:val="21FB5D7B"/>
    <w:rsid w:val="22015E94"/>
    <w:rsid w:val="220B1C3D"/>
    <w:rsid w:val="221D1D20"/>
    <w:rsid w:val="22334A87"/>
    <w:rsid w:val="224F7DF7"/>
    <w:rsid w:val="22672929"/>
    <w:rsid w:val="22965A26"/>
    <w:rsid w:val="22AA3280"/>
    <w:rsid w:val="22BE6801"/>
    <w:rsid w:val="23085827"/>
    <w:rsid w:val="233500BF"/>
    <w:rsid w:val="23377FF7"/>
    <w:rsid w:val="236B425F"/>
    <w:rsid w:val="23836192"/>
    <w:rsid w:val="23901F29"/>
    <w:rsid w:val="239C0061"/>
    <w:rsid w:val="23A75A11"/>
    <w:rsid w:val="23A979DB"/>
    <w:rsid w:val="23AE5B30"/>
    <w:rsid w:val="23B908A4"/>
    <w:rsid w:val="23E95BEF"/>
    <w:rsid w:val="23FD0064"/>
    <w:rsid w:val="24443260"/>
    <w:rsid w:val="245375B0"/>
    <w:rsid w:val="24642C0A"/>
    <w:rsid w:val="246A0F18"/>
    <w:rsid w:val="24B22173"/>
    <w:rsid w:val="24B95AD9"/>
    <w:rsid w:val="24BE24DA"/>
    <w:rsid w:val="24CF5825"/>
    <w:rsid w:val="24D663E6"/>
    <w:rsid w:val="24D77F2B"/>
    <w:rsid w:val="24E32A79"/>
    <w:rsid w:val="24F353B2"/>
    <w:rsid w:val="24FD3B3B"/>
    <w:rsid w:val="25152081"/>
    <w:rsid w:val="255B6AB3"/>
    <w:rsid w:val="258B00E2"/>
    <w:rsid w:val="25A917A6"/>
    <w:rsid w:val="25BC1C48"/>
    <w:rsid w:val="25BE27CC"/>
    <w:rsid w:val="25F74A5C"/>
    <w:rsid w:val="25FC0296"/>
    <w:rsid w:val="25FD542C"/>
    <w:rsid w:val="260E7FC9"/>
    <w:rsid w:val="2628662C"/>
    <w:rsid w:val="262D45DE"/>
    <w:rsid w:val="26663631"/>
    <w:rsid w:val="2681079B"/>
    <w:rsid w:val="26871DC8"/>
    <w:rsid w:val="26A53EF9"/>
    <w:rsid w:val="26A94201"/>
    <w:rsid w:val="26AC274F"/>
    <w:rsid w:val="26EA4592"/>
    <w:rsid w:val="27003DB6"/>
    <w:rsid w:val="27044A29"/>
    <w:rsid w:val="271D34C8"/>
    <w:rsid w:val="273E043A"/>
    <w:rsid w:val="276142BF"/>
    <w:rsid w:val="27783712"/>
    <w:rsid w:val="27907362"/>
    <w:rsid w:val="279544FE"/>
    <w:rsid w:val="27D36DD5"/>
    <w:rsid w:val="28333E1D"/>
    <w:rsid w:val="28454BD6"/>
    <w:rsid w:val="28455253"/>
    <w:rsid w:val="28551971"/>
    <w:rsid w:val="285B1C53"/>
    <w:rsid w:val="289A5B44"/>
    <w:rsid w:val="289F7086"/>
    <w:rsid w:val="28C32028"/>
    <w:rsid w:val="28CC490F"/>
    <w:rsid w:val="28DE40AA"/>
    <w:rsid w:val="292E4C0A"/>
    <w:rsid w:val="29345E77"/>
    <w:rsid w:val="294C65AD"/>
    <w:rsid w:val="29806583"/>
    <w:rsid w:val="298B3C4C"/>
    <w:rsid w:val="298E7457"/>
    <w:rsid w:val="299332F5"/>
    <w:rsid w:val="2998358C"/>
    <w:rsid w:val="299F78B6"/>
    <w:rsid w:val="29A22F02"/>
    <w:rsid w:val="29F26D24"/>
    <w:rsid w:val="2A15033F"/>
    <w:rsid w:val="2A1662C1"/>
    <w:rsid w:val="2A1C7367"/>
    <w:rsid w:val="2A2815FA"/>
    <w:rsid w:val="2A495A74"/>
    <w:rsid w:val="2A4B5348"/>
    <w:rsid w:val="2A6D6092"/>
    <w:rsid w:val="2A720B27"/>
    <w:rsid w:val="2A7D76B4"/>
    <w:rsid w:val="2A9F7442"/>
    <w:rsid w:val="2AA35184"/>
    <w:rsid w:val="2B110340"/>
    <w:rsid w:val="2B437463"/>
    <w:rsid w:val="2B6E5792"/>
    <w:rsid w:val="2B7807EE"/>
    <w:rsid w:val="2B8054C5"/>
    <w:rsid w:val="2BA50BF7"/>
    <w:rsid w:val="2BBF00EC"/>
    <w:rsid w:val="2BC37CFD"/>
    <w:rsid w:val="2BD5237F"/>
    <w:rsid w:val="2BE536CE"/>
    <w:rsid w:val="2BE758D9"/>
    <w:rsid w:val="2BEC2B5B"/>
    <w:rsid w:val="2BF346BB"/>
    <w:rsid w:val="2BFD6B16"/>
    <w:rsid w:val="2C09049E"/>
    <w:rsid w:val="2C0A653C"/>
    <w:rsid w:val="2C106849"/>
    <w:rsid w:val="2C191F85"/>
    <w:rsid w:val="2C3818FC"/>
    <w:rsid w:val="2CC55886"/>
    <w:rsid w:val="2CDA6E57"/>
    <w:rsid w:val="2CDF621C"/>
    <w:rsid w:val="2CE82D6F"/>
    <w:rsid w:val="2D287BC3"/>
    <w:rsid w:val="2D343236"/>
    <w:rsid w:val="2D38455E"/>
    <w:rsid w:val="2D575011"/>
    <w:rsid w:val="2DD15014"/>
    <w:rsid w:val="2DF72DE4"/>
    <w:rsid w:val="2DFFE739"/>
    <w:rsid w:val="2E0220AF"/>
    <w:rsid w:val="2E1B3283"/>
    <w:rsid w:val="2E2E0121"/>
    <w:rsid w:val="2E4B082A"/>
    <w:rsid w:val="2E4E3659"/>
    <w:rsid w:val="2E59653C"/>
    <w:rsid w:val="2E5D4E86"/>
    <w:rsid w:val="2E5D790B"/>
    <w:rsid w:val="2E60513A"/>
    <w:rsid w:val="2E935510"/>
    <w:rsid w:val="2E9A3C18"/>
    <w:rsid w:val="2EBB0FEE"/>
    <w:rsid w:val="2EC27BA3"/>
    <w:rsid w:val="2EC63002"/>
    <w:rsid w:val="2F0A6B38"/>
    <w:rsid w:val="2F0F103A"/>
    <w:rsid w:val="2F946CCB"/>
    <w:rsid w:val="2FA15A0A"/>
    <w:rsid w:val="2FCD4A51"/>
    <w:rsid w:val="2FD25781"/>
    <w:rsid w:val="2FDC745C"/>
    <w:rsid w:val="2FFD7934"/>
    <w:rsid w:val="30733ACD"/>
    <w:rsid w:val="308C3862"/>
    <w:rsid w:val="309379D8"/>
    <w:rsid w:val="30A270F7"/>
    <w:rsid w:val="30B023A9"/>
    <w:rsid w:val="30DF1478"/>
    <w:rsid w:val="30E16A06"/>
    <w:rsid w:val="30EC586F"/>
    <w:rsid w:val="30ED7B79"/>
    <w:rsid w:val="312468F3"/>
    <w:rsid w:val="318173ED"/>
    <w:rsid w:val="319677F1"/>
    <w:rsid w:val="319C6071"/>
    <w:rsid w:val="31AC537E"/>
    <w:rsid w:val="31CF2D03"/>
    <w:rsid w:val="31E3679B"/>
    <w:rsid w:val="31E71DFA"/>
    <w:rsid w:val="31E732FD"/>
    <w:rsid w:val="31E7A127"/>
    <w:rsid w:val="320329AC"/>
    <w:rsid w:val="324178CF"/>
    <w:rsid w:val="3251196A"/>
    <w:rsid w:val="32517576"/>
    <w:rsid w:val="32556074"/>
    <w:rsid w:val="326E7E26"/>
    <w:rsid w:val="32B819E9"/>
    <w:rsid w:val="32BE5C2C"/>
    <w:rsid w:val="32E4633A"/>
    <w:rsid w:val="32FB6478"/>
    <w:rsid w:val="33263B3F"/>
    <w:rsid w:val="3353526D"/>
    <w:rsid w:val="336963EB"/>
    <w:rsid w:val="33816EEB"/>
    <w:rsid w:val="33EB55CD"/>
    <w:rsid w:val="33EC4C02"/>
    <w:rsid w:val="340D2360"/>
    <w:rsid w:val="3410665D"/>
    <w:rsid w:val="341B4C51"/>
    <w:rsid w:val="34211214"/>
    <w:rsid w:val="342E63AB"/>
    <w:rsid w:val="34950E68"/>
    <w:rsid w:val="34986E94"/>
    <w:rsid w:val="34AF62C9"/>
    <w:rsid w:val="34B32468"/>
    <w:rsid w:val="34CB4388"/>
    <w:rsid w:val="34FA6E12"/>
    <w:rsid w:val="352757DF"/>
    <w:rsid w:val="354D7158"/>
    <w:rsid w:val="358918C4"/>
    <w:rsid w:val="358B5193"/>
    <w:rsid w:val="358D5588"/>
    <w:rsid w:val="35A20004"/>
    <w:rsid w:val="35ED19A9"/>
    <w:rsid w:val="360A60B7"/>
    <w:rsid w:val="36286FF1"/>
    <w:rsid w:val="362E00BD"/>
    <w:rsid w:val="363A3B40"/>
    <w:rsid w:val="365302AE"/>
    <w:rsid w:val="36607A0A"/>
    <w:rsid w:val="366E227C"/>
    <w:rsid w:val="366F2E0D"/>
    <w:rsid w:val="367B6A5C"/>
    <w:rsid w:val="36A74ADA"/>
    <w:rsid w:val="36AD60D5"/>
    <w:rsid w:val="36B224F9"/>
    <w:rsid w:val="36BE50F4"/>
    <w:rsid w:val="36EC0CC9"/>
    <w:rsid w:val="36F154C9"/>
    <w:rsid w:val="37026D17"/>
    <w:rsid w:val="37202102"/>
    <w:rsid w:val="372633C5"/>
    <w:rsid w:val="373F410B"/>
    <w:rsid w:val="37677539"/>
    <w:rsid w:val="37E33064"/>
    <w:rsid w:val="37EE7094"/>
    <w:rsid w:val="38296C89"/>
    <w:rsid w:val="383002EB"/>
    <w:rsid w:val="38417D8A"/>
    <w:rsid w:val="38586797"/>
    <w:rsid w:val="385D15DF"/>
    <w:rsid w:val="388F6D48"/>
    <w:rsid w:val="38BC0149"/>
    <w:rsid w:val="38D87D1C"/>
    <w:rsid w:val="39452D9B"/>
    <w:rsid w:val="39501B10"/>
    <w:rsid w:val="39636459"/>
    <w:rsid w:val="396B7F6C"/>
    <w:rsid w:val="397D1296"/>
    <w:rsid w:val="39B417A9"/>
    <w:rsid w:val="39B42FB8"/>
    <w:rsid w:val="39F03816"/>
    <w:rsid w:val="39FC5695"/>
    <w:rsid w:val="3A006D8E"/>
    <w:rsid w:val="3A3651E5"/>
    <w:rsid w:val="3A744481"/>
    <w:rsid w:val="3A881CA1"/>
    <w:rsid w:val="3A8A5A19"/>
    <w:rsid w:val="3A8C7BEF"/>
    <w:rsid w:val="3A8D72B7"/>
    <w:rsid w:val="3A906246"/>
    <w:rsid w:val="3AAA1C17"/>
    <w:rsid w:val="3AC23405"/>
    <w:rsid w:val="3ADDCAFA"/>
    <w:rsid w:val="3AF235BE"/>
    <w:rsid w:val="3AF83F91"/>
    <w:rsid w:val="3AFD417E"/>
    <w:rsid w:val="3B181276"/>
    <w:rsid w:val="3B2349B7"/>
    <w:rsid w:val="3B616CFF"/>
    <w:rsid w:val="3B6259F6"/>
    <w:rsid w:val="3B976654"/>
    <w:rsid w:val="3BC01EFC"/>
    <w:rsid w:val="3BCA786A"/>
    <w:rsid w:val="3BD31E2F"/>
    <w:rsid w:val="3BDF314A"/>
    <w:rsid w:val="3BF15831"/>
    <w:rsid w:val="3BFBD8DB"/>
    <w:rsid w:val="3C072FA6"/>
    <w:rsid w:val="3C105946"/>
    <w:rsid w:val="3C1E0B0E"/>
    <w:rsid w:val="3C471448"/>
    <w:rsid w:val="3C5F759A"/>
    <w:rsid w:val="3C6C525A"/>
    <w:rsid w:val="3CB74ABF"/>
    <w:rsid w:val="3CCE23CB"/>
    <w:rsid w:val="3CD17D17"/>
    <w:rsid w:val="3D3C7F39"/>
    <w:rsid w:val="3D440F09"/>
    <w:rsid w:val="3D4504A0"/>
    <w:rsid w:val="3D712EC0"/>
    <w:rsid w:val="3D8734BB"/>
    <w:rsid w:val="3D9A11D4"/>
    <w:rsid w:val="3D9D1F07"/>
    <w:rsid w:val="3DA16D89"/>
    <w:rsid w:val="3DA364BE"/>
    <w:rsid w:val="3DE041CB"/>
    <w:rsid w:val="3E0D48F6"/>
    <w:rsid w:val="3E1868B4"/>
    <w:rsid w:val="3E377251"/>
    <w:rsid w:val="3E42664B"/>
    <w:rsid w:val="3E5A7334"/>
    <w:rsid w:val="3E7762B4"/>
    <w:rsid w:val="3E7B5D6B"/>
    <w:rsid w:val="3E815385"/>
    <w:rsid w:val="3E843E66"/>
    <w:rsid w:val="3E8F51FE"/>
    <w:rsid w:val="3E926F87"/>
    <w:rsid w:val="3E9A59DE"/>
    <w:rsid w:val="3EAF4836"/>
    <w:rsid w:val="3EC33DFA"/>
    <w:rsid w:val="3EFE4C27"/>
    <w:rsid w:val="3F060E16"/>
    <w:rsid w:val="3F1D1096"/>
    <w:rsid w:val="3F2F0234"/>
    <w:rsid w:val="3F6363FE"/>
    <w:rsid w:val="3F636838"/>
    <w:rsid w:val="3F731171"/>
    <w:rsid w:val="3F756B8F"/>
    <w:rsid w:val="3F95482B"/>
    <w:rsid w:val="3FA4757D"/>
    <w:rsid w:val="3FA806EF"/>
    <w:rsid w:val="3FDD2E91"/>
    <w:rsid w:val="4019356B"/>
    <w:rsid w:val="40356427"/>
    <w:rsid w:val="4037219F"/>
    <w:rsid w:val="40592157"/>
    <w:rsid w:val="406E1CAE"/>
    <w:rsid w:val="40A0133A"/>
    <w:rsid w:val="40C31A53"/>
    <w:rsid w:val="40C7213A"/>
    <w:rsid w:val="40E816EB"/>
    <w:rsid w:val="40FF545D"/>
    <w:rsid w:val="410067C8"/>
    <w:rsid w:val="41195D48"/>
    <w:rsid w:val="418F0D2A"/>
    <w:rsid w:val="41A33A6C"/>
    <w:rsid w:val="41A53138"/>
    <w:rsid w:val="41D01505"/>
    <w:rsid w:val="41D8350E"/>
    <w:rsid w:val="42402E61"/>
    <w:rsid w:val="42474939"/>
    <w:rsid w:val="424C3C57"/>
    <w:rsid w:val="42613FF3"/>
    <w:rsid w:val="42660D96"/>
    <w:rsid w:val="428216CB"/>
    <w:rsid w:val="428667D2"/>
    <w:rsid w:val="42CD1CE0"/>
    <w:rsid w:val="42E1381E"/>
    <w:rsid w:val="42ED6459"/>
    <w:rsid w:val="42FE58DD"/>
    <w:rsid w:val="43174B3D"/>
    <w:rsid w:val="431762B8"/>
    <w:rsid w:val="43301127"/>
    <w:rsid w:val="43342EA7"/>
    <w:rsid w:val="434640C1"/>
    <w:rsid w:val="434B790E"/>
    <w:rsid w:val="434F77FF"/>
    <w:rsid w:val="4360274F"/>
    <w:rsid w:val="4392593E"/>
    <w:rsid w:val="43977AB6"/>
    <w:rsid w:val="439873F8"/>
    <w:rsid w:val="43A3342B"/>
    <w:rsid w:val="43C77C27"/>
    <w:rsid w:val="43DE09EE"/>
    <w:rsid w:val="43DF5027"/>
    <w:rsid w:val="44002FAD"/>
    <w:rsid w:val="449101DD"/>
    <w:rsid w:val="449A2CFC"/>
    <w:rsid w:val="44DE1391"/>
    <w:rsid w:val="44E16B7D"/>
    <w:rsid w:val="451B225C"/>
    <w:rsid w:val="4521341D"/>
    <w:rsid w:val="452410C9"/>
    <w:rsid w:val="45317DFB"/>
    <w:rsid w:val="453A003B"/>
    <w:rsid w:val="456450B8"/>
    <w:rsid w:val="456D3CE4"/>
    <w:rsid w:val="4579042C"/>
    <w:rsid w:val="457F0571"/>
    <w:rsid w:val="45851176"/>
    <w:rsid w:val="458B6329"/>
    <w:rsid w:val="45921C25"/>
    <w:rsid w:val="45C269AF"/>
    <w:rsid w:val="45C63B94"/>
    <w:rsid w:val="45CA5863"/>
    <w:rsid w:val="45E06E35"/>
    <w:rsid w:val="45EC57D9"/>
    <w:rsid w:val="460E7DA5"/>
    <w:rsid w:val="462C02CC"/>
    <w:rsid w:val="462E7BA0"/>
    <w:rsid w:val="46422483"/>
    <w:rsid w:val="4659254A"/>
    <w:rsid w:val="465B0637"/>
    <w:rsid w:val="465E3F0D"/>
    <w:rsid w:val="46690BD8"/>
    <w:rsid w:val="466A16E6"/>
    <w:rsid w:val="46893F2B"/>
    <w:rsid w:val="46A9191C"/>
    <w:rsid w:val="46A92F4A"/>
    <w:rsid w:val="46C4686E"/>
    <w:rsid w:val="477B778F"/>
    <w:rsid w:val="478203EC"/>
    <w:rsid w:val="47B025FA"/>
    <w:rsid w:val="4809698F"/>
    <w:rsid w:val="4811697D"/>
    <w:rsid w:val="48505CB1"/>
    <w:rsid w:val="48651873"/>
    <w:rsid w:val="487A3E25"/>
    <w:rsid w:val="488B5503"/>
    <w:rsid w:val="48937E21"/>
    <w:rsid w:val="489A0361"/>
    <w:rsid w:val="489B34E7"/>
    <w:rsid w:val="48B94FF3"/>
    <w:rsid w:val="48E37AAB"/>
    <w:rsid w:val="48E37E04"/>
    <w:rsid w:val="48FD4B4C"/>
    <w:rsid w:val="490A68E0"/>
    <w:rsid w:val="491055FE"/>
    <w:rsid w:val="49465201"/>
    <w:rsid w:val="495F5B3E"/>
    <w:rsid w:val="49675177"/>
    <w:rsid w:val="496F77D7"/>
    <w:rsid w:val="49755AE6"/>
    <w:rsid w:val="497654FD"/>
    <w:rsid w:val="498134E7"/>
    <w:rsid w:val="49940662"/>
    <w:rsid w:val="49B64211"/>
    <w:rsid w:val="49D46CB0"/>
    <w:rsid w:val="49DB003F"/>
    <w:rsid w:val="49F6167F"/>
    <w:rsid w:val="4A064FA0"/>
    <w:rsid w:val="4A0D5D1E"/>
    <w:rsid w:val="4A16615C"/>
    <w:rsid w:val="4A3B4613"/>
    <w:rsid w:val="4A4424D7"/>
    <w:rsid w:val="4AB82D0F"/>
    <w:rsid w:val="4AC32699"/>
    <w:rsid w:val="4AEB7664"/>
    <w:rsid w:val="4AEE5B50"/>
    <w:rsid w:val="4AFD7C19"/>
    <w:rsid w:val="4B0567D1"/>
    <w:rsid w:val="4B236AAE"/>
    <w:rsid w:val="4B373569"/>
    <w:rsid w:val="4B707271"/>
    <w:rsid w:val="4B944949"/>
    <w:rsid w:val="4B9739F7"/>
    <w:rsid w:val="4BC93EC7"/>
    <w:rsid w:val="4BEE2503"/>
    <w:rsid w:val="4C245A30"/>
    <w:rsid w:val="4C3B3017"/>
    <w:rsid w:val="4C4023DB"/>
    <w:rsid w:val="4C6F2CC0"/>
    <w:rsid w:val="4C7E2F03"/>
    <w:rsid w:val="4C805B9E"/>
    <w:rsid w:val="4CA706AC"/>
    <w:rsid w:val="4CB6685F"/>
    <w:rsid w:val="4CC367FE"/>
    <w:rsid w:val="4CCB66FE"/>
    <w:rsid w:val="4CFB4554"/>
    <w:rsid w:val="4D077F3C"/>
    <w:rsid w:val="4D123355"/>
    <w:rsid w:val="4D2A3B31"/>
    <w:rsid w:val="4D312C52"/>
    <w:rsid w:val="4D317F76"/>
    <w:rsid w:val="4D5048A0"/>
    <w:rsid w:val="4D7560B4"/>
    <w:rsid w:val="4D905305"/>
    <w:rsid w:val="4D964A72"/>
    <w:rsid w:val="4D9C1254"/>
    <w:rsid w:val="4DC66910"/>
    <w:rsid w:val="4DF1DDC2"/>
    <w:rsid w:val="4DFA2A5E"/>
    <w:rsid w:val="4E793892"/>
    <w:rsid w:val="4E800872"/>
    <w:rsid w:val="4EC569ED"/>
    <w:rsid w:val="4ED50EA1"/>
    <w:rsid w:val="4EEC050C"/>
    <w:rsid w:val="4F0B2565"/>
    <w:rsid w:val="4F104EC3"/>
    <w:rsid w:val="4F47354A"/>
    <w:rsid w:val="4F8D1C8E"/>
    <w:rsid w:val="4F911C54"/>
    <w:rsid w:val="4FE17A31"/>
    <w:rsid w:val="4FE625E0"/>
    <w:rsid w:val="4FED4628"/>
    <w:rsid w:val="4FFA6D45"/>
    <w:rsid w:val="5021480F"/>
    <w:rsid w:val="50962ECB"/>
    <w:rsid w:val="50A42E38"/>
    <w:rsid w:val="50A4577F"/>
    <w:rsid w:val="50B73D1F"/>
    <w:rsid w:val="50BD5BC9"/>
    <w:rsid w:val="50C11EEE"/>
    <w:rsid w:val="50E97CFC"/>
    <w:rsid w:val="50FA4028"/>
    <w:rsid w:val="51071719"/>
    <w:rsid w:val="510D65B7"/>
    <w:rsid w:val="511157AB"/>
    <w:rsid w:val="511D718F"/>
    <w:rsid w:val="51330760"/>
    <w:rsid w:val="51346287"/>
    <w:rsid w:val="5142540C"/>
    <w:rsid w:val="5176689F"/>
    <w:rsid w:val="518832C8"/>
    <w:rsid w:val="519D3C50"/>
    <w:rsid w:val="51A0432A"/>
    <w:rsid w:val="51A86090"/>
    <w:rsid w:val="51B7396D"/>
    <w:rsid w:val="522E4CC3"/>
    <w:rsid w:val="523A1E43"/>
    <w:rsid w:val="5244713B"/>
    <w:rsid w:val="52615633"/>
    <w:rsid w:val="526F4DE4"/>
    <w:rsid w:val="52977FD4"/>
    <w:rsid w:val="52A116FA"/>
    <w:rsid w:val="52A25790"/>
    <w:rsid w:val="52A96B6F"/>
    <w:rsid w:val="52B45975"/>
    <w:rsid w:val="52D94AA4"/>
    <w:rsid w:val="52EA3A62"/>
    <w:rsid w:val="52F50BB8"/>
    <w:rsid w:val="53097272"/>
    <w:rsid w:val="53226CDE"/>
    <w:rsid w:val="532D1275"/>
    <w:rsid w:val="532E5683"/>
    <w:rsid w:val="534F73A8"/>
    <w:rsid w:val="53544462"/>
    <w:rsid w:val="5375B888"/>
    <w:rsid w:val="5385101B"/>
    <w:rsid w:val="5397158E"/>
    <w:rsid w:val="53EE6BC1"/>
    <w:rsid w:val="54013861"/>
    <w:rsid w:val="54181E8F"/>
    <w:rsid w:val="54487265"/>
    <w:rsid w:val="544D6070"/>
    <w:rsid w:val="54605E1E"/>
    <w:rsid w:val="547B45E3"/>
    <w:rsid w:val="54B3506A"/>
    <w:rsid w:val="54B41297"/>
    <w:rsid w:val="54CA0D16"/>
    <w:rsid w:val="54D9517B"/>
    <w:rsid w:val="54DB5397"/>
    <w:rsid w:val="54DD4057"/>
    <w:rsid w:val="54E7490F"/>
    <w:rsid w:val="550764A4"/>
    <w:rsid w:val="550B2BF6"/>
    <w:rsid w:val="55214EB5"/>
    <w:rsid w:val="55364EFD"/>
    <w:rsid w:val="555D4828"/>
    <w:rsid w:val="557A4C8B"/>
    <w:rsid w:val="55872E29"/>
    <w:rsid w:val="558931E1"/>
    <w:rsid w:val="55923347"/>
    <w:rsid w:val="55925180"/>
    <w:rsid w:val="55983B1B"/>
    <w:rsid w:val="55A8376B"/>
    <w:rsid w:val="55AA4D69"/>
    <w:rsid w:val="55B41744"/>
    <w:rsid w:val="55DC29B6"/>
    <w:rsid w:val="55DD4241"/>
    <w:rsid w:val="55FD30EB"/>
    <w:rsid w:val="56334D5F"/>
    <w:rsid w:val="56471638"/>
    <w:rsid w:val="566B6D1E"/>
    <w:rsid w:val="56A45C5C"/>
    <w:rsid w:val="57032A2C"/>
    <w:rsid w:val="570F5219"/>
    <w:rsid w:val="573FF9D9"/>
    <w:rsid w:val="575D12B5"/>
    <w:rsid w:val="57610A87"/>
    <w:rsid w:val="57723665"/>
    <w:rsid w:val="577B1140"/>
    <w:rsid w:val="577B7F21"/>
    <w:rsid w:val="577E025B"/>
    <w:rsid w:val="577F181B"/>
    <w:rsid w:val="57921984"/>
    <w:rsid w:val="579737F0"/>
    <w:rsid w:val="5798756F"/>
    <w:rsid w:val="57AB7B30"/>
    <w:rsid w:val="57AF5251"/>
    <w:rsid w:val="57B26373"/>
    <w:rsid w:val="57B63F04"/>
    <w:rsid w:val="57CD20C2"/>
    <w:rsid w:val="57D23342"/>
    <w:rsid w:val="57D675AB"/>
    <w:rsid w:val="57D73717"/>
    <w:rsid w:val="57D95FDD"/>
    <w:rsid w:val="58134E48"/>
    <w:rsid w:val="58917D2F"/>
    <w:rsid w:val="5894085C"/>
    <w:rsid w:val="58AE4F0C"/>
    <w:rsid w:val="58B85899"/>
    <w:rsid w:val="58BC54DF"/>
    <w:rsid w:val="58DA7713"/>
    <w:rsid w:val="58E363A9"/>
    <w:rsid w:val="58F85DEC"/>
    <w:rsid w:val="59166304"/>
    <w:rsid w:val="59352B9C"/>
    <w:rsid w:val="593C3F2A"/>
    <w:rsid w:val="595E1678"/>
    <w:rsid w:val="596D5BD4"/>
    <w:rsid w:val="597E3DD8"/>
    <w:rsid w:val="598B6C60"/>
    <w:rsid w:val="59AC5554"/>
    <w:rsid w:val="59F34F31"/>
    <w:rsid w:val="59F80043"/>
    <w:rsid w:val="5A09252F"/>
    <w:rsid w:val="5A0B2778"/>
    <w:rsid w:val="5A2A7C7B"/>
    <w:rsid w:val="5A3E2560"/>
    <w:rsid w:val="5A5D3B6E"/>
    <w:rsid w:val="5A61633E"/>
    <w:rsid w:val="5A637A76"/>
    <w:rsid w:val="5A647BDD"/>
    <w:rsid w:val="5A6D33BA"/>
    <w:rsid w:val="5A792B1F"/>
    <w:rsid w:val="5A871B1D"/>
    <w:rsid w:val="5A874767"/>
    <w:rsid w:val="5A951B44"/>
    <w:rsid w:val="5AA85BE2"/>
    <w:rsid w:val="5AAD6F28"/>
    <w:rsid w:val="5AD308BE"/>
    <w:rsid w:val="5AD63A24"/>
    <w:rsid w:val="5B2E1A1D"/>
    <w:rsid w:val="5B843A1C"/>
    <w:rsid w:val="5B873E3F"/>
    <w:rsid w:val="5B8D4F11"/>
    <w:rsid w:val="5BCF1086"/>
    <w:rsid w:val="5C02690E"/>
    <w:rsid w:val="5C0304F1"/>
    <w:rsid w:val="5C196DA7"/>
    <w:rsid w:val="5C2A048C"/>
    <w:rsid w:val="5C80234E"/>
    <w:rsid w:val="5C8A680C"/>
    <w:rsid w:val="5CFD7E74"/>
    <w:rsid w:val="5D0C4701"/>
    <w:rsid w:val="5D0F0395"/>
    <w:rsid w:val="5D221076"/>
    <w:rsid w:val="5D397964"/>
    <w:rsid w:val="5D4E247E"/>
    <w:rsid w:val="5D5A391C"/>
    <w:rsid w:val="5D5F10C0"/>
    <w:rsid w:val="5D891B7B"/>
    <w:rsid w:val="5DAD38EE"/>
    <w:rsid w:val="5DD46E27"/>
    <w:rsid w:val="5DF272AD"/>
    <w:rsid w:val="5E006862"/>
    <w:rsid w:val="5E0207B9"/>
    <w:rsid w:val="5E1834A1"/>
    <w:rsid w:val="5E261785"/>
    <w:rsid w:val="5E4A7017"/>
    <w:rsid w:val="5E552BBA"/>
    <w:rsid w:val="5E611C10"/>
    <w:rsid w:val="5E7A0F3F"/>
    <w:rsid w:val="5EAE58CA"/>
    <w:rsid w:val="5EC7698C"/>
    <w:rsid w:val="5EEC01A1"/>
    <w:rsid w:val="5EFC7377"/>
    <w:rsid w:val="5F06174D"/>
    <w:rsid w:val="5F2C67EF"/>
    <w:rsid w:val="5F3A3602"/>
    <w:rsid w:val="5F45733B"/>
    <w:rsid w:val="5F6146EB"/>
    <w:rsid w:val="5F6277C6"/>
    <w:rsid w:val="5F6D0B1D"/>
    <w:rsid w:val="5F775CBC"/>
    <w:rsid w:val="5F7E34EF"/>
    <w:rsid w:val="5F8D0B82"/>
    <w:rsid w:val="5F9E6B6F"/>
    <w:rsid w:val="5FB40CBE"/>
    <w:rsid w:val="5FCC5339"/>
    <w:rsid w:val="5FE34A5B"/>
    <w:rsid w:val="5FFE1E36"/>
    <w:rsid w:val="6005151A"/>
    <w:rsid w:val="601E25DC"/>
    <w:rsid w:val="60232584"/>
    <w:rsid w:val="606D6C2A"/>
    <w:rsid w:val="607330CE"/>
    <w:rsid w:val="60825176"/>
    <w:rsid w:val="609F2AC4"/>
    <w:rsid w:val="60EA0710"/>
    <w:rsid w:val="60FA2EE8"/>
    <w:rsid w:val="61047A23"/>
    <w:rsid w:val="610538E1"/>
    <w:rsid w:val="61054A27"/>
    <w:rsid w:val="610A52BC"/>
    <w:rsid w:val="61113EEE"/>
    <w:rsid w:val="611D2366"/>
    <w:rsid w:val="6138591F"/>
    <w:rsid w:val="61421856"/>
    <w:rsid w:val="615227C4"/>
    <w:rsid w:val="61654E3F"/>
    <w:rsid w:val="617D1584"/>
    <w:rsid w:val="617FD818"/>
    <w:rsid w:val="6182292A"/>
    <w:rsid w:val="619F7F92"/>
    <w:rsid w:val="61B067D3"/>
    <w:rsid w:val="61C3355C"/>
    <w:rsid w:val="61F94C26"/>
    <w:rsid w:val="62000E56"/>
    <w:rsid w:val="623A1223"/>
    <w:rsid w:val="623A601C"/>
    <w:rsid w:val="623E51B7"/>
    <w:rsid w:val="623F6839"/>
    <w:rsid w:val="624F3E49"/>
    <w:rsid w:val="62632286"/>
    <w:rsid w:val="62885958"/>
    <w:rsid w:val="62AF289C"/>
    <w:rsid w:val="62BB6808"/>
    <w:rsid w:val="62F40B65"/>
    <w:rsid w:val="62FC2CFE"/>
    <w:rsid w:val="63024505"/>
    <w:rsid w:val="632C14B3"/>
    <w:rsid w:val="634560D1"/>
    <w:rsid w:val="63464323"/>
    <w:rsid w:val="635600A5"/>
    <w:rsid w:val="635B1DB5"/>
    <w:rsid w:val="63691DC0"/>
    <w:rsid w:val="63711FED"/>
    <w:rsid w:val="637864A7"/>
    <w:rsid w:val="63847915"/>
    <w:rsid w:val="63880DDC"/>
    <w:rsid w:val="638D750D"/>
    <w:rsid w:val="639A466F"/>
    <w:rsid w:val="63AC6CC0"/>
    <w:rsid w:val="63EA73A4"/>
    <w:rsid w:val="64055776"/>
    <w:rsid w:val="64240056"/>
    <w:rsid w:val="643E143A"/>
    <w:rsid w:val="64491666"/>
    <w:rsid w:val="6461518D"/>
    <w:rsid w:val="64664551"/>
    <w:rsid w:val="64836EB1"/>
    <w:rsid w:val="648B6EEF"/>
    <w:rsid w:val="64AC28AC"/>
    <w:rsid w:val="64C158BF"/>
    <w:rsid w:val="64CE2EAA"/>
    <w:rsid w:val="64E262CE"/>
    <w:rsid w:val="64F93617"/>
    <w:rsid w:val="650049A6"/>
    <w:rsid w:val="6531653E"/>
    <w:rsid w:val="653C3090"/>
    <w:rsid w:val="6546685C"/>
    <w:rsid w:val="65476131"/>
    <w:rsid w:val="65854376"/>
    <w:rsid w:val="658767BE"/>
    <w:rsid w:val="65892531"/>
    <w:rsid w:val="658E5B0E"/>
    <w:rsid w:val="65C32A4A"/>
    <w:rsid w:val="65DD0843"/>
    <w:rsid w:val="66195831"/>
    <w:rsid w:val="662E75B1"/>
    <w:rsid w:val="66342C2E"/>
    <w:rsid w:val="663E784C"/>
    <w:rsid w:val="665E3732"/>
    <w:rsid w:val="668B6A45"/>
    <w:rsid w:val="66BC5957"/>
    <w:rsid w:val="672F3F24"/>
    <w:rsid w:val="673E055F"/>
    <w:rsid w:val="67551CE3"/>
    <w:rsid w:val="67746F85"/>
    <w:rsid w:val="677671A1"/>
    <w:rsid w:val="67A22552"/>
    <w:rsid w:val="67B22DCC"/>
    <w:rsid w:val="67BE71AA"/>
    <w:rsid w:val="67D90273"/>
    <w:rsid w:val="67DE5875"/>
    <w:rsid w:val="67E55852"/>
    <w:rsid w:val="67E97973"/>
    <w:rsid w:val="67EB1AB4"/>
    <w:rsid w:val="67EE89EA"/>
    <w:rsid w:val="67F500C6"/>
    <w:rsid w:val="67F9684B"/>
    <w:rsid w:val="67FA1285"/>
    <w:rsid w:val="68551F4F"/>
    <w:rsid w:val="687C10C9"/>
    <w:rsid w:val="68840C16"/>
    <w:rsid w:val="68876EFB"/>
    <w:rsid w:val="68884654"/>
    <w:rsid w:val="689F444F"/>
    <w:rsid w:val="68B96DBB"/>
    <w:rsid w:val="68C161FA"/>
    <w:rsid w:val="68CA2805"/>
    <w:rsid w:val="68CF4DBB"/>
    <w:rsid w:val="68D75A1D"/>
    <w:rsid w:val="68E937A3"/>
    <w:rsid w:val="69232A11"/>
    <w:rsid w:val="693E15D3"/>
    <w:rsid w:val="69603C65"/>
    <w:rsid w:val="69627681"/>
    <w:rsid w:val="6977531D"/>
    <w:rsid w:val="699456BD"/>
    <w:rsid w:val="69CC2BFF"/>
    <w:rsid w:val="69DA5576"/>
    <w:rsid w:val="69FD55B8"/>
    <w:rsid w:val="6A0B1C62"/>
    <w:rsid w:val="6A2406C8"/>
    <w:rsid w:val="6A4B221F"/>
    <w:rsid w:val="6ADE0BD1"/>
    <w:rsid w:val="6AE96859"/>
    <w:rsid w:val="6B147746"/>
    <w:rsid w:val="6B24787C"/>
    <w:rsid w:val="6B573233"/>
    <w:rsid w:val="6B5B6274"/>
    <w:rsid w:val="6B935D53"/>
    <w:rsid w:val="6BB362CE"/>
    <w:rsid w:val="6BD149A6"/>
    <w:rsid w:val="6C196F71"/>
    <w:rsid w:val="6C226FCB"/>
    <w:rsid w:val="6C31226F"/>
    <w:rsid w:val="6C552F0B"/>
    <w:rsid w:val="6C8C67B7"/>
    <w:rsid w:val="6C9D744C"/>
    <w:rsid w:val="6CBF6EF4"/>
    <w:rsid w:val="6CE87DC7"/>
    <w:rsid w:val="6D167928"/>
    <w:rsid w:val="6D26299B"/>
    <w:rsid w:val="6D2D0302"/>
    <w:rsid w:val="6D4772EC"/>
    <w:rsid w:val="6D8A470B"/>
    <w:rsid w:val="6D8E4F15"/>
    <w:rsid w:val="6D9078AF"/>
    <w:rsid w:val="6DAA3FEF"/>
    <w:rsid w:val="6DC0172B"/>
    <w:rsid w:val="6DCB690C"/>
    <w:rsid w:val="6DD41A5B"/>
    <w:rsid w:val="6DF43C2E"/>
    <w:rsid w:val="6DF51CA3"/>
    <w:rsid w:val="6DFF5AC8"/>
    <w:rsid w:val="6E230927"/>
    <w:rsid w:val="6E245261"/>
    <w:rsid w:val="6E8335BD"/>
    <w:rsid w:val="6E8E12EF"/>
    <w:rsid w:val="6E972936"/>
    <w:rsid w:val="6ED446C5"/>
    <w:rsid w:val="6EFEDDB2"/>
    <w:rsid w:val="6F2A7D94"/>
    <w:rsid w:val="6F6049BF"/>
    <w:rsid w:val="6F7F171C"/>
    <w:rsid w:val="6F8331F1"/>
    <w:rsid w:val="6F9FA53D"/>
    <w:rsid w:val="6FAE1A09"/>
    <w:rsid w:val="6FD75BF8"/>
    <w:rsid w:val="6FDE9E66"/>
    <w:rsid w:val="6FEEE2BF"/>
    <w:rsid w:val="701B6B38"/>
    <w:rsid w:val="701D01BA"/>
    <w:rsid w:val="701E33A8"/>
    <w:rsid w:val="702F613F"/>
    <w:rsid w:val="707723D0"/>
    <w:rsid w:val="70781894"/>
    <w:rsid w:val="70D311C0"/>
    <w:rsid w:val="70F5661B"/>
    <w:rsid w:val="711315BD"/>
    <w:rsid w:val="71233EF6"/>
    <w:rsid w:val="71360107"/>
    <w:rsid w:val="713B688E"/>
    <w:rsid w:val="71D43752"/>
    <w:rsid w:val="71F1796A"/>
    <w:rsid w:val="71F9215D"/>
    <w:rsid w:val="721101F2"/>
    <w:rsid w:val="72154626"/>
    <w:rsid w:val="72200435"/>
    <w:rsid w:val="72262B5D"/>
    <w:rsid w:val="72283FF7"/>
    <w:rsid w:val="722E7212"/>
    <w:rsid w:val="7238577F"/>
    <w:rsid w:val="723A0474"/>
    <w:rsid w:val="724834E8"/>
    <w:rsid w:val="72541E8D"/>
    <w:rsid w:val="725923E4"/>
    <w:rsid w:val="726E2F4F"/>
    <w:rsid w:val="72864BF7"/>
    <w:rsid w:val="729023FC"/>
    <w:rsid w:val="72EC6569"/>
    <w:rsid w:val="73974727"/>
    <w:rsid w:val="73C0646E"/>
    <w:rsid w:val="740A314B"/>
    <w:rsid w:val="742222F5"/>
    <w:rsid w:val="74273CFD"/>
    <w:rsid w:val="74476126"/>
    <w:rsid w:val="74706664"/>
    <w:rsid w:val="747F3682"/>
    <w:rsid w:val="749C4185"/>
    <w:rsid w:val="74F51705"/>
    <w:rsid w:val="75067759"/>
    <w:rsid w:val="752E6DCD"/>
    <w:rsid w:val="754D7793"/>
    <w:rsid w:val="754E52B9"/>
    <w:rsid w:val="7551380D"/>
    <w:rsid w:val="75600BE5"/>
    <w:rsid w:val="7564475C"/>
    <w:rsid w:val="7583797F"/>
    <w:rsid w:val="75BF3AC1"/>
    <w:rsid w:val="75D20F1D"/>
    <w:rsid w:val="75DA2C18"/>
    <w:rsid w:val="75F54412"/>
    <w:rsid w:val="760065B4"/>
    <w:rsid w:val="761D08E0"/>
    <w:rsid w:val="765D347C"/>
    <w:rsid w:val="76826699"/>
    <w:rsid w:val="76BE3BB7"/>
    <w:rsid w:val="76C87133"/>
    <w:rsid w:val="76CD08D5"/>
    <w:rsid w:val="76CF41D8"/>
    <w:rsid w:val="76DB4B92"/>
    <w:rsid w:val="77052AA4"/>
    <w:rsid w:val="77136511"/>
    <w:rsid w:val="77137032"/>
    <w:rsid w:val="7725204A"/>
    <w:rsid w:val="77340A39"/>
    <w:rsid w:val="77351FD0"/>
    <w:rsid w:val="77472422"/>
    <w:rsid w:val="777F31F2"/>
    <w:rsid w:val="77A9BE0C"/>
    <w:rsid w:val="77D1700D"/>
    <w:rsid w:val="77DB696C"/>
    <w:rsid w:val="77EC04CC"/>
    <w:rsid w:val="77FE6420"/>
    <w:rsid w:val="78411105"/>
    <w:rsid w:val="78434E7D"/>
    <w:rsid w:val="78511348"/>
    <w:rsid w:val="78775729"/>
    <w:rsid w:val="78A42DB0"/>
    <w:rsid w:val="78A656AB"/>
    <w:rsid w:val="78B2245C"/>
    <w:rsid w:val="78E172CC"/>
    <w:rsid w:val="78EA1D1F"/>
    <w:rsid w:val="7904172F"/>
    <w:rsid w:val="790F7E27"/>
    <w:rsid w:val="792A231A"/>
    <w:rsid w:val="79316829"/>
    <w:rsid w:val="793F73F3"/>
    <w:rsid w:val="79534C4C"/>
    <w:rsid w:val="797E66A9"/>
    <w:rsid w:val="798518A4"/>
    <w:rsid w:val="79A97383"/>
    <w:rsid w:val="79E27E8B"/>
    <w:rsid w:val="79EA1A55"/>
    <w:rsid w:val="79F850CE"/>
    <w:rsid w:val="79FD443C"/>
    <w:rsid w:val="7A1D1975"/>
    <w:rsid w:val="7A3E5150"/>
    <w:rsid w:val="7A440A39"/>
    <w:rsid w:val="7A4670D6"/>
    <w:rsid w:val="7A534B63"/>
    <w:rsid w:val="7A615382"/>
    <w:rsid w:val="7A635363"/>
    <w:rsid w:val="7A67303B"/>
    <w:rsid w:val="7A7FF29A"/>
    <w:rsid w:val="7A8377B3"/>
    <w:rsid w:val="7A862E00"/>
    <w:rsid w:val="7A935406"/>
    <w:rsid w:val="7A9B2D4F"/>
    <w:rsid w:val="7AAB1D04"/>
    <w:rsid w:val="7AB82BA9"/>
    <w:rsid w:val="7ABA4368"/>
    <w:rsid w:val="7AD05746"/>
    <w:rsid w:val="7AD16771"/>
    <w:rsid w:val="7AD65B35"/>
    <w:rsid w:val="7B257FFD"/>
    <w:rsid w:val="7B343476"/>
    <w:rsid w:val="7B5A2978"/>
    <w:rsid w:val="7B5A7E4C"/>
    <w:rsid w:val="7B667AF9"/>
    <w:rsid w:val="7B7468F8"/>
    <w:rsid w:val="7B7517F2"/>
    <w:rsid w:val="7B7FDF5C"/>
    <w:rsid w:val="7BB6F5A0"/>
    <w:rsid w:val="7BEE0103"/>
    <w:rsid w:val="7C0A0FE4"/>
    <w:rsid w:val="7C254906"/>
    <w:rsid w:val="7C3F3BAE"/>
    <w:rsid w:val="7C442F72"/>
    <w:rsid w:val="7C590818"/>
    <w:rsid w:val="7C7C10F6"/>
    <w:rsid w:val="7C853BEA"/>
    <w:rsid w:val="7C881368"/>
    <w:rsid w:val="7C947A56"/>
    <w:rsid w:val="7CCF6769"/>
    <w:rsid w:val="7CDFB8BB"/>
    <w:rsid w:val="7CE27788"/>
    <w:rsid w:val="7CFC2019"/>
    <w:rsid w:val="7D0C32F1"/>
    <w:rsid w:val="7D0F408D"/>
    <w:rsid w:val="7D491C6C"/>
    <w:rsid w:val="7D4D5E56"/>
    <w:rsid w:val="7D5429C0"/>
    <w:rsid w:val="7D6E6D43"/>
    <w:rsid w:val="7DA43CC8"/>
    <w:rsid w:val="7DB57A34"/>
    <w:rsid w:val="7DD86F60"/>
    <w:rsid w:val="7DE60973"/>
    <w:rsid w:val="7DEF0916"/>
    <w:rsid w:val="7E1A21DD"/>
    <w:rsid w:val="7E1E5218"/>
    <w:rsid w:val="7E1F77F3"/>
    <w:rsid w:val="7E266DD3"/>
    <w:rsid w:val="7E6B2A38"/>
    <w:rsid w:val="7E7F4735"/>
    <w:rsid w:val="7E9A4E1F"/>
    <w:rsid w:val="7EA7723A"/>
    <w:rsid w:val="7EB443DF"/>
    <w:rsid w:val="7ED6F7B8"/>
    <w:rsid w:val="7EE06F82"/>
    <w:rsid w:val="7EEE68EE"/>
    <w:rsid w:val="7EF56FBB"/>
    <w:rsid w:val="7F0215EE"/>
    <w:rsid w:val="7F0768EB"/>
    <w:rsid w:val="7F076C05"/>
    <w:rsid w:val="7F143BEC"/>
    <w:rsid w:val="7F3C2134"/>
    <w:rsid w:val="7F47C3EA"/>
    <w:rsid w:val="7F565496"/>
    <w:rsid w:val="7F594883"/>
    <w:rsid w:val="7F6A34EB"/>
    <w:rsid w:val="7F6F9500"/>
    <w:rsid w:val="7F715AF2"/>
    <w:rsid w:val="7F7DD58D"/>
    <w:rsid w:val="7F886E69"/>
    <w:rsid w:val="7F92F5C0"/>
    <w:rsid w:val="7F961E7F"/>
    <w:rsid w:val="7FC70D8A"/>
    <w:rsid w:val="7FCC5758"/>
    <w:rsid w:val="7FF6DD0F"/>
    <w:rsid w:val="9EEBCADD"/>
    <w:rsid w:val="9FCD3301"/>
    <w:rsid w:val="9FDF3BBF"/>
    <w:rsid w:val="A81CFD31"/>
    <w:rsid w:val="ACDF87D8"/>
    <w:rsid w:val="ADFC7F51"/>
    <w:rsid w:val="B7DEC915"/>
    <w:rsid w:val="BB7FA927"/>
    <w:rsid w:val="BBF30B9A"/>
    <w:rsid w:val="BBF45C9E"/>
    <w:rsid w:val="BDDEAFC0"/>
    <w:rsid w:val="BEFFB39F"/>
    <w:rsid w:val="BF676975"/>
    <w:rsid w:val="BFFDAC50"/>
    <w:rsid w:val="C9EC567A"/>
    <w:rsid w:val="CB7F922D"/>
    <w:rsid w:val="CBBCC13A"/>
    <w:rsid w:val="CCFFCAAE"/>
    <w:rsid w:val="CDF44AEC"/>
    <w:rsid w:val="CF7303B9"/>
    <w:rsid w:val="CF7F716C"/>
    <w:rsid w:val="D4ED37F0"/>
    <w:rsid w:val="D4F0DC95"/>
    <w:rsid w:val="D77E892C"/>
    <w:rsid w:val="D7BF4142"/>
    <w:rsid w:val="DAFF81C8"/>
    <w:rsid w:val="DB93F5F1"/>
    <w:rsid w:val="DD3FAD21"/>
    <w:rsid w:val="DEBFB260"/>
    <w:rsid w:val="DF4DED3B"/>
    <w:rsid w:val="DFFBB130"/>
    <w:rsid w:val="E66D8E2F"/>
    <w:rsid w:val="E7F783EF"/>
    <w:rsid w:val="EEAF4CD7"/>
    <w:rsid w:val="EF7E0E30"/>
    <w:rsid w:val="EF9FC309"/>
    <w:rsid w:val="EFB60A98"/>
    <w:rsid w:val="F5FFD31F"/>
    <w:rsid w:val="F6EF6DCE"/>
    <w:rsid w:val="F753A8D7"/>
    <w:rsid w:val="FABA89A6"/>
    <w:rsid w:val="FBBEB8A3"/>
    <w:rsid w:val="FBC5412C"/>
    <w:rsid w:val="FBFBFEDF"/>
    <w:rsid w:val="FC9BD831"/>
    <w:rsid w:val="FDBE6F34"/>
    <w:rsid w:val="FDDF430C"/>
    <w:rsid w:val="FDEB7B96"/>
    <w:rsid w:val="FF67F697"/>
    <w:rsid w:val="FFAD6496"/>
    <w:rsid w:val="FFCF1770"/>
    <w:rsid w:val="FFEE45CA"/>
    <w:rsid w:val="FFFF3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3"/>
    <w:qFormat/>
    <w:uiPriority w:val="0"/>
    <w:pPr>
      <w:ind w:firstLine="420"/>
    </w:pPr>
    <w:rPr>
      <w:rFonts w:hAnsi="Calibri" w:cs="Times New Roman"/>
      <w:snapToGrid/>
      <w:szCs w:val="20"/>
    </w:rPr>
  </w:style>
  <w:style w:type="paragraph" w:styleId="25">
    <w:name w:val="Body Text Indent"/>
    <w:basedOn w:val="1"/>
    <w:next w:val="1"/>
    <w:link w:val="267"/>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8"/>
    <w:qFormat/>
    <w:uiPriority w:val="0"/>
    <w:rPr>
      <w:b/>
      <w:bCs/>
    </w:rPr>
  </w:style>
  <w:style w:type="paragraph" w:styleId="61">
    <w:name w:val="Body Text First Indent 2"/>
    <w:basedOn w:val="25"/>
    <w:next w:val="1"/>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
    <w:name w:val="表格文字"/>
    <w:basedOn w:val="33"/>
    <w:next w:val="23"/>
    <w:qFormat/>
    <w:uiPriority w:val="0"/>
    <w:pPr>
      <w:adjustRightInd/>
      <w:ind w:firstLine="200" w:firstLineChars="200"/>
    </w:pPr>
    <w:rPr>
      <w:rFonts w:ascii="Arial" w:hAnsi="Arial"/>
      <w:spacing w:val="-5"/>
      <w:kern w:val="0"/>
      <w:sz w:val="24"/>
      <w:szCs w:val="20"/>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字符"/>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6"/>
    <w:qFormat/>
    <w:uiPriority w:val="0"/>
    <w:rPr>
      <w:rFonts w:ascii="宋体"/>
      <w:kern w:val="2"/>
      <w:sz w:val="24"/>
      <w:szCs w:val="21"/>
      <w:lang w:val="zh-CN"/>
    </w:rPr>
  </w:style>
  <w:style w:type="character" w:customStyle="1" w:styleId="184">
    <w:name w:val="标题 9 字符"/>
    <w:link w:val="10"/>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5"/>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表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5"/>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6"/>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7"/>
    <w:qFormat/>
    <w:uiPriority w:val="0"/>
    <w:rPr>
      <w:rFonts w:ascii="黑体" w:hAnsi="Courier New" w:eastAsia="黑体"/>
    </w:rPr>
  </w:style>
  <w:style w:type="character" w:customStyle="1" w:styleId="304">
    <w:name w:val="正文文本 2 字符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8"/>
    <w:qFormat/>
    <w:uiPriority w:val="0"/>
    <w:rPr>
      <w:b/>
      <w:bCs/>
      <w:kern w:val="2"/>
      <w:sz w:val="24"/>
      <w:szCs w:val="24"/>
    </w:rPr>
  </w:style>
  <w:style w:type="character" w:customStyle="1" w:styleId="310">
    <w:name w:val="正文文本缩进 2 字符"/>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字符"/>
    <w:link w:val="2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19"/>
    <w:qFormat/>
    <w:uiPriority w:val="0"/>
    <w:rPr>
      <w:kern w:val="2"/>
      <w:sz w:val="21"/>
      <w:szCs w:val="24"/>
    </w:rPr>
  </w:style>
  <w:style w:type="character" w:customStyle="1" w:styleId="347">
    <w:name w:val="签名 字符"/>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7"/>
    <w:next w:val="23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7"/>
    <w:next w:val="237"/>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609"/>
    <w:qFormat/>
    <w:uiPriority w:val="7"/>
    <w:rPr>
      <w:rFonts w:ascii="宋体" w:hAnsi="Courier New"/>
    </w:rPr>
  </w:style>
  <w:style w:type="paragraph" w:customStyle="1" w:styleId="609">
    <w:name w:val="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2"/>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8"/>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
    <w:qFormat/>
    <w:uiPriority w:val="0"/>
    <w:rPr>
      <w:rFonts w:ascii="宋体" w:hAnsi="宋体" w:eastAsia="宋体" w:cs="Times New Roman"/>
      <w:sz w:val="24"/>
      <w:lang w:val="en-US" w:eastAsia="en-US" w:bidi="ar-SA"/>
    </w:rPr>
  </w:style>
  <w:style w:type="character" w:customStyle="1" w:styleId="967">
    <w:name w:val="无"/>
    <w:qFormat/>
    <w:uiPriority w:val="0"/>
  </w:style>
  <w:style w:type="paragraph" w:customStyle="1" w:styleId="96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9">
    <w:name w:val="正文缩进_0"/>
    <w:basedOn w:val="1"/>
    <w:qFormat/>
    <w:uiPriority w:val="0"/>
    <w:pPr>
      <w:ind w:firstLine="420"/>
    </w:pPr>
    <w:rPr>
      <w:rFonts w:ascii="Calibri" w:hAnsi="Calibri" w:cs="Calibri"/>
      <w:kern w:val="0"/>
      <w:sz w:val="24"/>
      <w:szCs w:val="20"/>
    </w:rPr>
  </w:style>
  <w:style w:type="character" w:customStyle="1" w:styleId="970">
    <w:name w:val="Hyperlink.3"/>
    <w:basedOn w:val="69"/>
    <w:qFormat/>
    <w:uiPriority w:val="99"/>
    <w:rPr>
      <w:rFonts w:ascii="宋体" w:hAnsi="宋体" w:eastAsia="宋体" w:cs="宋体"/>
      <w:lang w:val="en-US"/>
    </w:rPr>
  </w:style>
  <w:style w:type="character" w:customStyle="1" w:styleId="971">
    <w:name w:val="10"/>
    <w:basedOn w:val="69"/>
    <w:qFormat/>
    <w:uiPriority w:val="0"/>
    <w:rPr>
      <w:rFonts w:hint="default" w:ascii="Times New Roman" w:hAnsi="Times New Roman" w:cs="Times New Roman"/>
    </w:rPr>
  </w:style>
  <w:style w:type="paragraph" w:customStyle="1" w:styleId="972">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73">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EA0668-9C60-46FE-A886-1848B11E9A6F}">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66</Pages>
  <Words>6292</Words>
  <Characters>35867</Characters>
  <Lines>298</Lines>
  <Paragraphs>84</Paragraphs>
  <TotalTime>2</TotalTime>
  <ScaleCrop>false</ScaleCrop>
  <LinksUpToDate>false</LinksUpToDate>
  <CharactersWithSpaces>42075</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2021-08-18T16:22:00Z</dcterms:created>
  <dc:creator>玥</dc:creator>
  <cp:lastModifiedBy>Jane</cp:lastModifiedBy>
  <cp:lastPrinted>2025-04-23T19:11:00Z</cp:lastPrinted>
  <dcterms:modified xsi:type="dcterms:W3CDTF">2025-07-14T16:06:26Z</dcterms:modified>
  <dc:title>杭州市市民卡扩大发卡工程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65978442FEAC34245DB174684EED30FD_43</vt:lpwstr>
  </property>
  <property fmtid="{D5CDD505-2E9C-101B-9397-08002B2CF9AE}" pid="5" name="KSOTemplateDocerSaveRecord">
    <vt:lpwstr>eyJoZGlkIjoiNDRiZjc0MDU0YTQ1MDIzOTEyMGQyM2Q0NmQ1NzNkYzYiLCJ1c2VySWQiOiIyNjIzMjA1OTAifQ==</vt:lpwstr>
  </property>
</Properties>
</file>