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1AF01">
      <w:pPr>
        <w:spacing w:line="360" w:lineRule="auto"/>
        <w:jc w:val="center"/>
        <w:rPr>
          <w:rFonts w:hint="eastAsia" w:ascii="宋体" w:hAnsi="宋体" w:cs="宋体"/>
          <w:b/>
          <w:color w:val="auto"/>
          <w:sz w:val="24"/>
          <w:highlight w:val="none"/>
        </w:rPr>
      </w:pPr>
    </w:p>
    <w:p w14:paraId="4511C468">
      <w:pPr>
        <w:adjustRightInd/>
        <w:spacing w:line="360" w:lineRule="auto"/>
        <w:jc w:val="center"/>
        <w:rPr>
          <w:rFonts w:hint="eastAsia" w:ascii="宋体" w:hAnsi="宋体" w:cs="宋体"/>
          <w:b/>
          <w:color w:val="auto"/>
          <w:sz w:val="44"/>
          <w:szCs w:val="44"/>
          <w:highlight w:val="none"/>
        </w:rPr>
      </w:pPr>
    </w:p>
    <w:p w14:paraId="04531338">
      <w:pPr>
        <w:spacing w:line="360" w:lineRule="auto"/>
        <w:jc w:val="center"/>
        <w:rPr>
          <w:rFonts w:hint="eastAsia" w:ascii="宋体" w:hAnsi="宋体" w:cs="宋体"/>
          <w:b/>
          <w:color w:val="auto"/>
          <w:sz w:val="44"/>
          <w:szCs w:val="44"/>
          <w:highlight w:val="none"/>
        </w:rPr>
      </w:pPr>
    </w:p>
    <w:p w14:paraId="493C9056">
      <w:pPr>
        <w:adjustRightInd/>
        <w:spacing w:line="360" w:lineRule="auto"/>
        <w:jc w:val="center"/>
        <w:rPr>
          <w:rFonts w:hint="eastAsia" w:ascii="宋体" w:hAnsi="宋体" w:cs="宋体"/>
          <w:b/>
          <w:color w:val="auto"/>
          <w:sz w:val="48"/>
          <w:szCs w:val="48"/>
          <w:highlight w:val="none"/>
        </w:rPr>
      </w:pPr>
    </w:p>
    <w:p w14:paraId="288620FD">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浙江省交通运输数智信用综合服务</w:t>
      </w:r>
    </w:p>
    <w:p w14:paraId="4D03DDA0">
      <w:pPr>
        <w:snapToGrid w:val="0"/>
        <w:spacing w:line="360" w:lineRule="auto"/>
        <w:jc w:val="center"/>
        <w:rPr>
          <w:color w:val="auto"/>
          <w:sz w:val="72"/>
          <w:szCs w:val="72"/>
          <w:highlight w:val="none"/>
        </w:rPr>
      </w:pPr>
      <w:r>
        <w:rPr>
          <w:rFonts w:hint="eastAsia"/>
          <w:color w:val="auto"/>
          <w:sz w:val="72"/>
          <w:szCs w:val="72"/>
          <w:highlight w:val="none"/>
        </w:rPr>
        <w:t>公开招标文件</w:t>
      </w:r>
    </w:p>
    <w:p w14:paraId="1A87F593">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1E8656AA">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default" w:ascii="宋体" w:hAnsi="宋体" w:cs="宋体"/>
          <w:color w:val="auto"/>
          <w:sz w:val="30"/>
          <w:szCs w:val="30"/>
          <w:highlight w:val="none"/>
          <w:lang w:val="en-US" w:eastAsia="zh-CN"/>
        </w:rPr>
        <w:t>ZJHY-SJTYST-202501</w:t>
      </w:r>
    </w:p>
    <w:p w14:paraId="772D5F02">
      <w:pPr>
        <w:adjustRightInd/>
        <w:spacing w:line="360" w:lineRule="auto"/>
        <w:rPr>
          <w:rFonts w:hint="eastAsia" w:ascii="宋体" w:hAnsi="宋体" w:cs="宋体"/>
          <w:color w:val="auto"/>
          <w:sz w:val="28"/>
          <w:szCs w:val="20"/>
          <w:highlight w:val="none"/>
        </w:rPr>
      </w:pPr>
    </w:p>
    <w:p w14:paraId="6D466629">
      <w:pPr>
        <w:spacing w:line="360" w:lineRule="auto"/>
        <w:jc w:val="center"/>
        <w:rPr>
          <w:rFonts w:hint="eastAsia" w:ascii="宋体" w:hAnsi="宋体" w:cs="宋体"/>
          <w:b/>
          <w:color w:val="auto"/>
          <w:sz w:val="44"/>
          <w:szCs w:val="44"/>
          <w:highlight w:val="none"/>
        </w:rPr>
      </w:pPr>
    </w:p>
    <w:p w14:paraId="59863966">
      <w:pPr>
        <w:spacing w:line="360" w:lineRule="auto"/>
        <w:jc w:val="center"/>
        <w:rPr>
          <w:rFonts w:hint="eastAsia" w:ascii="宋体" w:hAnsi="宋体" w:cs="宋体"/>
          <w:b/>
          <w:color w:val="auto"/>
          <w:sz w:val="44"/>
          <w:szCs w:val="44"/>
          <w:highlight w:val="none"/>
        </w:rPr>
      </w:pPr>
    </w:p>
    <w:p w14:paraId="1D23E0B9">
      <w:pPr>
        <w:spacing w:line="360" w:lineRule="auto"/>
        <w:jc w:val="center"/>
        <w:rPr>
          <w:rFonts w:hint="eastAsia" w:ascii="宋体" w:hAnsi="宋体" w:cs="宋体"/>
          <w:color w:val="auto"/>
          <w:sz w:val="24"/>
          <w:highlight w:val="none"/>
        </w:rPr>
      </w:pPr>
    </w:p>
    <w:p w14:paraId="5A8AAC8A">
      <w:pPr>
        <w:spacing w:line="360" w:lineRule="auto"/>
        <w:jc w:val="center"/>
        <w:rPr>
          <w:rFonts w:hint="eastAsia" w:ascii="宋体" w:hAnsi="宋体" w:cs="宋体"/>
          <w:color w:val="auto"/>
          <w:sz w:val="24"/>
          <w:highlight w:val="none"/>
        </w:rPr>
      </w:pPr>
    </w:p>
    <w:p w14:paraId="52A73074">
      <w:pPr>
        <w:spacing w:line="360" w:lineRule="auto"/>
        <w:rPr>
          <w:rFonts w:hint="eastAsia" w:ascii="宋体" w:hAnsi="宋体" w:cs="宋体"/>
          <w:color w:val="auto"/>
          <w:sz w:val="32"/>
          <w:szCs w:val="32"/>
          <w:highlight w:val="none"/>
        </w:rPr>
      </w:pPr>
    </w:p>
    <w:p w14:paraId="50838DDE">
      <w:pPr>
        <w:pStyle w:val="23"/>
        <w:ind w:firstLine="1606" w:firstLineChars="500"/>
        <w:jc w:val="left"/>
        <w:rPr>
          <w:rFonts w:hint="eastAsia"/>
          <w:b/>
          <w:color w:val="auto"/>
          <w:sz w:val="32"/>
          <w:szCs w:val="32"/>
          <w:highlight w:val="none"/>
          <w:lang w:val="zh-CN"/>
        </w:rPr>
      </w:pPr>
      <w:r>
        <w:rPr>
          <w:rFonts w:hint="eastAsia"/>
          <w:b/>
          <w:color w:val="auto"/>
          <w:sz w:val="32"/>
          <w:szCs w:val="32"/>
          <w:highlight w:val="none"/>
          <w:lang w:val="zh-CN"/>
        </w:rPr>
        <w:t>采购计划文号：[2025]34464号</w:t>
      </w:r>
      <w:bookmarkStart w:id="403" w:name="_GoBack"/>
      <w:bookmarkEnd w:id="403"/>
    </w:p>
    <w:p w14:paraId="3BBAC153">
      <w:pPr>
        <w:pStyle w:val="23"/>
        <w:ind w:firstLine="1606" w:firstLineChars="500"/>
        <w:jc w:val="left"/>
        <w:rPr>
          <w:rFonts w:hint="eastAsia"/>
          <w:b/>
          <w:color w:val="auto"/>
          <w:sz w:val="32"/>
          <w:szCs w:val="32"/>
          <w:highlight w:val="none"/>
          <w:lang w:val="zh-CN"/>
        </w:rPr>
      </w:pPr>
      <w:r>
        <w:rPr>
          <w:rFonts w:hint="eastAsia"/>
          <w:b/>
          <w:color w:val="auto"/>
          <w:sz w:val="32"/>
          <w:szCs w:val="32"/>
          <w:highlight w:val="none"/>
          <w:lang w:val="zh-CN"/>
        </w:rPr>
        <w:t>采购单位：浙江省交通运输厅</w:t>
      </w:r>
    </w:p>
    <w:p w14:paraId="291C750C">
      <w:pPr>
        <w:pStyle w:val="23"/>
        <w:ind w:firstLine="1606" w:firstLineChars="500"/>
        <w:jc w:val="left"/>
        <w:rPr>
          <w:rFonts w:hint="eastAsia" w:eastAsia="宋体"/>
          <w:b/>
          <w:color w:val="auto"/>
          <w:sz w:val="32"/>
          <w:szCs w:val="32"/>
          <w:highlight w:val="none"/>
          <w:lang w:val="en-US" w:eastAsia="zh-CN"/>
        </w:rPr>
      </w:pPr>
      <w:r>
        <w:rPr>
          <w:rFonts w:hint="eastAsia"/>
          <w:b/>
          <w:color w:val="auto"/>
          <w:sz w:val="32"/>
          <w:szCs w:val="32"/>
          <w:highlight w:val="none"/>
          <w:lang w:val="zh-CN"/>
        </w:rPr>
        <w:t>代理机构：</w:t>
      </w:r>
      <w:r>
        <w:rPr>
          <w:rFonts w:hint="eastAsia"/>
          <w:b/>
          <w:color w:val="auto"/>
          <w:sz w:val="32"/>
          <w:szCs w:val="32"/>
          <w:highlight w:val="none"/>
          <w:lang w:val="en-US" w:eastAsia="zh-CN"/>
        </w:rPr>
        <w:t>浙江华耀建设咨询有限公司</w:t>
      </w:r>
    </w:p>
    <w:p w14:paraId="7A4C938F">
      <w:pPr>
        <w:pStyle w:val="23"/>
        <w:ind w:firstLine="1606" w:firstLineChars="500"/>
        <w:jc w:val="left"/>
        <w:rPr>
          <w:rFonts w:hint="eastAsia" w:ascii="Calibri" w:hAnsi="Calibri" w:eastAsia="宋体" w:cs="Times New Roman"/>
          <w:b w:val="0"/>
          <w:bCs/>
          <w:color w:val="auto"/>
          <w:kern w:val="2"/>
          <w:sz w:val="32"/>
          <w:szCs w:val="32"/>
          <w:highlight w:val="none"/>
          <w:lang w:val="zh-CN" w:eastAsia="zh-CN" w:bidi="ar-SA"/>
        </w:rPr>
      </w:pPr>
      <w:r>
        <w:rPr>
          <w:rFonts w:hint="eastAsia"/>
          <w:b/>
          <w:color w:val="auto"/>
          <w:sz w:val="32"/>
          <w:szCs w:val="32"/>
          <w:highlight w:val="none"/>
          <w:lang w:val="zh-CN"/>
        </w:rPr>
        <w:t>日    期：二〇二五年</w:t>
      </w:r>
      <w:r>
        <w:rPr>
          <w:rFonts w:hint="eastAsia"/>
          <w:b/>
          <w:color w:val="auto"/>
          <w:sz w:val="32"/>
          <w:szCs w:val="32"/>
          <w:highlight w:val="none"/>
          <w:lang w:val="en-US" w:eastAsia="zh-CN"/>
        </w:rPr>
        <w:t>六</w:t>
      </w:r>
      <w:r>
        <w:rPr>
          <w:rFonts w:hint="eastAsia"/>
          <w:b/>
          <w:color w:val="auto"/>
          <w:sz w:val="32"/>
          <w:szCs w:val="32"/>
          <w:highlight w:val="none"/>
          <w:lang w:val="zh-CN"/>
        </w:rPr>
        <w:t>月</w:t>
      </w:r>
    </w:p>
    <w:p w14:paraId="0EE012A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0346EDF">
      <w:pPr>
        <w:spacing w:line="360" w:lineRule="auto"/>
        <w:jc w:val="center"/>
        <w:rPr>
          <w:rFonts w:hint="eastAsia" w:ascii="宋体" w:hAnsi="宋体" w:cs="宋体"/>
          <w:color w:val="auto"/>
          <w:sz w:val="24"/>
          <w:highlight w:val="none"/>
        </w:rPr>
      </w:pPr>
    </w:p>
    <w:p w14:paraId="6B8CB81C">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6902AB82">
      <w:pPr>
        <w:spacing w:line="360" w:lineRule="auto"/>
        <w:rPr>
          <w:rFonts w:hint="eastAsia" w:ascii="宋体" w:hAnsi="宋体" w:cs="宋体"/>
          <w:color w:val="auto"/>
          <w:sz w:val="32"/>
          <w:szCs w:val="32"/>
          <w:highlight w:val="none"/>
        </w:rPr>
      </w:pPr>
    </w:p>
    <w:p w14:paraId="38092BCF">
      <w:pPr>
        <w:spacing w:line="360" w:lineRule="auto"/>
        <w:rPr>
          <w:rFonts w:hint="eastAsia" w:ascii="宋体" w:hAnsi="宋体" w:cs="宋体"/>
          <w:color w:val="auto"/>
          <w:sz w:val="32"/>
          <w:szCs w:val="32"/>
          <w:highlight w:val="none"/>
        </w:rPr>
      </w:pPr>
    </w:p>
    <w:p w14:paraId="7FE8FFB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3F8A39A">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988BDBF">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7922318">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823BE7D">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3D3EE22">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46A6F2C">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23AB2BE7">
      <w:pPr>
        <w:spacing w:line="360" w:lineRule="auto"/>
        <w:ind w:firstLine="549" w:firstLineChars="229"/>
        <w:rPr>
          <w:rFonts w:hint="eastAsia" w:ascii="宋体" w:hAnsi="宋体" w:cs="宋体"/>
          <w:color w:val="auto"/>
          <w:sz w:val="24"/>
          <w:highlight w:val="none"/>
        </w:rPr>
      </w:pPr>
    </w:p>
    <w:p w14:paraId="738E2F37">
      <w:pPr>
        <w:spacing w:line="360" w:lineRule="auto"/>
        <w:ind w:firstLine="549" w:firstLineChars="229"/>
        <w:rPr>
          <w:rFonts w:hint="eastAsia" w:ascii="宋体" w:hAnsi="宋体" w:cs="宋体"/>
          <w:color w:val="auto"/>
          <w:sz w:val="24"/>
          <w:highlight w:val="none"/>
        </w:rPr>
      </w:pPr>
    </w:p>
    <w:p w14:paraId="2648065D">
      <w:pPr>
        <w:spacing w:line="360" w:lineRule="auto"/>
        <w:ind w:firstLine="549" w:firstLineChars="229"/>
        <w:rPr>
          <w:rFonts w:hint="eastAsia" w:ascii="宋体" w:hAnsi="宋体" w:cs="宋体"/>
          <w:color w:val="auto"/>
          <w:sz w:val="24"/>
          <w:highlight w:val="none"/>
        </w:rPr>
      </w:pPr>
    </w:p>
    <w:p w14:paraId="03FFDC93">
      <w:pPr>
        <w:spacing w:line="360" w:lineRule="auto"/>
        <w:ind w:firstLine="549" w:firstLineChars="229"/>
        <w:rPr>
          <w:rFonts w:hint="eastAsia" w:ascii="宋体" w:hAnsi="宋体" w:cs="宋体"/>
          <w:color w:val="auto"/>
          <w:sz w:val="24"/>
          <w:highlight w:val="none"/>
        </w:rPr>
      </w:pPr>
    </w:p>
    <w:p w14:paraId="613595A9">
      <w:pPr>
        <w:spacing w:line="360" w:lineRule="auto"/>
        <w:ind w:firstLine="549" w:firstLineChars="229"/>
        <w:rPr>
          <w:rFonts w:hint="eastAsia" w:ascii="宋体" w:hAnsi="宋体" w:cs="宋体"/>
          <w:color w:val="auto"/>
          <w:sz w:val="24"/>
          <w:highlight w:val="none"/>
        </w:rPr>
      </w:pPr>
    </w:p>
    <w:p w14:paraId="52267291">
      <w:pPr>
        <w:spacing w:line="360" w:lineRule="auto"/>
        <w:ind w:firstLine="549" w:firstLineChars="229"/>
        <w:rPr>
          <w:rFonts w:hint="eastAsia" w:ascii="宋体" w:hAnsi="宋体" w:cs="宋体"/>
          <w:color w:val="auto"/>
          <w:sz w:val="24"/>
          <w:highlight w:val="none"/>
        </w:rPr>
      </w:pPr>
    </w:p>
    <w:p w14:paraId="6C8FCCF3">
      <w:pPr>
        <w:spacing w:line="360" w:lineRule="auto"/>
        <w:ind w:firstLine="549" w:firstLineChars="229"/>
        <w:rPr>
          <w:rFonts w:hint="eastAsia" w:ascii="宋体" w:hAnsi="宋体" w:cs="宋体"/>
          <w:color w:val="auto"/>
          <w:sz w:val="24"/>
          <w:highlight w:val="none"/>
        </w:rPr>
      </w:pPr>
    </w:p>
    <w:p w14:paraId="64C51F94">
      <w:pPr>
        <w:spacing w:line="360" w:lineRule="auto"/>
        <w:ind w:firstLine="549" w:firstLineChars="229"/>
        <w:rPr>
          <w:rFonts w:hint="eastAsia" w:ascii="宋体" w:hAnsi="宋体" w:cs="宋体"/>
          <w:color w:val="auto"/>
          <w:sz w:val="24"/>
          <w:highlight w:val="none"/>
        </w:rPr>
      </w:pPr>
    </w:p>
    <w:p w14:paraId="0A1F3515">
      <w:pPr>
        <w:spacing w:line="360" w:lineRule="auto"/>
        <w:ind w:firstLine="549" w:firstLineChars="229"/>
        <w:rPr>
          <w:rFonts w:hint="eastAsia" w:ascii="宋体" w:hAnsi="宋体" w:cs="宋体"/>
          <w:color w:val="auto"/>
          <w:sz w:val="24"/>
          <w:highlight w:val="none"/>
        </w:rPr>
      </w:pPr>
    </w:p>
    <w:p w14:paraId="4C8D380E">
      <w:pPr>
        <w:spacing w:line="360" w:lineRule="auto"/>
        <w:ind w:firstLine="549" w:firstLineChars="229"/>
        <w:rPr>
          <w:rFonts w:hint="eastAsia" w:ascii="宋体" w:hAnsi="宋体" w:cs="宋体"/>
          <w:color w:val="auto"/>
          <w:sz w:val="24"/>
          <w:highlight w:val="none"/>
        </w:rPr>
      </w:pPr>
    </w:p>
    <w:p w14:paraId="766CCF03">
      <w:pPr>
        <w:spacing w:line="360" w:lineRule="auto"/>
        <w:ind w:firstLine="549" w:firstLineChars="229"/>
        <w:rPr>
          <w:rFonts w:hint="eastAsia" w:ascii="宋体" w:hAnsi="宋体" w:cs="宋体"/>
          <w:color w:val="auto"/>
          <w:sz w:val="24"/>
          <w:highlight w:val="none"/>
        </w:rPr>
      </w:pPr>
    </w:p>
    <w:p w14:paraId="79D6E96B">
      <w:pPr>
        <w:spacing w:line="360" w:lineRule="auto"/>
        <w:ind w:firstLine="549" w:firstLineChars="229"/>
        <w:rPr>
          <w:rFonts w:hint="eastAsia" w:ascii="宋体" w:hAnsi="宋体" w:cs="宋体"/>
          <w:color w:val="auto"/>
          <w:sz w:val="24"/>
          <w:highlight w:val="none"/>
        </w:rPr>
      </w:pPr>
    </w:p>
    <w:p w14:paraId="4F1E905B">
      <w:pPr>
        <w:spacing w:line="360" w:lineRule="auto"/>
        <w:rPr>
          <w:rFonts w:hint="eastAsia" w:ascii="宋体" w:hAnsi="宋体" w:cs="宋体"/>
          <w:color w:val="auto"/>
          <w:sz w:val="24"/>
          <w:highlight w:val="none"/>
        </w:rPr>
      </w:pPr>
    </w:p>
    <w:bookmarkEnd w:id="2"/>
    <w:p w14:paraId="4280058D">
      <w:pPr>
        <w:rPr>
          <w:rFonts w:hint="eastAsia" w:ascii="宋体" w:hAnsi="宋体" w:cs="宋体"/>
          <w:b/>
          <w:color w:val="auto"/>
          <w:sz w:val="36"/>
          <w:szCs w:val="20"/>
          <w:highlight w:val="none"/>
        </w:rPr>
      </w:pPr>
      <w:bookmarkStart w:id="3" w:name="_Hlt74649545"/>
      <w:bookmarkEnd w:id="3"/>
      <w:bookmarkStart w:id="4" w:name="_Hlt74728647"/>
      <w:bookmarkEnd w:id="4"/>
      <w:bookmarkStart w:id="5" w:name="_Hlt74729822"/>
      <w:bookmarkEnd w:id="5"/>
      <w:bookmarkStart w:id="6" w:name="_Hlt74707423"/>
      <w:bookmarkEnd w:id="6"/>
      <w:bookmarkStart w:id="7" w:name="_Toc91899870"/>
      <w:bookmarkStart w:id="8" w:name="_Toc91899871"/>
      <w:r>
        <w:rPr>
          <w:rFonts w:hint="eastAsia" w:ascii="宋体" w:hAnsi="宋体" w:cs="宋体"/>
          <w:b/>
          <w:color w:val="auto"/>
          <w:sz w:val="36"/>
          <w:szCs w:val="20"/>
          <w:highlight w:val="none"/>
        </w:rPr>
        <w:br w:type="page"/>
      </w:r>
    </w:p>
    <w:p w14:paraId="7A9E2D9C">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13BD3CA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5260443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浙江省交通运输数智信用综合服务</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07</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17</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14</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73C07EE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0A9479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default" w:ascii="宋体" w:hAnsi="宋体" w:cs="宋体"/>
          <w:color w:val="auto"/>
          <w:sz w:val="24"/>
          <w:highlight w:val="none"/>
          <w:lang w:val="en-US" w:eastAsia="zh-CN"/>
        </w:rPr>
        <w:t>ZJHY-SJTYST-202501</w:t>
      </w:r>
    </w:p>
    <w:p w14:paraId="22284F4A">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浙江省交通运输数智信用综合服务</w:t>
      </w:r>
    </w:p>
    <w:p w14:paraId="7361D234">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Theme="minorEastAsia" w:hAnsiTheme="minorEastAsia" w:eastAsiaTheme="minorEastAsia" w:cstheme="minorEastAsia"/>
          <w:b/>
          <w:color w:val="auto"/>
          <w:sz w:val="24"/>
          <w:highlight w:val="none"/>
          <w:lang w:val="en-US" w:eastAsia="zh-CN"/>
        </w:rPr>
        <w:t>600000</w:t>
      </w:r>
    </w:p>
    <w:p w14:paraId="47816A44">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Theme="minorEastAsia" w:hAnsiTheme="minorEastAsia" w:eastAsiaTheme="minorEastAsia" w:cstheme="minorEastAsia"/>
          <w:b/>
          <w:color w:val="auto"/>
          <w:sz w:val="24"/>
          <w:highlight w:val="none"/>
          <w:lang w:val="en-US" w:eastAsia="zh-CN"/>
        </w:rPr>
        <w:t>600000</w:t>
      </w:r>
    </w:p>
    <w:p w14:paraId="1AF4209F">
      <w:pPr>
        <w:pStyle w:val="15"/>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浙江省交通运输数智信用综合服务</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6BBB8437">
      <w:pPr>
        <w:pStyle w:val="15"/>
        <w:spacing w:line="360" w:lineRule="auto"/>
        <w:ind w:firstLine="480"/>
        <w:rPr>
          <w:rFonts w:hint="eastAsia" w:ascii="宋体" w:hAnsi="宋体" w:cs="宋体"/>
          <w:b/>
          <w:color w:val="auto"/>
          <w:highlight w:val="none"/>
        </w:rPr>
      </w:pPr>
      <w:r>
        <w:rPr>
          <w:rFonts w:hint="eastAsia" w:ascii="宋体" w:hAnsi="宋体" w:eastAsia="宋体" w:cs="宋体"/>
          <w:b/>
          <w:color w:val="auto"/>
          <w:sz w:val="24"/>
          <w:highlight w:val="none"/>
        </w:rPr>
        <w:t>合同履约期限：</w:t>
      </w:r>
      <w:r>
        <w:rPr>
          <w:rFonts w:hint="eastAsia" w:ascii="宋体" w:hAnsi="宋体" w:eastAsia="宋体" w:cs="宋体"/>
          <w:b w:val="0"/>
          <w:bCs/>
          <w:color w:val="auto"/>
          <w:sz w:val="24"/>
          <w:highlight w:val="none"/>
        </w:rPr>
        <w:t>合同签订之日起至2025年12月30日</w:t>
      </w:r>
      <w:r>
        <w:rPr>
          <w:rFonts w:hint="eastAsia" w:cs="Times New Roman" w:asciiTheme="minorEastAsia" w:hAnsiTheme="minorEastAsia" w:eastAsiaTheme="minorEastAsia"/>
          <w:b w:val="0"/>
          <w:bCs/>
          <w:snapToGrid/>
          <w:color w:val="auto"/>
          <w:kern w:val="2"/>
          <w:sz w:val="24"/>
          <w:szCs w:val="24"/>
          <w:highlight w:val="none"/>
        </w:rPr>
        <w:t>。</w:t>
      </w:r>
    </w:p>
    <w:p w14:paraId="3AF00BB7">
      <w:pPr>
        <w:pStyle w:val="15"/>
        <w:spacing w:line="360"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2D24BDC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9" w:name="_Hlk101132948"/>
      <w:r>
        <w:rPr>
          <w:rFonts w:hint="eastAsia" w:ascii="宋体" w:hAnsi="宋体" w:cs="宋体"/>
          <w:b/>
          <w:color w:val="auto"/>
          <w:sz w:val="24"/>
          <w:highlight w:val="none"/>
        </w:rPr>
        <w:t>申请人的资格要求</w:t>
      </w:r>
      <w:bookmarkEnd w:id="9"/>
      <w:r>
        <w:rPr>
          <w:rFonts w:hint="eastAsia" w:ascii="宋体" w:hAnsi="宋体" w:cs="宋体"/>
          <w:b/>
          <w:color w:val="auto"/>
          <w:sz w:val="24"/>
          <w:highlight w:val="none"/>
        </w:rPr>
        <w:t>：</w:t>
      </w:r>
    </w:p>
    <w:p w14:paraId="793FD408">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BF90623">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w:t>
      </w:r>
    </w:p>
    <w:p w14:paraId="4A4E2559">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snapToGrid w:val="0"/>
          <w:color w:val="auto"/>
          <w:kern w:val="28"/>
          <w:sz w:val="24"/>
          <w:szCs w:val="20"/>
          <w:highlight w:val="none"/>
          <w:lang w:val="en-US" w:eastAsia="zh-CN"/>
        </w:rPr>
        <w:t>本项目</w:t>
      </w:r>
      <w:r>
        <w:rPr>
          <w:rFonts w:hint="eastAsia" w:ascii="宋体" w:hAnsi="宋体" w:cs="宋体"/>
          <w:snapToGrid w:val="0"/>
          <w:color w:val="auto"/>
          <w:kern w:val="28"/>
          <w:sz w:val="24"/>
          <w:szCs w:val="20"/>
          <w:highlight w:val="none"/>
        </w:rPr>
        <w:t>专门面向中小企业，服务全部由符合政策要求的中小企业承接，提供中小企业声明函（或残疾人福利性企业声明函或监狱企业证明文件）。</w:t>
      </w:r>
    </w:p>
    <w:p w14:paraId="79B1E913">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无。</w:t>
      </w:r>
    </w:p>
    <w:p w14:paraId="68072B7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C27B128">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4D66B2A">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C4A602A">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395134B">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730798E">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DB13AF1">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74E15339">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6C7E05A">
      <w:pPr>
        <w:spacing w:line="360" w:lineRule="auto"/>
        <w:ind w:firstLine="482" w:firstLineChars="200"/>
        <w:rPr>
          <w:rFonts w:hint="eastAsia" w:ascii="宋体" w:hAnsi="宋体" w:cs="宋体"/>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506740F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3F6D36F">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09FBCCF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33F4382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2B16E75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88F1C9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E796A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1128BC">
      <w:pPr>
        <w:spacing w:line="360" w:lineRule="auto"/>
        <w:ind w:firstLine="480" w:firstLineChars="200"/>
        <w:rPr>
          <w:rFonts w:hint="eastAsia" w:eastAsia="宋体"/>
          <w:color w:val="auto"/>
          <w:highlight w:val="none"/>
          <w:lang w:eastAsia="zh-CN"/>
        </w:rPr>
      </w:pPr>
      <w:r>
        <w:rPr>
          <w:rFonts w:hint="eastAsia" w:ascii="宋体" w:hAnsi="宋体" w:cs="宋体"/>
          <w:color w:val="auto"/>
          <w:sz w:val="24"/>
          <w:highlight w:val="none"/>
        </w:rPr>
        <w:t>4.其他事项：（1）招标文件公告期限与招标公告的公告期限一致</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）单位负责人为同一人或者存在直接控股、管理关系的不同供应商，不得参加同一合同项下的政府采购活动</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）为采购项目提供整体设计、规范编制或者项目管理、监理、检测等服务后不得再参加该采购项目的其他采购活动</w:t>
      </w:r>
      <w:r>
        <w:rPr>
          <w:rFonts w:hint="eastAsia" w:ascii="宋体" w:hAnsi="宋体" w:cs="宋体"/>
          <w:color w:val="auto"/>
          <w:sz w:val="24"/>
          <w:highlight w:val="none"/>
          <w:lang w:eastAsia="zh-CN"/>
        </w:rPr>
        <w:t>；</w:t>
      </w:r>
      <w:r>
        <w:rPr>
          <w:rFonts w:hint="eastAsia" w:hAnsi="宋体" w:cs="宋体"/>
          <w:color w:val="auto"/>
          <w:sz w:val="24"/>
          <w:highlight w:val="none"/>
          <w:lang w:eastAsia="zh-CN"/>
        </w:rPr>
        <w:t>（</w:t>
      </w:r>
      <w:r>
        <w:rPr>
          <w:rFonts w:hint="eastAsia" w:hAnsi="宋体" w:cs="宋体"/>
          <w:color w:val="auto"/>
          <w:sz w:val="24"/>
          <w:highlight w:val="none"/>
          <w:lang w:val="en-US" w:eastAsia="zh-CN"/>
        </w:rPr>
        <w:t>4</w:t>
      </w:r>
      <w:r>
        <w:rPr>
          <w:rFonts w:hint="eastAsia" w:hAnsi="宋体" w:cs="宋体"/>
          <w:color w:val="auto"/>
          <w:sz w:val="24"/>
          <w:highlight w:val="none"/>
          <w:lang w:eastAsia="zh-CN"/>
        </w:rPr>
        <w:t>）投标人不得为“公益一类事业单位、使用事业编制且由财政拨款保障的群团组织；（</w:t>
      </w:r>
      <w:r>
        <w:rPr>
          <w:rFonts w:hint="eastAsia" w:hAnsi="宋体" w:cs="宋体"/>
          <w:color w:val="auto"/>
          <w:sz w:val="24"/>
          <w:highlight w:val="none"/>
          <w:lang w:val="en-US" w:eastAsia="zh-CN"/>
        </w:rPr>
        <w:t>5</w:t>
      </w:r>
      <w:r>
        <w:rPr>
          <w:rFonts w:hint="eastAsia" w:hAnsi="宋体" w:cs="宋体"/>
          <w:color w:val="auto"/>
          <w:sz w:val="24"/>
          <w:highlight w:val="none"/>
          <w:lang w:eastAsia="zh-CN"/>
        </w:rPr>
        <w:t>）</w:t>
      </w:r>
      <w:r>
        <w:rPr>
          <w:rFonts w:hint="eastAsia" w:cs="仿宋_GB2312" w:asciiTheme="majorEastAsia" w:hAnsiTheme="majorEastAsia" w:eastAsiaTheme="majorEastAsia"/>
          <w:b/>
          <w:color w:val="auto"/>
          <w:sz w:val="24"/>
          <w:highlight w:val="none"/>
        </w:rPr>
        <w:t>电子交易的说明: 1）电子交易：</w:t>
      </w:r>
      <w:r>
        <w:rPr>
          <w:rFonts w:hint="eastAsia" w:cs="仿宋_GB2312" w:asciiTheme="majorEastAsia" w:hAnsiTheme="majorEastAsia" w:eastAsiaTheme="majorEastAsia"/>
          <w:color w:val="auto"/>
          <w:sz w:val="24"/>
          <w:highlight w:val="none"/>
        </w:rPr>
        <w:t>本项目以数据电文形式，依托“政府采购云平台（www.zcygov.cn）”进行采购活动，不接受纸质响应文件</w:t>
      </w:r>
      <w:r>
        <w:rPr>
          <w:rFonts w:hint="eastAsia" w:cs="仿宋_GB2312" w:asciiTheme="majorEastAsia" w:hAnsiTheme="majorEastAsia" w:eastAsiaTheme="majorEastAsia"/>
          <w:color w:val="auto"/>
          <w:sz w:val="24"/>
          <w:highlight w:val="none"/>
          <w:lang w:eastAsia="zh-CN"/>
        </w:rPr>
        <w:t>；</w:t>
      </w:r>
      <w:r>
        <w:rPr>
          <w:rFonts w:hint="eastAsia" w:cs="仿宋_GB2312" w:asciiTheme="majorEastAsia" w:hAnsiTheme="majorEastAsia" w:eastAsiaTheme="majorEastAsia"/>
          <w:b/>
          <w:color w:val="auto"/>
          <w:sz w:val="24"/>
          <w:highlight w:val="none"/>
        </w:rPr>
        <w:t>2）响应准备：</w:t>
      </w:r>
      <w:r>
        <w:rPr>
          <w:rFonts w:hint="eastAsia" w:cs="仿宋_GB2312" w:asciiTheme="majorEastAsia" w:hAnsiTheme="majorEastAsia" w:eastAsiaTheme="maj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ajorEastAsia" w:hAnsiTheme="majorEastAsia" w:eastAsiaTheme="majorEastAsia"/>
          <w:b/>
          <w:color w:val="auto"/>
          <w:sz w:val="24"/>
          <w:highlight w:val="none"/>
        </w:rPr>
        <w:t>3）</w:t>
      </w:r>
      <w:r>
        <w:rPr>
          <w:rFonts w:hint="eastAsia" w:cs="仿宋_GB2312" w:asciiTheme="majorEastAsia" w:hAnsiTheme="majorEastAsia" w:eastAsiaTheme="majorEastAsia"/>
          <w:b/>
          <w:color w:val="auto"/>
          <w:sz w:val="24"/>
          <w:highlight w:val="none"/>
          <w:lang w:eastAsia="zh-CN"/>
        </w:rPr>
        <w:t>采购文件</w:t>
      </w:r>
      <w:r>
        <w:rPr>
          <w:rFonts w:hint="eastAsia" w:cs="仿宋_GB2312" w:asciiTheme="majorEastAsia" w:hAnsiTheme="majorEastAsia" w:eastAsiaTheme="majorEastAsia"/>
          <w:b/>
          <w:color w:val="auto"/>
          <w:sz w:val="24"/>
          <w:highlight w:val="none"/>
        </w:rPr>
        <w:t>的获取：</w:t>
      </w:r>
      <w:r>
        <w:rPr>
          <w:rFonts w:hint="eastAsia" w:cs="仿宋_GB2312" w:asciiTheme="majorEastAsia" w:hAnsiTheme="majorEastAsia" w:eastAsiaTheme="majorEastAsia"/>
          <w:color w:val="auto"/>
          <w:sz w:val="24"/>
          <w:highlight w:val="none"/>
        </w:rPr>
        <w:t>使用账号登录或者使用CA登录政采云平台；进入“项目采购”应用，在获取采购文件菜单中选择项目，获取</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b/>
          <w:color w:val="auto"/>
          <w:sz w:val="24"/>
          <w:highlight w:val="none"/>
        </w:rPr>
        <w:t>4）响应文件的制作：</w:t>
      </w:r>
      <w:r>
        <w:rPr>
          <w:rFonts w:hint="eastAsia" w:cs="仿宋_GB2312" w:asciiTheme="majorEastAsia" w:hAnsiTheme="majorEastAsia" w:eastAsiaTheme="majorEastAsia"/>
          <w:color w:val="auto"/>
          <w:sz w:val="24"/>
          <w:highlight w:val="none"/>
        </w:rPr>
        <w:t>在“政采云电子交易客户端”中完成“填写基本信息”、“导入投标文件”、“标书关联”、“标书检查”、“电子签名”、“生成电子标书”等操作</w:t>
      </w:r>
      <w:r>
        <w:rPr>
          <w:rFonts w:hint="eastAsia" w:cs="仿宋_GB2312" w:asciiTheme="majorEastAsia" w:hAnsiTheme="majorEastAsia" w:eastAsiaTheme="majorEastAsia"/>
          <w:color w:val="auto"/>
          <w:sz w:val="24"/>
          <w:highlight w:val="none"/>
          <w:lang w:eastAsia="zh-CN"/>
        </w:rPr>
        <w:t>；</w:t>
      </w:r>
      <w:r>
        <w:rPr>
          <w:rFonts w:cs="仿宋_GB2312" w:asciiTheme="majorEastAsia" w:hAnsiTheme="majorEastAsia" w:eastAsiaTheme="majorEastAsia"/>
          <w:b/>
          <w:color w:val="auto"/>
          <w:sz w:val="24"/>
          <w:highlight w:val="none"/>
        </w:rPr>
        <w:t>5）</w:t>
      </w:r>
      <w:r>
        <w:rPr>
          <w:rFonts w:hint="eastAsia" w:cs="仿宋_GB2312" w:asciiTheme="majorEastAsia" w:hAnsiTheme="majorEastAsia" w:eastAsiaTheme="majorEastAsia"/>
          <w:color w:val="auto"/>
          <w:sz w:val="24"/>
          <w:highlight w:val="none"/>
        </w:rPr>
        <w:t>采购人、采购代理机构将依托政采云平台完成本项目的电子交易活动，平台不接受未按本公告约定方式获取</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的供应商进行响应活动；</w:t>
      </w:r>
      <w:r>
        <w:rPr>
          <w:rFonts w:cs="仿宋_GB2312" w:asciiTheme="majorEastAsia" w:hAnsiTheme="majorEastAsia" w:eastAsiaTheme="majorEastAsia"/>
          <w:b/>
          <w:color w:val="auto"/>
          <w:sz w:val="24"/>
          <w:highlight w:val="none"/>
        </w:rPr>
        <w:t>6）</w:t>
      </w:r>
      <w:r>
        <w:rPr>
          <w:rFonts w:hint="eastAsia" w:cs="仿宋_GB2312" w:asciiTheme="majorEastAsia" w:hAnsiTheme="majorEastAsia" w:eastAsiaTheme="majorEastAsia"/>
          <w:color w:val="auto"/>
          <w:sz w:val="24"/>
          <w:highlight w:val="none"/>
        </w:rPr>
        <w:t>对未按上述方式获取</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的供应商对该文件提出的质疑，采购人或采购代理机构将不予处理</w:t>
      </w:r>
      <w:r>
        <w:rPr>
          <w:rFonts w:hint="eastAsia" w:cs="仿宋_GB2312" w:asciiTheme="majorEastAsia" w:hAnsiTheme="majorEastAsia" w:eastAsiaTheme="majorEastAsia"/>
          <w:b/>
          <w:color w:val="auto"/>
          <w:sz w:val="24"/>
          <w:highlight w:val="none"/>
        </w:rPr>
        <w:t>；</w:t>
      </w:r>
      <w:r>
        <w:rPr>
          <w:rFonts w:cs="仿宋_GB2312" w:asciiTheme="majorEastAsia" w:hAnsiTheme="majorEastAsia" w:eastAsiaTheme="majorEastAsia"/>
          <w:b/>
          <w:color w:val="auto"/>
          <w:sz w:val="24"/>
          <w:highlight w:val="none"/>
        </w:rPr>
        <w:t>7）</w:t>
      </w:r>
      <w:r>
        <w:rPr>
          <w:rFonts w:hint="eastAsia" w:cs="仿宋_GB2312" w:asciiTheme="majorEastAsia" w:hAnsiTheme="majorEastAsia" w:eastAsiaTheme="majorEastAsia"/>
          <w:color w:val="auto"/>
          <w:sz w:val="24"/>
          <w:highlight w:val="none"/>
        </w:rPr>
        <w:t>不提供</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纸质版；</w:t>
      </w:r>
      <w:r>
        <w:rPr>
          <w:rFonts w:cs="仿宋_GB2312" w:asciiTheme="majorEastAsia" w:hAnsiTheme="majorEastAsia" w:eastAsiaTheme="majorEastAsia"/>
          <w:b/>
          <w:color w:val="auto"/>
          <w:sz w:val="24"/>
          <w:highlight w:val="none"/>
        </w:rPr>
        <w:t>8</w:t>
      </w:r>
      <w:r>
        <w:rPr>
          <w:rFonts w:hint="eastAsia" w:cs="仿宋_GB2312" w:asciiTheme="majorEastAsia" w:hAnsiTheme="majorEastAsia" w:eastAsiaTheme="majorEastAsia"/>
          <w:b/>
          <w:color w:val="auto"/>
          <w:sz w:val="24"/>
          <w:highlight w:val="none"/>
        </w:rPr>
        <w:t>）响应文件的传输提交：</w:t>
      </w:r>
      <w:r>
        <w:rPr>
          <w:rFonts w:hint="eastAsia" w:cs="仿宋_GB2312" w:asciiTheme="majorEastAsia" w:hAnsiTheme="majorEastAsia" w:eastAsiaTheme="majorEastAsia"/>
          <w:color w:val="auto"/>
          <w:sz w:val="24"/>
          <w:highlight w:val="none"/>
        </w:rPr>
        <w:t>供应商在提交响应文件的截止时间前将加密的响应文件上传至政府采购云平台，还可以在提交响应文件的截止时间前</w:t>
      </w:r>
      <w:r>
        <w:rPr>
          <w:rFonts w:hint="eastAsia" w:cs="仿宋_GB2312" w:asciiTheme="majorEastAsia" w:hAnsiTheme="majorEastAsia" w:eastAsiaTheme="majorEastAsia"/>
          <w:color w:val="auto"/>
          <w:sz w:val="24"/>
          <w:highlight w:val="none"/>
          <w:lang w:val="en-US" w:eastAsia="zh-CN"/>
        </w:rPr>
        <w:t>以发送邮件</w:t>
      </w:r>
      <w:r>
        <w:rPr>
          <w:rFonts w:hint="eastAsia" w:cs="仿宋_GB2312" w:asciiTheme="majorEastAsia" w:hAnsiTheme="majorEastAsia" w:eastAsiaTheme="majorEastAsia"/>
          <w:color w:val="auto"/>
          <w:sz w:val="24"/>
          <w:highlight w:val="none"/>
        </w:rPr>
        <w:t>方式提交备份响应文件1份。备份响应文件的制作、存储</w:t>
      </w:r>
      <w:r>
        <w:rPr>
          <w:rFonts w:hint="eastAsia" w:cs="仿宋_GB2312" w:asciiTheme="majorEastAsia" w:hAnsiTheme="majorEastAsia" w:eastAsiaTheme="majorEastAsia"/>
          <w:color w:val="auto"/>
          <w:sz w:val="24"/>
          <w:highlight w:val="none"/>
          <w:lang w:val="en-US" w:eastAsia="zh-CN"/>
        </w:rPr>
        <w:t>及提交等</w:t>
      </w:r>
      <w:r>
        <w:rPr>
          <w:rFonts w:hint="eastAsia" w:cs="仿宋_GB2312" w:asciiTheme="majorEastAsia" w:hAnsiTheme="majorEastAsia" w:eastAsiaTheme="majorEastAsia"/>
          <w:color w:val="auto"/>
          <w:sz w:val="24"/>
          <w:highlight w:val="none"/>
        </w:rPr>
        <w:t>详见</w:t>
      </w:r>
      <w:r>
        <w:rPr>
          <w:rFonts w:hint="eastAsia" w:cs="仿宋_GB2312" w:asciiTheme="majorEastAsia" w:hAnsiTheme="majorEastAsia" w:eastAsiaTheme="majorEastAsia"/>
          <w:color w:val="auto"/>
          <w:sz w:val="24"/>
          <w:highlight w:val="none"/>
          <w:lang w:val="en-US" w:eastAsia="zh-CN"/>
        </w:rPr>
        <w:t>采购</w:t>
      </w:r>
      <w:r>
        <w:rPr>
          <w:rFonts w:hint="eastAsia" w:cs="仿宋_GB2312" w:asciiTheme="majorEastAsia" w:hAnsiTheme="majorEastAsia" w:eastAsiaTheme="majorEastAsia"/>
          <w:color w:val="auto"/>
          <w:sz w:val="24"/>
          <w:highlight w:val="none"/>
        </w:rPr>
        <w:t>文件第三部分 “备份响应文件”；</w:t>
      </w:r>
      <w:r>
        <w:rPr>
          <w:rFonts w:hint="eastAsia" w:cs="仿宋_GB2312" w:asciiTheme="majorEastAsia" w:hAnsiTheme="majorEastAsia" w:eastAsiaTheme="majorEastAsia"/>
          <w:b/>
          <w:color w:val="auto"/>
          <w:sz w:val="24"/>
          <w:highlight w:val="none"/>
        </w:rPr>
        <w:t>9）响应文件的解密：</w:t>
      </w:r>
      <w:r>
        <w:rPr>
          <w:rFonts w:hint="eastAsia" w:cs="仿宋_GB2312" w:asciiTheme="majorEastAsia" w:hAnsiTheme="majorEastAsia" w:eastAsiaTheme="majorEastAsia"/>
          <w:color w:val="auto"/>
          <w:sz w:val="24"/>
          <w:highlight w:val="none"/>
        </w:rPr>
        <w:t>供应商按照平台提示和</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cs="仿宋_GB2312" w:asciiTheme="majorEastAsia" w:hAnsiTheme="majorEastAsia" w:eastAsiaTheme="majorEastAsia"/>
          <w:b/>
          <w:bCs/>
          <w:color w:val="auto"/>
          <w:sz w:val="24"/>
          <w:highlight w:val="none"/>
        </w:rPr>
        <w:t>10）</w:t>
      </w:r>
      <w:r>
        <w:rPr>
          <w:rFonts w:hint="eastAsia" w:cs="仿宋_GB2312" w:asciiTheme="majorEastAsia" w:hAnsiTheme="majorEastAsia" w:eastAsiaTheme="majorEastAsia"/>
          <w:b/>
          <w:color w:val="auto"/>
          <w:sz w:val="24"/>
          <w:highlight w:val="none"/>
        </w:rPr>
        <w:t>具体操作指南</w:t>
      </w:r>
      <w:r>
        <w:rPr>
          <w:rFonts w:hint="eastAsia" w:cs="仿宋_GB2312" w:asciiTheme="majorEastAsia" w:hAnsiTheme="majorEastAsia" w:eastAsiaTheme="majorEastAsia"/>
          <w:color w:val="auto"/>
          <w:sz w:val="24"/>
          <w:highlight w:val="none"/>
        </w:rPr>
        <w:t>：详见政采云平台“服务中心-帮助文档-项目采购-操作流程-电子招投标-政府采购项目电子交易管理操作指南-供应商”。</w:t>
      </w:r>
    </w:p>
    <w:p w14:paraId="2287BAB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5FE60D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29E577A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浙江省交通运输厅</w:t>
      </w:r>
      <w:r>
        <w:rPr>
          <w:rFonts w:hint="eastAsia" w:ascii="宋体" w:hAnsi="宋体" w:cs="宋体"/>
          <w:color w:val="auto"/>
          <w:sz w:val="24"/>
          <w:highlight w:val="none"/>
        </w:rPr>
        <w:t xml:space="preserve"> </w:t>
      </w:r>
    </w:p>
    <w:p w14:paraId="6135F7C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 杭州市上城区梅花碑4号</w:t>
      </w:r>
    </w:p>
    <w:p w14:paraId="745AEF0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124C5F21">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葛老师</w:t>
      </w:r>
    </w:p>
    <w:p w14:paraId="070D5EBF">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项目联系方式（询问）：13958152571</w:t>
      </w:r>
    </w:p>
    <w:p w14:paraId="024306C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质疑联系人：陶老师</w:t>
      </w:r>
    </w:p>
    <w:p w14:paraId="5CA1E20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质疑联系方式：0571-87811381 </w:t>
      </w:r>
    </w:p>
    <w:p w14:paraId="14B4344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w:t>
      </w:r>
    </w:p>
    <w:p w14:paraId="7350984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称：浙江华耀建设咨询有限公司</w:t>
      </w:r>
    </w:p>
    <w:p w14:paraId="049FBA1E">
      <w:pPr>
        <w:spacing w:line="360" w:lineRule="auto"/>
        <w:ind w:firstLine="48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地    址：</w:t>
      </w:r>
      <w:r>
        <w:rPr>
          <w:rFonts w:hint="eastAsia" w:asciiTheme="minorEastAsia" w:hAnsiTheme="minorEastAsia" w:eastAsiaTheme="minorEastAsia" w:cstheme="minorEastAsia"/>
          <w:color w:val="auto"/>
          <w:sz w:val="24"/>
          <w:highlight w:val="none"/>
        </w:rPr>
        <w:t>杭州市上城区秋涛北路3</w:t>
      </w:r>
      <w:r>
        <w:rPr>
          <w:rFonts w:hint="eastAsia" w:asciiTheme="minorEastAsia" w:hAnsiTheme="minorEastAsia" w:eastAsiaTheme="minorEastAsia" w:cstheme="minorEastAsia"/>
          <w:color w:val="auto"/>
          <w:sz w:val="24"/>
          <w:highlight w:val="none"/>
          <w:lang w:val="en-US" w:eastAsia="zh-CN"/>
        </w:rPr>
        <w:t>28</w:t>
      </w:r>
      <w:r>
        <w:rPr>
          <w:rFonts w:hint="eastAsia" w:asciiTheme="minorEastAsia" w:hAnsiTheme="minorEastAsia" w:eastAsiaTheme="minorEastAsia" w:cstheme="minorEastAsia"/>
          <w:color w:val="auto"/>
          <w:sz w:val="24"/>
          <w:highlight w:val="none"/>
        </w:rPr>
        <w:t>号佰富时代中心3幢</w:t>
      </w:r>
      <w:r>
        <w:rPr>
          <w:rFonts w:hint="eastAsia" w:asciiTheme="minorEastAsia" w:hAnsiTheme="minorEastAsia" w:eastAsiaTheme="minorEastAsia" w:cstheme="minorEastAsia"/>
          <w:color w:val="auto"/>
          <w:sz w:val="24"/>
          <w:highlight w:val="none"/>
          <w:lang w:val="en-US" w:eastAsia="zh-CN"/>
        </w:rPr>
        <w:t>13楼</w:t>
      </w:r>
    </w:p>
    <w:p w14:paraId="4880C0A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18FFD0A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项目联系人（询问）：陈瑶、潘正阳</w:t>
      </w:r>
    </w:p>
    <w:p w14:paraId="42A76D7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18757567243</w:t>
      </w:r>
      <w:r>
        <w:rPr>
          <w:rFonts w:hint="eastAsia" w:ascii="宋体" w:hAnsi="宋体" w:cs="宋体"/>
          <w:color w:val="auto"/>
          <w:sz w:val="24"/>
          <w:highlight w:val="none"/>
        </w:rPr>
        <w:t>、13758171369</w:t>
      </w:r>
    </w:p>
    <w:p w14:paraId="1A9B409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质疑联系人：张焕欣 </w:t>
      </w:r>
    </w:p>
    <w:p w14:paraId="6DD6857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质疑联系方式：15657173595</w:t>
      </w:r>
    </w:p>
    <w:p w14:paraId="0E923B1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color w:val="auto"/>
          <w:highlight w:val="none"/>
        </w:rPr>
        <w:t xml:space="preserve"> </w:t>
      </w:r>
      <w:r>
        <w:rPr>
          <w:rFonts w:hint="eastAsia" w:ascii="宋体" w:hAnsi="宋体" w:cs="宋体"/>
          <w:color w:val="auto"/>
          <w:sz w:val="24"/>
          <w:highlight w:val="none"/>
        </w:rPr>
        <w:t>该项目由采购人处理采购争议。质疑环节，采购人委托采购代理机构处理的，可由采购代理机构答复。对质疑答复不满意的，向采购人内部设置的采购监督机构反映。</w:t>
      </w:r>
    </w:p>
    <w:p w14:paraId="2A12B3F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政策咨询：何一平、冯华，0571-87058424、87055741</w:t>
      </w:r>
    </w:p>
    <w:p w14:paraId="4CEE34D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预算金额未达100万元的采购项目，由采购人处理采购争议。</w:t>
      </w:r>
    </w:p>
    <w:p w14:paraId="115238DB">
      <w:pPr>
        <w:spacing w:line="360" w:lineRule="auto"/>
        <w:ind w:firstLine="480" w:firstLineChars="200"/>
        <w:rPr>
          <w:rFonts w:hint="eastAsia" w:ascii="宋体" w:hAnsi="宋体" w:cs="宋体"/>
          <w:color w:val="auto"/>
          <w:sz w:val="24"/>
          <w:highlight w:val="none"/>
        </w:rPr>
      </w:pPr>
    </w:p>
    <w:p w14:paraId="48BFF5C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B453F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1DBEF1A">
      <w:pPr>
        <w:pStyle w:val="4"/>
        <w:rPr>
          <w:rFonts w:hint="eastAsia" w:ascii="宋体"/>
          <w:snapToGrid w:val="0"/>
          <w:color w:val="auto"/>
          <w:highlight w:val="none"/>
        </w:rPr>
      </w:pPr>
      <w:r>
        <w:rPr>
          <w:color w:val="auto"/>
          <w:highlight w:val="none"/>
        </w:rPr>
        <w:br w:type="page"/>
      </w:r>
    </w:p>
    <w:p w14:paraId="74B954A5">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 投标人须知</w:t>
      </w:r>
      <w:bookmarkEnd w:id="7"/>
    </w:p>
    <w:p w14:paraId="0E8BD31C">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28" w:type="dxa"/>
          <w:bottom w:w="0" w:type="dxa"/>
          <w:right w:w="28" w:type="dxa"/>
        </w:tblCellMar>
      </w:tblPr>
      <w:tblGrid>
        <w:gridCol w:w="629"/>
        <w:gridCol w:w="1843"/>
        <w:gridCol w:w="6095"/>
      </w:tblGrid>
      <w:tr w14:paraId="554F5EC2">
        <w:tc>
          <w:tcPr>
            <w:tcW w:w="629" w:type="dxa"/>
            <w:tcBorders>
              <w:tl2br w:val="nil"/>
              <w:tr2bl w:val="nil"/>
            </w:tcBorders>
            <w:vAlign w:val="center"/>
          </w:tcPr>
          <w:p w14:paraId="693294C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l2br w:val="nil"/>
              <w:tr2bl w:val="nil"/>
            </w:tcBorders>
            <w:vAlign w:val="center"/>
          </w:tcPr>
          <w:p w14:paraId="7F416EE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l2br w:val="nil"/>
              <w:tr2bl w:val="nil"/>
            </w:tcBorders>
            <w:vAlign w:val="center"/>
          </w:tcPr>
          <w:p w14:paraId="5DFEE7B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084253D6">
        <w:tc>
          <w:tcPr>
            <w:tcW w:w="629" w:type="dxa"/>
            <w:tcBorders>
              <w:tl2br w:val="nil"/>
              <w:tr2bl w:val="nil"/>
            </w:tcBorders>
            <w:vAlign w:val="center"/>
          </w:tcPr>
          <w:p w14:paraId="6EB50F4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l2br w:val="nil"/>
              <w:tr2bl w:val="nil"/>
            </w:tcBorders>
            <w:vAlign w:val="center"/>
          </w:tcPr>
          <w:p w14:paraId="14A341F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l2br w:val="nil"/>
              <w:tr2bl w:val="nil"/>
            </w:tcBorders>
            <w:vAlign w:val="center"/>
          </w:tcPr>
          <w:p w14:paraId="7BD977D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服务类。</w:t>
            </w:r>
          </w:p>
          <w:p w14:paraId="51C673E4">
            <w:pPr>
              <w:pStyle w:val="23"/>
              <w:rPr>
                <w:rFonts w:hint="eastAsia"/>
                <w:color w:val="auto"/>
                <w:highlight w:val="none"/>
              </w:rPr>
            </w:pPr>
            <w:r>
              <w:rPr>
                <w:rFonts w:hint="eastAsia"/>
                <w:color w:val="auto"/>
                <w:highlight w:val="none"/>
              </w:rPr>
              <w:t>▲该项目属政府购买服务项目，公益一类事业单位不能做为承接主体。</w:t>
            </w:r>
          </w:p>
        </w:tc>
      </w:tr>
      <w:tr w14:paraId="075E6EF8">
        <w:tc>
          <w:tcPr>
            <w:tcW w:w="629" w:type="dxa"/>
            <w:tcBorders>
              <w:tl2br w:val="nil"/>
              <w:tr2bl w:val="nil"/>
            </w:tcBorders>
            <w:vAlign w:val="center"/>
          </w:tcPr>
          <w:p w14:paraId="59307EC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l2br w:val="nil"/>
              <w:tr2bl w:val="nil"/>
            </w:tcBorders>
            <w:vAlign w:val="center"/>
          </w:tcPr>
          <w:p w14:paraId="42FC434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l2br w:val="nil"/>
              <w:tr2bl w:val="nil"/>
            </w:tcBorders>
            <w:vAlign w:val="center"/>
          </w:tcPr>
          <w:p w14:paraId="089D1BE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lang w:eastAsia="zh-CN"/>
              </w:rPr>
              <w:t>浙江省交通运输数智信用综合服务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其他未列明行业</w:t>
            </w:r>
            <w:r>
              <w:rPr>
                <w:rFonts w:hint="eastAsia" w:ascii="宋体" w:hAnsi="宋体" w:cs="宋体"/>
                <w:color w:val="auto"/>
                <w:kern w:val="0"/>
                <w:sz w:val="24"/>
                <w:highlight w:val="none"/>
              </w:rPr>
              <w:t>；</w:t>
            </w:r>
          </w:p>
          <w:p w14:paraId="720D9F6D">
            <w:pPr>
              <w:spacing w:line="360" w:lineRule="auto"/>
              <w:rPr>
                <w:rFonts w:hint="eastAsia" w:ascii="宋体" w:hAnsi="宋体" w:cs="宋体"/>
                <w:color w:val="auto"/>
                <w:highlight w:val="none"/>
              </w:rPr>
            </w:pPr>
            <w:r>
              <w:rPr>
                <w:rFonts w:hint="eastAsia" w:ascii="宋体" w:hAnsi="宋体" w:cs="宋体"/>
                <w:color w:val="auto"/>
                <w:kern w:val="0"/>
                <w:sz w:val="24"/>
                <w:highlight w:val="none"/>
              </w:rPr>
              <w:t>根据《关于印发中小企业划型标准规定的通知》（工信部联企业〔2011〕300）第四条第（十六）项规定：其他未列明行业：从业人员300人以下的为中小微型企业。其中，从业人员100人及以上的为中型企业；从业人员10人及以上的为小型企业；从业人员10人以下的为微型企业。</w:t>
            </w:r>
          </w:p>
        </w:tc>
      </w:tr>
      <w:tr w14:paraId="5230214C">
        <w:tc>
          <w:tcPr>
            <w:tcW w:w="629" w:type="dxa"/>
            <w:tcBorders>
              <w:tl2br w:val="nil"/>
              <w:tr2bl w:val="nil"/>
            </w:tcBorders>
            <w:vAlign w:val="center"/>
          </w:tcPr>
          <w:p w14:paraId="1F28239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l2br w:val="nil"/>
              <w:tr2bl w:val="nil"/>
            </w:tcBorders>
            <w:vAlign w:val="center"/>
          </w:tcPr>
          <w:p w14:paraId="2B9CC87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l2br w:val="nil"/>
              <w:tr2bl w:val="nil"/>
            </w:tcBorders>
            <w:vAlign w:val="center"/>
          </w:tcPr>
          <w:p w14:paraId="27F7972B">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474835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1D2C4AA">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14746407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0E7A6C7D">
        <w:tc>
          <w:tcPr>
            <w:tcW w:w="629" w:type="dxa"/>
            <w:tcBorders>
              <w:tl2br w:val="nil"/>
              <w:tr2bl w:val="nil"/>
            </w:tcBorders>
            <w:vAlign w:val="center"/>
          </w:tcPr>
          <w:p w14:paraId="299A721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l2br w:val="nil"/>
              <w:tr2bl w:val="nil"/>
            </w:tcBorders>
            <w:vAlign w:val="center"/>
          </w:tcPr>
          <w:p w14:paraId="7FBD009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是否允许转包与分包</w:t>
            </w:r>
          </w:p>
        </w:tc>
        <w:tc>
          <w:tcPr>
            <w:tcW w:w="6095" w:type="dxa"/>
            <w:tcBorders>
              <w:tl2br w:val="nil"/>
              <w:tr2bl w:val="nil"/>
            </w:tcBorders>
            <w:vAlign w:val="center"/>
          </w:tcPr>
          <w:p w14:paraId="306B892B">
            <w:pPr>
              <w:spacing w:line="360" w:lineRule="auto"/>
              <w:rPr>
                <w:rFonts w:hint="eastAsia" w:ascii="宋体" w:hAnsi="宋体" w:cs="宋体"/>
                <w:color w:val="auto"/>
                <w:sz w:val="24"/>
                <w:highlight w:val="none"/>
              </w:rPr>
            </w:pPr>
            <w:r>
              <w:rPr>
                <w:rFonts w:hint="eastAsia" w:ascii="宋体" w:hAnsi="宋体" w:cs="宋体"/>
                <w:color w:val="auto"/>
                <w:sz w:val="24"/>
                <w:highlight w:val="none"/>
              </w:rPr>
              <w:t>转包：本项目不允许转包</w:t>
            </w:r>
          </w:p>
          <w:p w14:paraId="5DBAE4E9">
            <w:pPr>
              <w:spacing w:line="360" w:lineRule="auto"/>
              <w:rPr>
                <w:rFonts w:hint="eastAsia" w:ascii="宋体" w:hAnsi="宋体" w:cs="宋体"/>
                <w:color w:val="auto"/>
                <w:sz w:val="24"/>
                <w:highlight w:val="none"/>
              </w:rPr>
            </w:pPr>
            <w:r>
              <w:rPr>
                <w:rFonts w:hint="eastAsia" w:ascii="宋体" w:hAnsi="宋体" w:cs="宋体"/>
                <w:color w:val="auto"/>
                <w:sz w:val="24"/>
                <w:highlight w:val="none"/>
              </w:rPr>
              <w:t>分包：</w:t>
            </w:r>
          </w:p>
          <w:p w14:paraId="0B35F5B2">
            <w:pPr>
              <w:spacing w:line="360" w:lineRule="auto"/>
              <w:rPr>
                <w:rFonts w:hint="eastAsia" w:ascii="宋体" w:hAnsi="宋体" w:cs="宋体"/>
                <w:color w:val="auto"/>
                <w:sz w:val="24"/>
                <w:highlight w:val="none"/>
              </w:rPr>
            </w:pPr>
            <w:sdt>
              <w:sdtPr>
                <w:rPr>
                  <w:rFonts w:hint="eastAsia"/>
                  <w:color w:val="auto"/>
                  <w:highlight w:val="none"/>
                </w:rPr>
                <w:id w:val="183031108"/>
                <w14:checkbox>
                  <w14:checked w14:val="1"/>
                  <w14:checkedState w14:val="00FE" w14:font="Wingdings"/>
                  <w14:uncheckedState w14:val="2610" w14:font="MS Gothic"/>
                </w14:checkbox>
              </w:sdtPr>
              <w:sdtEndPr>
                <w:rPr>
                  <w:rFonts w:hint="eastAsia"/>
                  <w:color w:val="auto"/>
                  <w:highlight w:val="none"/>
                </w:rPr>
              </w:sdtEndPr>
              <w:sdtContent>
                <w:r>
                  <w:rPr>
                    <w:rFonts w:hint="eastAsia" w:ascii="Wingdings" w:hAnsi="Wingdings" w:eastAsia="宋体" w:cs="Times New Roman"/>
                    <w:color w:val="auto"/>
                    <w:kern w:val="2"/>
                    <w:sz w:val="21"/>
                    <w:szCs w:val="24"/>
                    <w:highlight w:val="none"/>
                    <w:lang w:val="en-US" w:eastAsia="zh-CN" w:bidi="ar-SA"/>
                  </w:rPr>
                  <w:t>þ</w:t>
                </w:r>
              </w:sdtContent>
            </w:sdt>
            <w:r>
              <w:rPr>
                <w:rFonts w:hint="eastAsia" w:ascii="宋体" w:hAnsi="宋体" w:cs="宋体"/>
                <w:color w:val="auto"/>
                <w:sz w:val="24"/>
                <w:highlight w:val="none"/>
              </w:rPr>
              <w:t>A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4E79706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B不同意分包。</w:t>
            </w:r>
          </w:p>
        </w:tc>
      </w:tr>
      <w:tr w14:paraId="730795F1">
        <w:tc>
          <w:tcPr>
            <w:tcW w:w="629" w:type="dxa"/>
            <w:tcBorders>
              <w:tl2br w:val="nil"/>
              <w:tr2bl w:val="nil"/>
            </w:tcBorders>
            <w:vAlign w:val="center"/>
          </w:tcPr>
          <w:p w14:paraId="703CE8C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l2br w:val="nil"/>
              <w:tr2bl w:val="nil"/>
            </w:tcBorders>
            <w:vAlign w:val="center"/>
          </w:tcPr>
          <w:p w14:paraId="407703B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l2br w:val="nil"/>
              <w:tr2bl w:val="nil"/>
            </w:tcBorders>
            <w:vAlign w:val="center"/>
          </w:tcPr>
          <w:p w14:paraId="40FCB256">
            <w:pPr>
              <w:spacing w:line="360" w:lineRule="auto"/>
              <w:rPr>
                <w:rFonts w:hint="eastAsia" w:ascii="宋体" w:hAnsi="宋体" w:cs="宋体"/>
                <w:color w:val="auto"/>
                <w:sz w:val="24"/>
                <w:highlight w:val="none"/>
              </w:rPr>
            </w:pPr>
            <w:sdt>
              <w:sdtPr>
                <w:rPr>
                  <w:rFonts w:hint="eastAsia"/>
                  <w:color w:val="auto"/>
                  <w:highlight w:val="none"/>
                </w:rPr>
                <w:id w:val="147461205"/>
                <w14:checkbox>
                  <w14:checked w14:val="1"/>
                  <w14:checkedState w14:val="00FE" w14:font="Wingdings"/>
                  <w14:uncheckedState w14:val="2610" w14:font="MS Gothic"/>
                </w14:checkbox>
              </w:sdtPr>
              <w:sdtEndPr>
                <w:rPr>
                  <w:rFonts w:hint="eastAsia"/>
                  <w:color w:val="auto"/>
                  <w:highlight w:val="none"/>
                </w:rPr>
              </w:sdtEndPr>
              <w:sdtContent>
                <w:r>
                  <w:rPr>
                    <w:rFonts w:hint="eastAsia" w:ascii="Wingdings" w:hAnsi="Wingdings" w:eastAsia="宋体" w:cs="Times New Roman"/>
                    <w:color w:val="auto"/>
                    <w:kern w:val="2"/>
                    <w:sz w:val="21"/>
                    <w:szCs w:val="24"/>
                    <w:highlight w:val="none"/>
                    <w:lang w:val="en-US" w:eastAsia="zh-CN" w:bidi="ar-SA"/>
                  </w:rPr>
                  <w:t>þ</w:t>
                </w:r>
              </w:sdtContent>
            </w:sdt>
            <w:r>
              <w:rPr>
                <w:rFonts w:hint="eastAsia" w:ascii="宋体" w:hAnsi="宋体" w:cs="宋体"/>
                <w:color w:val="auto"/>
                <w:sz w:val="24"/>
                <w:highlight w:val="none"/>
              </w:rPr>
              <w:t>A不组织。</w:t>
            </w:r>
          </w:p>
          <w:p w14:paraId="585B6E0F">
            <w:pPr>
              <w:spacing w:line="360" w:lineRule="auto"/>
              <w:rPr>
                <w:rFonts w:hint="eastAsia" w:ascii="宋体" w:hAnsi="宋体" w:cs="宋体"/>
                <w:color w:val="auto"/>
                <w:sz w:val="24"/>
                <w:highlight w:val="none"/>
              </w:rPr>
            </w:pPr>
            <w:sdt>
              <w:sdtPr>
                <w:rPr>
                  <w:rFonts w:hint="eastAsia" w:ascii="宋体" w:hAnsi="宋体" w:cs="宋体"/>
                  <w:color w:val="auto"/>
                  <w:sz w:val="24"/>
                  <w:highlight w:val="none"/>
                </w:rPr>
                <w:id w:val="147458470"/>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B组织，时间：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2BAC9E3">
            <w:pPr>
              <w:pStyle w:val="81"/>
              <w:ind w:firstLine="0" w:firstLineChars="0"/>
              <w:rPr>
                <w:rFonts w:hint="eastAsia"/>
                <w:color w:val="auto"/>
                <w:highlight w:val="none"/>
              </w:rPr>
            </w:pPr>
            <w:r>
              <w:rPr>
                <w:rFonts w:hint="eastAsia" w:ascii="宋体" w:hAnsi="宋体" w:eastAsia="宋体" w:cs="宋体"/>
                <w:color w:val="auto"/>
                <w:sz w:val="24"/>
                <w:szCs w:val="24"/>
                <w:highlight w:val="none"/>
              </w:rPr>
              <w:t>☐C不统一组织，供应商在获取采购文件后，自行至项目现场考察。地点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color w:val="auto"/>
                <w:highlight w:val="none"/>
              </w:rPr>
              <w:t>。</w:t>
            </w:r>
          </w:p>
          <w:p w14:paraId="153B20B3">
            <w:pPr>
              <w:pStyle w:val="81"/>
              <w:rPr>
                <w:rFonts w:hint="eastAsia"/>
                <w:color w:val="auto"/>
                <w:highlight w:val="none"/>
              </w:rPr>
            </w:pPr>
          </w:p>
        </w:tc>
      </w:tr>
      <w:tr w14:paraId="5D582A28">
        <w:tc>
          <w:tcPr>
            <w:tcW w:w="629" w:type="dxa"/>
            <w:tcBorders>
              <w:tl2br w:val="nil"/>
              <w:tr2bl w:val="nil"/>
            </w:tcBorders>
            <w:vAlign w:val="center"/>
          </w:tcPr>
          <w:p w14:paraId="340DDE1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l2br w:val="nil"/>
              <w:tr2bl w:val="nil"/>
            </w:tcBorders>
            <w:vAlign w:val="center"/>
          </w:tcPr>
          <w:p w14:paraId="4208792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l2br w:val="nil"/>
              <w:tr2bl w:val="nil"/>
            </w:tcBorders>
            <w:vAlign w:val="center"/>
          </w:tcPr>
          <w:p w14:paraId="532D0298">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7327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6D71381">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8E3CB33">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BB84517">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FE1BEC4">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4795256">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DEA4C9B">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C89F8D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9D9F51F">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4519E24">
        <w:tc>
          <w:tcPr>
            <w:tcW w:w="629" w:type="dxa"/>
            <w:tcBorders>
              <w:tl2br w:val="nil"/>
              <w:tr2bl w:val="nil"/>
            </w:tcBorders>
            <w:vAlign w:val="center"/>
          </w:tcPr>
          <w:p w14:paraId="00F7AEC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l2br w:val="nil"/>
              <w:tr2bl w:val="nil"/>
            </w:tcBorders>
            <w:vAlign w:val="center"/>
          </w:tcPr>
          <w:p w14:paraId="4AFCACEF">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l2br w:val="nil"/>
              <w:tr2bl w:val="nil"/>
            </w:tcBorders>
            <w:vAlign w:val="center"/>
          </w:tcPr>
          <w:p w14:paraId="76CD7E25">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7668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CE1D352">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56F761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0E33C0A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725D5E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684AD9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99770C5">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21F9FD5">
        <w:tc>
          <w:tcPr>
            <w:tcW w:w="629" w:type="dxa"/>
            <w:vMerge w:val="restart"/>
            <w:tcBorders>
              <w:tl2br w:val="nil"/>
              <w:tr2bl w:val="nil"/>
            </w:tcBorders>
            <w:vAlign w:val="center"/>
          </w:tcPr>
          <w:p w14:paraId="0D7CF0E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l2br w:val="nil"/>
              <w:tr2bl w:val="nil"/>
            </w:tcBorders>
            <w:vAlign w:val="center"/>
          </w:tcPr>
          <w:p w14:paraId="4D117B8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l2br w:val="nil"/>
              <w:tr2bl w:val="nil"/>
            </w:tcBorders>
            <w:vAlign w:val="center"/>
          </w:tcPr>
          <w:p w14:paraId="7ACBEB8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BF407BC">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D35462F">
        <w:tc>
          <w:tcPr>
            <w:tcW w:w="629" w:type="dxa"/>
            <w:vMerge w:val="continue"/>
            <w:tcBorders>
              <w:tl2br w:val="nil"/>
              <w:tr2bl w:val="nil"/>
            </w:tcBorders>
            <w:vAlign w:val="center"/>
          </w:tcPr>
          <w:p w14:paraId="48A0674A">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0AF369D9">
            <w:pPr>
              <w:snapToGrid w:val="0"/>
              <w:spacing w:line="360" w:lineRule="auto"/>
              <w:jc w:val="center"/>
              <w:rPr>
                <w:rFonts w:hint="eastAsia" w:ascii="宋体" w:hAnsi="宋体" w:cs="宋体"/>
                <w:b/>
                <w:color w:val="auto"/>
                <w:sz w:val="24"/>
                <w:highlight w:val="none"/>
              </w:rPr>
            </w:pPr>
          </w:p>
        </w:tc>
        <w:tc>
          <w:tcPr>
            <w:tcW w:w="6095" w:type="dxa"/>
            <w:tcBorders>
              <w:tl2br w:val="nil"/>
              <w:tr2bl w:val="nil"/>
            </w:tcBorders>
            <w:vAlign w:val="center"/>
          </w:tcPr>
          <w:p w14:paraId="1FCF4CB6">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1479403">
        <w:tc>
          <w:tcPr>
            <w:tcW w:w="629" w:type="dxa"/>
            <w:tcBorders>
              <w:tl2br w:val="nil"/>
              <w:tr2bl w:val="nil"/>
            </w:tcBorders>
            <w:vAlign w:val="center"/>
          </w:tcPr>
          <w:p w14:paraId="278E0E9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l2br w:val="nil"/>
              <w:tr2bl w:val="nil"/>
            </w:tcBorders>
            <w:vAlign w:val="center"/>
          </w:tcPr>
          <w:p w14:paraId="2ADDA56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l2br w:val="nil"/>
              <w:tr2bl w:val="nil"/>
            </w:tcBorders>
            <w:vAlign w:val="center"/>
          </w:tcPr>
          <w:p w14:paraId="047EF332">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6E4D405">
            <w:pPr>
              <w:spacing w:line="360" w:lineRule="auto"/>
              <w:rPr>
                <w:rFonts w:hint="eastAsia" w:ascii="宋体" w:hAnsi="宋体" w:cs="宋体"/>
                <w:color w:val="auto"/>
                <w:sz w:val="24"/>
                <w:highlight w:val="none"/>
              </w:rPr>
            </w:pPr>
            <w:sdt>
              <w:sdtPr>
                <w:rPr>
                  <w:rFonts w:hint="eastAsia" w:ascii="宋体" w:hAnsi="宋体" w:cs="宋体"/>
                  <w:color w:val="auto"/>
                  <w:sz w:val="24"/>
                  <w:highlight w:val="none"/>
                </w:rPr>
                <w:id w:val="147461840"/>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 xml:space="preserve">强制采购。产品：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370F88D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□优先采购节能产品。产品：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w:t>
            </w:r>
          </w:p>
          <w:p w14:paraId="1012712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□优先采购环保产品。产品：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58956343">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sz w:val="24"/>
                <w:highlight w:val="none"/>
              </w:rPr>
              <w:t>☑无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本项目为服务项目，不适用。</w:t>
            </w:r>
          </w:p>
        </w:tc>
      </w:tr>
      <w:tr w14:paraId="67858370">
        <w:tc>
          <w:tcPr>
            <w:tcW w:w="629" w:type="dxa"/>
            <w:tcBorders>
              <w:tl2br w:val="nil"/>
              <w:tr2bl w:val="nil"/>
            </w:tcBorders>
            <w:vAlign w:val="center"/>
          </w:tcPr>
          <w:p w14:paraId="4AACFE1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l2br w:val="nil"/>
              <w:tr2bl w:val="nil"/>
            </w:tcBorders>
            <w:vAlign w:val="center"/>
          </w:tcPr>
          <w:p w14:paraId="4E3D28A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l2br w:val="nil"/>
              <w:tr2bl w:val="nil"/>
            </w:tcBorders>
            <w:vAlign w:val="center"/>
          </w:tcPr>
          <w:p w14:paraId="31158F81">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5DD0FBD1">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FD819FD">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rPr>
              <w:t>1.</w:t>
            </w:r>
            <w:r>
              <w:rPr>
                <w:rFonts w:hint="eastAsia" w:ascii="宋体" w:hAnsi="宋体" w:cs="宋体"/>
                <w:b/>
                <w:color w:val="auto"/>
                <w:kern w:val="0"/>
                <w:sz w:val="24"/>
                <w:highlight w:val="none"/>
                <w:lang w:val="zh-CN"/>
              </w:rPr>
              <w:t>投标文件出现不是唯一的、有选择性投标报价的；</w:t>
            </w:r>
          </w:p>
          <w:p w14:paraId="117BB367">
            <w:pPr>
              <w:snapToGrid w:val="0"/>
              <w:spacing w:line="360" w:lineRule="auto"/>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投标报价超过招标文件中规定的预算金额或者最高限价的;</w:t>
            </w:r>
          </w:p>
          <w:p w14:paraId="499FD8BB">
            <w:pPr>
              <w:spacing w:line="360" w:lineRule="auto"/>
              <w:rPr>
                <w:rFonts w:hint="eastAsia" w:ascii="宋体" w:hAnsi="宋体" w:cs="宋体"/>
                <w:b/>
                <w:color w:val="auto"/>
                <w:sz w:val="24"/>
                <w:highlight w:val="none"/>
              </w:rPr>
            </w:pPr>
            <w:r>
              <w:rPr>
                <w:rFonts w:hint="eastAsia" w:ascii="宋体" w:hAnsi="宋体" w:cs="宋体"/>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3D0F860">
            <w:pPr>
              <w:spacing w:line="360" w:lineRule="auto"/>
              <w:rPr>
                <w:rFonts w:hint="eastAsia" w:ascii="宋体" w:hAnsi="宋体" w:cs="宋体"/>
                <w:color w:val="auto"/>
                <w:sz w:val="24"/>
                <w:highlight w:val="none"/>
              </w:rPr>
            </w:pPr>
            <w:r>
              <w:rPr>
                <w:rFonts w:hint="eastAsia" w:ascii="宋体" w:hAnsi="宋体" w:cs="宋体"/>
                <w:b/>
                <w:color w:val="auto"/>
                <w:kern w:val="0"/>
                <w:sz w:val="24"/>
                <w:highlight w:val="none"/>
              </w:rPr>
              <w:t>4.投标人对根据修正原则修正后的报价不确认的</w:t>
            </w:r>
            <w:r>
              <w:rPr>
                <w:rFonts w:hint="eastAsia" w:ascii="宋体" w:hAnsi="宋体" w:cs="宋体"/>
                <w:b/>
                <w:color w:val="auto"/>
                <w:sz w:val="24"/>
                <w:highlight w:val="none"/>
              </w:rPr>
              <w:t>。</w:t>
            </w:r>
          </w:p>
        </w:tc>
      </w:tr>
      <w:tr w14:paraId="67CD7E9A">
        <w:tc>
          <w:tcPr>
            <w:tcW w:w="629" w:type="dxa"/>
            <w:tcBorders>
              <w:tl2br w:val="nil"/>
              <w:tr2bl w:val="nil"/>
            </w:tcBorders>
            <w:vAlign w:val="center"/>
          </w:tcPr>
          <w:p w14:paraId="73AA07C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l2br w:val="nil"/>
              <w:tr2bl w:val="nil"/>
            </w:tcBorders>
            <w:vAlign w:val="center"/>
          </w:tcPr>
          <w:p w14:paraId="0037F3C7">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l2br w:val="nil"/>
              <w:tr2bl w:val="nil"/>
            </w:tcBorders>
            <w:vAlign w:val="center"/>
          </w:tcPr>
          <w:p w14:paraId="7F4A52C1">
            <w:pPr>
              <w:spacing w:line="360" w:lineRule="auto"/>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EB506B0">
        <w:tc>
          <w:tcPr>
            <w:tcW w:w="629" w:type="dxa"/>
            <w:tcBorders>
              <w:tl2br w:val="nil"/>
              <w:tr2bl w:val="nil"/>
            </w:tcBorders>
            <w:vAlign w:val="center"/>
          </w:tcPr>
          <w:p w14:paraId="40A0F20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l2br w:val="nil"/>
              <w:tr2bl w:val="nil"/>
            </w:tcBorders>
            <w:vAlign w:val="center"/>
          </w:tcPr>
          <w:p w14:paraId="0400995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l2br w:val="nil"/>
              <w:tr2bl w:val="nil"/>
            </w:tcBorders>
            <w:vAlign w:val="center"/>
          </w:tcPr>
          <w:p w14:paraId="4856574D">
            <w:pPr>
              <w:spacing w:line="360" w:lineRule="auto"/>
              <w:rPr>
                <w:rFonts w:hint="eastAsia" w:ascii="宋体" w:hAnsi="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投标人可在投标截止时间前以Email形式发送备份投标文件至采购代理机构邮箱：1241596092@qq.com,邮件主题建议为：项目名称+“备份文件”。</w:t>
            </w:r>
          </w:p>
          <w:p w14:paraId="7F990DB6">
            <w:pPr>
              <w:pStyle w:val="32"/>
              <w:spacing w:line="360" w:lineRule="auto"/>
              <w:rPr>
                <w:rFonts w:hint="eastAsia" w:hAnsi="宋体" w:cs="宋体"/>
                <w:color w:val="auto"/>
                <w:kern w:val="28"/>
                <w:sz w:val="24"/>
                <w:highlight w:val="none"/>
              </w:rPr>
            </w:pPr>
            <w:r>
              <w:rPr>
                <w:rFonts w:hint="eastAsia" w:hAnsi="宋体" w:cs="宋体"/>
                <w:b/>
                <w:color w:val="auto"/>
                <w:sz w:val="24"/>
                <w:szCs w:val="24"/>
                <w:highlight w:val="none"/>
              </w:rPr>
              <w:t>采购人、采购代理机构不强制或变相强制投标人提交备份投标文件。</w:t>
            </w:r>
          </w:p>
        </w:tc>
      </w:tr>
      <w:tr w14:paraId="090DF9B9">
        <w:tc>
          <w:tcPr>
            <w:tcW w:w="629" w:type="dxa"/>
            <w:vMerge w:val="restart"/>
            <w:tcBorders>
              <w:tl2br w:val="nil"/>
              <w:tr2bl w:val="nil"/>
            </w:tcBorders>
            <w:vAlign w:val="center"/>
          </w:tcPr>
          <w:p w14:paraId="65CFF26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l2br w:val="nil"/>
              <w:tr2bl w:val="nil"/>
            </w:tcBorders>
            <w:vAlign w:val="center"/>
          </w:tcPr>
          <w:p w14:paraId="678A77AB">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US" w:eastAsia="zh-CN"/>
              </w:rPr>
              <w:t>联合体投标</w:t>
            </w:r>
            <w:r>
              <w:rPr>
                <w:rFonts w:hint="eastAsia" w:cs="仿宋_GB2312" w:asciiTheme="minorEastAsia" w:hAnsiTheme="minorEastAsia" w:eastAsiaTheme="minorEastAsia"/>
                <w:b/>
                <w:color w:val="auto"/>
                <w:sz w:val="24"/>
                <w:highlight w:val="none"/>
              </w:rPr>
              <w:t>特别说明</w:t>
            </w:r>
          </w:p>
        </w:tc>
        <w:tc>
          <w:tcPr>
            <w:tcW w:w="6095" w:type="dxa"/>
            <w:tcBorders>
              <w:tl2br w:val="nil"/>
              <w:tr2bl w:val="nil"/>
            </w:tcBorders>
            <w:vAlign w:val="center"/>
          </w:tcPr>
          <w:p w14:paraId="0E23569A">
            <w:pPr>
              <w:spacing w:line="360" w:lineRule="auto"/>
              <w:rPr>
                <w:rFonts w:hint="default" w:ascii="宋体" w:hAnsi="宋体" w:eastAsia="宋体" w:cs="宋体"/>
                <w:snapToGrid w:val="0"/>
                <w:color w:val="auto"/>
                <w:kern w:val="28"/>
                <w:sz w:val="24"/>
                <w:highlight w:val="none"/>
                <w:lang w:val="en-US" w:eastAsia="zh-CN"/>
              </w:rPr>
            </w:pPr>
            <w:r>
              <w:rPr>
                <w:rFonts w:hint="eastAsia" w:ascii="宋体" w:hAnsi="宋体" w:cs="宋体"/>
                <w:snapToGrid w:val="0"/>
                <w:color w:val="auto"/>
                <w:kern w:val="28"/>
                <w:sz w:val="24"/>
                <w:highlight w:val="none"/>
              </w:rPr>
              <w:t>以联合体形式投标的，</w:t>
            </w:r>
            <w:r>
              <w:rPr>
                <w:rFonts w:hint="eastAsia" w:ascii="宋体" w:hAnsi="宋体" w:cs="宋体"/>
                <w:snapToGrid w:val="0"/>
                <w:color w:val="auto"/>
                <w:kern w:val="28"/>
                <w:sz w:val="24"/>
                <w:highlight w:val="none"/>
                <w:lang w:val="en-US" w:eastAsia="zh-CN"/>
              </w:rPr>
              <w:t>须</w:t>
            </w:r>
            <w:r>
              <w:rPr>
                <w:rFonts w:hint="eastAsia" w:ascii="宋体" w:hAnsi="宋体" w:cs="宋体"/>
                <w:snapToGrid w:val="0"/>
                <w:color w:val="auto"/>
                <w:kern w:val="28"/>
                <w:sz w:val="24"/>
                <w:highlight w:val="none"/>
              </w:rPr>
              <w:t>提供联合协议</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且协议由联合体各方加盖公章。（除联合体协议及中小企业声明函（若要求）须由联合体各方加盖公章，投标文件其余部分由联合体牵头单位盖章即可）</w:t>
            </w:r>
          </w:p>
        </w:tc>
      </w:tr>
      <w:tr w14:paraId="72AC81A7">
        <w:tc>
          <w:tcPr>
            <w:tcW w:w="629" w:type="dxa"/>
            <w:vMerge w:val="continue"/>
            <w:tcBorders>
              <w:tl2br w:val="nil"/>
              <w:tr2bl w:val="nil"/>
            </w:tcBorders>
            <w:vAlign w:val="center"/>
          </w:tcPr>
          <w:p w14:paraId="4686EEB9">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1B144559">
            <w:pPr>
              <w:snapToGrid w:val="0"/>
              <w:spacing w:line="360" w:lineRule="auto"/>
              <w:jc w:val="center"/>
              <w:rPr>
                <w:rFonts w:hint="eastAsia" w:ascii="宋体" w:hAnsi="宋体" w:cs="宋体"/>
                <w:b/>
                <w:color w:val="auto"/>
                <w:sz w:val="24"/>
                <w:highlight w:val="none"/>
              </w:rPr>
            </w:pPr>
          </w:p>
        </w:tc>
        <w:tc>
          <w:tcPr>
            <w:tcW w:w="6095" w:type="dxa"/>
            <w:tcBorders>
              <w:tl2br w:val="nil"/>
              <w:tr2bl w:val="nil"/>
            </w:tcBorders>
            <w:vAlign w:val="center"/>
          </w:tcPr>
          <w:p w14:paraId="06EFDD37">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828A4F4">
        <w:tc>
          <w:tcPr>
            <w:tcW w:w="629" w:type="dxa"/>
            <w:vMerge w:val="continue"/>
            <w:tcBorders>
              <w:tl2br w:val="nil"/>
              <w:tr2bl w:val="nil"/>
            </w:tcBorders>
            <w:vAlign w:val="center"/>
          </w:tcPr>
          <w:p w14:paraId="24E418BD">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47E3A761">
            <w:pPr>
              <w:snapToGrid w:val="0"/>
              <w:spacing w:line="360" w:lineRule="auto"/>
              <w:jc w:val="center"/>
              <w:rPr>
                <w:rFonts w:hint="eastAsia" w:cs="仿宋_GB2312" w:asciiTheme="minorEastAsia" w:hAnsiTheme="minorEastAsia" w:eastAsiaTheme="minorEastAsia"/>
                <w:b/>
                <w:color w:val="auto"/>
                <w:sz w:val="24"/>
                <w:highlight w:val="none"/>
              </w:rPr>
            </w:pPr>
          </w:p>
        </w:tc>
        <w:tc>
          <w:tcPr>
            <w:tcW w:w="6095" w:type="dxa"/>
            <w:tcBorders>
              <w:tl2br w:val="nil"/>
              <w:tr2bl w:val="nil"/>
            </w:tcBorders>
            <w:vAlign w:val="center"/>
          </w:tcPr>
          <w:p w14:paraId="19693082">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联合体中有同类资质的供应商按照联合体分工承担相同工作的，应当按照资质等级较低的供应商确定资质等级。</w:t>
            </w:r>
          </w:p>
        </w:tc>
      </w:tr>
      <w:tr w14:paraId="3E8B07EE">
        <w:tc>
          <w:tcPr>
            <w:tcW w:w="629" w:type="dxa"/>
            <w:vMerge w:val="continue"/>
            <w:tcBorders>
              <w:tl2br w:val="nil"/>
              <w:tr2bl w:val="nil"/>
            </w:tcBorders>
            <w:vAlign w:val="center"/>
          </w:tcPr>
          <w:p w14:paraId="5CECA268">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6133CBBF">
            <w:pPr>
              <w:snapToGrid w:val="0"/>
              <w:spacing w:line="360" w:lineRule="auto"/>
              <w:jc w:val="center"/>
              <w:rPr>
                <w:rFonts w:hint="eastAsia" w:ascii="宋体" w:hAnsi="宋体" w:cs="宋体"/>
                <w:b/>
                <w:color w:val="auto"/>
                <w:sz w:val="24"/>
                <w:highlight w:val="none"/>
              </w:rPr>
            </w:pPr>
          </w:p>
        </w:tc>
        <w:tc>
          <w:tcPr>
            <w:tcW w:w="6095" w:type="dxa"/>
            <w:tcBorders>
              <w:tl2br w:val="nil"/>
              <w:tr2bl w:val="nil"/>
            </w:tcBorders>
            <w:vAlign w:val="center"/>
          </w:tcPr>
          <w:p w14:paraId="11FF6FC7">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426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C4D8443">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E50AE3E">
        <w:tc>
          <w:tcPr>
            <w:tcW w:w="629" w:type="dxa"/>
            <w:vMerge w:val="continue"/>
            <w:tcBorders>
              <w:tl2br w:val="nil"/>
              <w:tr2bl w:val="nil"/>
            </w:tcBorders>
            <w:vAlign w:val="center"/>
          </w:tcPr>
          <w:p w14:paraId="58D626D8">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7E46CDBF">
            <w:pPr>
              <w:snapToGrid w:val="0"/>
              <w:spacing w:line="360" w:lineRule="auto"/>
              <w:jc w:val="center"/>
              <w:rPr>
                <w:rFonts w:hint="eastAsia" w:ascii="宋体" w:hAnsi="宋体" w:cs="宋体"/>
                <w:b/>
                <w:color w:val="auto"/>
                <w:sz w:val="24"/>
                <w:highlight w:val="none"/>
              </w:rPr>
            </w:pPr>
          </w:p>
        </w:tc>
        <w:tc>
          <w:tcPr>
            <w:tcW w:w="6095" w:type="dxa"/>
            <w:tcBorders>
              <w:tl2br w:val="nil"/>
              <w:tr2bl w:val="nil"/>
            </w:tcBorders>
            <w:vAlign w:val="center"/>
          </w:tcPr>
          <w:p w14:paraId="35D4C086">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▲以联合体形式参加政府采购活动的，联合体各方不得再单独参加或者与其他投标人另外组成联合体参加同一合同项下的政府采购活动；</w:t>
            </w:r>
          </w:p>
        </w:tc>
      </w:tr>
      <w:tr w14:paraId="6ADDF119">
        <w:tc>
          <w:tcPr>
            <w:tcW w:w="629" w:type="dxa"/>
            <w:tcBorders>
              <w:tl2br w:val="nil"/>
              <w:tr2bl w:val="nil"/>
            </w:tcBorders>
            <w:vAlign w:val="center"/>
          </w:tcPr>
          <w:p w14:paraId="7D5F4FB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tcBorders>
              <w:tl2br w:val="nil"/>
              <w:tr2bl w:val="nil"/>
            </w:tcBorders>
            <w:vAlign w:val="center"/>
          </w:tcPr>
          <w:p w14:paraId="443FB52C">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rPr>
              <w:t>中标候选人数量</w:t>
            </w:r>
          </w:p>
        </w:tc>
        <w:tc>
          <w:tcPr>
            <w:tcW w:w="6095" w:type="dxa"/>
            <w:tcBorders>
              <w:tl2br w:val="nil"/>
              <w:tr2bl w:val="nil"/>
            </w:tcBorders>
            <w:vAlign w:val="center"/>
          </w:tcPr>
          <w:p w14:paraId="486D6A2C">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1家</w:t>
            </w:r>
            <w:r>
              <w:rPr>
                <w:rFonts w:hint="eastAsia" w:ascii="宋体" w:hAnsi="宋体" w:cs="宋体"/>
                <w:color w:val="auto"/>
                <w:kern w:val="0"/>
                <w:sz w:val="24"/>
                <w:highlight w:val="none"/>
                <w:lang w:val="en"/>
              </w:rPr>
              <w:t>。</w:t>
            </w:r>
          </w:p>
        </w:tc>
      </w:tr>
      <w:tr w14:paraId="1A2A64B2">
        <w:tc>
          <w:tcPr>
            <w:tcW w:w="629" w:type="dxa"/>
            <w:tcBorders>
              <w:tl2br w:val="nil"/>
              <w:tr2bl w:val="nil"/>
            </w:tcBorders>
            <w:vAlign w:val="center"/>
          </w:tcPr>
          <w:p w14:paraId="232E80A7">
            <w:pPr>
              <w:snapToGrid w:val="0"/>
              <w:spacing w:line="360" w:lineRule="auto"/>
              <w:jc w:val="center"/>
              <w:rPr>
                <w:rFonts w:hint="eastAsia" w:ascii="宋体" w:hAnsi="宋体" w:cs="宋体"/>
                <w:color w:val="auto"/>
                <w:sz w:val="24"/>
                <w:highlight w:val="none"/>
              </w:rPr>
            </w:pPr>
            <w:bookmarkStart w:id="10" w:name="_Toc164416483"/>
            <w:r>
              <w:rPr>
                <w:rFonts w:hint="eastAsia" w:ascii="宋体" w:hAnsi="宋体" w:cs="宋体"/>
                <w:color w:val="auto"/>
                <w:sz w:val="24"/>
                <w:highlight w:val="none"/>
              </w:rPr>
              <w:t>15</w:t>
            </w:r>
          </w:p>
        </w:tc>
        <w:tc>
          <w:tcPr>
            <w:tcW w:w="1843" w:type="dxa"/>
            <w:tcBorders>
              <w:tl2br w:val="nil"/>
              <w:tr2bl w:val="nil"/>
            </w:tcBorders>
            <w:vAlign w:val="center"/>
          </w:tcPr>
          <w:p w14:paraId="13793787">
            <w:pPr>
              <w:spacing w:line="360" w:lineRule="auto"/>
              <w:jc w:val="center"/>
              <w:rPr>
                <w:rFonts w:hint="eastAsia" w:ascii="宋体" w:hAnsi="宋体" w:cs="宋体"/>
                <w:color w:val="auto"/>
                <w:kern w:val="0"/>
                <w:sz w:val="24"/>
                <w:highlight w:val="none"/>
                <w:lang w:val="en"/>
              </w:rPr>
            </w:pPr>
            <w:r>
              <w:rPr>
                <w:rFonts w:hint="eastAsia" w:asciiTheme="minorEastAsia" w:hAnsiTheme="minorEastAsia" w:eastAsiaTheme="minorEastAsia" w:cstheme="minorEastAsia"/>
                <w:b/>
                <w:color w:val="auto"/>
                <w:sz w:val="24"/>
                <w:highlight w:val="none"/>
              </w:rPr>
              <w:t>招标代理服务费</w:t>
            </w:r>
          </w:p>
        </w:tc>
        <w:tc>
          <w:tcPr>
            <w:tcW w:w="6095" w:type="dxa"/>
            <w:tcBorders>
              <w:tl2br w:val="nil"/>
              <w:tr2bl w:val="nil"/>
            </w:tcBorders>
            <w:vAlign w:val="center"/>
          </w:tcPr>
          <w:p w14:paraId="31043864">
            <w:pPr>
              <w:adjustRightInd w:val="0"/>
              <w:snapToGrid w:val="0"/>
              <w:spacing w:line="288" w:lineRule="auto"/>
              <w:rPr>
                <w:rFonts w:ascii="宋体" w:hAnsi="宋体" w:eastAsia="宋体"/>
                <w:color w:val="auto"/>
                <w:szCs w:val="21"/>
                <w:highlight w:val="none"/>
              </w:rPr>
            </w:pPr>
            <w:r>
              <w:rPr>
                <w:rFonts w:hint="eastAsia" w:asciiTheme="minorEastAsia" w:hAnsiTheme="minorEastAsia" w:eastAsiaTheme="minorEastAsia" w:cstheme="minorEastAsia"/>
                <w:b/>
                <w:bCs/>
                <w:snapToGrid w:val="0"/>
                <w:color w:val="auto"/>
                <w:kern w:val="28"/>
                <w:sz w:val="24"/>
                <w:highlight w:val="none"/>
              </w:rPr>
              <w:t>收取标准</w:t>
            </w:r>
            <w:r>
              <w:rPr>
                <w:rFonts w:hint="eastAsia" w:asciiTheme="minorEastAsia" w:hAnsiTheme="minorEastAsia" w:eastAsiaTheme="minorEastAsia" w:cstheme="minorEastAsia"/>
                <w:snapToGrid w:val="0"/>
                <w:color w:val="auto"/>
                <w:kern w:val="28"/>
                <w:sz w:val="24"/>
                <w:highlight w:val="none"/>
              </w:rPr>
              <w:t>：参照国家计委计价格[2002]1980号《招标代理服务收费管理暂行办法》收费标准的</w:t>
            </w:r>
            <w:r>
              <w:rPr>
                <w:rFonts w:hint="eastAsia" w:asciiTheme="minorEastAsia" w:hAnsiTheme="minorEastAsia" w:eastAsiaTheme="minorEastAsia" w:cstheme="minorEastAsia"/>
                <w:snapToGrid w:val="0"/>
                <w:color w:val="auto"/>
                <w:kern w:val="28"/>
                <w:sz w:val="24"/>
                <w:highlight w:val="none"/>
                <w:lang w:val="en-US" w:eastAsia="zh-CN"/>
              </w:rPr>
              <w:t>80</w:t>
            </w:r>
            <w:r>
              <w:rPr>
                <w:rFonts w:hint="eastAsia" w:asciiTheme="minorEastAsia" w:hAnsiTheme="minorEastAsia" w:eastAsiaTheme="minorEastAsia" w:cstheme="minorEastAsia"/>
                <w:snapToGrid w:val="0"/>
                <w:color w:val="auto"/>
                <w:kern w:val="28"/>
                <w:sz w:val="24"/>
                <w:highlight w:val="none"/>
              </w:rPr>
              <w:t>%计取。</w:t>
            </w:r>
          </w:p>
          <w:tbl>
            <w:tblPr>
              <w:tblStyle w:val="6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551"/>
              <w:gridCol w:w="3070"/>
            </w:tblGrid>
            <w:tr w14:paraId="34B199F7">
              <w:trPr>
                <w:trHeight w:val="175" w:hRule="atLeast"/>
                <w:jc w:val="center"/>
              </w:trPr>
              <w:tc>
                <w:tcPr>
                  <w:tcW w:w="2551" w:type="dxa"/>
                  <w:tcMar>
                    <w:top w:w="0" w:type="dxa"/>
                    <w:left w:w="108" w:type="dxa"/>
                    <w:bottom w:w="0" w:type="dxa"/>
                    <w:right w:w="108" w:type="dxa"/>
                  </w:tcMar>
                  <w:vAlign w:val="center"/>
                </w:tcPr>
                <w:p w14:paraId="494DF3D3">
                  <w:pPr>
                    <w:spacing w:line="360" w:lineRule="auto"/>
                    <w:rPr>
                      <w:rFonts w:hint="eastAsia" w:ascii="宋体" w:hAnsi="宋体" w:eastAsia="宋体" w:cs="宋体"/>
                      <w:color w:val="auto"/>
                      <w:kern w:val="0"/>
                      <w:sz w:val="24"/>
                      <w:highlight w:val="none"/>
                      <w:lang w:val="en"/>
                    </w:rPr>
                  </w:pPr>
                  <w:r>
                    <w:rPr>
                      <w:rFonts w:hint="eastAsia" w:ascii="宋体" w:hAnsi="宋体" w:eastAsia="宋体" w:cs="宋体"/>
                      <w:color w:val="auto"/>
                      <w:kern w:val="0"/>
                      <w:sz w:val="24"/>
                      <w:highlight w:val="none"/>
                      <w:lang w:val="en"/>
                    </w:rPr>
                    <w:t>中标金额（万元）</w:t>
                  </w:r>
                </w:p>
              </w:tc>
              <w:tc>
                <w:tcPr>
                  <w:tcW w:w="3070" w:type="dxa"/>
                  <w:tcMar>
                    <w:top w:w="0" w:type="dxa"/>
                    <w:left w:w="108" w:type="dxa"/>
                    <w:bottom w:w="0" w:type="dxa"/>
                    <w:right w:w="108" w:type="dxa"/>
                  </w:tcMar>
                  <w:vAlign w:val="center"/>
                </w:tcPr>
                <w:p w14:paraId="4301370C">
                  <w:pPr>
                    <w:spacing w:line="360" w:lineRule="auto"/>
                    <w:rPr>
                      <w:rFonts w:hint="eastAsia" w:ascii="宋体" w:hAnsi="宋体" w:eastAsia="宋体" w:cs="宋体"/>
                      <w:color w:val="auto"/>
                      <w:kern w:val="0"/>
                      <w:sz w:val="24"/>
                      <w:highlight w:val="none"/>
                      <w:lang w:val="en"/>
                    </w:rPr>
                  </w:pPr>
                  <w:r>
                    <w:rPr>
                      <w:rFonts w:hint="eastAsia" w:ascii="宋体" w:hAnsi="宋体" w:eastAsia="宋体" w:cs="宋体"/>
                      <w:color w:val="auto"/>
                      <w:kern w:val="0"/>
                      <w:sz w:val="24"/>
                      <w:highlight w:val="none"/>
                      <w:lang w:val="en"/>
                    </w:rPr>
                    <w:t>收费标准（费率，%）</w:t>
                  </w:r>
                </w:p>
              </w:tc>
            </w:tr>
            <w:tr w14:paraId="3CFE04BC">
              <w:trPr>
                <w:trHeight w:val="267" w:hRule="atLeast"/>
                <w:jc w:val="center"/>
              </w:trPr>
              <w:tc>
                <w:tcPr>
                  <w:tcW w:w="2551" w:type="dxa"/>
                  <w:tcMar>
                    <w:top w:w="0" w:type="dxa"/>
                    <w:left w:w="108" w:type="dxa"/>
                    <w:bottom w:w="0" w:type="dxa"/>
                    <w:right w:w="108" w:type="dxa"/>
                  </w:tcMar>
                  <w:vAlign w:val="center"/>
                </w:tcPr>
                <w:p w14:paraId="5D646F4A">
                  <w:pPr>
                    <w:spacing w:line="360" w:lineRule="auto"/>
                    <w:rPr>
                      <w:rFonts w:hint="eastAsia" w:ascii="宋体" w:hAnsi="宋体" w:eastAsia="宋体" w:cs="宋体"/>
                      <w:color w:val="auto"/>
                      <w:kern w:val="0"/>
                      <w:sz w:val="24"/>
                      <w:highlight w:val="none"/>
                      <w:lang w:val="en"/>
                    </w:rPr>
                  </w:pPr>
                  <w:r>
                    <w:rPr>
                      <w:rFonts w:hint="eastAsia" w:ascii="宋体" w:hAnsi="宋体" w:eastAsia="宋体" w:cs="宋体"/>
                      <w:color w:val="auto"/>
                      <w:kern w:val="0"/>
                      <w:sz w:val="24"/>
                      <w:highlight w:val="none"/>
                      <w:lang w:val="en"/>
                    </w:rPr>
                    <w:t>100以下</w:t>
                  </w:r>
                </w:p>
              </w:tc>
              <w:tc>
                <w:tcPr>
                  <w:tcW w:w="3070" w:type="dxa"/>
                  <w:tcMar>
                    <w:top w:w="0" w:type="dxa"/>
                    <w:left w:w="108" w:type="dxa"/>
                    <w:bottom w:w="0" w:type="dxa"/>
                    <w:right w:w="108" w:type="dxa"/>
                  </w:tcMar>
                  <w:vAlign w:val="center"/>
                </w:tcPr>
                <w:p w14:paraId="3C5863D3">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rPr>
                    <w:t>1.</w:t>
                  </w:r>
                  <w:r>
                    <w:rPr>
                      <w:rFonts w:hint="eastAsia" w:ascii="宋体" w:hAnsi="宋体" w:cs="宋体"/>
                      <w:color w:val="auto"/>
                      <w:kern w:val="0"/>
                      <w:sz w:val="24"/>
                      <w:highlight w:val="none"/>
                      <w:lang w:val="en-US" w:eastAsia="zh-CN"/>
                    </w:rPr>
                    <w:t>2</w:t>
                  </w:r>
                </w:p>
              </w:tc>
            </w:tr>
          </w:tbl>
          <w:p w14:paraId="31781820">
            <w:pPr>
              <w:spacing w:line="360" w:lineRule="auto"/>
              <w:rPr>
                <w:rFonts w:hint="default" w:asciiTheme="minorEastAsia" w:hAnsiTheme="minorEastAsia" w:eastAsiaTheme="minorEastAsia" w:cstheme="minorEastAsia"/>
                <w:snapToGrid w:val="0"/>
                <w:color w:val="auto"/>
                <w:kern w:val="28"/>
                <w:sz w:val="24"/>
                <w:highlight w:val="none"/>
                <w:lang w:val="en-US" w:eastAsia="zh-CN"/>
              </w:rPr>
            </w:pPr>
            <w:r>
              <w:rPr>
                <w:rFonts w:hint="eastAsia" w:asciiTheme="minorEastAsia" w:hAnsiTheme="minorEastAsia" w:eastAsiaTheme="minorEastAsia" w:cstheme="minorEastAsia"/>
                <w:snapToGrid w:val="0"/>
                <w:color w:val="auto"/>
                <w:kern w:val="28"/>
                <w:sz w:val="24"/>
                <w:highlight w:val="none"/>
                <w:lang w:val="en-US" w:eastAsia="zh-CN"/>
              </w:rPr>
              <w:t>招标代理服务费=中标金额*</w:t>
            </w:r>
            <w:r>
              <w:rPr>
                <w:rFonts w:hint="eastAsia" w:ascii="宋体" w:hAnsi="宋体" w:eastAsia="宋体" w:cs="宋体"/>
                <w:color w:val="auto"/>
                <w:kern w:val="0"/>
                <w:sz w:val="24"/>
                <w:highlight w:val="none"/>
                <w:lang w:val="en"/>
              </w:rPr>
              <w:t>1.</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
              </w:rPr>
              <w:t>%</w:t>
            </w:r>
          </w:p>
          <w:p w14:paraId="2399C879">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bCs/>
                <w:snapToGrid w:val="0"/>
                <w:color w:val="auto"/>
                <w:kern w:val="28"/>
                <w:sz w:val="24"/>
                <w:highlight w:val="none"/>
              </w:rPr>
              <w:t>收取方式</w:t>
            </w:r>
            <w:r>
              <w:rPr>
                <w:rFonts w:hint="eastAsia" w:asciiTheme="minorEastAsia" w:hAnsiTheme="minorEastAsia" w:eastAsiaTheme="minorEastAsia" w:cstheme="minorEastAsia"/>
                <w:snapToGrid w:val="0"/>
                <w:color w:val="auto"/>
                <w:kern w:val="28"/>
                <w:sz w:val="24"/>
                <w:highlight w:val="none"/>
              </w:rPr>
              <w:t>：本项目的代理费由中标人支付。由中标人在领取中标通知书时一次性向代理机构付清。账户信息如下：</w:t>
            </w:r>
          </w:p>
          <w:p w14:paraId="60488994">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收款单位：浙江华耀建设咨询有限公司</w:t>
            </w:r>
          </w:p>
          <w:p w14:paraId="4D24CD8F">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账号：1202026109900014283</w:t>
            </w:r>
          </w:p>
          <w:p w14:paraId="5330E1DC">
            <w:pPr>
              <w:spacing w:line="360" w:lineRule="auto"/>
              <w:rPr>
                <w:rFonts w:hint="eastAsia" w:ascii="宋体" w:hAnsi="宋体" w:cs="宋体"/>
                <w:color w:val="auto"/>
                <w:kern w:val="0"/>
                <w:sz w:val="24"/>
                <w:highlight w:val="none"/>
                <w:lang w:val="en"/>
              </w:rPr>
            </w:pPr>
            <w:r>
              <w:rPr>
                <w:rFonts w:hint="eastAsia" w:asciiTheme="minorEastAsia" w:hAnsiTheme="minorEastAsia" w:eastAsiaTheme="minorEastAsia" w:cstheme="minorEastAsia"/>
                <w:snapToGrid w:val="0"/>
                <w:color w:val="auto"/>
                <w:kern w:val="28"/>
                <w:sz w:val="24"/>
                <w:highlight w:val="none"/>
              </w:rPr>
              <w:t>开户行：中国工商银行杭州莫干山路支行</w:t>
            </w:r>
          </w:p>
        </w:tc>
      </w:tr>
      <w:tr w14:paraId="5CE188A7">
        <w:tc>
          <w:tcPr>
            <w:tcW w:w="629" w:type="dxa"/>
            <w:tcBorders>
              <w:tl2br w:val="nil"/>
              <w:tr2bl w:val="nil"/>
            </w:tcBorders>
            <w:vAlign w:val="center"/>
          </w:tcPr>
          <w:p w14:paraId="27138CA6">
            <w:pPr>
              <w:spacing w:line="360" w:lineRule="auto"/>
              <w:jc w:val="center"/>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16</w:t>
            </w:r>
          </w:p>
        </w:tc>
        <w:tc>
          <w:tcPr>
            <w:tcW w:w="1843" w:type="dxa"/>
            <w:tcBorders>
              <w:tl2br w:val="nil"/>
              <w:tr2bl w:val="nil"/>
            </w:tcBorders>
            <w:vAlign w:val="center"/>
          </w:tcPr>
          <w:p w14:paraId="0FB1FDD1">
            <w:pPr>
              <w:spacing w:line="360" w:lineRule="auto"/>
              <w:jc w:val="center"/>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color w:val="auto"/>
                <w:sz w:val="24"/>
                <w:highlight w:val="none"/>
              </w:rPr>
              <w:t>解释权</w:t>
            </w:r>
          </w:p>
        </w:tc>
        <w:tc>
          <w:tcPr>
            <w:tcW w:w="6095" w:type="dxa"/>
            <w:tcBorders>
              <w:tl2br w:val="nil"/>
              <w:tr2bl w:val="nil"/>
            </w:tcBorders>
            <w:vAlign w:val="center"/>
          </w:tcPr>
          <w:p w14:paraId="63841C22">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本招标文件的解释权属于</w:t>
            </w:r>
            <w:r>
              <w:rPr>
                <w:rFonts w:hint="eastAsia" w:asciiTheme="minorEastAsia" w:hAnsiTheme="minorEastAsia" w:eastAsiaTheme="minorEastAsia" w:cstheme="minorEastAsia"/>
                <w:snapToGrid w:val="0"/>
                <w:color w:val="auto"/>
                <w:kern w:val="28"/>
                <w:sz w:val="24"/>
                <w:highlight w:val="none"/>
                <w:lang w:val="en-US" w:eastAsia="zh-CN"/>
              </w:rPr>
              <w:t>浙江华耀建设咨询有限公司</w:t>
            </w:r>
            <w:r>
              <w:rPr>
                <w:rFonts w:hint="eastAsia" w:asciiTheme="minorEastAsia" w:hAnsiTheme="minorEastAsia" w:eastAsiaTheme="minorEastAsia" w:cstheme="minorEastAsia"/>
                <w:snapToGrid w:val="0"/>
                <w:color w:val="auto"/>
                <w:kern w:val="28"/>
                <w:sz w:val="24"/>
                <w:highlight w:val="none"/>
              </w:rPr>
              <w:t>。</w:t>
            </w:r>
          </w:p>
        </w:tc>
      </w:tr>
      <w:bookmarkEnd w:id="8"/>
    </w:tbl>
    <w:p w14:paraId="29B03144">
      <w:pPr>
        <w:adjustRightInd/>
        <w:spacing w:line="360" w:lineRule="auto"/>
        <w:ind w:firstLine="3845" w:firstLineChars="1197"/>
        <w:outlineLvl w:val="0"/>
        <w:rPr>
          <w:rFonts w:hint="eastAsia" w:ascii="宋体" w:hAnsi="宋体" w:cs="宋体"/>
          <w:b/>
          <w:color w:val="auto"/>
          <w:sz w:val="32"/>
          <w:szCs w:val="20"/>
          <w:highlight w:val="none"/>
        </w:rPr>
      </w:pPr>
    </w:p>
    <w:p w14:paraId="64F92CFD">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35E357C5">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0AF4BC5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6EBF99B">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2D4E109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D6623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A525BE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2CE4A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8A9826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0BD7D4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209AAD6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7DE47F7">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89444B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A208AF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5E9B3E9B">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w:t>
      </w:r>
      <w:r>
        <w:rPr>
          <w:rFonts w:hint="eastAsia" w:ascii="宋体" w:hAnsi="宋体" w:cs="宋体"/>
          <w:b/>
          <w:color w:val="auto"/>
          <w:sz w:val="24"/>
          <w:highlight w:val="none"/>
          <w:lang w:eastAsia="zh-CN"/>
        </w:rPr>
        <w:t>（详见《关于印发节能产品政府采购品目清单的通知》财库〔2019〕19号），</w:t>
      </w:r>
      <w:r>
        <w:rPr>
          <w:rFonts w:hint="eastAsia" w:ascii="宋体" w:hAnsi="宋体" w:cs="宋体"/>
          <w:b/>
          <w:color w:val="auto"/>
          <w:sz w:val="24"/>
          <w:highlight w:val="none"/>
          <w:lang w:val="en-US" w:eastAsia="zh-CN"/>
        </w:rPr>
        <w:t>若有新规定，按新规定执行</w:t>
      </w:r>
      <w:r>
        <w:rPr>
          <w:rFonts w:hint="eastAsia" w:ascii="宋体" w:hAnsi="宋体" w:cs="宋体"/>
          <w:b/>
          <w:color w:val="auto"/>
          <w:sz w:val="24"/>
          <w:highlight w:val="none"/>
          <w:lang w:eastAsia="zh-CN"/>
        </w:rPr>
        <w:t>）</w:t>
      </w:r>
      <w:r>
        <w:rPr>
          <w:rFonts w:hint="eastAsia" w:ascii="宋体" w:hAnsi="宋体" w:cs="宋体"/>
          <w:b/>
          <w:color w:val="auto"/>
          <w:sz w:val="24"/>
          <w:highlight w:val="none"/>
        </w:rPr>
        <w:t>的，投标人相应的投标产品未获得国家确定的认证机构出具的、处于有效期之内的节能产品认证证书的，投标无效。</w:t>
      </w:r>
    </w:p>
    <w:p w14:paraId="0A959C5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54CDA0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FA77A5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522C466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27F98D5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w:t>
      </w:r>
      <w:r>
        <w:rPr>
          <w:rFonts w:hint="eastAsia" w:ascii="宋体" w:hAnsi="宋体" w:cs="宋体"/>
          <w:b/>
          <w:bCs/>
          <w:color w:val="auto"/>
          <w:sz w:val="24"/>
          <w:highlight w:val="none"/>
        </w:rPr>
        <w:t>但与大企业的负责人为同一人，或者与大企业存在直接控股、管理关系的除</w:t>
      </w:r>
      <w:r>
        <w:rPr>
          <w:rFonts w:hint="eastAsia" w:ascii="宋体" w:hAnsi="宋体" w:cs="宋体"/>
          <w:b w:val="0"/>
          <w:bCs w:val="0"/>
          <w:color w:val="auto"/>
          <w:sz w:val="24"/>
          <w:highlight w:val="none"/>
        </w:rPr>
        <w:t>外。</w:t>
      </w:r>
    </w:p>
    <w:p w14:paraId="76ABF9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33ABA47">
      <w:pPr>
        <w:widowControl/>
        <w:spacing w:line="360" w:lineRule="auto"/>
        <w:ind w:firstLine="480" w:firstLineChars="200"/>
        <w:jc w:val="left"/>
        <w:rPr>
          <w:rFonts w:hint="eastAsia" w:ascii="宋体" w:hAnsi="宋体" w:cs="宋体"/>
          <w:bCs/>
          <w:color w:val="auto"/>
          <w:sz w:val="24"/>
          <w:highlight w:val="none"/>
        </w:rPr>
      </w:pPr>
      <w:r>
        <w:rPr>
          <w:rFonts w:ascii="宋体" w:hAnsi="宋体" w:cs="宋体"/>
          <w:bCs/>
          <w:color w:val="auto"/>
          <w:sz w:val="24"/>
          <w:highlight w:val="none"/>
        </w:rPr>
        <w:t>3.3.2</w:t>
      </w:r>
      <w:r>
        <w:rPr>
          <w:rFonts w:hint="eastAsia" w:ascii="宋体" w:hAnsi="宋体" w:cs="宋体"/>
          <w:bCs/>
          <w:color w:val="auto"/>
          <w:sz w:val="24"/>
          <w:highlight w:val="none"/>
        </w:rPr>
        <w:t>在政府采购活动中，投标人提供的货物、工程或者服务符合下列情形的，享受中小企业扶持政策</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 xml:space="preserve">（1）在货物采购项目中，货物由中小企业制造，即货物由中小企业生产且使用该中小企业商号或者注册商标； （2）在服务采购项目中，服务由中小企业承接，即提供服务的人员为中小企业依照《中华人民共和国劳动合同法》订立劳动合同的从业人员。 </w:t>
      </w:r>
    </w:p>
    <w:p w14:paraId="7284A0CE">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bCs/>
          <w:color w:val="auto"/>
          <w:sz w:val="24"/>
          <w:highlight w:val="none"/>
        </w:rPr>
        <w:t xml:space="preserve">在货物采购项目中，供应商提供的货物既有中小企业制造货物，也有大型企业制造货物的，不享受本办法规定的中小企业扶持政策。 </w:t>
      </w:r>
    </w:p>
    <w:p w14:paraId="7A9D7828">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612B0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C5C0BE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D320B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BB061F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583670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11DBD8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支持创新发展（如适用）</w:t>
      </w:r>
    </w:p>
    <w:p w14:paraId="5D53E2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E278FB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52AD22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3.4.3 采购人应当贯彻落实知识产权保护相关法律法规，应当采购使用正版软件。</w:t>
      </w:r>
    </w:p>
    <w:p w14:paraId="4C572A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14547572">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仿宋"/>
          <w:b/>
          <w:bCs/>
          <w:color w:val="auto"/>
          <w:sz w:val="24"/>
          <w:highlight w:val="none"/>
        </w:rPr>
        <w:t>4. 询问、质疑、投诉</w:t>
      </w:r>
    </w:p>
    <w:p w14:paraId="15D0CC50">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4.1在线询问、质疑、投诉</w:t>
      </w:r>
    </w:p>
    <w:p w14:paraId="6093B7F7">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921873">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B6E8AD8">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3A1FB0E">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9471FFF">
      <w:pPr>
        <w:pStyle w:val="32"/>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74D4FD2">
      <w:pPr>
        <w:pStyle w:val="32"/>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1C0C34C">
      <w:pPr>
        <w:pStyle w:val="15"/>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F873BBC">
      <w:pPr>
        <w:pStyle w:val="32"/>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9F2099D">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C7ACB99">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45E356A">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AB2640F">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A93D5D4">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8F5F310">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9AEA5B5">
      <w:pPr>
        <w:pStyle w:val="32"/>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D15B55B">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47F0F6BF">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质疑函范本及制作说明详见附件2。</w:t>
      </w:r>
    </w:p>
    <w:p w14:paraId="10281CCE">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4.3.4对同一采购程序环节的质疑，供应商须在法定质疑期内一次性提出。</w:t>
      </w:r>
    </w:p>
    <w:p w14:paraId="423B2693">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zh-CN"/>
        </w:rPr>
        <w:t>4.3</w:t>
      </w:r>
      <w:r>
        <w:rPr>
          <w:rFonts w:hint="eastAsia" w:hAnsi="宋体" w:cs="宋体"/>
          <w:color w:val="auto"/>
          <w:sz w:val="24"/>
          <w:szCs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3082849B">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zh-CN"/>
        </w:rPr>
        <w:t>4.3</w:t>
      </w:r>
      <w:r>
        <w:rPr>
          <w:rFonts w:hint="eastAsia" w:hAnsi="宋体" w:cs="宋体"/>
          <w:color w:val="auto"/>
          <w:sz w:val="24"/>
          <w:szCs w:val="24"/>
          <w:highlight w:val="none"/>
        </w:rPr>
        <w:t>.6询问或者质疑事项可能影响采购结果的，采购人应当暂停签订合同，已经签订合同的，应当中止履行合同。</w:t>
      </w:r>
    </w:p>
    <w:p w14:paraId="326B1381">
      <w:pPr>
        <w:pStyle w:val="32"/>
        <w:spacing w:line="360" w:lineRule="auto"/>
        <w:ind w:firstLine="480" w:firstLineChars="200"/>
        <w:rPr>
          <w:rFonts w:hint="eastAsia" w:hAnsi="宋体" w:cs="宋体"/>
          <w:color w:val="auto"/>
          <w:sz w:val="24"/>
          <w:szCs w:val="24"/>
          <w:highlight w:val="none"/>
          <w:lang w:val="zh-CN"/>
        </w:rPr>
      </w:pPr>
      <w:r>
        <w:rPr>
          <w:rFonts w:hint="eastAsia" w:hAnsi="宋体" w:cs="宋体"/>
          <w:color w:val="auto"/>
          <w:sz w:val="24"/>
          <w:szCs w:val="24"/>
          <w:highlight w:val="none"/>
          <w:lang w:val="zh-CN"/>
        </w:rPr>
        <w:t>4.4供应商投诉</w:t>
      </w:r>
    </w:p>
    <w:p w14:paraId="44A34BC3">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171A21F">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w:t>
      </w:r>
      <w:r>
        <w:rPr>
          <w:rFonts w:hint="eastAsia" w:hAnsi="宋体" w:cs="宋体"/>
          <w:color w:val="auto"/>
          <w:sz w:val="24"/>
          <w:szCs w:val="24"/>
          <w:highlight w:val="none"/>
          <w:lang w:val="zh-CN"/>
        </w:rPr>
        <w:t>2</w:t>
      </w:r>
      <w:r>
        <w:rPr>
          <w:rFonts w:hint="eastAsia" w:hAnsi="宋体" w:cs="宋体"/>
          <w:color w:val="auto"/>
          <w:sz w:val="24"/>
          <w:szCs w:val="24"/>
          <w:highlight w:val="none"/>
        </w:rPr>
        <w:t>供应商投诉的事项不得超出已质疑事项的范围，基于质疑答复内容提出的投诉事项除外。</w:t>
      </w:r>
    </w:p>
    <w:p w14:paraId="62122AC9">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4.4.3供应商投诉应当有明确的请求和必要的证明材料。</w:t>
      </w:r>
    </w:p>
    <w:p w14:paraId="07D595AA">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4.4.4 以联合体形式参加政府采购活动的，其投诉应当由组成联合体的所有供应商共同提出。</w:t>
      </w:r>
    </w:p>
    <w:p w14:paraId="5465A03A">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投诉书范本及制作说明详见附件3。</w:t>
      </w:r>
    </w:p>
    <w:p w14:paraId="37F09A71">
      <w:pPr>
        <w:pStyle w:val="133"/>
        <w:snapToGrid w:val="0"/>
        <w:spacing w:before="0"/>
        <w:ind w:firstLine="360"/>
        <w:rPr>
          <w:rFonts w:hint="eastAsia" w:ascii="宋体" w:hAnsi="宋体" w:cs="宋体"/>
          <w:color w:val="auto"/>
          <w:sz w:val="18"/>
          <w:szCs w:val="18"/>
          <w:highlight w:val="none"/>
        </w:rPr>
      </w:pPr>
    </w:p>
    <w:p w14:paraId="3C075162">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AE53E3C">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26C8F9A9">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504D3D09">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7F61DC2D">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5A5C03FA">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0A881936">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6031122D">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6160EB53">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3926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22276F2">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7AF73704">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0985C501">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8AEE717">
      <w:pPr>
        <w:pStyle w:val="23"/>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49DCEE07">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6992A710">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66937DD6">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2D9D771">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2B071AC2">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A43275E">
      <w:pPr>
        <w:pStyle w:val="32"/>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77669453">
      <w:pPr>
        <w:pStyle w:val="15"/>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6DF48C12">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12BA80F7">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D2282D4">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7C4459A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5BCA21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27410E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2" w:name="_Hlk101259339"/>
      <w:r>
        <w:rPr>
          <w:rFonts w:hint="eastAsia" w:ascii="宋体" w:hAnsi="宋体" w:cs="宋体"/>
          <w:snapToGrid w:val="0"/>
          <w:color w:val="auto"/>
          <w:kern w:val="28"/>
          <w:sz w:val="24"/>
          <w:szCs w:val="20"/>
          <w:highlight w:val="none"/>
        </w:rPr>
        <w:t>联合协议</w:t>
      </w:r>
      <w:bookmarkEnd w:id="12"/>
      <w:r>
        <w:rPr>
          <w:rFonts w:hint="eastAsia" w:ascii="宋体" w:hAnsi="宋体" w:cs="宋体"/>
          <w:snapToGrid w:val="0"/>
          <w:color w:val="auto"/>
          <w:kern w:val="28"/>
          <w:sz w:val="24"/>
          <w:szCs w:val="20"/>
          <w:highlight w:val="none"/>
        </w:rPr>
        <w:t>（如果有)；</w:t>
      </w:r>
    </w:p>
    <w:p w14:paraId="63882BD7">
      <w:pPr>
        <w:keepNext w:val="0"/>
        <w:keepLines w:val="0"/>
        <w:pageBreakBefore w:val="0"/>
        <w:widowControl w:val="0"/>
        <w:tabs>
          <w:tab w:val="left" w:leader="middleDot" w:pos="9240"/>
        </w:tabs>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本项目专门面向中小企业，须提供</w:t>
      </w:r>
      <w:r>
        <w:rPr>
          <w:rFonts w:hint="eastAsia" w:ascii="宋体" w:hAnsi="宋体" w:cs="宋体"/>
          <w:color w:val="auto"/>
          <w:sz w:val="24"/>
          <w:highlight w:val="none"/>
        </w:rPr>
        <w:t>中小企业声明函或属于</w:t>
      </w:r>
      <w:r>
        <w:rPr>
          <w:rFonts w:hint="eastAsia" w:ascii="宋体" w:hAnsi="宋体" w:cs="宋体"/>
          <w:color w:val="auto"/>
          <w:sz w:val="24"/>
          <w:highlight w:val="none"/>
          <w:lang w:eastAsia="zh-CN"/>
        </w:rPr>
        <w:t>监狱企业证明文件</w:t>
      </w:r>
      <w:r>
        <w:rPr>
          <w:rFonts w:hint="eastAsia" w:ascii="宋体" w:hAnsi="宋体" w:cs="宋体"/>
          <w:color w:val="auto"/>
          <w:sz w:val="24"/>
          <w:highlight w:val="none"/>
        </w:rPr>
        <w:t>或残疾人福利性单位声明函；</w:t>
      </w:r>
    </w:p>
    <w:p w14:paraId="44E5F38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29D0EF8">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8D7A57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1A6AAA3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224B581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11.2.3分包意向协议（如果有)；</w:t>
      </w:r>
    </w:p>
    <w:p w14:paraId="358387A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5489026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057C7AF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2C127B3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4664ACF0">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4EA08636">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476462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D7055B0">
      <w:pPr>
        <w:pStyle w:val="82"/>
        <w:adjustRightInd w:val="0"/>
        <w:spacing w:line="360" w:lineRule="auto"/>
        <w:ind w:firstLine="960" w:firstLineChars="4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11.3.2 报价情况说明</w:t>
      </w:r>
      <w:r>
        <w:rPr>
          <w:rFonts w:hint="eastAsia" w:ascii="宋体" w:hAnsi="宋体" w:eastAsia="宋体" w:cs="宋体"/>
          <w:color w:val="auto"/>
          <w:sz w:val="24"/>
          <w:szCs w:val="24"/>
          <w:highlight w:val="none"/>
          <w:lang w:val="en-US" w:eastAsia="zh-CN"/>
        </w:rPr>
        <w:t>（如果有）</w:t>
      </w:r>
      <w:r>
        <w:rPr>
          <w:rFonts w:hint="eastAsia" w:ascii="宋体" w:hAnsi="宋体" w:eastAsia="宋体" w:cs="宋体"/>
          <w:color w:val="auto"/>
          <w:sz w:val="24"/>
          <w:szCs w:val="24"/>
          <w:highlight w:val="none"/>
          <w:lang w:val="en-US"/>
        </w:rPr>
        <w:t>；</w:t>
      </w:r>
    </w:p>
    <w:p w14:paraId="6C9573A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6206BCB">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21168A32">
      <w:pPr>
        <w:spacing w:line="360" w:lineRule="auto"/>
        <w:ind w:firstLine="720" w:firstLineChars="300"/>
        <w:rPr>
          <w:color w:val="auto"/>
          <w:sz w:val="24"/>
          <w:highlight w:val="none"/>
          <w:shd w:val="clear" w:color="auto" w:fill="FFFFFF"/>
        </w:rPr>
      </w:pPr>
      <w:r>
        <w:rPr>
          <w:rFonts w:hint="eastAsia"/>
          <w:color w:val="auto"/>
          <w:sz w:val="24"/>
          <w:highlight w:val="none"/>
          <w:shd w:val="clear" w:color="auto" w:fill="FFFFFF"/>
        </w:rPr>
        <w:t>投标人应对投标文件中材料的真实性、合法性负责。</w:t>
      </w:r>
    </w:p>
    <w:p w14:paraId="5D3AEF18">
      <w:pPr>
        <w:pStyle w:val="133"/>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F23868A">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9573709">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3BBBE36">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2ED050D">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7AA8F86F">
      <w:pPr>
        <w:pStyle w:val="133"/>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96D7120">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10BA73D">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F5CA977">
      <w:pPr>
        <w:pStyle w:val="133"/>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879E96C">
      <w:pPr>
        <w:pStyle w:val="133"/>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B1B734">
      <w:pPr>
        <w:pStyle w:val="133"/>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89A9F9E">
      <w:pPr>
        <w:pStyle w:val="133"/>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A55F9C4">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6465018E">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15.1投标人在电子交易平台传输递交投标文件后，还可以在投标截止时间前以</w:t>
      </w:r>
      <w:r>
        <w:rPr>
          <w:rFonts w:hint="eastAsia" w:hAnsi="宋体" w:cs="宋体"/>
          <w:color w:val="auto"/>
          <w:sz w:val="24"/>
          <w:szCs w:val="24"/>
          <w:highlight w:val="none"/>
          <w:lang w:val="en-US" w:eastAsia="zh-CN"/>
        </w:rPr>
        <w:t>Email</w:t>
      </w:r>
      <w:r>
        <w:rPr>
          <w:rFonts w:hint="eastAsia" w:hAnsi="宋体" w:cs="宋体"/>
          <w:color w:val="auto"/>
          <w:sz w:val="24"/>
          <w:szCs w:val="24"/>
          <w:highlight w:val="none"/>
        </w:rPr>
        <w:t>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6C7D6C58">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15.2备份投标文件须在“政采云投标客户端”制作生成，投标人应于投标截止时间前</w:t>
      </w:r>
      <w:r>
        <w:rPr>
          <w:rFonts w:hint="eastAsia" w:hAnsi="宋体" w:cs="宋体"/>
          <w:color w:val="auto"/>
          <w:sz w:val="24"/>
          <w:szCs w:val="24"/>
          <w:highlight w:val="none"/>
          <w:lang w:val="en-US" w:eastAsia="zh-CN"/>
        </w:rPr>
        <w:t>发送至</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lang w:val="en-US" w:eastAsia="zh-CN"/>
        </w:rPr>
        <w:t>邮箱</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1977BE19">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电子备份投标文件</w:t>
      </w:r>
      <w:r>
        <w:rPr>
          <w:rFonts w:hint="eastAsia" w:hAnsi="宋体" w:cs="宋体"/>
          <w:color w:val="auto"/>
          <w:sz w:val="24"/>
          <w:szCs w:val="24"/>
          <w:highlight w:val="none"/>
          <w:lang w:val="en-US" w:eastAsia="zh-CN"/>
        </w:rPr>
        <w:t>在发送邮箱中</w:t>
      </w:r>
      <w:r>
        <w:rPr>
          <w:rFonts w:hint="eastAsia" w:hAnsi="宋体" w:cs="宋体"/>
          <w:color w:val="auto"/>
          <w:sz w:val="24"/>
          <w:szCs w:val="24"/>
          <w:highlight w:val="none"/>
        </w:rPr>
        <w:t>发生泄露、遗失、损坏或延期送达等情况的，由投标人自行负责。</w:t>
      </w:r>
    </w:p>
    <w:p w14:paraId="1D0B1288">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w:t>
      </w: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投标人仅提交备份投标文件，未在电子交易平台传输递交投标文件的，投标无效。</w:t>
      </w:r>
    </w:p>
    <w:p w14:paraId="42831D49">
      <w:pPr>
        <w:pStyle w:val="133"/>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6F990B6D">
      <w:pPr>
        <w:pStyle w:val="24"/>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27D8846A">
      <w:pPr>
        <w:pStyle w:val="133"/>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37C6C26E">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E42E513">
      <w:pPr>
        <w:pStyle w:val="133"/>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E9465E9">
      <w:pPr>
        <w:pStyle w:val="133"/>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D407387">
      <w:pPr>
        <w:pStyle w:val="133"/>
        <w:spacing w:before="0"/>
        <w:ind w:firstLine="643"/>
        <w:rPr>
          <w:rFonts w:hint="eastAsia" w:ascii="宋体" w:hAnsi="宋体" w:cs="宋体"/>
          <w:b/>
          <w:color w:val="auto"/>
          <w:sz w:val="32"/>
          <w:highlight w:val="none"/>
        </w:rPr>
      </w:pPr>
    </w:p>
    <w:p w14:paraId="1243DAA7">
      <w:pPr>
        <w:pStyle w:val="133"/>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03CB3DC">
      <w:pPr>
        <w:pStyle w:val="558"/>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840CC0B">
      <w:pPr>
        <w:pStyle w:val="558"/>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1DC03732">
      <w:pPr>
        <w:pStyle w:val="558"/>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6919AC3">
      <w:pPr>
        <w:pStyle w:val="558"/>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D3230DB">
      <w:pPr>
        <w:rPr>
          <w:rFonts w:hint="eastAsia" w:ascii="宋体" w:hAnsi="宋体" w:cs="宋体"/>
          <w:b/>
          <w:color w:val="auto"/>
          <w:sz w:val="24"/>
          <w:highlight w:val="none"/>
        </w:rPr>
      </w:pPr>
      <w:r>
        <w:rPr>
          <w:rFonts w:hint="eastAsia" w:ascii="宋体" w:hAnsi="宋体" w:cs="宋体"/>
          <w:b/>
          <w:color w:val="auto"/>
          <w:sz w:val="24"/>
          <w:szCs w:val="20"/>
          <w:highlight w:val="none"/>
        </w:rPr>
        <w:t>　</w:t>
      </w:r>
      <w:r>
        <w:rPr>
          <w:rFonts w:hint="eastAsia" w:ascii="宋体" w:hAnsi="宋体" w:cs="宋体"/>
          <w:b/>
          <w:color w:val="auto"/>
          <w:sz w:val="24"/>
          <w:szCs w:val="20"/>
          <w:highlight w:val="none"/>
          <w:lang w:val="en-US" w:eastAsia="zh-CN"/>
        </w:rPr>
        <w:t xml:space="preserve">  </w:t>
      </w:r>
      <w:r>
        <w:rPr>
          <w:rFonts w:hint="eastAsia" w:ascii="宋体" w:hAnsi="宋体" w:eastAsia="宋体" w:cs="宋体"/>
          <w:b/>
          <w:color w:val="auto"/>
          <w:kern w:val="0"/>
          <w:sz w:val="24"/>
          <w:szCs w:val="20"/>
          <w:highlight w:val="none"/>
          <w:lang w:val="en-US" w:eastAsia="zh-CN" w:bidi="ar-SA"/>
        </w:rPr>
        <w:t>18.4解密结束后，《政府采购活动现场确认声明书》（详见附件8）由投标人法定代表人或其授权代表按要求填写签字后扫描回传至采购代理机构邮箱</w:t>
      </w:r>
      <w:r>
        <w:rPr>
          <w:rFonts w:hint="default" w:ascii="宋体" w:hAnsi="宋体" w:eastAsia="宋体" w:cs="宋体"/>
          <w:b/>
          <w:color w:val="auto"/>
          <w:kern w:val="0"/>
          <w:sz w:val="24"/>
          <w:szCs w:val="20"/>
          <w:highlight w:val="none"/>
          <w:lang w:val="en-US" w:eastAsia="zh-CN" w:bidi="ar-SA"/>
        </w:rPr>
        <w:t>:1241596092@qq.com</w:t>
      </w:r>
      <w:r>
        <w:rPr>
          <w:rFonts w:hint="eastAsia" w:ascii="宋体" w:hAnsi="宋体" w:eastAsia="宋体" w:cs="宋体"/>
          <w:b/>
          <w:color w:val="auto"/>
          <w:kern w:val="0"/>
          <w:sz w:val="24"/>
          <w:szCs w:val="20"/>
          <w:highlight w:val="none"/>
          <w:lang w:val="en-US" w:eastAsia="zh-CN" w:bidi="ar-SA"/>
        </w:rPr>
        <w:t>。</w:t>
      </w:r>
    </w:p>
    <w:p w14:paraId="6985EE63">
      <w:pPr>
        <w:widowControl/>
        <w:spacing w:before="100" w:beforeAutospacing="1" w:after="240"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018233A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44929B0F">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E9BE9BB">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46674398">
      <w:pPr>
        <w:pStyle w:val="133"/>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15A0FC5B">
      <w:pPr>
        <w:pStyle w:val="133"/>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1F4996FE">
      <w:pPr>
        <w:pStyle w:val="133"/>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0F93ECCB">
      <w:pPr>
        <w:pStyle w:val="133"/>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3784B02">
      <w:pPr>
        <w:pStyle w:val="133"/>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B7A5849">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57110F9">
      <w:pPr>
        <w:pStyle w:val="133"/>
        <w:spacing w:before="0"/>
        <w:ind w:firstLine="0" w:firstLineChars="0"/>
        <w:rPr>
          <w:rFonts w:hint="eastAsia" w:ascii="宋体" w:hAnsi="宋体" w:cs="宋体"/>
          <w:color w:val="auto"/>
          <w:kern w:val="0"/>
          <w:szCs w:val="24"/>
          <w:highlight w:val="none"/>
        </w:rPr>
      </w:pPr>
    </w:p>
    <w:p w14:paraId="78AFBB8A">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13ADDAB4">
      <w:pPr>
        <w:spacing w:line="360" w:lineRule="auto"/>
        <w:rPr>
          <w:rFonts w:hint="eastAsia"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1D025F2">
      <w:pPr>
        <w:spacing w:line="360" w:lineRule="auto"/>
        <w:rPr>
          <w:rFonts w:hint="eastAsia" w:ascii="宋体" w:hAnsi="宋体" w:cs="宋体"/>
          <w:b/>
          <w:color w:val="auto"/>
          <w:sz w:val="24"/>
          <w:highlight w:val="none"/>
        </w:rPr>
      </w:pPr>
    </w:p>
    <w:p w14:paraId="7F306970">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40462A4C">
      <w:pPr>
        <w:pStyle w:val="24"/>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75A91F45">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采购代理机构将自评审结束之日起2个工作日内将评审报告送交采购人。采购人将自收到评审报告之日起5个工作日内在评审报告推荐的中标候选人中按顺序确定中标人。</w:t>
      </w:r>
    </w:p>
    <w:p w14:paraId="00CACCB5">
      <w:pPr>
        <w:pStyle w:val="133"/>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BE547E0">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23.1自中标人确定之日起2个工作日内，采购代理机构通过电子交易平台向中标人发出中标通知书，同时编制发布采购结果公告。采购代理机构也可以以纸质形式进行中标通知。</w:t>
      </w:r>
    </w:p>
    <w:p w14:paraId="1B7BC50A">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中标公告期限以及评审专家名单、评分汇总及明细。</w:t>
      </w:r>
    </w:p>
    <w:p w14:paraId="6B079AA5">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23.3公告期限为1个工作日。</w:t>
      </w:r>
    </w:p>
    <w:p w14:paraId="6E1EAEEF">
      <w:pPr>
        <w:pStyle w:val="133"/>
        <w:snapToGrid w:val="0"/>
        <w:spacing w:before="0"/>
        <w:ind w:firstLine="480"/>
        <w:rPr>
          <w:rStyle w:val="78"/>
          <w:color w:val="auto"/>
          <w:highlight w:val="none"/>
        </w:rPr>
      </w:pPr>
      <w:r>
        <w:rPr>
          <w:rFonts w:hint="eastAsia" w:ascii="宋体" w:hAnsi="宋体" w:cs="宋体"/>
          <w:bCs/>
          <w:color w:val="auto"/>
          <w:szCs w:val="24"/>
          <w:highlight w:val="none"/>
        </w:rPr>
        <w:t>23.4</w:t>
      </w:r>
      <w:r>
        <w:rPr>
          <w:rFonts w:hint="eastAsia" w:ascii="宋体" w:hAnsi="宋体" w:cs="宋体"/>
          <w:b/>
          <w:color w:val="auto"/>
          <w:szCs w:val="24"/>
          <w:highlight w:val="none"/>
        </w:rPr>
        <w:t xml:space="preserve">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34D9183A">
      <w:pPr>
        <w:pStyle w:val="82"/>
        <w:rPr>
          <w:rFonts w:hint="eastAsia"/>
          <w:color w:val="auto"/>
          <w:highlight w:val="none"/>
        </w:rPr>
      </w:pPr>
    </w:p>
    <w:p w14:paraId="747C3D4D">
      <w:pPr>
        <w:snapToGrid w:val="0"/>
        <w:spacing w:line="360" w:lineRule="auto"/>
        <w:ind w:left="120" w:leftChars="57" w:firstLine="482" w:firstLineChars="150"/>
        <w:jc w:val="center"/>
        <w:rPr>
          <w:rFonts w:hint="eastAsia" w:ascii="宋体" w:hAnsi="宋体" w:cs="宋体"/>
          <w:b/>
          <w:color w:val="auto"/>
          <w:sz w:val="32"/>
          <w:highlight w:val="none"/>
        </w:rPr>
      </w:pPr>
    </w:p>
    <w:p w14:paraId="7328849B">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1F244572">
      <w:pPr>
        <w:pStyle w:val="24"/>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FD5EE38">
      <w:pPr>
        <w:pStyle w:val="24"/>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0ABF8C38">
      <w:pPr>
        <w:pStyle w:val="24"/>
        <w:spacing w:line="360" w:lineRule="auto"/>
        <w:ind w:firstLine="420" w:firstLineChars="175"/>
        <w:rPr>
          <w:rFonts w:hint="eastAsia" w:cs="宋体"/>
          <w:color w:val="auto"/>
          <w:kern w:val="0"/>
          <w:szCs w:val="20"/>
          <w:highlight w:val="none"/>
          <w:lang w:val="zh-CN"/>
        </w:rPr>
      </w:pPr>
      <w:r>
        <w:rPr>
          <w:rFonts w:hint="eastAsia" w:cs="宋体"/>
          <w:color w:val="auto"/>
          <w:kern w:val="0"/>
          <w:szCs w:val="20"/>
          <w:highlight w:val="none"/>
          <w:lang w:val="zh-CN"/>
        </w:rPr>
        <w:t>25.1 采购人与中标人应当在中标通知书发出之日起30日内，按照采购文件确定的事项签订政府采购合同。</w:t>
      </w:r>
    </w:p>
    <w:p w14:paraId="64B2117C">
      <w:pPr>
        <w:pStyle w:val="133"/>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E97EE1C">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16BB9DC">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A380F9F">
      <w:pPr>
        <w:pStyle w:val="133"/>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3D88323">
      <w:pPr>
        <w:pStyle w:val="24"/>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1F6FD4DF">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8F3DC2F">
      <w:pPr>
        <w:pStyle w:val="4"/>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采购人不得拒收履约保函。</w:t>
      </w:r>
    </w:p>
    <w:p w14:paraId="708B9831">
      <w:pPr>
        <w:pStyle w:val="4"/>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4922CB83">
      <w:pPr>
        <w:pStyle w:val="4"/>
        <w:rPr>
          <w:rFonts w:hint="eastAsia"/>
          <w:color w:val="auto"/>
          <w:highlight w:val="none"/>
        </w:rPr>
      </w:pPr>
      <w:r>
        <w:rPr>
          <w:rFonts w:ascii="宋体" w:hAnsi="宋体" w:eastAsia="宋体"/>
          <w:color w:val="auto"/>
          <w:sz w:val="24"/>
          <w:highlight w:val="none"/>
          <w:lang w:val="en-US"/>
        </w:rPr>
        <w:t>27.预付款</w:t>
      </w:r>
    </w:p>
    <w:p w14:paraId="45248E8E">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w:t>
      </w:r>
    </w:p>
    <w:p w14:paraId="5A7EBB3C">
      <w:pPr>
        <w:rPr>
          <w:color w:val="auto"/>
          <w:highlight w:val="none"/>
        </w:rPr>
      </w:pPr>
    </w:p>
    <w:p w14:paraId="1581A927">
      <w:pPr>
        <w:snapToGrid w:val="0"/>
        <w:spacing w:line="360" w:lineRule="auto"/>
        <w:ind w:firstLine="3357" w:firstLineChars="1045"/>
        <w:rPr>
          <w:rFonts w:hint="eastAsia" w:ascii="宋体" w:hAnsi="宋体" w:cs="宋体"/>
          <w:b/>
          <w:color w:val="auto"/>
          <w:sz w:val="32"/>
          <w:highlight w:val="none"/>
        </w:rPr>
      </w:pPr>
    </w:p>
    <w:p w14:paraId="7A06E3F7">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52DF4F67">
      <w:pPr>
        <w:pStyle w:val="133"/>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0AFC81E9">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C2E2EEB">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3F0EF25">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8599584">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02B8D63">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167D905">
      <w:pPr>
        <w:pStyle w:val="133"/>
        <w:snapToGrid w:val="0"/>
        <w:spacing w:before="0"/>
        <w:ind w:firstLine="0" w:firstLineChars="0"/>
        <w:rPr>
          <w:rFonts w:hint="eastAsia" w:ascii="宋体" w:hAnsi="宋体" w:cs="宋体"/>
          <w:color w:val="auto"/>
          <w:highlight w:val="none"/>
        </w:rPr>
      </w:pPr>
      <w:r>
        <w:rPr>
          <w:rFonts w:hint="eastAsia" w:ascii="宋体" w:hAnsi="宋体" w:cs="宋体"/>
          <w:b/>
          <w:bCs/>
          <w:color w:val="auto"/>
          <w:highlight w:val="none"/>
        </w:rPr>
        <w:t xml:space="preserve"> 29.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E7A3EF2">
      <w:pPr>
        <w:tabs>
          <w:tab w:val="left" w:pos="0"/>
        </w:tabs>
        <w:spacing w:line="360" w:lineRule="auto"/>
        <w:ind w:firstLine="480"/>
        <w:rPr>
          <w:rFonts w:hint="eastAsia" w:ascii="宋体" w:hAnsi="宋体" w:cs="宋体"/>
          <w:color w:val="auto"/>
          <w:sz w:val="24"/>
          <w:highlight w:val="none"/>
        </w:rPr>
      </w:pPr>
    </w:p>
    <w:p w14:paraId="4DA6DD9B">
      <w:pPr>
        <w:snapToGrid w:val="0"/>
        <w:spacing w:line="360" w:lineRule="auto"/>
        <w:ind w:left="0" w:leftChars="0" w:firstLine="0" w:firstLineChars="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1000C507">
      <w:pPr>
        <w:pStyle w:val="24"/>
        <w:spacing w:line="360" w:lineRule="auto"/>
        <w:ind w:firstLine="0" w:firstLineChars="0"/>
        <w:rPr>
          <w:rFonts w:hint="eastAsia" w:cs="宋体"/>
          <w:b/>
          <w:color w:val="auto"/>
          <w:highlight w:val="none"/>
        </w:rPr>
      </w:pPr>
      <w:r>
        <w:rPr>
          <w:rFonts w:hint="eastAsia" w:cs="宋体"/>
          <w:b/>
          <w:color w:val="auto"/>
          <w:highlight w:val="none"/>
        </w:rPr>
        <w:t>30.验收</w:t>
      </w:r>
    </w:p>
    <w:p w14:paraId="43C608A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B00B4D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38FC68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BA9631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4" w:name="_Hlt75236101"/>
      <w:bookmarkEnd w:id="14"/>
      <w:bookmarkStart w:id="15" w:name="_Hlt75236011"/>
      <w:bookmarkEnd w:id="15"/>
      <w:bookmarkStart w:id="16" w:name="_Hlt68057669"/>
      <w:bookmarkEnd w:id="16"/>
      <w:bookmarkStart w:id="17" w:name="_Hlt74707468"/>
      <w:bookmarkEnd w:id="17"/>
      <w:bookmarkStart w:id="18" w:name="_Hlt68073093"/>
      <w:bookmarkEnd w:id="18"/>
      <w:bookmarkStart w:id="19" w:name="_Hlt68072990"/>
      <w:bookmarkEnd w:id="19"/>
      <w:bookmarkStart w:id="20" w:name="_Hlt74730295"/>
      <w:bookmarkEnd w:id="20"/>
      <w:bookmarkStart w:id="21" w:name="_Hlt68072998"/>
      <w:bookmarkEnd w:id="21"/>
      <w:bookmarkStart w:id="22" w:name="_Hlt75236290"/>
      <w:bookmarkEnd w:id="22"/>
      <w:bookmarkStart w:id="23" w:name="_Hlt68403820"/>
      <w:bookmarkEnd w:id="23"/>
      <w:bookmarkStart w:id="24" w:name="_Hlt74729768"/>
      <w:bookmarkEnd w:id="24"/>
      <w:bookmarkStart w:id="25" w:name="_Hlt74714665"/>
      <w:bookmarkEnd w:id="25"/>
    </w:p>
    <w:p w14:paraId="3CADE393">
      <w:pPr>
        <w:tabs>
          <w:tab w:val="left" w:pos="0"/>
        </w:tabs>
        <w:spacing w:line="360" w:lineRule="auto"/>
        <w:ind w:firstLine="48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96A1698">
      <w:pPr>
        <w:pStyle w:val="82"/>
        <w:rPr>
          <w:rFonts w:hint="eastAsia"/>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0"/>
    <w:p w14:paraId="4CCA1D65">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3C94B4A0">
      <w:pPr>
        <w:tabs>
          <w:tab w:val="left" w:pos="0"/>
        </w:tabs>
        <w:spacing w:line="360" w:lineRule="auto"/>
        <w:ind w:firstLine="480"/>
        <w:rPr>
          <w:rFonts w:hint="eastAsia" w:ascii="宋体" w:hAnsi="宋体" w:eastAsia="宋体" w:cs="宋体"/>
          <w:b/>
          <w:bCs/>
          <w:color w:val="auto"/>
          <w:kern w:val="0"/>
          <w:sz w:val="24"/>
          <w:highlight w:val="none"/>
        </w:rPr>
      </w:pPr>
      <w:bookmarkStart w:id="26" w:name="_Toc26517"/>
      <w:r>
        <w:rPr>
          <w:rFonts w:hint="eastAsia" w:ascii="宋体" w:hAnsi="宋体" w:eastAsia="宋体" w:cs="宋体"/>
          <w:b/>
          <w:bCs/>
          <w:color w:val="auto"/>
          <w:kern w:val="0"/>
          <w:sz w:val="24"/>
          <w:highlight w:val="none"/>
        </w:rPr>
        <w:t>一、</w:t>
      </w:r>
      <w:bookmarkEnd w:id="26"/>
      <w:r>
        <w:rPr>
          <w:rFonts w:hint="eastAsia" w:ascii="宋体" w:hAnsi="宋体" w:eastAsia="宋体" w:cs="宋体"/>
          <w:b/>
          <w:bCs/>
          <w:color w:val="auto"/>
          <w:kern w:val="0"/>
          <w:sz w:val="24"/>
          <w:highlight w:val="none"/>
        </w:rPr>
        <w:t>项目概况</w:t>
      </w:r>
    </w:p>
    <w:p w14:paraId="074523E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共中央办公厅、国务院办公厅在《关于推进社会信用体系建设高质量发展促进形成新发展格局的意见》中提出要加快信用信息共享步伐，构建形成覆盖全部信用主体、所有信用信息类别、全国所有区域的信用信息网络，建立标准统一、权威准确的信用档案；国家发改委办公厅在《2024-2025年社会信用体系建设行动计划》中提出要进一步优化信用数据治理和数据管理体系，全面提升信用信息质量，形成高质量信用数据资源库；浙江省交通运输厅在《关于进一步深化信用交通建设的实施方案（2021-2025）》中提出建立信用交通主题数据库，依托厅数据交换枢纽，依法依规迭代更新全省交通运输信用信息目录清单，统一信用信息归集路径、标准，推动省市县三级内部数据应归尽归和及时归集，推进信用信息归集全量化、规范化、自动化；交通运输部办公厅在《2025年交通运输领域信用建设工作要点》提出加强数据治理和分析应用，压实数据源头治理，做好数据质量监测报告，提高归集共享及时性、准确性、完整性。</w:t>
      </w:r>
    </w:p>
    <w:p w14:paraId="7F27119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为贯彻落实国家及部省文件精神，拟于2025年开展浙江省交通运输数智信用综合服务项目。根据信用数字化提升要求，开展信用数据分析及信用</w:t>
      </w:r>
      <w:r>
        <w:rPr>
          <w:rFonts w:hint="eastAsia" w:ascii="宋体" w:hAnsi="宋体" w:eastAsia="宋体" w:cs="宋体"/>
          <w:color w:val="auto"/>
          <w:kern w:val="0"/>
          <w:sz w:val="24"/>
          <w:highlight w:val="none"/>
          <w:lang w:eastAsia="zh-CN"/>
        </w:rPr>
        <w:t>主题</w:t>
      </w:r>
      <w:r>
        <w:rPr>
          <w:rFonts w:hint="eastAsia" w:ascii="宋体" w:hAnsi="宋体" w:eastAsia="宋体" w:cs="宋体"/>
          <w:color w:val="auto"/>
          <w:kern w:val="0"/>
          <w:sz w:val="24"/>
          <w:highlight w:val="none"/>
        </w:rPr>
        <w:t>数据库梳理分析工作，形成信用数据分析报告和信息使用管理规范，提高信用数据挖掘能力，提升行业监管水平。</w:t>
      </w:r>
    </w:p>
    <w:p w14:paraId="68CB85E5">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二、服务内容</w:t>
      </w:r>
    </w:p>
    <w:p w14:paraId="5F7A2D93">
      <w:pPr>
        <w:tabs>
          <w:tab w:val="left" w:pos="0"/>
        </w:tabs>
        <w:spacing w:line="360" w:lineRule="auto"/>
        <w:ind w:firstLine="480"/>
        <w:rPr>
          <w:rFonts w:hint="eastAsia" w:ascii="宋体" w:hAnsi="宋体" w:eastAsia="宋体" w:cs="宋体"/>
          <w:color w:val="auto"/>
          <w:kern w:val="0"/>
          <w:sz w:val="24"/>
          <w:highlight w:val="none"/>
        </w:rPr>
      </w:pPr>
      <w:bookmarkStart w:id="27" w:name="_Hlk171630253"/>
      <w:bookmarkStart w:id="28" w:name="_Toc15094"/>
      <w:r>
        <w:rPr>
          <w:rFonts w:hint="eastAsia" w:ascii="宋体" w:hAnsi="宋体" w:eastAsia="宋体" w:cs="宋体"/>
          <w:color w:val="auto"/>
          <w:kern w:val="0"/>
          <w:sz w:val="24"/>
          <w:highlight w:val="none"/>
        </w:rPr>
        <w:t>依托浙江省交通运输信用管理与服务系统数据底座，开展浙江省交通运输数智信用综合服务。一是开展信用数据分析服务。对信用数据开展动态监测、综合分析，形成数据分析报告，综合反映全省交通运输数智信用建设发展态势，发现存在问题并提出优化建议。二是开展信用</w:t>
      </w:r>
      <w:r>
        <w:rPr>
          <w:rFonts w:hint="eastAsia" w:ascii="宋体" w:hAnsi="宋体" w:eastAsia="宋体" w:cs="宋体"/>
          <w:color w:val="auto"/>
          <w:kern w:val="0"/>
          <w:sz w:val="24"/>
          <w:highlight w:val="none"/>
          <w:lang w:eastAsia="zh-CN"/>
        </w:rPr>
        <w:t>主题</w:t>
      </w:r>
      <w:r>
        <w:rPr>
          <w:rFonts w:hint="eastAsia" w:ascii="宋体" w:hAnsi="宋体" w:eastAsia="宋体" w:cs="宋体"/>
          <w:color w:val="auto"/>
          <w:kern w:val="0"/>
          <w:sz w:val="24"/>
          <w:highlight w:val="none"/>
        </w:rPr>
        <w:t>数据库梳理分析服务。主要是依据部省公共信用信息目录的规范性、标准化和全过程动态管理要求，对信用主体、许可、处罚、监督检查、评价结果以及红黑名单数据的调研梳理，分析确定业务处理规则</w:t>
      </w:r>
      <w:r>
        <w:rPr>
          <w:rFonts w:hint="default" w:ascii="宋体" w:hAnsi="宋体" w:eastAsia="宋体" w:cs="宋体"/>
          <w:color w:val="auto"/>
          <w:kern w:val="0"/>
          <w:sz w:val="24"/>
          <w:highlight w:val="none"/>
        </w:rPr>
        <w:t>并进行</w:t>
      </w:r>
      <w:r>
        <w:rPr>
          <w:rFonts w:hint="eastAsia" w:ascii="宋体" w:hAnsi="宋体" w:eastAsia="宋体" w:cs="宋体"/>
          <w:color w:val="auto"/>
          <w:kern w:val="0"/>
          <w:sz w:val="24"/>
          <w:highlight w:val="none"/>
        </w:rPr>
        <w:t>数据分类整理等工作。</w:t>
      </w:r>
    </w:p>
    <w:bookmarkEnd w:id="27"/>
    <w:p w14:paraId="092D1377">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三、相关法规、管理条例与技术标准、行业规范</w:t>
      </w:r>
      <w:bookmarkEnd w:id="28"/>
    </w:p>
    <w:p w14:paraId="6A600DC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1.国家规定的标准和规范，有新标准按新标准执行；</w:t>
      </w:r>
    </w:p>
    <w:p w14:paraId="3A1BDEEC">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2.行业标准及规范，有新标准按新标准执行；</w:t>
      </w:r>
    </w:p>
    <w:p w14:paraId="3AF0DDA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3.其他相关标准。</w:t>
      </w:r>
    </w:p>
    <w:p w14:paraId="5770517B">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四、团队要求</w:t>
      </w:r>
    </w:p>
    <w:p w14:paraId="0190083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1.投标人需提供有丰富经验的人员，在项目进行期间，确保项目组人员的稳定性</w:t>
      </w:r>
      <w:r>
        <w:rPr>
          <w:rFonts w:hint="eastAsia" w:ascii="宋体" w:hAnsi="宋体" w:cs="宋体"/>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承诺项目组一名成员到采购人指定地点驻场办公</w:t>
      </w:r>
      <w:r>
        <w:rPr>
          <w:rFonts w:hint="eastAsia" w:ascii="宋体" w:hAnsi="宋体" w:eastAsia="宋体" w:cs="宋体"/>
          <w:color w:val="auto"/>
          <w:kern w:val="0"/>
          <w:sz w:val="24"/>
          <w:highlight w:val="none"/>
        </w:rPr>
        <w:t>；</w:t>
      </w:r>
    </w:p>
    <w:p w14:paraId="15F1833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2.项目负责人具有交通运输专业相关的</w:t>
      </w:r>
      <w:r>
        <w:rPr>
          <w:rFonts w:hint="eastAsia" w:ascii="宋体" w:hAnsi="宋体" w:cs="宋体"/>
          <w:color w:val="auto"/>
          <w:kern w:val="0"/>
          <w:sz w:val="24"/>
          <w:highlight w:val="none"/>
          <w:lang w:val="en-US" w:eastAsia="zh-CN"/>
        </w:rPr>
        <w:t>正</w:t>
      </w:r>
      <w:r>
        <w:rPr>
          <w:rFonts w:hint="eastAsia" w:ascii="宋体" w:hAnsi="宋体" w:eastAsia="宋体" w:cs="宋体"/>
          <w:color w:val="auto"/>
          <w:kern w:val="0"/>
          <w:sz w:val="24"/>
          <w:highlight w:val="none"/>
        </w:rPr>
        <w:t>高级职称，熟悉我省交通运输信用相关工作</w:t>
      </w:r>
      <w:r>
        <w:rPr>
          <w:rFonts w:hint="eastAsia" w:ascii="宋体" w:hAnsi="宋体" w:cs="宋体"/>
          <w:color w:val="auto"/>
          <w:kern w:val="0"/>
          <w:sz w:val="24"/>
          <w:highlight w:val="none"/>
          <w:lang w:eastAsia="zh-CN"/>
        </w:rPr>
        <w:t>，</w:t>
      </w:r>
      <w:r>
        <w:rPr>
          <w:rFonts w:hint="eastAsia" w:asciiTheme="minorEastAsia" w:hAnsiTheme="minorEastAsia" w:eastAsiaTheme="minorEastAsia" w:cstheme="minorEastAsia"/>
          <w:i w:val="0"/>
          <w:iCs w:val="0"/>
          <w:caps w:val="0"/>
          <w:color w:val="auto"/>
          <w:spacing w:val="0"/>
          <w:kern w:val="0"/>
          <w:sz w:val="24"/>
          <w:szCs w:val="24"/>
          <w:highlight w:val="none"/>
          <w:shd w:val="clear"/>
          <w:lang w:val="en-US" w:eastAsia="zh-CN" w:bidi="ar"/>
        </w:rPr>
        <w:t>具备</w:t>
      </w:r>
      <w:r>
        <w:rPr>
          <w:rFonts w:hint="eastAsia" w:ascii="宋体" w:hAnsi="宋体" w:eastAsia="宋体" w:cs="宋体"/>
          <w:color w:val="auto"/>
          <w:kern w:val="0"/>
          <w:sz w:val="24"/>
          <w:highlight w:val="none"/>
        </w:rPr>
        <w:t>与本项目相关的项目经验；</w:t>
      </w:r>
    </w:p>
    <w:p w14:paraId="5E35FB1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3.项目组成员需熟悉我省交通运输信用相关工作，具有交通运输行业或信息技术服务行业专业背景，</w:t>
      </w:r>
      <w:r>
        <w:rPr>
          <w:rFonts w:hint="eastAsia" w:ascii="宋体" w:hAnsi="宋体" w:cs="宋体"/>
          <w:color w:val="auto"/>
          <w:kern w:val="0"/>
          <w:sz w:val="24"/>
          <w:highlight w:val="none"/>
          <w:lang w:val="en-US" w:eastAsia="zh-CN"/>
        </w:rPr>
        <w:t>具备</w:t>
      </w:r>
      <w:r>
        <w:rPr>
          <w:rFonts w:hint="eastAsia" w:ascii="宋体" w:hAnsi="宋体" w:eastAsia="宋体" w:cs="宋体"/>
          <w:color w:val="auto"/>
          <w:kern w:val="0"/>
          <w:sz w:val="24"/>
          <w:highlight w:val="none"/>
        </w:rPr>
        <w:t>与本项目相关的项目经验。</w:t>
      </w:r>
    </w:p>
    <w:p w14:paraId="6780AFF5">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五、服务地点和期限、进度要求</w:t>
      </w:r>
    </w:p>
    <w:p w14:paraId="64CBAC5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1.项目服务地点：杭州；</w:t>
      </w:r>
    </w:p>
    <w:p w14:paraId="1A46D52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2.项目服务期限：合同签订之日起至2025年12月30日；</w:t>
      </w:r>
    </w:p>
    <w:p w14:paraId="424B6C0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3.项目服务进度：2025年9月底前，形成《浙江省交通运输公共信用信息目录（2025版）》</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《浙江省交通运输信用主题数据库梳理分析报告》</w:t>
      </w:r>
      <w:r>
        <w:rPr>
          <w:rFonts w:hint="eastAsia" w:ascii="宋体" w:hAnsi="宋体" w:cs="宋体"/>
          <w:color w:val="auto"/>
          <w:kern w:val="0"/>
          <w:sz w:val="24"/>
          <w:highlight w:val="none"/>
          <w:lang w:val="en-US" w:eastAsia="zh-CN"/>
        </w:rPr>
        <w:t>和</w:t>
      </w:r>
      <w:r>
        <w:rPr>
          <w:rFonts w:hint="eastAsia" w:ascii="宋体" w:hAnsi="宋体" w:eastAsia="宋体" w:cs="宋体"/>
          <w:color w:val="auto"/>
          <w:kern w:val="0"/>
          <w:sz w:val="24"/>
          <w:highlight w:val="none"/>
        </w:rPr>
        <w:t>《浙江省交通运输信用</w:t>
      </w:r>
      <w:r>
        <w:rPr>
          <w:rFonts w:hint="eastAsia" w:ascii="宋体" w:hAnsi="宋体" w:cs="宋体"/>
          <w:color w:val="auto"/>
          <w:kern w:val="0"/>
          <w:sz w:val="24"/>
          <w:highlight w:val="none"/>
          <w:lang w:val="en-US" w:eastAsia="zh-CN"/>
        </w:rPr>
        <w:t>大</w:t>
      </w:r>
      <w:r>
        <w:rPr>
          <w:rFonts w:hint="eastAsia" w:ascii="宋体" w:hAnsi="宋体" w:eastAsia="宋体" w:cs="宋体"/>
          <w:color w:val="auto"/>
          <w:kern w:val="0"/>
          <w:sz w:val="24"/>
          <w:highlight w:val="none"/>
        </w:rPr>
        <w:t>数据分析报告</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2025年</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初稿</w:t>
      </w:r>
      <w:r>
        <w:rPr>
          <w:rFonts w:hint="eastAsia" w:ascii="宋体" w:hAnsi="宋体" w:eastAsia="宋体" w:cs="宋体"/>
          <w:color w:val="auto"/>
          <w:kern w:val="0"/>
          <w:sz w:val="24"/>
          <w:highlight w:val="none"/>
        </w:rPr>
        <w:t>；2025年10月底前完成</w:t>
      </w:r>
      <w:r>
        <w:rPr>
          <w:rFonts w:hint="eastAsia" w:ascii="宋体" w:hAnsi="宋体" w:eastAsia="宋体" w:cs="宋体"/>
          <w:color w:val="auto"/>
          <w:kern w:val="0"/>
          <w:sz w:val="24"/>
          <w:highlight w:val="none"/>
          <w:lang w:val="en-US" w:eastAsia="zh-CN"/>
        </w:rPr>
        <w:t>信用主题数据库梳理分析服务</w:t>
      </w:r>
      <w:r>
        <w:rPr>
          <w:rFonts w:hint="eastAsia" w:ascii="宋体" w:hAnsi="宋体" w:eastAsia="宋体" w:cs="宋体"/>
          <w:color w:val="auto"/>
          <w:kern w:val="0"/>
          <w:sz w:val="24"/>
          <w:highlight w:val="none"/>
        </w:rPr>
        <w:t>；2025年11月</w:t>
      </w:r>
      <w:r>
        <w:rPr>
          <w:rFonts w:hint="eastAsia" w:ascii="宋体" w:hAnsi="宋体" w:cs="宋体"/>
          <w:color w:val="auto"/>
          <w:kern w:val="0"/>
          <w:sz w:val="24"/>
          <w:highlight w:val="none"/>
          <w:lang w:val="en-US" w:eastAsia="zh-CN"/>
        </w:rPr>
        <w:t>底</w:t>
      </w:r>
      <w:r>
        <w:rPr>
          <w:rFonts w:hint="eastAsia" w:ascii="宋体" w:hAnsi="宋体" w:eastAsia="宋体" w:cs="宋体"/>
          <w:color w:val="auto"/>
          <w:kern w:val="0"/>
          <w:sz w:val="24"/>
          <w:highlight w:val="none"/>
        </w:rPr>
        <w:t>前完成</w:t>
      </w:r>
      <w:r>
        <w:rPr>
          <w:rFonts w:hint="eastAsia" w:ascii="宋体" w:hAnsi="宋体" w:eastAsia="宋体" w:cs="宋体"/>
          <w:color w:val="auto"/>
          <w:kern w:val="0"/>
          <w:sz w:val="24"/>
          <w:highlight w:val="none"/>
          <w:lang w:eastAsia="zh-CN"/>
        </w:rPr>
        <w:t>项目报告</w:t>
      </w:r>
      <w:r>
        <w:rPr>
          <w:rFonts w:hint="eastAsia" w:ascii="宋体" w:hAnsi="宋体" w:eastAsia="宋体" w:cs="宋体"/>
          <w:color w:val="auto"/>
          <w:kern w:val="0"/>
          <w:sz w:val="24"/>
          <w:highlight w:val="none"/>
        </w:rPr>
        <w:t>终稿，2025年12月</w:t>
      </w:r>
      <w:r>
        <w:rPr>
          <w:rFonts w:hint="eastAsia" w:ascii="宋体" w:hAnsi="宋体" w:cs="宋体"/>
          <w:color w:val="auto"/>
          <w:kern w:val="0"/>
          <w:sz w:val="24"/>
          <w:highlight w:val="none"/>
          <w:lang w:val="en-US" w:eastAsia="zh-CN"/>
        </w:rPr>
        <w:t>底</w:t>
      </w:r>
      <w:r>
        <w:rPr>
          <w:rFonts w:hint="eastAsia" w:ascii="宋体" w:hAnsi="宋体" w:eastAsia="宋体" w:cs="宋体"/>
          <w:color w:val="auto"/>
          <w:kern w:val="0"/>
          <w:sz w:val="24"/>
          <w:highlight w:val="none"/>
        </w:rPr>
        <w:t>前根据要求完成项目验收工作。</w:t>
      </w:r>
    </w:p>
    <w:p w14:paraId="080F293E">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六、成果要求</w:t>
      </w:r>
    </w:p>
    <w:p w14:paraId="51B3450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依托浙江省交通运输信用管理与服务系统，</w:t>
      </w:r>
      <w:r>
        <w:rPr>
          <w:rFonts w:hint="eastAsia" w:ascii="宋体" w:hAnsi="宋体" w:eastAsia="宋体" w:cs="宋体"/>
          <w:color w:val="auto"/>
          <w:kern w:val="0"/>
          <w:sz w:val="24"/>
          <w:highlight w:val="none"/>
          <w:lang w:val="en-US" w:eastAsia="zh-CN"/>
        </w:rPr>
        <w:t>完成</w:t>
      </w:r>
      <w:r>
        <w:rPr>
          <w:rFonts w:hint="eastAsia" w:ascii="宋体" w:hAnsi="宋体" w:eastAsia="宋体" w:cs="宋体"/>
          <w:color w:val="auto"/>
          <w:kern w:val="0"/>
          <w:sz w:val="24"/>
          <w:highlight w:val="none"/>
        </w:rPr>
        <w:t>信用</w:t>
      </w:r>
      <w:r>
        <w:rPr>
          <w:rFonts w:hint="eastAsia" w:ascii="宋体" w:hAnsi="宋体" w:eastAsia="宋体" w:cs="宋体"/>
          <w:color w:val="auto"/>
          <w:kern w:val="0"/>
          <w:sz w:val="24"/>
          <w:highlight w:val="none"/>
          <w:lang w:val="en-US" w:eastAsia="zh-CN"/>
        </w:rPr>
        <w:t>主题</w:t>
      </w:r>
      <w:r>
        <w:rPr>
          <w:rFonts w:hint="eastAsia" w:ascii="宋体" w:hAnsi="宋体" w:eastAsia="宋体" w:cs="宋体"/>
          <w:color w:val="auto"/>
          <w:kern w:val="0"/>
          <w:sz w:val="24"/>
          <w:highlight w:val="none"/>
        </w:rPr>
        <w:t>数据库梳理分析工作，编制</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浙江省交通运输公共信用信息目录（2025版）</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《浙江省交通运输信用主</w:t>
      </w:r>
      <w:r>
        <w:rPr>
          <w:rFonts w:hint="eastAsia" w:ascii="宋体" w:hAnsi="宋体" w:eastAsia="宋体" w:cs="宋体"/>
          <w:color w:val="auto"/>
          <w:kern w:val="0"/>
          <w:sz w:val="24"/>
          <w:highlight w:val="none"/>
          <w:lang w:val="en-US" w:eastAsia="zh-CN"/>
        </w:rPr>
        <w:t>题</w:t>
      </w:r>
      <w:r>
        <w:rPr>
          <w:rFonts w:hint="eastAsia" w:ascii="宋体" w:hAnsi="宋体" w:eastAsia="宋体" w:cs="宋体"/>
          <w:color w:val="auto"/>
          <w:kern w:val="0"/>
          <w:sz w:val="24"/>
          <w:highlight w:val="none"/>
        </w:rPr>
        <w:t>数据库梳理分析报告》《</w:t>
      </w:r>
      <w:r>
        <w:rPr>
          <w:rFonts w:hint="eastAsia" w:ascii="宋体" w:hAnsi="宋体" w:cs="宋体"/>
          <w:color w:val="auto"/>
          <w:kern w:val="0"/>
          <w:sz w:val="24"/>
          <w:highlight w:val="none"/>
          <w:lang w:eastAsia="zh-CN"/>
        </w:rPr>
        <w:t>浙江省交通运输信用大数据分析报告（2025年）</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项目</w:t>
      </w:r>
      <w:r>
        <w:rPr>
          <w:rFonts w:hint="eastAsia" w:ascii="宋体" w:hAnsi="宋体" w:eastAsia="宋体" w:cs="宋体"/>
          <w:color w:val="auto"/>
          <w:kern w:val="0"/>
          <w:sz w:val="24"/>
          <w:highlight w:val="none"/>
          <w:lang w:val="en-US" w:eastAsia="zh-CN"/>
        </w:rPr>
        <w:t>成果三</w:t>
      </w:r>
      <w:r>
        <w:rPr>
          <w:rFonts w:hint="eastAsia" w:ascii="宋体" w:hAnsi="宋体" w:eastAsia="宋体" w:cs="宋体"/>
          <w:color w:val="auto"/>
          <w:kern w:val="0"/>
          <w:sz w:val="24"/>
          <w:highlight w:val="none"/>
        </w:rPr>
        <w:t>份。</w:t>
      </w:r>
    </w:p>
    <w:p w14:paraId="5086B7DE">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七、验收要求</w:t>
      </w:r>
    </w:p>
    <w:p w14:paraId="1BE8B0B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1.验收资料齐全。</w:t>
      </w:r>
    </w:p>
    <w:p w14:paraId="6B0DBF9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2.完成采购文件中要求完成的相关事项。</w:t>
      </w:r>
    </w:p>
    <w:p w14:paraId="04A1BD7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3.服务成果符合采购需求及相关技术规范要求，经采购实施部门组织专家评审后通过验收。</w:t>
      </w:r>
    </w:p>
    <w:p w14:paraId="378A941B">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八、采购项目商务要求</w:t>
      </w:r>
    </w:p>
    <w:p w14:paraId="6CE2C38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1.签订合同</w:t>
      </w:r>
    </w:p>
    <w:p w14:paraId="5EA8C1D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w:t>
      </w:r>
      <w:r>
        <w:rPr>
          <w:rFonts w:hint="eastAsia" w:ascii="宋体" w:hAnsi="宋体" w:eastAsia="宋体" w:cs="宋体"/>
          <w:color w:val="auto"/>
          <w:kern w:val="0"/>
          <w:sz w:val="24"/>
          <w:highlight w:val="none"/>
          <w:lang w:val="en-US" w:eastAsia="zh-CN"/>
        </w:rPr>
        <w:t>中标</w:t>
      </w:r>
      <w:r>
        <w:rPr>
          <w:rFonts w:hint="eastAsia" w:ascii="宋体" w:hAnsi="宋体" w:eastAsia="宋体" w:cs="宋体"/>
          <w:color w:val="auto"/>
          <w:kern w:val="0"/>
          <w:sz w:val="24"/>
          <w:highlight w:val="none"/>
        </w:rPr>
        <w:t>通知书发出之日起30日内。</w:t>
      </w:r>
    </w:p>
    <w:p w14:paraId="534E6E8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2.报价要求</w:t>
      </w:r>
    </w:p>
    <w:p w14:paraId="418F00F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采购预算和最高限价为60万元，投标报价为完成采购人指定内容的整体包干价。报价是包含完成本项目工作任务所发生的一切费用及不可预见费等所需的全部费用，全部费用已包含在报价一览表的总报价中。全部费用包括（但不限于）：差旅费、咨询费、管理费、会议费、劳务费、印刷费、其他交通费用、办公费、其他不可预见费用及所有有关的管理成本等全部费用。</w:t>
      </w:r>
    </w:p>
    <w:p w14:paraId="73A3AAA6">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九、付款方式</w:t>
      </w:r>
    </w:p>
    <w:p w14:paraId="15C49E7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1.合同签订完成，自收到乙方开具的增值税发票后10日内支付合同金额的70%；</w:t>
      </w:r>
    </w:p>
    <w:p w14:paraId="0D348D0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2.项目验收结题，自收到乙方开具的增值税发票后10日内支付合同金额的30%。</w:t>
      </w:r>
    </w:p>
    <w:p w14:paraId="2D7B2FE4">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十、投标人在投标方案中需提供服务组织方案，服务组织方案需包含：</w:t>
      </w:r>
    </w:p>
    <w:p w14:paraId="4F358CF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1.项目理解；</w:t>
      </w:r>
    </w:p>
    <w:p w14:paraId="7AB3AAA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2.项目和浙江省交通运输信用管理与服务系统关系的理解；</w:t>
      </w:r>
    </w:p>
    <w:p w14:paraId="009E047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3.项目难点、要点把握；</w:t>
      </w:r>
    </w:p>
    <w:p w14:paraId="32188C6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4.对项目总体思路、目标、任务的理解；</w:t>
      </w:r>
    </w:p>
    <w:p w14:paraId="503D9CF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r>
        <w:rPr>
          <w:rFonts w:hint="eastAsia" w:ascii="宋体" w:hAnsi="宋体" w:cs="宋体"/>
          <w:color w:val="auto"/>
          <w:kern w:val="0"/>
          <w:sz w:val="24"/>
          <w:highlight w:val="none"/>
          <w:lang w:eastAsia="zh-CN"/>
        </w:rPr>
        <w:t>浙江省交通运输信用大数据分析报告（2025年）》</w:t>
      </w:r>
      <w:r>
        <w:rPr>
          <w:rFonts w:hint="eastAsia" w:ascii="宋体" w:hAnsi="宋体" w:eastAsia="宋体" w:cs="宋体"/>
          <w:color w:val="auto"/>
          <w:kern w:val="0"/>
          <w:sz w:val="24"/>
          <w:highlight w:val="none"/>
          <w:lang w:val="en-US" w:eastAsia="zh-CN"/>
        </w:rPr>
        <w:t>大纲</w:t>
      </w:r>
      <w:r>
        <w:rPr>
          <w:rFonts w:hint="eastAsia" w:ascii="宋体" w:hAnsi="宋体" w:eastAsia="宋体" w:cs="宋体"/>
          <w:color w:val="auto"/>
          <w:kern w:val="0"/>
          <w:sz w:val="24"/>
          <w:highlight w:val="none"/>
        </w:rPr>
        <w:t>；</w:t>
      </w:r>
    </w:p>
    <w:p w14:paraId="127B7FE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6.《浙江省</w:t>
      </w:r>
      <w:r>
        <w:rPr>
          <w:rFonts w:hint="eastAsia" w:ascii="宋体" w:hAnsi="宋体" w:eastAsia="宋体" w:cs="宋体"/>
          <w:color w:val="auto"/>
          <w:kern w:val="0"/>
          <w:sz w:val="24"/>
          <w:highlight w:val="none"/>
          <w:lang w:val="en-US" w:eastAsia="zh-CN"/>
        </w:rPr>
        <w:t>交通运输</w:t>
      </w:r>
      <w:r>
        <w:rPr>
          <w:rFonts w:hint="eastAsia" w:ascii="宋体" w:hAnsi="宋体" w:eastAsia="宋体" w:cs="宋体"/>
          <w:color w:val="auto"/>
          <w:kern w:val="0"/>
          <w:sz w:val="24"/>
          <w:highlight w:val="none"/>
        </w:rPr>
        <w:t>信用主</w:t>
      </w:r>
      <w:r>
        <w:rPr>
          <w:rFonts w:hint="eastAsia" w:ascii="宋体" w:hAnsi="宋体" w:eastAsia="宋体" w:cs="宋体"/>
          <w:color w:val="auto"/>
          <w:kern w:val="0"/>
          <w:sz w:val="24"/>
          <w:highlight w:val="none"/>
          <w:lang w:val="en-US" w:eastAsia="zh-CN"/>
        </w:rPr>
        <w:t>题</w:t>
      </w:r>
      <w:r>
        <w:rPr>
          <w:rFonts w:hint="eastAsia" w:ascii="宋体" w:hAnsi="宋体" w:eastAsia="宋体" w:cs="宋体"/>
          <w:color w:val="auto"/>
          <w:kern w:val="0"/>
          <w:sz w:val="24"/>
          <w:highlight w:val="none"/>
        </w:rPr>
        <w:t>数据库梳理分析</w:t>
      </w:r>
      <w:r>
        <w:rPr>
          <w:rFonts w:hint="eastAsia" w:ascii="宋体" w:hAnsi="宋体" w:eastAsia="宋体" w:cs="宋体"/>
          <w:color w:val="auto"/>
          <w:kern w:val="0"/>
          <w:sz w:val="24"/>
          <w:highlight w:val="none"/>
          <w:lang w:val="en-US" w:eastAsia="zh-CN"/>
        </w:rPr>
        <w:t>报告</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大纲</w:t>
      </w:r>
      <w:r>
        <w:rPr>
          <w:rFonts w:hint="eastAsia" w:ascii="宋体" w:hAnsi="宋体" w:eastAsia="宋体" w:cs="宋体"/>
          <w:color w:val="auto"/>
          <w:kern w:val="0"/>
          <w:sz w:val="24"/>
          <w:highlight w:val="none"/>
        </w:rPr>
        <w:t>；</w:t>
      </w:r>
    </w:p>
    <w:p w14:paraId="631B2C9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文档及资料管理方案；</w:t>
      </w:r>
    </w:p>
    <w:p w14:paraId="2EABB9C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.保密方案；</w:t>
      </w:r>
    </w:p>
    <w:p w14:paraId="077E623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rPr>
        <w:t>.服务</w:t>
      </w:r>
      <w:r>
        <w:rPr>
          <w:rFonts w:hint="eastAsia" w:ascii="宋体" w:hAnsi="宋体" w:eastAsia="宋体" w:cs="宋体"/>
          <w:color w:val="auto"/>
          <w:kern w:val="0"/>
          <w:sz w:val="24"/>
          <w:highlight w:val="none"/>
          <w:lang w:eastAsia="zh-Hans"/>
        </w:rPr>
        <w:t>质量保障</w:t>
      </w:r>
      <w:r>
        <w:rPr>
          <w:rFonts w:hint="eastAsia" w:ascii="宋体" w:hAnsi="宋体" w:eastAsia="宋体" w:cs="宋体"/>
          <w:color w:val="auto"/>
          <w:kern w:val="0"/>
          <w:sz w:val="24"/>
          <w:highlight w:val="none"/>
        </w:rPr>
        <w:t>方案；</w:t>
      </w:r>
    </w:p>
    <w:p w14:paraId="323629EA">
      <w:pPr>
        <w:tabs>
          <w:tab w:val="left" w:pos="0"/>
        </w:tabs>
        <w:spacing w:line="360" w:lineRule="auto"/>
        <w:ind w:firstLine="480"/>
        <w:rPr>
          <w:rFonts w:hint="eastAsia" w:ascii="宋体" w:hAnsi="宋体" w:eastAsia="宋体" w:cs="宋体"/>
          <w:color w:val="auto"/>
          <w:kern w:val="0"/>
          <w:sz w:val="24"/>
          <w:highlight w:val="none"/>
          <w:lang w:eastAsia="zh-Hans"/>
        </w:rPr>
      </w:pP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Hans"/>
        </w:rPr>
        <w:t>项目进度保障方案；</w:t>
      </w:r>
    </w:p>
    <w:p w14:paraId="49E29463">
      <w:pPr>
        <w:tabs>
          <w:tab w:val="left" w:pos="0"/>
        </w:tabs>
        <w:spacing w:line="360" w:lineRule="auto"/>
        <w:ind w:firstLine="48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11</w:t>
      </w:r>
      <w:r>
        <w:rPr>
          <w:rFonts w:hint="eastAsia" w:ascii="宋体" w:hAnsi="宋体" w:eastAsia="宋体" w:cs="宋体"/>
          <w:color w:val="auto"/>
          <w:kern w:val="0"/>
          <w:sz w:val="24"/>
          <w:highlight w:val="none"/>
          <w:lang w:eastAsia="zh-Hans"/>
        </w:rPr>
        <w:t>.</w:t>
      </w:r>
      <w:r>
        <w:rPr>
          <w:rFonts w:hint="eastAsia" w:ascii="宋体" w:hAnsi="宋体" w:eastAsia="宋体" w:cs="宋体"/>
          <w:color w:val="auto"/>
          <w:kern w:val="0"/>
          <w:sz w:val="24"/>
          <w:highlight w:val="none"/>
          <w:lang w:val="en-US" w:eastAsia="zh-CN"/>
        </w:rPr>
        <w:t>验收方案</w:t>
      </w:r>
      <w:r>
        <w:rPr>
          <w:rFonts w:hint="eastAsia" w:ascii="宋体" w:hAnsi="宋体" w:cs="宋体"/>
          <w:color w:val="auto"/>
          <w:kern w:val="0"/>
          <w:sz w:val="24"/>
          <w:highlight w:val="none"/>
          <w:lang w:val="en-US" w:eastAsia="zh-CN"/>
        </w:rPr>
        <w:t>；</w:t>
      </w:r>
    </w:p>
    <w:p w14:paraId="15E0033F">
      <w:pPr>
        <w:tabs>
          <w:tab w:val="left" w:pos="0"/>
        </w:tabs>
        <w:spacing w:line="360" w:lineRule="auto"/>
        <w:ind w:firstLine="480"/>
        <w:rPr>
          <w:rFonts w:hint="eastAsia" w:ascii="宋体" w:hAnsi="宋体" w:eastAsia="宋体" w:cs="宋体"/>
          <w:color w:val="auto"/>
          <w:kern w:val="0"/>
          <w:sz w:val="24"/>
          <w:highlight w:val="none"/>
          <w:lang w:eastAsia="zh-Hans"/>
        </w:rPr>
      </w:pP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eastAsia="zh-Hans"/>
        </w:rPr>
        <w:t>其它有助提高项目服务质量和进度的建议。</w:t>
      </w:r>
    </w:p>
    <w:p w14:paraId="6C7C6324">
      <w:pPr>
        <w:rPr>
          <w:rFonts w:hint="eastAsia" w:ascii="宋体" w:hAnsi="宋体" w:eastAsia="宋体" w:cs="宋体"/>
          <w:color w:val="auto"/>
          <w:kern w:val="0"/>
          <w:sz w:val="24"/>
          <w:highlight w:val="none"/>
          <w:lang w:eastAsia="zh-Hans"/>
        </w:rPr>
      </w:pPr>
      <w:r>
        <w:rPr>
          <w:rFonts w:hint="eastAsia" w:ascii="宋体" w:hAnsi="宋体" w:eastAsia="宋体" w:cs="宋体"/>
          <w:color w:val="auto"/>
          <w:kern w:val="0"/>
          <w:sz w:val="24"/>
          <w:highlight w:val="none"/>
          <w:lang w:eastAsia="zh-Hans"/>
        </w:rPr>
        <w:br w:type="page"/>
      </w:r>
    </w:p>
    <w:p w14:paraId="375AE652">
      <w:pPr>
        <w:tabs>
          <w:tab w:val="left" w:pos="0"/>
        </w:tabs>
        <w:spacing w:line="360" w:lineRule="auto"/>
        <w:ind w:firstLine="0"/>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9" w:name="_Toc184313270"/>
      <w:bookmarkEnd w:id="29"/>
      <w:bookmarkStart w:id="30" w:name="_Toc184310307"/>
      <w:bookmarkEnd w:id="30"/>
      <w:bookmarkStart w:id="31" w:name="_Toc184308097"/>
      <w:bookmarkEnd w:id="31"/>
      <w:bookmarkStart w:id="32" w:name="_Toc184312120"/>
      <w:bookmarkEnd w:id="32"/>
      <w:bookmarkStart w:id="33" w:name="_Toc184314421"/>
      <w:bookmarkEnd w:id="33"/>
      <w:bookmarkStart w:id="34" w:name="_Toc184310305"/>
      <w:bookmarkEnd w:id="34"/>
      <w:bookmarkStart w:id="35" w:name="_Toc184312116"/>
      <w:bookmarkEnd w:id="35"/>
      <w:bookmarkStart w:id="36" w:name="_Toc184310337"/>
      <w:bookmarkEnd w:id="36"/>
      <w:bookmarkStart w:id="37" w:name="_Toc184308068"/>
      <w:bookmarkEnd w:id="37"/>
      <w:bookmarkStart w:id="38" w:name="_Toc184308075"/>
      <w:bookmarkEnd w:id="38"/>
      <w:bookmarkStart w:id="39" w:name="_Toc184310272"/>
      <w:bookmarkEnd w:id="39"/>
      <w:bookmarkStart w:id="40" w:name="_Toc184313297"/>
      <w:bookmarkEnd w:id="40"/>
      <w:bookmarkStart w:id="41" w:name="_Toc184308080"/>
      <w:bookmarkEnd w:id="41"/>
      <w:bookmarkStart w:id="42" w:name="_Toc184310291"/>
      <w:bookmarkEnd w:id="42"/>
      <w:bookmarkStart w:id="43" w:name="_Toc184314439"/>
      <w:bookmarkEnd w:id="43"/>
      <w:bookmarkStart w:id="44" w:name="_Toc184313295"/>
      <w:bookmarkEnd w:id="44"/>
      <w:bookmarkStart w:id="45" w:name="_Toc184310335"/>
      <w:bookmarkEnd w:id="45"/>
      <w:bookmarkStart w:id="46" w:name="_Toc184312088"/>
      <w:bookmarkEnd w:id="46"/>
      <w:bookmarkStart w:id="47" w:name="_Toc184313261"/>
      <w:bookmarkEnd w:id="47"/>
      <w:bookmarkStart w:id="48" w:name="_Toc184314458"/>
      <w:bookmarkEnd w:id="48"/>
      <w:bookmarkStart w:id="49" w:name="_Toc184308079"/>
      <w:bookmarkEnd w:id="49"/>
      <w:bookmarkStart w:id="50" w:name="_Toc184308083"/>
      <w:bookmarkEnd w:id="50"/>
      <w:bookmarkStart w:id="51" w:name="_Toc184313284"/>
      <w:bookmarkEnd w:id="51"/>
      <w:bookmarkStart w:id="52" w:name="_Toc184314413"/>
      <w:bookmarkEnd w:id="52"/>
      <w:bookmarkStart w:id="53" w:name="_Toc184310292"/>
      <w:bookmarkEnd w:id="53"/>
      <w:bookmarkStart w:id="54" w:name="_Toc184308073"/>
      <w:bookmarkEnd w:id="54"/>
      <w:bookmarkStart w:id="55" w:name="_Toc184308074"/>
      <w:bookmarkEnd w:id="55"/>
      <w:bookmarkStart w:id="56" w:name="_Toc184313275"/>
      <w:bookmarkEnd w:id="56"/>
      <w:bookmarkStart w:id="57" w:name="_Toc184308085"/>
      <w:bookmarkEnd w:id="57"/>
      <w:bookmarkStart w:id="58" w:name="_Toc184308098"/>
      <w:bookmarkEnd w:id="58"/>
      <w:bookmarkStart w:id="59" w:name="_Toc184313303"/>
      <w:bookmarkEnd w:id="59"/>
      <w:bookmarkStart w:id="60" w:name="_Toc184312097"/>
      <w:bookmarkEnd w:id="60"/>
      <w:bookmarkStart w:id="61" w:name="_Toc184314452"/>
      <w:bookmarkEnd w:id="61"/>
      <w:bookmarkStart w:id="62" w:name="_Toc184314443"/>
      <w:bookmarkEnd w:id="62"/>
      <w:bookmarkStart w:id="63" w:name="_Toc184314454"/>
      <w:bookmarkEnd w:id="63"/>
      <w:bookmarkStart w:id="64" w:name="_Toc184310315"/>
      <w:bookmarkEnd w:id="64"/>
      <w:bookmarkStart w:id="65" w:name="_Toc184313243"/>
      <w:bookmarkEnd w:id="65"/>
      <w:bookmarkStart w:id="66" w:name="_Toc184312126"/>
      <w:bookmarkEnd w:id="66"/>
      <w:bookmarkStart w:id="67" w:name="_Toc184312131"/>
      <w:bookmarkEnd w:id="67"/>
      <w:bookmarkStart w:id="68" w:name="_Toc184310289"/>
      <w:bookmarkEnd w:id="68"/>
      <w:bookmarkStart w:id="69" w:name="_Toc184308104"/>
      <w:bookmarkEnd w:id="69"/>
      <w:bookmarkStart w:id="70" w:name="_Toc184310320"/>
      <w:bookmarkEnd w:id="70"/>
      <w:bookmarkStart w:id="71" w:name="_Toc184310304"/>
      <w:bookmarkEnd w:id="71"/>
      <w:bookmarkStart w:id="72" w:name="_Toc184312114"/>
      <w:bookmarkEnd w:id="72"/>
      <w:bookmarkStart w:id="73" w:name="_Toc184310322"/>
      <w:bookmarkEnd w:id="73"/>
      <w:bookmarkStart w:id="74" w:name="_Toc184310278"/>
      <w:bookmarkEnd w:id="74"/>
      <w:bookmarkStart w:id="75" w:name="_Toc184313271"/>
      <w:bookmarkEnd w:id="75"/>
      <w:bookmarkStart w:id="76" w:name="_Toc184308084"/>
      <w:bookmarkEnd w:id="76"/>
      <w:bookmarkStart w:id="77" w:name="_Toc184312076"/>
      <w:bookmarkEnd w:id="77"/>
      <w:bookmarkStart w:id="78" w:name="_Toc184314470"/>
      <w:bookmarkEnd w:id="78"/>
      <w:bookmarkStart w:id="79" w:name="_Toc184308040"/>
      <w:bookmarkEnd w:id="79"/>
      <w:bookmarkStart w:id="80" w:name="_Toc184312079"/>
      <w:bookmarkEnd w:id="80"/>
      <w:bookmarkStart w:id="81" w:name="_Toc184308061"/>
      <w:bookmarkEnd w:id="81"/>
      <w:bookmarkStart w:id="82" w:name="_Toc184314436"/>
      <w:bookmarkEnd w:id="82"/>
      <w:bookmarkStart w:id="83" w:name="_Toc184314474"/>
      <w:bookmarkEnd w:id="83"/>
      <w:bookmarkStart w:id="84" w:name="_Toc184312135"/>
      <w:bookmarkEnd w:id="84"/>
      <w:bookmarkStart w:id="85" w:name="_Toc184308090"/>
      <w:bookmarkEnd w:id="85"/>
      <w:bookmarkStart w:id="86" w:name="_Toc184310316"/>
      <w:bookmarkEnd w:id="86"/>
      <w:bookmarkStart w:id="87" w:name="_Toc184312100"/>
      <w:bookmarkEnd w:id="87"/>
      <w:bookmarkStart w:id="88" w:name="_Toc184313291"/>
      <w:bookmarkEnd w:id="88"/>
      <w:bookmarkStart w:id="89" w:name="_Toc184310293"/>
      <w:bookmarkEnd w:id="89"/>
      <w:bookmarkStart w:id="90" w:name="_Toc184313265"/>
      <w:bookmarkEnd w:id="90"/>
      <w:bookmarkStart w:id="91" w:name="_Toc184313264"/>
      <w:bookmarkEnd w:id="91"/>
      <w:bookmarkStart w:id="92" w:name="_Toc184313250"/>
      <w:bookmarkEnd w:id="92"/>
      <w:bookmarkStart w:id="93" w:name="_Toc184313304"/>
      <w:bookmarkEnd w:id="93"/>
      <w:bookmarkStart w:id="94" w:name="_Toc184312106"/>
      <w:bookmarkEnd w:id="94"/>
      <w:bookmarkStart w:id="95" w:name="_Toc184314433"/>
      <w:bookmarkEnd w:id="95"/>
      <w:bookmarkStart w:id="96" w:name="_Toc184310277"/>
      <w:bookmarkEnd w:id="96"/>
      <w:bookmarkStart w:id="97" w:name="_Toc184314444"/>
      <w:bookmarkEnd w:id="97"/>
      <w:bookmarkStart w:id="98" w:name="_Toc184314431"/>
      <w:bookmarkEnd w:id="98"/>
      <w:bookmarkStart w:id="99" w:name="_Toc184314437"/>
      <w:bookmarkEnd w:id="99"/>
      <w:bookmarkStart w:id="100" w:name="_Toc184313283"/>
      <w:bookmarkEnd w:id="100"/>
      <w:bookmarkStart w:id="101" w:name="_Toc184308044"/>
      <w:bookmarkEnd w:id="101"/>
      <w:bookmarkStart w:id="102" w:name="_Toc184308099"/>
      <w:bookmarkEnd w:id="102"/>
      <w:bookmarkStart w:id="103" w:name="_Toc184312092"/>
      <w:bookmarkEnd w:id="103"/>
      <w:bookmarkStart w:id="104" w:name="_Toc184312070"/>
      <w:bookmarkEnd w:id="104"/>
      <w:bookmarkStart w:id="105" w:name="_Toc184310325"/>
      <w:bookmarkEnd w:id="105"/>
      <w:bookmarkStart w:id="106" w:name="_Toc184308056"/>
      <w:bookmarkEnd w:id="106"/>
      <w:bookmarkStart w:id="107" w:name="_Toc184310283"/>
      <w:bookmarkEnd w:id="107"/>
      <w:bookmarkStart w:id="108" w:name="_Toc184308078"/>
      <w:bookmarkEnd w:id="108"/>
      <w:bookmarkStart w:id="109" w:name="_Toc184313310"/>
      <w:bookmarkEnd w:id="109"/>
      <w:bookmarkStart w:id="110" w:name="_Toc184312107"/>
      <w:bookmarkEnd w:id="110"/>
      <w:bookmarkStart w:id="111" w:name="_Toc184313259"/>
      <w:bookmarkEnd w:id="111"/>
      <w:bookmarkStart w:id="112" w:name="_Toc184310286"/>
      <w:bookmarkEnd w:id="112"/>
      <w:bookmarkStart w:id="113" w:name="_Toc184308049"/>
      <w:bookmarkEnd w:id="113"/>
      <w:bookmarkStart w:id="114" w:name="_Toc184313305"/>
      <w:bookmarkEnd w:id="114"/>
      <w:bookmarkStart w:id="115" w:name="_Toc184313294"/>
      <w:bookmarkEnd w:id="115"/>
      <w:bookmarkStart w:id="116" w:name="_Toc184308107"/>
      <w:bookmarkEnd w:id="116"/>
      <w:bookmarkStart w:id="117" w:name="_Toc184313289"/>
      <w:bookmarkEnd w:id="117"/>
      <w:bookmarkStart w:id="118" w:name="_Toc184312137"/>
      <w:bookmarkEnd w:id="118"/>
      <w:bookmarkStart w:id="119" w:name="_Toc184308077"/>
      <w:bookmarkEnd w:id="119"/>
      <w:bookmarkStart w:id="120" w:name="_Toc184312077"/>
      <w:bookmarkEnd w:id="120"/>
      <w:bookmarkStart w:id="121" w:name="_Toc184313255"/>
      <w:bookmarkEnd w:id="121"/>
      <w:bookmarkStart w:id="122" w:name="_Toc184314446"/>
      <w:bookmarkEnd w:id="122"/>
      <w:bookmarkStart w:id="123" w:name="_Toc184313266"/>
      <w:bookmarkEnd w:id="123"/>
      <w:bookmarkStart w:id="124" w:name="_Toc184308100"/>
      <w:bookmarkEnd w:id="124"/>
      <w:bookmarkStart w:id="125" w:name="_Toc184314427"/>
      <w:bookmarkEnd w:id="125"/>
      <w:bookmarkStart w:id="126" w:name="_Toc184310282"/>
      <w:bookmarkEnd w:id="126"/>
      <w:bookmarkStart w:id="127" w:name="_Toc184313288"/>
      <w:bookmarkEnd w:id="127"/>
      <w:bookmarkStart w:id="128" w:name="_Toc184310285"/>
      <w:bookmarkEnd w:id="128"/>
      <w:bookmarkStart w:id="129" w:name="_Toc184308065"/>
      <w:bookmarkEnd w:id="129"/>
      <w:bookmarkStart w:id="130" w:name="_Toc184308070"/>
      <w:bookmarkEnd w:id="130"/>
      <w:bookmarkStart w:id="131" w:name="_Toc184308063"/>
      <w:bookmarkEnd w:id="131"/>
      <w:bookmarkStart w:id="132" w:name="_Toc184312119"/>
      <w:bookmarkEnd w:id="132"/>
      <w:bookmarkStart w:id="133" w:name="_Toc184310295"/>
      <w:bookmarkEnd w:id="133"/>
      <w:bookmarkStart w:id="134" w:name="_Toc184310276"/>
      <w:bookmarkEnd w:id="134"/>
      <w:bookmarkStart w:id="135" w:name="_Toc184314426"/>
      <w:bookmarkEnd w:id="135"/>
      <w:bookmarkStart w:id="136" w:name="_Toc184312095"/>
      <w:bookmarkEnd w:id="136"/>
      <w:bookmarkStart w:id="137" w:name="_Toc184313253"/>
      <w:bookmarkEnd w:id="137"/>
      <w:bookmarkStart w:id="138" w:name="_Toc184312083"/>
      <w:bookmarkEnd w:id="138"/>
      <w:bookmarkStart w:id="139" w:name="_Toc184308069"/>
      <w:bookmarkEnd w:id="139"/>
      <w:bookmarkStart w:id="140" w:name="_Toc184312134"/>
      <w:bookmarkEnd w:id="140"/>
      <w:bookmarkStart w:id="141" w:name="_Toc184314448"/>
      <w:bookmarkEnd w:id="141"/>
      <w:bookmarkStart w:id="142" w:name="_Toc184313279"/>
      <w:bookmarkEnd w:id="142"/>
      <w:bookmarkStart w:id="143" w:name="_Toc184312136"/>
      <w:bookmarkEnd w:id="143"/>
      <w:bookmarkStart w:id="144" w:name="_Toc184314468"/>
      <w:bookmarkEnd w:id="144"/>
      <w:bookmarkStart w:id="145" w:name="_Toc184314465"/>
      <w:bookmarkEnd w:id="145"/>
      <w:bookmarkStart w:id="146" w:name="_Toc184308060"/>
      <w:bookmarkEnd w:id="146"/>
      <w:bookmarkStart w:id="147" w:name="_Toc184310273"/>
      <w:bookmarkEnd w:id="147"/>
      <w:bookmarkStart w:id="148" w:name="_Toc184308095"/>
      <w:bookmarkEnd w:id="148"/>
      <w:bookmarkStart w:id="149" w:name="_Toc184314449"/>
      <w:bookmarkEnd w:id="149"/>
      <w:bookmarkStart w:id="150" w:name="_Toc184314459"/>
      <w:bookmarkEnd w:id="150"/>
      <w:bookmarkStart w:id="151" w:name="_Toc184308088"/>
      <w:bookmarkEnd w:id="151"/>
      <w:bookmarkStart w:id="152" w:name="_Toc184310303"/>
      <w:bookmarkEnd w:id="152"/>
      <w:bookmarkStart w:id="153" w:name="_Toc184314428"/>
      <w:bookmarkEnd w:id="153"/>
      <w:bookmarkStart w:id="154" w:name="_Toc184308091"/>
      <w:bookmarkEnd w:id="154"/>
      <w:bookmarkStart w:id="155" w:name="_Toc184310314"/>
      <w:bookmarkEnd w:id="155"/>
      <w:bookmarkStart w:id="156" w:name="_Toc184308051"/>
      <w:bookmarkEnd w:id="156"/>
      <w:bookmarkStart w:id="157" w:name="_Toc184313256"/>
      <w:bookmarkEnd w:id="157"/>
      <w:bookmarkStart w:id="158" w:name="_Toc184308046"/>
      <w:bookmarkEnd w:id="158"/>
      <w:bookmarkStart w:id="159" w:name="_Toc184312130"/>
      <w:bookmarkEnd w:id="159"/>
      <w:bookmarkStart w:id="160" w:name="_Toc184313293"/>
      <w:bookmarkEnd w:id="160"/>
      <w:bookmarkStart w:id="161" w:name="_Toc184312090"/>
      <w:bookmarkEnd w:id="161"/>
      <w:bookmarkStart w:id="162" w:name="_Toc184310297"/>
      <w:bookmarkEnd w:id="162"/>
      <w:bookmarkStart w:id="163" w:name="_Toc184314450"/>
      <w:bookmarkEnd w:id="163"/>
      <w:bookmarkStart w:id="164" w:name="_Toc184314429"/>
      <w:bookmarkEnd w:id="164"/>
      <w:bookmarkStart w:id="165" w:name="_Toc184313278"/>
      <w:bookmarkEnd w:id="165"/>
      <w:bookmarkStart w:id="166" w:name="_Toc184314475"/>
      <w:bookmarkEnd w:id="166"/>
      <w:bookmarkStart w:id="167" w:name="_Toc184313263"/>
      <w:bookmarkEnd w:id="167"/>
      <w:bookmarkStart w:id="168" w:name="_Toc184312089"/>
      <w:bookmarkEnd w:id="168"/>
      <w:bookmarkStart w:id="169" w:name="_Toc184310284"/>
      <w:bookmarkEnd w:id="169"/>
      <w:bookmarkStart w:id="170" w:name="_Toc184312101"/>
      <w:bookmarkEnd w:id="170"/>
      <w:bookmarkStart w:id="171" w:name="_Toc184314432"/>
      <w:bookmarkEnd w:id="171"/>
      <w:bookmarkStart w:id="172" w:name="_Toc184310298"/>
      <w:bookmarkEnd w:id="172"/>
      <w:bookmarkStart w:id="173" w:name="_Toc184312094"/>
      <w:bookmarkEnd w:id="173"/>
      <w:bookmarkStart w:id="174" w:name="_Toc184310338"/>
      <w:bookmarkEnd w:id="174"/>
      <w:bookmarkStart w:id="175" w:name="_Toc184314451"/>
      <w:bookmarkEnd w:id="175"/>
      <w:bookmarkStart w:id="176" w:name="_Toc184308089"/>
      <w:bookmarkEnd w:id="176"/>
      <w:bookmarkStart w:id="177" w:name="_Toc184314412"/>
      <w:bookmarkEnd w:id="177"/>
      <w:bookmarkStart w:id="178" w:name="_Toc184313238"/>
      <w:bookmarkEnd w:id="178"/>
      <w:bookmarkStart w:id="179" w:name="_Toc184308054"/>
      <w:bookmarkEnd w:id="179"/>
      <w:bookmarkStart w:id="180" w:name="_Toc184308105"/>
      <w:bookmarkEnd w:id="180"/>
      <w:bookmarkStart w:id="181" w:name="_Toc184313247"/>
      <w:bookmarkEnd w:id="181"/>
      <w:bookmarkStart w:id="182" w:name="_Toc184313307"/>
      <w:bookmarkEnd w:id="182"/>
      <w:bookmarkStart w:id="183" w:name="_Toc184314464"/>
      <w:bookmarkEnd w:id="183"/>
      <w:bookmarkStart w:id="184" w:name="_Toc184312093"/>
      <w:bookmarkEnd w:id="184"/>
      <w:bookmarkStart w:id="185" w:name="_Toc184312129"/>
      <w:bookmarkEnd w:id="185"/>
      <w:bookmarkStart w:id="186" w:name="_Toc184314471"/>
      <w:bookmarkEnd w:id="186"/>
      <w:bookmarkStart w:id="187" w:name="_Toc184314414"/>
      <w:bookmarkEnd w:id="187"/>
      <w:bookmarkStart w:id="188" w:name="_Toc184308058"/>
      <w:bookmarkEnd w:id="188"/>
      <w:bookmarkStart w:id="189" w:name="_Toc184314417"/>
      <w:bookmarkEnd w:id="189"/>
      <w:bookmarkStart w:id="190" w:name="_Toc184313302"/>
      <w:bookmarkEnd w:id="190"/>
      <w:bookmarkStart w:id="191" w:name="_Toc184313292"/>
      <w:bookmarkEnd w:id="191"/>
      <w:bookmarkStart w:id="192" w:name="_Toc184314418"/>
      <w:bookmarkEnd w:id="192"/>
      <w:bookmarkStart w:id="193" w:name="_Toc184310330"/>
      <w:bookmarkEnd w:id="193"/>
      <w:bookmarkStart w:id="194" w:name="_Toc184308101"/>
      <w:bookmarkEnd w:id="194"/>
      <w:bookmarkStart w:id="195" w:name="_Toc184312068"/>
      <w:bookmarkEnd w:id="195"/>
      <w:bookmarkStart w:id="196" w:name="_Toc184313300"/>
      <w:bookmarkEnd w:id="196"/>
      <w:bookmarkStart w:id="197" w:name="_Toc184314423"/>
      <w:bookmarkEnd w:id="197"/>
      <w:bookmarkStart w:id="198" w:name="_Toc184308043"/>
      <w:bookmarkEnd w:id="198"/>
      <w:bookmarkStart w:id="199" w:name="_Toc184310344"/>
      <w:bookmarkEnd w:id="199"/>
      <w:bookmarkStart w:id="200" w:name="_Toc184313252"/>
      <w:bookmarkEnd w:id="200"/>
      <w:bookmarkStart w:id="201" w:name="_Toc184308103"/>
      <w:bookmarkEnd w:id="201"/>
      <w:bookmarkStart w:id="202" w:name="_Toc184310313"/>
      <w:bookmarkEnd w:id="202"/>
      <w:bookmarkStart w:id="203" w:name="_Toc184313241"/>
      <w:bookmarkEnd w:id="203"/>
      <w:bookmarkStart w:id="204" w:name="_Toc184308053"/>
      <w:bookmarkEnd w:id="204"/>
      <w:bookmarkStart w:id="205" w:name="_Toc184312078"/>
      <w:bookmarkEnd w:id="205"/>
      <w:bookmarkStart w:id="206" w:name="_Toc184308038"/>
      <w:bookmarkEnd w:id="206"/>
      <w:bookmarkStart w:id="207" w:name="_Toc184310332"/>
      <w:bookmarkEnd w:id="207"/>
      <w:bookmarkStart w:id="208" w:name="_Toc184312108"/>
      <w:bookmarkEnd w:id="208"/>
      <w:bookmarkStart w:id="209" w:name="_Toc184308092"/>
      <w:bookmarkEnd w:id="209"/>
      <w:bookmarkStart w:id="210" w:name="_Toc184313296"/>
      <w:bookmarkEnd w:id="210"/>
      <w:bookmarkStart w:id="211" w:name="_Toc184308106"/>
      <w:bookmarkEnd w:id="211"/>
      <w:bookmarkStart w:id="212" w:name="_Toc184314457"/>
      <w:bookmarkEnd w:id="212"/>
      <w:bookmarkStart w:id="213" w:name="_Toc184313258"/>
      <w:bookmarkEnd w:id="213"/>
      <w:bookmarkStart w:id="214" w:name="_Toc184312115"/>
      <w:bookmarkEnd w:id="214"/>
      <w:bookmarkStart w:id="215" w:name="_Toc184312117"/>
      <w:bookmarkEnd w:id="215"/>
      <w:bookmarkStart w:id="216" w:name="_Toc184313269"/>
      <w:bookmarkEnd w:id="216"/>
      <w:bookmarkStart w:id="217" w:name="_Toc184312069"/>
      <w:bookmarkEnd w:id="217"/>
      <w:bookmarkStart w:id="218" w:name="_Toc184308055"/>
      <w:bookmarkEnd w:id="218"/>
      <w:bookmarkStart w:id="219" w:name="_Toc184313276"/>
      <w:bookmarkEnd w:id="219"/>
      <w:bookmarkStart w:id="220" w:name="_Toc184313277"/>
      <w:bookmarkEnd w:id="220"/>
      <w:bookmarkStart w:id="221" w:name="_Toc184314440"/>
      <w:bookmarkEnd w:id="221"/>
      <w:bookmarkStart w:id="222" w:name="_Toc184314482"/>
      <w:bookmarkEnd w:id="222"/>
      <w:bookmarkStart w:id="223" w:name="_Toc184308041"/>
      <w:bookmarkEnd w:id="223"/>
      <w:bookmarkStart w:id="224" w:name="_Toc184310311"/>
      <w:bookmarkEnd w:id="224"/>
      <w:bookmarkStart w:id="225" w:name="_Toc184313280"/>
      <w:bookmarkEnd w:id="225"/>
      <w:bookmarkStart w:id="226" w:name="_Toc184313298"/>
      <w:bookmarkEnd w:id="226"/>
      <w:bookmarkStart w:id="227" w:name="_Toc184308052"/>
      <w:bookmarkEnd w:id="227"/>
      <w:bookmarkStart w:id="228" w:name="_Toc184314469"/>
      <w:bookmarkEnd w:id="228"/>
      <w:bookmarkStart w:id="229" w:name="_Toc184314411"/>
      <w:bookmarkEnd w:id="229"/>
      <w:bookmarkStart w:id="230" w:name="_Toc184308064"/>
      <w:bookmarkEnd w:id="230"/>
      <w:bookmarkStart w:id="231" w:name="_Toc184314477"/>
      <w:bookmarkEnd w:id="231"/>
      <w:bookmarkStart w:id="232" w:name="_Toc184312091"/>
      <w:bookmarkEnd w:id="232"/>
      <w:bookmarkStart w:id="233" w:name="_Toc184308045"/>
      <w:bookmarkEnd w:id="233"/>
      <w:bookmarkStart w:id="234" w:name="_Toc184312082"/>
      <w:bookmarkEnd w:id="234"/>
      <w:bookmarkStart w:id="235" w:name="_Toc184313285"/>
      <w:bookmarkEnd w:id="235"/>
      <w:bookmarkStart w:id="236" w:name="_Toc184314473"/>
      <w:bookmarkEnd w:id="236"/>
      <w:bookmarkStart w:id="237" w:name="_Toc184312072"/>
      <w:bookmarkEnd w:id="237"/>
      <w:bookmarkStart w:id="238" w:name="_Toc184314453"/>
      <w:bookmarkEnd w:id="238"/>
      <w:bookmarkStart w:id="239" w:name="_Toc184313281"/>
      <w:bookmarkEnd w:id="239"/>
      <w:bookmarkStart w:id="240" w:name="_Toc184314416"/>
      <w:bookmarkEnd w:id="240"/>
      <w:bookmarkStart w:id="241" w:name="_Toc184310296"/>
      <w:bookmarkEnd w:id="241"/>
      <w:bookmarkStart w:id="242" w:name="_Toc184314419"/>
      <w:bookmarkEnd w:id="242"/>
      <w:bookmarkStart w:id="243" w:name="_Toc184310290"/>
      <w:bookmarkEnd w:id="243"/>
      <w:bookmarkStart w:id="244" w:name="_Toc184313257"/>
      <w:bookmarkEnd w:id="244"/>
      <w:bookmarkStart w:id="245" w:name="_Toc184312098"/>
      <w:bookmarkEnd w:id="245"/>
      <w:bookmarkStart w:id="246" w:name="_Toc184313245"/>
      <w:bookmarkEnd w:id="246"/>
      <w:bookmarkStart w:id="247" w:name="_Toc184313239"/>
      <w:bookmarkEnd w:id="247"/>
      <w:bookmarkStart w:id="248" w:name="_Toc184314425"/>
      <w:bookmarkEnd w:id="248"/>
      <w:bookmarkStart w:id="249" w:name="_Toc184310310"/>
      <w:bookmarkEnd w:id="249"/>
      <w:bookmarkStart w:id="250" w:name="_Toc184314481"/>
      <w:bookmarkEnd w:id="250"/>
      <w:bookmarkStart w:id="251" w:name="_Toc184312127"/>
      <w:bookmarkEnd w:id="251"/>
      <w:bookmarkStart w:id="252" w:name="_Toc184312138"/>
      <w:bookmarkEnd w:id="252"/>
      <w:bookmarkStart w:id="253" w:name="_Toc184314466"/>
      <w:bookmarkEnd w:id="253"/>
      <w:bookmarkStart w:id="254" w:name="_Toc184310301"/>
      <w:bookmarkEnd w:id="254"/>
      <w:bookmarkStart w:id="255" w:name="_Toc184312096"/>
      <w:bookmarkEnd w:id="255"/>
      <w:bookmarkStart w:id="256" w:name="_Toc184314461"/>
      <w:bookmarkEnd w:id="256"/>
      <w:bookmarkStart w:id="257" w:name="_Toc184310306"/>
      <w:bookmarkEnd w:id="257"/>
      <w:bookmarkStart w:id="258" w:name="_Toc184313248"/>
      <w:bookmarkEnd w:id="258"/>
      <w:bookmarkStart w:id="259" w:name="_Toc184314422"/>
      <w:bookmarkEnd w:id="259"/>
      <w:bookmarkStart w:id="260" w:name="_Toc184313251"/>
      <w:bookmarkEnd w:id="260"/>
      <w:bookmarkStart w:id="261" w:name="_Toc184312067"/>
      <w:bookmarkEnd w:id="261"/>
      <w:bookmarkStart w:id="262" w:name="_Toc184312103"/>
      <w:bookmarkEnd w:id="262"/>
      <w:bookmarkStart w:id="263" w:name="_Toc184308048"/>
      <w:bookmarkEnd w:id="263"/>
      <w:bookmarkStart w:id="264" w:name="_Toc184310327"/>
      <w:bookmarkEnd w:id="264"/>
      <w:bookmarkStart w:id="265" w:name="_Toc184314424"/>
      <w:bookmarkEnd w:id="265"/>
      <w:bookmarkStart w:id="266" w:name="_Toc184312118"/>
      <w:bookmarkEnd w:id="266"/>
      <w:bookmarkStart w:id="267" w:name="_Toc184310342"/>
      <w:bookmarkEnd w:id="267"/>
      <w:bookmarkStart w:id="268" w:name="_Toc184308093"/>
      <w:bookmarkEnd w:id="268"/>
      <w:bookmarkStart w:id="269" w:name="_Toc184310343"/>
      <w:bookmarkEnd w:id="269"/>
      <w:bookmarkStart w:id="270" w:name="_Toc184310341"/>
      <w:bookmarkEnd w:id="270"/>
      <w:bookmarkStart w:id="271" w:name="_Toc184313308"/>
      <w:bookmarkEnd w:id="271"/>
      <w:bookmarkStart w:id="272" w:name="_Toc184312085"/>
      <w:bookmarkEnd w:id="272"/>
      <w:bookmarkStart w:id="273" w:name="_Toc184310324"/>
      <w:bookmarkEnd w:id="273"/>
      <w:bookmarkStart w:id="274" w:name="_Toc184310275"/>
      <w:bookmarkEnd w:id="274"/>
      <w:bookmarkStart w:id="275" w:name="_Toc184310302"/>
      <w:bookmarkEnd w:id="275"/>
      <w:bookmarkStart w:id="276" w:name="_Toc184308096"/>
      <w:bookmarkEnd w:id="276"/>
      <w:bookmarkStart w:id="277" w:name="_Toc184308059"/>
      <w:bookmarkEnd w:id="277"/>
      <w:bookmarkStart w:id="278" w:name="_Toc184312132"/>
      <w:bookmarkEnd w:id="278"/>
      <w:bookmarkStart w:id="279" w:name="_Toc184314441"/>
      <w:bookmarkEnd w:id="279"/>
      <w:bookmarkStart w:id="280" w:name="_Toc184308071"/>
      <w:bookmarkEnd w:id="280"/>
      <w:bookmarkStart w:id="281" w:name="_Toc184310288"/>
      <w:bookmarkEnd w:id="281"/>
      <w:bookmarkStart w:id="282" w:name="_Toc184313254"/>
      <w:bookmarkEnd w:id="282"/>
      <w:bookmarkStart w:id="283" w:name="_Toc184308036"/>
      <w:bookmarkEnd w:id="283"/>
      <w:bookmarkStart w:id="284" w:name="_Toc184312113"/>
      <w:bookmarkEnd w:id="284"/>
      <w:bookmarkStart w:id="285" w:name="_Toc184314430"/>
      <w:bookmarkEnd w:id="285"/>
      <w:bookmarkStart w:id="286" w:name="_Toc184314478"/>
      <w:bookmarkEnd w:id="286"/>
      <w:bookmarkStart w:id="287" w:name="_Toc184312121"/>
      <w:bookmarkEnd w:id="287"/>
      <w:bookmarkStart w:id="288" w:name="_Toc184313306"/>
      <w:bookmarkEnd w:id="288"/>
      <w:bookmarkStart w:id="289" w:name="_Toc184314460"/>
      <w:bookmarkEnd w:id="289"/>
      <w:bookmarkStart w:id="290" w:name="_Toc184312139"/>
      <w:bookmarkEnd w:id="290"/>
      <w:bookmarkStart w:id="291" w:name="_Toc184313244"/>
      <w:bookmarkEnd w:id="291"/>
      <w:bookmarkStart w:id="292" w:name="_Toc184313273"/>
      <w:bookmarkEnd w:id="292"/>
      <w:bookmarkStart w:id="293" w:name="_Toc184308062"/>
      <w:bookmarkEnd w:id="293"/>
      <w:bookmarkStart w:id="294" w:name="_Toc184310339"/>
      <w:bookmarkEnd w:id="294"/>
      <w:bookmarkStart w:id="295" w:name="_Toc184310287"/>
      <w:bookmarkEnd w:id="295"/>
      <w:bookmarkStart w:id="296" w:name="_Toc184308076"/>
      <w:bookmarkEnd w:id="296"/>
      <w:bookmarkStart w:id="297" w:name="_Toc184314434"/>
      <w:bookmarkEnd w:id="297"/>
      <w:bookmarkStart w:id="298" w:name="_Toc184310281"/>
      <w:bookmarkEnd w:id="298"/>
      <w:bookmarkStart w:id="299" w:name="_Toc184312128"/>
      <w:bookmarkEnd w:id="299"/>
      <w:bookmarkStart w:id="300" w:name="_Toc184312125"/>
      <w:bookmarkEnd w:id="300"/>
      <w:bookmarkStart w:id="301" w:name="_Toc184308039"/>
      <w:bookmarkEnd w:id="301"/>
      <w:bookmarkStart w:id="302" w:name="_Toc184314479"/>
      <w:bookmarkEnd w:id="302"/>
      <w:bookmarkStart w:id="303" w:name="_Toc184308057"/>
      <w:bookmarkEnd w:id="303"/>
      <w:bookmarkStart w:id="304" w:name="_Toc184310336"/>
      <w:bookmarkEnd w:id="304"/>
      <w:bookmarkStart w:id="305" w:name="_Toc184314447"/>
      <w:bookmarkEnd w:id="305"/>
      <w:bookmarkStart w:id="306" w:name="_Toc184312112"/>
      <w:bookmarkEnd w:id="306"/>
      <w:bookmarkStart w:id="307" w:name="_Toc184313282"/>
      <w:bookmarkEnd w:id="307"/>
      <w:bookmarkStart w:id="308" w:name="_Toc184312104"/>
      <w:bookmarkEnd w:id="308"/>
      <w:bookmarkStart w:id="309" w:name="_Toc184314480"/>
      <w:bookmarkEnd w:id="309"/>
      <w:bookmarkStart w:id="310" w:name="_Toc184313299"/>
      <w:bookmarkEnd w:id="310"/>
      <w:bookmarkStart w:id="311" w:name="_Toc184312105"/>
      <w:bookmarkEnd w:id="311"/>
      <w:bookmarkStart w:id="312" w:name="_Toc184310299"/>
      <w:bookmarkEnd w:id="312"/>
      <w:bookmarkStart w:id="313" w:name="_Toc184314420"/>
      <w:bookmarkEnd w:id="313"/>
      <w:bookmarkStart w:id="314" w:name="_Toc184310323"/>
      <w:bookmarkEnd w:id="314"/>
      <w:bookmarkStart w:id="315" w:name="_Toc184313262"/>
      <w:bookmarkEnd w:id="315"/>
      <w:bookmarkStart w:id="316" w:name="_Toc184308047"/>
      <w:bookmarkEnd w:id="316"/>
      <w:bookmarkStart w:id="317" w:name="_Toc184313246"/>
      <w:bookmarkEnd w:id="317"/>
      <w:bookmarkStart w:id="318" w:name="_Toc184313272"/>
      <w:bookmarkEnd w:id="318"/>
      <w:bookmarkStart w:id="319" w:name="_Toc184308072"/>
      <w:bookmarkEnd w:id="319"/>
      <w:bookmarkStart w:id="320" w:name="_Toc184312075"/>
      <w:bookmarkEnd w:id="320"/>
      <w:bookmarkStart w:id="321" w:name="_Toc184313240"/>
      <w:bookmarkEnd w:id="321"/>
      <w:bookmarkStart w:id="322" w:name="_Toc184312081"/>
      <w:bookmarkEnd w:id="322"/>
      <w:bookmarkStart w:id="323" w:name="_Toc184310280"/>
      <w:bookmarkEnd w:id="323"/>
      <w:bookmarkStart w:id="324" w:name="_Toc184310308"/>
      <w:bookmarkEnd w:id="324"/>
      <w:bookmarkStart w:id="325" w:name="_Toc184314445"/>
      <w:bookmarkEnd w:id="325"/>
      <w:bookmarkStart w:id="326" w:name="_Toc184310312"/>
      <w:bookmarkEnd w:id="326"/>
      <w:bookmarkStart w:id="327" w:name="_Toc184312123"/>
      <w:bookmarkEnd w:id="327"/>
      <w:bookmarkStart w:id="328" w:name="_Toc184312086"/>
      <w:bookmarkEnd w:id="328"/>
      <w:bookmarkStart w:id="329" w:name="_Toc184314435"/>
      <w:bookmarkEnd w:id="329"/>
      <w:bookmarkStart w:id="330" w:name="_Toc184314467"/>
      <w:bookmarkEnd w:id="330"/>
      <w:bookmarkStart w:id="331" w:name="_Toc184308066"/>
      <w:bookmarkEnd w:id="331"/>
      <w:bookmarkStart w:id="332" w:name="_Toc184312071"/>
      <w:bookmarkEnd w:id="332"/>
      <w:bookmarkStart w:id="333" w:name="_Toc184310279"/>
      <w:bookmarkEnd w:id="333"/>
      <w:bookmarkStart w:id="334" w:name="_Toc184314410"/>
      <w:bookmarkEnd w:id="334"/>
      <w:bookmarkStart w:id="335" w:name="_Toc184310318"/>
      <w:bookmarkEnd w:id="335"/>
      <w:bookmarkStart w:id="336" w:name="_Toc184308082"/>
      <w:bookmarkEnd w:id="336"/>
      <w:bookmarkStart w:id="337" w:name="_Toc184308108"/>
      <w:bookmarkEnd w:id="337"/>
      <w:bookmarkStart w:id="338" w:name="_Toc184313274"/>
      <w:bookmarkEnd w:id="338"/>
      <w:bookmarkStart w:id="339" w:name="_Toc184312074"/>
      <w:bookmarkEnd w:id="339"/>
      <w:bookmarkStart w:id="340" w:name="_Toc184310326"/>
      <w:bookmarkEnd w:id="340"/>
      <w:bookmarkStart w:id="341" w:name="_Toc184313242"/>
      <w:bookmarkEnd w:id="341"/>
      <w:bookmarkStart w:id="342" w:name="_Toc184312102"/>
      <w:bookmarkEnd w:id="342"/>
      <w:bookmarkStart w:id="343" w:name="_Toc184310317"/>
      <w:bookmarkEnd w:id="343"/>
      <w:bookmarkStart w:id="344" w:name="_Toc184314456"/>
      <w:bookmarkEnd w:id="344"/>
      <w:bookmarkStart w:id="345" w:name="_Toc184310340"/>
      <w:bookmarkEnd w:id="345"/>
      <w:bookmarkStart w:id="346" w:name="_Toc184308087"/>
      <w:bookmarkEnd w:id="346"/>
      <w:bookmarkStart w:id="347" w:name="_Toc184313267"/>
      <w:bookmarkEnd w:id="347"/>
      <w:bookmarkStart w:id="348" w:name="_Toc184308094"/>
      <w:bookmarkEnd w:id="348"/>
      <w:bookmarkStart w:id="349" w:name="_Toc184310309"/>
      <w:bookmarkEnd w:id="349"/>
      <w:bookmarkStart w:id="350" w:name="_Toc184312111"/>
      <w:bookmarkEnd w:id="350"/>
      <w:bookmarkStart w:id="351" w:name="_Toc184312122"/>
      <w:bookmarkEnd w:id="351"/>
      <w:bookmarkStart w:id="352" w:name="_Toc184314438"/>
      <w:bookmarkEnd w:id="352"/>
      <w:bookmarkStart w:id="353" w:name="_Toc184312080"/>
      <w:bookmarkEnd w:id="353"/>
      <w:bookmarkStart w:id="354" w:name="_Toc184310328"/>
      <w:bookmarkEnd w:id="354"/>
      <w:bookmarkStart w:id="355" w:name="_Toc184314476"/>
      <w:bookmarkEnd w:id="355"/>
      <w:bookmarkStart w:id="356" w:name="_Toc184308037"/>
      <w:bookmarkEnd w:id="356"/>
      <w:bookmarkStart w:id="357" w:name="_Toc184313268"/>
      <w:bookmarkEnd w:id="357"/>
      <w:bookmarkStart w:id="358" w:name="_Toc184314462"/>
      <w:bookmarkEnd w:id="358"/>
      <w:bookmarkStart w:id="359" w:name="_Toc184313249"/>
      <w:bookmarkEnd w:id="359"/>
      <w:bookmarkStart w:id="360" w:name="_Toc184312124"/>
      <w:bookmarkEnd w:id="360"/>
      <w:bookmarkStart w:id="361" w:name="_Toc184314472"/>
      <w:bookmarkEnd w:id="361"/>
      <w:bookmarkStart w:id="362" w:name="_Toc184308081"/>
      <w:bookmarkEnd w:id="362"/>
      <w:bookmarkStart w:id="363" w:name="_Toc184308086"/>
      <w:bookmarkEnd w:id="363"/>
      <w:bookmarkStart w:id="364" w:name="_Toc184310274"/>
      <w:bookmarkEnd w:id="364"/>
      <w:bookmarkStart w:id="365" w:name="_Toc184313290"/>
      <w:bookmarkEnd w:id="365"/>
      <w:bookmarkStart w:id="366" w:name="_Toc184313286"/>
      <w:bookmarkEnd w:id="366"/>
      <w:bookmarkStart w:id="367" w:name="_Toc184313260"/>
      <w:bookmarkEnd w:id="367"/>
      <w:bookmarkStart w:id="368" w:name="_Toc184310333"/>
      <w:bookmarkEnd w:id="368"/>
      <w:bookmarkStart w:id="369" w:name="_Toc184313301"/>
      <w:bookmarkEnd w:id="369"/>
      <w:bookmarkStart w:id="370" w:name="_Toc184312109"/>
      <w:bookmarkEnd w:id="370"/>
      <w:bookmarkStart w:id="371" w:name="_Toc184310321"/>
      <w:bookmarkEnd w:id="371"/>
      <w:bookmarkStart w:id="372" w:name="_Toc184310331"/>
      <w:bookmarkEnd w:id="372"/>
      <w:bookmarkStart w:id="373" w:name="_Toc184310334"/>
      <w:bookmarkEnd w:id="373"/>
      <w:bookmarkStart w:id="374" w:name="_Toc184312073"/>
      <w:bookmarkEnd w:id="374"/>
      <w:bookmarkStart w:id="375" w:name="_Toc184312087"/>
      <w:bookmarkEnd w:id="375"/>
      <w:bookmarkStart w:id="376" w:name="_Toc184312110"/>
      <w:bookmarkEnd w:id="376"/>
      <w:bookmarkStart w:id="377" w:name="_Toc184312084"/>
      <w:bookmarkEnd w:id="377"/>
      <w:bookmarkStart w:id="378" w:name="_Toc184308102"/>
      <w:bookmarkEnd w:id="378"/>
      <w:bookmarkStart w:id="379" w:name="_Toc184314455"/>
      <w:bookmarkEnd w:id="379"/>
      <w:bookmarkStart w:id="380" w:name="_Toc184313309"/>
      <w:bookmarkEnd w:id="380"/>
      <w:bookmarkStart w:id="381" w:name="_Toc184314415"/>
      <w:bookmarkEnd w:id="381"/>
      <w:bookmarkStart w:id="382" w:name="_Toc184310294"/>
      <w:bookmarkEnd w:id="382"/>
      <w:bookmarkStart w:id="383" w:name="_Toc184313287"/>
      <w:bookmarkEnd w:id="383"/>
      <w:bookmarkStart w:id="384" w:name="_Toc184308042"/>
      <w:bookmarkEnd w:id="384"/>
      <w:bookmarkStart w:id="385" w:name="_Toc184314442"/>
      <w:bookmarkEnd w:id="385"/>
      <w:bookmarkStart w:id="386" w:name="_Toc184310300"/>
      <w:bookmarkEnd w:id="386"/>
      <w:bookmarkStart w:id="387" w:name="_Toc184314463"/>
      <w:bookmarkEnd w:id="387"/>
      <w:bookmarkStart w:id="388" w:name="_Toc184312133"/>
      <w:bookmarkEnd w:id="388"/>
      <w:bookmarkStart w:id="389" w:name="_Toc184310319"/>
      <w:bookmarkEnd w:id="389"/>
      <w:bookmarkStart w:id="390" w:name="_Toc184308050"/>
      <w:bookmarkEnd w:id="390"/>
      <w:bookmarkStart w:id="391" w:name="_Toc184310329"/>
      <w:bookmarkEnd w:id="391"/>
      <w:bookmarkStart w:id="392" w:name="_Toc184308067"/>
      <w:bookmarkEnd w:id="392"/>
      <w:bookmarkStart w:id="393" w:name="_Toc184312099"/>
      <w:bookmarkEnd w:id="393"/>
      <w:r>
        <w:rPr>
          <w:rFonts w:hint="eastAsia" w:ascii="宋体" w:hAnsi="宋体" w:cs="宋体"/>
          <w:b/>
          <w:color w:val="auto"/>
          <w:sz w:val="36"/>
          <w:szCs w:val="36"/>
          <w:highlight w:val="none"/>
        </w:rPr>
        <w:t>评标办法</w:t>
      </w:r>
    </w:p>
    <w:p w14:paraId="0EDD5B1B">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7242"/>
        <w:gridCol w:w="502"/>
        <w:gridCol w:w="752"/>
      </w:tblGrid>
      <w:tr w14:paraId="79B57C3B">
        <w:trPr>
          <w:trHeight w:val="467" w:hRule="atLeast"/>
          <w:tblHeader/>
          <w:jc w:val="center"/>
        </w:trPr>
        <w:tc>
          <w:tcPr>
            <w:tcW w:w="460" w:type="pct"/>
            <w:noWrap w:val="0"/>
            <w:vAlign w:val="center"/>
          </w:tcPr>
          <w:p w14:paraId="73C37655">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序号</w:t>
            </w:r>
          </w:p>
        </w:tc>
        <w:tc>
          <w:tcPr>
            <w:tcW w:w="3869" w:type="pct"/>
            <w:noWrap w:val="0"/>
            <w:vAlign w:val="center"/>
          </w:tcPr>
          <w:p w14:paraId="65FCD1F4">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评分内容和标准</w:t>
            </w:r>
          </w:p>
        </w:tc>
        <w:tc>
          <w:tcPr>
            <w:tcW w:w="268" w:type="pct"/>
            <w:noWrap w:val="0"/>
            <w:vAlign w:val="center"/>
          </w:tcPr>
          <w:p w14:paraId="7CCCCD2E">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分值</w:t>
            </w:r>
          </w:p>
        </w:tc>
        <w:tc>
          <w:tcPr>
            <w:tcW w:w="401" w:type="pct"/>
            <w:noWrap w:val="0"/>
            <w:vAlign w:val="center"/>
          </w:tcPr>
          <w:p w14:paraId="48CC59B2">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主观分/客观分属性</w:t>
            </w:r>
          </w:p>
        </w:tc>
      </w:tr>
      <w:tr w14:paraId="12670156">
        <w:trPr>
          <w:trHeight w:val="900" w:hRule="atLeast"/>
          <w:jc w:val="center"/>
        </w:trPr>
        <w:tc>
          <w:tcPr>
            <w:tcW w:w="460" w:type="pct"/>
            <w:noWrap w:val="0"/>
            <w:vAlign w:val="center"/>
          </w:tcPr>
          <w:p w14:paraId="089AB7D0">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3869" w:type="pct"/>
            <w:noWrap w:val="0"/>
            <w:vAlign w:val="center"/>
          </w:tcPr>
          <w:p w14:paraId="52070BEC">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投标人自202</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lang w:val="en-US" w:eastAsia="zh-CN"/>
              </w:rPr>
              <w:t>1月1日</w:t>
            </w:r>
            <w:r>
              <w:rPr>
                <w:rFonts w:hint="eastAsia" w:asciiTheme="minorEastAsia" w:hAnsiTheme="minorEastAsia" w:eastAsiaTheme="minorEastAsia" w:cstheme="minorEastAsia"/>
                <w:color w:val="auto"/>
                <w:kern w:val="0"/>
                <w:sz w:val="24"/>
                <w:szCs w:val="24"/>
                <w:highlight w:val="none"/>
              </w:rPr>
              <w:t>以来具有的类似项目业绩（类似业绩指</w:t>
            </w:r>
            <w:r>
              <w:rPr>
                <w:rFonts w:hint="eastAsia" w:asciiTheme="minorEastAsia" w:hAnsiTheme="minorEastAsia" w:eastAsiaTheme="minorEastAsia" w:cstheme="minorEastAsia"/>
                <w:color w:val="auto"/>
                <w:kern w:val="0"/>
                <w:sz w:val="24"/>
                <w:szCs w:val="24"/>
                <w:highlight w:val="none"/>
                <w:lang w:val="en-US" w:eastAsia="zh-CN"/>
              </w:rPr>
              <w:t>交通运输类相关服务</w:t>
            </w:r>
            <w:r>
              <w:rPr>
                <w:rFonts w:hint="eastAsia" w:asciiTheme="minorEastAsia" w:hAnsiTheme="minorEastAsia" w:eastAsiaTheme="minorEastAsia" w:cstheme="minorEastAsia"/>
                <w:color w:val="auto"/>
                <w:kern w:val="0"/>
                <w:sz w:val="24"/>
                <w:szCs w:val="24"/>
                <w:highlight w:val="none"/>
              </w:rPr>
              <w:t>），每个得</w:t>
            </w:r>
            <w:r>
              <w:rPr>
                <w:rFonts w:hint="eastAsia" w:asciiTheme="minorEastAsia" w:hAnsiTheme="minorEastAsia" w:eastAsiaTheme="minorEastAsia" w:cstheme="minorEastAsia"/>
                <w:color w:val="auto"/>
                <w:kern w:val="0"/>
                <w:sz w:val="24"/>
                <w:szCs w:val="24"/>
                <w:highlight w:val="none"/>
                <w:lang w:val="en-US"/>
              </w:rPr>
              <w:t>0.5</w:t>
            </w:r>
            <w:r>
              <w:rPr>
                <w:rFonts w:hint="eastAsia" w:asciiTheme="minorEastAsia" w:hAnsiTheme="minorEastAsia" w:eastAsiaTheme="minorEastAsia" w:cstheme="minorEastAsia"/>
                <w:color w:val="auto"/>
                <w:kern w:val="0"/>
                <w:sz w:val="24"/>
                <w:szCs w:val="24"/>
                <w:highlight w:val="none"/>
              </w:rPr>
              <w:t>分，最高得1分。</w:t>
            </w:r>
          </w:p>
          <w:p w14:paraId="77F32802">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注：提供相应的证明文件（合同扫描件），时间以合同签订时间为准。</w:t>
            </w:r>
          </w:p>
        </w:tc>
        <w:tc>
          <w:tcPr>
            <w:tcW w:w="268" w:type="pct"/>
            <w:noWrap w:val="0"/>
            <w:vAlign w:val="center"/>
          </w:tcPr>
          <w:p w14:paraId="2FC4B200">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rPr>
              <w:t>1</w:t>
            </w:r>
          </w:p>
        </w:tc>
        <w:tc>
          <w:tcPr>
            <w:tcW w:w="401" w:type="pct"/>
            <w:noWrap w:val="0"/>
            <w:vAlign w:val="center"/>
          </w:tcPr>
          <w:p w14:paraId="5A5CBDD1">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客观分</w:t>
            </w:r>
          </w:p>
        </w:tc>
      </w:tr>
      <w:tr w14:paraId="14EF815F">
        <w:trPr>
          <w:trHeight w:val="900" w:hRule="atLeast"/>
          <w:jc w:val="center"/>
        </w:trPr>
        <w:tc>
          <w:tcPr>
            <w:tcW w:w="460" w:type="pct"/>
            <w:noWrap w:val="0"/>
            <w:vAlign w:val="center"/>
          </w:tcPr>
          <w:p w14:paraId="0B29AF3F">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w:t>
            </w:r>
          </w:p>
        </w:tc>
        <w:tc>
          <w:tcPr>
            <w:tcW w:w="3869" w:type="pct"/>
            <w:noWrap w:val="0"/>
            <w:vAlign w:val="center"/>
          </w:tcPr>
          <w:p w14:paraId="718120E1">
            <w:pPr>
              <w:widowControl/>
              <w:jc w:val="both"/>
              <w:rPr>
                <w:rFonts w:hint="eastAsia" w:asciiTheme="minorEastAsia" w:hAnsiTheme="minorEastAsia" w:eastAsiaTheme="minorEastAsia" w:cstheme="minorEastAsia"/>
                <w:color w:val="auto"/>
                <w:kern w:val="0"/>
                <w:sz w:val="24"/>
                <w:szCs w:val="24"/>
                <w:highlight w:val="none"/>
              </w:rPr>
            </w:pP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具有有效的ISO20000信息技术服务管理体系认证证书、ISO9001质量管理体系认证证书，每提供1份得1分，满分2分，提供认证证书扫描件及网页公示截图（</w:t>
            </w:r>
            <w:r>
              <w:rPr>
                <w:rFonts w:hint="eastAsia"/>
                <w:color w:val="auto"/>
                <w:sz w:val="24"/>
                <w:highlight w:val="none"/>
              </w:rPr>
              <w:t>中国国家认证认可监督管理委员会http://www.cnca.gov.cn)或中国合格评定国家认可委员会(https://www.cnas.org.cn)</w:t>
            </w:r>
            <w:r>
              <w:rPr>
                <w:rFonts w:hint="eastAsia" w:ascii="宋体" w:hAnsi="宋体" w:cs="宋体"/>
                <w:color w:val="auto"/>
                <w:sz w:val="24"/>
                <w:highlight w:val="none"/>
              </w:rPr>
              <w:t>），不提供不得分。</w:t>
            </w:r>
          </w:p>
        </w:tc>
        <w:tc>
          <w:tcPr>
            <w:tcW w:w="268" w:type="pct"/>
            <w:noWrap w:val="0"/>
            <w:vAlign w:val="center"/>
          </w:tcPr>
          <w:p w14:paraId="41FC81B2">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w:t>
            </w:r>
          </w:p>
        </w:tc>
        <w:tc>
          <w:tcPr>
            <w:tcW w:w="401" w:type="pct"/>
            <w:noWrap w:val="0"/>
            <w:vAlign w:val="center"/>
          </w:tcPr>
          <w:p w14:paraId="4C9AC5DF">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客观分</w:t>
            </w:r>
          </w:p>
        </w:tc>
      </w:tr>
      <w:tr w14:paraId="469ED203">
        <w:trPr>
          <w:trHeight w:val="588" w:hRule="atLeast"/>
          <w:jc w:val="center"/>
        </w:trPr>
        <w:tc>
          <w:tcPr>
            <w:tcW w:w="460" w:type="pct"/>
            <w:noWrap w:val="0"/>
            <w:vAlign w:val="center"/>
          </w:tcPr>
          <w:p w14:paraId="41F38EDF">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w:t>
            </w:r>
          </w:p>
        </w:tc>
        <w:tc>
          <w:tcPr>
            <w:tcW w:w="4539" w:type="pct"/>
            <w:gridSpan w:val="3"/>
            <w:noWrap w:val="0"/>
            <w:vAlign w:val="center"/>
          </w:tcPr>
          <w:p w14:paraId="42740BE2">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拟派项目组人员</w:t>
            </w:r>
          </w:p>
        </w:tc>
      </w:tr>
      <w:tr w14:paraId="457ADB04">
        <w:trPr>
          <w:trHeight w:val="588" w:hRule="atLeast"/>
          <w:jc w:val="center"/>
        </w:trPr>
        <w:tc>
          <w:tcPr>
            <w:tcW w:w="460" w:type="pct"/>
            <w:noWrap w:val="0"/>
            <w:vAlign w:val="center"/>
          </w:tcPr>
          <w:p w14:paraId="75022C1E">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3.1</w:t>
            </w:r>
          </w:p>
        </w:tc>
        <w:tc>
          <w:tcPr>
            <w:tcW w:w="3869" w:type="pct"/>
            <w:noWrap w:val="0"/>
            <w:vAlign w:val="center"/>
          </w:tcPr>
          <w:p w14:paraId="3717B25D">
            <w:pPr>
              <w:widowControl/>
              <w:numPr>
                <w:ilvl w:val="0"/>
                <w:numId w:val="0"/>
              </w:numPr>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拟派项目负责人具有交通运输专业相关的</w:t>
            </w:r>
            <w:r>
              <w:rPr>
                <w:rFonts w:hint="eastAsia" w:asciiTheme="minorEastAsia" w:hAnsiTheme="minorEastAsia" w:eastAsiaTheme="minorEastAsia" w:cstheme="minorEastAsia"/>
                <w:color w:val="auto"/>
                <w:kern w:val="0"/>
                <w:sz w:val="24"/>
                <w:szCs w:val="24"/>
                <w:highlight w:val="none"/>
                <w:lang w:val="en-US" w:eastAsia="zh-CN"/>
              </w:rPr>
              <w:t>正</w:t>
            </w:r>
            <w:r>
              <w:rPr>
                <w:rFonts w:hint="eastAsia" w:asciiTheme="minorEastAsia" w:hAnsiTheme="minorEastAsia" w:eastAsiaTheme="minorEastAsia" w:cstheme="minorEastAsia"/>
                <w:color w:val="auto"/>
                <w:kern w:val="0"/>
                <w:sz w:val="24"/>
                <w:szCs w:val="24"/>
                <w:highlight w:val="none"/>
              </w:rPr>
              <w:t>高级职称</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提供职称证书扫描件，得5</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3D85F46A">
            <w:pPr>
              <w:widowControl/>
              <w:numPr>
                <w:ilvl w:val="0"/>
                <w:numId w:val="0"/>
              </w:numPr>
              <w:jc w:val="left"/>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拟派项目负责人</w:t>
            </w:r>
            <w:r>
              <w:rPr>
                <w:rFonts w:hint="eastAsia" w:asciiTheme="minorEastAsia" w:hAnsiTheme="minorEastAsia" w:eastAsiaTheme="minorEastAsia" w:cstheme="minorEastAsia"/>
                <w:color w:val="auto"/>
                <w:kern w:val="0"/>
                <w:sz w:val="24"/>
                <w:szCs w:val="24"/>
                <w:highlight w:val="none"/>
                <w:lang w:val="en-US" w:eastAsia="zh-CN"/>
              </w:rPr>
              <w:t>具备</w:t>
            </w:r>
            <w:r>
              <w:rPr>
                <w:rFonts w:hint="eastAsia" w:asciiTheme="minorEastAsia" w:hAnsiTheme="minorEastAsia" w:eastAsiaTheme="minorEastAsia" w:cstheme="minorEastAsia"/>
                <w:color w:val="auto"/>
                <w:kern w:val="0"/>
                <w:sz w:val="24"/>
                <w:szCs w:val="24"/>
                <w:highlight w:val="none"/>
              </w:rPr>
              <w:t>我省交通运输信用相关工作</w:t>
            </w:r>
            <w:r>
              <w:rPr>
                <w:rFonts w:hint="eastAsia" w:asciiTheme="minorEastAsia" w:hAnsiTheme="minorEastAsia" w:eastAsiaTheme="minorEastAsia" w:cstheme="minorEastAsia"/>
                <w:color w:val="auto"/>
                <w:kern w:val="0"/>
                <w:sz w:val="24"/>
                <w:szCs w:val="24"/>
                <w:highlight w:val="none"/>
                <w:lang w:val="en-US" w:eastAsia="zh-CN"/>
              </w:rPr>
              <w:t>经验的，提供相关证明材料（以中标通知书或合同复印件或成果文件为准，如不能显示项目负责人姓名，提供其他证明材料），得5分。</w:t>
            </w:r>
          </w:p>
          <w:p w14:paraId="4707C9E1">
            <w:pPr>
              <w:widowControl/>
              <w:numPr>
                <w:ilvl w:val="0"/>
                <w:numId w:val="0"/>
              </w:numPr>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注：须提供拟派人员在投标人</w:t>
            </w:r>
            <w:r>
              <w:rPr>
                <w:rFonts w:hint="eastAsia" w:asciiTheme="minorEastAsia" w:hAnsiTheme="minorEastAsia" w:eastAsiaTheme="minorEastAsia" w:cstheme="minorEastAsia"/>
                <w:color w:val="auto"/>
                <w:kern w:val="0"/>
                <w:sz w:val="24"/>
                <w:szCs w:val="24"/>
                <w:highlight w:val="none"/>
                <w:lang w:val="en-US" w:eastAsia="zh-CN"/>
              </w:rPr>
              <w:t>单位</w:t>
            </w:r>
            <w:r>
              <w:rPr>
                <w:rFonts w:hint="eastAsia" w:asciiTheme="minorEastAsia" w:hAnsiTheme="minorEastAsia" w:eastAsiaTheme="minorEastAsia" w:cstheme="minorEastAsia"/>
                <w:color w:val="auto"/>
                <w:kern w:val="0"/>
                <w:sz w:val="24"/>
                <w:szCs w:val="24"/>
                <w:highlight w:val="none"/>
              </w:rPr>
              <w:t>最近3个月内任意1个月的社保证明，不提供的不得分。</w:t>
            </w:r>
          </w:p>
        </w:tc>
        <w:tc>
          <w:tcPr>
            <w:tcW w:w="268" w:type="pct"/>
            <w:noWrap w:val="0"/>
            <w:vAlign w:val="center"/>
          </w:tcPr>
          <w:p w14:paraId="18D77C9E">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10</w:t>
            </w:r>
          </w:p>
        </w:tc>
        <w:tc>
          <w:tcPr>
            <w:tcW w:w="401" w:type="pct"/>
            <w:noWrap w:val="0"/>
            <w:vAlign w:val="center"/>
          </w:tcPr>
          <w:p w14:paraId="18D06AEE">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客观分</w:t>
            </w:r>
          </w:p>
        </w:tc>
      </w:tr>
      <w:tr w14:paraId="4CC38787">
        <w:trPr>
          <w:trHeight w:val="229" w:hRule="atLeast"/>
          <w:jc w:val="center"/>
        </w:trPr>
        <w:tc>
          <w:tcPr>
            <w:tcW w:w="460" w:type="pct"/>
            <w:noWrap w:val="0"/>
            <w:vAlign w:val="center"/>
          </w:tcPr>
          <w:p w14:paraId="4EC8D5A4">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3.2</w:t>
            </w:r>
          </w:p>
        </w:tc>
        <w:tc>
          <w:tcPr>
            <w:tcW w:w="3869" w:type="pct"/>
            <w:noWrap w:val="0"/>
            <w:vAlign w:val="center"/>
          </w:tcPr>
          <w:p w14:paraId="3057AB64">
            <w:pPr>
              <w:widowControl/>
              <w:numPr>
                <w:ilvl w:val="0"/>
                <w:numId w:val="0"/>
              </w:numPr>
              <w:jc w:val="both"/>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除拟派项目负责人以外的人员中具有交通运输专业相关的</w:t>
            </w:r>
            <w:r>
              <w:rPr>
                <w:rFonts w:hint="eastAsia" w:asciiTheme="minorEastAsia" w:hAnsiTheme="minorEastAsia" w:eastAsiaTheme="minorEastAsia" w:cstheme="minorEastAsia"/>
                <w:color w:val="auto"/>
                <w:kern w:val="0"/>
                <w:sz w:val="24"/>
                <w:szCs w:val="24"/>
                <w:highlight w:val="none"/>
                <w:lang w:val="en-US" w:eastAsia="zh-CN"/>
              </w:rPr>
              <w:t>中级</w:t>
            </w:r>
            <w:r>
              <w:rPr>
                <w:rFonts w:hint="eastAsia" w:asciiTheme="minorEastAsia" w:hAnsiTheme="minorEastAsia" w:eastAsiaTheme="minorEastAsia" w:cstheme="minorEastAsia"/>
                <w:color w:val="auto"/>
                <w:kern w:val="0"/>
                <w:sz w:val="24"/>
                <w:szCs w:val="24"/>
                <w:highlight w:val="none"/>
              </w:rPr>
              <w:t>职称，提供职称证书扫描件</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每份证书</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分，具有交通运输专业相关的</w:t>
            </w:r>
            <w:r>
              <w:rPr>
                <w:rFonts w:hint="eastAsia" w:asciiTheme="minorEastAsia" w:hAnsiTheme="minorEastAsia" w:eastAsiaTheme="minorEastAsia" w:cstheme="minorEastAsia"/>
                <w:color w:val="auto"/>
                <w:kern w:val="0"/>
                <w:sz w:val="24"/>
                <w:szCs w:val="24"/>
                <w:highlight w:val="none"/>
                <w:lang w:val="en-US" w:eastAsia="zh-CN"/>
              </w:rPr>
              <w:t>副高级及以上</w:t>
            </w:r>
            <w:r>
              <w:rPr>
                <w:rFonts w:hint="eastAsia" w:asciiTheme="minorEastAsia" w:hAnsiTheme="minorEastAsia" w:eastAsiaTheme="minorEastAsia" w:cstheme="minorEastAsia"/>
                <w:color w:val="auto"/>
                <w:kern w:val="0"/>
                <w:sz w:val="24"/>
                <w:szCs w:val="24"/>
                <w:highlight w:val="none"/>
              </w:rPr>
              <w:t>职称，提供职称证书扫描件</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每份证书</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val="en-US" w:eastAsia="zh-CN"/>
              </w:rPr>
              <w:t>最高得6分。</w:t>
            </w:r>
          </w:p>
          <w:p w14:paraId="3A59D32E">
            <w:pPr>
              <w:keepNext w:val="0"/>
              <w:keepLines w:val="0"/>
              <w:widowControl/>
              <w:spacing w:before="0" w:after="0"/>
              <w:ind w:left="0"/>
              <w:jc w:val="left"/>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除拟派项目负责人以外的人员</w:t>
            </w:r>
            <w:r>
              <w:rPr>
                <w:rFonts w:hint="eastAsia" w:asciiTheme="minorEastAsia" w:hAnsiTheme="minorEastAsia" w:eastAsiaTheme="minorEastAsia" w:cstheme="minorEastAsia"/>
                <w:b w:val="0"/>
                <w:bCs w:val="0"/>
                <w:color w:val="auto"/>
                <w:kern w:val="0"/>
                <w:sz w:val="24"/>
                <w:szCs w:val="24"/>
                <w:highlight w:val="none"/>
              </w:rPr>
              <w:t>具有硕士及以上</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学位</w:t>
            </w:r>
            <w:r>
              <w:rPr>
                <w:rFonts w:hint="eastAsia" w:asciiTheme="minorEastAsia" w:hAnsiTheme="minorEastAsia" w:eastAsiaTheme="minorEastAsia" w:cstheme="minorEastAsia"/>
                <w:b w:val="0"/>
                <w:bCs w:val="0"/>
                <w:color w:val="auto"/>
                <w:kern w:val="0"/>
                <w:sz w:val="24"/>
                <w:szCs w:val="24"/>
                <w:highlight w:val="none"/>
              </w:rPr>
              <w:t>的，每提供1人得1分，最高得</w:t>
            </w:r>
            <w:r>
              <w:rPr>
                <w:rFonts w:hint="eastAsia" w:asciiTheme="minorEastAsia" w:hAnsiTheme="minorEastAsia" w:eastAsiaTheme="minorEastAsia" w:cstheme="minorEastAsia"/>
                <w:b w:val="0"/>
                <w:bCs w:val="0"/>
                <w:color w:val="auto"/>
                <w:kern w:val="0"/>
                <w:sz w:val="24"/>
                <w:szCs w:val="24"/>
                <w:highlight w:val="none"/>
                <w:lang w:val="en-US" w:eastAsia="zh-CN"/>
              </w:rPr>
              <w:t>2</w:t>
            </w:r>
            <w:r>
              <w:rPr>
                <w:rFonts w:hint="eastAsia" w:asciiTheme="minorEastAsia" w:hAnsiTheme="minorEastAsia" w:eastAsiaTheme="minorEastAsia" w:cstheme="minorEastAsia"/>
                <w:b w:val="0"/>
                <w:bCs w:val="0"/>
                <w:color w:val="auto"/>
                <w:kern w:val="0"/>
                <w:sz w:val="24"/>
                <w:szCs w:val="24"/>
                <w:highlight w:val="none"/>
              </w:rPr>
              <w:t>分，提供证明材料</w:t>
            </w:r>
            <w:r>
              <w:rPr>
                <w:rFonts w:hint="eastAsia" w:asciiTheme="minorEastAsia" w:hAnsiTheme="minorEastAsia" w:eastAsiaTheme="minorEastAsia" w:cstheme="minorEastAsia"/>
                <w:b w:val="0"/>
                <w:bCs w:val="0"/>
                <w:color w:val="auto"/>
                <w:kern w:val="0"/>
                <w:sz w:val="24"/>
                <w:szCs w:val="24"/>
                <w:highlight w:val="none"/>
                <w:lang w:eastAsia="zh-CN"/>
              </w:rPr>
              <w:t>（</w:t>
            </w:r>
            <w:r>
              <w:rPr>
                <w:rFonts w:hint="eastAsia" w:asciiTheme="minorEastAsia" w:hAnsiTheme="minorEastAsia" w:eastAsiaTheme="minorEastAsia" w:cstheme="minorEastAsia"/>
                <w:b w:val="0"/>
                <w:bCs w:val="0"/>
                <w:color w:val="auto"/>
                <w:kern w:val="0"/>
                <w:sz w:val="24"/>
                <w:szCs w:val="24"/>
                <w:highlight w:val="none"/>
                <w:lang w:val="en-US" w:eastAsia="zh-CN"/>
              </w:rPr>
              <w:t>毕业证书、学位证书或学信网学籍证明</w:t>
            </w:r>
            <w:r>
              <w:rPr>
                <w:rFonts w:hint="eastAsia" w:asciiTheme="minorEastAsia" w:hAnsiTheme="minorEastAsia" w:eastAsiaTheme="minorEastAsia" w:cstheme="minorEastAsia"/>
                <w:b w:val="0"/>
                <w:bCs w:val="0"/>
                <w:color w:val="auto"/>
                <w:kern w:val="0"/>
                <w:sz w:val="24"/>
                <w:szCs w:val="24"/>
                <w:highlight w:val="none"/>
                <w:lang w:eastAsia="zh-CN"/>
              </w:rPr>
              <w:t>）</w:t>
            </w:r>
            <w:r>
              <w:rPr>
                <w:rFonts w:hint="eastAsia" w:asciiTheme="minorEastAsia" w:hAnsiTheme="minorEastAsia" w:eastAsiaTheme="minorEastAsia" w:cstheme="minorEastAsia"/>
                <w:b w:val="0"/>
                <w:bCs w:val="0"/>
                <w:color w:val="auto"/>
                <w:kern w:val="0"/>
                <w:sz w:val="24"/>
                <w:szCs w:val="24"/>
                <w:highlight w:val="none"/>
              </w:rPr>
              <w:t>。</w:t>
            </w:r>
          </w:p>
          <w:p w14:paraId="4B3EEFE5">
            <w:pPr>
              <w:widowControl/>
              <w:numPr>
                <w:ilvl w:val="0"/>
                <w:numId w:val="0"/>
              </w:numPr>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除拟派项目负责人以外的人员具备我省交通运输信用相关工作</w:t>
            </w:r>
            <w:r>
              <w:rPr>
                <w:rFonts w:hint="eastAsia" w:asciiTheme="minorEastAsia" w:hAnsiTheme="minorEastAsia" w:eastAsiaTheme="minorEastAsia" w:cstheme="minorEastAsia"/>
                <w:color w:val="auto"/>
                <w:kern w:val="0"/>
                <w:sz w:val="24"/>
                <w:szCs w:val="24"/>
                <w:highlight w:val="none"/>
                <w:lang w:val="en-US" w:eastAsia="zh-CN"/>
              </w:rPr>
              <w:t>经验的，提供相关证明材料（以中标通知书或合同复印件或成果文件为准，如不能显示项目负责人姓名，提供其他证明材料）</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每1人</w:t>
            </w:r>
            <w:r>
              <w:rPr>
                <w:rFonts w:hint="eastAsia" w:asciiTheme="minorEastAsia" w:hAnsiTheme="minorEastAsia" w:eastAsiaTheme="minorEastAsia" w:cstheme="minorEastAsia"/>
                <w:color w:val="auto"/>
                <w:kern w:val="0"/>
                <w:sz w:val="24"/>
                <w:szCs w:val="24"/>
                <w:highlight w:val="none"/>
              </w:rPr>
              <w:t>得1分，</w:t>
            </w:r>
            <w:r>
              <w:rPr>
                <w:rFonts w:hint="eastAsia" w:asciiTheme="minorEastAsia" w:hAnsiTheme="minorEastAsia" w:eastAsiaTheme="minorEastAsia" w:cstheme="minorEastAsia"/>
                <w:color w:val="auto"/>
                <w:kern w:val="0"/>
                <w:sz w:val="24"/>
                <w:szCs w:val="24"/>
                <w:highlight w:val="none"/>
                <w:lang w:val="en-US" w:eastAsia="zh-CN"/>
              </w:rPr>
              <w:t>最高得4分。</w:t>
            </w:r>
          </w:p>
          <w:p w14:paraId="4844304D">
            <w:pPr>
              <w:pStyle w:val="79"/>
              <w:spacing w:line="240" w:lineRule="auto"/>
              <w:ind w:firstLine="0" w:firstLineChars="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注：须提供拟派人员在投标人</w:t>
            </w:r>
            <w:r>
              <w:rPr>
                <w:rFonts w:hint="eastAsia" w:asciiTheme="minorEastAsia" w:hAnsiTheme="minorEastAsia" w:eastAsiaTheme="minorEastAsia" w:cstheme="minorEastAsia"/>
                <w:color w:val="auto"/>
                <w:kern w:val="0"/>
                <w:sz w:val="24"/>
                <w:szCs w:val="24"/>
                <w:highlight w:val="none"/>
                <w:lang w:val="en-US" w:eastAsia="zh-CN"/>
              </w:rPr>
              <w:t>单位</w:t>
            </w:r>
            <w:r>
              <w:rPr>
                <w:rFonts w:hint="eastAsia" w:asciiTheme="minorEastAsia" w:hAnsiTheme="minorEastAsia" w:eastAsiaTheme="minorEastAsia" w:cstheme="minorEastAsia"/>
                <w:color w:val="auto"/>
                <w:kern w:val="0"/>
                <w:sz w:val="24"/>
                <w:szCs w:val="24"/>
                <w:highlight w:val="none"/>
              </w:rPr>
              <w:t>最近3个月内任意1个月的社保证明，不提供的不得分。</w:t>
            </w:r>
          </w:p>
        </w:tc>
        <w:tc>
          <w:tcPr>
            <w:tcW w:w="268" w:type="pct"/>
            <w:noWrap w:val="0"/>
            <w:vAlign w:val="center"/>
          </w:tcPr>
          <w:p w14:paraId="1FF1E097">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w:t>
            </w:r>
          </w:p>
        </w:tc>
        <w:tc>
          <w:tcPr>
            <w:tcW w:w="401" w:type="pct"/>
            <w:noWrap w:val="0"/>
            <w:vAlign w:val="center"/>
          </w:tcPr>
          <w:p w14:paraId="27E5D843">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客观分</w:t>
            </w:r>
          </w:p>
        </w:tc>
      </w:tr>
      <w:tr w14:paraId="28E0A504">
        <w:trPr>
          <w:trHeight w:val="1464" w:hRule="atLeast"/>
          <w:jc w:val="center"/>
        </w:trPr>
        <w:tc>
          <w:tcPr>
            <w:tcW w:w="460" w:type="pct"/>
            <w:noWrap w:val="0"/>
            <w:vAlign w:val="center"/>
          </w:tcPr>
          <w:p w14:paraId="55607D26">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3.3</w:t>
            </w:r>
          </w:p>
        </w:tc>
        <w:tc>
          <w:tcPr>
            <w:tcW w:w="3869" w:type="pct"/>
            <w:noWrap w:val="0"/>
            <w:vAlign w:val="center"/>
          </w:tcPr>
          <w:p w14:paraId="05805C75">
            <w:pPr>
              <w:widowControl/>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根据拟派服务团队人员的构成、职责划分的合理性和完整性以及项目团队整体服务能力情况综合评分</w:t>
            </w:r>
            <w:r>
              <w:rPr>
                <w:rFonts w:hint="eastAsia" w:asciiTheme="minorEastAsia" w:hAnsiTheme="minorEastAsia" w:eastAsiaTheme="minorEastAsia" w:cstheme="minorEastAsia"/>
                <w:color w:val="auto"/>
                <w:kern w:val="0"/>
                <w:sz w:val="24"/>
                <w:szCs w:val="24"/>
                <w:highlight w:val="none"/>
                <w:lang w:eastAsia="zh-CN"/>
              </w:rPr>
              <w:t>：</w:t>
            </w:r>
          </w:p>
          <w:p w14:paraId="4D1C8D89">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人员</w:t>
            </w:r>
            <w:r>
              <w:rPr>
                <w:rFonts w:hint="eastAsia" w:asciiTheme="minorEastAsia" w:hAnsiTheme="minorEastAsia" w:eastAsiaTheme="minorEastAsia" w:cstheme="minorEastAsia"/>
                <w:color w:val="auto"/>
                <w:kern w:val="0"/>
                <w:sz w:val="24"/>
                <w:szCs w:val="24"/>
                <w:highlight w:val="none"/>
              </w:rPr>
              <w:t>构成、职责划分</w:t>
            </w:r>
            <w:r>
              <w:rPr>
                <w:rFonts w:hint="eastAsia" w:asciiTheme="minorEastAsia" w:hAnsiTheme="minorEastAsia" w:eastAsiaTheme="minorEastAsia" w:cstheme="minorEastAsia"/>
                <w:color w:val="auto"/>
                <w:kern w:val="0"/>
                <w:sz w:val="24"/>
                <w:szCs w:val="24"/>
                <w:highlight w:val="none"/>
                <w:lang w:val="en-US" w:eastAsia="zh-CN"/>
              </w:rPr>
              <w:t>合理完善</w:t>
            </w:r>
            <w:r>
              <w:rPr>
                <w:rFonts w:hint="eastAsia" w:asciiTheme="minorEastAsia" w:hAnsiTheme="minorEastAsia" w:eastAsiaTheme="minorEastAsia" w:cstheme="minorEastAsia"/>
                <w:color w:val="auto"/>
                <w:kern w:val="0"/>
                <w:sz w:val="24"/>
                <w:szCs w:val="24"/>
                <w:highlight w:val="none"/>
              </w:rPr>
              <w:t>的得</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分；</w:t>
            </w:r>
          </w:p>
          <w:p w14:paraId="02CC211E">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人员</w:t>
            </w:r>
            <w:r>
              <w:rPr>
                <w:rFonts w:hint="eastAsia" w:asciiTheme="minorEastAsia" w:hAnsiTheme="minorEastAsia" w:eastAsiaTheme="minorEastAsia" w:cstheme="minorEastAsia"/>
                <w:color w:val="auto"/>
                <w:kern w:val="0"/>
                <w:sz w:val="24"/>
                <w:szCs w:val="24"/>
                <w:highlight w:val="none"/>
              </w:rPr>
              <w:t>构成、职责划分较为合理的得</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分；</w:t>
            </w:r>
          </w:p>
          <w:p w14:paraId="3A3455CC">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人员</w:t>
            </w:r>
            <w:r>
              <w:rPr>
                <w:rFonts w:hint="eastAsia" w:asciiTheme="minorEastAsia" w:hAnsiTheme="minorEastAsia" w:eastAsiaTheme="minorEastAsia" w:cstheme="minorEastAsia"/>
                <w:color w:val="auto"/>
                <w:kern w:val="0"/>
                <w:sz w:val="24"/>
                <w:szCs w:val="24"/>
                <w:highlight w:val="none"/>
              </w:rPr>
              <w:t>构成、职责划分合理性欠缺的得1分；</w:t>
            </w:r>
          </w:p>
          <w:p w14:paraId="4E86BA2B">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未</w:t>
            </w:r>
            <w:r>
              <w:rPr>
                <w:rFonts w:hint="eastAsia" w:asciiTheme="minorEastAsia" w:hAnsiTheme="minorEastAsia" w:eastAsiaTheme="minorEastAsia" w:cstheme="minorEastAsia"/>
                <w:color w:val="auto"/>
                <w:kern w:val="0"/>
                <w:sz w:val="24"/>
                <w:szCs w:val="24"/>
                <w:highlight w:val="none"/>
              </w:rPr>
              <w:t>提供相关内容的不得分。</w:t>
            </w:r>
          </w:p>
          <w:p w14:paraId="232C854C">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（评分范围：3，2，1，0）</w:t>
            </w:r>
          </w:p>
          <w:p w14:paraId="5A84D57A">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注：提供拟派人员在投标人</w:t>
            </w:r>
            <w:r>
              <w:rPr>
                <w:rFonts w:hint="eastAsia" w:asciiTheme="minorEastAsia" w:hAnsiTheme="minorEastAsia" w:eastAsiaTheme="minorEastAsia" w:cstheme="minorEastAsia"/>
                <w:color w:val="auto"/>
                <w:kern w:val="0"/>
                <w:sz w:val="24"/>
                <w:szCs w:val="24"/>
                <w:highlight w:val="none"/>
                <w:lang w:val="en-US" w:eastAsia="zh-CN"/>
              </w:rPr>
              <w:t>单位</w:t>
            </w:r>
            <w:r>
              <w:rPr>
                <w:rFonts w:hint="eastAsia" w:asciiTheme="minorEastAsia" w:hAnsiTheme="minorEastAsia" w:eastAsiaTheme="minorEastAsia" w:cstheme="minorEastAsia"/>
                <w:color w:val="auto"/>
                <w:kern w:val="0"/>
                <w:sz w:val="24"/>
                <w:szCs w:val="24"/>
                <w:highlight w:val="none"/>
              </w:rPr>
              <w:t>最近3个月内任意1个月的社保证明，不提供的不得分。</w:t>
            </w:r>
          </w:p>
        </w:tc>
        <w:tc>
          <w:tcPr>
            <w:tcW w:w="268" w:type="pct"/>
            <w:noWrap w:val="0"/>
            <w:vAlign w:val="center"/>
          </w:tcPr>
          <w:p w14:paraId="61BBBF30">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w:t>
            </w:r>
          </w:p>
        </w:tc>
        <w:tc>
          <w:tcPr>
            <w:tcW w:w="401" w:type="pct"/>
            <w:noWrap w:val="0"/>
            <w:vAlign w:val="center"/>
          </w:tcPr>
          <w:p w14:paraId="10B275BC">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主</w:t>
            </w:r>
            <w:r>
              <w:rPr>
                <w:rFonts w:hint="eastAsia" w:asciiTheme="minorEastAsia" w:hAnsiTheme="minorEastAsia" w:eastAsiaTheme="minorEastAsia" w:cstheme="minorEastAsia"/>
                <w:color w:val="auto"/>
                <w:kern w:val="0"/>
                <w:sz w:val="24"/>
                <w:szCs w:val="24"/>
                <w:highlight w:val="none"/>
              </w:rPr>
              <w:t>观分</w:t>
            </w:r>
          </w:p>
        </w:tc>
      </w:tr>
      <w:tr w14:paraId="11327BD1">
        <w:trPr>
          <w:trHeight w:val="946" w:hRule="atLeast"/>
          <w:jc w:val="center"/>
        </w:trPr>
        <w:tc>
          <w:tcPr>
            <w:tcW w:w="460" w:type="pct"/>
            <w:noWrap w:val="0"/>
            <w:vAlign w:val="center"/>
          </w:tcPr>
          <w:p w14:paraId="6B685F7E">
            <w:pPr>
              <w:widowControl/>
              <w:jc w:val="center"/>
              <w:rPr>
                <w:rFonts w:hint="default"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3.4</w:t>
            </w:r>
          </w:p>
        </w:tc>
        <w:tc>
          <w:tcPr>
            <w:tcW w:w="3869" w:type="pct"/>
            <w:noWrap w:val="0"/>
            <w:vAlign w:val="center"/>
          </w:tcPr>
          <w:p w14:paraId="4030E12F">
            <w:pPr>
              <w:widowControl/>
              <w:jc w:val="left"/>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highlight w:val="none"/>
              </w:rPr>
              <w:t>人员稳定措施：提供服务期间，承诺项目组一名成员到采购人指定地点驻场办公的，得</w:t>
            </w:r>
            <w:r>
              <w:rPr>
                <w:rFonts w:hint="eastAsia" w:asciiTheme="minorEastAsia" w:hAnsiTheme="minorEastAsia" w:eastAsiaTheme="minorEastAsia" w:cstheme="minorEastAsia"/>
                <w:b w:val="0"/>
                <w:bCs w:val="0"/>
                <w:color w:val="auto"/>
                <w:kern w:val="0"/>
                <w:sz w:val="24"/>
                <w:highlight w:val="none"/>
                <w:lang w:val="en-US" w:eastAsia="zh-CN"/>
              </w:rPr>
              <w:t>2</w:t>
            </w:r>
            <w:r>
              <w:rPr>
                <w:rFonts w:hint="eastAsia" w:asciiTheme="minorEastAsia" w:hAnsiTheme="minorEastAsia" w:eastAsiaTheme="minorEastAsia" w:cstheme="minorEastAsia"/>
                <w:b w:val="0"/>
                <w:bCs w:val="0"/>
                <w:color w:val="auto"/>
                <w:kern w:val="0"/>
                <w:sz w:val="24"/>
                <w:highlight w:val="none"/>
              </w:rPr>
              <w:t>分</w:t>
            </w:r>
            <w:r>
              <w:rPr>
                <w:rFonts w:hint="eastAsia" w:asciiTheme="minorEastAsia" w:hAnsiTheme="minorEastAsia" w:eastAsiaTheme="minorEastAsia" w:cstheme="minorEastAsia"/>
                <w:b w:val="0"/>
                <w:bCs w:val="0"/>
                <w:color w:val="auto"/>
                <w:kern w:val="0"/>
                <w:sz w:val="24"/>
                <w:highlight w:val="none"/>
                <w:lang w:eastAsia="zh-CN"/>
              </w:rPr>
              <w:t>。</w:t>
            </w:r>
          </w:p>
        </w:tc>
        <w:tc>
          <w:tcPr>
            <w:tcW w:w="268" w:type="pct"/>
            <w:noWrap w:val="0"/>
            <w:vAlign w:val="center"/>
          </w:tcPr>
          <w:p w14:paraId="3F9A78A3">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w:t>
            </w:r>
          </w:p>
        </w:tc>
        <w:tc>
          <w:tcPr>
            <w:tcW w:w="401" w:type="pct"/>
            <w:noWrap w:val="0"/>
            <w:vAlign w:val="center"/>
          </w:tcPr>
          <w:p w14:paraId="2D6C8A55">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客观分</w:t>
            </w:r>
          </w:p>
        </w:tc>
      </w:tr>
      <w:tr w14:paraId="1647EAB8">
        <w:trPr>
          <w:trHeight w:val="900" w:hRule="atLeast"/>
          <w:jc w:val="center"/>
        </w:trPr>
        <w:tc>
          <w:tcPr>
            <w:tcW w:w="460" w:type="pct"/>
            <w:noWrap w:val="0"/>
            <w:vAlign w:val="center"/>
          </w:tcPr>
          <w:p w14:paraId="1BFB250F">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4</w:t>
            </w:r>
          </w:p>
        </w:tc>
        <w:tc>
          <w:tcPr>
            <w:tcW w:w="3869" w:type="pct"/>
            <w:noWrap w:val="0"/>
            <w:vAlign w:val="center"/>
          </w:tcPr>
          <w:p w14:paraId="4B2C8BF4">
            <w:pPr>
              <w:widowControl/>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项目理解：</w:t>
            </w:r>
          </w:p>
          <w:p w14:paraId="02A789F9">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w:t>
            </w:r>
            <w:r>
              <w:rPr>
                <w:rFonts w:hint="eastAsia" w:asciiTheme="minorEastAsia" w:hAnsiTheme="minorEastAsia" w:eastAsiaTheme="minorEastAsia" w:cstheme="minorEastAsia"/>
                <w:color w:val="auto"/>
                <w:kern w:val="0"/>
                <w:sz w:val="24"/>
                <w:szCs w:val="24"/>
                <w:highlight w:val="none"/>
                <w:lang w:val="en-US" w:eastAsia="zh-CN"/>
              </w:rPr>
              <w:t>概况及</w:t>
            </w:r>
            <w:r>
              <w:rPr>
                <w:rFonts w:hint="eastAsia" w:asciiTheme="minorEastAsia" w:hAnsiTheme="minorEastAsia" w:eastAsiaTheme="minorEastAsia" w:cstheme="minorEastAsia"/>
                <w:color w:val="auto"/>
                <w:kern w:val="0"/>
                <w:sz w:val="24"/>
                <w:szCs w:val="24"/>
                <w:highlight w:val="none"/>
              </w:rPr>
              <w:t>服务内容提出自己对项目的理解与分析。评审小组根据投标人提供内容的合理性、与项目符合程度，综合评分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02E79172">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理解全面、透彻、到位，完全符合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04261C1C">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理解</w:t>
            </w:r>
            <w:r>
              <w:rPr>
                <w:rFonts w:hint="eastAsia" w:asciiTheme="minorEastAsia" w:hAnsiTheme="minorEastAsia" w:eastAsiaTheme="minorEastAsia" w:cstheme="minorEastAsia"/>
                <w:color w:val="auto"/>
                <w:kern w:val="0"/>
                <w:sz w:val="24"/>
                <w:szCs w:val="24"/>
                <w:highlight w:val="none"/>
                <w:lang w:val="en-US" w:eastAsia="zh-CN"/>
              </w:rPr>
              <w:t>较为</w:t>
            </w:r>
            <w:r>
              <w:rPr>
                <w:rFonts w:hint="eastAsia" w:asciiTheme="minorEastAsia" w:hAnsiTheme="minorEastAsia" w:eastAsiaTheme="minorEastAsia" w:cstheme="minorEastAsia"/>
                <w:color w:val="auto"/>
                <w:kern w:val="0"/>
                <w:sz w:val="24"/>
                <w:szCs w:val="24"/>
                <w:highlight w:val="none"/>
              </w:rPr>
              <w:t>全面且准确地把握项目核心要点，与实际情况较为契合得4分；</w:t>
            </w:r>
          </w:p>
          <w:p w14:paraId="0F35145B">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理解</w:t>
            </w:r>
            <w:r>
              <w:rPr>
                <w:rFonts w:hint="eastAsia" w:asciiTheme="minorEastAsia" w:hAnsiTheme="minorEastAsia" w:eastAsiaTheme="minorEastAsia" w:cstheme="minorEastAsia"/>
                <w:color w:val="auto"/>
                <w:kern w:val="0"/>
                <w:sz w:val="24"/>
                <w:szCs w:val="24"/>
                <w:highlight w:val="none"/>
                <w:lang w:val="en-US" w:eastAsia="zh-CN"/>
              </w:rPr>
              <w:t>较为</w:t>
            </w:r>
            <w:r>
              <w:rPr>
                <w:rFonts w:hint="eastAsia" w:asciiTheme="minorEastAsia" w:hAnsiTheme="minorEastAsia" w:eastAsiaTheme="minorEastAsia" w:cstheme="minorEastAsia"/>
                <w:color w:val="auto"/>
                <w:kern w:val="0"/>
                <w:sz w:val="24"/>
                <w:szCs w:val="24"/>
                <w:highlight w:val="none"/>
              </w:rPr>
              <w:t>全面，</w:t>
            </w:r>
            <w:r>
              <w:rPr>
                <w:rFonts w:hint="eastAsia" w:asciiTheme="minorEastAsia" w:hAnsiTheme="minorEastAsia" w:eastAsiaTheme="minorEastAsia" w:cstheme="minorEastAsia"/>
                <w:color w:val="auto"/>
                <w:kern w:val="0"/>
                <w:sz w:val="24"/>
                <w:szCs w:val="24"/>
                <w:highlight w:val="none"/>
                <w:lang w:val="en-US" w:eastAsia="zh-CN"/>
              </w:rPr>
              <w:t>基本</w:t>
            </w:r>
            <w:r>
              <w:rPr>
                <w:rFonts w:hint="eastAsia" w:asciiTheme="minorEastAsia" w:hAnsiTheme="minorEastAsia" w:eastAsiaTheme="minorEastAsia" w:cstheme="minorEastAsia"/>
                <w:color w:val="auto"/>
                <w:kern w:val="0"/>
                <w:sz w:val="24"/>
                <w:szCs w:val="24"/>
                <w:highlight w:val="none"/>
              </w:rPr>
              <w:t>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55FDA213">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理解基本到位，</w:t>
            </w:r>
            <w:r>
              <w:rPr>
                <w:rFonts w:hint="eastAsia" w:asciiTheme="minorEastAsia" w:hAnsiTheme="minorEastAsia" w:eastAsiaTheme="minorEastAsia" w:cstheme="minorEastAsia"/>
                <w:color w:val="auto"/>
                <w:kern w:val="0"/>
                <w:sz w:val="24"/>
                <w:szCs w:val="24"/>
                <w:highlight w:val="none"/>
                <w:lang w:val="en-US" w:eastAsia="zh-CN"/>
              </w:rPr>
              <w:t>部分</w:t>
            </w:r>
            <w:r>
              <w:rPr>
                <w:rFonts w:hint="eastAsia" w:asciiTheme="minorEastAsia" w:hAnsiTheme="minorEastAsia" w:eastAsiaTheme="minorEastAsia" w:cstheme="minorEastAsia"/>
                <w:color w:val="auto"/>
                <w:kern w:val="0"/>
                <w:sz w:val="24"/>
                <w:szCs w:val="24"/>
                <w:highlight w:val="none"/>
              </w:rPr>
              <w:t>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5850D0C5">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理解一般，与</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实际情况有一定偏离</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00C7CB6A">
            <w:pPr>
              <w:widowControl/>
              <w:adjustRightInd/>
              <w:snapToGrid/>
              <w:spacing w:line="24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未提供</w:t>
            </w:r>
            <w:r>
              <w:rPr>
                <w:rFonts w:hint="eastAsia" w:asciiTheme="minorEastAsia" w:hAnsiTheme="minorEastAsia" w:eastAsiaTheme="minorEastAsia" w:cstheme="minorEastAsia"/>
                <w:color w:val="auto"/>
                <w:kern w:val="0"/>
                <w:sz w:val="24"/>
                <w:szCs w:val="24"/>
                <w:highlight w:val="none"/>
                <w:lang w:val="en-US" w:eastAsia="zh-CN"/>
              </w:rPr>
              <w:t>相关内容</w:t>
            </w:r>
            <w:r>
              <w:rPr>
                <w:rFonts w:hint="eastAsia" w:asciiTheme="minorEastAsia" w:hAnsiTheme="minorEastAsia" w:eastAsiaTheme="minorEastAsia" w:cstheme="minorEastAsia"/>
                <w:color w:val="auto"/>
                <w:kern w:val="0"/>
                <w:sz w:val="24"/>
                <w:szCs w:val="24"/>
                <w:highlight w:val="none"/>
              </w:rPr>
              <w:t>不得分。</w:t>
            </w:r>
          </w:p>
          <w:p w14:paraId="78590A73">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4，3，2，1，0）</w:t>
            </w:r>
          </w:p>
        </w:tc>
        <w:tc>
          <w:tcPr>
            <w:tcW w:w="268" w:type="pct"/>
            <w:noWrap w:val="0"/>
            <w:vAlign w:val="center"/>
          </w:tcPr>
          <w:p w14:paraId="3EEE4F7C">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401" w:type="pct"/>
            <w:noWrap w:val="0"/>
            <w:vAlign w:val="center"/>
          </w:tcPr>
          <w:p w14:paraId="5E7BA887">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主观分</w:t>
            </w:r>
          </w:p>
        </w:tc>
      </w:tr>
      <w:tr w14:paraId="1A26F619">
        <w:trPr>
          <w:trHeight w:val="1200" w:hRule="atLeast"/>
          <w:jc w:val="center"/>
        </w:trPr>
        <w:tc>
          <w:tcPr>
            <w:tcW w:w="460" w:type="pct"/>
            <w:noWrap w:val="0"/>
            <w:vAlign w:val="center"/>
          </w:tcPr>
          <w:p w14:paraId="386D926C">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3869" w:type="pct"/>
            <w:noWrap w:val="0"/>
            <w:vAlign w:val="center"/>
          </w:tcPr>
          <w:p w14:paraId="4C94C8BC">
            <w:pPr>
              <w:widowControl/>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项目和浙江省交通运输信用管理与服务系统关系的理解：</w:t>
            </w:r>
          </w:p>
          <w:p w14:paraId="41E42F69">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投标人针对本项目和浙江省交通运输信用管理与服务系统关系提出自己对项目的理解与分析。评审小组根据投标人提供内容的合理性、与项目符合程度，综合评分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75BF7B48">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理解全面、透彻、到位，完全符合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3EF82EA4">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理解</w:t>
            </w:r>
            <w:r>
              <w:rPr>
                <w:rFonts w:hint="eastAsia" w:asciiTheme="minorEastAsia" w:hAnsiTheme="minorEastAsia" w:eastAsiaTheme="minorEastAsia" w:cstheme="minorEastAsia"/>
                <w:color w:val="auto"/>
                <w:kern w:val="0"/>
                <w:sz w:val="24"/>
                <w:szCs w:val="24"/>
                <w:highlight w:val="none"/>
                <w:lang w:val="en-US" w:eastAsia="zh-CN"/>
              </w:rPr>
              <w:t>较为</w:t>
            </w:r>
            <w:r>
              <w:rPr>
                <w:rFonts w:hint="eastAsia" w:asciiTheme="minorEastAsia" w:hAnsiTheme="minorEastAsia" w:eastAsiaTheme="minorEastAsia" w:cstheme="minorEastAsia"/>
                <w:color w:val="auto"/>
                <w:kern w:val="0"/>
                <w:sz w:val="24"/>
                <w:szCs w:val="24"/>
                <w:highlight w:val="none"/>
              </w:rPr>
              <w:t>全面且准确地把握项目核心要点，与实际情况较为契合得4分；</w:t>
            </w:r>
          </w:p>
          <w:p w14:paraId="76A5D75D">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理解</w:t>
            </w:r>
            <w:r>
              <w:rPr>
                <w:rFonts w:hint="eastAsia" w:asciiTheme="minorEastAsia" w:hAnsiTheme="minorEastAsia" w:eastAsiaTheme="minorEastAsia" w:cstheme="minorEastAsia"/>
                <w:color w:val="auto"/>
                <w:kern w:val="0"/>
                <w:sz w:val="24"/>
                <w:szCs w:val="24"/>
                <w:highlight w:val="none"/>
                <w:lang w:val="en-US" w:eastAsia="zh-CN"/>
              </w:rPr>
              <w:t>较为</w:t>
            </w:r>
            <w:r>
              <w:rPr>
                <w:rFonts w:hint="eastAsia" w:asciiTheme="minorEastAsia" w:hAnsiTheme="minorEastAsia" w:eastAsiaTheme="minorEastAsia" w:cstheme="minorEastAsia"/>
                <w:color w:val="auto"/>
                <w:kern w:val="0"/>
                <w:sz w:val="24"/>
                <w:szCs w:val="24"/>
                <w:highlight w:val="none"/>
              </w:rPr>
              <w:t>全面，</w:t>
            </w:r>
            <w:r>
              <w:rPr>
                <w:rFonts w:hint="eastAsia" w:asciiTheme="minorEastAsia" w:hAnsiTheme="minorEastAsia" w:eastAsiaTheme="minorEastAsia" w:cstheme="minorEastAsia"/>
                <w:color w:val="auto"/>
                <w:kern w:val="0"/>
                <w:sz w:val="24"/>
                <w:szCs w:val="24"/>
                <w:highlight w:val="none"/>
                <w:lang w:val="en-US" w:eastAsia="zh-CN"/>
              </w:rPr>
              <w:t>基本</w:t>
            </w:r>
            <w:r>
              <w:rPr>
                <w:rFonts w:hint="eastAsia" w:asciiTheme="minorEastAsia" w:hAnsiTheme="minorEastAsia" w:eastAsiaTheme="minorEastAsia" w:cstheme="minorEastAsia"/>
                <w:color w:val="auto"/>
                <w:kern w:val="0"/>
                <w:sz w:val="24"/>
                <w:szCs w:val="24"/>
                <w:highlight w:val="none"/>
              </w:rPr>
              <w:t>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6E38DE07">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理解基本到位，</w:t>
            </w:r>
            <w:r>
              <w:rPr>
                <w:rFonts w:hint="eastAsia" w:asciiTheme="minorEastAsia" w:hAnsiTheme="minorEastAsia" w:eastAsiaTheme="minorEastAsia" w:cstheme="minorEastAsia"/>
                <w:color w:val="auto"/>
                <w:kern w:val="0"/>
                <w:sz w:val="24"/>
                <w:szCs w:val="24"/>
                <w:highlight w:val="none"/>
                <w:lang w:val="en-US" w:eastAsia="zh-CN"/>
              </w:rPr>
              <w:t>部分</w:t>
            </w:r>
            <w:r>
              <w:rPr>
                <w:rFonts w:hint="eastAsia" w:asciiTheme="minorEastAsia" w:hAnsiTheme="minorEastAsia" w:eastAsiaTheme="minorEastAsia" w:cstheme="minorEastAsia"/>
                <w:color w:val="auto"/>
                <w:kern w:val="0"/>
                <w:sz w:val="24"/>
                <w:szCs w:val="24"/>
                <w:highlight w:val="none"/>
              </w:rPr>
              <w:t>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1796AA07">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理解一般，与</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实际情况有一定偏离</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7FFE58C2">
            <w:pPr>
              <w:widowControl/>
              <w:adjustRightInd/>
              <w:snapToGrid/>
              <w:spacing w:line="24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未提供</w:t>
            </w:r>
            <w:r>
              <w:rPr>
                <w:rFonts w:hint="eastAsia" w:asciiTheme="minorEastAsia" w:hAnsiTheme="minorEastAsia" w:eastAsiaTheme="minorEastAsia" w:cstheme="minorEastAsia"/>
                <w:color w:val="auto"/>
                <w:kern w:val="0"/>
                <w:sz w:val="24"/>
                <w:szCs w:val="24"/>
                <w:highlight w:val="none"/>
                <w:lang w:val="en-US" w:eastAsia="zh-CN"/>
              </w:rPr>
              <w:t>相关内容</w:t>
            </w:r>
            <w:r>
              <w:rPr>
                <w:rFonts w:hint="eastAsia" w:asciiTheme="minorEastAsia" w:hAnsiTheme="minorEastAsia" w:eastAsiaTheme="minorEastAsia" w:cstheme="minorEastAsia"/>
                <w:color w:val="auto"/>
                <w:kern w:val="0"/>
                <w:sz w:val="24"/>
                <w:szCs w:val="24"/>
                <w:highlight w:val="none"/>
              </w:rPr>
              <w:t>不得分。</w:t>
            </w:r>
          </w:p>
          <w:p w14:paraId="50CB7AC6">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4，3，2，1，0）</w:t>
            </w:r>
          </w:p>
        </w:tc>
        <w:tc>
          <w:tcPr>
            <w:tcW w:w="268" w:type="pct"/>
            <w:noWrap w:val="0"/>
            <w:vAlign w:val="center"/>
          </w:tcPr>
          <w:p w14:paraId="66A02382">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401" w:type="pct"/>
            <w:noWrap w:val="0"/>
            <w:vAlign w:val="center"/>
          </w:tcPr>
          <w:p w14:paraId="39F2F93E">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主观分</w:t>
            </w:r>
          </w:p>
        </w:tc>
      </w:tr>
      <w:tr w14:paraId="1DE8D438">
        <w:trPr>
          <w:trHeight w:val="415" w:hRule="atLeast"/>
          <w:jc w:val="center"/>
        </w:trPr>
        <w:tc>
          <w:tcPr>
            <w:tcW w:w="460" w:type="pct"/>
            <w:noWrap w:val="0"/>
            <w:vAlign w:val="center"/>
          </w:tcPr>
          <w:p w14:paraId="1F06136E">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w:t>
            </w:r>
          </w:p>
        </w:tc>
        <w:tc>
          <w:tcPr>
            <w:tcW w:w="3869" w:type="pct"/>
            <w:noWrap w:val="0"/>
            <w:vAlign w:val="center"/>
          </w:tcPr>
          <w:p w14:paraId="6BBEFC0E">
            <w:pPr>
              <w:widowControl/>
              <w:ind w:left="0" w:leftChars="0" w:firstLine="0" w:firstLineChars="0"/>
              <w:jc w:val="left"/>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rPr>
              <w:t>项目难点、要点把握</w:t>
            </w:r>
            <w:r>
              <w:rPr>
                <w:rFonts w:hint="eastAsia" w:asciiTheme="minorEastAsia" w:hAnsiTheme="minorEastAsia" w:eastAsiaTheme="minorEastAsia" w:cstheme="minorEastAsia"/>
                <w:b/>
                <w:bCs/>
                <w:color w:val="auto"/>
                <w:kern w:val="0"/>
                <w:sz w:val="24"/>
                <w:szCs w:val="24"/>
                <w:highlight w:val="none"/>
                <w:lang w:eastAsia="zh-CN"/>
              </w:rPr>
              <w:t>：</w:t>
            </w:r>
          </w:p>
          <w:p w14:paraId="532FBD7A">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投标人针对本项目难点、要点提出自己对项目的理解与分析。评审小组根据投标人提供内容的合理性、与项目符合程度，综合评分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74904603">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对项目提出的工作重点、难点分析深入且精准，能结合项目实际情况，提供极具针对性的分析思路，充分展现专业能力得5分；</w:t>
            </w:r>
          </w:p>
          <w:p w14:paraId="637FC96B">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对项目工作重点、难点的分析合理，</w:t>
            </w:r>
            <w:r>
              <w:rPr>
                <w:rFonts w:hint="eastAsia" w:asciiTheme="minorEastAsia" w:hAnsiTheme="minorEastAsia" w:eastAsiaTheme="minorEastAsia" w:cstheme="minorEastAsia"/>
                <w:color w:val="auto"/>
                <w:kern w:val="0"/>
                <w:sz w:val="24"/>
                <w:szCs w:val="24"/>
                <w:highlight w:val="none"/>
                <w:lang w:val="en-US" w:eastAsia="zh-CN"/>
              </w:rPr>
              <w:t>具有针对性，基本</w:t>
            </w:r>
            <w:r>
              <w:rPr>
                <w:rFonts w:hint="eastAsia" w:asciiTheme="minorEastAsia" w:hAnsiTheme="minorEastAsia" w:eastAsiaTheme="minorEastAsia" w:cstheme="minorEastAsia"/>
                <w:color w:val="auto"/>
                <w:kern w:val="0"/>
                <w:sz w:val="24"/>
                <w:szCs w:val="24"/>
                <w:highlight w:val="none"/>
              </w:rPr>
              <w:t>覆盖关键环节得4分；</w:t>
            </w:r>
          </w:p>
          <w:p w14:paraId="54CEFAB4">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对项目提出的工作重点、难点分析基本合理，有一定的针对性得3分；</w:t>
            </w:r>
          </w:p>
          <w:p w14:paraId="30145DE4">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对项目工作重点、难点的分析存在部分不足</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针对性欠佳得2分；</w:t>
            </w:r>
            <w:r>
              <w:rPr>
                <w:rFonts w:hint="eastAsia" w:asciiTheme="minorEastAsia" w:hAnsiTheme="minorEastAsia" w:eastAsiaTheme="minorEastAsia" w:cstheme="minorEastAsia"/>
                <w:color w:val="auto"/>
                <w:kern w:val="0"/>
                <w:sz w:val="24"/>
                <w:szCs w:val="24"/>
                <w:highlight w:val="none"/>
              </w:rPr>
              <w:t>对项目提出的工作的重点、难点分析不够合理，针对性</w:t>
            </w:r>
            <w:r>
              <w:rPr>
                <w:rFonts w:hint="eastAsia" w:asciiTheme="minorEastAsia" w:hAnsiTheme="minorEastAsia" w:eastAsiaTheme="minorEastAsia" w:cstheme="minorEastAsia"/>
                <w:color w:val="auto"/>
                <w:kern w:val="0"/>
                <w:sz w:val="24"/>
                <w:szCs w:val="24"/>
                <w:highlight w:val="none"/>
                <w:lang w:val="en-US" w:eastAsia="zh-CN"/>
              </w:rPr>
              <w:t>欠缺</w:t>
            </w:r>
            <w:r>
              <w:rPr>
                <w:rFonts w:hint="eastAsia" w:asciiTheme="minorEastAsia" w:hAnsiTheme="minorEastAsia" w:eastAsiaTheme="minorEastAsia" w:cstheme="minorEastAsia"/>
                <w:color w:val="auto"/>
                <w:kern w:val="0"/>
                <w:sz w:val="24"/>
                <w:szCs w:val="24"/>
                <w:highlight w:val="none"/>
              </w:rPr>
              <w:t>得1分；</w:t>
            </w:r>
          </w:p>
          <w:p w14:paraId="107A6677">
            <w:pPr>
              <w:widowControl/>
              <w:adjustRightInd/>
              <w:snapToGrid/>
              <w:spacing w:line="24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未提供</w:t>
            </w:r>
            <w:r>
              <w:rPr>
                <w:rFonts w:hint="eastAsia" w:asciiTheme="minorEastAsia" w:hAnsiTheme="minorEastAsia" w:eastAsiaTheme="minorEastAsia" w:cstheme="minorEastAsia"/>
                <w:color w:val="auto"/>
                <w:kern w:val="0"/>
                <w:sz w:val="24"/>
                <w:szCs w:val="24"/>
                <w:highlight w:val="none"/>
                <w:lang w:val="en-US" w:eastAsia="zh-CN"/>
              </w:rPr>
              <w:t>相关内容</w:t>
            </w:r>
            <w:r>
              <w:rPr>
                <w:rFonts w:hint="eastAsia" w:asciiTheme="minorEastAsia" w:hAnsiTheme="minorEastAsia" w:eastAsiaTheme="minorEastAsia" w:cstheme="minorEastAsia"/>
                <w:color w:val="auto"/>
                <w:kern w:val="0"/>
                <w:sz w:val="24"/>
                <w:szCs w:val="24"/>
                <w:highlight w:val="none"/>
              </w:rPr>
              <w:t>不得分。</w:t>
            </w:r>
          </w:p>
          <w:p w14:paraId="319CE925">
            <w:pPr>
              <w:widowControl/>
              <w:ind w:left="0" w:leftChars="0" w:firstLine="0" w:firstLineChars="0"/>
              <w:jc w:val="left"/>
              <w:rPr>
                <w:rFonts w:hint="eastAsia"/>
                <w:color w:val="auto"/>
                <w:highlight w:val="none"/>
                <w:lang w:eastAsia="zh-CN"/>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4，3，2，1，0）</w:t>
            </w:r>
          </w:p>
        </w:tc>
        <w:tc>
          <w:tcPr>
            <w:tcW w:w="268" w:type="pct"/>
            <w:noWrap w:val="0"/>
            <w:vAlign w:val="center"/>
          </w:tcPr>
          <w:p w14:paraId="691C9F53">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401" w:type="pct"/>
            <w:noWrap w:val="0"/>
            <w:vAlign w:val="center"/>
          </w:tcPr>
          <w:p w14:paraId="48229C85">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主观分</w:t>
            </w:r>
          </w:p>
        </w:tc>
      </w:tr>
      <w:tr w14:paraId="12D2CD37">
        <w:trPr>
          <w:trHeight w:val="912" w:hRule="atLeast"/>
          <w:jc w:val="center"/>
        </w:trPr>
        <w:tc>
          <w:tcPr>
            <w:tcW w:w="460" w:type="pct"/>
            <w:noWrap w:val="0"/>
            <w:vAlign w:val="center"/>
          </w:tcPr>
          <w:p w14:paraId="54E4940B">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7</w:t>
            </w:r>
          </w:p>
        </w:tc>
        <w:tc>
          <w:tcPr>
            <w:tcW w:w="3869" w:type="pct"/>
            <w:noWrap w:val="0"/>
            <w:vAlign w:val="center"/>
          </w:tcPr>
          <w:p w14:paraId="7DA59E9E">
            <w:pPr>
              <w:widowControl/>
              <w:ind w:left="0" w:leftChars="0" w:firstLine="0" w:firstLineChars="0"/>
              <w:jc w:val="left"/>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rPr>
              <w:t>对项目总体思路、目标、任务的理解</w:t>
            </w:r>
            <w:r>
              <w:rPr>
                <w:rFonts w:hint="eastAsia" w:asciiTheme="minorEastAsia" w:hAnsiTheme="minorEastAsia" w:eastAsiaTheme="minorEastAsia" w:cstheme="minorEastAsia"/>
                <w:b/>
                <w:bCs/>
                <w:color w:val="auto"/>
                <w:kern w:val="0"/>
                <w:sz w:val="24"/>
                <w:szCs w:val="24"/>
                <w:highlight w:val="none"/>
                <w:lang w:val="en-US" w:eastAsia="zh-CN"/>
              </w:rPr>
              <w:t>:</w:t>
            </w:r>
          </w:p>
          <w:p w14:paraId="5485EF5F">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投标人针对本项目提供项目整体的实施思路</w:t>
            </w:r>
            <w:r>
              <w:rPr>
                <w:rFonts w:hint="eastAsia" w:asciiTheme="minorEastAsia" w:hAnsiTheme="minorEastAsia" w:eastAsiaTheme="minorEastAsia" w:cstheme="minorEastAsia"/>
                <w:color w:val="auto"/>
                <w:kern w:val="0"/>
                <w:sz w:val="24"/>
                <w:szCs w:val="24"/>
                <w:highlight w:val="none"/>
                <w:lang w:val="en-US" w:eastAsia="zh-CN"/>
              </w:rPr>
              <w:t>及目标、任务的理解</w:t>
            </w:r>
            <w:r>
              <w:rPr>
                <w:rFonts w:hint="eastAsia" w:asciiTheme="minorEastAsia" w:hAnsiTheme="minorEastAsia" w:eastAsiaTheme="minorEastAsia" w:cstheme="minorEastAsia"/>
                <w:color w:val="auto"/>
                <w:kern w:val="0"/>
                <w:sz w:val="24"/>
                <w:szCs w:val="24"/>
                <w:highlight w:val="none"/>
              </w:rPr>
              <w:t>。评审小组根据投标人提供的内容的专业性、合理性、与项目要求的符合程度，综合评分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1058B173">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总体</w:t>
            </w:r>
            <w:r>
              <w:rPr>
                <w:rFonts w:hint="eastAsia" w:asciiTheme="minorEastAsia" w:hAnsiTheme="minorEastAsia" w:eastAsiaTheme="minorEastAsia" w:cstheme="minorEastAsia"/>
                <w:color w:val="auto"/>
                <w:kern w:val="0"/>
                <w:sz w:val="24"/>
                <w:szCs w:val="24"/>
                <w:highlight w:val="none"/>
              </w:rPr>
              <w:t>思路</w:t>
            </w:r>
            <w:r>
              <w:rPr>
                <w:rFonts w:hint="eastAsia" w:asciiTheme="minorEastAsia" w:hAnsiTheme="minorEastAsia" w:eastAsiaTheme="minorEastAsia" w:cstheme="minorEastAsia"/>
                <w:color w:val="auto"/>
                <w:kern w:val="0"/>
                <w:sz w:val="24"/>
                <w:szCs w:val="24"/>
                <w:highlight w:val="none"/>
                <w:lang w:val="en-US" w:eastAsia="zh-CN"/>
              </w:rPr>
              <w:t>专业合理</w:t>
            </w:r>
            <w:r>
              <w:rPr>
                <w:rFonts w:hint="eastAsia" w:asciiTheme="minorEastAsia" w:hAnsiTheme="minorEastAsia" w:eastAsiaTheme="minorEastAsia" w:cstheme="minorEastAsia"/>
                <w:color w:val="auto"/>
                <w:kern w:val="0"/>
                <w:sz w:val="24"/>
                <w:szCs w:val="24"/>
                <w:highlight w:val="none"/>
              </w:rPr>
              <w:t>，目标、任务的理解</w:t>
            </w:r>
            <w:r>
              <w:rPr>
                <w:rFonts w:hint="eastAsia" w:asciiTheme="minorEastAsia" w:hAnsiTheme="minorEastAsia" w:eastAsiaTheme="minorEastAsia" w:cstheme="minorEastAsia"/>
                <w:color w:val="auto"/>
                <w:kern w:val="0"/>
                <w:sz w:val="24"/>
                <w:szCs w:val="24"/>
                <w:highlight w:val="none"/>
                <w:lang w:val="en-US" w:eastAsia="zh-CN"/>
              </w:rPr>
              <w:t>清晰，</w:t>
            </w:r>
            <w:r>
              <w:rPr>
                <w:rFonts w:hint="eastAsia" w:asciiTheme="minorEastAsia" w:hAnsiTheme="minorEastAsia" w:eastAsiaTheme="minorEastAsia" w:cstheme="minorEastAsia"/>
                <w:color w:val="auto"/>
                <w:kern w:val="0"/>
                <w:sz w:val="24"/>
                <w:szCs w:val="24"/>
                <w:highlight w:val="none"/>
              </w:rPr>
              <w:t>完全符合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47D64E9F">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总体</w:t>
            </w:r>
            <w:r>
              <w:rPr>
                <w:rFonts w:hint="eastAsia" w:asciiTheme="minorEastAsia" w:hAnsiTheme="minorEastAsia" w:eastAsiaTheme="minorEastAsia" w:cstheme="minorEastAsia"/>
                <w:color w:val="auto"/>
                <w:kern w:val="0"/>
                <w:sz w:val="24"/>
                <w:szCs w:val="24"/>
                <w:highlight w:val="none"/>
              </w:rPr>
              <w:t>思路</w:t>
            </w:r>
            <w:r>
              <w:rPr>
                <w:rFonts w:hint="eastAsia" w:asciiTheme="minorEastAsia" w:hAnsiTheme="minorEastAsia" w:eastAsiaTheme="minorEastAsia" w:cstheme="minorEastAsia"/>
                <w:color w:val="auto"/>
                <w:kern w:val="0"/>
                <w:sz w:val="24"/>
                <w:szCs w:val="24"/>
                <w:highlight w:val="none"/>
                <w:lang w:val="en-US" w:eastAsia="zh-CN"/>
              </w:rPr>
              <w:t>专业较为合理</w:t>
            </w:r>
            <w:r>
              <w:rPr>
                <w:rFonts w:hint="eastAsia" w:asciiTheme="minorEastAsia" w:hAnsiTheme="minorEastAsia" w:eastAsiaTheme="minorEastAsia" w:cstheme="minorEastAsia"/>
                <w:color w:val="auto"/>
                <w:kern w:val="0"/>
                <w:sz w:val="24"/>
                <w:szCs w:val="24"/>
                <w:highlight w:val="none"/>
              </w:rPr>
              <w:t>，目标、任务的理解</w:t>
            </w:r>
            <w:r>
              <w:rPr>
                <w:rFonts w:hint="eastAsia" w:asciiTheme="minorEastAsia" w:hAnsiTheme="minorEastAsia" w:eastAsiaTheme="minorEastAsia" w:cstheme="minorEastAsia"/>
                <w:color w:val="auto"/>
                <w:kern w:val="0"/>
                <w:sz w:val="24"/>
                <w:szCs w:val="24"/>
                <w:highlight w:val="none"/>
                <w:lang w:val="en-US" w:eastAsia="zh-CN"/>
              </w:rPr>
              <w:t>较为清晰，基本</w:t>
            </w:r>
            <w:r>
              <w:rPr>
                <w:rFonts w:hint="eastAsia" w:asciiTheme="minorEastAsia" w:hAnsiTheme="minorEastAsia" w:eastAsiaTheme="minorEastAsia" w:cstheme="minorEastAsia"/>
                <w:color w:val="auto"/>
                <w:kern w:val="0"/>
                <w:sz w:val="24"/>
                <w:szCs w:val="24"/>
                <w:highlight w:val="none"/>
              </w:rPr>
              <w:t>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790EC0DC">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总体</w:t>
            </w:r>
            <w:r>
              <w:rPr>
                <w:rFonts w:hint="eastAsia" w:asciiTheme="minorEastAsia" w:hAnsiTheme="minorEastAsia" w:eastAsiaTheme="minorEastAsia" w:cstheme="minorEastAsia"/>
                <w:color w:val="auto"/>
                <w:kern w:val="0"/>
                <w:sz w:val="24"/>
                <w:szCs w:val="24"/>
                <w:highlight w:val="none"/>
              </w:rPr>
              <w:t>思路</w:t>
            </w:r>
            <w:r>
              <w:rPr>
                <w:rFonts w:hint="eastAsia" w:asciiTheme="minorEastAsia" w:hAnsiTheme="minorEastAsia" w:eastAsiaTheme="minorEastAsia" w:cstheme="minorEastAsia"/>
                <w:color w:val="auto"/>
                <w:kern w:val="0"/>
                <w:sz w:val="24"/>
                <w:szCs w:val="24"/>
                <w:highlight w:val="none"/>
                <w:lang w:val="en-US" w:eastAsia="zh-CN"/>
              </w:rPr>
              <w:t>较为合理</w:t>
            </w:r>
            <w:r>
              <w:rPr>
                <w:rFonts w:hint="eastAsia" w:asciiTheme="minorEastAsia" w:hAnsiTheme="minorEastAsia" w:eastAsiaTheme="minorEastAsia" w:cstheme="minorEastAsia"/>
                <w:color w:val="auto"/>
                <w:kern w:val="0"/>
                <w:sz w:val="24"/>
                <w:szCs w:val="24"/>
                <w:highlight w:val="none"/>
              </w:rPr>
              <w:t>，目标、任务的理解</w:t>
            </w:r>
            <w:r>
              <w:rPr>
                <w:rFonts w:hint="eastAsia" w:asciiTheme="minorEastAsia" w:hAnsiTheme="minorEastAsia" w:eastAsiaTheme="minorEastAsia" w:cstheme="minorEastAsia"/>
                <w:color w:val="auto"/>
                <w:kern w:val="0"/>
                <w:sz w:val="24"/>
                <w:szCs w:val="24"/>
                <w:highlight w:val="none"/>
                <w:lang w:val="en-US" w:eastAsia="zh-CN"/>
              </w:rPr>
              <w:t>部分清晰，基本</w:t>
            </w:r>
            <w:r>
              <w:rPr>
                <w:rFonts w:hint="eastAsia" w:asciiTheme="minorEastAsia" w:hAnsiTheme="minorEastAsia" w:eastAsiaTheme="minorEastAsia" w:cstheme="minorEastAsia"/>
                <w:color w:val="auto"/>
                <w:kern w:val="0"/>
                <w:sz w:val="24"/>
                <w:szCs w:val="24"/>
                <w:highlight w:val="none"/>
              </w:rPr>
              <w:t>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00BFCA96">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总体</w:t>
            </w:r>
            <w:r>
              <w:rPr>
                <w:rFonts w:hint="eastAsia" w:asciiTheme="minorEastAsia" w:hAnsiTheme="minorEastAsia" w:eastAsiaTheme="minorEastAsia" w:cstheme="minorEastAsia"/>
                <w:color w:val="auto"/>
                <w:kern w:val="0"/>
                <w:sz w:val="24"/>
                <w:szCs w:val="24"/>
                <w:highlight w:val="none"/>
              </w:rPr>
              <w:t>思路基本到位，</w:t>
            </w:r>
            <w:r>
              <w:rPr>
                <w:rFonts w:hint="eastAsia" w:asciiTheme="minorEastAsia" w:hAnsiTheme="minorEastAsia" w:eastAsiaTheme="minorEastAsia" w:cstheme="minorEastAsia"/>
                <w:color w:val="auto"/>
                <w:kern w:val="0"/>
                <w:sz w:val="24"/>
                <w:szCs w:val="24"/>
                <w:highlight w:val="none"/>
                <w:lang w:val="en-US" w:eastAsia="zh-CN"/>
              </w:rPr>
              <w:t>对</w:t>
            </w:r>
            <w:r>
              <w:rPr>
                <w:rFonts w:hint="eastAsia" w:asciiTheme="minorEastAsia" w:hAnsiTheme="minorEastAsia" w:eastAsiaTheme="minorEastAsia" w:cstheme="minorEastAsia"/>
                <w:color w:val="auto"/>
                <w:kern w:val="0"/>
                <w:sz w:val="24"/>
                <w:szCs w:val="24"/>
                <w:highlight w:val="none"/>
              </w:rPr>
              <w:t>目标、任务的</w:t>
            </w:r>
            <w:r>
              <w:rPr>
                <w:rFonts w:hint="eastAsia" w:asciiTheme="minorEastAsia" w:hAnsiTheme="minorEastAsia" w:eastAsiaTheme="minorEastAsia" w:cstheme="minorEastAsia"/>
                <w:color w:val="auto"/>
                <w:kern w:val="0"/>
                <w:sz w:val="24"/>
                <w:szCs w:val="24"/>
                <w:highlight w:val="none"/>
                <w:lang w:val="en-US" w:eastAsia="zh-CN"/>
              </w:rPr>
              <w:t>有一定理解，部分</w:t>
            </w:r>
            <w:r>
              <w:rPr>
                <w:rFonts w:hint="eastAsia" w:asciiTheme="minorEastAsia" w:hAnsiTheme="minorEastAsia" w:eastAsiaTheme="minorEastAsia" w:cstheme="minorEastAsia"/>
                <w:color w:val="auto"/>
                <w:kern w:val="0"/>
                <w:sz w:val="24"/>
                <w:szCs w:val="24"/>
                <w:highlight w:val="none"/>
              </w:rPr>
              <w:t>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559ECC88">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总体</w:t>
            </w:r>
            <w:r>
              <w:rPr>
                <w:rFonts w:hint="eastAsia" w:asciiTheme="minorEastAsia" w:hAnsiTheme="minorEastAsia" w:eastAsiaTheme="minorEastAsia" w:cstheme="minorEastAsia"/>
                <w:color w:val="auto"/>
                <w:kern w:val="0"/>
                <w:sz w:val="24"/>
                <w:szCs w:val="24"/>
                <w:highlight w:val="none"/>
              </w:rPr>
              <w:t>思路</w:t>
            </w:r>
            <w:r>
              <w:rPr>
                <w:rFonts w:hint="eastAsia" w:asciiTheme="minorEastAsia" w:hAnsiTheme="minorEastAsia" w:eastAsiaTheme="minorEastAsia" w:cstheme="minorEastAsia"/>
                <w:color w:val="auto"/>
                <w:kern w:val="0"/>
                <w:sz w:val="24"/>
                <w:szCs w:val="24"/>
                <w:highlight w:val="none"/>
                <w:lang w:val="en-US" w:eastAsia="zh-CN"/>
              </w:rPr>
              <w:t>合理性欠缺</w:t>
            </w:r>
            <w:r>
              <w:rPr>
                <w:rFonts w:hint="eastAsia" w:asciiTheme="minorEastAsia" w:hAnsiTheme="minorEastAsia" w:eastAsiaTheme="minorEastAsia" w:cstheme="minorEastAsia"/>
                <w:color w:val="auto"/>
                <w:kern w:val="0"/>
                <w:sz w:val="24"/>
                <w:szCs w:val="24"/>
                <w:highlight w:val="none"/>
              </w:rPr>
              <w:t>，与</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实际情况有一定偏离</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p>
          <w:p w14:paraId="770166C2">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未提供</w:t>
            </w:r>
            <w:r>
              <w:rPr>
                <w:rFonts w:hint="eastAsia" w:asciiTheme="minorEastAsia" w:hAnsiTheme="minorEastAsia" w:eastAsiaTheme="minorEastAsia" w:cstheme="minorEastAsia"/>
                <w:color w:val="auto"/>
                <w:kern w:val="0"/>
                <w:sz w:val="24"/>
                <w:szCs w:val="24"/>
                <w:highlight w:val="none"/>
                <w:lang w:val="en-US" w:eastAsia="zh-CN"/>
              </w:rPr>
              <w:t>相关内容</w:t>
            </w:r>
            <w:r>
              <w:rPr>
                <w:rFonts w:hint="eastAsia" w:asciiTheme="minorEastAsia" w:hAnsiTheme="minorEastAsia" w:eastAsiaTheme="minorEastAsia" w:cstheme="minorEastAsia"/>
                <w:color w:val="auto"/>
                <w:kern w:val="0"/>
                <w:sz w:val="24"/>
                <w:szCs w:val="24"/>
                <w:highlight w:val="none"/>
              </w:rPr>
              <w:t>不得分。</w:t>
            </w:r>
          </w:p>
          <w:p w14:paraId="221ADBB7">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5，4，</w:t>
            </w:r>
            <w:r>
              <w:rPr>
                <w:rFonts w:hint="eastAsia" w:asciiTheme="minorEastAsia" w:hAnsiTheme="minorEastAsia" w:eastAsiaTheme="minorEastAsia" w:cstheme="minorEastAsia"/>
                <w:color w:val="auto"/>
                <w:kern w:val="0"/>
                <w:sz w:val="24"/>
                <w:szCs w:val="24"/>
                <w:highlight w:val="none"/>
              </w:rPr>
              <w:t>3，2，1，0）</w:t>
            </w:r>
          </w:p>
        </w:tc>
        <w:tc>
          <w:tcPr>
            <w:tcW w:w="268" w:type="pct"/>
            <w:noWrap w:val="0"/>
            <w:vAlign w:val="center"/>
          </w:tcPr>
          <w:p w14:paraId="34C6DF9A">
            <w:pPr>
              <w:widowControl/>
              <w:ind w:left="0" w:leftChars="0"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401" w:type="pct"/>
            <w:noWrap w:val="0"/>
            <w:vAlign w:val="center"/>
          </w:tcPr>
          <w:p w14:paraId="046E3365">
            <w:pPr>
              <w:widowControl/>
              <w:ind w:left="0" w:leftChars="0" w:firstLine="0" w:firstLineChars="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主观分</w:t>
            </w:r>
          </w:p>
        </w:tc>
      </w:tr>
      <w:tr w14:paraId="5BB5E958">
        <w:trPr>
          <w:trHeight w:val="912" w:hRule="atLeast"/>
          <w:jc w:val="center"/>
        </w:trPr>
        <w:tc>
          <w:tcPr>
            <w:tcW w:w="460" w:type="pct"/>
            <w:noWrap w:val="0"/>
            <w:vAlign w:val="center"/>
          </w:tcPr>
          <w:p w14:paraId="1EE63D99">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8</w:t>
            </w:r>
          </w:p>
        </w:tc>
        <w:tc>
          <w:tcPr>
            <w:tcW w:w="3869" w:type="pct"/>
            <w:noWrap w:val="0"/>
            <w:vAlign w:val="center"/>
          </w:tcPr>
          <w:p w14:paraId="4B80F287">
            <w:pPr>
              <w:widowControl/>
              <w:rPr>
                <w:rFonts w:hint="eastAsia" w:asciiTheme="minorEastAsia" w:hAnsiTheme="minorEastAsia" w:eastAsiaTheme="minorEastAsia" w:cstheme="minorEastAsia"/>
                <w:b/>
                <w:bCs/>
                <w:color w:val="auto"/>
                <w:kern w:val="0"/>
                <w:sz w:val="24"/>
                <w:szCs w:val="24"/>
                <w:highlight w:val="none"/>
              </w:rPr>
            </w:pPr>
            <w:r>
              <w:rPr>
                <w:rFonts w:hint="eastAsia" w:ascii="宋体" w:hAnsi="宋体" w:eastAsia="宋体" w:cs="宋体"/>
                <w:color w:val="auto"/>
                <w:kern w:val="0"/>
                <w:sz w:val="24"/>
                <w:highlight w:val="none"/>
              </w:rPr>
              <w:t>《</w:t>
            </w:r>
            <w:r>
              <w:rPr>
                <w:rFonts w:hint="eastAsia" w:asciiTheme="minorEastAsia" w:hAnsiTheme="minorEastAsia" w:eastAsiaTheme="minorEastAsia" w:cstheme="minorEastAsia"/>
                <w:b/>
                <w:bCs/>
                <w:color w:val="auto"/>
                <w:kern w:val="0"/>
                <w:sz w:val="24"/>
                <w:szCs w:val="24"/>
                <w:highlight w:val="none"/>
                <w:lang w:eastAsia="zh-CN"/>
              </w:rPr>
              <w:t>浙江省交通运输信用大数据分析报告（2025年）</w:t>
            </w:r>
            <w:r>
              <w:rPr>
                <w:rFonts w:hint="eastAsia" w:ascii="宋体" w:hAnsi="宋体" w:cs="宋体"/>
                <w:color w:val="auto"/>
                <w:kern w:val="0"/>
                <w:sz w:val="24"/>
                <w:highlight w:val="none"/>
                <w:lang w:eastAsia="zh-CN"/>
              </w:rPr>
              <w:t>》</w:t>
            </w:r>
            <w:r>
              <w:rPr>
                <w:rFonts w:hint="eastAsia" w:asciiTheme="minorEastAsia" w:hAnsiTheme="minorEastAsia" w:eastAsiaTheme="minorEastAsia" w:cstheme="minorEastAsia"/>
                <w:b/>
                <w:bCs/>
                <w:color w:val="auto"/>
                <w:kern w:val="0"/>
                <w:sz w:val="24"/>
                <w:szCs w:val="24"/>
                <w:highlight w:val="none"/>
              </w:rPr>
              <w:t>大纲：</w:t>
            </w:r>
          </w:p>
          <w:p w14:paraId="1817CFD3">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投标人针对本项目浙江省交通运输信用数据分析提出项目实施大纲。评审小组根据投标人提供内容的专业性、合理性、与项目符合程度，综合评分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0692B180">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rPr>
              <w:t>实施大纲</w:t>
            </w:r>
            <w:r>
              <w:rPr>
                <w:rFonts w:hint="eastAsia" w:asciiTheme="minorEastAsia" w:hAnsiTheme="minorEastAsia" w:eastAsiaTheme="minorEastAsia" w:cstheme="minorEastAsia"/>
                <w:color w:val="auto"/>
                <w:sz w:val="24"/>
                <w:highlight w:val="none"/>
                <w:lang w:val="en-US" w:eastAsia="zh-CN"/>
              </w:rPr>
              <w:t>详实，科学合理，具有针对性，可实施性强，</w:t>
            </w:r>
            <w:r>
              <w:rPr>
                <w:rFonts w:hint="eastAsia" w:asciiTheme="minorEastAsia" w:hAnsiTheme="minorEastAsia" w:eastAsiaTheme="minorEastAsia" w:cstheme="minorEastAsia"/>
                <w:color w:val="auto"/>
                <w:kern w:val="0"/>
                <w:sz w:val="24"/>
                <w:szCs w:val="24"/>
                <w:highlight w:val="none"/>
              </w:rPr>
              <w:t>完全符合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sz w:val="24"/>
                <w:highlight w:val="none"/>
                <w:lang w:val="en-US" w:eastAsia="zh-CN"/>
              </w:rPr>
              <w:t>得5分；</w:t>
            </w:r>
          </w:p>
          <w:p w14:paraId="35CD0C0D">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rPr>
              <w:t>实施大纲</w:t>
            </w:r>
            <w:r>
              <w:rPr>
                <w:rFonts w:hint="eastAsia" w:asciiTheme="minorEastAsia" w:hAnsiTheme="minorEastAsia" w:eastAsiaTheme="minorEastAsia" w:cstheme="minorEastAsia"/>
                <w:color w:val="auto"/>
                <w:kern w:val="2"/>
                <w:sz w:val="24"/>
                <w:szCs w:val="24"/>
                <w:highlight w:val="none"/>
                <w:lang w:val="en-US" w:eastAsia="zh-CN"/>
              </w:rPr>
              <w:t>较为</w:t>
            </w:r>
            <w:r>
              <w:rPr>
                <w:rFonts w:hint="eastAsia" w:asciiTheme="minorEastAsia" w:hAnsiTheme="minorEastAsia" w:eastAsiaTheme="minorEastAsia" w:cstheme="minorEastAsia"/>
                <w:color w:val="auto"/>
                <w:sz w:val="24"/>
                <w:highlight w:val="none"/>
                <w:lang w:val="en-US" w:eastAsia="zh-CN"/>
              </w:rPr>
              <w:t>详实，较为科学合理，具有针对性及可实施性，</w:t>
            </w:r>
            <w:r>
              <w:rPr>
                <w:rFonts w:hint="eastAsia" w:asciiTheme="minorEastAsia" w:hAnsiTheme="minorEastAsia" w:eastAsiaTheme="minorEastAsia" w:cstheme="minorEastAsia"/>
                <w:color w:val="auto"/>
                <w:kern w:val="0"/>
                <w:sz w:val="24"/>
                <w:szCs w:val="24"/>
                <w:highlight w:val="none"/>
                <w:lang w:val="en-US" w:eastAsia="zh-CN"/>
              </w:rPr>
              <w:t>基本</w:t>
            </w:r>
            <w:r>
              <w:rPr>
                <w:rFonts w:hint="eastAsia" w:asciiTheme="minorEastAsia" w:hAnsiTheme="minorEastAsia" w:eastAsiaTheme="minorEastAsia" w:cstheme="minorEastAsia"/>
                <w:color w:val="auto"/>
                <w:kern w:val="0"/>
                <w:sz w:val="24"/>
                <w:szCs w:val="24"/>
                <w:highlight w:val="none"/>
              </w:rPr>
              <w:t>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sz w:val="24"/>
                <w:highlight w:val="none"/>
                <w:lang w:val="en-US" w:eastAsia="zh-CN"/>
              </w:rPr>
              <w:t>得4分；</w:t>
            </w:r>
          </w:p>
          <w:p w14:paraId="23C2EA29">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rPr>
              <w:t>实施大纲</w:t>
            </w:r>
            <w:r>
              <w:rPr>
                <w:rFonts w:hint="eastAsia" w:asciiTheme="minorEastAsia" w:hAnsiTheme="minorEastAsia" w:eastAsiaTheme="minorEastAsia" w:cstheme="minorEastAsia"/>
                <w:color w:val="auto"/>
                <w:kern w:val="2"/>
                <w:sz w:val="24"/>
                <w:szCs w:val="24"/>
                <w:highlight w:val="none"/>
                <w:lang w:val="en-US" w:eastAsia="zh-CN"/>
              </w:rPr>
              <w:t>较为</w:t>
            </w:r>
            <w:r>
              <w:rPr>
                <w:rFonts w:hint="eastAsia" w:asciiTheme="minorEastAsia" w:hAnsiTheme="minorEastAsia" w:eastAsiaTheme="minorEastAsia" w:cstheme="minorEastAsia"/>
                <w:color w:val="auto"/>
                <w:sz w:val="24"/>
                <w:highlight w:val="none"/>
                <w:lang w:val="en-US" w:eastAsia="zh-CN"/>
              </w:rPr>
              <w:t>详实，基本科学合理，具有一定针对性及可实施性，</w:t>
            </w:r>
            <w:r>
              <w:rPr>
                <w:rFonts w:hint="eastAsia" w:asciiTheme="minorEastAsia" w:hAnsiTheme="minorEastAsia" w:eastAsiaTheme="minorEastAsia" w:cstheme="minorEastAsia"/>
                <w:color w:val="auto"/>
                <w:kern w:val="0"/>
                <w:sz w:val="24"/>
                <w:szCs w:val="24"/>
                <w:highlight w:val="none"/>
                <w:lang w:val="en-US" w:eastAsia="zh-CN"/>
              </w:rPr>
              <w:t>基本</w:t>
            </w:r>
            <w:r>
              <w:rPr>
                <w:rFonts w:hint="eastAsia" w:asciiTheme="minorEastAsia" w:hAnsiTheme="minorEastAsia" w:eastAsiaTheme="minorEastAsia" w:cstheme="minorEastAsia"/>
                <w:color w:val="auto"/>
                <w:kern w:val="0"/>
                <w:sz w:val="24"/>
                <w:szCs w:val="24"/>
                <w:highlight w:val="none"/>
              </w:rPr>
              <w:t>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sz w:val="24"/>
                <w:highlight w:val="none"/>
                <w:lang w:val="en-US" w:eastAsia="zh-CN"/>
              </w:rPr>
              <w:t>得3分；</w:t>
            </w:r>
          </w:p>
          <w:p w14:paraId="31A6C841">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rPr>
              <w:t>实施大纲</w:t>
            </w:r>
            <w:r>
              <w:rPr>
                <w:rFonts w:hint="eastAsia" w:asciiTheme="minorEastAsia" w:hAnsiTheme="minorEastAsia" w:eastAsiaTheme="minorEastAsia" w:cstheme="minorEastAsia"/>
                <w:color w:val="auto"/>
                <w:sz w:val="24"/>
                <w:highlight w:val="none"/>
                <w:lang w:val="en-US" w:eastAsia="zh-CN"/>
              </w:rPr>
              <w:t>基本合理，有一定的针对性、可实施性的得2分；</w:t>
            </w:r>
          </w:p>
          <w:p w14:paraId="63BEBC52">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rPr>
              <w:t>实施大纲</w:t>
            </w:r>
            <w:r>
              <w:rPr>
                <w:rFonts w:hint="eastAsia" w:asciiTheme="minorEastAsia" w:hAnsiTheme="minorEastAsia" w:eastAsiaTheme="minorEastAsia" w:cstheme="minorEastAsia"/>
                <w:color w:val="auto"/>
                <w:sz w:val="24"/>
                <w:highlight w:val="none"/>
                <w:lang w:val="en-US" w:eastAsia="zh-CN"/>
              </w:rPr>
              <w:t>科学合理性欠缺的得1分；</w:t>
            </w:r>
          </w:p>
          <w:p w14:paraId="1DFF678A">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highlight w:val="none"/>
                <w:lang w:val="en-US" w:eastAsia="zh-CN"/>
              </w:rPr>
              <w:t>未提供方案不得分。</w:t>
            </w:r>
          </w:p>
          <w:p w14:paraId="20498158">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5，4，</w:t>
            </w:r>
            <w:r>
              <w:rPr>
                <w:rFonts w:hint="eastAsia" w:asciiTheme="minorEastAsia" w:hAnsiTheme="minorEastAsia" w:eastAsiaTheme="minorEastAsia" w:cstheme="minorEastAsia"/>
                <w:color w:val="auto"/>
                <w:kern w:val="0"/>
                <w:sz w:val="24"/>
                <w:szCs w:val="24"/>
                <w:highlight w:val="none"/>
              </w:rPr>
              <w:t>3，2，1，0）</w:t>
            </w:r>
          </w:p>
        </w:tc>
        <w:tc>
          <w:tcPr>
            <w:tcW w:w="268" w:type="pct"/>
            <w:noWrap w:val="0"/>
            <w:vAlign w:val="center"/>
          </w:tcPr>
          <w:p w14:paraId="61B22ABC">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401" w:type="pct"/>
            <w:noWrap w:val="0"/>
            <w:vAlign w:val="center"/>
          </w:tcPr>
          <w:p w14:paraId="5EF4B0EE">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主观分</w:t>
            </w:r>
          </w:p>
        </w:tc>
      </w:tr>
      <w:tr w14:paraId="4DC5653A">
        <w:trPr>
          <w:trHeight w:val="912" w:hRule="atLeast"/>
          <w:jc w:val="center"/>
        </w:trPr>
        <w:tc>
          <w:tcPr>
            <w:tcW w:w="460" w:type="pct"/>
            <w:noWrap w:val="0"/>
            <w:vAlign w:val="center"/>
          </w:tcPr>
          <w:p w14:paraId="6DF02260">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9</w:t>
            </w:r>
          </w:p>
        </w:tc>
        <w:tc>
          <w:tcPr>
            <w:tcW w:w="3869" w:type="pct"/>
            <w:noWrap w:val="0"/>
            <w:vAlign w:val="center"/>
          </w:tcPr>
          <w:p w14:paraId="652B93D4">
            <w:pPr>
              <w:widowControl/>
              <w:rPr>
                <w:rFonts w:hint="eastAsia" w:asciiTheme="minorEastAsia" w:hAnsiTheme="minorEastAsia" w:eastAsiaTheme="minorEastAsia" w:cstheme="minorEastAsia"/>
                <w:b/>
                <w:bCs/>
                <w:color w:val="auto"/>
                <w:kern w:val="0"/>
                <w:sz w:val="24"/>
                <w:szCs w:val="24"/>
                <w:highlight w:val="none"/>
              </w:rPr>
            </w:pPr>
            <w:r>
              <w:rPr>
                <w:rFonts w:hint="eastAsia" w:ascii="宋体" w:hAnsi="宋体" w:eastAsia="宋体" w:cs="宋体"/>
                <w:color w:val="auto"/>
                <w:kern w:val="0"/>
                <w:sz w:val="24"/>
                <w:highlight w:val="none"/>
              </w:rPr>
              <w:t>《</w:t>
            </w:r>
            <w:r>
              <w:rPr>
                <w:rFonts w:hint="eastAsia" w:asciiTheme="minorEastAsia" w:hAnsiTheme="minorEastAsia" w:eastAsiaTheme="minorEastAsia" w:cstheme="minorEastAsia"/>
                <w:b/>
                <w:bCs/>
                <w:color w:val="auto"/>
                <w:kern w:val="0"/>
                <w:sz w:val="24"/>
                <w:szCs w:val="24"/>
                <w:highlight w:val="none"/>
              </w:rPr>
              <w:t>浙江省交通运输信用主题数据库梳理分析报告</w:t>
            </w:r>
            <w:r>
              <w:rPr>
                <w:rFonts w:hint="eastAsia" w:ascii="宋体" w:hAnsi="宋体" w:cs="宋体"/>
                <w:color w:val="auto"/>
                <w:kern w:val="0"/>
                <w:sz w:val="24"/>
                <w:highlight w:val="none"/>
                <w:lang w:eastAsia="zh-CN"/>
              </w:rPr>
              <w:t>》</w:t>
            </w:r>
            <w:r>
              <w:rPr>
                <w:rFonts w:hint="eastAsia" w:asciiTheme="minorEastAsia" w:hAnsiTheme="minorEastAsia" w:eastAsiaTheme="minorEastAsia" w:cstheme="minorEastAsia"/>
                <w:b/>
                <w:bCs/>
                <w:color w:val="auto"/>
                <w:kern w:val="0"/>
                <w:sz w:val="24"/>
                <w:szCs w:val="24"/>
                <w:highlight w:val="none"/>
              </w:rPr>
              <w:t>大纲：</w:t>
            </w:r>
          </w:p>
          <w:p w14:paraId="75D475F4">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投标人针对本项目浙江省交通运输信用主题数据库梳理分析报告提出项目实施大纲。评审小组根据投标人提供内容的专业性、合理性、与项目符合程度，综合评分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0B0005AF">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rPr>
              <w:t>实施大纲</w:t>
            </w:r>
            <w:r>
              <w:rPr>
                <w:rFonts w:hint="eastAsia" w:asciiTheme="minorEastAsia" w:hAnsiTheme="minorEastAsia" w:eastAsiaTheme="minorEastAsia" w:cstheme="minorEastAsia"/>
                <w:color w:val="auto"/>
                <w:sz w:val="24"/>
                <w:highlight w:val="none"/>
                <w:lang w:val="en-US" w:eastAsia="zh-CN"/>
              </w:rPr>
              <w:t>详实，科学合理，具有针对性，可实施性强，</w:t>
            </w:r>
            <w:r>
              <w:rPr>
                <w:rFonts w:hint="eastAsia" w:asciiTheme="minorEastAsia" w:hAnsiTheme="minorEastAsia" w:eastAsiaTheme="minorEastAsia" w:cstheme="minorEastAsia"/>
                <w:color w:val="auto"/>
                <w:kern w:val="0"/>
                <w:sz w:val="24"/>
                <w:szCs w:val="24"/>
                <w:highlight w:val="none"/>
              </w:rPr>
              <w:t>完全符合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sz w:val="24"/>
                <w:highlight w:val="none"/>
                <w:lang w:val="en-US" w:eastAsia="zh-CN"/>
              </w:rPr>
              <w:t>得5分；</w:t>
            </w:r>
          </w:p>
          <w:p w14:paraId="43683205">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rPr>
              <w:t>实施大纲</w:t>
            </w:r>
            <w:r>
              <w:rPr>
                <w:rFonts w:hint="eastAsia" w:asciiTheme="minorEastAsia" w:hAnsiTheme="minorEastAsia" w:eastAsiaTheme="minorEastAsia" w:cstheme="minorEastAsia"/>
                <w:color w:val="auto"/>
                <w:kern w:val="2"/>
                <w:sz w:val="24"/>
                <w:szCs w:val="24"/>
                <w:highlight w:val="none"/>
                <w:lang w:val="en-US" w:eastAsia="zh-CN"/>
              </w:rPr>
              <w:t>较为</w:t>
            </w:r>
            <w:r>
              <w:rPr>
                <w:rFonts w:hint="eastAsia" w:asciiTheme="minorEastAsia" w:hAnsiTheme="minorEastAsia" w:eastAsiaTheme="minorEastAsia" w:cstheme="minorEastAsia"/>
                <w:color w:val="auto"/>
                <w:sz w:val="24"/>
                <w:highlight w:val="none"/>
                <w:lang w:val="en-US" w:eastAsia="zh-CN"/>
              </w:rPr>
              <w:t>详实，较为科学合理，具有针对性及可实施性，</w:t>
            </w:r>
            <w:r>
              <w:rPr>
                <w:rFonts w:hint="eastAsia" w:asciiTheme="minorEastAsia" w:hAnsiTheme="minorEastAsia" w:eastAsiaTheme="minorEastAsia" w:cstheme="minorEastAsia"/>
                <w:color w:val="auto"/>
                <w:kern w:val="0"/>
                <w:sz w:val="24"/>
                <w:szCs w:val="24"/>
                <w:highlight w:val="none"/>
                <w:lang w:val="en-US" w:eastAsia="zh-CN"/>
              </w:rPr>
              <w:t>基本</w:t>
            </w:r>
            <w:r>
              <w:rPr>
                <w:rFonts w:hint="eastAsia" w:asciiTheme="minorEastAsia" w:hAnsiTheme="minorEastAsia" w:eastAsiaTheme="minorEastAsia" w:cstheme="minorEastAsia"/>
                <w:color w:val="auto"/>
                <w:kern w:val="0"/>
                <w:sz w:val="24"/>
                <w:szCs w:val="24"/>
                <w:highlight w:val="none"/>
              </w:rPr>
              <w:t>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sz w:val="24"/>
                <w:highlight w:val="none"/>
                <w:lang w:val="en-US" w:eastAsia="zh-CN"/>
              </w:rPr>
              <w:t>得4分；</w:t>
            </w:r>
          </w:p>
          <w:p w14:paraId="7A11D307">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rPr>
              <w:t>实施大纲</w:t>
            </w:r>
            <w:r>
              <w:rPr>
                <w:rFonts w:hint="eastAsia" w:asciiTheme="minorEastAsia" w:hAnsiTheme="minorEastAsia" w:eastAsiaTheme="minorEastAsia" w:cstheme="minorEastAsia"/>
                <w:color w:val="auto"/>
                <w:kern w:val="2"/>
                <w:sz w:val="24"/>
                <w:szCs w:val="24"/>
                <w:highlight w:val="none"/>
                <w:lang w:val="en-US" w:eastAsia="zh-CN"/>
              </w:rPr>
              <w:t>较为</w:t>
            </w:r>
            <w:r>
              <w:rPr>
                <w:rFonts w:hint="eastAsia" w:asciiTheme="minorEastAsia" w:hAnsiTheme="minorEastAsia" w:eastAsiaTheme="minorEastAsia" w:cstheme="minorEastAsia"/>
                <w:color w:val="auto"/>
                <w:sz w:val="24"/>
                <w:highlight w:val="none"/>
                <w:lang w:val="en-US" w:eastAsia="zh-CN"/>
              </w:rPr>
              <w:t>详实，基本科学合理，具有一定针对性及可实施性，</w:t>
            </w:r>
            <w:r>
              <w:rPr>
                <w:rFonts w:hint="eastAsia" w:asciiTheme="minorEastAsia" w:hAnsiTheme="minorEastAsia" w:eastAsiaTheme="minorEastAsia" w:cstheme="minorEastAsia"/>
                <w:color w:val="auto"/>
                <w:kern w:val="0"/>
                <w:sz w:val="24"/>
                <w:szCs w:val="24"/>
                <w:highlight w:val="none"/>
                <w:lang w:val="en-US" w:eastAsia="zh-CN"/>
              </w:rPr>
              <w:t>基本</w:t>
            </w:r>
            <w:r>
              <w:rPr>
                <w:rFonts w:hint="eastAsia" w:asciiTheme="minorEastAsia" w:hAnsiTheme="minorEastAsia" w:eastAsiaTheme="minorEastAsia" w:cstheme="minorEastAsia"/>
                <w:color w:val="auto"/>
                <w:kern w:val="0"/>
                <w:sz w:val="24"/>
                <w:szCs w:val="24"/>
                <w:highlight w:val="none"/>
              </w:rPr>
              <w:t>符合</w:t>
            </w:r>
            <w:r>
              <w:rPr>
                <w:rFonts w:hint="eastAsia" w:asciiTheme="minorEastAsia" w:hAnsiTheme="minorEastAsia" w:eastAsiaTheme="minorEastAsia" w:cstheme="minorEastAsia"/>
                <w:color w:val="auto"/>
                <w:kern w:val="0"/>
                <w:sz w:val="24"/>
                <w:szCs w:val="24"/>
                <w:highlight w:val="none"/>
                <w:lang w:val="en-US" w:eastAsia="zh-CN"/>
              </w:rPr>
              <w:t>项目</w:t>
            </w:r>
            <w:r>
              <w:rPr>
                <w:rFonts w:hint="eastAsia" w:asciiTheme="minorEastAsia" w:hAnsiTheme="minorEastAsia" w:eastAsiaTheme="minorEastAsia" w:cstheme="minorEastAsia"/>
                <w:color w:val="auto"/>
                <w:kern w:val="0"/>
                <w:sz w:val="24"/>
                <w:szCs w:val="24"/>
                <w:highlight w:val="none"/>
              </w:rPr>
              <w:t>实际情况</w:t>
            </w:r>
            <w:r>
              <w:rPr>
                <w:rFonts w:hint="eastAsia" w:asciiTheme="minorEastAsia" w:hAnsiTheme="minorEastAsia" w:eastAsiaTheme="minorEastAsia" w:cstheme="minorEastAsia"/>
                <w:color w:val="auto"/>
                <w:kern w:val="0"/>
                <w:sz w:val="24"/>
                <w:szCs w:val="24"/>
                <w:highlight w:val="none"/>
                <w:lang w:val="en-US" w:eastAsia="zh-CN"/>
              </w:rPr>
              <w:t>的</w:t>
            </w:r>
            <w:r>
              <w:rPr>
                <w:rFonts w:hint="eastAsia" w:asciiTheme="minorEastAsia" w:hAnsiTheme="minorEastAsia" w:eastAsiaTheme="minorEastAsia" w:cstheme="minorEastAsia"/>
                <w:color w:val="auto"/>
                <w:sz w:val="24"/>
                <w:highlight w:val="none"/>
                <w:lang w:val="en-US" w:eastAsia="zh-CN"/>
              </w:rPr>
              <w:t>得3分；</w:t>
            </w:r>
          </w:p>
          <w:p w14:paraId="475B1D02">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rPr>
              <w:t>实施大纲</w:t>
            </w:r>
            <w:r>
              <w:rPr>
                <w:rFonts w:hint="eastAsia" w:asciiTheme="minorEastAsia" w:hAnsiTheme="minorEastAsia" w:eastAsiaTheme="minorEastAsia" w:cstheme="minorEastAsia"/>
                <w:color w:val="auto"/>
                <w:sz w:val="24"/>
                <w:highlight w:val="none"/>
                <w:lang w:val="en-US" w:eastAsia="zh-CN"/>
              </w:rPr>
              <w:t>基本合理，有一定的针对性、可实施性的得2分；</w:t>
            </w:r>
          </w:p>
          <w:p w14:paraId="7AADD8C2">
            <w:pPr>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rPr>
              <w:t>实施大纲</w:t>
            </w:r>
            <w:r>
              <w:rPr>
                <w:rFonts w:hint="eastAsia" w:asciiTheme="minorEastAsia" w:hAnsiTheme="minorEastAsia" w:eastAsiaTheme="minorEastAsia" w:cstheme="minorEastAsia"/>
                <w:color w:val="auto"/>
                <w:sz w:val="24"/>
                <w:highlight w:val="none"/>
                <w:lang w:val="en-US" w:eastAsia="zh-CN"/>
              </w:rPr>
              <w:t>科学合理性欠缺的得1分；</w:t>
            </w:r>
          </w:p>
          <w:p w14:paraId="3E4A7780">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highlight w:val="none"/>
                <w:lang w:val="en-US" w:eastAsia="zh-CN"/>
              </w:rPr>
              <w:t>未提供方案不得分。</w:t>
            </w:r>
          </w:p>
          <w:p w14:paraId="432FD6CF">
            <w:pPr>
              <w:widowControl/>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5，4，</w:t>
            </w:r>
            <w:r>
              <w:rPr>
                <w:rFonts w:hint="eastAsia" w:asciiTheme="minorEastAsia" w:hAnsiTheme="minorEastAsia" w:eastAsiaTheme="minorEastAsia" w:cstheme="minorEastAsia"/>
                <w:color w:val="auto"/>
                <w:kern w:val="0"/>
                <w:sz w:val="24"/>
                <w:szCs w:val="24"/>
                <w:highlight w:val="none"/>
              </w:rPr>
              <w:t>3，2，1，0）</w:t>
            </w:r>
          </w:p>
        </w:tc>
        <w:tc>
          <w:tcPr>
            <w:tcW w:w="268" w:type="pct"/>
            <w:noWrap w:val="0"/>
            <w:vAlign w:val="center"/>
          </w:tcPr>
          <w:p w14:paraId="01531388">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401" w:type="pct"/>
            <w:noWrap w:val="0"/>
            <w:vAlign w:val="center"/>
          </w:tcPr>
          <w:p w14:paraId="74237754">
            <w:pPr>
              <w:widowControl/>
              <w:jc w:val="center"/>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rPr>
              <w:t>主观分</w:t>
            </w:r>
          </w:p>
        </w:tc>
      </w:tr>
      <w:tr w14:paraId="32F46A98">
        <w:trPr>
          <w:trHeight w:val="245" w:hRule="atLeast"/>
          <w:jc w:val="center"/>
        </w:trPr>
        <w:tc>
          <w:tcPr>
            <w:tcW w:w="460" w:type="pct"/>
            <w:noWrap w:val="0"/>
            <w:vAlign w:val="center"/>
          </w:tcPr>
          <w:p w14:paraId="7EAF021E">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10</w:t>
            </w:r>
          </w:p>
        </w:tc>
        <w:tc>
          <w:tcPr>
            <w:tcW w:w="3869" w:type="pct"/>
            <w:noWrap w:val="0"/>
            <w:vAlign w:val="center"/>
          </w:tcPr>
          <w:p w14:paraId="0076ADDB">
            <w:pPr>
              <w:widowControl/>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文档及资料管理方案：</w:t>
            </w:r>
          </w:p>
          <w:p w14:paraId="43E6CC63">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投标人针对本项目提供文档及资料管理方案。评审小组根据投标人提供的内容的专业性、合理性、与项目要求的符合程度，综合评分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5DFE391E">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方案内容详实，科学合理，具有针对性，可实施性强的得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w:t>
            </w:r>
          </w:p>
          <w:p w14:paraId="61BDDB4A">
            <w:pPr>
              <w:widowControl/>
              <w:rPr>
                <w:rFonts w:hint="eastAsia"/>
                <w:color w:val="auto"/>
                <w:highlight w:val="none"/>
              </w:rPr>
            </w:pPr>
            <w:r>
              <w:rPr>
                <w:rFonts w:hint="eastAsia" w:asciiTheme="minorEastAsia" w:hAnsiTheme="minorEastAsia" w:eastAsiaTheme="minorEastAsia" w:cstheme="minorEastAsia"/>
                <w:color w:val="auto"/>
                <w:kern w:val="0"/>
                <w:sz w:val="24"/>
                <w:szCs w:val="24"/>
                <w:highlight w:val="none"/>
              </w:rPr>
              <w:t>方案内容</w:t>
            </w:r>
            <w:r>
              <w:rPr>
                <w:rFonts w:hint="eastAsia" w:asciiTheme="minorEastAsia" w:hAnsiTheme="minorEastAsia" w:eastAsiaTheme="minorEastAsia" w:cstheme="minorEastAsia"/>
                <w:color w:val="auto"/>
                <w:kern w:val="0"/>
                <w:sz w:val="24"/>
                <w:szCs w:val="24"/>
                <w:highlight w:val="none"/>
                <w:lang w:val="en-US" w:eastAsia="zh-CN"/>
              </w:rPr>
              <w:t>较为</w:t>
            </w:r>
            <w:r>
              <w:rPr>
                <w:rFonts w:hint="eastAsia" w:asciiTheme="minorEastAsia" w:hAnsiTheme="minorEastAsia" w:eastAsiaTheme="minorEastAsia" w:cstheme="minorEastAsia"/>
                <w:color w:val="auto"/>
                <w:kern w:val="0"/>
                <w:sz w:val="24"/>
                <w:szCs w:val="24"/>
                <w:highlight w:val="none"/>
              </w:rPr>
              <w:t>详实，科学合理，有一定的针对性、可实施性的得</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分；</w:t>
            </w:r>
          </w:p>
          <w:p w14:paraId="13CEB87E">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方案内容基本合理，有一定的针对性、可实施性的得3分；</w:t>
            </w:r>
          </w:p>
          <w:p w14:paraId="26CDBA85">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方案内容基本合理，针对性、可实施性欠缺的得2分；</w:t>
            </w:r>
          </w:p>
          <w:p w14:paraId="10927B46">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方案科学合理性欠缺的得1分；</w:t>
            </w:r>
          </w:p>
          <w:p w14:paraId="7031EE7B">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未提供方案不得分。</w:t>
            </w:r>
          </w:p>
          <w:p w14:paraId="19750758">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4，3，2，1，0）</w:t>
            </w:r>
          </w:p>
        </w:tc>
        <w:tc>
          <w:tcPr>
            <w:tcW w:w="268" w:type="pct"/>
            <w:noWrap w:val="0"/>
            <w:vAlign w:val="center"/>
          </w:tcPr>
          <w:p w14:paraId="56E2ACC9">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401" w:type="pct"/>
            <w:noWrap w:val="0"/>
            <w:vAlign w:val="center"/>
          </w:tcPr>
          <w:p w14:paraId="31CE5F9F">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主观分</w:t>
            </w:r>
          </w:p>
        </w:tc>
      </w:tr>
      <w:tr w14:paraId="6B1E1A74">
        <w:trPr>
          <w:trHeight w:val="245" w:hRule="atLeast"/>
          <w:jc w:val="center"/>
        </w:trPr>
        <w:tc>
          <w:tcPr>
            <w:tcW w:w="460" w:type="pct"/>
            <w:noWrap w:val="0"/>
            <w:vAlign w:val="center"/>
          </w:tcPr>
          <w:p w14:paraId="7BDE939F">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11</w:t>
            </w:r>
          </w:p>
        </w:tc>
        <w:tc>
          <w:tcPr>
            <w:tcW w:w="3869" w:type="pct"/>
            <w:shd w:val="clear" w:color="auto" w:fill="auto"/>
            <w:noWrap w:val="0"/>
            <w:vAlign w:val="center"/>
          </w:tcPr>
          <w:p w14:paraId="34269ECD">
            <w:pPr>
              <w:widowControl/>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保密方案：</w:t>
            </w:r>
          </w:p>
          <w:p w14:paraId="44625D9F">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投标人针对本项目提供保密方案。评审小组根据投标人提供的内容的专业性、合理性、与项目要求的符合程度，综合评分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43F2A64F">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方案内容详实，科学合理，具有针对性，可实施性强的得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w:t>
            </w:r>
          </w:p>
          <w:p w14:paraId="598DFC35">
            <w:pPr>
              <w:widowControl/>
              <w:rPr>
                <w:rFonts w:hint="eastAsia"/>
                <w:color w:val="auto"/>
                <w:highlight w:val="none"/>
              </w:rPr>
            </w:pPr>
            <w:r>
              <w:rPr>
                <w:rFonts w:hint="eastAsia" w:asciiTheme="minorEastAsia" w:hAnsiTheme="minorEastAsia" w:eastAsiaTheme="minorEastAsia" w:cstheme="minorEastAsia"/>
                <w:color w:val="auto"/>
                <w:kern w:val="0"/>
                <w:sz w:val="24"/>
                <w:szCs w:val="24"/>
                <w:highlight w:val="none"/>
              </w:rPr>
              <w:t>方案内容</w:t>
            </w:r>
            <w:r>
              <w:rPr>
                <w:rFonts w:hint="eastAsia" w:asciiTheme="minorEastAsia" w:hAnsiTheme="minorEastAsia" w:eastAsiaTheme="minorEastAsia" w:cstheme="minorEastAsia"/>
                <w:color w:val="auto"/>
                <w:kern w:val="0"/>
                <w:sz w:val="24"/>
                <w:szCs w:val="24"/>
                <w:highlight w:val="none"/>
                <w:lang w:val="en-US" w:eastAsia="zh-CN"/>
              </w:rPr>
              <w:t>较为</w:t>
            </w:r>
            <w:r>
              <w:rPr>
                <w:rFonts w:hint="eastAsia" w:asciiTheme="minorEastAsia" w:hAnsiTheme="minorEastAsia" w:eastAsiaTheme="minorEastAsia" w:cstheme="minorEastAsia"/>
                <w:color w:val="auto"/>
                <w:kern w:val="0"/>
                <w:sz w:val="24"/>
                <w:szCs w:val="24"/>
                <w:highlight w:val="none"/>
              </w:rPr>
              <w:t>详实，科学合理，有一定的针对性、可实施性的得</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分；</w:t>
            </w:r>
          </w:p>
          <w:p w14:paraId="0AD7C1CA">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方案内容基本合理，有一定的针对性、可实施性的得3分；</w:t>
            </w:r>
          </w:p>
          <w:p w14:paraId="3B192487">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方案内容基本合理，针对性、可实施性欠缺的得2分；</w:t>
            </w:r>
          </w:p>
          <w:p w14:paraId="2987E674">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方案科学合理性欠缺的得1分；</w:t>
            </w:r>
          </w:p>
          <w:p w14:paraId="65A31711">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未提供方案不得分。</w:t>
            </w:r>
          </w:p>
          <w:p w14:paraId="1712A593">
            <w:pPr>
              <w:widowControl/>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4，3，2，1，0）</w:t>
            </w:r>
          </w:p>
        </w:tc>
        <w:tc>
          <w:tcPr>
            <w:tcW w:w="268" w:type="pct"/>
            <w:shd w:val="clear" w:color="auto" w:fill="auto"/>
            <w:noWrap w:val="0"/>
            <w:vAlign w:val="center"/>
          </w:tcPr>
          <w:p w14:paraId="69F0C2E4">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401" w:type="pct"/>
            <w:shd w:val="clear" w:color="auto" w:fill="auto"/>
            <w:noWrap w:val="0"/>
            <w:vAlign w:val="center"/>
          </w:tcPr>
          <w:p w14:paraId="4D9E6D6D">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主观分</w:t>
            </w:r>
          </w:p>
        </w:tc>
      </w:tr>
      <w:tr w14:paraId="530C0E90">
        <w:trPr>
          <w:trHeight w:val="245" w:hRule="atLeast"/>
          <w:jc w:val="center"/>
        </w:trPr>
        <w:tc>
          <w:tcPr>
            <w:tcW w:w="460" w:type="pct"/>
            <w:noWrap w:val="0"/>
            <w:vAlign w:val="center"/>
          </w:tcPr>
          <w:p w14:paraId="2421375D">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w:t>
            </w:r>
          </w:p>
        </w:tc>
        <w:tc>
          <w:tcPr>
            <w:tcW w:w="3869" w:type="pct"/>
            <w:shd w:val="clear" w:color="auto" w:fill="auto"/>
            <w:noWrap w:val="0"/>
            <w:vAlign w:val="center"/>
          </w:tcPr>
          <w:p w14:paraId="0202CD48">
            <w:pPr>
              <w:widowControl/>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服务质量保障方案：</w:t>
            </w:r>
          </w:p>
          <w:p w14:paraId="5C0F9D94">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投标人针对本项目提供服务</w:t>
            </w:r>
            <w:r>
              <w:rPr>
                <w:rFonts w:hint="eastAsia" w:asciiTheme="minorEastAsia" w:hAnsiTheme="minorEastAsia" w:eastAsiaTheme="minorEastAsia" w:cstheme="minorEastAsia"/>
                <w:color w:val="auto"/>
                <w:kern w:val="0"/>
                <w:sz w:val="24"/>
                <w:szCs w:val="24"/>
                <w:highlight w:val="none"/>
                <w:lang w:eastAsia="zh-Hans"/>
              </w:rPr>
              <w:t>质量保障</w:t>
            </w:r>
            <w:r>
              <w:rPr>
                <w:rFonts w:hint="eastAsia" w:asciiTheme="minorEastAsia" w:hAnsiTheme="minorEastAsia" w:eastAsiaTheme="minorEastAsia" w:cstheme="minorEastAsia"/>
                <w:color w:val="auto"/>
                <w:kern w:val="0"/>
                <w:sz w:val="24"/>
                <w:szCs w:val="24"/>
                <w:highlight w:val="none"/>
              </w:rPr>
              <w:t>方案。评审小组根据投标人提供的内容的专业性、合理性、与项目要求的符合程度，综合评分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20533FC9">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方案内容详实，科学合理，具有针对性，可实施性强的得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w:t>
            </w:r>
          </w:p>
          <w:p w14:paraId="7C87846C">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w:t>
            </w:r>
            <w:r>
              <w:rPr>
                <w:rFonts w:hint="eastAsia" w:asciiTheme="minorEastAsia" w:hAnsiTheme="minorEastAsia" w:eastAsiaTheme="minorEastAsia" w:cstheme="minorEastAsia"/>
                <w:color w:val="auto"/>
                <w:kern w:val="0"/>
                <w:sz w:val="24"/>
                <w:szCs w:val="24"/>
                <w:highlight w:val="none"/>
                <w:lang w:val="en-US" w:eastAsia="zh-CN"/>
              </w:rPr>
              <w:t>较为</w:t>
            </w:r>
            <w:r>
              <w:rPr>
                <w:rFonts w:hint="eastAsia" w:asciiTheme="minorEastAsia" w:hAnsiTheme="minorEastAsia" w:eastAsiaTheme="minorEastAsia" w:cstheme="minorEastAsia"/>
                <w:color w:val="auto"/>
                <w:kern w:val="0"/>
                <w:sz w:val="24"/>
                <w:szCs w:val="24"/>
                <w:highlight w:val="none"/>
              </w:rPr>
              <w:t>详实，科学合理，有一定的针对性、可实施性的得</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分；</w:t>
            </w:r>
          </w:p>
          <w:p w14:paraId="29D51BC4">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方案内容基本合理，有一定的针对性、可实施性的得3分；</w:t>
            </w:r>
          </w:p>
          <w:p w14:paraId="7088D9BB">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方案内容基本合理，针对性、可实施性欠缺的得2分；</w:t>
            </w:r>
          </w:p>
          <w:p w14:paraId="493CCB13">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方案科学合理性欠缺的得1分；</w:t>
            </w:r>
          </w:p>
          <w:p w14:paraId="64C800BE">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未提供方案不得分。</w:t>
            </w:r>
          </w:p>
          <w:p w14:paraId="7E6A5809">
            <w:pPr>
              <w:widowControl/>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4，3，2，1，0）</w:t>
            </w:r>
          </w:p>
        </w:tc>
        <w:tc>
          <w:tcPr>
            <w:tcW w:w="268" w:type="pct"/>
            <w:shd w:val="clear" w:color="auto" w:fill="auto"/>
            <w:noWrap w:val="0"/>
            <w:vAlign w:val="center"/>
          </w:tcPr>
          <w:p w14:paraId="1B951D46">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401" w:type="pct"/>
            <w:shd w:val="clear" w:color="auto" w:fill="auto"/>
            <w:noWrap w:val="0"/>
            <w:vAlign w:val="center"/>
          </w:tcPr>
          <w:p w14:paraId="523531C4">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主观分</w:t>
            </w:r>
          </w:p>
        </w:tc>
      </w:tr>
      <w:tr w14:paraId="7B13354B">
        <w:trPr>
          <w:trHeight w:val="245" w:hRule="atLeast"/>
          <w:jc w:val="center"/>
        </w:trPr>
        <w:tc>
          <w:tcPr>
            <w:tcW w:w="460" w:type="pct"/>
            <w:noWrap w:val="0"/>
            <w:vAlign w:val="center"/>
          </w:tcPr>
          <w:p w14:paraId="76C66354">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13</w:t>
            </w:r>
          </w:p>
        </w:tc>
        <w:tc>
          <w:tcPr>
            <w:tcW w:w="3869" w:type="pct"/>
            <w:shd w:val="clear" w:color="auto" w:fill="auto"/>
            <w:noWrap w:val="0"/>
            <w:vAlign w:val="center"/>
          </w:tcPr>
          <w:p w14:paraId="58C4F32C">
            <w:pPr>
              <w:widowControl/>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项目进度保障方案：</w:t>
            </w:r>
          </w:p>
          <w:p w14:paraId="10635C29">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投标人针对本项目提供项目进度保障方案。评审小组根据投标人提供的内容的专业性、合理性、与项目要求的符合程度，综合评分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6735051B">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方案内容详实，科学合理，具有针对性，可实施性强的得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w:t>
            </w:r>
          </w:p>
          <w:p w14:paraId="0EC691E6">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w:t>
            </w:r>
            <w:r>
              <w:rPr>
                <w:rFonts w:hint="eastAsia" w:asciiTheme="minorEastAsia" w:hAnsiTheme="minorEastAsia" w:eastAsiaTheme="minorEastAsia" w:cstheme="minorEastAsia"/>
                <w:color w:val="auto"/>
                <w:kern w:val="0"/>
                <w:sz w:val="24"/>
                <w:szCs w:val="24"/>
                <w:highlight w:val="none"/>
                <w:lang w:val="en-US" w:eastAsia="zh-CN"/>
              </w:rPr>
              <w:t>较为</w:t>
            </w:r>
            <w:r>
              <w:rPr>
                <w:rFonts w:hint="eastAsia" w:asciiTheme="minorEastAsia" w:hAnsiTheme="minorEastAsia" w:eastAsiaTheme="minorEastAsia" w:cstheme="minorEastAsia"/>
                <w:color w:val="auto"/>
                <w:kern w:val="0"/>
                <w:sz w:val="24"/>
                <w:szCs w:val="24"/>
                <w:highlight w:val="none"/>
              </w:rPr>
              <w:t>详实，科学合理，有一定的针对性、可实施性的得</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分；</w:t>
            </w:r>
          </w:p>
          <w:p w14:paraId="4E84B086">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方案内容基本合理，有一定的针对性、可实施性的得3分；</w:t>
            </w:r>
          </w:p>
          <w:p w14:paraId="026C9AAC">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方案内容基本合理，针对性、可实施性欠缺的得2分；</w:t>
            </w:r>
          </w:p>
          <w:p w14:paraId="65873A74">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方案科学合理性欠缺的得1分；</w:t>
            </w:r>
          </w:p>
          <w:p w14:paraId="3CF5B5E6">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未提供方案不得分。</w:t>
            </w:r>
          </w:p>
          <w:p w14:paraId="63C8DCED">
            <w:pPr>
              <w:widowControl/>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4，3，2，1，0）</w:t>
            </w:r>
          </w:p>
        </w:tc>
        <w:tc>
          <w:tcPr>
            <w:tcW w:w="268" w:type="pct"/>
            <w:shd w:val="clear" w:color="auto" w:fill="auto"/>
            <w:noWrap w:val="0"/>
            <w:vAlign w:val="center"/>
          </w:tcPr>
          <w:p w14:paraId="7CD81E1B">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401" w:type="pct"/>
            <w:shd w:val="clear" w:color="auto" w:fill="auto"/>
            <w:noWrap w:val="0"/>
            <w:vAlign w:val="center"/>
          </w:tcPr>
          <w:p w14:paraId="33940B87">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主观分</w:t>
            </w:r>
          </w:p>
        </w:tc>
      </w:tr>
      <w:tr w14:paraId="732A5570">
        <w:trPr>
          <w:trHeight w:val="245" w:hRule="atLeast"/>
          <w:jc w:val="center"/>
        </w:trPr>
        <w:tc>
          <w:tcPr>
            <w:tcW w:w="460" w:type="pct"/>
            <w:noWrap w:val="0"/>
            <w:vAlign w:val="center"/>
          </w:tcPr>
          <w:p w14:paraId="34790A62">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14</w:t>
            </w:r>
          </w:p>
        </w:tc>
        <w:tc>
          <w:tcPr>
            <w:tcW w:w="3869" w:type="pct"/>
            <w:shd w:val="clear" w:color="auto" w:fill="auto"/>
            <w:noWrap w:val="0"/>
            <w:vAlign w:val="center"/>
          </w:tcPr>
          <w:p w14:paraId="2AEC7AFE">
            <w:pPr>
              <w:widowControl/>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验收方案：</w:t>
            </w:r>
          </w:p>
          <w:p w14:paraId="31A392BF">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投标人针对本项目提供</w:t>
            </w:r>
            <w:r>
              <w:rPr>
                <w:rFonts w:hint="eastAsia" w:asciiTheme="minorEastAsia" w:hAnsiTheme="minorEastAsia" w:eastAsiaTheme="minorEastAsia" w:cstheme="minorEastAsia"/>
                <w:color w:val="auto"/>
                <w:kern w:val="0"/>
                <w:sz w:val="24"/>
                <w:szCs w:val="24"/>
                <w:highlight w:val="none"/>
                <w:lang w:val="en-US" w:eastAsia="zh-CN"/>
              </w:rPr>
              <w:t>验收</w:t>
            </w:r>
            <w:r>
              <w:rPr>
                <w:rFonts w:hint="eastAsia" w:asciiTheme="minorEastAsia" w:hAnsiTheme="minorEastAsia" w:eastAsiaTheme="minorEastAsia" w:cstheme="minorEastAsia"/>
                <w:color w:val="auto"/>
                <w:kern w:val="0"/>
                <w:sz w:val="24"/>
                <w:szCs w:val="24"/>
                <w:highlight w:val="none"/>
              </w:rPr>
              <w:t>方案。评审小组根据投标人提供的内容的专业性、合理性、与项目要求的符合程度，综合评分</w:t>
            </w:r>
            <w:r>
              <w:rPr>
                <w:rFonts w:hint="eastAsia" w:asciiTheme="minorEastAsia" w:hAnsiTheme="minorEastAsia" w:eastAsiaTheme="minorEastAsia" w:cstheme="minorEastAsia"/>
                <w:color w:val="auto"/>
                <w:kern w:val="0"/>
                <w:sz w:val="24"/>
                <w:szCs w:val="24"/>
                <w:highlight w:val="none"/>
                <w:lang w:eastAsia="zh-CN"/>
              </w:rPr>
              <w:t>：</w:t>
            </w:r>
          </w:p>
          <w:p w14:paraId="4A97E397">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方案内容详实，科学合理，具有针对性，可实施性强的得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w:t>
            </w:r>
          </w:p>
          <w:p w14:paraId="7CFD3E37">
            <w:pPr>
              <w:widowControl/>
              <w:rPr>
                <w:rFonts w:hint="eastAsia"/>
                <w:color w:val="auto"/>
                <w:highlight w:val="none"/>
              </w:rPr>
            </w:pPr>
            <w:r>
              <w:rPr>
                <w:rFonts w:hint="eastAsia" w:asciiTheme="minorEastAsia" w:hAnsiTheme="minorEastAsia" w:eastAsiaTheme="minorEastAsia" w:cstheme="minorEastAsia"/>
                <w:color w:val="auto"/>
                <w:kern w:val="0"/>
                <w:sz w:val="24"/>
                <w:szCs w:val="24"/>
                <w:highlight w:val="none"/>
              </w:rPr>
              <w:t>方案内容</w:t>
            </w:r>
            <w:r>
              <w:rPr>
                <w:rFonts w:hint="eastAsia" w:asciiTheme="minorEastAsia" w:hAnsiTheme="minorEastAsia" w:eastAsiaTheme="minorEastAsia" w:cstheme="minorEastAsia"/>
                <w:color w:val="auto"/>
                <w:kern w:val="0"/>
                <w:sz w:val="24"/>
                <w:szCs w:val="24"/>
                <w:highlight w:val="none"/>
                <w:lang w:val="en-US" w:eastAsia="zh-CN"/>
              </w:rPr>
              <w:t>较为</w:t>
            </w:r>
            <w:r>
              <w:rPr>
                <w:rFonts w:hint="eastAsia" w:asciiTheme="minorEastAsia" w:hAnsiTheme="minorEastAsia" w:eastAsiaTheme="minorEastAsia" w:cstheme="minorEastAsia"/>
                <w:color w:val="auto"/>
                <w:kern w:val="0"/>
                <w:sz w:val="24"/>
                <w:szCs w:val="24"/>
                <w:highlight w:val="none"/>
              </w:rPr>
              <w:t>详实，科学合理，有一定的针对性、可实施性的得</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分；</w:t>
            </w:r>
          </w:p>
          <w:p w14:paraId="57C44D11">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方案内容基本合理，有一定的针对性、可实施性的得3分；</w:t>
            </w:r>
          </w:p>
          <w:p w14:paraId="4E50E1CE">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方案内容基本合理，针对性、可实施性欠缺的得2分；</w:t>
            </w:r>
          </w:p>
          <w:p w14:paraId="549BF860">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方案科学合理性欠缺的得1分；</w:t>
            </w:r>
          </w:p>
          <w:p w14:paraId="23A4F5F1">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未提供方案不得分。</w:t>
            </w:r>
          </w:p>
          <w:p w14:paraId="66F5C39E">
            <w:pPr>
              <w:pStyle w:val="23"/>
              <w:rPr>
                <w:rFonts w:hint="default"/>
                <w:color w:val="auto"/>
                <w:highlight w:val="none"/>
                <w:lang w:val="en-US" w:eastAsia="zh-CN"/>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4，3，2，1，0）</w:t>
            </w:r>
          </w:p>
        </w:tc>
        <w:tc>
          <w:tcPr>
            <w:tcW w:w="268" w:type="pct"/>
            <w:shd w:val="clear" w:color="auto" w:fill="auto"/>
            <w:noWrap w:val="0"/>
            <w:vAlign w:val="center"/>
          </w:tcPr>
          <w:p w14:paraId="0CD858C5">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401" w:type="pct"/>
            <w:shd w:val="clear" w:color="auto" w:fill="auto"/>
            <w:noWrap w:val="0"/>
            <w:vAlign w:val="center"/>
          </w:tcPr>
          <w:p w14:paraId="3563D22D">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主观分</w:t>
            </w:r>
          </w:p>
        </w:tc>
      </w:tr>
      <w:tr w14:paraId="6594FD22">
        <w:trPr>
          <w:trHeight w:val="245" w:hRule="atLeast"/>
          <w:jc w:val="center"/>
        </w:trPr>
        <w:tc>
          <w:tcPr>
            <w:tcW w:w="460" w:type="pct"/>
            <w:noWrap w:val="0"/>
            <w:vAlign w:val="center"/>
          </w:tcPr>
          <w:p w14:paraId="5C238311">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15</w:t>
            </w:r>
          </w:p>
        </w:tc>
        <w:tc>
          <w:tcPr>
            <w:tcW w:w="3869" w:type="pct"/>
            <w:shd w:val="clear" w:color="auto" w:fill="auto"/>
            <w:noWrap w:val="0"/>
            <w:vAlign w:val="center"/>
          </w:tcPr>
          <w:p w14:paraId="79636DE9">
            <w:pPr>
              <w:widowControl/>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rPr>
              <w:t>其它有助提高项目服务质量和进度的建议</w:t>
            </w:r>
            <w:r>
              <w:rPr>
                <w:rFonts w:hint="eastAsia" w:asciiTheme="minorEastAsia" w:hAnsiTheme="minorEastAsia" w:eastAsiaTheme="minorEastAsia" w:cstheme="minorEastAsia"/>
                <w:b/>
                <w:bCs/>
                <w:color w:val="auto"/>
                <w:kern w:val="0"/>
                <w:sz w:val="24"/>
                <w:szCs w:val="24"/>
                <w:highlight w:val="none"/>
                <w:lang w:val="en-US" w:eastAsia="zh-CN"/>
              </w:rPr>
              <w:t>:</w:t>
            </w:r>
          </w:p>
          <w:p w14:paraId="1F11E38B">
            <w:pPr>
              <w:widowControl/>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建议内容详实全面，提出的创新性举措具有行业前瞻性，可操作性强，能有效保障项目服务质量显著提升和进度高效推进，且与项目整体目标高度契合的得5分；</w:t>
            </w:r>
          </w:p>
          <w:p w14:paraId="15051228">
            <w:pPr>
              <w:widowControl/>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建议内容较为合理，提出有针对性的优化方案，具有一定可行性和可操作性，对项目服务质量和进度有积极促进作用，与项目要求较为相符的得4分；</w:t>
            </w:r>
          </w:p>
          <w:p w14:paraId="256D909F">
            <w:pPr>
              <w:widowControl/>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建议内容基本合理，提出有针对性的优化方案，具有一定可行性和可操作性，对项目服务质量和进度有积极促进作用，与项目要求基本相符的得3分；​</w:t>
            </w:r>
          </w:p>
          <w:p w14:paraId="20E35984">
            <w:pPr>
              <w:widowControl/>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建议内容基本合理，针对性、可行性存在不足，对项目服务质量和进度的提升效果有限的得2分。​</w:t>
            </w:r>
          </w:p>
          <w:p w14:paraId="28055E41">
            <w:pPr>
              <w:widowControl/>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建议缺乏科学合理性或建议内容模糊、不具体，无法明确实施方向，得1分。​</w:t>
            </w:r>
          </w:p>
          <w:p w14:paraId="4F1DD1AB">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未提供方案不得分。</w:t>
            </w:r>
          </w:p>
          <w:p w14:paraId="746A637A">
            <w:pPr>
              <w:widowControl/>
              <w:rPr>
                <w:rFonts w:hint="eastAsia" w:ascii="宋体" w:hAnsi="Arial" w:eastAsia="宋体" w:cs="Arial"/>
                <w:snapToGrid w:val="0"/>
                <w:color w:val="auto"/>
                <w:kern w:val="2"/>
                <w:sz w:val="24"/>
                <w:szCs w:val="21"/>
                <w:highlight w:val="none"/>
                <w:lang w:val="en-US" w:eastAsia="zh-CN" w:bidi="ar-SA"/>
              </w:rPr>
            </w:pPr>
            <w:r>
              <w:rPr>
                <w:rFonts w:hint="eastAsia" w:asciiTheme="minorEastAsia" w:hAnsiTheme="minorEastAsia" w:eastAsiaTheme="minorEastAsia" w:cstheme="minorEastAsia"/>
                <w:color w:val="auto"/>
                <w:kern w:val="0"/>
                <w:sz w:val="24"/>
                <w:szCs w:val="24"/>
                <w:highlight w:val="none"/>
              </w:rPr>
              <w:t>（评分范围：</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4，3，2，1，0）</w:t>
            </w:r>
          </w:p>
        </w:tc>
        <w:tc>
          <w:tcPr>
            <w:tcW w:w="268" w:type="pct"/>
            <w:shd w:val="clear" w:color="auto" w:fill="auto"/>
            <w:noWrap w:val="0"/>
            <w:vAlign w:val="center"/>
          </w:tcPr>
          <w:p w14:paraId="7480DA87">
            <w:pPr>
              <w:widowControl/>
              <w:jc w:val="center"/>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401" w:type="pct"/>
            <w:shd w:val="clear" w:color="auto" w:fill="auto"/>
            <w:noWrap w:val="0"/>
            <w:vAlign w:val="center"/>
          </w:tcPr>
          <w:p w14:paraId="68706654">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主观分</w:t>
            </w:r>
          </w:p>
        </w:tc>
      </w:tr>
      <w:tr w14:paraId="1A41387E">
        <w:trPr>
          <w:trHeight w:val="433" w:hRule="atLeast"/>
          <w:jc w:val="center"/>
        </w:trPr>
        <w:tc>
          <w:tcPr>
            <w:tcW w:w="460" w:type="pct"/>
            <w:noWrap w:val="0"/>
            <w:vAlign w:val="center"/>
          </w:tcPr>
          <w:p w14:paraId="774BCA71">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16</w:t>
            </w:r>
          </w:p>
        </w:tc>
        <w:tc>
          <w:tcPr>
            <w:tcW w:w="3869" w:type="pct"/>
            <w:noWrap w:val="0"/>
            <w:vAlign w:val="center"/>
          </w:tcPr>
          <w:p w14:paraId="1EBBC03D">
            <w:pPr>
              <w:widowControl/>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价格分：</w:t>
            </w:r>
          </w:p>
          <w:p w14:paraId="783149BA">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价格分采用低价优先法计算，即有效投标报价的最低价为评审基准价，其最低报价为满分。其他投标人的报价分统一按照下列公式计算：</w:t>
            </w:r>
          </w:p>
          <w:p w14:paraId="71B2F179">
            <w:pPr>
              <w:widowControl/>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报价得分=（评审基准价/投标报价）*1</w:t>
            </w:r>
            <w:r>
              <w:rPr>
                <w:rFonts w:hint="eastAsia" w:asciiTheme="minorEastAsia" w:hAnsiTheme="minorEastAsia" w:eastAsiaTheme="minorEastAsia" w:cstheme="minorEastAsia"/>
                <w:color w:val="auto"/>
                <w:kern w:val="0"/>
                <w:sz w:val="24"/>
                <w:szCs w:val="24"/>
                <w:highlight w:val="none"/>
                <w:lang w:val="en-US" w:eastAsia="zh-CN"/>
              </w:rPr>
              <w:t>0</w:t>
            </w:r>
          </w:p>
          <w:p w14:paraId="46857913">
            <w:pPr>
              <w:widowControl/>
              <w:rPr>
                <w:rFonts w:hint="eastAsia"/>
                <w:color w:val="auto"/>
                <w:highlight w:val="none"/>
                <w:lang w:val="en-US" w:eastAsia="zh-CN"/>
              </w:rPr>
            </w:pPr>
            <w:r>
              <w:rPr>
                <w:rFonts w:hint="eastAsia" w:asciiTheme="minorEastAsia" w:hAnsiTheme="minorEastAsia" w:eastAsiaTheme="minorEastAsia" w:cstheme="minorEastAsia"/>
                <w:color w:val="auto"/>
                <w:kern w:val="0"/>
                <w:sz w:val="24"/>
                <w:szCs w:val="24"/>
                <w:highlight w:val="none"/>
              </w:rPr>
              <w:t>已预留份额专门面向中小微企业采购的项目，不再执行价格评审优惠的扶持政策。</w:t>
            </w:r>
          </w:p>
        </w:tc>
        <w:tc>
          <w:tcPr>
            <w:tcW w:w="268" w:type="pct"/>
            <w:noWrap w:val="0"/>
            <w:vAlign w:val="center"/>
          </w:tcPr>
          <w:p w14:paraId="3351F820">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10</w:t>
            </w:r>
          </w:p>
        </w:tc>
        <w:tc>
          <w:tcPr>
            <w:tcW w:w="401" w:type="pct"/>
            <w:noWrap w:val="0"/>
            <w:vAlign w:val="center"/>
          </w:tcPr>
          <w:p w14:paraId="3C531833">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客观分</w:t>
            </w:r>
          </w:p>
        </w:tc>
      </w:tr>
    </w:tbl>
    <w:p w14:paraId="7C8CCB51">
      <w:pPr>
        <w:snapToGrid w:val="0"/>
        <w:spacing w:line="360" w:lineRule="auto"/>
        <w:rPr>
          <w:rFonts w:hint="eastAsia" w:ascii="宋体" w:hAnsi="宋体" w:cs="宋体"/>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14:paraId="3D9F229D">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50336B96">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F2B9C6B">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7FBABA1E">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6A96354">
      <w:pP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92B49C6">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E43040A">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90E4B22">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830CE85">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6D68466">
      <w:pPr>
        <w:pStyle w:val="133"/>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DCAB411">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w:t>
      </w:r>
      <w:r>
        <w:rPr>
          <w:rFonts w:hint="eastAsia" w:ascii="宋体" w:hAnsi="宋体" w:cs="宋体"/>
          <w:color w:val="auto"/>
          <w:kern w:val="0"/>
          <w:szCs w:val="24"/>
          <w:highlight w:val="none"/>
          <w:lang w:val="en-US" w:eastAsia="zh-CN"/>
        </w:rPr>
        <w:t>政采云系统中的报价与</w:t>
      </w:r>
      <w:r>
        <w:rPr>
          <w:rFonts w:hint="eastAsia" w:ascii="宋体" w:hAnsi="宋体" w:cs="宋体"/>
          <w:color w:val="auto"/>
          <w:kern w:val="0"/>
          <w:szCs w:val="24"/>
          <w:highlight w:val="none"/>
        </w:rPr>
        <w:t>投标文件中开标一览表(报价表)内容与不一致的，以投标文件中开标一览表(报价表)为准;</w:t>
      </w:r>
    </w:p>
    <w:p w14:paraId="59A50E74">
      <w:pPr>
        <w:pStyle w:val="133"/>
        <w:spacing w:before="0"/>
        <w:ind w:firstLine="480"/>
        <w:rPr>
          <w:rFonts w:hint="eastAsia"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rPr>
        <w:t>3.4.1.2投标文件中开标一览表(报价表)内容</w:t>
      </w:r>
      <w:r>
        <w:rPr>
          <w:rFonts w:hint="eastAsia" w:ascii="宋体" w:hAnsi="宋体" w:cs="宋体"/>
          <w:color w:val="auto"/>
          <w:kern w:val="0"/>
          <w:szCs w:val="24"/>
          <w:highlight w:val="none"/>
          <w:lang w:val="en-US" w:eastAsia="zh-CN"/>
        </w:rPr>
        <w:t>与报价文件其它部分中的报价不一致的，以</w:t>
      </w:r>
      <w:r>
        <w:rPr>
          <w:rFonts w:hint="eastAsia" w:ascii="宋体" w:hAnsi="宋体" w:cs="宋体"/>
          <w:color w:val="auto"/>
          <w:kern w:val="0"/>
          <w:szCs w:val="24"/>
          <w:highlight w:val="none"/>
        </w:rPr>
        <w:t>开标一览表(报价表)</w:t>
      </w:r>
      <w:r>
        <w:rPr>
          <w:rFonts w:hint="eastAsia" w:ascii="宋体" w:hAnsi="宋体" w:cs="宋体"/>
          <w:color w:val="auto"/>
          <w:kern w:val="0"/>
          <w:szCs w:val="24"/>
          <w:highlight w:val="none"/>
          <w:lang w:val="en-US" w:eastAsia="zh-CN"/>
        </w:rPr>
        <w:t>为准；</w:t>
      </w:r>
    </w:p>
    <w:p w14:paraId="69934661">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3.4.1.3大写金额和小写金额不一致的，以大写金额为准;</w:t>
      </w:r>
    </w:p>
    <w:p w14:paraId="0CED5028">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w:t>
      </w: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单价金额小数点或者百分比有明显错位的，以开标一览表的总价为准，并修改单价;</w:t>
      </w:r>
    </w:p>
    <w:p w14:paraId="1578A963">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w:t>
      </w:r>
      <w:r>
        <w:rPr>
          <w:rFonts w:hint="eastAsia" w:ascii="宋体" w:hAnsi="宋体" w:cs="宋体"/>
          <w:color w:val="auto"/>
          <w:kern w:val="0"/>
          <w:szCs w:val="24"/>
          <w:highlight w:val="none"/>
          <w:lang w:val="en-US" w:eastAsia="zh-CN"/>
        </w:rPr>
        <w:t>5</w:t>
      </w:r>
      <w:r>
        <w:rPr>
          <w:rFonts w:hint="eastAsia" w:ascii="宋体" w:hAnsi="宋体" w:cs="宋体"/>
          <w:color w:val="auto"/>
          <w:kern w:val="0"/>
          <w:szCs w:val="24"/>
          <w:highlight w:val="none"/>
        </w:rPr>
        <w:t>总价金额与按单价汇总金额不一致的，以单价金额计算结果为准。</w:t>
      </w:r>
    </w:p>
    <w:p w14:paraId="1FA7B741">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w:t>
      </w:r>
      <w:r>
        <w:rPr>
          <w:rFonts w:hint="eastAsia" w:ascii="宋体" w:hAnsi="宋体" w:cs="宋体"/>
          <w:color w:val="auto"/>
          <w:kern w:val="0"/>
          <w:szCs w:val="24"/>
          <w:highlight w:val="none"/>
          <w:lang w:val="en-US" w:eastAsia="zh-CN"/>
        </w:rPr>
        <w:t>6</w:t>
      </w: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1057A3D7">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18F277A">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A2D6CE7">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F856705">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hint="eastAsia" w:ascii="宋体" w:hAnsi="宋体" w:cs="宋体"/>
          <w:color w:val="auto"/>
          <w:kern w:val="0"/>
          <w:szCs w:val="24"/>
          <w:highlight w:val="none"/>
          <w:lang w:val="en-US" w:eastAsia="zh-CN"/>
        </w:rPr>
        <w:t>10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6AE71B2">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5C0EB39">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299D30F">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BAF27A8">
      <w:pPr>
        <w:snapToGrid w:val="0"/>
        <w:spacing w:line="360" w:lineRule="auto"/>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3221FB46">
      <w:pPr>
        <w:pStyle w:val="133"/>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FBAD2CE">
      <w:pPr>
        <w:pStyle w:val="24"/>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DA6E0C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0EC129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5A1756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07964B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E0229A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3933711">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FA6CB6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0041E8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4.2.8专门面向中小企业采购的项目，《中小企业声明函》填写企业类型错误或者未填写企业类型的，投标无效；</w:t>
      </w:r>
    </w:p>
    <w:p w14:paraId="000C95D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D0238C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F1A20B4">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194899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 参与同一个项目（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175805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4.2.13投标人仅提交备份投标文件，未在电子交易平台传输递交投标文件的，投标无效；</w:t>
      </w:r>
    </w:p>
    <w:p w14:paraId="732F87C7">
      <w:pPr>
        <w:spacing w:line="360" w:lineRule="auto"/>
        <w:ind w:firstLine="480" w:firstLineChars="20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4.2.14 投标文件不满足招标文件的其它实质性要求的；</w:t>
      </w:r>
    </w:p>
    <w:p w14:paraId="5BE6DF3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4.2.15法律、法规、规章（适用本市的）及省级以上规范性文件（适用本市的）规定的其他无效情形。</w:t>
      </w:r>
    </w:p>
    <w:p w14:paraId="79125B01">
      <w:pPr>
        <w:pStyle w:val="24"/>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BD6701A">
      <w:pPr>
        <w:pStyle w:val="24"/>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7A215253">
      <w:pPr>
        <w:pStyle w:val="24"/>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7A57F746">
      <w:pPr>
        <w:pStyle w:val="24"/>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498B6FFF">
      <w:pPr>
        <w:pStyle w:val="24"/>
        <w:snapToGrid w:val="0"/>
        <w:spacing w:line="360" w:lineRule="auto"/>
        <w:rPr>
          <w:rFonts w:hint="eastAsia" w:cs="宋体"/>
          <w:color w:val="auto"/>
          <w:highlight w:val="none"/>
        </w:rPr>
      </w:pPr>
      <w:r>
        <w:rPr>
          <w:rFonts w:hint="eastAsia" w:cs="宋体"/>
          <w:color w:val="auto"/>
          <w:highlight w:val="none"/>
        </w:rPr>
        <w:t>5.4因重大变故，采购任务取消的。</w:t>
      </w:r>
    </w:p>
    <w:p w14:paraId="2E780A9F">
      <w:pPr>
        <w:pStyle w:val="24"/>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65E98D96">
      <w:pPr>
        <w:pStyle w:val="24"/>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3CFC41D">
      <w:pPr>
        <w:pStyle w:val="24"/>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9CB2060">
      <w:pPr>
        <w:pStyle w:val="24"/>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247825AE">
      <w:pPr>
        <w:pStyle w:val="24"/>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992E854">
      <w:pPr>
        <w:pStyle w:val="24"/>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E470B8D">
      <w:pPr>
        <w:pStyle w:val="24"/>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08E6B92A">
      <w:pPr>
        <w:pStyle w:val="24"/>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C54C0F3">
      <w:pPr>
        <w:rPr>
          <w:rFonts w:hint="eastAsia" w:ascii="宋体" w:hAnsi="宋体" w:cs="宋体"/>
          <w:b/>
          <w:color w:val="auto"/>
          <w:sz w:val="36"/>
          <w:szCs w:val="36"/>
          <w:highlight w:val="none"/>
        </w:rPr>
      </w:pPr>
      <w:bookmarkStart w:id="394" w:name="_Toc86217003"/>
      <w:r>
        <w:rPr>
          <w:rFonts w:hint="eastAsia" w:ascii="宋体" w:hAnsi="宋体" w:cs="宋体"/>
          <w:b/>
          <w:color w:val="auto"/>
          <w:sz w:val="36"/>
          <w:szCs w:val="36"/>
          <w:highlight w:val="none"/>
        </w:rPr>
        <w:br w:type="page"/>
      </w:r>
    </w:p>
    <w:p w14:paraId="2245EF7D">
      <w:pPr>
        <w:spacing w:line="360" w:lineRule="auto"/>
        <w:ind w:left="0" w:leftChars="0" w:firstLine="0" w:firstLineChars="0"/>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5C1505C">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本章所述合同格式及合同条款为指引性文件。在合同签订时，采购人有权合理修改本合同条款。若采购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14:paraId="3DB6BFC0">
      <w:pPr>
        <w:snapToGrid w:val="0"/>
        <w:spacing w:before="120" w:beforeLines="50" w:after="120" w:afterLines="50"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浙江省政府采购合同（参考）</w:t>
      </w:r>
    </w:p>
    <w:p w14:paraId="5D95EF52">
      <w:pPr>
        <w:spacing w:line="360" w:lineRule="auto"/>
        <w:ind w:firstLine="480" w:firstLineChars="200"/>
        <w:jc w:val="left"/>
        <w:rPr>
          <w:rFonts w:hint="eastAsia" w:ascii="宋体" w:hAnsi="宋体" w:cs="宋体"/>
          <w:b/>
          <w:bCs/>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浙江省交通运输数智信用综合服务</w:t>
      </w:r>
      <w:r>
        <w:rPr>
          <w:rFonts w:hint="eastAsia" w:ascii="宋体" w:hAnsi="宋体" w:cs="宋体"/>
          <w:b/>
          <w:bCs/>
          <w:color w:val="auto"/>
          <w:sz w:val="24"/>
          <w:highlight w:val="none"/>
          <w:u w:val="single"/>
        </w:rPr>
        <w:t xml:space="preserve"> </w:t>
      </w:r>
    </w:p>
    <w:p w14:paraId="033A06FD">
      <w:pPr>
        <w:snapToGrid w:val="0"/>
        <w:spacing w:line="360" w:lineRule="auto"/>
        <w:ind w:firstLine="480" w:firstLineChars="200"/>
        <w:rPr>
          <w:rFonts w:hint="default" w:ascii="宋体" w:hAnsi="宋体" w:cs="宋体"/>
          <w:color w:val="auto"/>
          <w:sz w:val="24"/>
          <w:highlight w:val="none"/>
          <w:lang w:val="en-US"/>
        </w:rPr>
      </w:pPr>
      <w:r>
        <w:rPr>
          <w:rFonts w:hint="eastAsia" w:ascii="宋体" w:hAnsi="宋体" w:cs="宋体"/>
          <w:color w:val="auto"/>
          <w:sz w:val="24"/>
          <w:highlight w:val="none"/>
        </w:rPr>
        <w:t>项目编号：</w:t>
      </w:r>
      <w:r>
        <w:rPr>
          <w:rFonts w:hint="default" w:ascii="宋体" w:hAnsi="宋体" w:cs="宋体"/>
          <w:color w:val="auto"/>
          <w:sz w:val="24"/>
          <w:highlight w:val="none"/>
          <w:u w:val="single"/>
          <w:lang w:val="en-US"/>
        </w:rPr>
        <w:t>ZJHY-SJTYST-202501</w:t>
      </w:r>
    </w:p>
    <w:p w14:paraId="38B99785">
      <w:pPr>
        <w:snapToGrid w:val="0"/>
        <w:spacing w:line="360" w:lineRule="auto"/>
        <w:ind w:firstLine="482" w:firstLineChars="200"/>
        <w:rPr>
          <w:rFonts w:hint="eastAsia" w:ascii="宋体" w:hAnsi="宋体" w:cs="宋体"/>
          <w:b/>
          <w:bCs/>
          <w:color w:val="auto"/>
          <w:sz w:val="24"/>
          <w:highlight w:val="none"/>
          <w:u w:val="single"/>
        </w:rPr>
      </w:pPr>
      <w:r>
        <w:rPr>
          <w:rFonts w:hint="eastAsia" w:ascii="宋体" w:hAnsi="宋体" w:cs="宋体"/>
          <w:b/>
          <w:bCs/>
          <w:color w:val="auto"/>
          <w:sz w:val="24"/>
          <w:highlight w:val="none"/>
          <w:u w:val="single"/>
        </w:rPr>
        <w:t>甲方：（采购人）</w:t>
      </w:r>
      <w:r>
        <w:rPr>
          <w:rFonts w:hint="eastAsia" w:ascii="宋体" w:hAnsi="宋体" w:cs="宋体"/>
          <w:color w:val="auto"/>
          <w:sz w:val="24"/>
          <w:highlight w:val="none"/>
          <w:u w:val="single"/>
        </w:rPr>
        <w:t xml:space="preserve">   </w:t>
      </w:r>
    </w:p>
    <w:p w14:paraId="790E6864">
      <w:pPr>
        <w:snapToGrid w:val="0"/>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bCs/>
          <w:color w:val="auto"/>
          <w:sz w:val="24"/>
          <w:highlight w:val="none"/>
          <w:u w:val="single"/>
        </w:rPr>
        <w:t xml:space="preserve">乙方：（中标人）   </w:t>
      </w:r>
    </w:p>
    <w:p w14:paraId="6D35A9B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cs="宋体"/>
          <w:b/>
          <w:color w:val="auto"/>
          <w:sz w:val="24"/>
          <w:highlight w:val="none"/>
        </w:rPr>
      </w:pPr>
      <w:r>
        <w:rPr>
          <w:rFonts w:hint="eastAsia" w:ascii="宋体" w:hAnsi="宋体" w:cs="宋体"/>
          <w:color w:val="auto"/>
          <w:sz w:val="24"/>
          <w:highlight w:val="none"/>
        </w:rPr>
        <w:t xml:space="preserve">   甲、乙双方根据</w:t>
      </w:r>
      <w:r>
        <w:rPr>
          <w:rFonts w:hint="eastAsia" w:ascii="宋体" w:hAnsi="宋体" w:cs="宋体"/>
          <w:color w:val="auto"/>
          <w:sz w:val="24"/>
          <w:highlight w:val="none"/>
          <w:u w:val="single"/>
          <w:lang w:eastAsia="zh-CN"/>
        </w:rPr>
        <w:t>浙江省交通运输数智信用综合服务</w:t>
      </w:r>
      <w:r>
        <w:rPr>
          <w:rFonts w:hint="eastAsia" w:ascii="宋体" w:hAnsi="宋体" w:cs="宋体"/>
          <w:color w:val="auto"/>
          <w:sz w:val="24"/>
          <w:highlight w:val="none"/>
        </w:rPr>
        <w:t>（项目编号：</w:t>
      </w:r>
      <w:r>
        <w:rPr>
          <w:rFonts w:hint="default" w:ascii="宋体" w:hAnsi="宋体" w:cs="宋体"/>
          <w:color w:val="auto"/>
          <w:sz w:val="24"/>
          <w:highlight w:val="none"/>
          <w:u w:val="single"/>
          <w:lang w:val="en-US"/>
        </w:rPr>
        <w:t>ZJHY-SJTYST-202501</w:t>
      </w:r>
      <w:r>
        <w:rPr>
          <w:rFonts w:hint="eastAsia" w:ascii="宋体" w:hAnsi="宋体" w:cs="宋体"/>
          <w:color w:val="auto"/>
          <w:sz w:val="24"/>
          <w:highlight w:val="none"/>
        </w:rPr>
        <w:t>）招标的结果，签署本合同。</w:t>
      </w:r>
    </w:p>
    <w:p w14:paraId="73FC5536">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一、合同内容</w:t>
      </w:r>
    </w:p>
    <w:p w14:paraId="1040873E">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  本项目为 </w:t>
      </w:r>
      <w:r>
        <w:rPr>
          <w:rFonts w:hint="eastAsia" w:ascii="宋体" w:hAnsi="宋体" w:cs="宋体"/>
          <w:b/>
          <w:bCs/>
          <w:color w:val="auto"/>
          <w:sz w:val="24"/>
          <w:highlight w:val="none"/>
          <w:u w:val="single"/>
          <w:lang w:eastAsia="zh-CN"/>
        </w:rPr>
        <w:t>浙江省交通运输数智信用综合服务</w:t>
      </w:r>
      <w:r>
        <w:rPr>
          <w:rFonts w:hint="eastAsia" w:ascii="宋体" w:hAnsi="宋体" w:cs="宋体"/>
          <w:bCs/>
          <w:color w:val="auto"/>
          <w:sz w:val="24"/>
          <w:highlight w:val="none"/>
          <w:u w:val="single"/>
        </w:rPr>
        <w:t>，</w:t>
      </w:r>
      <w:r>
        <w:rPr>
          <w:rFonts w:hint="eastAsia" w:ascii="宋体" w:hAnsi="宋体" w:cs="宋体"/>
          <w:color w:val="auto"/>
          <w:sz w:val="24"/>
          <w:highlight w:val="none"/>
        </w:rPr>
        <w:t>乙方负责甲方招标文件中</w:t>
      </w:r>
      <w:r>
        <w:rPr>
          <w:rFonts w:hint="eastAsia" w:ascii="宋体" w:hAnsi="宋体" w:cs="宋体"/>
          <w:bCs/>
          <w:color w:val="auto"/>
          <w:sz w:val="24"/>
          <w:highlight w:val="none"/>
          <w:u w:val="single"/>
        </w:rPr>
        <w:t>指定的各项工作</w:t>
      </w:r>
      <w:r>
        <w:rPr>
          <w:rFonts w:hint="eastAsia" w:ascii="宋体" w:hAnsi="宋体" w:cs="宋体"/>
          <w:color w:val="auto"/>
          <w:sz w:val="24"/>
          <w:highlight w:val="none"/>
        </w:rPr>
        <w:t>。</w:t>
      </w:r>
    </w:p>
    <w:p w14:paraId="53976BBC">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二、合同金额</w:t>
      </w:r>
    </w:p>
    <w:p w14:paraId="335AA33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本合同金额为人民币（大写）：</w:t>
      </w:r>
      <w:r>
        <w:rPr>
          <w:rFonts w:hint="eastAsia" w:ascii="宋体" w:hAnsi="宋体" w:cs="宋体"/>
          <w:b/>
          <w:bCs/>
          <w:color w:val="auto"/>
          <w:kern w:val="0"/>
          <w:sz w:val="24"/>
          <w:highlight w:val="none"/>
          <w:u w:val="single"/>
        </w:rPr>
        <w:t xml:space="preserve">      元整 </w:t>
      </w:r>
      <w:r>
        <w:rPr>
          <w:rFonts w:hint="eastAsia" w:ascii="宋体" w:hAnsi="宋体" w:cs="宋体"/>
          <w:b/>
          <w:bCs/>
          <w:color w:val="auto"/>
          <w:sz w:val="24"/>
          <w:highlight w:val="none"/>
          <w:u w:val="single"/>
        </w:rPr>
        <w:t>（￥</w:t>
      </w:r>
      <w:r>
        <w:rPr>
          <w:rFonts w:hint="eastAsia" w:ascii="宋体" w:hAnsi="宋体" w:cs="宋体"/>
          <w:b/>
          <w:bCs/>
          <w:color w:val="auto"/>
          <w:kern w:val="0"/>
          <w:sz w:val="24"/>
          <w:highlight w:val="none"/>
          <w:u w:val="single"/>
        </w:rPr>
        <w:t xml:space="preserve">   </w:t>
      </w:r>
      <w:r>
        <w:rPr>
          <w:rFonts w:hint="eastAsia" w:ascii="宋体" w:hAnsi="宋体" w:cs="宋体"/>
          <w:b/>
          <w:bCs/>
          <w:color w:val="auto"/>
          <w:sz w:val="24"/>
          <w:highlight w:val="none"/>
          <w:u w:val="single"/>
        </w:rPr>
        <w:t>元）。</w:t>
      </w:r>
    </w:p>
    <w:p w14:paraId="7379265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合同价</w:t>
      </w:r>
      <w:r>
        <w:rPr>
          <w:rFonts w:hint="eastAsia" w:ascii="宋体" w:hAnsi="宋体" w:cs="宋体"/>
          <w:color w:val="auto"/>
          <w:sz w:val="24"/>
          <w:highlight w:val="none"/>
          <w:u w:val="single"/>
        </w:rPr>
        <w:t>包含完成本项目</w:t>
      </w:r>
      <w:r>
        <w:rPr>
          <w:rFonts w:hint="eastAsia" w:ascii="宋体" w:hAnsi="宋体" w:cs="宋体"/>
          <w:color w:val="auto"/>
          <w:sz w:val="24"/>
          <w:highlight w:val="none"/>
          <w:u w:val="single"/>
          <w:lang w:val="en-US" w:eastAsia="zh-CN"/>
        </w:rPr>
        <w:t>甲方</w:t>
      </w:r>
      <w:r>
        <w:rPr>
          <w:rFonts w:hint="eastAsia" w:ascii="宋体" w:hAnsi="宋体" w:cs="宋体"/>
          <w:color w:val="auto"/>
          <w:sz w:val="24"/>
          <w:highlight w:val="none"/>
          <w:u w:val="single"/>
        </w:rPr>
        <w:t>指定内容的整体包干价</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即</w:t>
      </w:r>
      <w:r>
        <w:rPr>
          <w:rFonts w:hint="eastAsia" w:ascii="宋体" w:hAnsi="宋体" w:cs="宋体"/>
          <w:color w:val="auto"/>
          <w:sz w:val="24"/>
          <w:highlight w:val="none"/>
          <w:u w:val="single"/>
        </w:rPr>
        <w:t>包含完成本项目工作任务所发生的一切费用及不可预见费等所需的全部费用，全部费用已包含在合同价中。全部费用包括（但不限于）：差旅费、咨询费、管理费、会议费、劳务费、印刷费、其他交通费用、办公费、其他不可预见费用及所有有关的管理成本等全部费用。</w:t>
      </w:r>
      <w:r>
        <w:rPr>
          <w:rFonts w:hint="eastAsia" w:ascii="宋体" w:hAnsi="宋体" w:cs="宋体"/>
          <w:color w:val="auto"/>
          <w:sz w:val="24"/>
          <w:highlight w:val="none"/>
        </w:rPr>
        <w:t>凡乙方在报价中未列明但又为本次采购所必备的项目或遗漏项目，甲方将一律视为已包括在合同价中，在合同执行中将不予考虑。</w:t>
      </w:r>
    </w:p>
    <w:p w14:paraId="156DFBC2">
      <w:pPr>
        <w:snapToGrid w:val="0"/>
        <w:spacing w:line="360" w:lineRule="auto"/>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三、服务</w:t>
      </w:r>
      <w:r>
        <w:rPr>
          <w:rFonts w:hint="eastAsia" w:ascii="宋体" w:hAnsi="宋体" w:eastAsia="宋体" w:cs="宋体"/>
          <w:b/>
          <w:bCs/>
          <w:color w:val="auto"/>
          <w:sz w:val="24"/>
          <w:highlight w:val="none"/>
          <w:lang w:val="en-US" w:eastAsia="zh-CN"/>
        </w:rPr>
        <w:t>内容</w:t>
      </w:r>
    </w:p>
    <w:p w14:paraId="45DFF40B">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依托浙江省交通运输信用管理与服务系统数据底座，开展浙江省交通运输数智信用综合服务。一是开展信用数据分析服务。对信用数据开展动态监测、综合分析，形成数据分析报告，综合反映全省交通运输数智信用建设发展态势，发现存在问题并提出优化建议。二是开展信用主题数据库梳理分析服务。主要是依据部省公共信用信息目录的规范性、标准化和全过程动态管理要求，对信用主体、许可、处罚、监督检查、评价结果以及红黑名单数据的调研梳理，分析确定业务处理规则并进行数据分类整理等工作。</w:t>
      </w:r>
    </w:p>
    <w:p w14:paraId="6CE70133">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四、相关法规、管理条例与技术标准、行业规范</w:t>
      </w:r>
    </w:p>
    <w:p w14:paraId="0884298F">
      <w:pPr>
        <w:keepNext w:val="0"/>
        <w:keepLines w:val="0"/>
        <w:pageBreakBefore w:val="0"/>
        <w:widowControl w:val="0"/>
        <w:kinsoku/>
        <w:wordWrap/>
        <w:overflowPunct/>
        <w:topLinePunct w:val="0"/>
        <w:autoSpaceDE/>
        <w:autoSpaceDN/>
        <w:bidi w:val="0"/>
        <w:adjustRightInd w:val="0"/>
        <w:snapToGrid w:val="0"/>
        <w:spacing w:line="360" w:lineRule="auto"/>
        <w:ind w:left="479" w:leftChars="228"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1、国家规定的标准和规范，有新标准按新标准执行；</w:t>
      </w:r>
    </w:p>
    <w:p w14:paraId="03CF1611">
      <w:pPr>
        <w:keepNext w:val="0"/>
        <w:keepLines w:val="0"/>
        <w:pageBreakBefore w:val="0"/>
        <w:widowControl w:val="0"/>
        <w:kinsoku/>
        <w:wordWrap/>
        <w:overflowPunct/>
        <w:topLinePunct w:val="0"/>
        <w:autoSpaceDE/>
        <w:autoSpaceDN/>
        <w:bidi w:val="0"/>
        <w:adjustRightInd w:val="0"/>
        <w:snapToGrid w:val="0"/>
        <w:spacing w:line="360" w:lineRule="auto"/>
        <w:ind w:left="479" w:leftChars="228"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2、行业标准及规范，有新标准按新标准执行；</w:t>
      </w:r>
    </w:p>
    <w:p w14:paraId="6C05DB26">
      <w:pPr>
        <w:keepNext w:val="0"/>
        <w:keepLines w:val="0"/>
        <w:pageBreakBefore w:val="0"/>
        <w:widowControl w:val="0"/>
        <w:kinsoku/>
        <w:wordWrap/>
        <w:overflowPunct/>
        <w:topLinePunct w:val="0"/>
        <w:autoSpaceDE/>
        <w:autoSpaceDN/>
        <w:bidi w:val="0"/>
        <w:adjustRightInd w:val="0"/>
        <w:snapToGrid w:val="0"/>
        <w:spacing w:line="360" w:lineRule="auto"/>
        <w:ind w:left="479" w:leftChars="228"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3、其他相关标准。</w:t>
      </w:r>
    </w:p>
    <w:p w14:paraId="43B302AB">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五、知识产权</w:t>
      </w:r>
    </w:p>
    <w:p w14:paraId="1C7C1E55">
      <w:pPr>
        <w:spacing w:line="360" w:lineRule="auto"/>
        <w:ind w:firstLine="477" w:firstLineChars="199"/>
        <w:rPr>
          <w:rFonts w:hint="eastAsia"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1、乙方应保证所提供的服务或其任何一部分均不会侵犯任何第三方的知识产权。</w:t>
      </w:r>
    </w:p>
    <w:p w14:paraId="011908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2、与本项目相关的数据、研究、评估报告、政策建议等知识产权的所有权和使用权均为甲方和乙方共有。未经甲方书面同意，任何单位和个人不得转让和使用本项目成果。</w:t>
      </w:r>
    </w:p>
    <w:p w14:paraId="2681D6CE">
      <w:pPr>
        <w:spacing w:line="360" w:lineRule="auto"/>
        <w:rPr>
          <w:rFonts w:hint="eastAsia" w:ascii="宋体" w:hAnsi="宋体" w:cs="宋体"/>
          <w:b/>
          <w:color w:val="auto"/>
          <w:sz w:val="24"/>
          <w:highlight w:val="none"/>
        </w:rPr>
      </w:pPr>
      <w:r>
        <w:rPr>
          <w:rFonts w:hint="eastAsia" w:ascii="宋体" w:hAnsi="宋体" w:cs="宋体"/>
          <w:b/>
          <w:color w:val="auto"/>
          <w:sz w:val="24"/>
          <w:highlight w:val="none"/>
          <w:shd w:val="clear" w:color="auto" w:fill="FFFFFF"/>
        </w:rPr>
        <w:t>六、</w:t>
      </w:r>
      <w:r>
        <w:rPr>
          <w:rFonts w:hint="eastAsia" w:ascii="宋体" w:hAnsi="宋体" w:cs="宋体"/>
          <w:b/>
          <w:color w:val="auto"/>
          <w:sz w:val="24"/>
          <w:highlight w:val="none"/>
        </w:rPr>
        <w:t>服务地点和期限、进度要求</w:t>
      </w:r>
    </w:p>
    <w:p w14:paraId="733254DF">
      <w:pPr>
        <w:spacing w:line="360" w:lineRule="auto"/>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rPr>
        <w:t>1</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项目服务地点：</w:t>
      </w:r>
      <w:r>
        <w:rPr>
          <w:rFonts w:hint="eastAsia" w:ascii="宋体" w:hAnsi="宋体" w:cs="宋体"/>
          <w:b w:val="0"/>
          <w:bCs/>
          <w:color w:val="auto"/>
          <w:sz w:val="24"/>
          <w:highlight w:val="none"/>
          <w:u w:val="single"/>
        </w:rPr>
        <w:t>杭州；</w:t>
      </w:r>
    </w:p>
    <w:p w14:paraId="20C6F80B">
      <w:pPr>
        <w:spacing w:line="360" w:lineRule="auto"/>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rPr>
        <w:t>2</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项目服务期限：</w:t>
      </w:r>
      <w:r>
        <w:rPr>
          <w:rFonts w:hint="eastAsia" w:ascii="宋体" w:hAnsi="宋体" w:cs="宋体"/>
          <w:b w:val="0"/>
          <w:bCs/>
          <w:color w:val="auto"/>
          <w:sz w:val="24"/>
          <w:highlight w:val="none"/>
          <w:u w:val="single"/>
        </w:rPr>
        <w:t>合同签订之日起至2025年12月30日；</w:t>
      </w:r>
    </w:p>
    <w:p w14:paraId="393977C6">
      <w:pPr>
        <w:spacing w:line="360" w:lineRule="auto"/>
        <w:ind w:firstLine="480" w:firstLineChars="200"/>
        <w:rPr>
          <w:rFonts w:hint="eastAsia" w:ascii="宋体" w:hAnsi="宋体" w:cs="宋体"/>
          <w:b w:val="0"/>
          <w:bCs/>
          <w:color w:val="auto"/>
          <w:sz w:val="24"/>
          <w:highlight w:val="none"/>
          <w:u w:val="single"/>
        </w:rPr>
      </w:pPr>
      <w:r>
        <w:rPr>
          <w:rFonts w:hint="eastAsia" w:ascii="宋体" w:hAnsi="宋体" w:cs="宋体"/>
          <w:b w:val="0"/>
          <w:bCs/>
          <w:color w:val="auto"/>
          <w:sz w:val="24"/>
          <w:highlight w:val="none"/>
        </w:rPr>
        <w:t>3</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项目服务进度：</w:t>
      </w:r>
      <w:r>
        <w:rPr>
          <w:rFonts w:hint="eastAsia" w:ascii="宋体" w:hAnsi="宋体" w:cs="宋体"/>
          <w:b w:val="0"/>
          <w:bCs/>
          <w:color w:val="auto"/>
          <w:sz w:val="24"/>
          <w:highlight w:val="none"/>
          <w:u w:val="single"/>
        </w:rPr>
        <w:t>2025年9月底前，形成《浙江省交通运输公共信用信息目录（2025版）》、《浙江省交通运输信用主题数据库梳理分析报告》和《浙江省交通运输信用大数据分析报告（2025年）》初稿；2025年10月底前完成信用主题数据库梳理分析服务；2025年11月底前完成项目报告终稿，2025年12月底前根据要求完成项目验收工作。</w:t>
      </w:r>
    </w:p>
    <w:p w14:paraId="7C130AB4">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七、付款方式</w:t>
      </w:r>
    </w:p>
    <w:p w14:paraId="39DF6288">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1、合同签订完成，自收到乙方开具的增值税发票后10日内支付合同金额的70%；</w:t>
      </w:r>
    </w:p>
    <w:p w14:paraId="33AEF368">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项目验收结题，自收到乙方开具的增值税发票后10日内支付合同金额的30%。</w:t>
      </w:r>
    </w:p>
    <w:p w14:paraId="1C8BDA34">
      <w:pPr>
        <w:snapToGrid w:val="0"/>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rPr>
        <w:t>、验收</w:t>
      </w:r>
      <w:r>
        <w:rPr>
          <w:rFonts w:hint="eastAsia" w:ascii="宋体" w:hAnsi="宋体" w:cs="宋体"/>
          <w:b/>
          <w:bCs/>
          <w:color w:val="auto"/>
          <w:sz w:val="24"/>
          <w:highlight w:val="none"/>
          <w:lang w:val="en-US" w:eastAsia="zh-CN"/>
        </w:rPr>
        <w:t>要求</w:t>
      </w:r>
    </w:p>
    <w:p w14:paraId="5DC35EC5">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1、验收资料齐全。</w:t>
      </w:r>
    </w:p>
    <w:p w14:paraId="790BF059">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2、完成采购文件中要求完成的相关事项。</w:t>
      </w:r>
    </w:p>
    <w:p w14:paraId="4837E700">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3、服务成果符合采购需求及相关技术规范要求，经采购实施部门组织专家评审后通过验收。</w:t>
      </w:r>
    </w:p>
    <w:p w14:paraId="4FD53B0A">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九</w:t>
      </w:r>
      <w:r>
        <w:rPr>
          <w:rFonts w:hint="eastAsia" w:ascii="宋体" w:hAnsi="宋体" w:cs="宋体"/>
          <w:b/>
          <w:bCs/>
          <w:color w:val="auto"/>
          <w:sz w:val="24"/>
          <w:highlight w:val="none"/>
        </w:rPr>
        <w:t>、税费</w:t>
      </w:r>
    </w:p>
    <w:p w14:paraId="179C9D07">
      <w:pPr>
        <w:snapToGrid w:val="0"/>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本合同执行中相关的一切税费均由乙方负担。</w:t>
      </w:r>
    </w:p>
    <w:p w14:paraId="4EA09416">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十、违约责任</w:t>
      </w:r>
    </w:p>
    <w:p w14:paraId="713503E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1、违反本合同约定，造成本合同不能履行或不能完全履行，由违约方承担违约责任，违约方应按《中华人民共和国民法典》相关规定赔偿对方经济损失。</w:t>
      </w:r>
    </w:p>
    <w:p w14:paraId="7695339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2、甲方无故逾期验收和办理合同</w:t>
      </w:r>
      <w:r>
        <w:rPr>
          <w:rFonts w:hint="eastAsia" w:ascii="宋体" w:hAnsi="宋体" w:cs="宋体"/>
          <w:color w:val="auto"/>
          <w:sz w:val="24"/>
          <w:highlight w:val="none"/>
          <w:lang w:eastAsia="zh-Hans"/>
        </w:rPr>
        <w:t>价</w:t>
      </w:r>
      <w:r>
        <w:rPr>
          <w:rFonts w:hint="eastAsia" w:ascii="宋体" w:hAnsi="宋体" w:cs="宋体"/>
          <w:color w:val="auto"/>
          <w:sz w:val="24"/>
          <w:highlight w:val="none"/>
        </w:rPr>
        <w:t>款支付手续的,甲方应按逾期付款总额每日万分之五向乙方支付违约金。</w:t>
      </w:r>
    </w:p>
    <w:p w14:paraId="0637352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未按采购人要求的时间提供服务的，乙方应按逾期每日总额千分之六向甲方支付违约金，由甲方从待付合同款中扣除。逾期超过约定日期10个工作日不能履行服务的，甲方可解除本合同，乙方应退还全部已收款项。乙方因逾期履行服务或因其他违约行为导致甲方解除合同，或乙方擅自解除合同的，乙方应向甲方支付合同总额5%的违约金，如造成甲方损失超过违约金的，超出部分由乙方继续承担赔偿责任，此外，乙方还应退还全部已收款项。</w:t>
      </w:r>
    </w:p>
    <w:p w14:paraId="034CFC4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4、乙方达不到项目要求，乙方应负责根据合同及甲方的要求采取相应的处理措施，并承担由此发生的一切损失和费用，整改延误的时间不作为整个项目工期延期的理由。</w:t>
      </w:r>
    </w:p>
    <w:p w14:paraId="2116DA80">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十</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、不可抗力事件处理</w:t>
      </w:r>
    </w:p>
    <w:p w14:paraId="3E7D887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14:paraId="2AA7ED8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14:paraId="4E9CE777">
      <w:pPr>
        <w:snapToGrid w:val="0"/>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3.不可抗力事件延续60天以上，双方应通过友好协商，确定是否继续履行合同。</w:t>
      </w:r>
      <w:r>
        <w:rPr>
          <w:rFonts w:hint="eastAsia" w:ascii="宋体" w:hAnsi="宋体" w:cs="宋体"/>
          <w:b/>
          <w:bCs/>
          <w:color w:val="auto"/>
          <w:sz w:val="24"/>
          <w:highlight w:val="none"/>
        </w:rPr>
        <w:t>十</w:t>
      </w:r>
      <w:r>
        <w:rPr>
          <w:rFonts w:hint="eastAsia" w:ascii="宋体" w:hAnsi="宋体" w:cs="宋体"/>
          <w:b/>
          <w:bCs/>
          <w:color w:val="auto"/>
          <w:sz w:val="24"/>
          <w:highlight w:val="none"/>
          <w:lang w:val="en-US" w:eastAsia="zh-CN"/>
        </w:rPr>
        <w:t>十二</w:t>
      </w:r>
      <w:r>
        <w:rPr>
          <w:rFonts w:hint="eastAsia" w:ascii="宋体" w:hAnsi="宋体" w:cs="宋体"/>
          <w:b/>
          <w:bCs/>
          <w:color w:val="auto"/>
          <w:sz w:val="24"/>
          <w:highlight w:val="none"/>
        </w:rPr>
        <w:t>、安全责任</w:t>
      </w:r>
    </w:p>
    <w:p w14:paraId="6F61434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在采购及合同执行过程中，供应商应承担由于其行为所造成的人身伤害、财产损失或损坏的责任，无论何种原因所造成，采购人均不负责。</w:t>
      </w:r>
    </w:p>
    <w:p w14:paraId="50CE7CB6">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十</w:t>
      </w: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、争议的解决</w:t>
      </w:r>
    </w:p>
    <w:p w14:paraId="19641A8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双方在执行合同中所发生的一切争议，应通过协商解决。如协商不成，可向甲方所在地法院起诉。</w:t>
      </w:r>
    </w:p>
    <w:p w14:paraId="3BD78F8B">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十</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、合同生效及其它</w:t>
      </w:r>
    </w:p>
    <w:p w14:paraId="38F58279">
      <w:pPr>
        <w:snapToGrid w:val="0"/>
        <w:spacing w:before="120" w:after="1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1.合同经双方法定代表人或授权代表签字并加盖单位公章后生效。</w:t>
      </w:r>
    </w:p>
    <w:p w14:paraId="3E50B6A9">
      <w:pPr>
        <w:tabs>
          <w:tab w:val="left" w:pos="0"/>
          <w:tab w:val="left" w:pos="8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2.下述文件是构成合同不可分割的部分，应一并阅读和理解。</w:t>
      </w:r>
    </w:p>
    <w:p w14:paraId="7B4832D1">
      <w:pPr>
        <w:tabs>
          <w:tab w:val="left" w:pos="0"/>
          <w:tab w:val="left" w:pos="8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（1）本合同协议书；</w:t>
      </w:r>
    </w:p>
    <w:p w14:paraId="52569B72">
      <w:pPr>
        <w:tabs>
          <w:tab w:val="left" w:pos="0"/>
          <w:tab w:val="left" w:pos="8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（2）中标通知书；</w:t>
      </w:r>
    </w:p>
    <w:p w14:paraId="3F87BFB4">
      <w:pPr>
        <w:tabs>
          <w:tab w:val="left" w:pos="0"/>
          <w:tab w:val="left" w:pos="8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（3）招标文件及附件；</w:t>
      </w:r>
    </w:p>
    <w:p w14:paraId="0A37FB9D">
      <w:pPr>
        <w:tabs>
          <w:tab w:val="left" w:pos="0"/>
          <w:tab w:val="left" w:pos="8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（4）投标文件及附件。</w:t>
      </w:r>
    </w:p>
    <w:p w14:paraId="36B6A6F5">
      <w:pPr>
        <w:snapToGrid w:val="0"/>
        <w:spacing w:before="120" w:after="1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3.合同执行中涉及采购资金和采购内容修改或补充的，须经财政部门审批，并签书面补充协议报政府采购监督管理部门备案，方可作为主合同不可分割的一部分。</w:t>
      </w:r>
    </w:p>
    <w:p w14:paraId="332F7A7D">
      <w:pPr>
        <w:snapToGrid w:val="0"/>
        <w:spacing w:before="120" w:after="1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4.本合同未尽事宜，遵照《民法典》有关条文执行。</w:t>
      </w:r>
    </w:p>
    <w:p w14:paraId="35E0FD4D">
      <w:pPr>
        <w:snapToGrid w:val="0"/>
        <w:spacing w:before="120" w:after="1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5.本合同正本一式</w:t>
      </w:r>
      <w:r>
        <w:rPr>
          <w:rFonts w:hint="eastAsia" w:ascii="宋体" w:hAnsi="宋体" w:cs="宋体"/>
          <w:color w:val="auto"/>
          <w:sz w:val="24"/>
          <w:highlight w:val="none"/>
          <w:u w:val="single"/>
          <w:lang w:val="en-US" w:eastAsia="zh-CN"/>
        </w:rPr>
        <w:t>陆</w:t>
      </w:r>
      <w:r>
        <w:rPr>
          <w:rFonts w:hint="eastAsia" w:ascii="宋体" w:hAnsi="宋体" w:cs="宋体"/>
          <w:color w:val="auto"/>
          <w:sz w:val="24"/>
          <w:highlight w:val="none"/>
        </w:rPr>
        <w:t xml:space="preserve">份，具有同等法律效力，甲方执 </w:t>
      </w:r>
      <w:r>
        <w:rPr>
          <w:rFonts w:hint="eastAsia" w:ascii="宋体" w:hAnsi="宋体" w:cs="宋体"/>
          <w:color w:val="auto"/>
          <w:sz w:val="24"/>
          <w:highlight w:val="none"/>
          <w:u w:val="single"/>
          <w:lang w:val="en-US" w:eastAsia="zh-CN"/>
        </w:rPr>
        <w:t>叁</w:t>
      </w:r>
      <w:r>
        <w:rPr>
          <w:rFonts w:hint="eastAsia" w:ascii="宋体" w:hAnsi="宋体" w:cs="宋体"/>
          <w:color w:val="auto"/>
          <w:sz w:val="24"/>
          <w:highlight w:val="none"/>
        </w:rPr>
        <w:t xml:space="preserve">份，乙方执 </w:t>
      </w:r>
      <w:r>
        <w:rPr>
          <w:rFonts w:hint="eastAsia" w:ascii="宋体" w:hAnsi="宋体" w:cs="宋体"/>
          <w:color w:val="auto"/>
          <w:sz w:val="24"/>
          <w:highlight w:val="none"/>
          <w:u w:val="single"/>
          <w:lang w:val="en-US" w:eastAsia="zh-CN"/>
        </w:rPr>
        <w:t>叁</w:t>
      </w:r>
      <w:r>
        <w:rPr>
          <w:rFonts w:hint="eastAsia" w:ascii="宋体" w:hAnsi="宋体" w:cs="宋体"/>
          <w:color w:val="auto"/>
          <w:sz w:val="24"/>
          <w:highlight w:val="none"/>
        </w:rPr>
        <w:t>份。</w:t>
      </w: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10E6B04E">
        <w:trPr>
          <w:trHeight w:val="490" w:hRule="atLeast"/>
        </w:trPr>
        <w:tc>
          <w:tcPr>
            <w:tcW w:w="4303" w:type="dxa"/>
            <w:gridSpan w:val="2"/>
            <w:tcBorders>
              <w:bottom w:val="single" w:color="auto" w:sz="2" w:space="0"/>
              <w:right w:val="single" w:color="auto" w:sz="2" w:space="0"/>
            </w:tcBorders>
            <w:vAlign w:val="center"/>
          </w:tcPr>
          <w:p w14:paraId="1285E67C">
            <w:pPr>
              <w:snapToGrid w:val="0"/>
              <w:spacing w:line="300" w:lineRule="exact"/>
              <w:rPr>
                <w:color w:val="auto"/>
                <w:highlight w:val="none"/>
              </w:rPr>
            </w:pPr>
            <w:r>
              <w:rPr>
                <w:color w:val="auto"/>
                <w:szCs w:val="21"/>
                <w:highlight w:val="none"/>
              </w:rPr>
              <w:t>甲方</w:t>
            </w:r>
            <w:r>
              <w:rPr>
                <w:rFonts w:hint="eastAsia"/>
                <w:color w:val="auto"/>
                <w:szCs w:val="21"/>
                <w:highlight w:val="none"/>
              </w:rPr>
              <w:t>：</w:t>
            </w:r>
          </w:p>
        </w:tc>
        <w:tc>
          <w:tcPr>
            <w:tcW w:w="4095" w:type="dxa"/>
            <w:gridSpan w:val="2"/>
            <w:tcBorders>
              <w:left w:val="single" w:color="auto" w:sz="2" w:space="0"/>
              <w:bottom w:val="single" w:color="auto" w:sz="2" w:space="0"/>
            </w:tcBorders>
            <w:vAlign w:val="center"/>
          </w:tcPr>
          <w:p w14:paraId="17A6F107">
            <w:pPr>
              <w:snapToGrid w:val="0"/>
              <w:spacing w:line="300" w:lineRule="exact"/>
              <w:rPr>
                <w:color w:val="auto"/>
                <w:highlight w:val="none"/>
              </w:rPr>
            </w:pPr>
            <w:r>
              <w:rPr>
                <w:color w:val="auto"/>
                <w:szCs w:val="21"/>
                <w:highlight w:val="none"/>
              </w:rPr>
              <w:t>乙方</w:t>
            </w:r>
            <w:r>
              <w:rPr>
                <w:rFonts w:hint="eastAsia"/>
                <w:color w:val="auto"/>
                <w:szCs w:val="21"/>
                <w:highlight w:val="none"/>
              </w:rPr>
              <w:t>：</w:t>
            </w:r>
          </w:p>
        </w:tc>
      </w:tr>
      <w:tr w14:paraId="5B2AA6FF">
        <w:trPr>
          <w:trHeight w:val="917" w:hRule="atLeast"/>
        </w:trPr>
        <w:tc>
          <w:tcPr>
            <w:tcW w:w="1891" w:type="dxa"/>
            <w:tcBorders>
              <w:top w:val="single" w:color="auto" w:sz="2" w:space="0"/>
              <w:bottom w:val="single" w:color="auto" w:sz="2" w:space="0"/>
              <w:right w:val="single" w:color="auto" w:sz="2" w:space="0"/>
            </w:tcBorders>
            <w:vAlign w:val="center"/>
          </w:tcPr>
          <w:p w14:paraId="3FB61B18">
            <w:pPr>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6CE03BA6">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AFE21EC">
            <w:pPr>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116" w:type="dxa"/>
            <w:tcBorders>
              <w:top w:val="single" w:color="auto" w:sz="2" w:space="0"/>
              <w:left w:val="single" w:color="auto" w:sz="2" w:space="0"/>
              <w:bottom w:val="single" w:color="auto" w:sz="2" w:space="0"/>
            </w:tcBorders>
            <w:vAlign w:val="center"/>
          </w:tcPr>
          <w:p w14:paraId="598B803B">
            <w:pPr>
              <w:snapToGrid w:val="0"/>
              <w:spacing w:line="300" w:lineRule="exact"/>
              <w:jc w:val="center"/>
              <w:rPr>
                <w:color w:val="auto"/>
                <w:spacing w:val="20"/>
                <w:szCs w:val="21"/>
                <w:highlight w:val="none"/>
              </w:rPr>
            </w:pPr>
          </w:p>
        </w:tc>
      </w:tr>
      <w:tr w14:paraId="264D6799">
        <w:trPr>
          <w:trHeight w:val="1171" w:hRule="atLeast"/>
        </w:trPr>
        <w:tc>
          <w:tcPr>
            <w:tcW w:w="1891" w:type="dxa"/>
            <w:tcBorders>
              <w:top w:val="single" w:color="auto" w:sz="2" w:space="0"/>
              <w:right w:val="single" w:color="auto" w:sz="2" w:space="0"/>
            </w:tcBorders>
            <w:vAlign w:val="center"/>
          </w:tcPr>
          <w:p w14:paraId="20E28EAE">
            <w:pPr>
              <w:snapToGrid w:val="0"/>
              <w:spacing w:line="300" w:lineRule="exact"/>
              <w:jc w:val="center"/>
              <w:rPr>
                <w:color w:val="auto"/>
                <w:szCs w:val="21"/>
                <w:highlight w:val="none"/>
              </w:rPr>
            </w:pPr>
            <w:r>
              <w:rPr>
                <w:color w:val="auto"/>
                <w:szCs w:val="21"/>
                <w:highlight w:val="none"/>
              </w:rPr>
              <w:t>法定代表人</w:t>
            </w:r>
          </w:p>
          <w:p w14:paraId="1AB22405">
            <w:pPr>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tcBorders>
              <w:top w:val="single" w:color="auto" w:sz="2" w:space="0"/>
              <w:left w:val="single" w:color="auto" w:sz="2" w:space="0"/>
              <w:right w:val="single" w:color="auto" w:sz="2" w:space="0"/>
            </w:tcBorders>
            <w:vAlign w:val="center"/>
          </w:tcPr>
          <w:p w14:paraId="1F18A59A">
            <w:pPr>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18E4C86F">
            <w:pPr>
              <w:snapToGrid w:val="0"/>
              <w:spacing w:line="300" w:lineRule="exact"/>
              <w:jc w:val="center"/>
              <w:rPr>
                <w:color w:val="auto"/>
                <w:szCs w:val="21"/>
                <w:highlight w:val="none"/>
              </w:rPr>
            </w:pPr>
            <w:r>
              <w:rPr>
                <w:color w:val="auto"/>
                <w:szCs w:val="21"/>
                <w:highlight w:val="none"/>
              </w:rPr>
              <w:t>法定代表人</w:t>
            </w:r>
          </w:p>
          <w:p w14:paraId="7D54EBE4">
            <w:pPr>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4DF26EBC">
            <w:pPr>
              <w:snapToGrid w:val="0"/>
              <w:spacing w:line="300" w:lineRule="exact"/>
              <w:jc w:val="center"/>
              <w:rPr>
                <w:color w:val="auto"/>
                <w:szCs w:val="21"/>
                <w:highlight w:val="none"/>
              </w:rPr>
            </w:pPr>
          </w:p>
        </w:tc>
      </w:tr>
      <w:tr w14:paraId="02EB05B4">
        <w:trPr>
          <w:trHeight w:val="483" w:hRule="atLeast"/>
        </w:trPr>
        <w:tc>
          <w:tcPr>
            <w:tcW w:w="1891" w:type="dxa"/>
            <w:tcBorders>
              <w:bottom w:val="single" w:color="auto" w:sz="2" w:space="0"/>
              <w:right w:val="single" w:color="auto" w:sz="2" w:space="0"/>
            </w:tcBorders>
            <w:vAlign w:val="center"/>
          </w:tcPr>
          <w:p w14:paraId="78709DEB">
            <w:pPr>
              <w:snapToGrid w:val="0"/>
              <w:spacing w:line="300" w:lineRule="exact"/>
              <w:jc w:val="center"/>
              <w:rPr>
                <w:color w:val="auto"/>
                <w:szCs w:val="21"/>
                <w:highlight w:val="none"/>
              </w:rPr>
            </w:pPr>
            <w:r>
              <w:rPr>
                <w:rFonts w:hint="eastAsia"/>
                <w:color w:val="auto"/>
                <w:szCs w:val="21"/>
                <w:highlight w:val="none"/>
              </w:rPr>
              <w:t>拥有者性别</w:t>
            </w:r>
          </w:p>
        </w:tc>
        <w:tc>
          <w:tcPr>
            <w:tcW w:w="2412" w:type="dxa"/>
            <w:tcBorders>
              <w:left w:val="single" w:color="auto" w:sz="2" w:space="0"/>
              <w:bottom w:val="single" w:color="auto" w:sz="2" w:space="0"/>
              <w:right w:val="single" w:color="auto" w:sz="2" w:space="0"/>
            </w:tcBorders>
            <w:vAlign w:val="center"/>
          </w:tcPr>
          <w:p w14:paraId="378CAE74">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BDAAB36">
            <w:pPr>
              <w:snapToGrid w:val="0"/>
              <w:spacing w:line="300" w:lineRule="exact"/>
              <w:jc w:val="center"/>
              <w:rPr>
                <w:color w:val="auto"/>
                <w:szCs w:val="21"/>
                <w:highlight w:val="none"/>
              </w:rPr>
            </w:pPr>
            <w:r>
              <w:rPr>
                <w:rFonts w:hint="eastAsia"/>
                <w:color w:val="auto"/>
                <w:szCs w:val="21"/>
                <w:highlight w:val="none"/>
              </w:rPr>
              <w:t>拥有者性别</w:t>
            </w:r>
          </w:p>
        </w:tc>
        <w:tc>
          <w:tcPr>
            <w:tcW w:w="2116" w:type="dxa"/>
            <w:tcBorders>
              <w:top w:val="single" w:color="auto" w:sz="2" w:space="0"/>
              <w:left w:val="single" w:color="auto" w:sz="2" w:space="0"/>
              <w:bottom w:val="single" w:color="auto" w:sz="2" w:space="0"/>
            </w:tcBorders>
            <w:vAlign w:val="center"/>
          </w:tcPr>
          <w:p w14:paraId="0C033A34">
            <w:pPr>
              <w:snapToGrid w:val="0"/>
              <w:spacing w:line="300" w:lineRule="exact"/>
              <w:jc w:val="center"/>
              <w:rPr>
                <w:color w:val="auto"/>
                <w:spacing w:val="20"/>
                <w:szCs w:val="21"/>
                <w:highlight w:val="none"/>
              </w:rPr>
            </w:pPr>
          </w:p>
        </w:tc>
      </w:tr>
      <w:tr w14:paraId="309DE40E">
        <w:trPr>
          <w:trHeight w:val="483" w:hRule="atLeast"/>
        </w:trPr>
        <w:tc>
          <w:tcPr>
            <w:tcW w:w="1891" w:type="dxa"/>
            <w:tcBorders>
              <w:top w:val="single" w:color="auto" w:sz="2" w:space="0"/>
              <w:bottom w:val="single" w:color="auto" w:sz="2" w:space="0"/>
              <w:right w:val="single" w:color="auto" w:sz="2" w:space="0"/>
            </w:tcBorders>
            <w:vAlign w:val="center"/>
          </w:tcPr>
          <w:p w14:paraId="3BECB4A9">
            <w:pPr>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7DC62E79">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2FFACF">
            <w:pPr>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0EC69717">
            <w:pPr>
              <w:snapToGrid w:val="0"/>
              <w:spacing w:line="300" w:lineRule="exact"/>
              <w:jc w:val="center"/>
              <w:rPr>
                <w:color w:val="auto"/>
                <w:spacing w:val="20"/>
                <w:szCs w:val="21"/>
                <w:highlight w:val="none"/>
              </w:rPr>
            </w:pPr>
          </w:p>
        </w:tc>
      </w:tr>
      <w:tr w14:paraId="7C8114FE">
        <w:trPr>
          <w:trHeight w:val="483" w:hRule="atLeast"/>
        </w:trPr>
        <w:tc>
          <w:tcPr>
            <w:tcW w:w="1891" w:type="dxa"/>
            <w:tcBorders>
              <w:top w:val="single" w:color="auto" w:sz="2" w:space="0"/>
              <w:bottom w:val="single" w:color="auto" w:sz="2" w:space="0"/>
              <w:right w:val="single" w:color="auto" w:sz="2" w:space="0"/>
            </w:tcBorders>
            <w:vAlign w:val="center"/>
          </w:tcPr>
          <w:p w14:paraId="3D40916F">
            <w:pPr>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466F51E4">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35506A3">
            <w:pPr>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40F1A50F">
            <w:pPr>
              <w:snapToGrid w:val="0"/>
              <w:spacing w:line="300" w:lineRule="exact"/>
              <w:jc w:val="center"/>
              <w:rPr>
                <w:color w:val="auto"/>
                <w:spacing w:val="20"/>
                <w:szCs w:val="21"/>
                <w:highlight w:val="none"/>
              </w:rPr>
            </w:pPr>
          </w:p>
        </w:tc>
      </w:tr>
      <w:tr w14:paraId="472F12D2">
        <w:trPr>
          <w:trHeight w:val="483" w:hRule="atLeast"/>
        </w:trPr>
        <w:tc>
          <w:tcPr>
            <w:tcW w:w="1891" w:type="dxa"/>
            <w:tcBorders>
              <w:top w:val="single" w:color="auto" w:sz="2" w:space="0"/>
              <w:bottom w:val="single" w:color="auto" w:sz="2" w:space="0"/>
              <w:right w:val="single" w:color="auto" w:sz="2" w:space="0"/>
            </w:tcBorders>
            <w:vAlign w:val="center"/>
          </w:tcPr>
          <w:p w14:paraId="7141A531">
            <w:pPr>
              <w:snapToGrid w:val="0"/>
              <w:spacing w:line="300" w:lineRule="exact"/>
              <w:jc w:val="center"/>
              <w:rPr>
                <w:color w:val="auto"/>
                <w:szCs w:val="21"/>
                <w:highlight w:val="none"/>
              </w:rPr>
            </w:pPr>
            <w:r>
              <w:rPr>
                <w:rFonts w:hint="eastAsia"/>
                <w:color w:val="auto"/>
                <w:szCs w:val="21"/>
                <w:highlight w:val="none"/>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2F9976EC">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F54CD6A">
            <w:pPr>
              <w:snapToGrid w:val="0"/>
              <w:spacing w:line="300" w:lineRule="exact"/>
              <w:jc w:val="center"/>
              <w:rPr>
                <w:color w:val="auto"/>
                <w:szCs w:val="21"/>
                <w:highlight w:val="none"/>
              </w:rPr>
            </w:pPr>
            <w:r>
              <w:rPr>
                <w:rFonts w:hint="eastAsia"/>
                <w:color w:val="auto"/>
                <w:szCs w:val="21"/>
                <w:highlight w:val="none"/>
              </w:rPr>
              <w:t>通信地址</w:t>
            </w:r>
          </w:p>
        </w:tc>
        <w:tc>
          <w:tcPr>
            <w:tcW w:w="2116" w:type="dxa"/>
            <w:tcBorders>
              <w:top w:val="single" w:color="auto" w:sz="2" w:space="0"/>
              <w:left w:val="single" w:color="auto" w:sz="2" w:space="0"/>
              <w:bottom w:val="single" w:color="auto" w:sz="2" w:space="0"/>
            </w:tcBorders>
            <w:vAlign w:val="center"/>
          </w:tcPr>
          <w:p w14:paraId="69ED4060">
            <w:pPr>
              <w:snapToGrid w:val="0"/>
              <w:spacing w:line="300" w:lineRule="exact"/>
              <w:jc w:val="center"/>
              <w:rPr>
                <w:color w:val="auto"/>
                <w:spacing w:val="20"/>
                <w:szCs w:val="21"/>
                <w:highlight w:val="none"/>
              </w:rPr>
            </w:pPr>
          </w:p>
        </w:tc>
      </w:tr>
      <w:tr w14:paraId="1A189828">
        <w:trPr>
          <w:trHeight w:val="483" w:hRule="atLeast"/>
        </w:trPr>
        <w:tc>
          <w:tcPr>
            <w:tcW w:w="1891" w:type="dxa"/>
            <w:tcBorders>
              <w:top w:val="single" w:color="auto" w:sz="2" w:space="0"/>
              <w:bottom w:val="single" w:color="auto" w:sz="2" w:space="0"/>
              <w:right w:val="single" w:color="auto" w:sz="2" w:space="0"/>
            </w:tcBorders>
            <w:vAlign w:val="center"/>
          </w:tcPr>
          <w:p w14:paraId="76D66794">
            <w:pPr>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CE72C66">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CEB138F">
            <w:pPr>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100E905E">
            <w:pPr>
              <w:snapToGrid w:val="0"/>
              <w:spacing w:line="300" w:lineRule="exact"/>
              <w:jc w:val="center"/>
              <w:rPr>
                <w:color w:val="auto"/>
                <w:spacing w:val="20"/>
                <w:szCs w:val="21"/>
                <w:highlight w:val="none"/>
              </w:rPr>
            </w:pPr>
          </w:p>
        </w:tc>
      </w:tr>
      <w:tr w14:paraId="3BD268F6">
        <w:trPr>
          <w:trHeight w:val="483" w:hRule="atLeast"/>
        </w:trPr>
        <w:tc>
          <w:tcPr>
            <w:tcW w:w="1891" w:type="dxa"/>
            <w:tcBorders>
              <w:top w:val="single" w:color="auto" w:sz="2" w:space="0"/>
              <w:bottom w:val="single" w:color="auto" w:sz="2" w:space="0"/>
              <w:right w:val="single" w:color="auto" w:sz="2" w:space="0"/>
            </w:tcBorders>
            <w:vAlign w:val="center"/>
          </w:tcPr>
          <w:p w14:paraId="2669435C">
            <w:pPr>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70310BE3">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596FBC6">
            <w:pPr>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2045E0C1">
            <w:pPr>
              <w:snapToGrid w:val="0"/>
              <w:spacing w:line="300" w:lineRule="exact"/>
              <w:jc w:val="center"/>
              <w:rPr>
                <w:color w:val="auto"/>
                <w:spacing w:val="20"/>
                <w:szCs w:val="21"/>
                <w:highlight w:val="none"/>
              </w:rPr>
            </w:pPr>
          </w:p>
        </w:tc>
      </w:tr>
      <w:tr w14:paraId="3196B9D3">
        <w:trPr>
          <w:trHeight w:val="483" w:hRule="atLeast"/>
        </w:trPr>
        <w:tc>
          <w:tcPr>
            <w:tcW w:w="1891" w:type="dxa"/>
            <w:tcBorders>
              <w:top w:val="single" w:color="auto" w:sz="2" w:space="0"/>
              <w:bottom w:val="single" w:color="auto" w:sz="2" w:space="0"/>
              <w:right w:val="single" w:color="auto" w:sz="2" w:space="0"/>
            </w:tcBorders>
            <w:vAlign w:val="center"/>
          </w:tcPr>
          <w:p w14:paraId="757AB6AE">
            <w:pPr>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355E3FEE">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EFF68EE">
            <w:pPr>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044C0551">
            <w:pPr>
              <w:snapToGrid w:val="0"/>
              <w:spacing w:line="300" w:lineRule="exact"/>
              <w:jc w:val="center"/>
              <w:rPr>
                <w:color w:val="auto"/>
                <w:spacing w:val="20"/>
                <w:szCs w:val="21"/>
                <w:highlight w:val="none"/>
              </w:rPr>
            </w:pPr>
          </w:p>
        </w:tc>
      </w:tr>
      <w:tr w14:paraId="27574C58">
        <w:trPr>
          <w:trHeight w:val="483" w:hRule="atLeast"/>
        </w:trPr>
        <w:tc>
          <w:tcPr>
            <w:tcW w:w="1891" w:type="dxa"/>
            <w:tcBorders>
              <w:top w:val="single" w:color="auto" w:sz="2" w:space="0"/>
              <w:bottom w:val="single" w:color="auto" w:sz="2" w:space="0"/>
              <w:right w:val="single" w:color="auto" w:sz="2" w:space="0"/>
            </w:tcBorders>
            <w:vAlign w:val="center"/>
          </w:tcPr>
          <w:p w14:paraId="41095DBC">
            <w:pPr>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587C7489">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D0DC8A5">
            <w:pPr>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77D834F8">
            <w:pPr>
              <w:snapToGrid w:val="0"/>
              <w:spacing w:line="300" w:lineRule="exact"/>
              <w:jc w:val="center"/>
              <w:rPr>
                <w:color w:val="auto"/>
                <w:spacing w:val="20"/>
                <w:szCs w:val="21"/>
                <w:highlight w:val="none"/>
              </w:rPr>
            </w:pPr>
          </w:p>
        </w:tc>
      </w:tr>
      <w:tr w14:paraId="54925817">
        <w:trPr>
          <w:trHeight w:val="483" w:hRule="atLeast"/>
        </w:trPr>
        <w:tc>
          <w:tcPr>
            <w:tcW w:w="1891" w:type="dxa"/>
            <w:tcBorders>
              <w:top w:val="single" w:color="auto" w:sz="2" w:space="0"/>
              <w:bottom w:val="single" w:color="auto" w:sz="2" w:space="0"/>
              <w:right w:val="single" w:color="auto" w:sz="2" w:space="0"/>
            </w:tcBorders>
            <w:vAlign w:val="center"/>
          </w:tcPr>
          <w:p w14:paraId="538D274A">
            <w:pPr>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778DE95E">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609B1D0">
            <w:pPr>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B08B802">
            <w:pPr>
              <w:snapToGrid w:val="0"/>
              <w:spacing w:line="300" w:lineRule="exact"/>
              <w:jc w:val="center"/>
              <w:rPr>
                <w:color w:val="auto"/>
                <w:spacing w:val="20"/>
                <w:szCs w:val="21"/>
                <w:highlight w:val="none"/>
              </w:rPr>
            </w:pPr>
          </w:p>
        </w:tc>
      </w:tr>
      <w:tr w14:paraId="1A0D5A8F">
        <w:trPr>
          <w:trHeight w:val="483" w:hRule="atLeast"/>
        </w:trPr>
        <w:tc>
          <w:tcPr>
            <w:tcW w:w="1891" w:type="dxa"/>
            <w:tcBorders>
              <w:top w:val="single" w:color="auto" w:sz="2" w:space="0"/>
              <w:bottom w:val="single" w:color="auto" w:sz="2" w:space="0"/>
              <w:right w:val="single" w:color="auto" w:sz="2" w:space="0"/>
            </w:tcBorders>
            <w:vAlign w:val="center"/>
          </w:tcPr>
          <w:p w14:paraId="4AC91334">
            <w:pPr>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4D3A5C81">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77E3A3B">
            <w:pPr>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61BCC44F">
            <w:pPr>
              <w:snapToGrid w:val="0"/>
              <w:spacing w:line="300" w:lineRule="exact"/>
              <w:jc w:val="center"/>
              <w:rPr>
                <w:color w:val="auto"/>
                <w:spacing w:val="20"/>
                <w:szCs w:val="21"/>
                <w:highlight w:val="none"/>
              </w:rPr>
            </w:pPr>
          </w:p>
        </w:tc>
      </w:tr>
      <w:tr w14:paraId="7BC59057">
        <w:trPr>
          <w:trHeight w:val="586" w:hRule="atLeast"/>
        </w:trPr>
        <w:tc>
          <w:tcPr>
            <w:tcW w:w="8398" w:type="dxa"/>
            <w:gridSpan w:val="4"/>
            <w:tcBorders>
              <w:top w:val="single" w:color="auto" w:sz="2" w:space="0"/>
            </w:tcBorders>
            <w:vAlign w:val="center"/>
          </w:tcPr>
          <w:p w14:paraId="7BFCCCF2">
            <w:pPr>
              <w:pStyle w:val="24"/>
              <w:snapToGrid w:val="0"/>
              <w:spacing w:before="120" w:beforeLines="50" w:line="360" w:lineRule="auto"/>
              <w:jc w:val="left"/>
              <w:rPr>
                <w:rFonts w:hint="eastAsia"/>
                <w:color w:val="auto"/>
                <w:spacing w:val="20"/>
                <w:szCs w:val="21"/>
                <w:highlight w:val="none"/>
              </w:rPr>
            </w:pPr>
            <w:r>
              <w:rPr>
                <w:rFonts w:hint="eastAsia"/>
                <w:color w:val="auto"/>
                <w:szCs w:val="21"/>
                <w:highlight w:val="none"/>
              </w:rPr>
              <w:t>注：涉及联合体或其他合同主体的信息应按上表格式加列。</w:t>
            </w:r>
          </w:p>
        </w:tc>
      </w:tr>
    </w:tbl>
    <w:p w14:paraId="4FD46DDB">
      <w:pPr>
        <w:rPr>
          <w:rFonts w:hint="eastAsia" w:ascii="宋体" w:hAnsi="宋体"/>
          <w:color w:val="auto"/>
          <w:szCs w:val="21"/>
          <w:highlight w:val="none"/>
          <w:u w:val="single"/>
        </w:rPr>
      </w:pPr>
      <w:r>
        <w:rPr>
          <w:rFonts w:ascii="宋体" w:hAnsi="宋体"/>
          <w:color w:val="auto"/>
          <w:szCs w:val="21"/>
          <w:highlight w:val="none"/>
          <w:u w:val="single"/>
        </w:rPr>
        <w:br w:type="page"/>
      </w:r>
    </w:p>
    <w:p w14:paraId="68AF3789">
      <w:pPr>
        <w:pStyle w:val="23"/>
        <w:rPr>
          <w:color w:val="auto"/>
          <w:highlight w:val="none"/>
        </w:rPr>
      </w:pPr>
    </w:p>
    <w:p w14:paraId="05A42221">
      <w:pPr>
        <w:spacing w:line="360" w:lineRule="auto"/>
        <w:ind w:left="720" w:firstLine="723" w:firstLineChars="200"/>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 xml:space="preserve">第六部分 </w:t>
      </w:r>
      <w:bookmarkEnd w:id="394"/>
      <w:r>
        <w:rPr>
          <w:rFonts w:hint="eastAsia" w:ascii="宋体" w:hAnsi="宋体" w:cs="宋体"/>
          <w:b/>
          <w:color w:val="auto"/>
          <w:sz w:val="36"/>
          <w:szCs w:val="20"/>
          <w:highlight w:val="none"/>
        </w:rPr>
        <w:t>应提交的有关格式范例</w:t>
      </w:r>
    </w:p>
    <w:p w14:paraId="1E587375">
      <w:pPr>
        <w:spacing w:line="360" w:lineRule="auto"/>
        <w:jc w:val="center"/>
        <w:outlineLvl w:val="0"/>
        <w:rPr>
          <w:rFonts w:hint="eastAsia" w:ascii="宋体" w:hAnsi="宋体" w:cs="宋体"/>
          <w:b/>
          <w:color w:val="auto"/>
          <w:kern w:val="0"/>
          <w:sz w:val="36"/>
          <w:szCs w:val="36"/>
          <w:highlight w:val="none"/>
        </w:rPr>
      </w:pPr>
    </w:p>
    <w:p w14:paraId="54271102">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1A6E20">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98CFA34">
      <w:pPr>
        <w:spacing w:line="360" w:lineRule="auto"/>
        <w:jc w:val="center"/>
        <w:outlineLvl w:val="0"/>
        <w:rPr>
          <w:rFonts w:hint="eastAsia" w:ascii="宋体" w:hAnsi="宋体" w:cs="宋体"/>
          <w:b/>
          <w:color w:val="auto"/>
          <w:kern w:val="0"/>
          <w:sz w:val="36"/>
          <w:szCs w:val="36"/>
          <w:highlight w:val="none"/>
        </w:rPr>
      </w:pPr>
    </w:p>
    <w:p w14:paraId="5FEC7F3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329E436">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1CE368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ECB82C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B7F659F">
      <w:pPr>
        <w:snapToGrid w:val="0"/>
        <w:spacing w:line="360" w:lineRule="auto"/>
        <w:ind w:firstLine="480" w:firstLineChars="200"/>
        <w:rPr>
          <w:rFonts w:hint="eastAsia" w:ascii="宋体" w:hAnsi="宋体" w:cs="宋体"/>
          <w:color w:val="auto"/>
          <w:sz w:val="24"/>
          <w:highlight w:val="none"/>
        </w:rPr>
      </w:pPr>
    </w:p>
    <w:p w14:paraId="336E4C39">
      <w:pPr>
        <w:spacing w:line="360" w:lineRule="auto"/>
        <w:ind w:firstLine="480" w:firstLineChars="200"/>
        <w:rPr>
          <w:rFonts w:hint="eastAsia" w:ascii="宋体" w:hAnsi="宋体" w:cs="宋体"/>
          <w:color w:val="auto"/>
          <w:sz w:val="24"/>
          <w:highlight w:val="none"/>
        </w:rPr>
      </w:pPr>
    </w:p>
    <w:p w14:paraId="72048A35">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 符合参加政府采购活动应当具备的一般条件的承诺函</w:t>
      </w:r>
    </w:p>
    <w:p w14:paraId="3FB9B84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浙江省交通运输厅</w:t>
      </w:r>
      <w:r>
        <w:rPr>
          <w:rFonts w:hint="eastAsia" w:ascii="宋体" w:hAnsi="宋体" w:cs="宋体"/>
          <w:color w:val="auto"/>
          <w:sz w:val="24"/>
          <w:highlight w:val="none"/>
        </w:rPr>
        <w:t>、浙江华耀建设咨询有限公司：</w:t>
      </w:r>
    </w:p>
    <w:p w14:paraId="16285AC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浙江省交通运输数智信用综合服务</w:t>
      </w:r>
      <w:r>
        <w:rPr>
          <w:rFonts w:hint="eastAsia" w:ascii="宋体" w:hAnsi="宋体" w:cs="宋体"/>
          <w:color w:val="auto"/>
          <w:sz w:val="24"/>
          <w:highlight w:val="none"/>
        </w:rPr>
        <w:t>【招标编号：</w:t>
      </w:r>
      <w:r>
        <w:rPr>
          <w:rFonts w:hint="default" w:ascii="宋体" w:hAnsi="宋体" w:cs="宋体"/>
          <w:color w:val="auto"/>
          <w:sz w:val="24"/>
          <w:highlight w:val="none"/>
          <w:lang w:val="en-US" w:eastAsia="zh-CN"/>
        </w:rPr>
        <w:t>ZJHY-SJTYST-202501</w:t>
      </w:r>
      <w:r>
        <w:rPr>
          <w:rFonts w:hint="eastAsia" w:ascii="宋体" w:hAnsi="宋体" w:cs="宋体"/>
          <w:color w:val="auto"/>
          <w:sz w:val="24"/>
          <w:highlight w:val="none"/>
        </w:rPr>
        <w:t>】政府采购活动，郑重承诺：</w:t>
      </w:r>
    </w:p>
    <w:p w14:paraId="0FF8E0A7">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BE1BDC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3673A39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F6E120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B86188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56B0D5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F01B7D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D3214E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681983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084EA85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A073AA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D89B079">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5386E4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9508BE8">
      <w:pPr>
        <w:snapToGrid w:val="0"/>
        <w:spacing w:line="360" w:lineRule="auto"/>
        <w:ind w:right="480"/>
        <w:jc w:val="center"/>
        <w:rPr>
          <w:rFonts w:hint="eastAsia" w:ascii="宋体" w:hAnsi="宋体" w:cs="宋体"/>
          <w:b/>
          <w:color w:val="auto"/>
          <w:kern w:val="0"/>
          <w:sz w:val="32"/>
          <w:szCs w:val="32"/>
          <w:highlight w:val="none"/>
        </w:rPr>
      </w:pPr>
    </w:p>
    <w:p w14:paraId="273FF5C3">
      <w:pPr>
        <w:snapToGrid w:val="0"/>
        <w:spacing w:line="360" w:lineRule="auto"/>
        <w:ind w:right="480"/>
        <w:jc w:val="center"/>
        <w:rPr>
          <w:rFonts w:hint="eastAsia" w:ascii="宋体" w:hAnsi="宋体" w:cs="宋体"/>
          <w:b/>
          <w:color w:val="auto"/>
          <w:kern w:val="0"/>
          <w:sz w:val="32"/>
          <w:szCs w:val="32"/>
          <w:highlight w:val="none"/>
        </w:rPr>
      </w:pPr>
    </w:p>
    <w:p w14:paraId="50A2EACF">
      <w:pPr>
        <w:snapToGrid w:val="0"/>
        <w:spacing w:line="360" w:lineRule="auto"/>
        <w:ind w:right="480"/>
        <w:jc w:val="center"/>
        <w:rPr>
          <w:rFonts w:hint="eastAsia" w:ascii="宋体" w:hAnsi="宋体" w:cs="宋体"/>
          <w:b/>
          <w:color w:val="auto"/>
          <w:kern w:val="0"/>
          <w:sz w:val="32"/>
          <w:szCs w:val="32"/>
          <w:highlight w:val="none"/>
        </w:rPr>
      </w:pPr>
    </w:p>
    <w:p w14:paraId="7CD6A619">
      <w:pPr>
        <w:rPr>
          <w:rFonts w:hint="eastAsia" w:ascii="宋体" w:hAnsi="宋体" w:cs="宋体"/>
          <w:color w:val="auto"/>
          <w:highlight w:val="none"/>
        </w:rPr>
      </w:pPr>
    </w:p>
    <w:p w14:paraId="6CD21428">
      <w:pPr>
        <w:snapToGrid w:val="0"/>
        <w:spacing w:line="360" w:lineRule="auto"/>
        <w:ind w:right="480"/>
        <w:jc w:val="center"/>
        <w:rPr>
          <w:rFonts w:hint="eastAsia" w:ascii="宋体" w:hAnsi="宋体" w:cs="宋体"/>
          <w:b/>
          <w:color w:val="auto"/>
          <w:kern w:val="0"/>
          <w:sz w:val="32"/>
          <w:szCs w:val="32"/>
          <w:highlight w:val="none"/>
        </w:rPr>
      </w:pPr>
    </w:p>
    <w:p w14:paraId="6158BAAE">
      <w:pPr>
        <w:snapToGrid w:val="0"/>
        <w:spacing w:line="360" w:lineRule="auto"/>
        <w:ind w:right="480"/>
        <w:jc w:val="center"/>
        <w:rPr>
          <w:rFonts w:hint="eastAsia" w:ascii="宋体" w:hAnsi="宋体" w:cs="宋体"/>
          <w:b/>
          <w:color w:val="auto"/>
          <w:kern w:val="0"/>
          <w:sz w:val="32"/>
          <w:szCs w:val="32"/>
          <w:highlight w:val="none"/>
        </w:rPr>
      </w:pPr>
    </w:p>
    <w:p w14:paraId="5950C3CA">
      <w:pPr>
        <w:snapToGrid w:val="0"/>
        <w:spacing w:line="360" w:lineRule="auto"/>
        <w:ind w:right="480"/>
        <w:jc w:val="center"/>
        <w:rPr>
          <w:rFonts w:hint="eastAsia" w:ascii="宋体" w:hAnsi="宋体" w:cs="宋体"/>
          <w:b/>
          <w:color w:val="auto"/>
          <w:kern w:val="0"/>
          <w:sz w:val="32"/>
          <w:szCs w:val="32"/>
          <w:highlight w:val="none"/>
        </w:rPr>
      </w:pPr>
    </w:p>
    <w:p w14:paraId="08F48E1F">
      <w:pPr>
        <w:widowControl/>
        <w:spacing w:line="360" w:lineRule="auto"/>
        <w:ind w:firstLine="643" w:firstLineChars="200"/>
        <w:jc w:val="center"/>
        <w:rPr>
          <w:rFonts w:hint="eastAsia" w:ascii="宋体" w:hAnsi="宋体" w:cs="宋体"/>
          <w:b/>
          <w:color w:val="auto"/>
          <w:kern w:val="0"/>
          <w:sz w:val="32"/>
          <w:szCs w:val="32"/>
          <w:highlight w:val="none"/>
        </w:rPr>
      </w:pPr>
    </w:p>
    <w:p w14:paraId="465D8BB3">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69F5AED">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3342A13">
      <w:pPr>
        <w:snapToGrid w:val="0"/>
        <w:spacing w:line="360" w:lineRule="auto"/>
        <w:ind w:right="480"/>
        <w:jc w:val="center"/>
        <w:rPr>
          <w:rFonts w:hint="eastAsia" w:ascii="宋体" w:hAnsi="宋体" w:cs="宋体"/>
          <w:b/>
          <w:color w:val="auto"/>
          <w:kern w:val="0"/>
          <w:sz w:val="32"/>
          <w:szCs w:val="32"/>
          <w:highlight w:val="none"/>
        </w:rPr>
      </w:pPr>
    </w:p>
    <w:p w14:paraId="52C74B5E">
      <w:pPr>
        <w:snapToGrid w:val="0"/>
        <w:spacing w:line="360" w:lineRule="auto"/>
        <w:ind w:right="480"/>
        <w:jc w:val="center"/>
        <w:rPr>
          <w:rFonts w:hint="eastAsia" w:ascii="宋体" w:hAnsi="宋体" w:cs="宋体"/>
          <w:b/>
          <w:color w:val="auto"/>
          <w:kern w:val="0"/>
          <w:sz w:val="32"/>
          <w:szCs w:val="32"/>
          <w:highlight w:val="none"/>
        </w:rPr>
      </w:pPr>
    </w:p>
    <w:p w14:paraId="2470C94F">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03069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DDE4FCD">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w:t>
      </w:r>
      <w:r>
        <w:rPr>
          <w:rFonts w:hint="eastAsia" w:ascii="宋体" w:hAnsi="宋体" w:eastAsia="宋体" w:cs="宋体"/>
          <w:color w:val="auto"/>
          <w:sz w:val="24"/>
          <w:highlight w:val="none"/>
        </w:rPr>
        <w:t xml:space="preserve">符合政策要求的中小企业（或小微企业）承接的，提供相应的中小企业声明函（附件7）（或残疾人福利性企业声明函或监狱企业证明文件）。 </w:t>
      </w:r>
    </w:p>
    <w:p w14:paraId="6D1DB0CE">
      <w:pPr>
        <w:widowControl/>
        <w:spacing w:line="360" w:lineRule="auto"/>
        <w:ind w:firstLine="480"/>
        <w:jc w:val="left"/>
        <w:rPr>
          <w:rFonts w:hint="eastAsia" w:ascii="宋体" w:hAnsi="宋体" w:cs="宋体"/>
          <w:color w:val="auto"/>
          <w:sz w:val="24"/>
          <w:highlight w:val="none"/>
        </w:rPr>
      </w:pPr>
    </w:p>
    <w:p w14:paraId="787CCC5E">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52D8443">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2B84EB62">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00FC55D">
      <w:pPr>
        <w:widowControl/>
        <w:spacing w:line="360" w:lineRule="auto"/>
        <w:ind w:left="150"/>
        <w:jc w:val="center"/>
        <w:rPr>
          <w:rFonts w:hint="eastAsia" w:ascii="宋体" w:hAnsi="宋体" w:cs="宋体"/>
          <w:b/>
          <w:color w:val="auto"/>
          <w:kern w:val="0"/>
          <w:sz w:val="32"/>
          <w:szCs w:val="32"/>
          <w:highlight w:val="none"/>
        </w:rPr>
      </w:pPr>
    </w:p>
    <w:p w14:paraId="63AE8198">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BA5B64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C6BB450">
      <w:pPr>
        <w:rPr>
          <w:rFonts w:hint="eastAsia" w:ascii="宋体" w:hAnsi="宋体" w:cs="宋体"/>
          <w:color w:val="auto"/>
          <w:highlight w:val="none"/>
        </w:rPr>
      </w:pPr>
    </w:p>
    <w:p w14:paraId="0CC070F7">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B516740">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AAE6CC9">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7DD062C">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2A95A4C">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FDD821E">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531278D">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D2F6ACB">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7A74090">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96600BB">
      <w:pPr>
        <w:snapToGrid w:val="0"/>
        <w:spacing w:line="360" w:lineRule="auto"/>
        <w:ind w:firstLine="3855" w:firstLineChars="1200"/>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1B1CB4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浙江省交通运输厅</w:t>
      </w:r>
      <w:r>
        <w:rPr>
          <w:rFonts w:hint="eastAsia" w:ascii="宋体" w:hAnsi="宋体" w:cs="宋体"/>
          <w:color w:val="auto"/>
          <w:sz w:val="24"/>
          <w:highlight w:val="none"/>
        </w:rPr>
        <w:t>、浙江华耀建设咨询有限公司：</w:t>
      </w:r>
    </w:p>
    <w:p w14:paraId="15CE0AE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浙江省交通运输数智信用综合服务</w:t>
      </w:r>
      <w:r>
        <w:rPr>
          <w:rFonts w:hint="eastAsia" w:ascii="宋体" w:hAnsi="宋体" w:cs="宋体"/>
          <w:color w:val="auto"/>
          <w:sz w:val="24"/>
          <w:highlight w:val="none"/>
        </w:rPr>
        <w:t>【招标编号：</w:t>
      </w:r>
      <w:r>
        <w:rPr>
          <w:rFonts w:hint="default" w:ascii="宋体" w:hAnsi="宋体" w:cs="宋体"/>
          <w:color w:val="auto"/>
          <w:sz w:val="24"/>
          <w:highlight w:val="none"/>
          <w:lang w:val="en-US" w:eastAsia="zh-CN"/>
        </w:rPr>
        <w:t>ZJHY-SJTYST-202501</w:t>
      </w:r>
      <w:r>
        <w:rPr>
          <w:rFonts w:hint="eastAsia" w:ascii="宋体" w:hAnsi="宋体" w:cs="宋体"/>
          <w:color w:val="auto"/>
          <w:sz w:val="24"/>
          <w:highlight w:val="none"/>
        </w:rPr>
        <w:t>】招标的有关活动，并对此项目进行投标。为此：</w:t>
      </w:r>
    </w:p>
    <w:p w14:paraId="710D689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0E5279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0CAA390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3CBC09F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5EEECFD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920ABD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C268A5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420454A">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D88256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576C63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5AC6D1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F8B461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F19806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30A52D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810AC3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D180764">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91AF985">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6B8C9A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5945CA88">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p>
    <w:p w14:paraId="1781B9A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10B70D8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19B644E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EFC30B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FEE4C23">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1EED30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2CA551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205887A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A347F08">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9DE7D4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200D5CE8">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77A5CB0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6ED01C3">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9BB410B">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D21378E">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4AB59DF0">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浙江省交通运输厅</w:t>
      </w:r>
      <w:r>
        <w:rPr>
          <w:rFonts w:hint="eastAsia" w:ascii="宋体" w:hAnsi="宋体" w:cs="宋体"/>
          <w:color w:val="auto"/>
          <w:sz w:val="24"/>
          <w:highlight w:val="none"/>
        </w:rPr>
        <w:t>、浙江华耀建设咨询有限公司</w:t>
      </w:r>
      <w:r>
        <w:rPr>
          <w:rFonts w:hint="eastAsia" w:ascii="宋体" w:hAnsi="宋体" w:cs="宋体"/>
          <w:color w:val="auto"/>
          <w:kern w:val="0"/>
          <w:sz w:val="24"/>
          <w:highlight w:val="none"/>
          <w:lang w:val="zh-CN"/>
        </w:rPr>
        <w:t>：</w:t>
      </w:r>
    </w:p>
    <w:p w14:paraId="2C696A6C">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浙江省交通运输数智信用综合服务</w:t>
      </w:r>
      <w:r>
        <w:rPr>
          <w:rFonts w:hint="eastAsia" w:ascii="宋体" w:hAnsi="宋体" w:cs="宋体"/>
          <w:color w:val="auto"/>
          <w:sz w:val="24"/>
          <w:highlight w:val="none"/>
        </w:rPr>
        <w:t>【招标编号：</w:t>
      </w:r>
      <w:r>
        <w:rPr>
          <w:rFonts w:hint="default" w:ascii="宋体" w:hAnsi="宋体" w:cs="宋体"/>
          <w:color w:val="auto"/>
          <w:sz w:val="24"/>
          <w:highlight w:val="none"/>
          <w:lang w:val="en-US" w:eastAsia="zh-CN"/>
        </w:rPr>
        <w:t>ZJHY-SJTYST-202501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8875FA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日止。</w:t>
      </w:r>
    </w:p>
    <w:p w14:paraId="5264508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B4B008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2EF6D9E">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3AB1D55">
      <w:pPr>
        <w:snapToGrid w:val="0"/>
        <w:spacing w:line="360" w:lineRule="auto"/>
        <w:rPr>
          <w:rFonts w:hint="eastAsia" w:ascii="宋体" w:hAnsi="宋体" w:cs="宋体"/>
          <w:color w:val="auto"/>
          <w:sz w:val="24"/>
          <w:highlight w:val="none"/>
        </w:rPr>
      </w:pPr>
    </w:p>
    <w:p w14:paraId="6B0939AD">
      <w:pPr>
        <w:snapToGrid w:val="0"/>
        <w:spacing w:line="360" w:lineRule="auto"/>
        <w:rPr>
          <w:rFonts w:hint="eastAsia" w:ascii="宋体" w:hAnsi="宋体" w:cs="宋体"/>
          <w:color w:val="auto"/>
          <w:sz w:val="24"/>
          <w:highlight w:val="none"/>
        </w:rPr>
      </w:pPr>
    </w:p>
    <w:p w14:paraId="64BD7D04">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FBA33AA">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浙江省交通运输厅</w:t>
      </w:r>
      <w:r>
        <w:rPr>
          <w:rFonts w:hint="eastAsia" w:ascii="宋体" w:hAnsi="宋体" w:cs="宋体"/>
          <w:color w:val="auto"/>
          <w:sz w:val="24"/>
          <w:highlight w:val="none"/>
        </w:rPr>
        <w:t>、浙江华耀建设咨询有限公司</w:t>
      </w:r>
      <w:r>
        <w:rPr>
          <w:rFonts w:hint="eastAsia" w:ascii="宋体" w:hAnsi="宋体" w:cs="宋体"/>
          <w:color w:val="auto"/>
          <w:kern w:val="0"/>
          <w:sz w:val="24"/>
          <w:highlight w:val="none"/>
          <w:lang w:val="zh-CN"/>
        </w:rPr>
        <w:t>：</w:t>
      </w:r>
    </w:p>
    <w:p w14:paraId="141F8E60">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浙江省交通运输数智信用综合服务</w:t>
      </w:r>
      <w:r>
        <w:rPr>
          <w:rFonts w:hint="eastAsia" w:ascii="宋体" w:hAnsi="宋体" w:cs="宋体"/>
          <w:color w:val="auto"/>
          <w:sz w:val="24"/>
          <w:highlight w:val="none"/>
        </w:rPr>
        <w:t>【招标编号：</w:t>
      </w:r>
      <w:r>
        <w:rPr>
          <w:rFonts w:hint="default" w:ascii="宋体" w:hAnsi="宋体" w:cs="宋体"/>
          <w:color w:val="auto"/>
          <w:sz w:val="24"/>
          <w:highlight w:val="none"/>
          <w:lang w:val="en-US" w:eastAsia="zh-CN"/>
        </w:rPr>
        <w:t>ZJHY-SJTYST-202501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7BBBCF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日止。</w:t>
      </w:r>
    </w:p>
    <w:p w14:paraId="7759C6A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8521748">
      <w:pPr>
        <w:jc w:val="center"/>
        <w:rPr>
          <w:rFonts w:hint="eastAsia" w:ascii="宋体" w:hAnsi="宋体" w:cs="宋体"/>
          <w:b/>
          <w:color w:val="auto"/>
          <w:kern w:val="0"/>
          <w:sz w:val="32"/>
          <w:szCs w:val="32"/>
          <w:highlight w:val="none"/>
        </w:rPr>
      </w:pPr>
    </w:p>
    <w:p w14:paraId="60F9B647">
      <w:pPr>
        <w:jc w:val="center"/>
        <w:rPr>
          <w:rFonts w:hint="eastAsia" w:ascii="宋体" w:hAnsi="宋体" w:cs="宋体"/>
          <w:b/>
          <w:color w:val="auto"/>
          <w:kern w:val="0"/>
          <w:sz w:val="32"/>
          <w:szCs w:val="32"/>
          <w:highlight w:val="none"/>
        </w:rPr>
      </w:pPr>
    </w:p>
    <w:p w14:paraId="22328294">
      <w:pPr>
        <w:jc w:val="center"/>
        <w:rPr>
          <w:rFonts w:hint="eastAsia" w:ascii="宋体" w:hAnsi="宋体" w:cs="宋体"/>
          <w:b/>
          <w:color w:val="auto"/>
          <w:kern w:val="0"/>
          <w:sz w:val="32"/>
          <w:szCs w:val="32"/>
          <w:highlight w:val="none"/>
        </w:rPr>
      </w:pPr>
    </w:p>
    <w:p w14:paraId="443040D3">
      <w:pPr>
        <w:rPr>
          <w:rFonts w:hint="eastAsia" w:ascii="宋体" w:hAnsi="宋体" w:cs="宋体"/>
          <w:color w:val="auto"/>
          <w:highlight w:val="none"/>
        </w:rPr>
      </w:pPr>
    </w:p>
    <w:p w14:paraId="601DCDF3">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721D60">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7963CB7">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7FEE199C">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3E67192">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8A2E608">
      <w:pPr>
        <w:pStyle w:val="151"/>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50E3FE5">
        <w:trPr>
          <w:trHeight w:val="4812" w:hRule="atLeast"/>
          <w:jc w:val="center"/>
        </w:trPr>
        <w:tc>
          <w:tcPr>
            <w:tcW w:w="9207" w:type="dxa"/>
          </w:tcPr>
          <w:p w14:paraId="35A81B45">
            <w:pPr>
              <w:pStyle w:val="151"/>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4DE5C0A1">
            <w:pPr>
              <w:pStyle w:val="151"/>
              <w:adjustRightInd w:val="0"/>
              <w:spacing w:line="360" w:lineRule="auto"/>
              <w:rPr>
                <w:rFonts w:hint="eastAsia" w:hAnsi="宋体" w:cs="宋体"/>
                <w:bCs/>
                <w:color w:val="auto"/>
                <w:sz w:val="24"/>
                <w:highlight w:val="none"/>
              </w:rPr>
            </w:pPr>
          </w:p>
        </w:tc>
      </w:tr>
    </w:tbl>
    <w:p w14:paraId="0E5C56F2">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AD10BC0">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C1327D0">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47F6923">
      <w:pPr>
        <w:jc w:val="center"/>
        <w:rPr>
          <w:rFonts w:hint="eastAsia" w:ascii="宋体" w:hAnsi="宋体" w:cs="宋体"/>
          <w:b/>
          <w:color w:val="auto"/>
          <w:kern w:val="0"/>
          <w:sz w:val="32"/>
          <w:szCs w:val="32"/>
          <w:highlight w:val="none"/>
        </w:rPr>
      </w:pPr>
    </w:p>
    <w:p w14:paraId="6E02A587">
      <w:pPr>
        <w:snapToGrid w:val="0"/>
        <w:spacing w:line="360" w:lineRule="auto"/>
        <w:ind w:right="480"/>
        <w:rPr>
          <w:rFonts w:hint="eastAsia" w:ascii="宋体" w:hAnsi="宋体" w:cs="宋体"/>
          <w:b/>
          <w:color w:val="auto"/>
          <w:kern w:val="0"/>
          <w:sz w:val="32"/>
          <w:szCs w:val="32"/>
          <w:highlight w:val="none"/>
        </w:rPr>
        <w:sectPr>
          <w:footerReference r:id="rId9" w:type="first"/>
          <w:footerReference r:id="rId8" w:type="default"/>
          <w:pgSz w:w="11906" w:h="16838"/>
          <w:pgMar w:top="1276" w:right="1418" w:bottom="1247" w:left="1418" w:header="851" w:footer="992" w:gutter="0"/>
          <w:cols w:space="720" w:num="1"/>
          <w:titlePg/>
          <w:docGrid w:linePitch="312" w:charSpace="0"/>
        </w:sectPr>
      </w:pPr>
    </w:p>
    <w:p w14:paraId="08901028">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F4A04DD">
      <w:pPr>
        <w:widowControl/>
        <w:spacing w:line="360" w:lineRule="auto"/>
        <w:ind w:firstLine="120" w:firstLineChars="50"/>
        <w:jc w:val="left"/>
        <w:rPr>
          <w:rFonts w:hint="eastAsia" w:ascii="宋体" w:hAnsi="宋体" w:cs="宋体"/>
          <w:color w:val="auto"/>
          <w:sz w:val="24"/>
          <w:highlight w:val="none"/>
        </w:rPr>
      </w:pPr>
      <w:bookmarkStart w:id="39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395"/>
    <w:p w14:paraId="03F9639D">
      <w:pPr>
        <w:snapToGrid w:val="0"/>
        <w:spacing w:line="360" w:lineRule="auto"/>
        <w:rPr>
          <w:rFonts w:hint="eastAsia" w:ascii="宋体" w:hAnsi="宋体" w:cs="宋体"/>
          <w:color w:val="auto"/>
          <w:kern w:val="0"/>
          <w:sz w:val="24"/>
          <w:highlight w:val="none"/>
        </w:rPr>
      </w:pPr>
    </w:p>
    <w:p w14:paraId="4F2088E3">
      <w:pPr>
        <w:jc w:val="center"/>
        <w:rPr>
          <w:rFonts w:hint="eastAsia" w:ascii="宋体" w:hAnsi="宋体" w:cs="宋体"/>
          <w:b/>
          <w:color w:val="auto"/>
          <w:kern w:val="0"/>
          <w:sz w:val="32"/>
          <w:szCs w:val="32"/>
          <w:highlight w:val="none"/>
        </w:rPr>
      </w:pPr>
    </w:p>
    <w:p w14:paraId="65DB3815">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577CFC8">
      <w:p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2EA087A">
        <w:trPr>
          <w:trHeight w:val="882" w:hRule="atLeast"/>
        </w:trPr>
        <w:tc>
          <w:tcPr>
            <w:tcW w:w="646" w:type="dxa"/>
            <w:vAlign w:val="center"/>
          </w:tcPr>
          <w:p w14:paraId="6971A55E">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A10DE1A">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EF23CC7">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5D43992">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667259BC">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2F04859A">
        <w:trPr>
          <w:trHeight w:val="860" w:hRule="atLeast"/>
        </w:trPr>
        <w:tc>
          <w:tcPr>
            <w:tcW w:w="646" w:type="dxa"/>
            <w:vAlign w:val="center"/>
          </w:tcPr>
          <w:p w14:paraId="6F6E09A7">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3B5572F3">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34649CA">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CCD38B7">
            <w:pPr>
              <w:rPr>
                <w:rFonts w:hint="eastAsia" w:ascii="宋体" w:hAnsi="宋体" w:cs="宋体"/>
                <w:color w:val="auto"/>
                <w:sz w:val="24"/>
                <w:highlight w:val="none"/>
              </w:rPr>
            </w:pPr>
          </w:p>
          <w:p w14:paraId="46D77FAC">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01EA5469">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C1BEB70">
        <w:trPr>
          <w:trHeight w:val="860" w:hRule="atLeast"/>
        </w:trPr>
        <w:tc>
          <w:tcPr>
            <w:tcW w:w="646" w:type="dxa"/>
            <w:vAlign w:val="center"/>
          </w:tcPr>
          <w:p w14:paraId="699A0B75">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5B8BE4F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582C849">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DCFAC7E">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55D2AE">
        <w:trPr>
          <w:trHeight w:val="860" w:hRule="atLeast"/>
        </w:trPr>
        <w:tc>
          <w:tcPr>
            <w:tcW w:w="646" w:type="dxa"/>
            <w:vAlign w:val="center"/>
          </w:tcPr>
          <w:p w14:paraId="129F0D2A">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71415C1D">
            <w:pPr>
              <w:snapToGrid w:val="0"/>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投标文件的组成应符合招标文件要求</w:t>
            </w:r>
          </w:p>
          <w:p w14:paraId="39036D58">
            <w:pPr>
              <w:spacing w:line="360" w:lineRule="auto"/>
              <w:rPr>
                <w:rFonts w:hint="eastAsia" w:ascii="宋体" w:hAnsi="宋体" w:cs="宋体"/>
                <w:color w:val="auto"/>
                <w:sz w:val="24"/>
                <w:highlight w:val="none"/>
              </w:rPr>
            </w:pPr>
          </w:p>
        </w:tc>
        <w:tc>
          <w:tcPr>
            <w:tcW w:w="2551" w:type="dxa"/>
            <w:vAlign w:val="center"/>
          </w:tcPr>
          <w:p w14:paraId="2A75E4E4">
            <w:pPr>
              <w:rPr>
                <w:rFonts w:hint="eastAsia" w:ascii="宋体" w:hAnsi="宋体" w:cs="宋体"/>
                <w:color w:val="auto"/>
                <w:sz w:val="24"/>
                <w:highlight w:val="none"/>
              </w:rPr>
            </w:pPr>
            <w:r>
              <w:rPr>
                <w:rFonts w:hint="eastAsia" w:ascii="宋体" w:hAnsi="宋体" w:cs="宋体"/>
                <w:color w:val="auto"/>
                <w:sz w:val="24"/>
                <w:highlight w:val="none"/>
              </w:rPr>
              <w:t>投标文件</w:t>
            </w:r>
          </w:p>
        </w:tc>
        <w:tc>
          <w:tcPr>
            <w:tcW w:w="1418" w:type="dxa"/>
          </w:tcPr>
          <w:p w14:paraId="7631EF32">
            <w:pPr>
              <w:rPr>
                <w:rFonts w:hint="eastAsia" w:ascii="宋体" w:hAnsi="宋体" w:cs="宋体"/>
                <w:color w:val="auto"/>
                <w:highlight w:val="none"/>
              </w:rPr>
            </w:pPr>
            <w:r>
              <w:rPr>
                <w:rFonts w:hint="eastAsia" w:ascii="宋体" w:hAnsi="宋体" w:cs="宋体"/>
                <w:color w:val="auto"/>
                <w:sz w:val="24"/>
                <w:highlight w:val="none"/>
              </w:rPr>
              <w:t>/</w:t>
            </w:r>
          </w:p>
        </w:tc>
      </w:tr>
      <w:tr w14:paraId="56A07FA8">
        <w:trPr>
          <w:trHeight w:val="860" w:hRule="atLeast"/>
        </w:trPr>
        <w:tc>
          <w:tcPr>
            <w:tcW w:w="646" w:type="dxa"/>
            <w:vAlign w:val="center"/>
          </w:tcPr>
          <w:p w14:paraId="7FF93484">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991" w:type="dxa"/>
          </w:tcPr>
          <w:p w14:paraId="4771B020">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3C7B2681">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139A29D8">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3AD1926">
        <w:trPr>
          <w:trHeight w:val="860" w:hRule="atLeast"/>
        </w:trPr>
        <w:tc>
          <w:tcPr>
            <w:tcW w:w="646" w:type="dxa"/>
            <w:vAlign w:val="center"/>
          </w:tcPr>
          <w:p w14:paraId="0CD7CEF4">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991" w:type="dxa"/>
          </w:tcPr>
          <w:p w14:paraId="5C1ACB70">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49C0298A">
            <w:pPr>
              <w:rPr>
                <w:rFonts w:hint="eastAsia" w:ascii="宋体" w:hAnsi="宋体" w:cs="宋体"/>
                <w:color w:val="auto"/>
                <w:sz w:val="24"/>
                <w:highlight w:val="none"/>
              </w:rPr>
            </w:pPr>
          </w:p>
        </w:tc>
        <w:tc>
          <w:tcPr>
            <w:tcW w:w="1418" w:type="dxa"/>
          </w:tcPr>
          <w:p w14:paraId="1152D396">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FF966F5">
        <w:trPr>
          <w:trHeight w:val="860" w:hRule="atLeast"/>
        </w:trPr>
        <w:tc>
          <w:tcPr>
            <w:tcW w:w="646" w:type="dxa"/>
            <w:vAlign w:val="center"/>
          </w:tcPr>
          <w:p w14:paraId="2DF313E6">
            <w:pPr>
              <w:jc w:val="center"/>
              <w:rPr>
                <w:rFonts w:hint="eastAsia" w:ascii="宋体" w:hAnsi="宋体" w:cs="宋体"/>
                <w:color w:val="auto"/>
                <w:sz w:val="24"/>
                <w:highlight w:val="none"/>
              </w:rPr>
            </w:pPr>
            <w:r>
              <w:rPr>
                <w:rFonts w:hint="eastAsia" w:ascii="宋体" w:hAnsi="宋体" w:cs="宋体"/>
                <w:color w:val="auto"/>
                <w:kern w:val="0"/>
                <w:sz w:val="24"/>
                <w:highlight w:val="none"/>
              </w:rPr>
              <w:t>……</w:t>
            </w:r>
          </w:p>
        </w:tc>
        <w:tc>
          <w:tcPr>
            <w:tcW w:w="4991" w:type="dxa"/>
          </w:tcPr>
          <w:p w14:paraId="2304CFEC">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1AFCD637">
            <w:pPr>
              <w:rPr>
                <w:rFonts w:hint="eastAsia" w:ascii="宋体" w:hAnsi="宋体" w:cs="宋体"/>
                <w:color w:val="auto"/>
                <w:sz w:val="24"/>
                <w:highlight w:val="none"/>
              </w:rPr>
            </w:pPr>
          </w:p>
        </w:tc>
        <w:tc>
          <w:tcPr>
            <w:tcW w:w="1418" w:type="dxa"/>
          </w:tcPr>
          <w:p w14:paraId="595A84FB">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0ECD3D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3A7DDE72">
      <w:pPr>
        <w:spacing w:line="360" w:lineRule="auto"/>
        <w:ind w:right="420"/>
        <w:rPr>
          <w:rFonts w:hint="eastAsia"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4FAB4FB7">
      <w:pPr>
        <w:pStyle w:val="81"/>
        <w:rPr>
          <w:rFonts w:hint="eastAsia"/>
          <w:color w:val="auto"/>
          <w:highlight w:val="none"/>
        </w:rPr>
      </w:pPr>
    </w:p>
    <w:p w14:paraId="4A7FBB21">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AF96B9D">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C848745">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C7F99AC">
        <w:tc>
          <w:tcPr>
            <w:tcW w:w="774" w:type="dxa"/>
          </w:tcPr>
          <w:p w14:paraId="69DDD574">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5473F987">
            <w:pPr>
              <w:snapToGrid w:val="0"/>
              <w:spacing w:line="360" w:lineRule="auto"/>
              <w:jc w:val="center"/>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1A7A37C6">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7B2D90E7">
        <w:tc>
          <w:tcPr>
            <w:tcW w:w="774" w:type="dxa"/>
          </w:tcPr>
          <w:p w14:paraId="48C7E2C8">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522670DE">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XXX（预先填写）</w:t>
            </w:r>
          </w:p>
        </w:tc>
        <w:tc>
          <w:tcPr>
            <w:tcW w:w="3046" w:type="dxa"/>
          </w:tcPr>
          <w:p w14:paraId="661340EF">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575FF58C">
        <w:tc>
          <w:tcPr>
            <w:tcW w:w="774" w:type="dxa"/>
          </w:tcPr>
          <w:p w14:paraId="397A7318">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58059CAA">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4FEE29D8">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74CF7067">
        <w:tc>
          <w:tcPr>
            <w:tcW w:w="774" w:type="dxa"/>
          </w:tcPr>
          <w:p w14:paraId="33EA0B74">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708A06E6">
            <w:pPr>
              <w:snapToGrid w:val="0"/>
              <w:spacing w:line="360" w:lineRule="auto"/>
              <w:jc w:val="center"/>
              <w:rPr>
                <w:rFonts w:hint="eastAsia" w:ascii="宋体" w:hAnsi="宋体" w:cs="宋体"/>
                <w:bCs/>
                <w:color w:val="auto"/>
                <w:sz w:val="24"/>
                <w:highlight w:val="none"/>
              </w:rPr>
            </w:pPr>
          </w:p>
        </w:tc>
        <w:tc>
          <w:tcPr>
            <w:tcW w:w="3046" w:type="dxa"/>
          </w:tcPr>
          <w:p w14:paraId="7E17E1A7">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1175038A">
      <w:pPr>
        <w:jc w:val="center"/>
        <w:rPr>
          <w:rFonts w:hint="eastAsia" w:ascii="宋体" w:hAnsi="宋体" w:cs="宋体"/>
          <w:b/>
          <w:color w:val="auto"/>
          <w:kern w:val="0"/>
          <w:sz w:val="32"/>
          <w:szCs w:val="32"/>
          <w:highlight w:val="none"/>
        </w:rPr>
      </w:pPr>
    </w:p>
    <w:p w14:paraId="5A908807">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23CF856">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A05AA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245789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87896CA">
            <w:pPr>
              <w:spacing w:line="360" w:lineRule="auto"/>
              <w:jc w:val="center"/>
              <w:rPr>
                <w:rFonts w:hint="eastAsia" w:ascii="宋体" w:hAnsi="宋体" w:cs="宋体"/>
                <w:b/>
                <w:color w:val="auto"/>
                <w:sz w:val="24"/>
                <w:highlight w:val="none"/>
              </w:rPr>
            </w:pPr>
          </w:p>
          <w:p w14:paraId="7FC5F59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EE9CD9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891B4F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D82660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6AE97A56">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9443A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C6D81E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5783A237">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EF4FB56">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D6144C1">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20F3453">
            <w:pPr>
              <w:spacing w:line="360" w:lineRule="auto"/>
              <w:jc w:val="center"/>
              <w:rPr>
                <w:rFonts w:hint="eastAsia" w:ascii="宋体" w:hAnsi="宋体" w:cs="宋体"/>
                <w:color w:val="auto"/>
                <w:sz w:val="24"/>
                <w:highlight w:val="none"/>
              </w:rPr>
            </w:pPr>
          </w:p>
        </w:tc>
      </w:tr>
      <w:tr w14:paraId="7D204930">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1A8D5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A80E28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220468B">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CD32EEB">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B140258">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593DA4F">
            <w:pPr>
              <w:spacing w:line="360" w:lineRule="auto"/>
              <w:jc w:val="center"/>
              <w:rPr>
                <w:rFonts w:hint="eastAsia" w:ascii="宋体" w:hAnsi="宋体" w:cs="宋体"/>
                <w:color w:val="auto"/>
                <w:sz w:val="24"/>
                <w:highlight w:val="none"/>
              </w:rPr>
            </w:pPr>
          </w:p>
        </w:tc>
      </w:tr>
      <w:tr w14:paraId="7F236FB0">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4D114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2CA3843">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6E05164">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6A9D3DA">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E58F0F">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989F118">
            <w:pPr>
              <w:spacing w:line="360" w:lineRule="auto"/>
              <w:jc w:val="center"/>
              <w:rPr>
                <w:rFonts w:hint="eastAsia" w:ascii="宋体" w:hAnsi="宋体" w:cs="宋体"/>
                <w:color w:val="auto"/>
                <w:sz w:val="24"/>
                <w:highlight w:val="none"/>
              </w:rPr>
            </w:pPr>
          </w:p>
        </w:tc>
      </w:tr>
    </w:tbl>
    <w:p w14:paraId="1248748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316658A">
      <w:pPr>
        <w:jc w:val="center"/>
        <w:rPr>
          <w:rFonts w:hint="eastAsia" w:ascii="宋体" w:hAnsi="宋体" w:cs="宋体"/>
          <w:b/>
          <w:color w:val="auto"/>
          <w:kern w:val="0"/>
          <w:sz w:val="32"/>
          <w:szCs w:val="32"/>
          <w:highlight w:val="none"/>
        </w:rPr>
      </w:pPr>
    </w:p>
    <w:p w14:paraId="593E14B9">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64045702">
        <w:tc>
          <w:tcPr>
            <w:tcW w:w="828" w:type="dxa"/>
          </w:tcPr>
          <w:p w14:paraId="2D2E5230">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1A9E2373">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7A76DFFB">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7039673E">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tcPr>
          <w:p w14:paraId="13B58153">
            <w:pPr>
              <w:jc w:val="center"/>
              <w:rPr>
                <w:rFonts w:hint="eastAsia" w:ascii="宋体" w:hAnsi="宋体" w:cs="宋体"/>
                <w:b/>
                <w:bCs/>
                <w:color w:val="auto"/>
                <w:sz w:val="24"/>
                <w:highlight w:val="none"/>
              </w:rPr>
            </w:pPr>
          </w:p>
        </w:tc>
      </w:tr>
      <w:tr w14:paraId="3144DDB9">
        <w:tc>
          <w:tcPr>
            <w:tcW w:w="828" w:type="dxa"/>
          </w:tcPr>
          <w:p w14:paraId="36ADF861">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099961A5">
            <w:pPr>
              <w:jc w:val="center"/>
              <w:rPr>
                <w:rFonts w:hint="eastAsia" w:ascii="宋体" w:hAnsi="宋体" w:cs="宋体"/>
                <w:b/>
                <w:color w:val="auto"/>
                <w:kern w:val="0"/>
                <w:sz w:val="32"/>
                <w:szCs w:val="32"/>
                <w:highlight w:val="none"/>
              </w:rPr>
            </w:pPr>
          </w:p>
        </w:tc>
        <w:tc>
          <w:tcPr>
            <w:tcW w:w="3062" w:type="dxa"/>
          </w:tcPr>
          <w:p w14:paraId="72D260EA">
            <w:pPr>
              <w:jc w:val="center"/>
              <w:rPr>
                <w:rFonts w:hint="eastAsia" w:ascii="宋体" w:hAnsi="宋体" w:cs="宋体"/>
                <w:b/>
                <w:color w:val="auto"/>
                <w:kern w:val="0"/>
                <w:sz w:val="32"/>
                <w:szCs w:val="32"/>
                <w:highlight w:val="none"/>
              </w:rPr>
            </w:pPr>
          </w:p>
        </w:tc>
        <w:tc>
          <w:tcPr>
            <w:tcW w:w="1102" w:type="dxa"/>
          </w:tcPr>
          <w:p w14:paraId="3BB92260">
            <w:pPr>
              <w:jc w:val="center"/>
              <w:rPr>
                <w:rFonts w:hint="eastAsia" w:ascii="宋体" w:hAnsi="宋体" w:cs="宋体"/>
                <w:b/>
                <w:color w:val="auto"/>
                <w:kern w:val="0"/>
                <w:sz w:val="32"/>
                <w:szCs w:val="32"/>
                <w:highlight w:val="none"/>
              </w:rPr>
            </w:pPr>
          </w:p>
        </w:tc>
        <w:tc>
          <w:tcPr>
            <w:tcW w:w="1088" w:type="dxa"/>
          </w:tcPr>
          <w:p w14:paraId="207964EA">
            <w:pPr>
              <w:jc w:val="center"/>
              <w:rPr>
                <w:rFonts w:hint="eastAsia" w:ascii="宋体" w:hAnsi="宋体" w:cs="宋体"/>
                <w:b/>
                <w:color w:val="auto"/>
                <w:kern w:val="0"/>
                <w:sz w:val="32"/>
                <w:szCs w:val="32"/>
                <w:highlight w:val="none"/>
              </w:rPr>
            </w:pPr>
          </w:p>
        </w:tc>
      </w:tr>
      <w:tr w14:paraId="126F6BD4">
        <w:tc>
          <w:tcPr>
            <w:tcW w:w="828" w:type="dxa"/>
          </w:tcPr>
          <w:p w14:paraId="68156480">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1A3312CE">
            <w:pPr>
              <w:jc w:val="center"/>
              <w:rPr>
                <w:rFonts w:hint="eastAsia" w:ascii="宋体" w:hAnsi="宋体" w:cs="宋体"/>
                <w:b/>
                <w:color w:val="auto"/>
                <w:kern w:val="0"/>
                <w:sz w:val="32"/>
                <w:szCs w:val="32"/>
                <w:highlight w:val="none"/>
              </w:rPr>
            </w:pPr>
          </w:p>
        </w:tc>
        <w:tc>
          <w:tcPr>
            <w:tcW w:w="3062" w:type="dxa"/>
          </w:tcPr>
          <w:p w14:paraId="644E174E">
            <w:pPr>
              <w:jc w:val="center"/>
              <w:rPr>
                <w:rFonts w:hint="eastAsia" w:ascii="宋体" w:hAnsi="宋体" w:cs="宋体"/>
                <w:b/>
                <w:color w:val="auto"/>
                <w:kern w:val="0"/>
                <w:sz w:val="32"/>
                <w:szCs w:val="32"/>
                <w:highlight w:val="none"/>
              </w:rPr>
            </w:pPr>
          </w:p>
        </w:tc>
        <w:tc>
          <w:tcPr>
            <w:tcW w:w="1102" w:type="dxa"/>
          </w:tcPr>
          <w:p w14:paraId="55561C94">
            <w:pPr>
              <w:jc w:val="center"/>
              <w:rPr>
                <w:rFonts w:hint="eastAsia" w:ascii="宋体" w:hAnsi="宋体" w:cs="宋体"/>
                <w:b/>
                <w:color w:val="auto"/>
                <w:kern w:val="0"/>
                <w:sz w:val="32"/>
                <w:szCs w:val="32"/>
                <w:highlight w:val="none"/>
              </w:rPr>
            </w:pPr>
          </w:p>
        </w:tc>
        <w:tc>
          <w:tcPr>
            <w:tcW w:w="1088" w:type="dxa"/>
          </w:tcPr>
          <w:p w14:paraId="060DAADF">
            <w:pPr>
              <w:jc w:val="center"/>
              <w:rPr>
                <w:rFonts w:hint="eastAsia" w:ascii="宋体" w:hAnsi="宋体" w:cs="宋体"/>
                <w:b/>
                <w:color w:val="auto"/>
                <w:kern w:val="0"/>
                <w:sz w:val="32"/>
                <w:szCs w:val="32"/>
                <w:highlight w:val="none"/>
              </w:rPr>
            </w:pPr>
          </w:p>
        </w:tc>
      </w:tr>
      <w:tr w14:paraId="28862D62">
        <w:tc>
          <w:tcPr>
            <w:tcW w:w="828" w:type="dxa"/>
          </w:tcPr>
          <w:p w14:paraId="132B6AE2">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2A9B9B2C">
            <w:pPr>
              <w:jc w:val="center"/>
              <w:rPr>
                <w:rFonts w:hint="eastAsia" w:ascii="宋体" w:hAnsi="宋体" w:cs="宋体"/>
                <w:b/>
                <w:color w:val="auto"/>
                <w:kern w:val="0"/>
                <w:sz w:val="32"/>
                <w:szCs w:val="32"/>
                <w:highlight w:val="none"/>
              </w:rPr>
            </w:pPr>
          </w:p>
        </w:tc>
        <w:tc>
          <w:tcPr>
            <w:tcW w:w="3062" w:type="dxa"/>
          </w:tcPr>
          <w:p w14:paraId="61F7F618">
            <w:pPr>
              <w:jc w:val="center"/>
              <w:rPr>
                <w:rFonts w:hint="eastAsia" w:ascii="宋体" w:hAnsi="宋体" w:cs="宋体"/>
                <w:b/>
                <w:color w:val="auto"/>
                <w:kern w:val="0"/>
                <w:sz w:val="32"/>
                <w:szCs w:val="32"/>
                <w:highlight w:val="none"/>
              </w:rPr>
            </w:pPr>
          </w:p>
        </w:tc>
        <w:tc>
          <w:tcPr>
            <w:tcW w:w="1102" w:type="dxa"/>
          </w:tcPr>
          <w:p w14:paraId="28FA00EA">
            <w:pPr>
              <w:jc w:val="center"/>
              <w:rPr>
                <w:rFonts w:hint="eastAsia" w:ascii="宋体" w:hAnsi="宋体" w:cs="宋体"/>
                <w:b/>
                <w:color w:val="auto"/>
                <w:kern w:val="0"/>
                <w:sz w:val="32"/>
                <w:szCs w:val="32"/>
                <w:highlight w:val="none"/>
              </w:rPr>
            </w:pPr>
          </w:p>
        </w:tc>
        <w:tc>
          <w:tcPr>
            <w:tcW w:w="1088" w:type="dxa"/>
          </w:tcPr>
          <w:p w14:paraId="0664FEA7">
            <w:pPr>
              <w:jc w:val="center"/>
              <w:rPr>
                <w:rFonts w:hint="eastAsia" w:ascii="宋体" w:hAnsi="宋体" w:cs="宋体"/>
                <w:b/>
                <w:color w:val="auto"/>
                <w:kern w:val="0"/>
                <w:sz w:val="32"/>
                <w:szCs w:val="32"/>
                <w:highlight w:val="none"/>
              </w:rPr>
            </w:pPr>
          </w:p>
        </w:tc>
      </w:tr>
    </w:tbl>
    <w:p w14:paraId="635E3AEC">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25C3749">
      <w:pPr>
        <w:jc w:val="center"/>
        <w:rPr>
          <w:rFonts w:hint="eastAsia" w:ascii="宋体" w:hAnsi="宋体" w:cs="宋体"/>
          <w:b/>
          <w:color w:val="auto"/>
          <w:kern w:val="0"/>
          <w:sz w:val="32"/>
          <w:szCs w:val="32"/>
          <w:highlight w:val="none"/>
        </w:rPr>
      </w:pPr>
    </w:p>
    <w:p w14:paraId="51BD5B07">
      <w:pPr>
        <w:jc w:val="left"/>
        <w:rPr>
          <w:rFonts w:hint="eastAsia" w:ascii="宋体" w:hAnsi="宋体" w:cs="宋体"/>
          <w:color w:val="auto"/>
          <w:kern w:val="0"/>
          <w:sz w:val="24"/>
          <w:highlight w:val="none"/>
        </w:rPr>
      </w:pPr>
      <w:r>
        <w:rPr>
          <w:rFonts w:hint="eastAsia" w:ascii="宋体" w:hAnsi="宋体" w:cs="宋体"/>
          <w:color w:val="auto"/>
          <w:sz w:val="24"/>
          <w:highlight w:val="none"/>
        </w:rPr>
        <w:t>注：</w:t>
      </w:r>
      <w:r>
        <w:rPr>
          <w:rFonts w:hint="eastAsia" w:ascii="宋体" w:hAnsi="宋体" w:cs="宋体"/>
          <w:color w:val="auto"/>
          <w:kern w:val="0"/>
          <w:sz w:val="24"/>
          <w:highlight w:val="none"/>
        </w:rPr>
        <w:t>1.按本格式和要求提供。</w:t>
      </w:r>
    </w:p>
    <w:p w14:paraId="31333B78">
      <w:pPr>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2.本表格所反映的偏离情况与“符合性审查资料”、“评标标准相应的商务技术资料”不一致的，以“符合性审查资料”、“评标标准相应的商务技术资料”为准。</w:t>
      </w:r>
    </w:p>
    <w:p w14:paraId="2B3D3586">
      <w:pPr>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3.投标人须保证：除商务技术偏离表列出的偏离外，投标人响应招标文件的全部非实质性要求。</w:t>
      </w:r>
    </w:p>
    <w:p w14:paraId="64B053E6">
      <w:pPr>
        <w:rPr>
          <w:rFonts w:hint="eastAsia" w:ascii="宋体" w:hAnsi="宋体" w:cs="宋体"/>
          <w:b/>
          <w:bCs/>
          <w:color w:val="auto"/>
          <w:sz w:val="32"/>
          <w:szCs w:val="32"/>
          <w:highlight w:val="none"/>
        </w:rPr>
      </w:pPr>
    </w:p>
    <w:p w14:paraId="15B57890">
      <w:pPr>
        <w:ind w:firstLine="1911" w:firstLineChars="595"/>
        <w:rPr>
          <w:rFonts w:hint="eastAsia" w:ascii="宋体" w:hAnsi="宋体" w:cs="宋体"/>
          <w:b/>
          <w:bCs/>
          <w:color w:val="auto"/>
          <w:sz w:val="32"/>
          <w:szCs w:val="32"/>
          <w:highlight w:val="none"/>
        </w:rPr>
      </w:pPr>
    </w:p>
    <w:p w14:paraId="093D4DA5">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06EF0359">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7E7261E">
      <w:pPr>
        <w:snapToGrid w:val="0"/>
        <w:spacing w:line="360" w:lineRule="auto"/>
        <w:rPr>
          <w:rFonts w:hint="eastAsia" w:ascii="宋体" w:hAnsi="宋体" w:cs="宋体"/>
          <w:color w:val="auto"/>
          <w:sz w:val="24"/>
          <w:highlight w:val="none"/>
        </w:rPr>
      </w:pPr>
    </w:p>
    <w:p w14:paraId="5BBE9B21">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浙江省交通运输厅</w:t>
      </w:r>
      <w:r>
        <w:rPr>
          <w:rFonts w:hint="eastAsia" w:ascii="宋体" w:hAnsi="宋体" w:cs="宋体"/>
          <w:color w:val="auto"/>
          <w:sz w:val="24"/>
          <w:highlight w:val="none"/>
        </w:rPr>
        <w:t>、浙江华耀建设咨询有限公司</w:t>
      </w:r>
      <w:r>
        <w:rPr>
          <w:rFonts w:hint="eastAsia" w:ascii="宋体" w:hAnsi="宋体" w:cs="宋体"/>
          <w:color w:val="auto"/>
          <w:kern w:val="0"/>
          <w:sz w:val="24"/>
          <w:highlight w:val="none"/>
          <w:lang w:val="zh-CN"/>
        </w:rPr>
        <w:t>：</w:t>
      </w:r>
    </w:p>
    <w:p w14:paraId="15703B68">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07CE3B6">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81469EA">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AB87FAA">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F30F863">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DC0D9B8">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F5C5AD2">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722FF13">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8B884AC">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67E1122">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3E61231">
      <w:pPr>
        <w:autoSpaceDE w:val="0"/>
        <w:autoSpaceDN w:val="0"/>
        <w:spacing w:line="360" w:lineRule="auto"/>
        <w:ind w:left="2"/>
        <w:jc w:val="left"/>
        <w:rPr>
          <w:rFonts w:hint="eastAsia" w:ascii="宋体" w:hAnsi="宋体" w:cs="宋体"/>
          <w:color w:val="auto"/>
          <w:kern w:val="0"/>
          <w:sz w:val="24"/>
          <w:highlight w:val="none"/>
          <w:lang w:val="zh-CN"/>
        </w:rPr>
      </w:pPr>
    </w:p>
    <w:p w14:paraId="09102AFF">
      <w:pPr>
        <w:autoSpaceDE w:val="0"/>
        <w:autoSpaceDN w:val="0"/>
        <w:spacing w:line="360" w:lineRule="auto"/>
        <w:ind w:left="2"/>
        <w:jc w:val="left"/>
        <w:rPr>
          <w:rFonts w:hint="eastAsia" w:ascii="宋体" w:hAnsi="宋体" w:cs="宋体"/>
          <w:color w:val="auto"/>
          <w:kern w:val="0"/>
          <w:sz w:val="24"/>
          <w:highlight w:val="none"/>
          <w:lang w:val="zh-CN"/>
        </w:rPr>
      </w:pPr>
    </w:p>
    <w:p w14:paraId="452260C5">
      <w:pPr>
        <w:autoSpaceDE w:val="0"/>
        <w:autoSpaceDN w:val="0"/>
        <w:spacing w:line="360" w:lineRule="auto"/>
        <w:ind w:left="2"/>
        <w:jc w:val="left"/>
        <w:rPr>
          <w:rFonts w:hint="eastAsia" w:ascii="宋体" w:hAnsi="宋体" w:cs="宋体"/>
          <w:color w:val="auto"/>
          <w:kern w:val="0"/>
          <w:sz w:val="24"/>
          <w:highlight w:val="none"/>
          <w:lang w:val="zh-CN"/>
        </w:rPr>
      </w:pPr>
    </w:p>
    <w:p w14:paraId="3E9F126A">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6F3C17F7">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B228729">
      <w:pPr>
        <w:spacing w:line="360" w:lineRule="auto"/>
        <w:jc w:val="center"/>
        <w:rPr>
          <w:rFonts w:hint="eastAsia" w:ascii="宋体" w:hAnsi="宋体" w:cs="宋体"/>
          <w:b/>
          <w:bCs/>
          <w:color w:val="auto"/>
          <w:sz w:val="24"/>
          <w:highlight w:val="none"/>
        </w:rPr>
      </w:pPr>
    </w:p>
    <w:p w14:paraId="47DD56C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DBB9D7F">
      <w:pPr>
        <w:spacing w:line="360" w:lineRule="auto"/>
        <w:jc w:val="center"/>
        <w:rPr>
          <w:rFonts w:hint="eastAsia" w:ascii="宋体" w:hAnsi="宋体" w:cs="宋体"/>
          <w:b/>
          <w:bCs/>
          <w:color w:val="auto"/>
          <w:sz w:val="24"/>
          <w:highlight w:val="none"/>
        </w:rPr>
        <w:sectPr>
          <w:footerReference r:id="rId11" w:type="first"/>
          <w:footerReference r:id="rId10" w:type="default"/>
          <w:pgSz w:w="11906" w:h="16838"/>
          <w:pgMar w:top="1276" w:right="1418" w:bottom="1247" w:left="1418" w:header="851" w:footer="992" w:gutter="0"/>
          <w:cols w:space="720" w:num="1"/>
          <w:titlePg/>
          <w:docGrid w:linePitch="312" w:charSpace="0"/>
        </w:sectPr>
      </w:pPr>
    </w:p>
    <w:p w14:paraId="0D845AFD">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18EF888">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5516BF5">
      <w:pPr>
        <w:spacing w:line="360" w:lineRule="auto"/>
        <w:jc w:val="center"/>
        <w:outlineLvl w:val="0"/>
        <w:rPr>
          <w:rFonts w:hint="eastAsia" w:ascii="宋体" w:hAnsi="宋体" w:cs="宋体"/>
          <w:b/>
          <w:color w:val="auto"/>
          <w:kern w:val="0"/>
          <w:sz w:val="36"/>
          <w:szCs w:val="36"/>
          <w:highlight w:val="none"/>
        </w:rPr>
      </w:pPr>
    </w:p>
    <w:p w14:paraId="4FF41934">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3A5B1049">
      <w:pPr>
        <w:snapToGrid w:val="0"/>
        <w:spacing w:line="360" w:lineRule="auto"/>
        <w:rPr>
          <w:rFonts w:hint="eastAsia" w:ascii="宋体" w:hAnsi="宋体" w:cs="宋体"/>
          <w:color w:val="auto"/>
          <w:sz w:val="24"/>
          <w:highlight w:val="none"/>
        </w:rPr>
        <w:sectPr>
          <w:footerReference r:id="rId13" w:type="first"/>
          <w:footerReference r:id="rId12" w:type="default"/>
          <w:pgSz w:w="11906" w:h="16838"/>
          <w:pgMar w:top="1247" w:right="1418" w:bottom="1276" w:left="1418" w:header="851" w:footer="992" w:gutter="0"/>
          <w:cols w:space="720" w:num="1"/>
          <w:titlePg/>
          <w:docGrid w:linePitch="312" w:charSpace="0"/>
        </w:sect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27CC4911">
      <w:pPr>
        <w:pStyle w:val="23"/>
        <w:rPr>
          <w:color w:val="auto"/>
          <w:highlight w:val="none"/>
        </w:rPr>
      </w:pPr>
    </w:p>
    <w:p w14:paraId="1DE08B82">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F64C157">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浙江省交通运输厅</w:t>
      </w:r>
      <w:r>
        <w:rPr>
          <w:rFonts w:hint="eastAsia" w:ascii="宋体" w:hAnsi="宋体" w:cs="宋体"/>
          <w:color w:val="auto"/>
          <w:sz w:val="24"/>
          <w:highlight w:val="none"/>
        </w:rPr>
        <w:t>、浙江华耀建设咨询有限公司</w:t>
      </w:r>
      <w:r>
        <w:rPr>
          <w:rFonts w:hint="eastAsia" w:ascii="宋体" w:hAnsi="宋体" w:cs="宋体"/>
          <w:color w:val="auto"/>
          <w:kern w:val="0"/>
          <w:sz w:val="24"/>
          <w:highlight w:val="none"/>
          <w:lang w:val="zh-CN"/>
        </w:rPr>
        <w:t>：</w:t>
      </w:r>
    </w:p>
    <w:p w14:paraId="4D112B59">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浙江省交通运输数智信用综合服务</w:t>
      </w:r>
      <w:r>
        <w:rPr>
          <w:rFonts w:hint="eastAsia" w:ascii="宋体" w:hAnsi="宋体" w:cs="宋体"/>
          <w:color w:val="auto"/>
          <w:kern w:val="0"/>
          <w:sz w:val="24"/>
          <w:highlight w:val="none"/>
          <w:lang w:val="zh-CN"/>
        </w:rPr>
        <w:t>【招标编号：</w:t>
      </w:r>
      <w:r>
        <w:rPr>
          <w:rFonts w:hint="default" w:ascii="宋体" w:hAnsi="宋体" w:cs="宋体"/>
          <w:color w:val="auto"/>
          <w:sz w:val="24"/>
          <w:highlight w:val="none"/>
          <w:lang w:val="en-US" w:eastAsia="zh-CN"/>
        </w:rPr>
        <w:t>ZJHY-SJTYST-202501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52D5A5DE">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F0AF515">
        <w:trPr>
          <w:trHeight w:val="1373" w:hRule="atLeast"/>
        </w:trPr>
        <w:tc>
          <w:tcPr>
            <w:tcW w:w="817" w:type="dxa"/>
            <w:vAlign w:val="center"/>
          </w:tcPr>
          <w:p w14:paraId="7C22262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4182297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5BF14AFA">
            <w:pPr>
              <w:spacing w:line="360" w:lineRule="auto"/>
              <w:jc w:val="center"/>
              <w:rPr>
                <w:rFonts w:hint="eastAsia" w:ascii="宋体" w:hAnsi="宋体" w:cs="宋体"/>
                <w:b/>
                <w:color w:val="auto"/>
                <w:sz w:val="24"/>
                <w:highlight w:val="none"/>
              </w:rPr>
            </w:pPr>
          </w:p>
          <w:p w14:paraId="19922F6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3798194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2F5532F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24C5ADA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1CB1106">
            <w:pPr>
              <w:spacing w:line="360" w:lineRule="auto"/>
              <w:jc w:val="center"/>
              <w:rPr>
                <w:rFonts w:hint="eastAsia" w:ascii="宋体" w:hAnsi="宋体" w:cs="宋体"/>
                <w:b/>
                <w:color w:val="auto"/>
                <w:sz w:val="24"/>
                <w:highlight w:val="none"/>
              </w:rPr>
            </w:pPr>
          </w:p>
          <w:p w14:paraId="0909766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339446D3">
            <w:pPr>
              <w:spacing w:line="360" w:lineRule="auto"/>
              <w:jc w:val="center"/>
              <w:rPr>
                <w:rFonts w:hint="eastAsia" w:ascii="宋体" w:hAnsi="宋体" w:cs="宋体"/>
                <w:b/>
                <w:color w:val="auto"/>
                <w:sz w:val="24"/>
                <w:highlight w:val="none"/>
              </w:rPr>
            </w:pPr>
          </w:p>
          <w:p w14:paraId="77911AD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6F1662AE">
            <w:pPr>
              <w:spacing w:line="360" w:lineRule="auto"/>
              <w:jc w:val="center"/>
              <w:rPr>
                <w:rFonts w:hint="eastAsia" w:ascii="宋体" w:hAnsi="宋体" w:cs="宋体"/>
                <w:b/>
                <w:color w:val="auto"/>
                <w:sz w:val="24"/>
                <w:highlight w:val="none"/>
              </w:rPr>
            </w:pPr>
          </w:p>
        </w:tc>
      </w:tr>
      <w:tr w14:paraId="3D10B274">
        <w:trPr>
          <w:trHeight w:val="441" w:hRule="atLeast"/>
        </w:trPr>
        <w:tc>
          <w:tcPr>
            <w:tcW w:w="817" w:type="dxa"/>
            <w:vAlign w:val="center"/>
          </w:tcPr>
          <w:p w14:paraId="0137A42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3667512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03009BAE">
            <w:pPr>
              <w:snapToGrid w:val="0"/>
              <w:spacing w:line="360" w:lineRule="auto"/>
              <w:jc w:val="center"/>
              <w:rPr>
                <w:rFonts w:hint="eastAsia" w:ascii="宋体" w:hAnsi="宋体" w:cs="宋体"/>
                <w:color w:val="auto"/>
                <w:sz w:val="24"/>
                <w:highlight w:val="none"/>
              </w:rPr>
            </w:pPr>
          </w:p>
        </w:tc>
        <w:tc>
          <w:tcPr>
            <w:tcW w:w="2410" w:type="dxa"/>
            <w:vAlign w:val="center"/>
          </w:tcPr>
          <w:p w14:paraId="2CC4E48D">
            <w:pPr>
              <w:snapToGrid w:val="0"/>
              <w:spacing w:line="360" w:lineRule="auto"/>
              <w:jc w:val="center"/>
              <w:rPr>
                <w:rFonts w:hint="eastAsia" w:ascii="宋体" w:hAnsi="宋体" w:cs="宋体"/>
                <w:color w:val="auto"/>
                <w:sz w:val="24"/>
                <w:highlight w:val="none"/>
              </w:rPr>
            </w:pPr>
          </w:p>
        </w:tc>
        <w:tc>
          <w:tcPr>
            <w:tcW w:w="2268" w:type="dxa"/>
            <w:vAlign w:val="center"/>
          </w:tcPr>
          <w:p w14:paraId="231BD38C">
            <w:pPr>
              <w:snapToGrid w:val="0"/>
              <w:spacing w:line="360" w:lineRule="auto"/>
              <w:jc w:val="center"/>
              <w:rPr>
                <w:rFonts w:hint="eastAsia" w:ascii="宋体" w:hAnsi="宋体" w:cs="宋体"/>
                <w:color w:val="auto"/>
                <w:sz w:val="24"/>
                <w:highlight w:val="none"/>
              </w:rPr>
            </w:pPr>
          </w:p>
        </w:tc>
        <w:tc>
          <w:tcPr>
            <w:tcW w:w="2126" w:type="dxa"/>
            <w:vAlign w:val="center"/>
          </w:tcPr>
          <w:p w14:paraId="4129A475">
            <w:pPr>
              <w:spacing w:line="360" w:lineRule="auto"/>
              <w:jc w:val="center"/>
              <w:rPr>
                <w:rFonts w:hint="eastAsia" w:ascii="宋体" w:hAnsi="宋体" w:cs="宋体"/>
                <w:color w:val="auto"/>
                <w:sz w:val="24"/>
                <w:highlight w:val="none"/>
              </w:rPr>
            </w:pPr>
          </w:p>
        </w:tc>
        <w:tc>
          <w:tcPr>
            <w:tcW w:w="2127" w:type="dxa"/>
          </w:tcPr>
          <w:p w14:paraId="24EF4B68">
            <w:pPr>
              <w:spacing w:line="360" w:lineRule="auto"/>
              <w:jc w:val="center"/>
              <w:rPr>
                <w:rFonts w:hint="eastAsia" w:ascii="宋体" w:hAnsi="宋体" w:cs="宋体"/>
                <w:color w:val="auto"/>
                <w:sz w:val="24"/>
                <w:highlight w:val="none"/>
              </w:rPr>
            </w:pPr>
          </w:p>
        </w:tc>
        <w:tc>
          <w:tcPr>
            <w:tcW w:w="2126" w:type="dxa"/>
            <w:vAlign w:val="center"/>
          </w:tcPr>
          <w:p w14:paraId="5465C723">
            <w:pPr>
              <w:spacing w:line="360" w:lineRule="auto"/>
              <w:jc w:val="center"/>
              <w:rPr>
                <w:rFonts w:hint="eastAsia" w:ascii="宋体" w:hAnsi="宋体" w:cs="宋体"/>
                <w:color w:val="auto"/>
                <w:sz w:val="24"/>
                <w:highlight w:val="none"/>
              </w:rPr>
            </w:pPr>
          </w:p>
        </w:tc>
      </w:tr>
      <w:tr w14:paraId="59512EDB">
        <w:trPr>
          <w:trHeight w:val="453" w:hRule="atLeast"/>
        </w:trPr>
        <w:tc>
          <w:tcPr>
            <w:tcW w:w="817" w:type="dxa"/>
            <w:vAlign w:val="center"/>
          </w:tcPr>
          <w:p w14:paraId="77B6A2D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2DAAF44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12D7DE13">
            <w:pPr>
              <w:snapToGrid w:val="0"/>
              <w:spacing w:line="360" w:lineRule="auto"/>
              <w:jc w:val="center"/>
              <w:rPr>
                <w:rFonts w:hint="eastAsia" w:ascii="宋体" w:hAnsi="宋体" w:cs="宋体"/>
                <w:color w:val="auto"/>
                <w:sz w:val="24"/>
                <w:highlight w:val="none"/>
              </w:rPr>
            </w:pPr>
          </w:p>
        </w:tc>
        <w:tc>
          <w:tcPr>
            <w:tcW w:w="2410" w:type="dxa"/>
            <w:vAlign w:val="center"/>
          </w:tcPr>
          <w:p w14:paraId="3849A61C">
            <w:pPr>
              <w:snapToGrid w:val="0"/>
              <w:spacing w:line="360" w:lineRule="auto"/>
              <w:jc w:val="center"/>
              <w:rPr>
                <w:rFonts w:hint="eastAsia" w:ascii="宋体" w:hAnsi="宋体" w:cs="宋体"/>
                <w:color w:val="auto"/>
                <w:sz w:val="24"/>
                <w:highlight w:val="none"/>
              </w:rPr>
            </w:pPr>
          </w:p>
        </w:tc>
        <w:tc>
          <w:tcPr>
            <w:tcW w:w="2268" w:type="dxa"/>
            <w:vAlign w:val="center"/>
          </w:tcPr>
          <w:p w14:paraId="190941CB">
            <w:pPr>
              <w:snapToGrid w:val="0"/>
              <w:spacing w:line="360" w:lineRule="auto"/>
              <w:jc w:val="center"/>
              <w:rPr>
                <w:rFonts w:hint="eastAsia" w:ascii="宋体" w:hAnsi="宋体" w:cs="宋体"/>
                <w:color w:val="auto"/>
                <w:sz w:val="24"/>
                <w:highlight w:val="none"/>
              </w:rPr>
            </w:pPr>
          </w:p>
        </w:tc>
        <w:tc>
          <w:tcPr>
            <w:tcW w:w="2126" w:type="dxa"/>
            <w:vAlign w:val="center"/>
          </w:tcPr>
          <w:p w14:paraId="6C06338E">
            <w:pPr>
              <w:spacing w:line="360" w:lineRule="auto"/>
              <w:jc w:val="center"/>
              <w:rPr>
                <w:rFonts w:hint="eastAsia" w:ascii="宋体" w:hAnsi="宋体" w:cs="宋体"/>
                <w:color w:val="auto"/>
                <w:sz w:val="24"/>
                <w:highlight w:val="none"/>
              </w:rPr>
            </w:pPr>
          </w:p>
        </w:tc>
        <w:tc>
          <w:tcPr>
            <w:tcW w:w="2127" w:type="dxa"/>
          </w:tcPr>
          <w:p w14:paraId="389939C0">
            <w:pPr>
              <w:spacing w:line="360" w:lineRule="auto"/>
              <w:jc w:val="center"/>
              <w:rPr>
                <w:rFonts w:hint="eastAsia" w:ascii="宋体" w:hAnsi="宋体" w:cs="宋体"/>
                <w:color w:val="auto"/>
                <w:sz w:val="24"/>
                <w:highlight w:val="none"/>
              </w:rPr>
            </w:pPr>
          </w:p>
        </w:tc>
        <w:tc>
          <w:tcPr>
            <w:tcW w:w="2126" w:type="dxa"/>
            <w:vAlign w:val="center"/>
          </w:tcPr>
          <w:p w14:paraId="539620E5">
            <w:pPr>
              <w:spacing w:line="360" w:lineRule="auto"/>
              <w:jc w:val="center"/>
              <w:rPr>
                <w:rFonts w:hint="eastAsia" w:ascii="宋体" w:hAnsi="宋体" w:cs="宋体"/>
                <w:color w:val="auto"/>
                <w:sz w:val="24"/>
                <w:highlight w:val="none"/>
              </w:rPr>
            </w:pPr>
          </w:p>
        </w:tc>
      </w:tr>
      <w:tr w14:paraId="2840DAFE">
        <w:trPr>
          <w:trHeight w:val="453" w:hRule="atLeast"/>
        </w:trPr>
        <w:tc>
          <w:tcPr>
            <w:tcW w:w="817" w:type="dxa"/>
            <w:vAlign w:val="center"/>
          </w:tcPr>
          <w:p w14:paraId="5AB956C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1E722D86">
            <w:pPr>
              <w:snapToGrid w:val="0"/>
              <w:spacing w:line="360" w:lineRule="auto"/>
              <w:jc w:val="center"/>
              <w:rPr>
                <w:rFonts w:hint="eastAsia" w:ascii="宋体" w:hAnsi="宋体" w:cs="宋体"/>
                <w:color w:val="auto"/>
                <w:sz w:val="24"/>
                <w:highlight w:val="none"/>
              </w:rPr>
            </w:pPr>
          </w:p>
        </w:tc>
        <w:tc>
          <w:tcPr>
            <w:tcW w:w="2268" w:type="dxa"/>
            <w:vAlign w:val="center"/>
          </w:tcPr>
          <w:p w14:paraId="04105224">
            <w:pPr>
              <w:snapToGrid w:val="0"/>
              <w:spacing w:line="360" w:lineRule="auto"/>
              <w:jc w:val="center"/>
              <w:rPr>
                <w:rFonts w:hint="eastAsia" w:ascii="宋体" w:hAnsi="宋体" w:cs="宋体"/>
                <w:color w:val="auto"/>
                <w:sz w:val="24"/>
                <w:highlight w:val="none"/>
              </w:rPr>
            </w:pPr>
          </w:p>
        </w:tc>
        <w:tc>
          <w:tcPr>
            <w:tcW w:w="2410" w:type="dxa"/>
            <w:vAlign w:val="center"/>
          </w:tcPr>
          <w:p w14:paraId="4FAFD093">
            <w:pPr>
              <w:snapToGrid w:val="0"/>
              <w:spacing w:line="360" w:lineRule="auto"/>
              <w:jc w:val="center"/>
              <w:rPr>
                <w:rFonts w:hint="eastAsia" w:ascii="宋体" w:hAnsi="宋体" w:cs="宋体"/>
                <w:color w:val="auto"/>
                <w:sz w:val="24"/>
                <w:highlight w:val="none"/>
              </w:rPr>
            </w:pPr>
          </w:p>
        </w:tc>
        <w:tc>
          <w:tcPr>
            <w:tcW w:w="2268" w:type="dxa"/>
            <w:vAlign w:val="center"/>
          </w:tcPr>
          <w:p w14:paraId="18282E1F">
            <w:pPr>
              <w:snapToGrid w:val="0"/>
              <w:spacing w:line="360" w:lineRule="auto"/>
              <w:jc w:val="center"/>
              <w:rPr>
                <w:rFonts w:hint="eastAsia" w:ascii="宋体" w:hAnsi="宋体" w:cs="宋体"/>
                <w:color w:val="auto"/>
                <w:sz w:val="24"/>
                <w:highlight w:val="none"/>
              </w:rPr>
            </w:pPr>
          </w:p>
        </w:tc>
        <w:tc>
          <w:tcPr>
            <w:tcW w:w="2126" w:type="dxa"/>
            <w:vAlign w:val="center"/>
          </w:tcPr>
          <w:p w14:paraId="562EBBB9">
            <w:pPr>
              <w:spacing w:line="360" w:lineRule="auto"/>
              <w:jc w:val="center"/>
              <w:rPr>
                <w:rFonts w:hint="eastAsia" w:ascii="宋体" w:hAnsi="宋体" w:cs="宋体"/>
                <w:color w:val="auto"/>
                <w:sz w:val="24"/>
                <w:highlight w:val="none"/>
              </w:rPr>
            </w:pPr>
          </w:p>
        </w:tc>
        <w:tc>
          <w:tcPr>
            <w:tcW w:w="2127" w:type="dxa"/>
          </w:tcPr>
          <w:p w14:paraId="0565C690">
            <w:pPr>
              <w:spacing w:line="360" w:lineRule="auto"/>
              <w:jc w:val="center"/>
              <w:rPr>
                <w:rFonts w:hint="eastAsia" w:ascii="宋体" w:hAnsi="宋体" w:cs="宋体"/>
                <w:color w:val="auto"/>
                <w:sz w:val="24"/>
                <w:highlight w:val="none"/>
              </w:rPr>
            </w:pPr>
          </w:p>
        </w:tc>
        <w:tc>
          <w:tcPr>
            <w:tcW w:w="2126" w:type="dxa"/>
            <w:vAlign w:val="center"/>
          </w:tcPr>
          <w:p w14:paraId="1E63752A">
            <w:pPr>
              <w:spacing w:line="360" w:lineRule="auto"/>
              <w:jc w:val="center"/>
              <w:rPr>
                <w:rFonts w:hint="eastAsia" w:ascii="宋体" w:hAnsi="宋体" w:cs="宋体"/>
                <w:color w:val="auto"/>
                <w:sz w:val="24"/>
                <w:highlight w:val="none"/>
              </w:rPr>
            </w:pPr>
          </w:p>
        </w:tc>
      </w:tr>
      <w:tr w14:paraId="0380927E">
        <w:trPr>
          <w:trHeight w:val="453" w:hRule="atLeast"/>
        </w:trPr>
        <w:tc>
          <w:tcPr>
            <w:tcW w:w="817" w:type="dxa"/>
            <w:vAlign w:val="center"/>
          </w:tcPr>
          <w:p w14:paraId="0C7DDE85">
            <w:pPr>
              <w:spacing w:line="360" w:lineRule="auto"/>
              <w:jc w:val="center"/>
              <w:rPr>
                <w:rFonts w:hint="eastAsia" w:ascii="宋体" w:hAnsi="宋体" w:cs="宋体"/>
                <w:color w:val="auto"/>
                <w:sz w:val="24"/>
                <w:highlight w:val="none"/>
              </w:rPr>
            </w:pPr>
          </w:p>
        </w:tc>
        <w:tc>
          <w:tcPr>
            <w:tcW w:w="992" w:type="dxa"/>
            <w:vAlign w:val="center"/>
          </w:tcPr>
          <w:p w14:paraId="7D7AC6D3">
            <w:pPr>
              <w:snapToGrid w:val="0"/>
              <w:spacing w:line="360" w:lineRule="auto"/>
              <w:jc w:val="center"/>
              <w:rPr>
                <w:rFonts w:hint="eastAsia" w:ascii="宋体" w:hAnsi="宋体" w:cs="宋体"/>
                <w:color w:val="auto"/>
                <w:sz w:val="24"/>
                <w:highlight w:val="none"/>
              </w:rPr>
            </w:pPr>
          </w:p>
        </w:tc>
        <w:tc>
          <w:tcPr>
            <w:tcW w:w="2268" w:type="dxa"/>
            <w:vAlign w:val="center"/>
          </w:tcPr>
          <w:p w14:paraId="65D05E8F">
            <w:pPr>
              <w:snapToGrid w:val="0"/>
              <w:spacing w:line="360" w:lineRule="auto"/>
              <w:jc w:val="center"/>
              <w:rPr>
                <w:rFonts w:hint="eastAsia" w:ascii="宋体" w:hAnsi="宋体" w:cs="宋体"/>
                <w:color w:val="auto"/>
                <w:sz w:val="24"/>
                <w:highlight w:val="none"/>
              </w:rPr>
            </w:pPr>
          </w:p>
        </w:tc>
        <w:tc>
          <w:tcPr>
            <w:tcW w:w="2410" w:type="dxa"/>
            <w:vAlign w:val="center"/>
          </w:tcPr>
          <w:p w14:paraId="324B08DF">
            <w:pPr>
              <w:snapToGrid w:val="0"/>
              <w:spacing w:line="360" w:lineRule="auto"/>
              <w:jc w:val="center"/>
              <w:rPr>
                <w:rFonts w:hint="eastAsia" w:ascii="宋体" w:hAnsi="宋体" w:cs="宋体"/>
                <w:color w:val="auto"/>
                <w:sz w:val="24"/>
                <w:highlight w:val="none"/>
              </w:rPr>
            </w:pPr>
          </w:p>
        </w:tc>
        <w:tc>
          <w:tcPr>
            <w:tcW w:w="2268" w:type="dxa"/>
            <w:vAlign w:val="center"/>
          </w:tcPr>
          <w:p w14:paraId="1E76A09C">
            <w:pPr>
              <w:snapToGrid w:val="0"/>
              <w:spacing w:line="360" w:lineRule="auto"/>
              <w:jc w:val="center"/>
              <w:rPr>
                <w:rFonts w:hint="eastAsia" w:ascii="宋体" w:hAnsi="宋体" w:cs="宋体"/>
                <w:color w:val="auto"/>
                <w:sz w:val="24"/>
                <w:highlight w:val="none"/>
              </w:rPr>
            </w:pPr>
          </w:p>
        </w:tc>
        <w:tc>
          <w:tcPr>
            <w:tcW w:w="2126" w:type="dxa"/>
            <w:vAlign w:val="center"/>
          </w:tcPr>
          <w:p w14:paraId="318673BA">
            <w:pPr>
              <w:spacing w:line="360" w:lineRule="auto"/>
              <w:jc w:val="center"/>
              <w:rPr>
                <w:rFonts w:hint="eastAsia" w:ascii="宋体" w:hAnsi="宋体" w:cs="宋体"/>
                <w:color w:val="auto"/>
                <w:sz w:val="24"/>
                <w:highlight w:val="none"/>
              </w:rPr>
            </w:pPr>
          </w:p>
        </w:tc>
        <w:tc>
          <w:tcPr>
            <w:tcW w:w="2127" w:type="dxa"/>
          </w:tcPr>
          <w:p w14:paraId="2BC5FE44">
            <w:pPr>
              <w:spacing w:line="360" w:lineRule="auto"/>
              <w:jc w:val="center"/>
              <w:rPr>
                <w:rFonts w:hint="eastAsia" w:ascii="宋体" w:hAnsi="宋体" w:cs="宋体"/>
                <w:color w:val="auto"/>
                <w:sz w:val="24"/>
                <w:highlight w:val="none"/>
              </w:rPr>
            </w:pPr>
          </w:p>
        </w:tc>
        <w:tc>
          <w:tcPr>
            <w:tcW w:w="2126" w:type="dxa"/>
            <w:vAlign w:val="center"/>
          </w:tcPr>
          <w:p w14:paraId="3DAF26D8">
            <w:pPr>
              <w:spacing w:line="360" w:lineRule="auto"/>
              <w:jc w:val="center"/>
              <w:rPr>
                <w:rFonts w:hint="eastAsia" w:ascii="宋体" w:hAnsi="宋体" w:cs="宋体"/>
                <w:color w:val="auto"/>
                <w:sz w:val="24"/>
                <w:highlight w:val="none"/>
              </w:rPr>
            </w:pPr>
          </w:p>
        </w:tc>
      </w:tr>
      <w:tr w14:paraId="22E83C6A">
        <w:trPr>
          <w:trHeight w:val="453" w:hRule="atLeast"/>
        </w:trPr>
        <w:tc>
          <w:tcPr>
            <w:tcW w:w="817" w:type="dxa"/>
            <w:vAlign w:val="center"/>
          </w:tcPr>
          <w:p w14:paraId="3F57B0C6">
            <w:pPr>
              <w:spacing w:line="360" w:lineRule="auto"/>
              <w:jc w:val="center"/>
              <w:rPr>
                <w:rFonts w:hint="eastAsia" w:ascii="宋体" w:hAnsi="宋体" w:cs="宋体"/>
                <w:color w:val="auto"/>
                <w:sz w:val="24"/>
                <w:highlight w:val="none"/>
              </w:rPr>
            </w:pPr>
          </w:p>
        </w:tc>
        <w:tc>
          <w:tcPr>
            <w:tcW w:w="992" w:type="dxa"/>
            <w:vAlign w:val="center"/>
          </w:tcPr>
          <w:p w14:paraId="7028BCCB">
            <w:pPr>
              <w:snapToGrid w:val="0"/>
              <w:spacing w:line="360" w:lineRule="auto"/>
              <w:jc w:val="center"/>
              <w:rPr>
                <w:rFonts w:hint="eastAsia" w:ascii="宋体" w:hAnsi="宋体" w:cs="宋体"/>
                <w:color w:val="auto"/>
                <w:sz w:val="24"/>
                <w:highlight w:val="none"/>
              </w:rPr>
            </w:pPr>
          </w:p>
        </w:tc>
        <w:tc>
          <w:tcPr>
            <w:tcW w:w="2268" w:type="dxa"/>
            <w:vAlign w:val="center"/>
          </w:tcPr>
          <w:p w14:paraId="2F52F3E8">
            <w:pPr>
              <w:snapToGrid w:val="0"/>
              <w:spacing w:line="360" w:lineRule="auto"/>
              <w:jc w:val="center"/>
              <w:rPr>
                <w:rFonts w:hint="eastAsia" w:ascii="宋体" w:hAnsi="宋体" w:cs="宋体"/>
                <w:color w:val="auto"/>
                <w:sz w:val="24"/>
                <w:highlight w:val="none"/>
              </w:rPr>
            </w:pPr>
          </w:p>
        </w:tc>
        <w:tc>
          <w:tcPr>
            <w:tcW w:w="2410" w:type="dxa"/>
            <w:vAlign w:val="center"/>
          </w:tcPr>
          <w:p w14:paraId="6AEF373D">
            <w:pPr>
              <w:snapToGrid w:val="0"/>
              <w:spacing w:line="360" w:lineRule="auto"/>
              <w:jc w:val="center"/>
              <w:rPr>
                <w:rFonts w:hint="eastAsia" w:ascii="宋体" w:hAnsi="宋体" w:cs="宋体"/>
                <w:color w:val="auto"/>
                <w:sz w:val="24"/>
                <w:highlight w:val="none"/>
              </w:rPr>
            </w:pPr>
          </w:p>
        </w:tc>
        <w:tc>
          <w:tcPr>
            <w:tcW w:w="2268" w:type="dxa"/>
            <w:vAlign w:val="center"/>
          </w:tcPr>
          <w:p w14:paraId="694C414B">
            <w:pPr>
              <w:snapToGrid w:val="0"/>
              <w:spacing w:line="360" w:lineRule="auto"/>
              <w:jc w:val="center"/>
              <w:rPr>
                <w:rFonts w:hint="eastAsia" w:ascii="宋体" w:hAnsi="宋体" w:cs="宋体"/>
                <w:color w:val="auto"/>
                <w:sz w:val="24"/>
                <w:highlight w:val="none"/>
              </w:rPr>
            </w:pPr>
          </w:p>
        </w:tc>
        <w:tc>
          <w:tcPr>
            <w:tcW w:w="2126" w:type="dxa"/>
            <w:vAlign w:val="center"/>
          </w:tcPr>
          <w:p w14:paraId="0FC33F15">
            <w:pPr>
              <w:spacing w:line="360" w:lineRule="auto"/>
              <w:jc w:val="center"/>
              <w:rPr>
                <w:rFonts w:hint="eastAsia" w:ascii="宋体" w:hAnsi="宋体" w:cs="宋体"/>
                <w:color w:val="auto"/>
                <w:sz w:val="24"/>
                <w:highlight w:val="none"/>
              </w:rPr>
            </w:pPr>
          </w:p>
        </w:tc>
        <w:tc>
          <w:tcPr>
            <w:tcW w:w="2127" w:type="dxa"/>
          </w:tcPr>
          <w:p w14:paraId="7F55A686">
            <w:pPr>
              <w:spacing w:line="360" w:lineRule="auto"/>
              <w:jc w:val="center"/>
              <w:rPr>
                <w:rFonts w:hint="eastAsia" w:ascii="宋体" w:hAnsi="宋体" w:cs="宋体"/>
                <w:color w:val="auto"/>
                <w:sz w:val="24"/>
                <w:highlight w:val="none"/>
              </w:rPr>
            </w:pPr>
          </w:p>
        </w:tc>
        <w:tc>
          <w:tcPr>
            <w:tcW w:w="2126" w:type="dxa"/>
            <w:vAlign w:val="center"/>
          </w:tcPr>
          <w:p w14:paraId="726C13C0">
            <w:pPr>
              <w:spacing w:line="360" w:lineRule="auto"/>
              <w:jc w:val="center"/>
              <w:rPr>
                <w:rFonts w:hint="eastAsia" w:ascii="宋体" w:hAnsi="宋体" w:cs="宋体"/>
                <w:color w:val="auto"/>
                <w:sz w:val="24"/>
                <w:highlight w:val="none"/>
              </w:rPr>
            </w:pPr>
          </w:p>
        </w:tc>
      </w:tr>
      <w:tr w14:paraId="751493D7">
        <w:trPr>
          <w:trHeight w:val="659" w:hRule="atLeast"/>
        </w:trPr>
        <w:tc>
          <w:tcPr>
            <w:tcW w:w="6487" w:type="dxa"/>
            <w:gridSpan w:val="4"/>
            <w:vAlign w:val="center"/>
          </w:tcPr>
          <w:p w14:paraId="27E73FE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0F63FBC2">
            <w:pPr>
              <w:spacing w:line="360" w:lineRule="auto"/>
              <w:jc w:val="center"/>
              <w:rPr>
                <w:rFonts w:hint="eastAsia" w:ascii="宋体" w:hAnsi="宋体" w:cs="宋体"/>
                <w:color w:val="auto"/>
                <w:sz w:val="24"/>
                <w:highlight w:val="none"/>
              </w:rPr>
            </w:pPr>
          </w:p>
        </w:tc>
      </w:tr>
      <w:tr w14:paraId="04DD1C7D">
        <w:trPr>
          <w:trHeight w:val="597" w:hRule="atLeast"/>
        </w:trPr>
        <w:tc>
          <w:tcPr>
            <w:tcW w:w="6487" w:type="dxa"/>
            <w:gridSpan w:val="4"/>
            <w:vAlign w:val="center"/>
          </w:tcPr>
          <w:p w14:paraId="5B67716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56F87CA4">
            <w:pPr>
              <w:spacing w:line="360" w:lineRule="auto"/>
              <w:jc w:val="center"/>
              <w:rPr>
                <w:rFonts w:hint="eastAsia" w:ascii="宋体" w:hAnsi="宋体" w:cs="宋体"/>
                <w:color w:val="auto"/>
                <w:sz w:val="24"/>
                <w:highlight w:val="none"/>
              </w:rPr>
            </w:pPr>
          </w:p>
        </w:tc>
      </w:tr>
    </w:tbl>
    <w:p w14:paraId="1CB4A59E">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D8F53EB">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F3CDB9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797BA66">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EEE3A74">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7D7AEC55">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D544830">
      <w:pPr>
        <w:pStyle w:val="695"/>
        <w:keepNext w:val="0"/>
        <w:pageBreakBefore w:val="0"/>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w:t>
      </w:r>
      <w:r>
        <w:rPr>
          <w:rFonts w:hint="eastAsia" w:ascii="宋体" w:hAnsi="宋体" w:eastAsia="宋体" w:cs="宋体"/>
          <w:color w:val="auto"/>
          <w:sz w:val="32"/>
          <w:szCs w:val="32"/>
          <w:highlight w:val="none"/>
        </w:rPr>
        <w:t>（如果有）</w:t>
      </w:r>
    </w:p>
    <w:p w14:paraId="50C73429">
      <w:pPr>
        <w:widowControl/>
        <w:spacing w:line="360" w:lineRule="auto"/>
        <w:ind w:firstLine="120" w:firstLineChars="50"/>
        <w:jc w:val="lef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若投标人</w:t>
      </w:r>
      <w:r>
        <w:rPr>
          <w:rFonts w:hint="eastAsia" w:ascii="宋体" w:hAnsi="宋体" w:eastAsia="宋体" w:cs="宋体"/>
          <w:b/>
          <w:color w:val="auto"/>
          <w:sz w:val="24"/>
          <w:highlight w:val="none"/>
        </w:rPr>
        <w:t>报价</w:t>
      </w:r>
      <w:r>
        <w:rPr>
          <w:rFonts w:hint="eastAsia" w:ascii="宋体" w:hAnsi="宋体" w:eastAsia="宋体" w:cs="宋体"/>
          <w:b/>
          <w:color w:val="auto"/>
          <w:sz w:val="24"/>
          <w:highlight w:val="none"/>
          <w:lang w:val="en-US" w:eastAsia="zh-CN"/>
        </w:rPr>
        <w:t>低于本项目预算50%</w:t>
      </w:r>
      <w:r>
        <w:rPr>
          <w:rFonts w:hint="eastAsia" w:ascii="宋体" w:hAnsi="宋体" w:eastAsia="宋体" w:cs="宋体"/>
          <w:b/>
          <w:color w:val="auto"/>
          <w:sz w:val="24"/>
          <w:highlight w:val="none"/>
        </w:rPr>
        <w:t>，有可能影响产品质量或者不能诚信履约的，</w:t>
      </w:r>
      <w:r>
        <w:rPr>
          <w:rFonts w:hint="eastAsia" w:ascii="宋体" w:hAnsi="宋体" w:eastAsia="宋体" w:cs="宋体"/>
          <w:b/>
          <w:color w:val="auto"/>
          <w:sz w:val="24"/>
          <w:highlight w:val="none"/>
          <w:lang w:val="en-US" w:eastAsia="zh-CN"/>
        </w:rPr>
        <w:t>建议</w:t>
      </w:r>
      <w:r>
        <w:rPr>
          <w:rFonts w:hint="eastAsia" w:ascii="宋体" w:hAnsi="宋体" w:eastAsia="宋体" w:cs="宋体"/>
          <w:b/>
          <w:color w:val="auto"/>
          <w:sz w:val="24"/>
          <w:highlight w:val="none"/>
        </w:rPr>
        <w:t>提供书面说明或者提交相关证明材料证明其报价合理性的</w:t>
      </w:r>
      <w:r>
        <w:rPr>
          <w:rFonts w:hint="eastAsia" w:ascii="宋体" w:hAnsi="宋体" w:eastAsia="宋体" w:cs="宋体"/>
          <w:b/>
          <w:color w:val="auto"/>
          <w:sz w:val="24"/>
          <w:highlight w:val="none"/>
          <w:lang w:eastAsia="zh-CN"/>
        </w:rPr>
        <w:t>。</w:t>
      </w:r>
    </w:p>
    <w:p w14:paraId="3509463B">
      <w:pPr>
        <w:bidi w:val="0"/>
        <w:rPr>
          <w:rFonts w:hint="default"/>
          <w:color w:val="auto"/>
          <w:highlight w:val="none"/>
          <w:lang w:val="en-US" w:eastAsia="zh-CN"/>
        </w:rPr>
      </w:pPr>
    </w:p>
    <w:p w14:paraId="41F97215">
      <w:pPr>
        <w:pStyle w:val="695"/>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3957E924">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bookmarkStart w:id="396" w:name="_Toc465665161"/>
      <w:r>
        <w:rPr>
          <w:rFonts w:hint="eastAsia" w:ascii="宋体" w:hAnsi="宋体" w:cs="宋体"/>
          <w:color w:val="auto"/>
          <w:highlight w:val="none"/>
        </w:rPr>
        <w:t>附件</w:t>
      </w:r>
      <w:bookmarkEnd w:id="396"/>
    </w:p>
    <w:p w14:paraId="026D9307">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BD87CEF">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14:paraId="410D8DDF">
      <w:pPr>
        <w:spacing w:line="360" w:lineRule="auto"/>
        <w:rPr>
          <w:rFonts w:hint="eastAsia" w:ascii="宋体" w:hAnsi="宋体" w:cs="宋体"/>
          <w:b/>
          <w:color w:val="auto"/>
          <w:spacing w:val="6"/>
          <w:sz w:val="30"/>
          <w:szCs w:val="30"/>
          <w:highlight w:val="none"/>
        </w:rPr>
      </w:pPr>
    </w:p>
    <w:p w14:paraId="2E74A4FC">
      <w:pPr>
        <w:tabs>
          <w:tab w:val="left" w:pos="4860"/>
        </w:tabs>
        <w:spacing w:line="360" w:lineRule="auto"/>
        <w:ind w:right="450" w:rightChars="0" w:firstLine="480" w:firstLineChars="200"/>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kern w:val="0"/>
          <w:sz w:val="24"/>
          <w:highlight w:val="none"/>
          <w:u w:val="single"/>
          <w:lang w:val="zh-CN"/>
        </w:rPr>
        <w:t>浙江省交通运输厅</w:t>
      </w:r>
      <w:r>
        <w:rPr>
          <w:rFonts w:hint="eastAsia" w:ascii="宋体" w:hAnsi="宋体" w:eastAsia="宋体" w:cs="宋体"/>
          <w:color w:val="auto"/>
          <w:kern w:val="0"/>
          <w:sz w:val="24"/>
          <w:highlight w:val="none"/>
          <w:u w:val="single"/>
          <w:lang w:val="zh-CN"/>
        </w:rPr>
        <w:t>（</w:t>
      </w:r>
      <w:r>
        <w:rPr>
          <w:rFonts w:hint="eastAsia" w:ascii="宋体" w:hAnsi="宋体" w:eastAsia="宋体" w:cs="宋体"/>
          <w:color w:val="auto"/>
          <w:kern w:val="0"/>
          <w:sz w:val="24"/>
          <w:highlight w:val="none"/>
          <w:lang w:val="zh-CN"/>
        </w:rPr>
        <w:t>采购人）单位的</w:t>
      </w:r>
      <w:r>
        <w:rPr>
          <w:rFonts w:hint="eastAsia" w:ascii="宋体" w:hAnsi="宋体" w:cs="宋体"/>
          <w:color w:val="auto"/>
          <w:kern w:val="0"/>
          <w:sz w:val="24"/>
          <w:highlight w:val="none"/>
          <w:u w:val="single"/>
          <w:lang w:val="zh-CN"/>
        </w:rPr>
        <w:t>浙江省交通运输数智信用综合服务</w:t>
      </w:r>
      <w:r>
        <w:rPr>
          <w:rFonts w:hint="eastAsia" w:ascii="宋体" w:hAnsi="宋体" w:eastAsia="宋体" w:cs="宋体"/>
          <w:color w:val="auto"/>
          <w:kern w:val="0"/>
          <w:sz w:val="24"/>
          <w:highlight w:val="none"/>
          <w:lang w:val="zh-CN"/>
        </w:rPr>
        <w:t>（项目名称）项目由本单位提供服务。</w:t>
      </w:r>
    </w:p>
    <w:p w14:paraId="4EC38097">
      <w:pPr>
        <w:tabs>
          <w:tab w:val="left" w:pos="4860"/>
        </w:tabs>
        <w:spacing w:line="360" w:lineRule="auto"/>
        <w:ind w:right="1560" w:firstLine="480" w:firstLineChars="200"/>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本单位对上述声明的真实性负责。如有虚假，将依法承担相应责任。</w:t>
      </w:r>
    </w:p>
    <w:p w14:paraId="02E34320">
      <w:pPr>
        <w:adjustRightInd w:val="0"/>
        <w:snapToGrid w:val="0"/>
        <w:spacing w:line="288" w:lineRule="auto"/>
        <w:rPr>
          <w:rFonts w:hint="eastAsia" w:ascii="宋体" w:hAnsi="宋体" w:eastAsia="宋体"/>
          <w:color w:val="auto"/>
          <w:szCs w:val="21"/>
          <w:highlight w:val="none"/>
          <w:lang w:eastAsia="zh-CN"/>
        </w:rPr>
      </w:pPr>
    </w:p>
    <w:p w14:paraId="5555686D">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971E0D9">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1F979E2D">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说明：</w:t>
      </w:r>
    </w:p>
    <w:p w14:paraId="72888D6F">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一、享受政府采购支持政策的残疾人福利性单位应当同时满足以下条件：</w:t>
      </w:r>
    </w:p>
    <w:p w14:paraId="7B46D41D">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（一）安置的残疾人占本单位在职职工人数的比例不低于25%（含25%），并且安置的残疾人人数不少于10人（含10人）；</w:t>
      </w:r>
    </w:p>
    <w:p w14:paraId="2E459439">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（二）依法与安置的每位残疾人签订了一年以上（含一年）的劳动合同或服务协议；</w:t>
      </w:r>
    </w:p>
    <w:p w14:paraId="3A9BAB70">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（三）为安置的每位残疾人按月足额缴纳了基本养老保险、基本医疗保险、失业保险、工伤保险和生育保险等社会保险费；</w:t>
      </w:r>
    </w:p>
    <w:p w14:paraId="03ED6974">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（四）通过银行等金融机构向安置的每位残疾人，按月支付了不低于单位所在区县适用的经省级人民政府批准的月最低工资标准的工资；</w:t>
      </w:r>
    </w:p>
    <w:p w14:paraId="61675287">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（五）提供本单位制造的货物、承担的工程或者服务（以下简称产品），或者提供其他残疾人福利性单位制造的货物（不包括使用非残疾人福利性单位注册商标的货物）。</w:t>
      </w:r>
    </w:p>
    <w:p w14:paraId="1A9447D0">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CD114B3">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二、符合条件的残疾人福利性单位在参加政府采购活动时，应当提供财库[2017]141号文件规定的《残疾人福利性单位声明函》，并对声明的真实性负责。</w:t>
      </w:r>
    </w:p>
    <w:p w14:paraId="2D0D59F8">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三、在政府采购活动中，残疾人福利性单位视同小型、微型企业，享受预留份额、评审中价格扣除等促进中小企业发展的政府采购政策。</w:t>
      </w:r>
    </w:p>
    <w:p w14:paraId="29F5BCD0">
      <w:pPr>
        <w:tabs>
          <w:tab w:val="left" w:pos="4860"/>
        </w:tabs>
        <w:spacing w:line="360" w:lineRule="auto"/>
        <w:ind w:right="156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残疾人福利性单位属于小型、微型企业的，不重复享受政策。</w:t>
      </w:r>
    </w:p>
    <w:p w14:paraId="5BA146F9">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15874BA">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A468498">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1D01F01">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355049A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D1EE65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4632F1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B0058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6F114B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92C153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171068A">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6AFFDDE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D1AB3B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5BEA97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82659A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D189AAE">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454F940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38C6AF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EDDA24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18B0437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9CCCA9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02B42E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1A65FAD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0E589713">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86C7B5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FC1052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6691BF9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4E1E6B17">
      <w:pPr>
        <w:spacing w:line="360" w:lineRule="auto"/>
        <w:jc w:val="center"/>
        <w:rPr>
          <w:rFonts w:hint="eastAsia" w:ascii="宋体" w:hAnsi="宋体" w:cs="宋体"/>
          <w:b/>
          <w:bCs/>
          <w:color w:val="auto"/>
          <w:sz w:val="24"/>
          <w:highlight w:val="none"/>
        </w:rPr>
      </w:pPr>
    </w:p>
    <w:p w14:paraId="1F6AD968">
      <w:pPr>
        <w:spacing w:line="360" w:lineRule="auto"/>
        <w:rPr>
          <w:rFonts w:hint="eastAsia" w:ascii="宋体" w:hAnsi="宋体" w:cs="宋体"/>
          <w:b/>
          <w:color w:val="auto"/>
          <w:sz w:val="24"/>
          <w:highlight w:val="none"/>
        </w:rPr>
      </w:pPr>
    </w:p>
    <w:p w14:paraId="6FCD258F">
      <w:pPr>
        <w:spacing w:line="360" w:lineRule="auto"/>
        <w:rPr>
          <w:rFonts w:hint="eastAsia" w:ascii="宋体" w:hAnsi="宋体" w:cs="宋体"/>
          <w:b/>
          <w:color w:val="auto"/>
          <w:sz w:val="24"/>
          <w:highlight w:val="none"/>
        </w:rPr>
      </w:pPr>
    </w:p>
    <w:p w14:paraId="2DDBCD84">
      <w:pPr>
        <w:spacing w:line="360" w:lineRule="auto"/>
        <w:rPr>
          <w:rFonts w:hint="eastAsia" w:ascii="宋体" w:hAnsi="宋体" w:cs="宋体"/>
          <w:b/>
          <w:color w:val="auto"/>
          <w:sz w:val="24"/>
          <w:highlight w:val="none"/>
        </w:rPr>
      </w:pPr>
    </w:p>
    <w:p w14:paraId="754B8FD6">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046B5EF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789C9E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908EB7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1CF7BD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AFCD8F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4A3112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2CB2152">
      <w:pPr>
        <w:widowControl/>
        <w:spacing w:line="360" w:lineRule="auto"/>
        <w:ind w:firstLine="600" w:firstLineChars="200"/>
        <w:jc w:val="left"/>
        <w:rPr>
          <w:rFonts w:hint="eastAsia" w:ascii="宋体" w:hAnsi="宋体" w:cs="宋体"/>
          <w:color w:val="auto"/>
          <w:sz w:val="30"/>
          <w:szCs w:val="30"/>
          <w:highlight w:val="none"/>
        </w:rPr>
      </w:pPr>
    </w:p>
    <w:p w14:paraId="27725B4E">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6DAD957">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7DCAAC1">
      <w:pPr>
        <w:spacing w:line="360" w:lineRule="auto"/>
        <w:jc w:val="center"/>
        <w:rPr>
          <w:rFonts w:hint="eastAsia" w:ascii="宋体" w:hAnsi="宋体" w:cs="宋体"/>
          <w:b/>
          <w:color w:val="auto"/>
          <w:sz w:val="24"/>
          <w:highlight w:val="none"/>
        </w:rPr>
      </w:pPr>
    </w:p>
    <w:p w14:paraId="0B6670C4">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718B7D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4B01457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963559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9A5300A">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89053E1">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968C12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073973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27F04F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4D45C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EFBFE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C8D9440">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5F2858E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5DEFC3E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A61D22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87411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62A0DE">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23E2F31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EBE477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F4CD918">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00CD3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E1EC1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18A916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AB7ECD5">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1D17B139">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2B5B3F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D18D3A7">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B2B1FF4">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456214D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D494952">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08C91B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0A504D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DBC755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71E05E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4B0C2DE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1486DC3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6B3A3C88">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5B8603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2A777E5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4A36891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030FFBD3">
      <w:pPr>
        <w:spacing w:line="360" w:lineRule="auto"/>
        <w:rPr>
          <w:rFonts w:hint="eastAsia" w:ascii="宋体" w:hAnsi="宋体" w:cs="宋体"/>
          <w:b/>
          <w:color w:val="auto"/>
          <w:sz w:val="24"/>
          <w:highlight w:val="none"/>
        </w:rPr>
      </w:pPr>
    </w:p>
    <w:p w14:paraId="21F598E8">
      <w:pPr>
        <w:spacing w:line="360" w:lineRule="auto"/>
        <w:rPr>
          <w:rFonts w:hint="eastAsia" w:ascii="宋体" w:hAnsi="宋体" w:cs="宋体"/>
          <w:b/>
          <w:color w:val="auto"/>
          <w:sz w:val="24"/>
          <w:highlight w:val="none"/>
        </w:rPr>
      </w:pPr>
    </w:p>
    <w:p w14:paraId="6E576B9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14C676F7">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7A0DC5B">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089F0B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48C01B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C481CC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E07303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D09F46E">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1E10BF6">
      <w:pPr>
        <w:spacing w:line="360" w:lineRule="auto"/>
        <w:rPr>
          <w:rFonts w:hint="eastAsia" w:ascii="宋体" w:hAnsi="宋体" w:cs="宋体"/>
          <w:b/>
          <w:color w:val="auto"/>
          <w:sz w:val="24"/>
          <w:highlight w:val="none"/>
        </w:rPr>
      </w:pPr>
    </w:p>
    <w:p w14:paraId="4F27627A">
      <w:pPr>
        <w:autoSpaceDE w:val="0"/>
        <w:autoSpaceDN w:val="0"/>
        <w:jc w:val="center"/>
        <w:rPr>
          <w:rFonts w:hint="eastAsia" w:ascii="宋体" w:hAnsi="宋体" w:cs="宋体"/>
          <w:b/>
          <w:color w:val="auto"/>
          <w:spacing w:val="6"/>
          <w:sz w:val="32"/>
          <w:szCs w:val="32"/>
          <w:highlight w:val="none"/>
        </w:rPr>
      </w:pPr>
    </w:p>
    <w:p w14:paraId="67B32E5D">
      <w:pPr>
        <w:autoSpaceDE w:val="0"/>
        <w:autoSpaceDN w:val="0"/>
        <w:jc w:val="center"/>
        <w:rPr>
          <w:rFonts w:hint="eastAsia" w:ascii="宋体" w:hAnsi="宋体" w:cs="宋体"/>
          <w:b/>
          <w:color w:val="auto"/>
          <w:spacing w:val="6"/>
          <w:sz w:val="32"/>
          <w:szCs w:val="32"/>
          <w:highlight w:val="none"/>
        </w:rPr>
      </w:pPr>
    </w:p>
    <w:p w14:paraId="3D1DC2AC">
      <w:pPr>
        <w:autoSpaceDE w:val="0"/>
        <w:autoSpaceDN w:val="0"/>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1DC6F99">
      <w:pPr>
        <w:spacing w:line="360" w:lineRule="auto"/>
        <w:rPr>
          <w:rFonts w:hint="eastAsia" w:ascii="宋体" w:hAnsi="宋体" w:cs="宋体"/>
          <w:color w:val="auto"/>
          <w:sz w:val="24"/>
          <w:highlight w:val="none"/>
          <w:u w:val="single"/>
        </w:rPr>
      </w:pPr>
    </w:p>
    <w:p w14:paraId="22C1C80E">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lang w:eastAsia="zh-CN"/>
        </w:rPr>
        <w:t>浙江省交通运输厅</w:t>
      </w:r>
      <w:r>
        <w:rPr>
          <w:rFonts w:hint="eastAsia" w:ascii="宋体" w:hAnsi="宋体" w:cs="宋体"/>
          <w:color w:val="auto"/>
          <w:sz w:val="24"/>
          <w:highlight w:val="none"/>
          <w:u w:val="single"/>
        </w:rPr>
        <w:t>、浙江华耀建设咨询有限公司：</w:t>
      </w:r>
    </w:p>
    <w:p w14:paraId="158984F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lang w:eastAsia="zh-CN"/>
        </w:rPr>
        <w:t>浙江省交通运输数智信用综合服务</w:t>
      </w:r>
      <w:r>
        <w:rPr>
          <w:rFonts w:hint="eastAsia" w:ascii="宋体" w:hAnsi="宋体" w:cs="宋体"/>
          <w:color w:val="auto"/>
          <w:sz w:val="24"/>
          <w:highlight w:val="none"/>
        </w:rPr>
        <w:t>【招标编号：</w:t>
      </w:r>
      <w:r>
        <w:rPr>
          <w:rFonts w:hint="default" w:ascii="宋体" w:hAnsi="宋体" w:cs="宋体"/>
          <w:color w:val="auto"/>
          <w:sz w:val="24"/>
          <w:highlight w:val="none"/>
          <w:u w:val="single"/>
          <w:lang w:val="en-US" w:eastAsia="zh-CN"/>
        </w:rPr>
        <w:t>ZJHY-SJTYST-202501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B03C5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09D4AB10">
      <w:pPr>
        <w:spacing w:line="360" w:lineRule="auto"/>
        <w:ind w:firstLine="494"/>
        <w:rPr>
          <w:rFonts w:hint="eastAsia" w:ascii="宋体" w:hAnsi="宋体" w:cs="宋体"/>
          <w:color w:val="auto"/>
          <w:sz w:val="24"/>
          <w:highlight w:val="none"/>
        </w:rPr>
      </w:pPr>
    </w:p>
    <w:p w14:paraId="4C853327">
      <w:pPr>
        <w:spacing w:line="360" w:lineRule="auto"/>
        <w:ind w:firstLine="494"/>
        <w:rPr>
          <w:rFonts w:hint="eastAsia" w:ascii="宋体" w:hAnsi="宋体" w:cs="宋体"/>
          <w:color w:val="auto"/>
          <w:sz w:val="24"/>
          <w:highlight w:val="none"/>
        </w:rPr>
      </w:pPr>
    </w:p>
    <w:p w14:paraId="4B78A17A">
      <w:pPr>
        <w:spacing w:line="360" w:lineRule="auto"/>
        <w:ind w:firstLine="494"/>
        <w:rPr>
          <w:rFonts w:hint="eastAsia" w:ascii="宋体" w:hAnsi="宋体" w:cs="宋体"/>
          <w:color w:val="auto"/>
          <w:sz w:val="24"/>
          <w:highlight w:val="none"/>
        </w:rPr>
      </w:pPr>
    </w:p>
    <w:p w14:paraId="4A2CE618">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181418AD">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5F55FED3">
      <w:pPr>
        <w:rPr>
          <w:rFonts w:hint="eastAsia" w:ascii="宋体" w:hAnsi="宋体" w:cs="宋体"/>
          <w:color w:val="auto"/>
          <w:sz w:val="24"/>
          <w:highlight w:val="none"/>
        </w:rPr>
      </w:pPr>
      <w:r>
        <w:rPr>
          <w:rFonts w:hint="eastAsia" w:ascii="宋体" w:hAnsi="宋体" w:cs="宋体"/>
          <w:b/>
          <w:bCs/>
          <w:color w:val="auto"/>
          <w:sz w:val="24"/>
          <w:highlight w:val="none"/>
        </w:rPr>
        <w:t>附：</w:t>
      </w:r>
    </w:p>
    <w:p w14:paraId="49C71E7F">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3FD62C8">
      <w:pPr>
        <w:autoSpaceDE w:val="0"/>
        <w:autoSpaceDN w:val="0"/>
        <w:jc w:val="center"/>
        <w:rPr>
          <w:rFonts w:hint="eastAsia" w:ascii="宋体" w:hAnsi="宋体" w:cs="宋体"/>
          <w:b/>
          <w:color w:val="auto"/>
          <w:spacing w:val="6"/>
          <w:sz w:val="32"/>
          <w:szCs w:val="32"/>
          <w:highlight w:val="none"/>
        </w:rPr>
      </w:pPr>
    </w:p>
    <w:p w14:paraId="78DD6DC3">
      <w:pPr>
        <w:autoSpaceDE w:val="0"/>
        <w:autoSpaceDN w:val="0"/>
        <w:jc w:val="center"/>
        <w:rPr>
          <w:rFonts w:hint="eastAsia" w:ascii="宋体" w:hAnsi="宋体" w:cs="宋体"/>
          <w:b/>
          <w:color w:val="auto"/>
          <w:spacing w:val="6"/>
          <w:sz w:val="32"/>
          <w:szCs w:val="32"/>
          <w:highlight w:val="none"/>
        </w:rPr>
      </w:pPr>
    </w:p>
    <w:p w14:paraId="6D48F3BE">
      <w:pPr>
        <w:autoSpaceDE w:val="0"/>
        <w:autoSpaceDN w:val="0"/>
        <w:jc w:val="center"/>
        <w:rPr>
          <w:rFonts w:hint="eastAsia" w:ascii="宋体" w:hAnsi="宋体" w:cs="宋体"/>
          <w:b/>
          <w:color w:val="auto"/>
          <w:spacing w:val="6"/>
          <w:sz w:val="32"/>
          <w:szCs w:val="32"/>
          <w:highlight w:val="none"/>
        </w:rPr>
      </w:pPr>
    </w:p>
    <w:p w14:paraId="0029FF35">
      <w:pPr>
        <w:autoSpaceDE w:val="0"/>
        <w:autoSpaceDN w:val="0"/>
        <w:jc w:val="center"/>
        <w:rPr>
          <w:rFonts w:hint="eastAsia" w:ascii="宋体" w:hAnsi="宋体" w:cs="宋体"/>
          <w:b/>
          <w:color w:val="auto"/>
          <w:spacing w:val="6"/>
          <w:sz w:val="32"/>
          <w:szCs w:val="32"/>
          <w:highlight w:val="none"/>
        </w:rPr>
      </w:pPr>
    </w:p>
    <w:p w14:paraId="35B42327">
      <w:pPr>
        <w:autoSpaceDE w:val="0"/>
        <w:autoSpaceDN w:val="0"/>
        <w:jc w:val="center"/>
        <w:rPr>
          <w:rFonts w:hint="eastAsia" w:ascii="宋体" w:hAnsi="宋体" w:cs="宋体"/>
          <w:b/>
          <w:color w:val="auto"/>
          <w:spacing w:val="6"/>
          <w:sz w:val="32"/>
          <w:szCs w:val="32"/>
          <w:highlight w:val="none"/>
        </w:rPr>
      </w:pPr>
    </w:p>
    <w:p w14:paraId="47FFC306">
      <w:pPr>
        <w:autoSpaceDE w:val="0"/>
        <w:autoSpaceDN w:val="0"/>
        <w:jc w:val="center"/>
        <w:rPr>
          <w:rFonts w:hint="eastAsia" w:ascii="宋体" w:hAnsi="宋体" w:cs="宋体"/>
          <w:b/>
          <w:color w:val="auto"/>
          <w:spacing w:val="6"/>
          <w:sz w:val="32"/>
          <w:szCs w:val="32"/>
          <w:highlight w:val="none"/>
        </w:rPr>
      </w:pPr>
    </w:p>
    <w:p w14:paraId="49D4AC31">
      <w:pPr>
        <w:autoSpaceDE w:val="0"/>
        <w:autoSpaceDN w:val="0"/>
        <w:jc w:val="center"/>
        <w:rPr>
          <w:rFonts w:hint="eastAsia" w:ascii="宋体" w:hAnsi="宋体" w:cs="宋体"/>
          <w:b/>
          <w:color w:val="auto"/>
          <w:spacing w:val="6"/>
          <w:sz w:val="32"/>
          <w:szCs w:val="32"/>
          <w:highlight w:val="none"/>
        </w:rPr>
      </w:pPr>
    </w:p>
    <w:p w14:paraId="073A03B3">
      <w:pPr>
        <w:autoSpaceDE w:val="0"/>
        <w:autoSpaceDN w:val="0"/>
        <w:jc w:val="center"/>
        <w:rPr>
          <w:rFonts w:hint="eastAsia" w:ascii="宋体" w:hAnsi="宋体" w:cs="宋体"/>
          <w:b/>
          <w:color w:val="auto"/>
          <w:spacing w:val="6"/>
          <w:sz w:val="32"/>
          <w:szCs w:val="32"/>
          <w:highlight w:val="none"/>
        </w:rPr>
      </w:pPr>
    </w:p>
    <w:p w14:paraId="4DA104BB">
      <w:pPr>
        <w:autoSpaceDE w:val="0"/>
        <w:autoSpaceDN w:val="0"/>
        <w:jc w:val="center"/>
        <w:rPr>
          <w:rFonts w:hint="eastAsia" w:ascii="宋体" w:hAnsi="宋体" w:cs="宋体"/>
          <w:b/>
          <w:color w:val="auto"/>
          <w:spacing w:val="6"/>
          <w:sz w:val="32"/>
          <w:szCs w:val="32"/>
          <w:highlight w:val="none"/>
        </w:rPr>
      </w:pPr>
    </w:p>
    <w:p w14:paraId="2C4C7854">
      <w:pPr>
        <w:autoSpaceDE w:val="0"/>
        <w:autoSpaceDN w:val="0"/>
        <w:jc w:val="center"/>
        <w:rPr>
          <w:rFonts w:hint="eastAsia" w:ascii="宋体" w:hAnsi="宋体" w:cs="宋体"/>
          <w:b/>
          <w:color w:val="auto"/>
          <w:spacing w:val="6"/>
          <w:sz w:val="32"/>
          <w:szCs w:val="32"/>
          <w:highlight w:val="none"/>
        </w:rPr>
      </w:pPr>
    </w:p>
    <w:p w14:paraId="08DF4EDC">
      <w:pPr>
        <w:autoSpaceDE w:val="0"/>
        <w:autoSpaceDN w:val="0"/>
        <w:jc w:val="center"/>
        <w:rPr>
          <w:rFonts w:hint="eastAsia" w:ascii="宋体" w:hAnsi="宋体" w:cs="宋体"/>
          <w:b/>
          <w:color w:val="auto"/>
          <w:spacing w:val="6"/>
          <w:sz w:val="32"/>
          <w:szCs w:val="32"/>
          <w:highlight w:val="none"/>
        </w:rPr>
      </w:pPr>
    </w:p>
    <w:p w14:paraId="78B1AC79">
      <w:pPr>
        <w:autoSpaceDE w:val="0"/>
        <w:autoSpaceDN w:val="0"/>
        <w:jc w:val="center"/>
        <w:rPr>
          <w:rFonts w:hint="eastAsia" w:ascii="宋体" w:hAnsi="宋体" w:cs="宋体"/>
          <w:b/>
          <w:color w:val="auto"/>
          <w:spacing w:val="6"/>
          <w:sz w:val="32"/>
          <w:szCs w:val="32"/>
          <w:highlight w:val="none"/>
        </w:rPr>
      </w:pPr>
    </w:p>
    <w:p w14:paraId="574E28D9">
      <w:pPr>
        <w:autoSpaceDE w:val="0"/>
        <w:autoSpaceDN w:val="0"/>
        <w:jc w:val="center"/>
        <w:rPr>
          <w:rFonts w:hint="eastAsia" w:ascii="宋体" w:hAnsi="宋体" w:cs="宋体"/>
          <w:b/>
          <w:color w:val="auto"/>
          <w:spacing w:val="6"/>
          <w:sz w:val="32"/>
          <w:szCs w:val="32"/>
          <w:highlight w:val="none"/>
        </w:rPr>
      </w:pPr>
    </w:p>
    <w:p w14:paraId="7E480784">
      <w:pPr>
        <w:autoSpaceDE w:val="0"/>
        <w:autoSpaceDN w:val="0"/>
        <w:jc w:val="center"/>
        <w:rPr>
          <w:rFonts w:hint="eastAsia" w:ascii="宋体" w:hAnsi="宋体" w:cs="宋体"/>
          <w:b/>
          <w:color w:val="auto"/>
          <w:spacing w:val="6"/>
          <w:sz w:val="32"/>
          <w:szCs w:val="32"/>
          <w:highlight w:val="none"/>
        </w:rPr>
      </w:pPr>
    </w:p>
    <w:p w14:paraId="05EC5E81">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7D9D3A3">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7A35CBD7">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F4D0A4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浙江省交通运输数智信用综合服务</w:t>
      </w:r>
      <w:r>
        <w:rPr>
          <w:rFonts w:hint="eastAsia" w:ascii="宋体" w:hAnsi="宋体" w:cs="宋体"/>
          <w:color w:val="auto"/>
          <w:sz w:val="24"/>
          <w:highlight w:val="none"/>
        </w:rPr>
        <w:t>【招标编号：</w:t>
      </w:r>
      <w:r>
        <w:rPr>
          <w:rFonts w:hint="default" w:ascii="宋体" w:hAnsi="宋体" w:cs="宋体"/>
          <w:color w:val="auto"/>
          <w:sz w:val="24"/>
          <w:highlight w:val="none"/>
          <w:lang w:val="en-US" w:eastAsia="zh-CN"/>
        </w:rPr>
        <w:t>ZJHY-SJTYST-202501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9F2DCD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69EDA6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3249F44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6EECDF5">
      <w:pPr>
        <w:snapToGrid w:val="0"/>
        <w:spacing w:line="360" w:lineRule="auto"/>
        <w:ind w:firstLine="576"/>
        <w:rPr>
          <w:rFonts w:hint="eastAsia" w:ascii="宋体" w:hAnsi="宋体" w:cs="宋体"/>
          <w:color w:val="auto"/>
          <w:kern w:val="0"/>
          <w:sz w:val="24"/>
          <w:highlight w:val="none"/>
          <w:lang w:val="zh-CN"/>
        </w:rPr>
      </w:pPr>
      <w:bookmarkStart w:id="39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17B214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6E7B48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397"/>
    <w:p w14:paraId="49F09EB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E1CA578">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44258B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278290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53449D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C752E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EE8FC7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81C658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D14282F">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E49277E">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904AA24">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C6E8966">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AFB411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45AFCF5">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86BA00A">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5089776F">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C488A2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浙江省交通运输数智信用综合服务</w:t>
      </w:r>
      <w:r>
        <w:rPr>
          <w:rFonts w:hint="eastAsia" w:ascii="宋体" w:hAnsi="宋体" w:cs="宋体"/>
          <w:color w:val="auto"/>
          <w:sz w:val="24"/>
          <w:highlight w:val="none"/>
        </w:rPr>
        <w:t>【招标编号：</w:t>
      </w:r>
      <w:r>
        <w:rPr>
          <w:rFonts w:hint="default" w:ascii="宋体" w:hAnsi="宋体" w:cs="宋体"/>
          <w:color w:val="auto"/>
          <w:sz w:val="24"/>
          <w:highlight w:val="none"/>
          <w:lang w:val="en-US" w:eastAsia="zh-CN"/>
        </w:rPr>
        <w:t>ZJHY-SJTYST-202501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651C7B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EA44F4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C5B3169">
      <w:pPr>
        <w:rPr>
          <w:color w:val="auto"/>
          <w:highlight w:val="none"/>
        </w:rPr>
      </w:pPr>
      <w:r>
        <w:rPr>
          <w:rFonts w:hint="eastAsia"/>
          <w:color w:val="auto"/>
          <w:highlight w:val="none"/>
        </w:rPr>
        <w:t>……</w:t>
      </w:r>
    </w:p>
    <w:p w14:paraId="4F75AE3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F55F86C">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31CAD0">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39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398"/>
    </w:p>
    <w:p w14:paraId="0B201E0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CD04FD0">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2ED2CB7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E69D50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3D583E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52E9F6A">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104E29F">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02ECB9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BDA0D4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098CB4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1401CD4">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3695ACE1">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4F86D88">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0888791C">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21FE49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5BBCD31">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78A8181">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53313A4F">
      <w:pPr>
        <w:spacing w:line="360" w:lineRule="auto"/>
        <w:jc w:val="center"/>
        <w:rPr>
          <w:rFonts w:hint="eastAsia" w:ascii="宋体" w:hAnsi="宋体" w:cs="宋体"/>
          <w:color w:val="auto"/>
          <w:sz w:val="24"/>
          <w:highlight w:val="none"/>
          <w:u w:val="single"/>
        </w:rPr>
      </w:pPr>
    </w:p>
    <w:p w14:paraId="0F24D727">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E6E4E71">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76CECBA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39179B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F6EBC1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6B9F8C5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FD3F4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AC9A5C2">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9FB1509">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81EE5BF">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21EEE4C2">
      <w:pPr>
        <w:spacing w:line="360" w:lineRule="auto"/>
        <w:jc w:val="left"/>
        <w:rPr>
          <w:rFonts w:hint="eastAsia" w:ascii="宋体" w:hAnsi="宋体" w:cs="宋体"/>
          <w:b/>
          <w:color w:val="auto"/>
          <w:sz w:val="32"/>
          <w:szCs w:val="32"/>
          <w:highlight w:val="none"/>
        </w:rPr>
      </w:pPr>
      <w:r>
        <w:rPr>
          <w:rFonts w:hint="eastAsia" w:ascii="宋体" w:hAnsi="宋体" w:cs="宋体"/>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30FCC166">
      <w:pPr>
        <w:rPr>
          <w:rFonts w:hint="eastAsia" w:ascii="宋体" w:hAnsi="宋体" w:cs="宋体"/>
          <w:bCs/>
          <w:color w:val="auto"/>
          <w:sz w:val="24"/>
          <w:highlight w:val="none"/>
        </w:rPr>
      </w:pPr>
      <w:r>
        <w:rPr>
          <w:rFonts w:hint="eastAsia" w:ascii="宋体" w:hAnsi="宋体" w:cs="宋体"/>
          <w:bCs/>
          <w:color w:val="auto"/>
          <w:sz w:val="24"/>
          <w:highlight w:val="none"/>
        </w:rPr>
        <w:br w:type="page"/>
      </w:r>
    </w:p>
    <w:p w14:paraId="24EF87B7">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附件8：政府采购活动现场确认声明书</w:t>
      </w:r>
    </w:p>
    <w:p w14:paraId="5C44BB22">
      <w:pPr>
        <w:pStyle w:val="608"/>
        <w:snapToGrid w:val="0"/>
        <w:spacing w:line="400" w:lineRule="exact"/>
        <w:rPr>
          <w:rFonts w:hint="eastAsia" w:hAnsi="宋体" w:cs="宋体"/>
          <w:color w:val="auto"/>
          <w:kern w:val="0"/>
          <w:sz w:val="24"/>
          <w:szCs w:val="24"/>
          <w:highlight w:val="none"/>
          <w:u w:val="single"/>
        </w:rPr>
      </w:pPr>
    </w:p>
    <w:p w14:paraId="4450801B">
      <w:pPr>
        <w:pStyle w:val="608"/>
        <w:snapToGrid w:val="0"/>
        <w:spacing w:line="400" w:lineRule="exact"/>
        <w:rPr>
          <w:rFonts w:hint="eastAsia" w:hAnsi="宋体" w:cs="宋体"/>
          <w:b/>
          <w:color w:val="auto"/>
          <w:sz w:val="24"/>
          <w:szCs w:val="24"/>
          <w:highlight w:val="none"/>
        </w:rPr>
      </w:pPr>
      <w:r>
        <w:rPr>
          <w:rFonts w:hint="eastAsia" w:hAnsi="宋体" w:cs="宋体"/>
          <w:color w:val="auto"/>
          <w:kern w:val="0"/>
          <w:sz w:val="24"/>
          <w:szCs w:val="24"/>
          <w:highlight w:val="none"/>
          <w:u w:val="single"/>
        </w:rPr>
        <w:t>浙江华耀建设咨询有限公司</w:t>
      </w:r>
      <w:r>
        <w:rPr>
          <w:rFonts w:hint="eastAsia" w:hAnsi="宋体" w:cs="宋体"/>
          <w:color w:val="auto"/>
          <w:kern w:val="0"/>
          <w:sz w:val="24"/>
          <w:szCs w:val="24"/>
          <w:highlight w:val="none"/>
        </w:rPr>
        <w:t>：</w:t>
      </w:r>
    </w:p>
    <w:p w14:paraId="521913BD">
      <w:pPr>
        <w:pStyle w:val="608"/>
        <w:snapToGrid w:val="0"/>
        <w:spacing w:line="400" w:lineRule="exact"/>
        <w:ind w:firstLine="504" w:firstLineChars="200"/>
        <w:rPr>
          <w:rFonts w:hint="eastAsia" w:hAnsi="宋体" w:cs="宋体"/>
          <w:color w:val="auto"/>
          <w:spacing w:val="6"/>
          <w:sz w:val="24"/>
          <w:szCs w:val="24"/>
          <w:highlight w:val="none"/>
        </w:rPr>
      </w:pPr>
      <w:r>
        <w:rPr>
          <w:rFonts w:hint="eastAsia" w:hAnsi="宋体" w:cs="宋体"/>
          <w:color w:val="auto"/>
          <w:spacing w:val="6"/>
          <w:sz w:val="24"/>
          <w:szCs w:val="24"/>
          <w:highlight w:val="none"/>
        </w:rPr>
        <w:t>本人经由</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u w:val="single"/>
        </w:rPr>
        <w:t>（</w:t>
      </w:r>
      <w:r>
        <w:rPr>
          <w:rFonts w:hint="eastAsia" w:hAnsi="宋体" w:cs="宋体"/>
          <w:color w:val="auto"/>
          <w:spacing w:val="6"/>
          <w:sz w:val="24"/>
          <w:szCs w:val="24"/>
          <w:highlight w:val="none"/>
          <w:u w:val="single"/>
        </w:rPr>
        <w:t>单位）</w:t>
      </w:r>
      <w:r>
        <w:rPr>
          <w:rFonts w:hint="eastAsia" w:hAnsi="宋体" w:cs="宋体"/>
          <w:color w:val="auto"/>
          <w:spacing w:val="6"/>
          <w:sz w:val="24"/>
          <w:szCs w:val="24"/>
          <w:highlight w:val="none"/>
        </w:rPr>
        <w:t>法定代表人（负责人）</w:t>
      </w:r>
      <w:r>
        <w:rPr>
          <w:rFonts w:hint="eastAsia" w:hAnsi="宋体" w:cs="宋体"/>
          <w:color w:val="auto"/>
          <w:spacing w:val="6"/>
          <w:sz w:val="24"/>
          <w:szCs w:val="24"/>
          <w:highlight w:val="none"/>
          <w:u w:val="single"/>
        </w:rPr>
        <w:t xml:space="preserve">        （姓名）</w:t>
      </w:r>
      <w:r>
        <w:rPr>
          <w:rFonts w:hint="eastAsia" w:hAnsi="宋体" w:cs="宋体"/>
          <w:color w:val="auto"/>
          <w:spacing w:val="6"/>
          <w:sz w:val="24"/>
          <w:szCs w:val="24"/>
          <w:highlight w:val="none"/>
        </w:rPr>
        <w:t>合法授权参加</w:t>
      </w:r>
      <w:r>
        <w:rPr>
          <w:rFonts w:hint="eastAsia" w:hAnsi="宋体" w:cs="宋体"/>
          <w:color w:val="auto"/>
          <w:spacing w:val="6"/>
          <w:sz w:val="24"/>
          <w:szCs w:val="24"/>
          <w:highlight w:val="none"/>
          <w:u w:val="single"/>
          <w:lang w:eastAsia="zh-CN"/>
        </w:rPr>
        <w:t>浙江省交通运输数智信用综合服务</w:t>
      </w:r>
      <w:r>
        <w:rPr>
          <w:rFonts w:hint="eastAsia" w:hAnsi="宋体" w:cs="宋体"/>
          <w:color w:val="auto"/>
          <w:kern w:val="0"/>
          <w:sz w:val="24"/>
          <w:szCs w:val="24"/>
          <w:highlight w:val="none"/>
          <w:u w:val="single"/>
        </w:rPr>
        <w:t>（</w:t>
      </w:r>
      <w:r>
        <w:rPr>
          <w:rFonts w:hint="eastAsia" w:hAnsi="宋体" w:cs="宋体"/>
          <w:color w:val="auto"/>
          <w:spacing w:val="6"/>
          <w:sz w:val="24"/>
          <w:szCs w:val="24"/>
          <w:highlight w:val="none"/>
          <w:u w:val="single"/>
        </w:rPr>
        <w:t>项目编号：</w:t>
      </w:r>
      <w:r>
        <w:rPr>
          <w:rFonts w:hint="default" w:hAnsi="宋体" w:cs="宋体"/>
          <w:color w:val="auto"/>
          <w:spacing w:val="6"/>
          <w:sz w:val="24"/>
          <w:szCs w:val="24"/>
          <w:highlight w:val="none"/>
          <w:u w:val="single"/>
          <w:lang w:val="en-US" w:eastAsia="zh-CN"/>
        </w:rPr>
        <w:t>ZJHY-SJTYST-202501</w:t>
      </w:r>
      <w:r>
        <w:rPr>
          <w:rFonts w:hint="eastAsia" w:hAnsi="宋体" w:cs="宋体"/>
          <w:color w:val="auto"/>
          <w:spacing w:val="6"/>
          <w:sz w:val="24"/>
          <w:szCs w:val="24"/>
          <w:highlight w:val="none"/>
          <w:u w:val="single"/>
        </w:rPr>
        <w:t>）</w:t>
      </w:r>
      <w:r>
        <w:rPr>
          <w:rFonts w:hint="eastAsia" w:hAnsi="宋体" w:cs="宋体"/>
          <w:color w:val="auto"/>
          <w:spacing w:val="6"/>
          <w:sz w:val="24"/>
          <w:szCs w:val="24"/>
          <w:highlight w:val="none"/>
        </w:rPr>
        <w:t xml:space="preserve">政府采购活动，经与本单位法定代表人（负责人）联系确认，现就有关公平竞争事项郑重声明如下： </w:t>
      </w:r>
    </w:p>
    <w:p w14:paraId="25D42BD3">
      <w:pPr>
        <w:pStyle w:val="608"/>
        <w:numPr>
          <w:ilvl w:val="0"/>
          <w:numId w:val="3"/>
        </w:numPr>
        <w:snapToGrid w:val="0"/>
        <w:spacing w:line="400" w:lineRule="exact"/>
        <w:ind w:firstLine="240"/>
        <w:rPr>
          <w:rFonts w:hint="eastAsia" w:hAnsi="宋体" w:cs="宋体"/>
          <w:color w:val="auto"/>
          <w:kern w:val="0"/>
          <w:sz w:val="24"/>
          <w:szCs w:val="24"/>
          <w:highlight w:val="none"/>
        </w:rPr>
      </w:pPr>
      <w:r>
        <w:rPr>
          <w:rFonts w:hint="eastAsia" w:hAnsi="宋体" w:cs="宋体"/>
          <w:color w:val="auto"/>
          <w:kern w:val="0"/>
          <w:sz w:val="24"/>
          <w:szCs w:val="24"/>
          <w:highlight w:val="none"/>
        </w:rPr>
        <w:t>本单位与采购人之间□不存在利害关系 □存在下列利害关系</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rPr>
        <w:t>：</w:t>
      </w:r>
    </w:p>
    <w:p w14:paraId="5741E783">
      <w:pPr>
        <w:pStyle w:val="608"/>
        <w:snapToGrid w:val="0"/>
        <w:spacing w:line="400" w:lineRule="exact"/>
        <w:ind w:firstLine="240" w:firstLineChars="100"/>
        <w:rPr>
          <w:rFonts w:hint="eastAsia" w:hAnsi="宋体" w:cs="宋体"/>
          <w:color w:val="auto"/>
          <w:kern w:val="0"/>
          <w:sz w:val="24"/>
          <w:szCs w:val="24"/>
          <w:highlight w:val="none"/>
        </w:rPr>
      </w:pPr>
      <w:r>
        <w:rPr>
          <w:rFonts w:hint="eastAsia" w:hAnsi="宋体" w:cs="宋体"/>
          <w:color w:val="auto"/>
          <w:kern w:val="0"/>
          <w:sz w:val="24"/>
          <w:szCs w:val="24"/>
          <w:highlight w:val="none"/>
        </w:rPr>
        <w:t>A.投资关系    B.行政隶属关系    C.业务指导关系</w:t>
      </w:r>
    </w:p>
    <w:p w14:paraId="2B5AF346">
      <w:pPr>
        <w:pStyle w:val="608"/>
        <w:snapToGrid w:val="0"/>
        <w:spacing w:line="400" w:lineRule="exact"/>
        <w:ind w:firstLine="240" w:firstLineChars="100"/>
        <w:rPr>
          <w:rFonts w:hint="eastAsia" w:hAnsi="宋体" w:cs="宋体"/>
          <w:color w:val="auto"/>
          <w:kern w:val="0"/>
          <w:sz w:val="24"/>
          <w:szCs w:val="24"/>
          <w:highlight w:val="none"/>
        </w:rPr>
      </w:pPr>
      <w:r>
        <w:rPr>
          <w:rFonts w:hint="eastAsia" w:hAnsi="宋体" w:cs="宋体"/>
          <w:color w:val="auto"/>
          <w:kern w:val="0"/>
          <w:sz w:val="24"/>
          <w:szCs w:val="24"/>
          <w:highlight w:val="none"/>
        </w:rPr>
        <w:t>D.其他可能</w:t>
      </w:r>
      <w:r>
        <w:rPr>
          <w:rFonts w:hint="eastAsia" w:hAnsi="宋体" w:cs="宋体"/>
          <w:color w:val="auto"/>
          <w:sz w:val="24"/>
          <w:szCs w:val="24"/>
          <w:highlight w:val="none"/>
        </w:rPr>
        <w:t>影响采购公正的</w:t>
      </w:r>
      <w:r>
        <w:rPr>
          <w:rFonts w:hint="eastAsia" w:hAnsi="宋体" w:cs="宋体"/>
          <w:color w:val="auto"/>
          <w:kern w:val="0"/>
          <w:sz w:val="24"/>
          <w:szCs w:val="24"/>
          <w:highlight w:val="none"/>
        </w:rPr>
        <w:t>利害关系</w:t>
      </w:r>
      <w:r>
        <w:rPr>
          <w:rFonts w:hint="eastAsia" w:hAnsi="宋体" w:cs="宋体"/>
          <w:color w:val="auto"/>
          <w:kern w:val="0"/>
          <w:sz w:val="24"/>
          <w:szCs w:val="24"/>
          <w:highlight w:val="none"/>
          <w:u w:val="single"/>
        </w:rPr>
        <w:t xml:space="preserve">（如有，请如实说明）                 </w:t>
      </w:r>
      <w:r>
        <w:rPr>
          <w:rFonts w:hint="eastAsia" w:hAnsi="宋体" w:cs="宋体"/>
          <w:color w:val="auto"/>
          <w:kern w:val="0"/>
          <w:sz w:val="24"/>
          <w:szCs w:val="24"/>
          <w:highlight w:val="none"/>
        </w:rPr>
        <w:t>。</w:t>
      </w:r>
    </w:p>
    <w:p w14:paraId="29EA1749">
      <w:pPr>
        <w:pStyle w:val="609"/>
        <w:widowControl/>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spacing w:val="6"/>
          <w:sz w:val="24"/>
          <w:szCs w:val="24"/>
          <w:highlight w:val="none"/>
        </w:rPr>
        <w:t xml:space="preserve">  二、</w:t>
      </w:r>
      <w:r>
        <w:rPr>
          <w:rFonts w:hint="eastAsia" w:ascii="宋体" w:hAnsi="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4"/>
          <w:szCs w:val="24"/>
          <w:highlight w:val="none"/>
          <w:u w:val="single"/>
        </w:rPr>
        <w:t xml:space="preserve">           （供应商名称）</w:t>
      </w:r>
      <w:r>
        <w:rPr>
          <w:rFonts w:hint="eastAsia" w:ascii="宋体" w:hAnsi="宋体" w:cs="宋体"/>
          <w:color w:val="auto"/>
          <w:kern w:val="0"/>
          <w:sz w:val="24"/>
          <w:szCs w:val="24"/>
          <w:highlight w:val="none"/>
        </w:rPr>
        <w:t>之间存在下列利害关系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01F2BAE">
      <w:pPr>
        <w:pStyle w:val="608"/>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A.法定代表人或负责人或实际控制人是同一人</w:t>
      </w:r>
    </w:p>
    <w:p w14:paraId="173B82C3">
      <w:pPr>
        <w:pStyle w:val="608"/>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B.法定代表人或负责人或实际控制人是夫妻关系</w:t>
      </w:r>
    </w:p>
    <w:p w14:paraId="693A74C5">
      <w:pPr>
        <w:pStyle w:val="608"/>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C.法定代表人或负责人或实际控制人是直系血亲关系</w:t>
      </w:r>
    </w:p>
    <w:p w14:paraId="0B830C0C">
      <w:pPr>
        <w:pStyle w:val="608"/>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D.法定代表人或负责人或实际控制人存在三代以内旁系血亲关系</w:t>
      </w:r>
    </w:p>
    <w:p w14:paraId="6BEC6D35">
      <w:pPr>
        <w:pStyle w:val="608"/>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E.法定代表人或负责人或实际控制人存在近姻亲关系</w:t>
      </w:r>
    </w:p>
    <w:p w14:paraId="636F29C0">
      <w:pPr>
        <w:pStyle w:val="608"/>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F.法定代表人或负责人或实际控制人存在股份控制或实际控制关系</w:t>
      </w:r>
    </w:p>
    <w:p w14:paraId="3B0CFC6A">
      <w:pPr>
        <w:pStyle w:val="608"/>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G.存在共同直接或间接投资设立子公司、联营企业和合营企业情况</w:t>
      </w:r>
    </w:p>
    <w:p w14:paraId="537197F9">
      <w:pPr>
        <w:pStyle w:val="608"/>
        <w:snapToGrid w:val="0"/>
        <w:spacing w:line="400" w:lineRule="exact"/>
        <w:rPr>
          <w:rFonts w:hint="eastAsia" w:hAnsi="宋体" w:cs="宋体"/>
          <w:color w:val="auto"/>
          <w:sz w:val="24"/>
          <w:szCs w:val="24"/>
          <w:highlight w:val="none"/>
        </w:rPr>
      </w:pPr>
      <w:r>
        <w:rPr>
          <w:rFonts w:hint="eastAsia" w:hAnsi="宋体" w:cs="宋体"/>
          <w:color w:val="auto"/>
          <w:kern w:val="0"/>
          <w:sz w:val="24"/>
          <w:szCs w:val="24"/>
          <w:highlight w:val="none"/>
        </w:rPr>
        <w:t xml:space="preserve">  H.存在分级代理或代销关系、同一生产制造商关系、</w:t>
      </w:r>
      <w:r>
        <w:rPr>
          <w:rFonts w:hint="eastAsia" w:hAnsi="宋体" w:cs="宋体"/>
          <w:color w:val="auto"/>
          <w:sz w:val="24"/>
          <w:szCs w:val="24"/>
          <w:highlight w:val="none"/>
        </w:rPr>
        <w:t>管理关系、重要业务（占主营业务收入50%以上）或重要财务往来关系（如融资）等其他实质性控制关系</w:t>
      </w:r>
    </w:p>
    <w:p w14:paraId="1BA4953A">
      <w:pPr>
        <w:pStyle w:val="608"/>
        <w:snapToGrid w:val="0"/>
        <w:spacing w:line="400" w:lineRule="exact"/>
        <w:rPr>
          <w:rFonts w:hint="eastAsia" w:hAnsi="宋体" w:cs="宋体"/>
          <w:color w:val="auto"/>
          <w:spacing w:val="6"/>
          <w:sz w:val="24"/>
          <w:szCs w:val="24"/>
          <w:highlight w:val="none"/>
        </w:rPr>
      </w:pPr>
      <w:r>
        <w:rPr>
          <w:rFonts w:hint="eastAsia" w:hAnsi="宋体" w:cs="宋体"/>
          <w:color w:val="auto"/>
          <w:sz w:val="24"/>
          <w:szCs w:val="24"/>
          <w:highlight w:val="none"/>
        </w:rPr>
        <w:t xml:space="preserve">    I</w:t>
      </w:r>
      <w:r>
        <w:rPr>
          <w:rFonts w:hint="eastAsia" w:hAnsi="宋体" w:cs="宋体"/>
          <w:color w:val="auto"/>
          <w:kern w:val="0"/>
          <w:sz w:val="24"/>
          <w:szCs w:val="24"/>
          <w:highlight w:val="none"/>
        </w:rPr>
        <w:t>.</w:t>
      </w:r>
      <w:r>
        <w:rPr>
          <w:rFonts w:hint="eastAsia" w:hAnsi="宋体" w:cs="宋体"/>
          <w:color w:val="auto"/>
          <w:sz w:val="24"/>
          <w:szCs w:val="24"/>
          <w:highlight w:val="none"/>
        </w:rPr>
        <w:t>其他利害关系情况</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rPr>
        <w:t>。</w:t>
      </w:r>
    </w:p>
    <w:p w14:paraId="5339627F">
      <w:pPr>
        <w:pStyle w:val="609"/>
        <w:widowControl/>
        <w:numPr>
          <w:ilvl w:val="0"/>
          <w:numId w:val="4"/>
        </w:numPr>
        <w:snapToGrid w:val="0"/>
        <w:spacing w:line="400" w:lineRule="exact"/>
        <w:ind w:firstLine="453" w:firstLineChars="189"/>
        <w:rPr>
          <w:rFonts w:hint="eastAsia" w:ascii="宋体" w:hAnsi="宋体" w:cs="宋体"/>
          <w:color w:val="auto"/>
          <w:kern w:val="0"/>
          <w:sz w:val="24"/>
          <w:szCs w:val="24"/>
          <w:highlight w:val="none"/>
        </w:rPr>
      </w:pPr>
      <w:r>
        <w:rPr>
          <w:rFonts w:hint="eastAsia" w:ascii="宋体" w:hAnsi="宋体" w:cs="宋体"/>
          <w:color w:val="auto"/>
          <w:sz w:val="24"/>
          <w:szCs w:val="24"/>
          <w:highlight w:val="none"/>
        </w:rPr>
        <w:t>现已清楚知道并</w:t>
      </w:r>
      <w:r>
        <w:rPr>
          <w:rFonts w:hint="eastAsia" w:ascii="宋体" w:hAnsi="宋体" w:cs="宋体"/>
          <w:color w:val="auto"/>
          <w:kern w:val="0"/>
          <w:sz w:val="24"/>
          <w:szCs w:val="24"/>
          <w:highlight w:val="none"/>
        </w:rPr>
        <w:t>严格遵守政府采购法律法规和现场纪律。</w:t>
      </w:r>
    </w:p>
    <w:p w14:paraId="165785CE">
      <w:pPr>
        <w:pStyle w:val="609"/>
        <w:widowControl/>
        <w:numPr>
          <w:ilvl w:val="0"/>
          <w:numId w:val="4"/>
        </w:numPr>
        <w:snapToGrid w:val="0"/>
        <w:spacing w:line="400" w:lineRule="exact"/>
        <w:ind w:firstLine="453" w:firstLineChars="18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我发现</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供应商之间存在或可能存在上述第二条第</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项利害关系。</w:t>
      </w:r>
    </w:p>
    <w:p w14:paraId="747A75C3">
      <w:pPr>
        <w:pStyle w:val="608"/>
        <w:snapToGrid w:val="0"/>
        <w:spacing w:line="400" w:lineRule="exact"/>
        <w:ind w:firstLine="480" w:firstLineChars="200"/>
        <w:rPr>
          <w:rFonts w:hint="eastAsia" w:hAnsi="宋体" w:cs="宋体"/>
          <w:color w:val="auto"/>
          <w:sz w:val="24"/>
          <w:szCs w:val="24"/>
          <w:highlight w:val="none"/>
        </w:rPr>
      </w:pPr>
    </w:p>
    <w:p w14:paraId="7D797ED7">
      <w:pPr>
        <w:pStyle w:val="608"/>
        <w:snapToGrid w:val="0"/>
        <w:spacing w:line="6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                                      投标人</w:t>
      </w:r>
      <w:r>
        <w:rPr>
          <w:rFonts w:hint="eastAsia" w:hAnsi="宋体" w:cs="宋体"/>
          <w:color w:val="auto"/>
          <w:spacing w:val="6"/>
          <w:sz w:val="24"/>
          <w:szCs w:val="24"/>
          <w:highlight w:val="none"/>
        </w:rPr>
        <w:t>法定代表人</w:t>
      </w:r>
      <w:r>
        <w:rPr>
          <w:rFonts w:hint="eastAsia" w:hAnsi="宋体" w:cs="宋体"/>
          <w:color w:val="auto"/>
          <w:spacing w:val="6"/>
          <w:sz w:val="24"/>
          <w:szCs w:val="24"/>
          <w:highlight w:val="none"/>
          <w:lang w:val="en-US" w:eastAsia="zh-CN"/>
        </w:rPr>
        <w:t>或</w:t>
      </w:r>
      <w:r>
        <w:rPr>
          <w:rFonts w:hint="eastAsia" w:hAnsi="宋体" w:cs="宋体"/>
          <w:color w:val="auto"/>
          <w:sz w:val="24"/>
          <w:szCs w:val="24"/>
          <w:highlight w:val="none"/>
        </w:rPr>
        <w:t>授权代表签名：</w:t>
      </w:r>
    </w:p>
    <w:p w14:paraId="49020559">
      <w:pPr>
        <w:pStyle w:val="608"/>
        <w:snapToGrid w:val="0"/>
        <w:spacing w:line="600" w:lineRule="exact"/>
        <w:jc w:val="right"/>
        <w:rPr>
          <w:rFonts w:hint="eastAsia" w:hAnsi="宋体" w:cs="宋体"/>
          <w:color w:val="auto"/>
          <w:sz w:val="24"/>
          <w:szCs w:val="24"/>
          <w:highlight w:val="none"/>
        </w:rPr>
      </w:pPr>
      <w:r>
        <w:rPr>
          <w:rFonts w:hint="eastAsia" w:hAnsi="宋体" w:cs="宋体"/>
          <w:color w:val="auto"/>
          <w:sz w:val="24"/>
          <w:szCs w:val="24"/>
          <w:highlight w:val="none"/>
        </w:rPr>
        <w:t xml:space="preserve">2025年X月X日  </w:t>
      </w:r>
    </w:p>
    <w:p w14:paraId="030EA010">
      <w:pPr>
        <w:pStyle w:val="27"/>
        <w:ind w:right="-512" w:firstLine="526"/>
        <w:rPr>
          <w:rFonts w:hint="eastAsia" w:ascii="宋体" w:hAnsi="宋体" w:eastAsia="宋体" w:cs="宋体"/>
          <w:color w:val="auto"/>
          <w:sz w:val="22"/>
          <w:highlight w:val="none"/>
        </w:rPr>
      </w:pPr>
    </w:p>
    <w:p w14:paraId="1B8C9B93">
      <w:pPr>
        <w:rPr>
          <w:rFonts w:hint="eastAsia" w:ascii="宋体" w:hAnsi="宋体" w:cs="宋体"/>
          <w:b/>
          <w:color w:val="auto"/>
          <w:sz w:val="22"/>
          <w:highlight w:val="none"/>
        </w:rPr>
      </w:pPr>
      <w:r>
        <w:rPr>
          <w:rFonts w:hint="eastAsia" w:ascii="宋体" w:hAnsi="宋体" w:cs="宋体"/>
          <w:b/>
          <w:bCs/>
          <w:color w:val="auto"/>
          <w:sz w:val="22"/>
          <w:highlight w:val="none"/>
        </w:rPr>
        <w:t>备注：《政府采购活动现场确认声明书》不用编制进投标文件中，投标人在投标文件解密后，通过电子邮件形式向邮箱地址（1241596092@qq.com）发送填写完整的确认声明书即可</w:t>
      </w:r>
      <w:r>
        <w:rPr>
          <w:rFonts w:hint="eastAsia" w:ascii="宋体" w:hAnsi="宋体" w:cs="宋体"/>
          <w:b/>
          <w:bCs/>
          <w:color w:val="auto"/>
          <w:sz w:val="22"/>
          <w:highlight w:val="none"/>
          <w:lang w:eastAsia="zh-CN"/>
        </w:rPr>
        <w:t>，</w:t>
      </w:r>
      <w:r>
        <w:rPr>
          <w:rFonts w:hint="eastAsia" w:ascii="宋体" w:hAnsi="宋体" w:cs="宋体"/>
          <w:b/>
          <w:bCs/>
          <w:color w:val="auto"/>
          <w:sz w:val="22"/>
          <w:highlight w:val="none"/>
          <w:lang w:val="en-US" w:eastAsia="zh-CN"/>
        </w:rPr>
        <w:t>落款处由投标人法定代表人或授权代表签名，无需加盖公章，日期填写开标当日</w:t>
      </w:r>
      <w:r>
        <w:rPr>
          <w:rFonts w:hint="eastAsia" w:ascii="宋体" w:hAnsi="宋体" w:cs="宋体"/>
          <w:b/>
          <w:bCs/>
          <w:color w:val="auto"/>
          <w:sz w:val="22"/>
          <w:highlight w:val="none"/>
        </w:rPr>
        <w:t>。</w:t>
      </w:r>
    </w:p>
    <w:p w14:paraId="6429DB12">
      <w:pPr>
        <w:pStyle w:val="80"/>
        <w:rPr>
          <w:rFonts w:hint="eastAsia"/>
          <w:color w:val="auto"/>
          <w:highlight w:val="none"/>
        </w:rPr>
      </w:pP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0"/>
    <w:family w:val="auto"/>
    <w:pitch w:val="default"/>
    <w:sig w:usb0="E0000AFF" w:usb1="00007843" w:usb2="00000001" w:usb3="00000000" w:csb0="400001BF" w:csb1="DFF7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altName w:val="苹方-简"/>
    <w:panose1 w:val="02040503050406030204"/>
    <w:charset w:val="00"/>
    <w:family w:val="roman"/>
    <w:pitch w:val="default"/>
    <w:sig w:usb0="00000000" w:usb1="00000000"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80000287" w:usb1="280F3C52" w:usb2="00000016" w:usb3="00000000" w:csb0="0004001F" w:csb1="00000000"/>
  </w:font>
  <w:font w:name="Futura Bk">
    <w:altName w:val="苹方-简"/>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AFF" w:usb1="C000605B" w:usb2="00000029" w:usb3="00000000" w:csb0="200101FF" w:csb1="20280000"/>
  </w:font>
  <w:font w:name="MS Sans Serif">
    <w:altName w:val="苹方-简"/>
    <w:panose1 w:val="00000000000000000000"/>
    <w:charset w:val="00"/>
    <w:family w:val="swiss"/>
    <w:pitch w:val="default"/>
    <w:sig w:usb0="00000000" w:usb1="00000000" w:usb2="00000000" w:usb3="00000000" w:csb0="00000001" w:csb1="00000000"/>
  </w:font>
  <w:font w:name="Lucida Sans">
    <w:altName w:val="苹方-简"/>
    <w:panose1 w:val="020B0602030504020204"/>
    <w:charset w:val="00"/>
    <w:family w:val="swiss"/>
    <w:pitch w:val="default"/>
    <w:sig w:usb0="00000000" w:usb1="00000000" w:usb2="00000000" w:usb3="00000000" w:csb0="20000001" w:csb1="00000000"/>
  </w:font>
  <w:font w:name="等线 Light">
    <w:altName w:val="汉仪中等线KW"/>
    <w:panose1 w:val="02010600030101010101"/>
    <w:charset w:val="86"/>
    <w:family w:val="auto"/>
    <w:pitch w:val="default"/>
    <w:sig w:usb0="00000000" w:usb1="00000000" w:usb2="00000016" w:usb3="00000000" w:csb0="0004000F" w:csb1="00000000"/>
  </w:font>
  <w:font w:name="Verdana">
    <w:panose1 w:val="020B0804030504040204"/>
    <w:charset w:val="00"/>
    <w:family w:val="swiss"/>
    <w:pitch w:val="default"/>
    <w:sig w:usb0="A10006FF" w:usb1="4000205B" w:usb2="00000010" w:usb3="00000000" w:csb0="2000019F" w:csb1="00000000"/>
  </w:font>
  <w:font w:name="ˎ̥">
    <w:altName w:val="苹方-简"/>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苹方-简"/>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0000000000000000000"/>
    <w:charset w:val="00"/>
    <w:family w:val="swiss"/>
    <w:pitch w:val="default"/>
    <w:sig w:usb0="E00002FF" w:usb1="5000785B" w:usb2="00000000" w:usb3="00000000" w:csb0="2000019F" w:csb1="4F010000"/>
  </w:font>
  <w:font w:name="Cumberland">
    <w:altName w:val="苹方-简"/>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苹方-简"/>
    <w:panose1 w:val="00000000000000000000"/>
    <w:charset w:val="00"/>
    <w:family w:val="swiss"/>
    <w:pitch w:val="default"/>
    <w:sig w:usb0="00000000" w:usb1="00000000" w:usb2="00000000" w:usb3="00000000" w:csb0="000001FB" w:csb1="00000000"/>
  </w:font>
  <w:font w:name="Segoe UI">
    <w:altName w:val="苹方-简"/>
    <w:panose1 w:val="020B0502040204020203"/>
    <w:charset w:val="00"/>
    <w:family w:val="swiss"/>
    <w:pitch w:val="default"/>
    <w:sig w:usb0="00000000" w:usb1="00000000" w:usb2="00000009" w:usb3="00000000" w:csb0="200001FF" w:csb1="00000000"/>
  </w:font>
  <w:font w:name="Latha">
    <w:altName w:val="苹方-简"/>
    <w:panose1 w:val="02000400000000000000"/>
    <w:charset w:val="00"/>
    <w:family w:val="swiss"/>
    <w:pitch w:val="default"/>
    <w:sig w:usb0="00000000" w:usb1="00000000" w:usb2="00000000" w:usb3="00000000" w:csb0="00000001" w:csb1="00000000"/>
  </w:font>
  <w:font w:name="等线">
    <w:altName w:val="汉仪中等线KW"/>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altName w:val="苹方-简"/>
    <w:panose1 w:val="020B0602030504020204"/>
    <w:charset w:val="00"/>
    <w:family w:val="swiss"/>
    <w:pitch w:val="default"/>
    <w:sig w:usb0="00000000" w:usb1="00000000" w:usb2="00000000" w:usb3="00000000" w:csb0="200000BF" w:csb1="D7F70000"/>
  </w:font>
  <w:font w:name="Century Gothic">
    <w:altName w:val="苹方-简"/>
    <w:panose1 w:val="020B0502020202020204"/>
    <w:charset w:val="00"/>
    <w:family w:val="swiss"/>
    <w:pitch w:val="default"/>
    <w:sig w:usb0="00000000" w:usb1="00000000" w:usb2="00000000" w:usb3="00000000" w:csb0="2000009F" w:csb1="DFD70000"/>
  </w:font>
  <w:font w:name="Aldine401 BT">
    <w:altName w:val="苹方-简"/>
    <w:panose1 w:val="00000000000000000000"/>
    <w:charset w:val="00"/>
    <w:family w:val="roman"/>
    <w:pitch w:val="default"/>
    <w:sig w:usb0="00000000" w:usb1="00000000" w:usb2="00000000" w:usb3="00000000" w:csb0="00000011" w:csb1="00000000"/>
  </w:font>
  <w:font w:name=".PingFang SC">
    <w:panose1 w:val="02020503050405090304"/>
    <w:charset w:val="00"/>
    <w:family w:val="modern"/>
    <w:pitch w:val="default"/>
    <w:sig w:usb0="E0000AFF" w:usb1="00007843" w:usb2="00000001" w:usb3="00000000" w:csb0="400001BF" w:csb1="DFF70000"/>
  </w:font>
  <w:font w:name="MS Gothic">
    <w:altName w:val="Hiragino Sans"/>
    <w:panose1 w:val="020B0609070205080204"/>
    <w:charset w:val="80"/>
    <w:family w:val="modern"/>
    <w:pitch w:val="default"/>
    <w:sig w:usb0="00000000" w:usb1="00000000" w:usb2="08000012" w:usb3="00000000" w:csb0="4002009F" w:csb1="DFD70000"/>
  </w:font>
  <w:font w:name="MS Mincho">
    <w:altName w:val="Hiragino Sans"/>
    <w:panose1 w:val="02020609040205080304"/>
    <w:charset w:val="80"/>
    <w:family w:val="modern"/>
    <w:pitch w:val="default"/>
    <w:sig w:usb0="00000000" w:usb1="00000000" w:usb2="08000012" w:usb3="00000000" w:csb0="0002009F"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Hiragino Sans">
    <w:panose1 w:val="020B0300000000000000"/>
    <w:charset w:val="80"/>
    <w:family w:val="auto"/>
    <w:pitch w:val="default"/>
    <w:sig w:usb0="E00002FF" w:usb1="7AE7FFFF" w:usb2="00000012" w:usb3="00000000" w:csb0="0002000D" w:csb1="00000000"/>
  </w:font>
  <w:font w:name="苹方-简">
    <w:panose1 w:val="020B0400000000000000"/>
    <w:charset w:val="86"/>
    <w:family w:val="auto"/>
    <w:pitch w:val="default"/>
    <w:sig w:usb0="A00002FF" w:usb1="7ACFFDFB" w:usb2="00000017" w:usb3="00000000" w:csb0="00040001" w:csb1="00000000"/>
  </w:font>
  <w:font w:name="汉仪中等线KW">
    <w:panose1 w:val="01010104010101010101"/>
    <w:charset w:val="86"/>
    <w:family w:val="auto"/>
    <w:pitch w:val="default"/>
    <w:sig w:usb0="800002BF" w:usb1="004F7CFA" w:usb2="00000000" w:usb3="00000000" w:csb0="00040001" w:csb1="00000000"/>
  </w:font>
  <w:font w:name="Arial">
    <w:panose1 w:val="020B0604020202090204"/>
    <w:charset w:val="00"/>
    <w:family w:val="auto"/>
    <w:pitch w:val="default"/>
    <w:sig w:usb0="E0000AFF" w:usb1="00007843" w:usb2="00000001" w:usb3="00000000" w:csb0="400001BF" w:csb1="DFF7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D36E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63D4F">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0A97A">
    <w:pPr>
      <w:pStyle w:val="39"/>
      <w:framePr w:wrap="around" w:vAnchor="text" w:hAnchor="margin" w:xAlign="right" w:y="1"/>
      <w:rPr>
        <w:rStyle w:val="72"/>
      </w:rPr>
    </w:pPr>
    <w:r>
      <w:fldChar w:fldCharType="begin"/>
    </w:r>
    <w:r>
      <w:rPr>
        <w:rStyle w:val="72"/>
      </w:rPr>
      <w:instrText xml:space="preserve">PAGE  </w:instrText>
    </w:r>
    <w:r>
      <w:fldChar w:fldCharType="end"/>
    </w:r>
  </w:p>
  <w:p w14:paraId="37BB3A99">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D2E0F">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399" w:name="_Toc164085800"/>
    <w:bookmarkStart w:id="400" w:name="_Toc91899912"/>
    <w:bookmarkStart w:id="401" w:name="_Toc36110187"/>
    <w:bookmarkStart w:id="402" w:name="_Toc131845147"/>
    <w:r>
      <w:rPr>
        <w:rFonts w:hint="eastAsia" w:ascii="仿宋_GB2312" w:eastAsia="仿宋_GB2312"/>
        <w:kern w:val="0"/>
        <w:szCs w:val="21"/>
      </w:rPr>
      <w:t xml:space="preserve"> 页</w:t>
    </w:r>
    <w:bookmarkEnd w:id="399"/>
    <w:bookmarkEnd w:id="400"/>
    <w:bookmarkEnd w:id="401"/>
    <w:bookmarkEnd w:id="40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5CE31">
    <w:pPr>
      <w:pStyle w:val="39"/>
      <w:framePr w:wrap="around" w:vAnchor="text" w:hAnchor="margin" w:xAlign="right" w:y="1"/>
      <w:rPr>
        <w:rStyle w:val="72"/>
      </w:rPr>
    </w:pPr>
    <w:r>
      <w:fldChar w:fldCharType="begin"/>
    </w:r>
    <w:r>
      <w:rPr>
        <w:rStyle w:val="72"/>
      </w:rPr>
      <w:instrText xml:space="preserve">PAGE  </w:instrText>
    </w:r>
    <w:r>
      <w:fldChar w:fldCharType="end"/>
    </w:r>
  </w:p>
  <w:p w14:paraId="6FDF5750">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86F1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8993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4F2ED5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42EF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831001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F92E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9DBE9D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6618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D5B709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C10C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E9131F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E799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C7F1D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2BDA1">
    <w:pPr>
      <w:pStyle w:val="40"/>
      <w:pBdr>
        <w:bottom w:val="single" w:color="auto" w:sz="6" w:space="4"/>
      </w:pBdr>
      <w:jc w:val="right"/>
    </w:pPr>
    <w:r>
      <w:t></w:t>
    </w:r>
    <w:r>
      <w:rPr>
        <w:rFonts w:hint="eastAsia"/>
      </w:rPr>
      <w:t xml:space="preserve">            </w:t>
    </w:r>
    <w:r>
      <w:t>政府采购公开招标文件</w:t>
    </w:r>
  </w:p>
  <w:p w14:paraId="2C17E9CB">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F18F9">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00CB4">
    <w:pPr>
      <w:pStyle w:val="40"/>
      <w:jc w:val="right"/>
      <w:rPr>
        <w:rFonts w:ascii="仿宋_GB2312" w:eastAsia="仿宋_GB2312"/>
        <w:b/>
        <w:i/>
        <w:iCs/>
        <w:u w:val="single"/>
      </w:rPr>
    </w:pP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0A5D4">
    <w:pPr>
      <w:pStyle w:val="40"/>
    </w:pPr>
    <w:r>
      <w:t></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B16661"/>
    <w:multiLevelType w:val="singleLevel"/>
    <w:tmpl w:val="C8B16661"/>
    <w:lvl w:ilvl="0" w:tentative="0">
      <w:start w:val="1"/>
      <w:numFmt w:val="chineseCounting"/>
      <w:suff w:val="nothing"/>
      <w:lvlText w:val="%1、"/>
      <w:lvlJc w:val="left"/>
      <w:pPr>
        <w:ind w:left="-11"/>
      </w:pPr>
      <w:rPr>
        <w:rFonts w:hint="eastAsia"/>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292178FB"/>
    <w:multiLevelType w:val="singleLevel"/>
    <w:tmpl w:val="292178FB"/>
    <w:lvl w:ilvl="0" w:tentative="0">
      <w:start w:val="2"/>
      <w:numFmt w:val="chineseCounting"/>
      <w:suff w:val="nothing"/>
      <w:lvlText w:val="%1、"/>
      <w:lvlJc w:val="left"/>
      <w:rPr>
        <w:rFonts w:hint="eastAsia"/>
      </w:rPr>
    </w:lvl>
  </w:abstractNum>
  <w:abstractNum w:abstractNumId="3">
    <w:nsid w:val="557FD3DA"/>
    <w:multiLevelType w:val="singleLevel"/>
    <w:tmpl w:val="557FD3DA"/>
    <w:lvl w:ilvl="0" w:tentative="0">
      <w:start w:val="3"/>
      <w:numFmt w:val="chineseCounting"/>
      <w:suff w:val="nothing"/>
      <w:lvlText w:val="%1、"/>
      <w:lvlJc w:val="left"/>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791"/>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A0E"/>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58FD"/>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023"/>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274"/>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008"/>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1A9E"/>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677"/>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21F"/>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C85"/>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46D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81A"/>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B94"/>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47778C"/>
    <w:rsid w:val="017244EE"/>
    <w:rsid w:val="018C519F"/>
    <w:rsid w:val="019F7441"/>
    <w:rsid w:val="01B37585"/>
    <w:rsid w:val="01D55165"/>
    <w:rsid w:val="01DF6BF8"/>
    <w:rsid w:val="01EC2C57"/>
    <w:rsid w:val="02117D9A"/>
    <w:rsid w:val="022B2C0A"/>
    <w:rsid w:val="025F0711"/>
    <w:rsid w:val="026B2E25"/>
    <w:rsid w:val="02824D4D"/>
    <w:rsid w:val="02DC4B10"/>
    <w:rsid w:val="02DD76CE"/>
    <w:rsid w:val="02ED7EC0"/>
    <w:rsid w:val="02F36323"/>
    <w:rsid w:val="02F5619C"/>
    <w:rsid w:val="02FE3E7B"/>
    <w:rsid w:val="03062D2F"/>
    <w:rsid w:val="0317318F"/>
    <w:rsid w:val="0326446A"/>
    <w:rsid w:val="032D5555"/>
    <w:rsid w:val="03563CB7"/>
    <w:rsid w:val="036634D2"/>
    <w:rsid w:val="037B196F"/>
    <w:rsid w:val="037E4FBC"/>
    <w:rsid w:val="0385459C"/>
    <w:rsid w:val="03AC38D7"/>
    <w:rsid w:val="03BE185C"/>
    <w:rsid w:val="03DD35E4"/>
    <w:rsid w:val="04076900"/>
    <w:rsid w:val="041A5A3B"/>
    <w:rsid w:val="042311BA"/>
    <w:rsid w:val="042B157A"/>
    <w:rsid w:val="04620439"/>
    <w:rsid w:val="04700DA8"/>
    <w:rsid w:val="048F763B"/>
    <w:rsid w:val="049F330E"/>
    <w:rsid w:val="04AA775C"/>
    <w:rsid w:val="04AF1889"/>
    <w:rsid w:val="04F66F48"/>
    <w:rsid w:val="05251E14"/>
    <w:rsid w:val="056401E1"/>
    <w:rsid w:val="05A16594"/>
    <w:rsid w:val="05A7762D"/>
    <w:rsid w:val="060E5941"/>
    <w:rsid w:val="06110FAF"/>
    <w:rsid w:val="06493CA7"/>
    <w:rsid w:val="065A1D10"/>
    <w:rsid w:val="065A6178"/>
    <w:rsid w:val="066F1CF3"/>
    <w:rsid w:val="06871610"/>
    <w:rsid w:val="06930BB8"/>
    <w:rsid w:val="06AE0FD2"/>
    <w:rsid w:val="06B86A37"/>
    <w:rsid w:val="07245D42"/>
    <w:rsid w:val="07264C62"/>
    <w:rsid w:val="0779354C"/>
    <w:rsid w:val="07AD5E6F"/>
    <w:rsid w:val="07C05BA3"/>
    <w:rsid w:val="07D63618"/>
    <w:rsid w:val="07E07FF3"/>
    <w:rsid w:val="08061376"/>
    <w:rsid w:val="08452D77"/>
    <w:rsid w:val="08522B41"/>
    <w:rsid w:val="086401F8"/>
    <w:rsid w:val="08751CAA"/>
    <w:rsid w:val="087E4C40"/>
    <w:rsid w:val="08844E22"/>
    <w:rsid w:val="08A871D0"/>
    <w:rsid w:val="08D66AD6"/>
    <w:rsid w:val="08DA33A3"/>
    <w:rsid w:val="08E80F13"/>
    <w:rsid w:val="08E87F44"/>
    <w:rsid w:val="08FC70AE"/>
    <w:rsid w:val="09320D22"/>
    <w:rsid w:val="09335624"/>
    <w:rsid w:val="0944690F"/>
    <w:rsid w:val="094B5940"/>
    <w:rsid w:val="09535675"/>
    <w:rsid w:val="095F057D"/>
    <w:rsid w:val="09642282"/>
    <w:rsid w:val="09722ECD"/>
    <w:rsid w:val="09733572"/>
    <w:rsid w:val="09736C45"/>
    <w:rsid w:val="09772C16"/>
    <w:rsid w:val="098353B5"/>
    <w:rsid w:val="09A92330"/>
    <w:rsid w:val="09B06B87"/>
    <w:rsid w:val="09C13146"/>
    <w:rsid w:val="09E04166"/>
    <w:rsid w:val="0A075D0B"/>
    <w:rsid w:val="0A1C0718"/>
    <w:rsid w:val="0A1E3055"/>
    <w:rsid w:val="0A2322F7"/>
    <w:rsid w:val="0A3E7710"/>
    <w:rsid w:val="0A5B7E63"/>
    <w:rsid w:val="0AA374A5"/>
    <w:rsid w:val="0AAB7649"/>
    <w:rsid w:val="0ABC5606"/>
    <w:rsid w:val="0ACF4E8E"/>
    <w:rsid w:val="0B2B3C7B"/>
    <w:rsid w:val="0B30404E"/>
    <w:rsid w:val="0B4C6C14"/>
    <w:rsid w:val="0B547599"/>
    <w:rsid w:val="0B631A88"/>
    <w:rsid w:val="0B683D45"/>
    <w:rsid w:val="0B7078E0"/>
    <w:rsid w:val="0B7F3F11"/>
    <w:rsid w:val="0B884417"/>
    <w:rsid w:val="0B9C06D5"/>
    <w:rsid w:val="0BB43C70"/>
    <w:rsid w:val="0BC1013B"/>
    <w:rsid w:val="0BE1258C"/>
    <w:rsid w:val="0BF6188C"/>
    <w:rsid w:val="0BF73C91"/>
    <w:rsid w:val="0C170175"/>
    <w:rsid w:val="0C571A41"/>
    <w:rsid w:val="0C5C1171"/>
    <w:rsid w:val="0C5E1CBC"/>
    <w:rsid w:val="0C615B50"/>
    <w:rsid w:val="0C692CAD"/>
    <w:rsid w:val="0C8445DA"/>
    <w:rsid w:val="0C87121B"/>
    <w:rsid w:val="0C8E44C1"/>
    <w:rsid w:val="0CC007F7"/>
    <w:rsid w:val="0CC617AC"/>
    <w:rsid w:val="0CE618DF"/>
    <w:rsid w:val="0CFE707A"/>
    <w:rsid w:val="0D063BDA"/>
    <w:rsid w:val="0D08375F"/>
    <w:rsid w:val="0D110C4F"/>
    <w:rsid w:val="0D184CFB"/>
    <w:rsid w:val="0D1A2A5B"/>
    <w:rsid w:val="0D3D37F2"/>
    <w:rsid w:val="0D4A7419"/>
    <w:rsid w:val="0D8238FA"/>
    <w:rsid w:val="0D827401"/>
    <w:rsid w:val="0D84094E"/>
    <w:rsid w:val="0D854AD0"/>
    <w:rsid w:val="0D8A00E9"/>
    <w:rsid w:val="0D8D589E"/>
    <w:rsid w:val="0D9773A6"/>
    <w:rsid w:val="0DA01C73"/>
    <w:rsid w:val="0DC83A03"/>
    <w:rsid w:val="0DD63300"/>
    <w:rsid w:val="0DD95C10"/>
    <w:rsid w:val="0DF50604"/>
    <w:rsid w:val="0DF702FE"/>
    <w:rsid w:val="0E060E51"/>
    <w:rsid w:val="0E407A3D"/>
    <w:rsid w:val="0E454C51"/>
    <w:rsid w:val="0E5604B2"/>
    <w:rsid w:val="0E5B4877"/>
    <w:rsid w:val="0E6D5D79"/>
    <w:rsid w:val="0E76520D"/>
    <w:rsid w:val="0E9D0089"/>
    <w:rsid w:val="0EA474D2"/>
    <w:rsid w:val="0EB803EE"/>
    <w:rsid w:val="0EE26D46"/>
    <w:rsid w:val="0EF94D4B"/>
    <w:rsid w:val="0EFB3964"/>
    <w:rsid w:val="0F0547E3"/>
    <w:rsid w:val="0F1467D4"/>
    <w:rsid w:val="0F4958DC"/>
    <w:rsid w:val="0F515DF7"/>
    <w:rsid w:val="0F596BA8"/>
    <w:rsid w:val="0F6248D2"/>
    <w:rsid w:val="0F693536"/>
    <w:rsid w:val="0F7B0511"/>
    <w:rsid w:val="0F7B76D9"/>
    <w:rsid w:val="0F816ACD"/>
    <w:rsid w:val="0F9832DB"/>
    <w:rsid w:val="0FBF3FD2"/>
    <w:rsid w:val="0FBF7FF3"/>
    <w:rsid w:val="10613C9B"/>
    <w:rsid w:val="10646583"/>
    <w:rsid w:val="106A2B50"/>
    <w:rsid w:val="107D4B15"/>
    <w:rsid w:val="108A3C80"/>
    <w:rsid w:val="10C26171"/>
    <w:rsid w:val="10EA3C90"/>
    <w:rsid w:val="10EB73E2"/>
    <w:rsid w:val="10F33360"/>
    <w:rsid w:val="10FC16EA"/>
    <w:rsid w:val="110F1D40"/>
    <w:rsid w:val="11266F33"/>
    <w:rsid w:val="117479FE"/>
    <w:rsid w:val="118963A1"/>
    <w:rsid w:val="118C1950"/>
    <w:rsid w:val="11C6522A"/>
    <w:rsid w:val="11E104CC"/>
    <w:rsid w:val="11E20309"/>
    <w:rsid w:val="12255233"/>
    <w:rsid w:val="12530213"/>
    <w:rsid w:val="125E66E4"/>
    <w:rsid w:val="12753A2E"/>
    <w:rsid w:val="127723A9"/>
    <w:rsid w:val="12862074"/>
    <w:rsid w:val="12883966"/>
    <w:rsid w:val="129E45B4"/>
    <w:rsid w:val="12C7072D"/>
    <w:rsid w:val="12D81596"/>
    <w:rsid w:val="13072A44"/>
    <w:rsid w:val="13545D39"/>
    <w:rsid w:val="135F4BE2"/>
    <w:rsid w:val="139B1A0A"/>
    <w:rsid w:val="139D25C7"/>
    <w:rsid w:val="13B80076"/>
    <w:rsid w:val="13BF3CE4"/>
    <w:rsid w:val="13C05EA9"/>
    <w:rsid w:val="13C77A9D"/>
    <w:rsid w:val="141008D8"/>
    <w:rsid w:val="14125FE6"/>
    <w:rsid w:val="144D4C62"/>
    <w:rsid w:val="146D271E"/>
    <w:rsid w:val="14982588"/>
    <w:rsid w:val="149A5AD9"/>
    <w:rsid w:val="14A34882"/>
    <w:rsid w:val="14A7619D"/>
    <w:rsid w:val="14FB2910"/>
    <w:rsid w:val="150536C3"/>
    <w:rsid w:val="150C1963"/>
    <w:rsid w:val="151447A0"/>
    <w:rsid w:val="15267261"/>
    <w:rsid w:val="154A6454"/>
    <w:rsid w:val="155D0ED5"/>
    <w:rsid w:val="15762120"/>
    <w:rsid w:val="15832374"/>
    <w:rsid w:val="15FD4466"/>
    <w:rsid w:val="16094BB9"/>
    <w:rsid w:val="160E6673"/>
    <w:rsid w:val="161672D6"/>
    <w:rsid w:val="164E081E"/>
    <w:rsid w:val="168B1A72"/>
    <w:rsid w:val="16A8729C"/>
    <w:rsid w:val="16B33777"/>
    <w:rsid w:val="16BC70A7"/>
    <w:rsid w:val="16C6339E"/>
    <w:rsid w:val="171657DF"/>
    <w:rsid w:val="17214184"/>
    <w:rsid w:val="172F2D79"/>
    <w:rsid w:val="17557BEF"/>
    <w:rsid w:val="17D349C1"/>
    <w:rsid w:val="17F17FFA"/>
    <w:rsid w:val="18244F26"/>
    <w:rsid w:val="1830729E"/>
    <w:rsid w:val="18363C5F"/>
    <w:rsid w:val="1852128A"/>
    <w:rsid w:val="18626802"/>
    <w:rsid w:val="1870062C"/>
    <w:rsid w:val="18817102"/>
    <w:rsid w:val="18830A15"/>
    <w:rsid w:val="18852B28"/>
    <w:rsid w:val="188B5321"/>
    <w:rsid w:val="188E3A9B"/>
    <w:rsid w:val="18910E95"/>
    <w:rsid w:val="18E92A80"/>
    <w:rsid w:val="18F03E0E"/>
    <w:rsid w:val="19810F0A"/>
    <w:rsid w:val="19932372"/>
    <w:rsid w:val="19A20DD5"/>
    <w:rsid w:val="19AE03F1"/>
    <w:rsid w:val="19CF1C75"/>
    <w:rsid w:val="19D454DE"/>
    <w:rsid w:val="1A071A03"/>
    <w:rsid w:val="1A1F16AE"/>
    <w:rsid w:val="1A3B5C77"/>
    <w:rsid w:val="1A404921"/>
    <w:rsid w:val="1A6B1B55"/>
    <w:rsid w:val="1A9133CF"/>
    <w:rsid w:val="1A984BAD"/>
    <w:rsid w:val="1AB704C9"/>
    <w:rsid w:val="1AB8220E"/>
    <w:rsid w:val="1AE3458F"/>
    <w:rsid w:val="1AE4166C"/>
    <w:rsid w:val="1AE96D67"/>
    <w:rsid w:val="1AF06CFB"/>
    <w:rsid w:val="1AF11B8D"/>
    <w:rsid w:val="1AFC6E29"/>
    <w:rsid w:val="1B11359C"/>
    <w:rsid w:val="1B1A33C4"/>
    <w:rsid w:val="1B2A271F"/>
    <w:rsid w:val="1B530544"/>
    <w:rsid w:val="1B713184"/>
    <w:rsid w:val="1B860A5A"/>
    <w:rsid w:val="1BA209CF"/>
    <w:rsid w:val="1BB43819"/>
    <w:rsid w:val="1BB4777D"/>
    <w:rsid w:val="1BD75AB8"/>
    <w:rsid w:val="1BDB3116"/>
    <w:rsid w:val="1C0459C2"/>
    <w:rsid w:val="1C057BD0"/>
    <w:rsid w:val="1C1B3B4A"/>
    <w:rsid w:val="1C5B1EE6"/>
    <w:rsid w:val="1C8651B5"/>
    <w:rsid w:val="1C88086E"/>
    <w:rsid w:val="1CCB5193"/>
    <w:rsid w:val="1CDD6D9F"/>
    <w:rsid w:val="1D266CE1"/>
    <w:rsid w:val="1D3963AF"/>
    <w:rsid w:val="1D6A673C"/>
    <w:rsid w:val="1D9247AE"/>
    <w:rsid w:val="1DB567EC"/>
    <w:rsid w:val="1DBA2C3C"/>
    <w:rsid w:val="1DCD471E"/>
    <w:rsid w:val="1DF51A98"/>
    <w:rsid w:val="1E051CD9"/>
    <w:rsid w:val="1E067C30"/>
    <w:rsid w:val="1E0839A8"/>
    <w:rsid w:val="1E1C7453"/>
    <w:rsid w:val="1E3D060F"/>
    <w:rsid w:val="1E3F7D2E"/>
    <w:rsid w:val="1E4134E4"/>
    <w:rsid w:val="1E430E84"/>
    <w:rsid w:val="1E5062B3"/>
    <w:rsid w:val="1E523514"/>
    <w:rsid w:val="1E714A66"/>
    <w:rsid w:val="1E7E1EBC"/>
    <w:rsid w:val="1E802593"/>
    <w:rsid w:val="1E8B6156"/>
    <w:rsid w:val="1EA703CC"/>
    <w:rsid w:val="1EB7330C"/>
    <w:rsid w:val="1EC78F74"/>
    <w:rsid w:val="1F0A0FF3"/>
    <w:rsid w:val="1F234F3D"/>
    <w:rsid w:val="1F3A4035"/>
    <w:rsid w:val="1F5771FF"/>
    <w:rsid w:val="1F971487"/>
    <w:rsid w:val="1FD52574"/>
    <w:rsid w:val="1FE868A9"/>
    <w:rsid w:val="1FED554B"/>
    <w:rsid w:val="20034907"/>
    <w:rsid w:val="200F54C2"/>
    <w:rsid w:val="20173E4B"/>
    <w:rsid w:val="204E48BC"/>
    <w:rsid w:val="20731E7D"/>
    <w:rsid w:val="208921B3"/>
    <w:rsid w:val="20973DEB"/>
    <w:rsid w:val="20A35C0A"/>
    <w:rsid w:val="20B26522"/>
    <w:rsid w:val="20B44310"/>
    <w:rsid w:val="20F87D04"/>
    <w:rsid w:val="211116EB"/>
    <w:rsid w:val="21224D81"/>
    <w:rsid w:val="216133FC"/>
    <w:rsid w:val="2188552B"/>
    <w:rsid w:val="219043E0"/>
    <w:rsid w:val="21C36564"/>
    <w:rsid w:val="21D56769"/>
    <w:rsid w:val="21E52EF3"/>
    <w:rsid w:val="21FB5D7B"/>
    <w:rsid w:val="22015E94"/>
    <w:rsid w:val="220B1C3D"/>
    <w:rsid w:val="221D1D20"/>
    <w:rsid w:val="22334A87"/>
    <w:rsid w:val="224F7DF7"/>
    <w:rsid w:val="22672929"/>
    <w:rsid w:val="22965A26"/>
    <w:rsid w:val="22AA3280"/>
    <w:rsid w:val="22BE6801"/>
    <w:rsid w:val="23085827"/>
    <w:rsid w:val="233500BF"/>
    <w:rsid w:val="23377FF7"/>
    <w:rsid w:val="236B425F"/>
    <w:rsid w:val="23836192"/>
    <w:rsid w:val="23901F29"/>
    <w:rsid w:val="239C0061"/>
    <w:rsid w:val="23A75A11"/>
    <w:rsid w:val="23A979DB"/>
    <w:rsid w:val="23AE5B30"/>
    <w:rsid w:val="23B908A4"/>
    <w:rsid w:val="23E95BEF"/>
    <w:rsid w:val="23FD0064"/>
    <w:rsid w:val="24443260"/>
    <w:rsid w:val="245375B0"/>
    <w:rsid w:val="24642C0A"/>
    <w:rsid w:val="246A0F18"/>
    <w:rsid w:val="24B22173"/>
    <w:rsid w:val="24B95AD9"/>
    <w:rsid w:val="24BE24DA"/>
    <w:rsid w:val="24CF5825"/>
    <w:rsid w:val="24D663E6"/>
    <w:rsid w:val="24D77F2B"/>
    <w:rsid w:val="24E32A79"/>
    <w:rsid w:val="24F353B2"/>
    <w:rsid w:val="24FD3B3B"/>
    <w:rsid w:val="25152081"/>
    <w:rsid w:val="255B6AB3"/>
    <w:rsid w:val="258B00E2"/>
    <w:rsid w:val="25A917A6"/>
    <w:rsid w:val="25BC1C48"/>
    <w:rsid w:val="25BE27CC"/>
    <w:rsid w:val="25F74A5C"/>
    <w:rsid w:val="25FC0296"/>
    <w:rsid w:val="25FD542C"/>
    <w:rsid w:val="260E7FC9"/>
    <w:rsid w:val="2628662C"/>
    <w:rsid w:val="262D45DE"/>
    <w:rsid w:val="26663631"/>
    <w:rsid w:val="2681079B"/>
    <w:rsid w:val="26871DC8"/>
    <w:rsid w:val="26A53EF9"/>
    <w:rsid w:val="26A94201"/>
    <w:rsid w:val="26AC274F"/>
    <w:rsid w:val="26EA4592"/>
    <w:rsid w:val="27003DB6"/>
    <w:rsid w:val="27044A29"/>
    <w:rsid w:val="271D34C8"/>
    <w:rsid w:val="273E043A"/>
    <w:rsid w:val="276142BF"/>
    <w:rsid w:val="27783712"/>
    <w:rsid w:val="27907362"/>
    <w:rsid w:val="279544FE"/>
    <w:rsid w:val="27D36DD5"/>
    <w:rsid w:val="28333E1D"/>
    <w:rsid w:val="28454BD6"/>
    <w:rsid w:val="28455253"/>
    <w:rsid w:val="28551971"/>
    <w:rsid w:val="285B1C53"/>
    <w:rsid w:val="289A5B44"/>
    <w:rsid w:val="289F7086"/>
    <w:rsid w:val="28C32028"/>
    <w:rsid w:val="28CC490F"/>
    <w:rsid w:val="28DE40AA"/>
    <w:rsid w:val="292E4C0A"/>
    <w:rsid w:val="29345E77"/>
    <w:rsid w:val="294C65AD"/>
    <w:rsid w:val="29806583"/>
    <w:rsid w:val="298B3C4C"/>
    <w:rsid w:val="298E7457"/>
    <w:rsid w:val="299332F5"/>
    <w:rsid w:val="2998358C"/>
    <w:rsid w:val="299F78B6"/>
    <w:rsid w:val="29A22F02"/>
    <w:rsid w:val="29F26D24"/>
    <w:rsid w:val="2A15033F"/>
    <w:rsid w:val="2A1662C1"/>
    <w:rsid w:val="2A1C7367"/>
    <w:rsid w:val="2A2815FA"/>
    <w:rsid w:val="2A495A74"/>
    <w:rsid w:val="2A4B5348"/>
    <w:rsid w:val="2A6D6092"/>
    <w:rsid w:val="2A720B27"/>
    <w:rsid w:val="2A7D76B4"/>
    <w:rsid w:val="2A9F7442"/>
    <w:rsid w:val="2AA35184"/>
    <w:rsid w:val="2B110340"/>
    <w:rsid w:val="2B437463"/>
    <w:rsid w:val="2B6E5792"/>
    <w:rsid w:val="2B7807EE"/>
    <w:rsid w:val="2B8054C5"/>
    <w:rsid w:val="2BA50BF7"/>
    <w:rsid w:val="2BBF00EC"/>
    <w:rsid w:val="2BC37CFD"/>
    <w:rsid w:val="2BD5237F"/>
    <w:rsid w:val="2BE536CE"/>
    <w:rsid w:val="2BE758D9"/>
    <w:rsid w:val="2BEC2B5B"/>
    <w:rsid w:val="2BF346BB"/>
    <w:rsid w:val="2BFD6B16"/>
    <w:rsid w:val="2C09049E"/>
    <w:rsid w:val="2C0A653C"/>
    <w:rsid w:val="2C106849"/>
    <w:rsid w:val="2C191F85"/>
    <w:rsid w:val="2C3818FC"/>
    <w:rsid w:val="2CC55886"/>
    <w:rsid w:val="2CDA6E57"/>
    <w:rsid w:val="2CDF621C"/>
    <w:rsid w:val="2CE82D6F"/>
    <w:rsid w:val="2D287BC3"/>
    <w:rsid w:val="2D343236"/>
    <w:rsid w:val="2D38455E"/>
    <w:rsid w:val="2D575011"/>
    <w:rsid w:val="2DD15014"/>
    <w:rsid w:val="2DF72DE4"/>
    <w:rsid w:val="2E0220AF"/>
    <w:rsid w:val="2E1B3283"/>
    <w:rsid w:val="2E2E0121"/>
    <w:rsid w:val="2E4B082A"/>
    <w:rsid w:val="2E4E3659"/>
    <w:rsid w:val="2E59653C"/>
    <w:rsid w:val="2E5D4E86"/>
    <w:rsid w:val="2E5D790B"/>
    <w:rsid w:val="2E60513A"/>
    <w:rsid w:val="2E935510"/>
    <w:rsid w:val="2E9A3C18"/>
    <w:rsid w:val="2EBB0FEE"/>
    <w:rsid w:val="2EC27BA3"/>
    <w:rsid w:val="2EC63002"/>
    <w:rsid w:val="2F0A6B38"/>
    <w:rsid w:val="2F0F103A"/>
    <w:rsid w:val="2F946CCB"/>
    <w:rsid w:val="2FA15A0A"/>
    <w:rsid w:val="2FCD4A51"/>
    <w:rsid w:val="2FD25781"/>
    <w:rsid w:val="2FDC745C"/>
    <w:rsid w:val="2FFD7934"/>
    <w:rsid w:val="30733ACD"/>
    <w:rsid w:val="308C3862"/>
    <w:rsid w:val="309379D8"/>
    <w:rsid w:val="30A270F7"/>
    <w:rsid w:val="30B023A9"/>
    <w:rsid w:val="30DF1478"/>
    <w:rsid w:val="30E16A06"/>
    <w:rsid w:val="30EC586F"/>
    <w:rsid w:val="30ED7B79"/>
    <w:rsid w:val="312468F3"/>
    <w:rsid w:val="318173ED"/>
    <w:rsid w:val="319677F1"/>
    <w:rsid w:val="319C6071"/>
    <w:rsid w:val="31AC537E"/>
    <w:rsid w:val="31CF2D03"/>
    <w:rsid w:val="31E3679B"/>
    <w:rsid w:val="31E71DFA"/>
    <w:rsid w:val="31E732FD"/>
    <w:rsid w:val="31E7A127"/>
    <w:rsid w:val="320329AC"/>
    <w:rsid w:val="324178CF"/>
    <w:rsid w:val="3251196A"/>
    <w:rsid w:val="32517576"/>
    <w:rsid w:val="32556074"/>
    <w:rsid w:val="326E7E26"/>
    <w:rsid w:val="32B819E9"/>
    <w:rsid w:val="32BE5C2C"/>
    <w:rsid w:val="32E4633A"/>
    <w:rsid w:val="32FB6478"/>
    <w:rsid w:val="33263B3F"/>
    <w:rsid w:val="3353526D"/>
    <w:rsid w:val="336963EB"/>
    <w:rsid w:val="33816EEB"/>
    <w:rsid w:val="33EB55CD"/>
    <w:rsid w:val="33EC4C02"/>
    <w:rsid w:val="340D2360"/>
    <w:rsid w:val="3410665D"/>
    <w:rsid w:val="341B4C51"/>
    <w:rsid w:val="34211214"/>
    <w:rsid w:val="342E63AB"/>
    <w:rsid w:val="34950E68"/>
    <w:rsid w:val="34986E94"/>
    <w:rsid w:val="34AF62C9"/>
    <w:rsid w:val="34B32468"/>
    <w:rsid w:val="34CB4388"/>
    <w:rsid w:val="34FA6E12"/>
    <w:rsid w:val="352757DF"/>
    <w:rsid w:val="354D7158"/>
    <w:rsid w:val="358918C4"/>
    <w:rsid w:val="358B5193"/>
    <w:rsid w:val="358D5588"/>
    <w:rsid w:val="35ED19A9"/>
    <w:rsid w:val="360A60B7"/>
    <w:rsid w:val="36286FF1"/>
    <w:rsid w:val="362E00BD"/>
    <w:rsid w:val="363A3B40"/>
    <w:rsid w:val="365302AE"/>
    <w:rsid w:val="36607A0A"/>
    <w:rsid w:val="366E227C"/>
    <w:rsid w:val="366F2E0D"/>
    <w:rsid w:val="367B6A5C"/>
    <w:rsid w:val="36A74ADA"/>
    <w:rsid w:val="36AD60D5"/>
    <w:rsid w:val="36B224F9"/>
    <w:rsid w:val="36BE50F4"/>
    <w:rsid w:val="36EC0CC9"/>
    <w:rsid w:val="36F154C9"/>
    <w:rsid w:val="37026D17"/>
    <w:rsid w:val="37202102"/>
    <w:rsid w:val="372633C5"/>
    <w:rsid w:val="373F410B"/>
    <w:rsid w:val="37677539"/>
    <w:rsid w:val="37E33064"/>
    <w:rsid w:val="37EE7094"/>
    <w:rsid w:val="38296C89"/>
    <w:rsid w:val="383002EB"/>
    <w:rsid w:val="38417D8A"/>
    <w:rsid w:val="38586797"/>
    <w:rsid w:val="385D15DF"/>
    <w:rsid w:val="388F6D48"/>
    <w:rsid w:val="38BC0149"/>
    <w:rsid w:val="38D87D1C"/>
    <w:rsid w:val="39452D9B"/>
    <w:rsid w:val="39501B10"/>
    <w:rsid w:val="39636459"/>
    <w:rsid w:val="396B7F6C"/>
    <w:rsid w:val="397D1296"/>
    <w:rsid w:val="39B417A9"/>
    <w:rsid w:val="39B42FB8"/>
    <w:rsid w:val="39F03816"/>
    <w:rsid w:val="39FC5695"/>
    <w:rsid w:val="3A006D8E"/>
    <w:rsid w:val="3A3651E5"/>
    <w:rsid w:val="3A744481"/>
    <w:rsid w:val="3A881CA1"/>
    <w:rsid w:val="3A8A5A19"/>
    <w:rsid w:val="3A8C7BEF"/>
    <w:rsid w:val="3A8D72B7"/>
    <w:rsid w:val="3A906246"/>
    <w:rsid w:val="3AAA1C17"/>
    <w:rsid w:val="3AC23405"/>
    <w:rsid w:val="3AF235BE"/>
    <w:rsid w:val="3AF83F91"/>
    <w:rsid w:val="3AFD417E"/>
    <w:rsid w:val="3B181276"/>
    <w:rsid w:val="3B2349B7"/>
    <w:rsid w:val="3B616CFF"/>
    <w:rsid w:val="3B6259F6"/>
    <w:rsid w:val="3B976654"/>
    <w:rsid w:val="3BC01EFC"/>
    <w:rsid w:val="3BCA786A"/>
    <w:rsid w:val="3BD31E2F"/>
    <w:rsid w:val="3BDF314A"/>
    <w:rsid w:val="3BF15831"/>
    <w:rsid w:val="3C072FA6"/>
    <w:rsid w:val="3C105946"/>
    <w:rsid w:val="3C1E0B0E"/>
    <w:rsid w:val="3C471448"/>
    <w:rsid w:val="3C5F759A"/>
    <w:rsid w:val="3C6C525A"/>
    <w:rsid w:val="3CB74ABF"/>
    <w:rsid w:val="3CCE23CB"/>
    <w:rsid w:val="3CD17D17"/>
    <w:rsid w:val="3D3C7F39"/>
    <w:rsid w:val="3D440F09"/>
    <w:rsid w:val="3D4504A0"/>
    <w:rsid w:val="3D712EC0"/>
    <w:rsid w:val="3D8734BB"/>
    <w:rsid w:val="3D9A11D4"/>
    <w:rsid w:val="3D9D1F07"/>
    <w:rsid w:val="3DA16D89"/>
    <w:rsid w:val="3DA364BE"/>
    <w:rsid w:val="3DE041CB"/>
    <w:rsid w:val="3E0D48F6"/>
    <w:rsid w:val="3E1868B4"/>
    <w:rsid w:val="3E377251"/>
    <w:rsid w:val="3E42664B"/>
    <w:rsid w:val="3E5A7334"/>
    <w:rsid w:val="3E7762B4"/>
    <w:rsid w:val="3E7B5D6B"/>
    <w:rsid w:val="3E815385"/>
    <w:rsid w:val="3E843E66"/>
    <w:rsid w:val="3E8F51FE"/>
    <w:rsid w:val="3E926F87"/>
    <w:rsid w:val="3E9A59DE"/>
    <w:rsid w:val="3EAF4836"/>
    <w:rsid w:val="3EC33DFA"/>
    <w:rsid w:val="3EFE4C27"/>
    <w:rsid w:val="3F060E16"/>
    <w:rsid w:val="3F1D1096"/>
    <w:rsid w:val="3F2F0234"/>
    <w:rsid w:val="3F6363FE"/>
    <w:rsid w:val="3F636838"/>
    <w:rsid w:val="3F731171"/>
    <w:rsid w:val="3F756B8F"/>
    <w:rsid w:val="3F95482B"/>
    <w:rsid w:val="3FA4757D"/>
    <w:rsid w:val="3FA806EF"/>
    <w:rsid w:val="3FDD2E91"/>
    <w:rsid w:val="4019356B"/>
    <w:rsid w:val="40356427"/>
    <w:rsid w:val="4037219F"/>
    <w:rsid w:val="40592157"/>
    <w:rsid w:val="406E1CAE"/>
    <w:rsid w:val="40A0133A"/>
    <w:rsid w:val="40C31A53"/>
    <w:rsid w:val="40C7213A"/>
    <w:rsid w:val="40E816EB"/>
    <w:rsid w:val="40FF545D"/>
    <w:rsid w:val="410067C8"/>
    <w:rsid w:val="41195D48"/>
    <w:rsid w:val="418F0D2A"/>
    <w:rsid w:val="41A33A6C"/>
    <w:rsid w:val="41A53138"/>
    <w:rsid w:val="41D01505"/>
    <w:rsid w:val="41D8350E"/>
    <w:rsid w:val="42402E61"/>
    <w:rsid w:val="42474939"/>
    <w:rsid w:val="424C3C57"/>
    <w:rsid w:val="42613FF3"/>
    <w:rsid w:val="42660D96"/>
    <w:rsid w:val="428216CB"/>
    <w:rsid w:val="428667D2"/>
    <w:rsid w:val="42CD1CE0"/>
    <w:rsid w:val="42E1381E"/>
    <w:rsid w:val="42ED6459"/>
    <w:rsid w:val="42FE58DD"/>
    <w:rsid w:val="43174B3D"/>
    <w:rsid w:val="431762B8"/>
    <w:rsid w:val="43301127"/>
    <w:rsid w:val="43342EA7"/>
    <w:rsid w:val="434640C1"/>
    <w:rsid w:val="434B790E"/>
    <w:rsid w:val="434F77FF"/>
    <w:rsid w:val="4360274F"/>
    <w:rsid w:val="4392593E"/>
    <w:rsid w:val="43977AB6"/>
    <w:rsid w:val="439873F8"/>
    <w:rsid w:val="43A3342B"/>
    <w:rsid w:val="43C77C27"/>
    <w:rsid w:val="43DE09EE"/>
    <w:rsid w:val="43DF5027"/>
    <w:rsid w:val="44002FAD"/>
    <w:rsid w:val="449101DD"/>
    <w:rsid w:val="449A2CFC"/>
    <w:rsid w:val="44DE1391"/>
    <w:rsid w:val="44E16B7D"/>
    <w:rsid w:val="451B225C"/>
    <w:rsid w:val="4521341D"/>
    <w:rsid w:val="452410C9"/>
    <w:rsid w:val="45317DFB"/>
    <w:rsid w:val="453A003B"/>
    <w:rsid w:val="456450B8"/>
    <w:rsid w:val="456D3CE4"/>
    <w:rsid w:val="4579042C"/>
    <w:rsid w:val="457F0571"/>
    <w:rsid w:val="45851176"/>
    <w:rsid w:val="458B6329"/>
    <w:rsid w:val="45921C25"/>
    <w:rsid w:val="45C269AF"/>
    <w:rsid w:val="45C63B94"/>
    <w:rsid w:val="45CA5863"/>
    <w:rsid w:val="45E06E35"/>
    <w:rsid w:val="45EC57D9"/>
    <w:rsid w:val="460E7DA5"/>
    <w:rsid w:val="462C02CC"/>
    <w:rsid w:val="462E7BA0"/>
    <w:rsid w:val="46422483"/>
    <w:rsid w:val="4659254A"/>
    <w:rsid w:val="465B0637"/>
    <w:rsid w:val="465E3F0D"/>
    <w:rsid w:val="46690BD8"/>
    <w:rsid w:val="466A16E6"/>
    <w:rsid w:val="46893F2B"/>
    <w:rsid w:val="46A9191C"/>
    <w:rsid w:val="46A92F4A"/>
    <w:rsid w:val="46C4686E"/>
    <w:rsid w:val="477B778F"/>
    <w:rsid w:val="478203EC"/>
    <w:rsid w:val="47B025FA"/>
    <w:rsid w:val="4809698F"/>
    <w:rsid w:val="4811697D"/>
    <w:rsid w:val="48505CB1"/>
    <w:rsid w:val="48651873"/>
    <w:rsid w:val="487A3E25"/>
    <w:rsid w:val="488B5503"/>
    <w:rsid w:val="48937E21"/>
    <w:rsid w:val="489A0361"/>
    <w:rsid w:val="489B34E7"/>
    <w:rsid w:val="48B94FF3"/>
    <w:rsid w:val="48E37AAB"/>
    <w:rsid w:val="48E37E04"/>
    <w:rsid w:val="48FD4B4C"/>
    <w:rsid w:val="490A68E0"/>
    <w:rsid w:val="491055FE"/>
    <w:rsid w:val="49465201"/>
    <w:rsid w:val="495F5B3E"/>
    <w:rsid w:val="49675177"/>
    <w:rsid w:val="496F77D7"/>
    <w:rsid w:val="49755AE6"/>
    <w:rsid w:val="497654FD"/>
    <w:rsid w:val="498134E7"/>
    <w:rsid w:val="49940662"/>
    <w:rsid w:val="49B64211"/>
    <w:rsid w:val="49D46CB0"/>
    <w:rsid w:val="49DB003F"/>
    <w:rsid w:val="49F6167F"/>
    <w:rsid w:val="4A064FA0"/>
    <w:rsid w:val="4A0D5D1E"/>
    <w:rsid w:val="4A16615C"/>
    <w:rsid w:val="4A3B4613"/>
    <w:rsid w:val="4A4424D7"/>
    <w:rsid w:val="4AB82D0F"/>
    <w:rsid w:val="4AC32699"/>
    <w:rsid w:val="4AEB7664"/>
    <w:rsid w:val="4AEE5B50"/>
    <w:rsid w:val="4AFD7C19"/>
    <w:rsid w:val="4B0567D1"/>
    <w:rsid w:val="4B236AAE"/>
    <w:rsid w:val="4B373569"/>
    <w:rsid w:val="4B707271"/>
    <w:rsid w:val="4B944949"/>
    <w:rsid w:val="4B9739F7"/>
    <w:rsid w:val="4BC93EC7"/>
    <w:rsid w:val="4BEE2503"/>
    <w:rsid w:val="4C245A30"/>
    <w:rsid w:val="4C3B3017"/>
    <w:rsid w:val="4C4023DB"/>
    <w:rsid w:val="4C6F2CC0"/>
    <w:rsid w:val="4C7E2F03"/>
    <w:rsid w:val="4C805B9E"/>
    <w:rsid w:val="4CA706AC"/>
    <w:rsid w:val="4CB6685F"/>
    <w:rsid w:val="4CC367FE"/>
    <w:rsid w:val="4CCB66FE"/>
    <w:rsid w:val="4CFB4554"/>
    <w:rsid w:val="4D077F3C"/>
    <w:rsid w:val="4D123355"/>
    <w:rsid w:val="4D2A3B31"/>
    <w:rsid w:val="4D312C52"/>
    <w:rsid w:val="4D317F76"/>
    <w:rsid w:val="4D5048A0"/>
    <w:rsid w:val="4D7560B4"/>
    <w:rsid w:val="4D905305"/>
    <w:rsid w:val="4D964A72"/>
    <w:rsid w:val="4D9C1254"/>
    <w:rsid w:val="4DC66910"/>
    <w:rsid w:val="4DF1DDC2"/>
    <w:rsid w:val="4DFA2A5E"/>
    <w:rsid w:val="4E793892"/>
    <w:rsid w:val="4E800872"/>
    <w:rsid w:val="4EC569ED"/>
    <w:rsid w:val="4ED50EA1"/>
    <w:rsid w:val="4EEC050C"/>
    <w:rsid w:val="4F0B2565"/>
    <w:rsid w:val="4F104EC3"/>
    <w:rsid w:val="4F47354A"/>
    <w:rsid w:val="4F8D1C8E"/>
    <w:rsid w:val="4F911C54"/>
    <w:rsid w:val="4FE17A31"/>
    <w:rsid w:val="4FE625E0"/>
    <w:rsid w:val="4FED4628"/>
    <w:rsid w:val="4FFA6D45"/>
    <w:rsid w:val="5021480F"/>
    <w:rsid w:val="50962ECB"/>
    <w:rsid w:val="50A42E38"/>
    <w:rsid w:val="50A4577F"/>
    <w:rsid w:val="50B73D1F"/>
    <w:rsid w:val="50BD5BC9"/>
    <w:rsid w:val="50C11EEE"/>
    <w:rsid w:val="50E97CFC"/>
    <w:rsid w:val="50FA4028"/>
    <w:rsid w:val="51071719"/>
    <w:rsid w:val="510D65B7"/>
    <w:rsid w:val="511157AB"/>
    <w:rsid w:val="511D718F"/>
    <w:rsid w:val="51330760"/>
    <w:rsid w:val="51346287"/>
    <w:rsid w:val="5142540C"/>
    <w:rsid w:val="5176689F"/>
    <w:rsid w:val="518832C8"/>
    <w:rsid w:val="519D3C50"/>
    <w:rsid w:val="51A0432A"/>
    <w:rsid w:val="51A86090"/>
    <w:rsid w:val="51B7396D"/>
    <w:rsid w:val="522E4CC3"/>
    <w:rsid w:val="523A1E43"/>
    <w:rsid w:val="5244713B"/>
    <w:rsid w:val="52615633"/>
    <w:rsid w:val="526F4DE4"/>
    <w:rsid w:val="52977FD4"/>
    <w:rsid w:val="52A116FA"/>
    <w:rsid w:val="52A25790"/>
    <w:rsid w:val="52A96B6F"/>
    <w:rsid w:val="52B45975"/>
    <w:rsid w:val="52D94AA4"/>
    <w:rsid w:val="52EA3A62"/>
    <w:rsid w:val="52F50BB8"/>
    <w:rsid w:val="53097272"/>
    <w:rsid w:val="53226CDE"/>
    <w:rsid w:val="532D1275"/>
    <w:rsid w:val="532E5683"/>
    <w:rsid w:val="534F73A8"/>
    <w:rsid w:val="53544462"/>
    <w:rsid w:val="5385101B"/>
    <w:rsid w:val="5397158E"/>
    <w:rsid w:val="53EE6BC1"/>
    <w:rsid w:val="54013861"/>
    <w:rsid w:val="54181E8F"/>
    <w:rsid w:val="54487265"/>
    <w:rsid w:val="544D6070"/>
    <w:rsid w:val="54605E1E"/>
    <w:rsid w:val="54B3506A"/>
    <w:rsid w:val="54B41297"/>
    <w:rsid w:val="54CA0D16"/>
    <w:rsid w:val="54D9517B"/>
    <w:rsid w:val="54DB5397"/>
    <w:rsid w:val="54DD4057"/>
    <w:rsid w:val="54E7490F"/>
    <w:rsid w:val="550764A4"/>
    <w:rsid w:val="550B2BF6"/>
    <w:rsid w:val="55214EB5"/>
    <w:rsid w:val="55364EFD"/>
    <w:rsid w:val="555D4828"/>
    <w:rsid w:val="557A4C8B"/>
    <w:rsid w:val="55872E29"/>
    <w:rsid w:val="558931E1"/>
    <w:rsid w:val="55923347"/>
    <w:rsid w:val="55925180"/>
    <w:rsid w:val="55983B1B"/>
    <w:rsid w:val="55A8376B"/>
    <w:rsid w:val="55AA4D69"/>
    <w:rsid w:val="55B41744"/>
    <w:rsid w:val="55DC29B6"/>
    <w:rsid w:val="55DD4241"/>
    <w:rsid w:val="55FD30EB"/>
    <w:rsid w:val="56334D5F"/>
    <w:rsid w:val="56471638"/>
    <w:rsid w:val="566B6D1E"/>
    <w:rsid w:val="56A45C5C"/>
    <w:rsid w:val="57032A2C"/>
    <w:rsid w:val="570F5219"/>
    <w:rsid w:val="575D12B5"/>
    <w:rsid w:val="57610A87"/>
    <w:rsid w:val="57723665"/>
    <w:rsid w:val="577B1140"/>
    <w:rsid w:val="577B7F21"/>
    <w:rsid w:val="577E025B"/>
    <w:rsid w:val="577F181B"/>
    <w:rsid w:val="57921984"/>
    <w:rsid w:val="579737F0"/>
    <w:rsid w:val="5798756F"/>
    <w:rsid w:val="57AB7B30"/>
    <w:rsid w:val="57AF5251"/>
    <w:rsid w:val="57B26373"/>
    <w:rsid w:val="57B63F04"/>
    <w:rsid w:val="57CD20C2"/>
    <w:rsid w:val="57D23342"/>
    <w:rsid w:val="57D675AB"/>
    <w:rsid w:val="57D73717"/>
    <w:rsid w:val="57D95FDD"/>
    <w:rsid w:val="58134E48"/>
    <w:rsid w:val="58917D2F"/>
    <w:rsid w:val="5894085C"/>
    <w:rsid w:val="58AE4F0C"/>
    <w:rsid w:val="58B85899"/>
    <w:rsid w:val="58BC54DF"/>
    <w:rsid w:val="58DA7713"/>
    <w:rsid w:val="58E363A9"/>
    <w:rsid w:val="58F85DEC"/>
    <w:rsid w:val="59166304"/>
    <w:rsid w:val="59352B9C"/>
    <w:rsid w:val="593C3F2A"/>
    <w:rsid w:val="595E1678"/>
    <w:rsid w:val="596D5BD4"/>
    <w:rsid w:val="597E3DD8"/>
    <w:rsid w:val="598B6C60"/>
    <w:rsid w:val="59AC5554"/>
    <w:rsid w:val="59F34F31"/>
    <w:rsid w:val="59F80043"/>
    <w:rsid w:val="5A09252F"/>
    <w:rsid w:val="5A0B2778"/>
    <w:rsid w:val="5A2A7C7B"/>
    <w:rsid w:val="5A3E2560"/>
    <w:rsid w:val="5A5D3B6E"/>
    <w:rsid w:val="5A61633E"/>
    <w:rsid w:val="5A637A76"/>
    <w:rsid w:val="5A647BDD"/>
    <w:rsid w:val="5A6D33BA"/>
    <w:rsid w:val="5A792B1F"/>
    <w:rsid w:val="5A871B1D"/>
    <w:rsid w:val="5A874767"/>
    <w:rsid w:val="5A951B44"/>
    <w:rsid w:val="5AA85BE2"/>
    <w:rsid w:val="5AAD6F28"/>
    <w:rsid w:val="5AD308BE"/>
    <w:rsid w:val="5AD63A24"/>
    <w:rsid w:val="5B2E1A1D"/>
    <w:rsid w:val="5B843A1C"/>
    <w:rsid w:val="5B873E3F"/>
    <w:rsid w:val="5B8D4F11"/>
    <w:rsid w:val="5BCF1086"/>
    <w:rsid w:val="5C02690E"/>
    <w:rsid w:val="5C0304F1"/>
    <w:rsid w:val="5C196DA7"/>
    <w:rsid w:val="5C2A048C"/>
    <w:rsid w:val="5C80234E"/>
    <w:rsid w:val="5C8A680C"/>
    <w:rsid w:val="5CFD7E74"/>
    <w:rsid w:val="5D0C4701"/>
    <w:rsid w:val="5D0F0395"/>
    <w:rsid w:val="5D221076"/>
    <w:rsid w:val="5D397964"/>
    <w:rsid w:val="5D4E247E"/>
    <w:rsid w:val="5D5A391C"/>
    <w:rsid w:val="5D5F10C0"/>
    <w:rsid w:val="5D891B7B"/>
    <w:rsid w:val="5DAD38EE"/>
    <w:rsid w:val="5DD46E27"/>
    <w:rsid w:val="5DF272AD"/>
    <w:rsid w:val="5E006862"/>
    <w:rsid w:val="5E0207B9"/>
    <w:rsid w:val="5E1834A1"/>
    <w:rsid w:val="5E261785"/>
    <w:rsid w:val="5E4A7017"/>
    <w:rsid w:val="5E552BBA"/>
    <w:rsid w:val="5E611C10"/>
    <w:rsid w:val="5E7A0F3F"/>
    <w:rsid w:val="5EAE58CA"/>
    <w:rsid w:val="5EC7698C"/>
    <w:rsid w:val="5EEC01A1"/>
    <w:rsid w:val="5EFC7377"/>
    <w:rsid w:val="5F06174D"/>
    <w:rsid w:val="5F2C67EF"/>
    <w:rsid w:val="5F3A3602"/>
    <w:rsid w:val="5F45733B"/>
    <w:rsid w:val="5F6146EB"/>
    <w:rsid w:val="5F6277C6"/>
    <w:rsid w:val="5F6D0B1D"/>
    <w:rsid w:val="5F775CBC"/>
    <w:rsid w:val="5F7E34EF"/>
    <w:rsid w:val="5F8D0B82"/>
    <w:rsid w:val="5FB40CBE"/>
    <w:rsid w:val="5FCC5339"/>
    <w:rsid w:val="5FE34A5B"/>
    <w:rsid w:val="5FFE1E36"/>
    <w:rsid w:val="6005151A"/>
    <w:rsid w:val="601E25DC"/>
    <w:rsid w:val="60232584"/>
    <w:rsid w:val="606D6C2A"/>
    <w:rsid w:val="607330CE"/>
    <w:rsid w:val="60825176"/>
    <w:rsid w:val="609F2AC4"/>
    <w:rsid w:val="60EA0710"/>
    <w:rsid w:val="60FA2EE8"/>
    <w:rsid w:val="61047A23"/>
    <w:rsid w:val="610538E1"/>
    <w:rsid w:val="61054A27"/>
    <w:rsid w:val="610A52BC"/>
    <w:rsid w:val="61113EEE"/>
    <w:rsid w:val="611D2366"/>
    <w:rsid w:val="6138591F"/>
    <w:rsid w:val="61421856"/>
    <w:rsid w:val="615227C4"/>
    <w:rsid w:val="61654E3F"/>
    <w:rsid w:val="617D1584"/>
    <w:rsid w:val="617FD818"/>
    <w:rsid w:val="6182292A"/>
    <w:rsid w:val="619F7F92"/>
    <w:rsid w:val="61B067D3"/>
    <w:rsid w:val="61C3355C"/>
    <w:rsid w:val="61F94C26"/>
    <w:rsid w:val="62000E56"/>
    <w:rsid w:val="623A1223"/>
    <w:rsid w:val="623A601C"/>
    <w:rsid w:val="623E51B7"/>
    <w:rsid w:val="623F6839"/>
    <w:rsid w:val="624F3E49"/>
    <w:rsid w:val="62632286"/>
    <w:rsid w:val="62885958"/>
    <w:rsid w:val="62AF289C"/>
    <w:rsid w:val="62BB6808"/>
    <w:rsid w:val="62F40B65"/>
    <w:rsid w:val="62FC2CFE"/>
    <w:rsid w:val="63024505"/>
    <w:rsid w:val="632C14B3"/>
    <w:rsid w:val="634560D1"/>
    <w:rsid w:val="63464323"/>
    <w:rsid w:val="635600A5"/>
    <w:rsid w:val="635B1DB5"/>
    <w:rsid w:val="63691DC0"/>
    <w:rsid w:val="63711FED"/>
    <w:rsid w:val="637864A7"/>
    <w:rsid w:val="63847915"/>
    <w:rsid w:val="63880DDC"/>
    <w:rsid w:val="638D750D"/>
    <w:rsid w:val="639A466F"/>
    <w:rsid w:val="63AC6CC0"/>
    <w:rsid w:val="63EA73A4"/>
    <w:rsid w:val="64055776"/>
    <w:rsid w:val="64240056"/>
    <w:rsid w:val="643E143A"/>
    <w:rsid w:val="64491666"/>
    <w:rsid w:val="6461518D"/>
    <w:rsid w:val="64664551"/>
    <w:rsid w:val="64836EB1"/>
    <w:rsid w:val="648B6EEF"/>
    <w:rsid w:val="64AC28AC"/>
    <w:rsid w:val="64C158BF"/>
    <w:rsid w:val="64CE2EAA"/>
    <w:rsid w:val="64E262CE"/>
    <w:rsid w:val="64F93617"/>
    <w:rsid w:val="650049A6"/>
    <w:rsid w:val="6531653E"/>
    <w:rsid w:val="653C3090"/>
    <w:rsid w:val="6546685C"/>
    <w:rsid w:val="65476131"/>
    <w:rsid w:val="65854376"/>
    <w:rsid w:val="658767BE"/>
    <w:rsid w:val="65892531"/>
    <w:rsid w:val="658E5B0E"/>
    <w:rsid w:val="65C32A4A"/>
    <w:rsid w:val="65DD0843"/>
    <w:rsid w:val="66195831"/>
    <w:rsid w:val="662E75B1"/>
    <w:rsid w:val="66342C2E"/>
    <w:rsid w:val="663E784C"/>
    <w:rsid w:val="665E3732"/>
    <w:rsid w:val="668B6A45"/>
    <w:rsid w:val="66BC5957"/>
    <w:rsid w:val="672F3F24"/>
    <w:rsid w:val="673E055F"/>
    <w:rsid w:val="67551CE3"/>
    <w:rsid w:val="67746F85"/>
    <w:rsid w:val="677671A1"/>
    <w:rsid w:val="67A22552"/>
    <w:rsid w:val="67B22DCC"/>
    <w:rsid w:val="67BE71AA"/>
    <w:rsid w:val="67D90273"/>
    <w:rsid w:val="67DE5875"/>
    <w:rsid w:val="67E55852"/>
    <w:rsid w:val="67E97973"/>
    <w:rsid w:val="67EB1AB4"/>
    <w:rsid w:val="67F500C6"/>
    <w:rsid w:val="67F9684B"/>
    <w:rsid w:val="67FA1285"/>
    <w:rsid w:val="68551F4F"/>
    <w:rsid w:val="687C10C9"/>
    <w:rsid w:val="68840C16"/>
    <w:rsid w:val="68876EFB"/>
    <w:rsid w:val="68884654"/>
    <w:rsid w:val="689F444F"/>
    <w:rsid w:val="68B96DBB"/>
    <w:rsid w:val="68C161FA"/>
    <w:rsid w:val="68CA2805"/>
    <w:rsid w:val="68CF4DBB"/>
    <w:rsid w:val="68D75A1D"/>
    <w:rsid w:val="68E937A3"/>
    <w:rsid w:val="69232A11"/>
    <w:rsid w:val="693E15D3"/>
    <w:rsid w:val="69603C65"/>
    <w:rsid w:val="69627681"/>
    <w:rsid w:val="6977531D"/>
    <w:rsid w:val="699456BD"/>
    <w:rsid w:val="69CC2BFF"/>
    <w:rsid w:val="69DA5576"/>
    <w:rsid w:val="69FD55B8"/>
    <w:rsid w:val="6A0B1C62"/>
    <w:rsid w:val="6A2406C8"/>
    <w:rsid w:val="6A4B221F"/>
    <w:rsid w:val="6ADE0BD1"/>
    <w:rsid w:val="6AE96859"/>
    <w:rsid w:val="6B147746"/>
    <w:rsid w:val="6B24787C"/>
    <w:rsid w:val="6B573233"/>
    <w:rsid w:val="6B5B6274"/>
    <w:rsid w:val="6B935D53"/>
    <w:rsid w:val="6BB362CE"/>
    <w:rsid w:val="6BD149A6"/>
    <w:rsid w:val="6C196F71"/>
    <w:rsid w:val="6C226FCB"/>
    <w:rsid w:val="6C31226F"/>
    <w:rsid w:val="6C552F0B"/>
    <w:rsid w:val="6C8C67B7"/>
    <w:rsid w:val="6C9D744C"/>
    <w:rsid w:val="6CBF6EF4"/>
    <w:rsid w:val="6CE87DC7"/>
    <w:rsid w:val="6D167928"/>
    <w:rsid w:val="6D26299B"/>
    <w:rsid w:val="6D2D0302"/>
    <w:rsid w:val="6D4772EC"/>
    <w:rsid w:val="6D8A470B"/>
    <w:rsid w:val="6D8E4F15"/>
    <w:rsid w:val="6D9078AF"/>
    <w:rsid w:val="6DAA3FEF"/>
    <w:rsid w:val="6DC0172B"/>
    <w:rsid w:val="6DCB690C"/>
    <w:rsid w:val="6DD41A5B"/>
    <w:rsid w:val="6DF43C2E"/>
    <w:rsid w:val="6DF51CA3"/>
    <w:rsid w:val="6DFF5AC8"/>
    <w:rsid w:val="6E230927"/>
    <w:rsid w:val="6E245261"/>
    <w:rsid w:val="6E8335BD"/>
    <w:rsid w:val="6E8E12EF"/>
    <w:rsid w:val="6E972936"/>
    <w:rsid w:val="6ED446C5"/>
    <w:rsid w:val="6EFEDDB2"/>
    <w:rsid w:val="6F2A7D94"/>
    <w:rsid w:val="6F6049BF"/>
    <w:rsid w:val="6F7F171C"/>
    <w:rsid w:val="6F8331F1"/>
    <w:rsid w:val="6F9FA53D"/>
    <w:rsid w:val="6FAE1A09"/>
    <w:rsid w:val="6FD75BF8"/>
    <w:rsid w:val="6FDE9E66"/>
    <w:rsid w:val="701B6B38"/>
    <w:rsid w:val="701D01BA"/>
    <w:rsid w:val="701E33A8"/>
    <w:rsid w:val="702F613F"/>
    <w:rsid w:val="707723D0"/>
    <w:rsid w:val="70781894"/>
    <w:rsid w:val="70D311C0"/>
    <w:rsid w:val="70F5661B"/>
    <w:rsid w:val="711315BD"/>
    <w:rsid w:val="71233EF6"/>
    <w:rsid w:val="71360107"/>
    <w:rsid w:val="713B688E"/>
    <w:rsid w:val="71D43752"/>
    <w:rsid w:val="71F1796A"/>
    <w:rsid w:val="71F9215D"/>
    <w:rsid w:val="721101F2"/>
    <w:rsid w:val="72154626"/>
    <w:rsid w:val="72200435"/>
    <w:rsid w:val="72262B5D"/>
    <w:rsid w:val="72283FF7"/>
    <w:rsid w:val="722E7212"/>
    <w:rsid w:val="7238577F"/>
    <w:rsid w:val="723A0474"/>
    <w:rsid w:val="724834E8"/>
    <w:rsid w:val="72541E8D"/>
    <w:rsid w:val="725923E4"/>
    <w:rsid w:val="726E2F4F"/>
    <w:rsid w:val="72864BF7"/>
    <w:rsid w:val="729023FC"/>
    <w:rsid w:val="72EC6569"/>
    <w:rsid w:val="73974727"/>
    <w:rsid w:val="73C0646E"/>
    <w:rsid w:val="740A314B"/>
    <w:rsid w:val="742222F5"/>
    <w:rsid w:val="74273CFD"/>
    <w:rsid w:val="74476126"/>
    <w:rsid w:val="74706664"/>
    <w:rsid w:val="747F3682"/>
    <w:rsid w:val="749C4185"/>
    <w:rsid w:val="74F51705"/>
    <w:rsid w:val="75067759"/>
    <w:rsid w:val="752E6DCD"/>
    <w:rsid w:val="754D7793"/>
    <w:rsid w:val="754E52B9"/>
    <w:rsid w:val="7551380D"/>
    <w:rsid w:val="75600BE5"/>
    <w:rsid w:val="7564475C"/>
    <w:rsid w:val="7583797F"/>
    <w:rsid w:val="75BF3AC1"/>
    <w:rsid w:val="75D20F1D"/>
    <w:rsid w:val="75DA2C18"/>
    <w:rsid w:val="75F54412"/>
    <w:rsid w:val="760065B4"/>
    <w:rsid w:val="761D08E0"/>
    <w:rsid w:val="765D347C"/>
    <w:rsid w:val="76826699"/>
    <w:rsid w:val="76BE3BB7"/>
    <w:rsid w:val="76C87133"/>
    <w:rsid w:val="76CD08D5"/>
    <w:rsid w:val="76CF41D8"/>
    <w:rsid w:val="76DB4B92"/>
    <w:rsid w:val="77052AA4"/>
    <w:rsid w:val="77136511"/>
    <w:rsid w:val="77137032"/>
    <w:rsid w:val="7725204A"/>
    <w:rsid w:val="77340A39"/>
    <w:rsid w:val="77351FD0"/>
    <w:rsid w:val="77472422"/>
    <w:rsid w:val="777F31F2"/>
    <w:rsid w:val="77A9BE0C"/>
    <w:rsid w:val="77D1700D"/>
    <w:rsid w:val="77DB696C"/>
    <w:rsid w:val="77EC04CC"/>
    <w:rsid w:val="78411105"/>
    <w:rsid w:val="78434E7D"/>
    <w:rsid w:val="78511348"/>
    <w:rsid w:val="78775729"/>
    <w:rsid w:val="78A42DB0"/>
    <w:rsid w:val="78A656AB"/>
    <w:rsid w:val="78B2245C"/>
    <w:rsid w:val="78E172CC"/>
    <w:rsid w:val="78EA1D1F"/>
    <w:rsid w:val="7904172F"/>
    <w:rsid w:val="790F7E27"/>
    <w:rsid w:val="792A231A"/>
    <w:rsid w:val="79316829"/>
    <w:rsid w:val="793F73F3"/>
    <w:rsid w:val="79534C4C"/>
    <w:rsid w:val="797E66A9"/>
    <w:rsid w:val="798518A4"/>
    <w:rsid w:val="79A97383"/>
    <w:rsid w:val="79E27E8B"/>
    <w:rsid w:val="79EA1A55"/>
    <w:rsid w:val="79F850CE"/>
    <w:rsid w:val="79FD443C"/>
    <w:rsid w:val="7A1D1975"/>
    <w:rsid w:val="7A3E5150"/>
    <w:rsid w:val="7A440A39"/>
    <w:rsid w:val="7A4670D6"/>
    <w:rsid w:val="7A534B63"/>
    <w:rsid w:val="7A615382"/>
    <w:rsid w:val="7A635363"/>
    <w:rsid w:val="7A67303B"/>
    <w:rsid w:val="7A8377B3"/>
    <w:rsid w:val="7A862E00"/>
    <w:rsid w:val="7A935406"/>
    <w:rsid w:val="7A9B2D4F"/>
    <w:rsid w:val="7AAB1D04"/>
    <w:rsid w:val="7ABA4368"/>
    <w:rsid w:val="7AD05746"/>
    <w:rsid w:val="7AD16771"/>
    <w:rsid w:val="7AD65B35"/>
    <w:rsid w:val="7B257FFD"/>
    <w:rsid w:val="7B343476"/>
    <w:rsid w:val="7B5A2978"/>
    <w:rsid w:val="7B5A7E4C"/>
    <w:rsid w:val="7B667AF9"/>
    <w:rsid w:val="7B7468F8"/>
    <w:rsid w:val="7B7517F2"/>
    <w:rsid w:val="7BEE0103"/>
    <w:rsid w:val="7C0A0FE4"/>
    <w:rsid w:val="7C254906"/>
    <w:rsid w:val="7C3F3BAE"/>
    <w:rsid w:val="7C442F72"/>
    <w:rsid w:val="7C590818"/>
    <w:rsid w:val="7C7C10F6"/>
    <w:rsid w:val="7C853BEA"/>
    <w:rsid w:val="7C881368"/>
    <w:rsid w:val="7C947A56"/>
    <w:rsid w:val="7CCF6769"/>
    <w:rsid w:val="7CE27788"/>
    <w:rsid w:val="7CFC2019"/>
    <w:rsid w:val="7D0C32F1"/>
    <w:rsid w:val="7D0F408D"/>
    <w:rsid w:val="7D491C6C"/>
    <w:rsid w:val="7D4D5E56"/>
    <w:rsid w:val="7D5429C0"/>
    <w:rsid w:val="7D6E6D43"/>
    <w:rsid w:val="7DA43CC8"/>
    <w:rsid w:val="7DB57A34"/>
    <w:rsid w:val="7DD86F60"/>
    <w:rsid w:val="7DE60973"/>
    <w:rsid w:val="7DEF0916"/>
    <w:rsid w:val="7E1A21DD"/>
    <w:rsid w:val="7E1E5218"/>
    <w:rsid w:val="7E1F77F3"/>
    <w:rsid w:val="7E266DD3"/>
    <w:rsid w:val="7E6B2A38"/>
    <w:rsid w:val="7E7F4735"/>
    <w:rsid w:val="7E9A4E1F"/>
    <w:rsid w:val="7EA7723A"/>
    <w:rsid w:val="7EB443DF"/>
    <w:rsid w:val="7EE06F82"/>
    <w:rsid w:val="7EEE68EE"/>
    <w:rsid w:val="7EF56FBB"/>
    <w:rsid w:val="7F0215EE"/>
    <w:rsid w:val="7F0768EB"/>
    <w:rsid w:val="7F076C05"/>
    <w:rsid w:val="7F143BEC"/>
    <w:rsid w:val="7F3C2134"/>
    <w:rsid w:val="7F565496"/>
    <w:rsid w:val="7F594883"/>
    <w:rsid w:val="7F715AF2"/>
    <w:rsid w:val="7F886E69"/>
    <w:rsid w:val="7F92F5C0"/>
    <w:rsid w:val="7F961E7F"/>
    <w:rsid w:val="7FC70D8A"/>
    <w:rsid w:val="7FCC5758"/>
    <w:rsid w:val="9EEBCADD"/>
    <w:rsid w:val="9FCD3301"/>
    <w:rsid w:val="9FDF3BBF"/>
    <w:rsid w:val="A81CFD31"/>
    <w:rsid w:val="B7DEC915"/>
    <w:rsid w:val="BB7FA927"/>
    <w:rsid w:val="BEFFB39F"/>
    <w:rsid w:val="BF676975"/>
    <w:rsid w:val="BFFDAC50"/>
    <w:rsid w:val="C9EC567A"/>
    <w:rsid w:val="CDF44AEC"/>
    <w:rsid w:val="CF7303B9"/>
    <w:rsid w:val="CF7F716C"/>
    <w:rsid w:val="D4ED37F0"/>
    <w:rsid w:val="DAFF81C8"/>
    <w:rsid w:val="DB93F5F1"/>
    <w:rsid w:val="DEBFB260"/>
    <w:rsid w:val="EF7E0E30"/>
    <w:rsid w:val="EFB60A98"/>
    <w:rsid w:val="F5FFD31F"/>
    <w:rsid w:val="F6EF6DCE"/>
    <w:rsid w:val="F753A8D7"/>
    <w:rsid w:val="FABA89A6"/>
    <w:rsid w:val="FBBEB8A3"/>
    <w:rsid w:val="FBC5412C"/>
    <w:rsid w:val="FBFBFEDF"/>
    <w:rsid w:val="FC9BD831"/>
    <w:rsid w:val="FDBE6F34"/>
    <w:rsid w:val="FDDF430C"/>
    <w:rsid w:val="FDEB7B96"/>
    <w:rsid w:val="FF67F697"/>
    <w:rsid w:val="FFAD6496"/>
    <w:rsid w:val="FFCF1770"/>
    <w:rsid w:val="FFEE45CA"/>
    <w:rsid w:val="FFFF3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3"/>
    <w:qFormat/>
    <w:uiPriority w:val="0"/>
    <w:pPr>
      <w:ind w:left="100" w:leftChars="2500"/>
    </w:pPr>
    <w:rPr>
      <w:rFonts w:ascii="宋体"/>
      <w:sz w:val="24"/>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3"/>
    <w:qFormat/>
    <w:uiPriority w:val="0"/>
    <w:rPr>
      <w:lang w:val="zh-CN"/>
    </w:rPr>
  </w:style>
  <w:style w:type="paragraph" w:styleId="38">
    <w:name w:val="Balloon Text"/>
    <w:basedOn w:val="1"/>
    <w:link w:val="190"/>
    <w:qFormat/>
    <w:uiPriority w:val="0"/>
    <w:rPr>
      <w:sz w:val="18"/>
      <w:szCs w:val="18"/>
    </w:rPr>
  </w:style>
  <w:style w:type="paragraph" w:styleId="39">
    <w:name w:val="footer"/>
    <w:basedOn w:val="1"/>
    <w:link w:val="385"/>
    <w:qFormat/>
    <w:uiPriority w:val="99"/>
    <w:pPr>
      <w:tabs>
        <w:tab w:val="center" w:pos="4153"/>
        <w:tab w:val="right" w:pos="8306"/>
      </w:tabs>
      <w:snapToGrid w:val="0"/>
      <w:jc w:val="left"/>
    </w:pPr>
    <w:rPr>
      <w:sz w:val="18"/>
      <w:szCs w:val="18"/>
    </w:rPr>
  </w:style>
  <w:style w:type="paragraph" w:styleId="40">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2"/>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4"/>
    <w:qFormat/>
    <w:uiPriority w:val="0"/>
    <w:pPr>
      <w:spacing w:after="120" w:line="480" w:lineRule="auto"/>
    </w:pPr>
  </w:style>
  <w:style w:type="paragraph" w:styleId="56">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8"/>
    <w:qFormat/>
    <w:uiPriority w:val="0"/>
    <w:rPr>
      <w:b/>
      <w:bCs/>
    </w:rPr>
  </w:style>
  <w:style w:type="paragraph" w:styleId="60">
    <w:name w:val="Body Text First Indent"/>
    <w:basedOn w:val="23"/>
    <w:link w:val="323"/>
    <w:qFormat/>
    <w:uiPriority w:val="0"/>
    <w:pPr>
      <w:ind w:firstLine="420"/>
    </w:pPr>
    <w:rPr>
      <w:rFonts w:hAnsi="Calibri" w:cs="Times New Roman"/>
      <w:snapToGrid/>
      <w:szCs w:val="20"/>
    </w:rPr>
  </w:style>
  <w:style w:type="paragraph" w:styleId="61">
    <w:name w:val="Body Text First Indent 2"/>
    <w:basedOn w:val="24"/>
    <w:next w:val="1"/>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
    <w:name w:val="表格文字"/>
    <w:basedOn w:val="32"/>
    <w:next w:val="23"/>
    <w:qFormat/>
    <w:uiPriority w:val="0"/>
    <w:pPr>
      <w:adjustRightInd/>
      <w:ind w:firstLine="200" w:firstLineChars="200"/>
    </w:pPr>
    <w:rPr>
      <w:rFonts w:ascii="Arial" w:hAnsi="Arial"/>
      <w:spacing w:val="-5"/>
      <w:kern w:val="0"/>
      <w:sz w:val="24"/>
      <w:szCs w:val="20"/>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59"/>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6"/>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5"/>
    <w:qFormat/>
    <w:uiPriority w:val="0"/>
    <w:rPr>
      <w:rFonts w:ascii="宋体"/>
      <w:kern w:val="2"/>
      <w:sz w:val="24"/>
      <w:szCs w:val="21"/>
      <w:lang w:val="zh-CN"/>
    </w:rPr>
  </w:style>
  <w:style w:type="character" w:customStyle="1" w:styleId="184">
    <w:name w:val="标题 9 字符"/>
    <w:link w:val="10"/>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8"/>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5"/>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表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4"/>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58"/>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6"/>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6"/>
    <w:qFormat/>
    <w:uiPriority w:val="0"/>
    <w:rPr>
      <w:rFonts w:ascii="黑体" w:hAnsi="Courier New" w:eastAsia="黑体"/>
    </w:rPr>
  </w:style>
  <w:style w:type="character" w:customStyle="1" w:styleId="304">
    <w:name w:val="正文文本 2 字符1"/>
    <w:link w:val="55"/>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8"/>
    <w:qFormat/>
    <w:uiPriority w:val="0"/>
    <w:rPr>
      <w:b/>
      <w:bCs/>
      <w:kern w:val="2"/>
      <w:sz w:val="24"/>
      <w:szCs w:val="24"/>
    </w:rPr>
  </w:style>
  <w:style w:type="character" w:customStyle="1" w:styleId="310">
    <w:name w:val="正文文本缩进 2 字符"/>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49"/>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60"/>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19"/>
    <w:qFormat/>
    <w:uiPriority w:val="0"/>
    <w:rPr>
      <w:kern w:val="2"/>
      <w:sz w:val="21"/>
      <w:szCs w:val="24"/>
    </w:rPr>
  </w:style>
  <w:style w:type="character" w:customStyle="1" w:styleId="347">
    <w:name w:val="签名 字符"/>
    <w:link w:val="41"/>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2"/>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39"/>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0"/>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2"/>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2"/>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609"/>
    <w:qFormat/>
    <w:uiPriority w:val="7"/>
    <w:pPr>
      <w:adjustRightInd/>
    </w:pPr>
    <w:rPr>
      <w:rFonts w:ascii="宋体" w:hAnsi="Courier New"/>
    </w:rPr>
  </w:style>
  <w:style w:type="paragraph" w:customStyle="1" w:styleId="609">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2"/>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2"/>
    <w:next w:val="52"/>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7"/>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w:qFormat/>
    <w:uiPriority w:val="0"/>
    <w:rPr>
      <w:rFonts w:ascii="宋体" w:hAnsi="宋体" w:eastAsia="宋体" w:cs="Times New Roman"/>
      <w:sz w:val="24"/>
      <w:lang w:val="en-US" w:eastAsia="en-US" w:bidi="ar-SA"/>
    </w:rPr>
  </w:style>
  <w:style w:type="character" w:customStyle="1" w:styleId="967">
    <w:name w:val="无"/>
    <w:qFormat/>
    <w:uiPriority w:val="0"/>
  </w:style>
  <w:style w:type="paragraph" w:customStyle="1" w:styleId="968">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69">
    <w:name w:val="正文缩进_0"/>
    <w:basedOn w:val="1"/>
    <w:qFormat/>
    <w:uiPriority w:val="0"/>
    <w:pPr>
      <w:ind w:firstLine="420"/>
    </w:pPr>
    <w:rPr>
      <w:rFonts w:ascii="Calibri" w:hAnsi="Calibri" w:cs="Calibri"/>
      <w:kern w:val="0"/>
      <w:sz w:val="24"/>
      <w:szCs w:val="20"/>
    </w:rPr>
  </w:style>
  <w:style w:type="character" w:customStyle="1" w:styleId="970">
    <w:name w:val="Hyperlink.3"/>
    <w:basedOn w:val="69"/>
    <w:qFormat/>
    <w:uiPriority w:val="99"/>
    <w:rPr>
      <w:rFonts w:ascii="宋体" w:hAnsi="宋体" w:eastAsia="宋体" w:cs="宋体"/>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68</Pages>
  <Words>2958</Words>
  <Characters>3372</Characters>
  <Lines>291</Lines>
  <Paragraphs>82</Paragraphs>
  <TotalTime>22</TotalTime>
  <ScaleCrop>false</ScaleCrop>
  <LinksUpToDate>false</LinksUpToDate>
  <CharactersWithSpaces>3598</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2021-08-11T08:22:00Z</dcterms:created>
  <dc:creator>玥</dc:creator>
  <cp:lastModifiedBy>Jane</cp:lastModifiedBy>
  <cp:lastPrinted>2025-04-16T11:11:00Z</cp:lastPrinted>
  <dcterms:modified xsi:type="dcterms:W3CDTF">2025-06-27T16:34:51Z</dcterms:modified>
  <dc:title>杭州市市民卡扩大发卡工程</dc:title>
  <cp:revision>346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4B2C44426D8BBFE3AB575E687476FAF3_43</vt:lpwstr>
  </property>
  <property fmtid="{D5CDD505-2E9C-101B-9397-08002B2CF9AE}" pid="5" name="KSOTemplateDocerSaveRecord">
    <vt:lpwstr>eyJoZGlkIjoiZDg5M2RiMTkwMzA5MzZlMThmZWJiNGRmZTAxM2YyZDciLCJ1c2VySWQiOiIyOTQ4NzE2NDcifQ==</vt:lpwstr>
  </property>
</Properties>
</file>