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C3E9C">
      <w:pPr>
        <w:spacing w:line="360" w:lineRule="auto"/>
        <w:jc w:val="center"/>
        <w:rPr>
          <w:rFonts w:hint="eastAsia" w:ascii="宋体" w:hAnsi="宋体" w:cs="宋体"/>
          <w:b/>
          <w:color w:val="auto"/>
          <w:sz w:val="24"/>
          <w:highlight w:val="none"/>
        </w:rPr>
      </w:pPr>
      <w:bookmarkStart w:id="401" w:name="_GoBack"/>
      <w:bookmarkEnd w:id="401"/>
    </w:p>
    <w:p w14:paraId="3E796376">
      <w:pPr>
        <w:adjustRightInd/>
        <w:spacing w:line="360" w:lineRule="auto"/>
        <w:jc w:val="center"/>
        <w:rPr>
          <w:rFonts w:hint="eastAsia" w:ascii="宋体" w:hAnsi="宋体" w:cs="宋体"/>
          <w:b/>
          <w:color w:val="auto"/>
          <w:sz w:val="44"/>
          <w:szCs w:val="44"/>
          <w:highlight w:val="none"/>
        </w:rPr>
      </w:pPr>
    </w:p>
    <w:p w14:paraId="4F769AD4">
      <w:pPr>
        <w:spacing w:line="360" w:lineRule="auto"/>
        <w:jc w:val="center"/>
        <w:rPr>
          <w:rFonts w:hint="eastAsia" w:ascii="宋体" w:hAnsi="宋体" w:cs="宋体"/>
          <w:b/>
          <w:color w:val="auto"/>
          <w:sz w:val="44"/>
          <w:szCs w:val="44"/>
          <w:highlight w:val="none"/>
        </w:rPr>
      </w:pPr>
    </w:p>
    <w:p w14:paraId="410DDCCB">
      <w:pPr>
        <w:adjustRightInd/>
        <w:spacing w:line="360" w:lineRule="auto"/>
        <w:jc w:val="center"/>
        <w:rPr>
          <w:rFonts w:hint="eastAsia" w:ascii="宋体" w:hAnsi="宋体" w:cs="宋体"/>
          <w:b/>
          <w:color w:val="auto"/>
          <w:sz w:val="48"/>
          <w:szCs w:val="48"/>
          <w:highlight w:val="none"/>
        </w:rPr>
      </w:pPr>
    </w:p>
    <w:p w14:paraId="0190583F">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城乡公交客运片区组团融合发展“缩小三大差距”促进共同富裕成效评估</w:t>
      </w:r>
    </w:p>
    <w:p w14:paraId="4D40898D">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招标文件</w:t>
      </w:r>
    </w:p>
    <w:p w14:paraId="69674426">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5F4B0CF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ZJHY-SGLYSZX-202509</w:t>
      </w:r>
    </w:p>
    <w:p w14:paraId="3F8639D6">
      <w:pPr>
        <w:adjustRightInd/>
        <w:spacing w:line="360" w:lineRule="auto"/>
        <w:rPr>
          <w:rFonts w:hint="eastAsia" w:ascii="宋体" w:hAnsi="宋体" w:cs="宋体"/>
          <w:color w:val="auto"/>
          <w:sz w:val="28"/>
          <w:szCs w:val="20"/>
          <w:highlight w:val="none"/>
        </w:rPr>
      </w:pPr>
    </w:p>
    <w:p w14:paraId="3C3A8900">
      <w:pPr>
        <w:spacing w:line="360" w:lineRule="auto"/>
        <w:jc w:val="center"/>
        <w:rPr>
          <w:rFonts w:hint="eastAsia" w:ascii="宋体" w:hAnsi="宋体" w:cs="宋体"/>
          <w:b/>
          <w:color w:val="auto"/>
          <w:sz w:val="44"/>
          <w:szCs w:val="44"/>
          <w:highlight w:val="none"/>
        </w:rPr>
      </w:pPr>
    </w:p>
    <w:p w14:paraId="429A6D08">
      <w:pPr>
        <w:spacing w:line="360" w:lineRule="auto"/>
        <w:jc w:val="center"/>
        <w:rPr>
          <w:rFonts w:hint="eastAsia" w:ascii="宋体" w:hAnsi="宋体" w:cs="宋体"/>
          <w:b/>
          <w:color w:val="auto"/>
          <w:sz w:val="44"/>
          <w:szCs w:val="44"/>
          <w:highlight w:val="none"/>
        </w:rPr>
      </w:pPr>
    </w:p>
    <w:p w14:paraId="2D8093D0">
      <w:pPr>
        <w:spacing w:line="360" w:lineRule="auto"/>
        <w:jc w:val="center"/>
        <w:rPr>
          <w:rFonts w:hint="eastAsia" w:ascii="宋体" w:hAnsi="宋体" w:cs="宋体"/>
          <w:color w:val="auto"/>
          <w:sz w:val="24"/>
          <w:highlight w:val="none"/>
        </w:rPr>
      </w:pPr>
    </w:p>
    <w:p w14:paraId="52B7E6D8">
      <w:pPr>
        <w:spacing w:line="360" w:lineRule="auto"/>
        <w:jc w:val="center"/>
        <w:rPr>
          <w:rFonts w:hint="eastAsia" w:ascii="宋体" w:hAnsi="宋体" w:cs="宋体"/>
          <w:color w:val="auto"/>
          <w:sz w:val="24"/>
          <w:highlight w:val="none"/>
        </w:rPr>
      </w:pPr>
    </w:p>
    <w:p w14:paraId="50D0A22F">
      <w:pPr>
        <w:spacing w:line="360" w:lineRule="auto"/>
        <w:rPr>
          <w:rFonts w:hint="eastAsia" w:ascii="宋体" w:hAnsi="宋体" w:cs="宋体"/>
          <w:color w:val="auto"/>
          <w:sz w:val="32"/>
          <w:szCs w:val="32"/>
          <w:highlight w:val="none"/>
        </w:rPr>
      </w:pPr>
    </w:p>
    <w:p w14:paraId="21AD7526">
      <w:pPr>
        <w:spacing w:line="360" w:lineRule="auto"/>
        <w:jc w:val="center"/>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浙江省公路与运输管理中心</w:t>
      </w:r>
    </w:p>
    <w:p w14:paraId="1F19FA67">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浙江华耀建设咨询有限公司</w:t>
      </w:r>
    </w:p>
    <w:p w14:paraId="0EFEB38D">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0E5D29C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5138CF5">
      <w:pPr>
        <w:spacing w:line="360" w:lineRule="auto"/>
        <w:jc w:val="center"/>
        <w:rPr>
          <w:rFonts w:hint="eastAsia" w:ascii="宋体" w:hAnsi="宋体" w:cs="宋体"/>
          <w:color w:val="auto"/>
          <w:sz w:val="24"/>
          <w:highlight w:val="none"/>
        </w:rPr>
      </w:pPr>
    </w:p>
    <w:p w14:paraId="00ADA4B9">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29283A4C">
      <w:pPr>
        <w:spacing w:line="360" w:lineRule="auto"/>
        <w:rPr>
          <w:rFonts w:hint="eastAsia" w:ascii="宋体" w:hAnsi="宋体" w:cs="宋体"/>
          <w:color w:val="auto"/>
          <w:sz w:val="32"/>
          <w:szCs w:val="32"/>
          <w:highlight w:val="none"/>
        </w:rPr>
      </w:pPr>
    </w:p>
    <w:p w14:paraId="4D4522A4">
      <w:pPr>
        <w:spacing w:line="360" w:lineRule="auto"/>
        <w:rPr>
          <w:rFonts w:hint="eastAsia" w:ascii="宋体" w:hAnsi="宋体" w:cs="宋体"/>
          <w:color w:val="auto"/>
          <w:sz w:val="32"/>
          <w:szCs w:val="32"/>
          <w:highlight w:val="none"/>
        </w:rPr>
      </w:pPr>
    </w:p>
    <w:p w14:paraId="40DDD4DE">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58B8C9E">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8CD31EC">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49FDABA">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3FA4693">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5DC9032">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CD6A90E">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09CE0DA4">
      <w:pPr>
        <w:spacing w:line="360" w:lineRule="auto"/>
        <w:ind w:firstLine="549" w:firstLineChars="229"/>
        <w:rPr>
          <w:rFonts w:hint="eastAsia" w:ascii="宋体" w:hAnsi="宋体" w:cs="宋体"/>
          <w:color w:val="auto"/>
          <w:sz w:val="24"/>
          <w:highlight w:val="none"/>
        </w:rPr>
      </w:pPr>
    </w:p>
    <w:p w14:paraId="67BEF675">
      <w:pPr>
        <w:spacing w:line="360" w:lineRule="auto"/>
        <w:ind w:firstLine="549" w:firstLineChars="229"/>
        <w:rPr>
          <w:rFonts w:hint="eastAsia" w:ascii="宋体" w:hAnsi="宋体" w:cs="宋体"/>
          <w:color w:val="auto"/>
          <w:sz w:val="24"/>
          <w:highlight w:val="none"/>
        </w:rPr>
      </w:pPr>
    </w:p>
    <w:p w14:paraId="37FCEC2F">
      <w:pPr>
        <w:spacing w:line="360" w:lineRule="auto"/>
        <w:ind w:firstLine="549" w:firstLineChars="229"/>
        <w:rPr>
          <w:rFonts w:hint="eastAsia" w:ascii="宋体" w:hAnsi="宋体" w:cs="宋体"/>
          <w:color w:val="auto"/>
          <w:sz w:val="24"/>
          <w:highlight w:val="none"/>
        </w:rPr>
      </w:pPr>
    </w:p>
    <w:p w14:paraId="3103C759">
      <w:pPr>
        <w:spacing w:line="360" w:lineRule="auto"/>
        <w:ind w:firstLine="549" w:firstLineChars="229"/>
        <w:rPr>
          <w:rFonts w:hint="eastAsia" w:ascii="宋体" w:hAnsi="宋体" w:cs="宋体"/>
          <w:color w:val="auto"/>
          <w:sz w:val="24"/>
          <w:highlight w:val="none"/>
        </w:rPr>
      </w:pPr>
    </w:p>
    <w:p w14:paraId="428CEC9D">
      <w:pPr>
        <w:spacing w:line="360" w:lineRule="auto"/>
        <w:ind w:firstLine="549" w:firstLineChars="229"/>
        <w:rPr>
          <w:rFonts w:hint="eastAsia" w:ascii="宋体" w:hAnsi="宋体" w:cs="宋体"/>
          <w:color w:val="auto"/>
          <w:sz w:val="24"/>
          <w:highlight w:val="none"/>
        </w:rPr>
      </w:pPr>
    </w:p>
    <w:p w14:paraId="2126D8F6">
      <w:pPr>
        <w:spacing w:line="360" w:lineRule="auto"/>
        <w:ind w:firstLine="549" w:firstLineChars="229"/>
        <w:rPr>
          <w:rFonts w:hint="eastAsia" w:ascii="宋体" w:hAnsi="宋体" w:cs="宋体"/>
          <w:color w:val="auto"/>
          <w:sz w:val="24"/>
          <w:highlight w:val="none"/>
        </w:rPr>
      </w:pPr>
    </w:p>
    <w:p w14:paraId="5464FDE3">
      <w:pPr>
        <w:spacing w:line="360" w:lineRule="auto"/>
        <w:ind w:firstLine="549" w:firstLineChars="229"/>
        <w:rPr>
          <w:rFonts w:hint="eastAsia" w:ascii="宋体" w:hAnsi="宋体" w:cs="宋体"/>
          <w:color w:val="auto"/>
          <w:sz w:val="24"/>
          <w:highlight w:val="none"/>
        </w:rPr>
      </w:pPr>
    </w:p>
    <w:p w14:paraId="1364BC9F">
      <w:pPr>
        <w:spacing w:line="360" w:lineRule="auto"/>
        <w:ind w:firstLine="549" w:firstLineChars="229"/>
        <w:rPr>
          <w:rFonts w:hint="eastAsia" w:ascii="宋体" w:hAnsi="宋体" w:cs="宋体"/>
          <w:color w:val="auto"/>
          <w:sz w:val="24"/>
          <w:highlight w:val="none"/>
        </w:rPr>
      </w:pPr>
    </w:p>
    <w:p w14:paraId="263DEC7B">
      <w:pPr>
        <w:spacing w:line="360" w:lineRule="auto"/>
        <w:ind w:firstLine="549" w:firstLineChars="229"/>
        <w:rPr>
          <w:rFonts w:hint="eastAsia" w:ascii="宋体" w:hAnsi="宋体" w:cs="宋体"/>
          <w:color w:val="auto"/>
          <w:sz w:val="24"/>
          <w:highlight w:val="none"/>
        </w:rPr>
      </w:pPr>
    </w:p>
    <w:p w14:paraId="0E88C3E0">
      <w:pPr>
        <w:spacing w:line="360" w:lineRule="auto"/>
        <w:ind w:firstLine="549" w:firstLineChars="229"/>
        <w:rPr>
          <w:rFonts w:hint="eastAsia" w:ascii="宋体" w:hAnsi="宋体" w:cs="宋体"/>
          <w:color w:val="auto"/>
          <w:sz w:val="24"/>
          <w:highlight w:val="none"/>
        </w:rPr>
      </w:pPr>
    </w:p>
    <w:p w14:paraId="11F2EF0C">
      <w:pPr>
        <w:spacing w:line="360" w:lineRule="auto"/>
        <w:ind w:firstLine="549" w:firstLineChars="229"/>
        <w:rPr>
          <w:rFonts w:hint="eastAsia" w:ascii="宋体" w:hAnsi="宋体" w:cs="宋体"/>
          <w:color w:val="auto"/>
          <w:sz w:val="24"/>
          <w:highlight w:val="none"/>
        </w:rPr>
      </w:pPr>
    </w:p>
    <w:p w14:paraId="679BDE96">
      <w:pPr>
        <w:spacing w:line="360" w:lineRule="auto"/>
        <w:ind w:firstLine="549" w:firstLineChars="229"/>
        <w:rPr>
          <w:rFonts w:hint="eastAsia" w:ascii="宋体" w:hAnsi="宋体" w:cs="宋体"/>
          <w:color w:val="auto"/>
          <w:sz w:val="24"/>
          <w:highlight w:val="none"/>
        </w:rPr>
      </w:pPr>
    </w:p>
    <w:p w14:paraId="27F43154">
      <w:pPr>
        <w:spacing w:line="360" w:lineRule="auto"/>
        <w:rPr>
          <w:rFonts w:hint="eastAsia" w:ascii="宋体" w:hAnsi="宋体" w:cs="宋体"/>
          <w:color w:val="auto"/>
          <w:sz w:val="24"/>
          <w:highlight w:val="none"/>
        </w:rPr>
      </w:pPr>
    </w:p>
    <w:bookmarkEnd w:id="2"/>
    <w:p w14:paraId="25734178">
      <w:pPr>
        <w:rPr>
          <w:rFonts w:hint="eastAsia" w:ascii="宋体" w:hAnsi="宋体" w:cs="宋体"/>
          <w:b/>
          <w:color w:val="auto"/>
          <w:sz w:val="36"/>
          <w:szCs w:val="20"/>
          <w:highlight w:val="none"/>
        </w:rPr>
      </w:pPr>
      <w:bookmarkStart w:id="3" w:name="_Hlt74707423"/>
      <w:bookmarkEnd w:id="3"/>
      <w:bookmarkStart w:id="4" w:name="_Hlt74729822"/>
      <w:bookmarkEnd w:id="4"/>
      <w:bookmarkStart w:id="5" w:name="_Hlt74728647"/>
      <w:bookmarkEnd w:id="5"/>
      <w:bookmarkStart w:id="6" w:name="_Hlt74649545"/>
      <w:bookmarkEnd w:id="6"/>
      <w:bookmarkStart w:id="7" w:name="_Toc91899870"/>
      <w:bookmarkStart w:id="8" w:name="_Toc91899871"/>
      <w:r>
        <w:rPr>
          <w:rFonts w:hint="eastAsia" w:ascii="宋体" w:hAnsi="宋体" w:cs="宋体"/>
          <w:b/>
          <w:color w:val="auto"/>
          <w:sz w:val="36"/>
          <w:szCs w:val="20"/>
          <w:highlight w:val="none"/>
        </w:rPr>
        <w:br w:type="page"/>
      </w:r>
    </w:p>
    <w:p w14:paraId="01620A90">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200EAEDE">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31363E8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城乡公交客运片区组团融合发展“缩小三大差距”促进共同富裕成效评估</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07</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18</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14</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00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2C51B0DA">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215F00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ZJHY-SGLYSZX-202509</w:t>
      </w:r>
    </w:p>
    <w:p w14:paraId="0703F98C">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城乡公交客运片区组团融合发展“缩小三大差距”促进共同富裕成效评估</w:t>
      </w:r>
    </w:p>
    <w:p w14:paraId="5D84D87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Theme="minorEastAsia" w:hAnsiTheme="minorEastAsia" w:eastAsiaTheme="minorEastAsia" w:cstheme="minorEastAsia"/>
          <w:b/>
          <w:color w:val="auto"/>
          <w:sz w:val="24"/>
          <w:highlight w:val="none"/>
          <w:lang w:val="en-US" w:eastAsia="zh-CN"/>
        </w:rPr>
        <w:t>800000</w:t>
      </w:r>
      <w:r>
        <w:rPr>
          <w:rFonts w:hint="eastAsia" w:ascii="宋体" w:hAnsi="宋体" w:cs="宋体"/>
          <w:color w:val="auto"/>
          <w:sz w:val="24"/>
          <w:highlight w:val="none"/>
        </w:rPr>
        <w:t xml:space="preserve"> </w:t>
      </w:r>
    </w:p>
    <w:p w14:paraId="51912394">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Theme="minorEastAsia" w:hAnsiTheme="minorEastAsia" w:eastAsiaTheme="minorEastAsia" w:cstheme="minorEastAsia"/>
          <w:b/>
          <w:color w:val="auto"/>
          <w:sz w:val="24"/>
          <w:highlight w:val="none"/>
          <w:lang w:val="en-US" w:eastAsia="zh-CN"/>
        </w:rPr>
        <w:t>800000</w:t>
      </w:r>
      <w:r>
        <w:rPr>
          <w:rFonts w:hint="eastAsia" w:ascii="宋体" w:hAnsi="宋体" w:cs="宋体"/>
          <w:color w:val="auto"/>
          <w:sz w:val="24"/>
          <w:highlight w:val="none"/>
        </w:rPr>
        <w:t xml:space="preserve"> </w:t>
      </w:r>
    </w:p>
    <w:p w14:paraId="3BDDD222">
      <w:pPr>
        <w:pStyle w:val="15"/>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城乡公交客运片区组团融合发展“缩小三大差距”促进共同富裕成效评估</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28A36B3">
      <w:pPr>
        <w:pStyle w:val="15"/>
        <w:spacing w:line="360" w:lineRule="auto"/>
        <w:ind w:firstLine="480"/>
        <w:rPr>
          <w:rFonts w:hint="eastAsia" w:ascii="宋体" w:hAnsi="宋体" w:cs="宋体"/>
          <w:b/>
          <w:color w:val="auto"/>
          <w:highlight w:val="none"/>
        </w:rPr>
      </w:pPr>
      <w:r>
        <w:rPr>
          <w:rFonts w:hint="eastAsia" w:ascii="宋体" w:hAnsi="宋体" w:eastAsia="宋体" w:cs="宋体"/>
          <w:b/>
          <w:color w:val="auto"/>
          <w:sz w:val="24"/>
          <w:highlight w:val="none"/>
        </w:rPr>
        <w:t>合同履约期限：本计划服务期约6个月</w:t>
      </w:r>
      <w:r>
        <w:rPr>
          <w:rFonts w:hint="eastAsia" w:cs="Times New Roman" w:asciiTheme="minorEastAsia" w:hAnsiTheme="minorEastAsia" w:eastAsiaTheme="minorEastAsia"/>
          <w:snapToGrid/>
          <w:color w:val="auto"/>
          <w:kern w:val="2"/>
          <w:sz w:val="24"/>
          <w:szCs w:val="24"/>
          <w:highlight w:val="none"/>
        </w:rPr>
        <w:t>。</w:t>
      </w:r>
    </w:p>
    <w:p w14:paraId="46E0FDE3">
      <w:pPr>
        <w:pStyle w:val="15"/>
        <w:spacing w:line="360" w:lineRule="auto"/>
        <w:ind w:firstLine="480"/>
        <w:rPr>
          <w:rFonts w:hint="eastAsia"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B2622A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w:t>
      </w:r>
      <w:bookmarkStart w:id="9" w:name="_Hlk101132948"/>
      <w:r>
        <w:rPr>
          <w:rFonts w:hint="eastAsia" w:ascii="宋体" w:hAnsi="宋体" w:cs="宋体"/>
          <w:b/>
          <w:color w:val="auto"/>
          <w:sz w:val="24"/>
          <w:highlight w:val="none"/>
        </w:rPr>
        <w:t>申请人的资格要求</w:t>
      </w:r>
      <w:bookmarkEnd w:id="9"/>
      <w:r>
        <w:rPr>
          <w:rFonts w:hint="eastAsia" w:ascii="宋体" w:hAnsi="宋体" w:cs="宋体"/>
          <w:b/>
          <w:color w:val="auto"/>
          <w:sz w:val="24"/>
          <w:highlight w:val="none"/>
        </w:rPr>
        <w:t>：</w:t>
      </w:r>
    </w:p>
    <w:p w14:paraId="379630C5">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91F16A1">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B9AA4AA">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cs="宋体"/>
          <w:snapToGrid w:val="0"/>
          <w:color w:val="auto"/>
          <w:kern w:val="28"/>
          <w:sz w:val="24"/>
          <w:szCs w:val="20"/>
          <w:highlight w:val="none"/>
          <w:lang w:val="en-US" w:eastAsia="zh-CN"/>
        </w:rPr>
        <w:t>无</w:t>
      </w:r>
      <w:r>
        <w:rPr>
          <w:rFonts w:hint="eastAsia" w:ascii="宋体" w:hAnsi="宋体" w:cs="宋体"/>
          <w:snapToGrid w:val="0"/>
          <w:color w:val="auto"/>
          <w:kern w:val="28"/>
          <w:sz w:val="24"/>
          <w:szCs w:val="20"/>
          <w:highlight w:val="none"/>
        </w:rPr>
        <w:t>。</w:t>
      </w:r>
    </w:p>
    <w:p w14:paraId="047AACCD">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无。</w:t>
      </w:r>
    </w:p>
    <w:p w14:paraId="551994A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11D6BB7">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58E472B">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CEC7503">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0CAEEB8">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54E907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279EB93">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4F79ACBD">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216F257">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05D2E5BD">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346F38C">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42D4EC6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308F4FFB">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622BA8F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18B60B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AD835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6E5ECF">
      <w:pPr>
        <w:spacing w:line="360" w:lineRule="auto"/>
        <w:ind w:firstLine="480" w:firstLineChars="200"/>
        <w:rPr>
          <w:rFonts w:hint="eastAsia" w:eastAsia="宋体"/>
          <w:color w:val="auto"/>
          <w:highlight w:val="none"/>
          <w:lang w:eastAsia="zh-CN"/>
        </w:rPr>
      </w:pPr>
      <w:r>
        <w:rPr>
          <w:rFonts w:hint="eastAsia" w:ascii="宋体" w:hAnsi="宋体" w:cs="宋体"/>
          <w:color w:val="auto"/>
          <w:sz w:val="24"/>
          <w:highlight w:val="none"/>
        </w:rPr>
        <w:t>4.其他事项：（1）招标文件公告期限与招标公告的公告期限一致</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）单位负责人为同一人或者存在直接控股、管理关系的不同供应商，不得参加同一合同项下的政府采购活动</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）为采购项目提供整体设计、规范编制或者项目管理、监理、检测等服务后不得再参加该采购项目的其他采购活动</w:t>
      </w:r>
      <w:r>
        <w:rPr>
          <w:rFonts w:hint="eastAsia" w:ascii="宋体" w:hAnsi="宋体" w:cs="宋体"/>
          <w:color w:val="auto"/>
          <w:sz w:val="24"/>
          <w:highlight w:val="none"/>
          <w:lang w:eastAsia="zh-CN"/>
        </w:rPr>
        <w:t>；</w:t>
      </w:r>
      <w:r>
        <w:rPr>
          <w:rFonts w:hint="eastAsia" w:hAnsi="宋体" w:cs="宋体"/>
          <w:color w:val="auto"/>
          <w:sz w:val="24"/>
          <w:highlight w:val="none"/>
          <w:lang w:eastAsia="zh-CN"/>
        </w:rPr>
        <w:t>（</w:t>
      </w:r>
      <w:r>
        <w:rPr>
          <w:rFonts w:hint="eastAsia" w:hAnsi="宋体" w:cs="宋体"/>
          <w:color w:val="auto"/>
          <w:sz w:val="24"/>
          <w:highlight w:val="none"/>
          <w:lang w:val="en-US" w:eastAsia="zh-CN"/>
        </w:rPr>
        <w:t>4</w:t>
      </w:r>
      <w:r>
        <w:rPr>
          <w:rFonts w:hint="eastAsia" w:hAnsi="宋体" w:cs="宋体"/>
          <w:color w:val="auto"/>
          <w:sz w:val="24"/>
          <w:highlight w:val="none"/>
          <w:lang w:eastAsia="zh-CN"/>
        </w:rPr>
        <w:t>）投标人不得为“公益一类事业单位、使用事业编制且由财政拨款保障的群团组织；（</w:t>
      </w:r>
      <w:r>
        <w:rPr>
          <w:rFonts w:hint="eastAsia" w:hAnsi="宋体" w:cs="宋体"/>
          <w:color w:val="auto"/>
          <w:sz w:val="24"/>
          <w:highlight w:val="none"/>
          <w:lang w:val="en-US" w:eastAsia="zh-CN"/>
        </w:rPr>
        <w:t>5</w:t>
      </w:r>
      <w:r>
        <w:rPr>
          <w:rFonts w:hint="eastAsia" w:hAnsi="宋体" w:cs="宋体"/>
          <w:color w:val="auto"/>
          <w:sz w:val="24"/>
          <w:highlight w:val="none"/>
          <w:lang w:eastAsia="zh-CN"/>
        </w:rPr>
        <w:t>）</w:t>
      </w:r>
      <w:r>
        <w:rPr>
          <w:rFonts w:hint="eastAsia" w:cs="仿宋_GB2312" w:asciiTheme="majorEastAsia" w:hAnsiTheme="majorEastAsia" w:eastAsiaTheme="majorEastAsia"/>
          <w:b/>
          <w:color w:val="auto"/>
          <w:sz w:val="24"/>
          <w:highlight w:val="none"/>
        </w:rPr>
        <w:t>电子交易的说明: 1）电子交易：</w:t>
      </w:r>
      <w:r>
        <w:rPr>
          <w:rFonts w:hint="eastAsia" w:cs="仿宋_GB2312" w:asciiTheme="majorEastAsia" w:hAnsiTheme="majorEastAsia" w:eastAsiaTheme="majorEastAsia"/>
          <w:color w:val="auto"/>
          <w:sz w:val="24"/>
          <w:highlight w:val="none"/>
        </w:rPr>
        <w:t>本项目以数据电文形式，依托“政府采购云平台（www.zcygov.cn）”进行采购活动，不接受纸质响应文件</w:t>
      </w:r>
      <w:r>
        <w:rPr>
          <w:rFonts w:hint="eastAsia" w:cs="仿宋_GB2312" w:asciiTheme="majorEastAsia" w:hAnsiTheme="majorEastAsia" w:eastAsiaTheme="majorEastAsia"/>
          <w:color w:val="auto"/>
          <w:sz w:val="24"/>
          <w:highlight w:val="none"/>
          <w:lang w:eastAsia="zh-CN"/>
        </w:rPr>
        <w:t>；</w:t>
      </w:r>
      <w:r>
        <w:rPr>
          <w:rFonts w:hint="eastAsia" w:cs="仿宋_GB2312" w:asciiTheme="majorEastAsia" w:hAnsiTheme="majorEastAsia" w:eastAsiaTheme="majorEastAsia"/>
          <w:b/>
          <w:color w:val="auto"/>
          <w:sz w:val="24"/>
          <w:highlight w:val="none"/>
        </w:rPr>
        <w:t>2）响应准备：</w:t>
      </w:r>
      <w:r>
        <w:rPr>
          <w:rFonts w:hint="eastAsia" w:cs="仿宋_GB2312" w:asciiTheme="majorEastAsia" w:hAnsiTheme="majorEastAsia" w:eastAsiaTheme="maj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ajorEastAsia" w:hAnsiTheme="majorEastAsia" w:eastAsiaTheme="majorEastAsia"/>
          <w:b/>
          <w:color w:val="auto"/>
          <w:sz w:val="24"/>
          <w:highlight w:val="none"/>
        </w:rPr>
        <w:t>3）</w:t>
      </w:r>
      <w:r>
        <w:rPr>
          <w:rFonts w:hint="eastAsia" w:cs="仿宋_GB2312" w:asciiTheme="majorEastAsia" w:hAnsiTheme="majorEastAsia" w:eastAsiaTheme="majorEastAsia"/>
          <w:b/>
          <w:color w:val="auto"/>
          <w:sz w:val="24"/>
          <w:highlight w:val="none"/>
          <w:lang w:eastAsia="zh-CN"/>
        </w:rPr>
        <w:t>采购文件</w:t>
      </w:r>
      <w:r>
        <w:rPr>
          <w:rFonts w:hint="eastAsia" w:cs="仿宋_GB2312" w:asciiTheme="majorEastAsia" w:hAnsiTheme="majorEastAsia" w:eastAsiaTheme="majorEastAsia"/>
          <w:b/>
          <w:color w:val="auto"/>
          <w:sz w:val="24"/>
          <w:highlight w:val="none"/>
        </w:rPr>
        <w:t>的获取：</w:t>
      </w:r>
      <w:r>
        <w:rPr>
          <w:rFonts w:hint="eastAsia" w:cs="仿宋_GB2312" w:asciiTheme="majorEastAsia" w:hAnsiTheme="majorEastAsia" w:eastAsiaTheme="majorEastAsia"/>
          <w:color w:val="auto"/>
          <w:sz w:val="24"/>
          <w:highlight w:val="none"/>
        </w:rPr>
        <w:t>使用账号登录或者使用CA登录政采云平台；进入“项目采购”应用，在获取采购文件菜单中选择项目，获取</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b/>
          <w:color w:val="auto"/>
          <w:sz w:val="24"/>
          <w:highlight w:val="none"/>
        </w:rPr>
        <w:t>4）响应文件的制作：</w:t>
      </w:r>
      <w:r>
        <w:rPr>
          <w:rFonts w:hint="eastAsia" w:cs="仿宋_GB2312" w:asciiTheme="majorEastAsia" w:hAnsiTheme="majorEastAsia" w:eastAsiaTheme="majorEastAsia"/>
          <w:color w:val="auto"/>
          <w:sz w:val="24"/>
          <w:highlight w:val="none"/>
        </w:rPr>
        <w:t>在“政采云电子交易客户端”中完成“填写基本信息”、“导入投标文件”、“标书关联”、“标书检查”、“电子签名”、“生成电子标书”等操作</w:t>
      </w:r>
      <w:r>
        <w:rPr>
          <w:rFonts w:hint="eastAsia" w:cs="仿宋_GB2312" w:asciiTheme="majorEastAsia" w:hAnsiTheme="majorEastAsia" w:eastAsiaTheme="majorEastAsia"/>
          <w:color w:val="auto"/>
          <w:sz w:val="24"/>
          <w:highlight w:val="none"/>
          <w:lang w:eastAsia="zh-CN"/>
        </w:rPr>
        <w:t>；</w:t>
      </w:r>
      <w:r>
        <w:rPr>
          <w:rFonts w:cs="仿宋_GB2312" w:asciiTheme="majorEastAsia" w:hAnsiTheme="majorEastAsia" w:eastAsiaTheme="majorEastAsia"/>
          <w:b/>
          <w:color w:val="auto"/>
          <w:sz w:val="24"/>
          <w:highlight w:val="none"/>
        </w:rPr>
        <w:t>5）</w:t>
      </w:r>
      <w:r>
        <w:rPr>
          <w:rFonts w:hint="eastAsia" w:cs="仿宋_GB2312" w:asciiTheme="majorEastAsia" w:hAnsiTheme="majorEastAsia" w:eastAsiaTheme="majorEastAsia"/>
          <w:color w:val="auto"/>
          <w:sz w:val="24"/>
          <w:highlight w:val="none"/>
        </w:rPr>
        <w:t>采购人、采购代理机构将依托政采云平台完成本项目的电子交易活动，平台不接受未按本公告约定方式获取</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的供应商进行响应活动；</w:t>
      </w:r>
      <w:r>
        <w:rPr>
          <w:rFonts w:cs="仿宋_GB2312" w:asciiTheme="majorEastAsia" w:hAnsiTheme="majorEastAsia" w:eastAsiaTheme="majorEastAsia"/>
          <w:b/>
          <w:color w:val="auto"/>
          <w:sz w:val="24"/>
          <w:highlight w:val="none"/>
        </w:rPr>
        <w:t>6）</w:t>
      </w:r>
      <w:r>
        <w:rPr>
          <w:rFonts w:hint="eastAsia" w:cs="仿宋_GB2312" w:asciiTheme="majorEastAsia" w:hAnsiTheme="majorEastAsia" w:eastAsiaTheme="majorEastAsia"/>
          <w:color w:val="auto"/>
          <w:sz w:val="24"/>
          <w:highlight w:val="none"/>
        </w:rPr>
        <w:t>对未按上述方式获取</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的供应商对该文件提出的质疑，采购人或采购代理机构将不予处理</w:t>
      </w:r>
      <w:r>
        <w:rPr>
          <w:rFonts w:hint="eastAsia" w:cs="仿宋_GB2312" w:asciiTheme="majorEastAsia" w:hAnsiTheme="majorEastAsia" w:eastAsiaTheme="majorEastAsia"/>
          <w:b/>
          <w:color w:val="auto"/>
          <w:sz w:val="24"/>
          <w:highlight w:val="none"/>
        </w:rPr>
        <w:t>；</w:t>
      </w:r>
      <w:r>
        <w:rPr>
          <w:rFonts w:cs="仿宋_GB2312" w:asciiTheme="majorEastAsia" w:hAnsiTheme="majorEastAsia" w:eastAsiaTheme="majorEastAsia"/>
          <w:b/>
          <w:color w:val="auto"/>
          <w:sz w:val="24"/>
          <w:highlight w:val="none"/>
        </w:rPr>
        <w:t>7）</w:t>
      </w:r>
      <w:r>
        <w:rPr>
          <w:rFonts w:hint="eastAsia" w:cs="仿宋_GB2312" w:asciiTheme="majorEastAsia" w:hAnsiTheme="majorEastAsia" w:eastAsiaTheme="majorEastAsia"/>
          <w:color w:val="auto"/>
          <w:sz w:val="24"/>
          <w:highlight w:val="none"/>
        </w:rPr>
        <w:t>不提供</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纸质版；</w:t>
      </w:r>
      <w:r>
        <w:rPr>
          <w:rFonts w:cs="仿宋_GB2312" w:asciiTheme="majorEastAsia" w:hAnsiTheme="majorEastAsia" w:eastAsiaTheme="majorEastAsia"/>
          <w:b/>
          <w:color w:val="auto"/>
          <w:sz w:val="24"/>
          <w:highlight w:val="none"/>
        </w:rPr>
        <w:t>8</w:t>
      </w:r>
      <w:r>
        <w:rPr>
          <w:rFonts w:hint="eastAsia" w:cs="仿宋_GB2312" w:asciiTheme="majorEastAsia" w:hAnsiTheme="majorEastAsia" w:eastAsiaTheme="majorEastAsia"/>
          <w:b/>
          <w:color w:val="auto"/>
          <w:sz w:val="24"/>
          <w:highlight w:val="none"/>
        </w:rPr>
        <w:t>）响应文件的传输提交：</w:t>
      </w:r>
      <w:r>
        <w:rPr>
          <w:rFonts w:hint="eastAsia" w:cs="仿宋_GB2312" w:asciiTheme="majorEastAsia" w:hAnsiTheme="majorEastAsia" w:eastAsiaTheme="majorEastAsia"/>
          <w:color w:val="auto"/>
          <w:sz w:val="24"/>
          <w:highlight w:val="none"/>
        </w:rPr>
        <w:t>供应商在提交响应文件的截止时间前将加密的响应文件上传至政府采购云平台，还可以在提交响应文件的截止时间前</w:t>
      </w:r>
      <w:r>
        <w:rPr>
          <w:rFonts w:hint="eastAsia" w:cs="仿宋_GB2312" w:asciiTheme="majorEastAsia" w:hAnsiTheme="majorEastAsia" w:eastAsiaTheme="majorEastAsia"/>
          <w:color w:val="auto"/>
          <w:sz w:val="24"/>
          <w:highlight w:val="none"/>
          <w:lang w:val="en-US" w:eastAsia="zh-CN"/>
        </w:rPr>
        <w:t>以发送邮件</w:t>
      </w:r>
      <w:r>
        <w:rPr>
          <w:rFonts w:hint="eastAsia" w:cs="仿宋_GB2312" w:asciiTheme="majorEastAsia" w:hAnsiTheme="majorEastAsia" w:eastAsiaTheme="majorEastAsia"/>
          <w:color w:val="auto"/>
          <w:sz w:val="24"/>
          <w:highlight w:val="none"/>
        </w:rPr>
        <w:t>方式提交备份响应文件1份。备份响应文件的制作、存储</w:t>
      </w:r>
      <w:r>
        <w:rPr>
          <w:rFonts w:hint="eastAsia" w:cs="仿宋_GB2312" w:asciiTheme="majorEastAsia" w:hAnsiTheme="majorEastAsia" w:eastAsiaTheme="majorEastAsia"/>
          <w:color w:val="auto"/>
          <w:sz w:val="24"/>
          <w:highlight w:val="none"/>
          <w:lang w:val="en-US" w:eastAsia="zh-CN"/>
        </w:rPr>
        <w:t>及提交等</w:t>
      </w:r>
      <w:r>
        <w:rPr>
          <w:rFonts w:hint="eastAsia" w:cs="仿宋_GB2312" w:asciiTheme="majorEastAsia" w:hAnsiTheme="majorEastAsia" w:eastAsiaTheme="majorEastAsia"/>
          <w:color w:val="auto"/>
          <w:sz w:val="24"/>
          <w:highlight w:val="none"/>
        </w:rPr>
        <w:t>详见</w:t>
      </w:r>
      <w:r>
        <w:rPr>
          <w:rFonts w:hint="eastAsia" w:cs="仿宋_GB2312" w:asciiTheme="majorEastAsia" w:hAnsiTheme="majorEastAsia" w:eastAsiaTheme="majorEastAsia"/>
          <w:color w:val="auto"/>
          <w:sz w:val="24"/>
          <w:highlight w:val="none"/>
          <w:lang w:val="en-US" w:eastAsia="zh-CN"/>
        </w:rPr>
        <w:t>采购</w:t>
      </w:r>
      <w:r>
        <w:rPr>
          <w:rFonts w:hint="eastAsia" w:cs="仿宋_GB2312" w:asciiTheme="majorEastAsia" w:hAnsiTheme="majorEastAsia" w:eastAsiaTheme="majorEastAsia"/>
          <w:color w:val="auto"/>
          <w:sz w:val="24"/>
          <w:highlight w:val="none"/>
        </w:rPr>
        <w:t>文件第三部分 “备份响应文件”；</w:t>
      </w:r>
      <w:r>
        <w:rPr>
          <w:rFonts w:hint="eastAsia" w:cs="仿宋_GB2312" w:asciiTheme="majorEastAsia" w:hAnsiTheme="majorEastAsia" w:eastAsiaTheme="majorEastAsia"/>
          <w:b/>
          <w:color w:val="auto"/>
          <w:sz w:val="24"/>
          <w:highlight w:val="none"/>
        </w:rPr>
        <w:t>9）响应文件的解密：</w:t>
      </w:r>
      <w:r>
        <w:rPr>
          <w:rFonts w:hint="eastAsia" w:cs="仿宋_GB2312" w:asciiTheme="majorEastAsia" w:hAnsiTheme="majorEastAsia" w:eastAsiaTheme="majorEastAsia"/>
          <w:color w:val="auto"/>
          <w:sz w:val="24"/>
          <w:highlight w:val="none"/>
        </w:rPr>
        <w:t>供应商按照平台提示和</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cs="仿宋_GB2312" w:asciiTheme="majorEastAsia" w:hAnsiTheme="majorEastAsia" w:eastAsiaTheme="majorEastAsia"/>
          <w:b/>
          <w:bCs/>
          <w:color w:val="auto"/>
          <w:sz w:val="24"/>
          <w:highlight w:val="none"/>
        </w:rPr>
        <w:t>10）</w:t>
      </w:r>
      <w:r>
        <w:rPr>
          <w:rFonts w:hint="eastAsia" w:cs="仿宋_GB2312" w:asciiTheme="majorEastAsia" w:hAnsiTheme="majorEastAsia" w:eastAsiaTheme="majorEastAsia"/>
          <w:b/>
          <w:color w:val="auto"/>
          <w:sz w:val="24"/>
          <w:highlight w:val="none"/>
        </w:rPr>
        <w:t>具体操作指南</w:t>
      </w:r>
      <w:r>
        <w:rPr>
          <w:rFonts w:hint="eastAsia" w:cs="仿宋_GB2312" w:asciiTheme="majorEastAsia" w:hAnsiTheme="majorEastAsia" w:eastAsiaTheme="majorEastAsia"/>
          <w:color w:val="auto"/>
          <w:sz w:val="24"/>
          <w:highlight w:val="none"/>
        </w:rPr>
        <w:t>：详见政采云平台“服务中心-帮助文档-项目采购-操作流程-电子招投标-政府采购项目电子交易管理操作指南-供应商”。</w:t>
      </w:r>
    </w:p>
    <w:p w14:paraId="056B071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3E7D12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358AF3F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浙江省公路与运输管理中心</w:t>
      </w:r>
      <w:r>
        <w:rPr>
          <w:rFonts w:hint="eastAsia" w:ascii="宋体" w:hAnsi="宋体" w:cs="宋体"/>
          <w:color w:val="auto"/>
          <w:sz w:val="24"/>
          <w:highlight w:val="none"/>
        </w:rPr>
        <w:t xml:space="preserve"> </w:t>
      </w:r>
    </w:p>
    <w:p w14:paraId="5F3ABFD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 杭州市上城区梅花碑4号</w:t>
      </w:r>
    </w:p>
    <w:p w14:paraId="14618A3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 /</w:t>
      </w:r>
    </w:p>
    <w:p w14:paraId="39B49AEF">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董老师</w:t>
      </w:r>
    </w:p>
    <w:p w14:paraId="29A7117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项目联系方式（询问）：0571-87811891</w:t>
      </w:r>
    </w:p>
    <w:p w14:paraId="5B5F6BC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翁老师</w:t>
      </w:r>
    </w:p>
    <w:p w14:paraId="57B77CA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质疑联系方式：0571-87820267</w:t>
      </w:r>
    </w:p>
    <w:p w14:paraId="49F7312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w:t>
      </w:r>
    </w:p>
    <w:p w14:paraId="7815797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称：浙江华耀建设咨询有限公司</w:t>
      </w:r>
    </w:p>
    <w:p w14:paraId="6C7842C1">
      <w:pPr>
        <w:spacing w:line="360" w:lineRule="auto"/>
        <w:ind w:firstLine="48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地    址：</w:t>
      </w:r>
      <w:r>
        <w:rPr>
          <w:rFonts w:hint="eastAsia" w:asciiTheme="minorEastAsia" w:hAnsiTheme="minorEastAsia" w:eastAsiaTheme="minorEastAsia" w:cstheme="minorEastAsia"/>
          <w:color w:val="auto"/>
          <w:sz w:val="24"/>
          <w:highlight w:val="none"/>
        </w:rPr>
        <w:t>杭州市上城区秋涛北路332号佰富时代中心3幢</w:t>
      </w:r>
      <w:r>
        <w:rPr>
          <w:rFonts w:hint="eastAsia" w:asciiTheme="minorEastAsia" w:hAnsiTheme="minorEastAsia" w:eastAsiaTheme="minorEastAsia" w:cstheme="minorEastAsia"/>
          <w:color w:val="auto"/>
          <w:sz w:val="24"/>
          <w:highlight w:val="none"/>
          <w:lang w:val="en-US" w:eastAsia="zh-CN"/>
        </w:rPr>
        <w:t>13楼</w:t>
      </w:r>
    </w:p>
    <w:p w14:paraId="759DFF1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6BF51E3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项目联系人（询问）：陈瑶、潘正阳</w:t>
      </w:r>
    </w:p>
    <w:p w14:paraId="2896263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18757567243</w:t>
      </w:r>
      <w:r>
        <w:rPr>
          <w:rFonts w:hint="eastAsia" w:ascii="宋体" w:hAnsi="宋体" w:cs="宋体"/>
          <w:color w:val="auto"/>
          <w:sz w:val="24"/>
          <w:highlight w:val="none"/>
        </w:rPr>
        <w:t>、13758171369</w:t>
      </w:r>
    </w:p>
    <w:p w14:paraId="0628FA2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质疑联系人：张焕欣 </w:t>
      </w:r>
    </w:p>
    <w:p w14:paraId="5B44DBA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质疑联系方式：15657173595</w:t>
      </w:r>
    </w:p>
    <w:p w14:paraId="1FC411D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color w:val="auto"/>
          <w:highlight w:val="none"/>
        </w:rPr>
        <w:t xml:space="preserve"> </w:t>
      </w:r>
      <w:r>
        <w:rPr>
          <w:rFonts w:hint="eastAsia" w:ascii="宋体" w:hAnsi="宋体" w:cs="宋体"/>
          <w:color w:val="auto"/>
          <w:sz w:val="24"/>
          <w:highlight w:val="none"/>
        </w:rPr>
        <w:t xml:space="preserve">该项目由采购人处理采购争议。质疑环节，采购人委托采购代理机构处理的，可由采购代理机构答复。对质疑答复不满意的，向采购人内部设置的采购监督机构反映。        </w:t>
      </w:r>
    </w:p>
    <w:p w14:paraId="39CC671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政策咨询：何一平、冯华，0571-87058424、87055741            </w:t>
      </w:r>
    </w:p>
    <w:p w14:paraId="6FAEF39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预算金额未达100万元的采购项目，由采购人处理采购争议。     </w:t>
      </w:r>
    </w:p>
    <w:p w14:paraId="70EA22E8">
      <w:pPr>
        <w:spacing w:line="360" w:lineRule="auto"/>
        <w:ind w:firstLine="480" w:firstLineChars="200"/>
        <w:rPr>
          <w:rFonts w:hint="eastAsia" w:ascii="宋体" w:hAnsi="宋体" w:cs="宋体"/>
          <w:color w:val="auto"/>
          <w:sz w:val="24"/>
          <w:highlight w:val="none"/>
        </w:rPr>
      </w:pPr>
    </w:p>
    <w:p w14:paraId="3115E79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1D4F26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1D7324C">
      <w:pPr>
        <w:pStyle w:val="32"/>
        <w:spacing w:line="360" w:lineRule="auto"/>
        <w:rPr>
          <w:rFonts w:hint="eastAsia"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689D302B">
      <w:pPr>
        <w:pStyle w:val="3"/>
        <w:rPr>
          <w:rFonts w:hint="eastAsia" w:ascii="宋体"/>
          <w:snapToGrid w:val="0"/>
          <w:color w:val="auto"/>
          <w:highlight w:val="none"/>
        </w:rPr>
      </w:pPr>
      <w:r>
        <w:rPr>
          <w:color w:val="auto"/>
          <w:highlight w:val="none"/>
        </w:rPr>
        <w:br w:type="page"/>
      </w:r>
    </w:p>
    <w:p w14:paraId="175D2667">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 投标人须知</w:t>
      </w:r>
      <w:bookmarkEnd w:id="7"/>
    </w:p>
    <w:p w14:paraId="69A56BF6">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28" w:type="dxa"/>
          <w:bottom w:w="0" w:type="dxa"/>
          <w:right w:w="28" w:type="dxa"/>
        </w:tblCellMar>
      </w:tblPr>
      <w:tblGrid>
        <w:gridCol w:w="629"/>
        <w:gridCol w:w="1843"/>
        <w:gridCol w:w="6095"/>
      </w:tblGrid>
      <w:tr w14:paraId="45ADAC9C">
        <w:tc>
          <w:tcPr>
            <w:tcW w:w="629" w:type="dxa"/>
            <w:tcBorders>
              <w:tl2br w:val="nil"/>
              <w:tr2bl w:val="nil"/>
            </w:tcBorders>
            <w:vAlign w:val="center"/>
          </w:tcPr>
          <w:p w14:paraId="2C85EF5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l2br w:val="nil"/>
              <w:tr2bl w:val="nil"/>
            </w:tcBorders>
            <w:vAlign w:val="center"/>
          </w:tcPr>
          <w:p w14:paraId="6E9035F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l2br w:val="nil"/>
              <w:tr2bl w:val="nil"/>
            </w:tcBorders>
            <w:vAlign w:val="center"/>
          </w:tcPr>
          <w:p w14:paraId="54C6742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0A7C0061">
        <w:tc>
          <w:tcPr>
            <w:tcW w:w="629" w:type="dxa"/>
            <w:tcBorders>
              <w:tl2br w:val="nil"/>
              <w:tr2bl w:val="nil"/>
            </w:tcBorders>
            <w:vAlign w:val="center"/>
          </w:tcPr>
          <w:p w14:paraId="115FE4F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l2br w:val="nil"/>
              <w:tr2bl w:val="nil"/>
            </w:tcBorders>
            <w:vAlign w:val="center"/>
          </w:tcPr>
          <w:p w14:paraId="3F60FDA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l2br w:val="nil"/>
              <w:tr2bl w:val="nil"/>
            </w:tcBorders>
            <w:vAlign w:val="center"/>
          </w:tcPr>
          <w:p w14:paraId="36815A04">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服务类。</w:t>
            </w:r>
          </w:p>
        </w:tc>
      </w:tr>
      <w:tr w14:paraId="304D7BD8">
        <w:tc>
          <w:tcPr>
            <w:tcW w:w="629" w:type="dxa"/>
            <w:tcBorders>
              <w:tl2br w:val="nil"/>
              <w:tr2bl w:val="nil"/>
            </w:tcBorders>
            <w:vAlign w:val="center"/>
          </w:tcPr>
          <w:p w14:paraId="440262A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l2br w:val="nil"/>
              <w:tr2bl w:val="nil"/>
            </w:tcBorders>
            <w:vAlign w:val="center"/>
          </w:tcPr>
          <w:p w14:paraId="44BDF10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l2br w:val="nil"/>
              <w:tr2bl w:val="nil"/>
            </w:tcBorders>
            <w:vAlign w:val="center"/>
          </w:tcPr>
          <w:p w14:paraId="7E1ED08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sz w:val="24"/>
                <w:highlight w:val="none"/>
                <w:u w:val="single"/>
                <w:lang w:eastAsia="zh-CN"/>
              </w:rPr>
              <w:t>城乡公交客运片区组团融合发展“缩小三大差距”促进共同富裕成效评估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其他未列明行业</w:t>
            </w:r>
            <w:r>
              <w:rPr>
                <w:rFonts w:hint="eastAsia" w:ascii="宋体" w:hAnsi="宋体" w:cs="宋体"/>
                <w:color w:val="auto"/>
                <w:kern w:val="0"/>
                <w:sz w:val="24"/>
                <w:highlight w:val="none"/>
              </w:rPr>
              <w:t>；</w:t>
            </w:r>
          </w:p>
          <w:p w14:paraId="61550992">
            <w:pPr>
              <w:spacing w:line="360" w:lineRule="auto"/>
              <w:rPr>
                <w:rFonts w:hint="eastAsia" w:ascii="宋体" w:hAnsi="宋体" w:cs="宋体"/>
                <w:color w:val="auto"/>
                <w:highlight w:val="none"/>
              </w:rPr>
            </w:pPr>
            <w:r>
              <w:rPr>
                <w:rFonts w:hint="eastAsia" w:ascii="宋体" w:hAnsi="宋体" w:cs="宋体"/>
                <w:color w:val="auto"/>
                <w:kern w:val="0"/>
                <w:sz w:val="24"/>
                <w:highlight w:val="none"/>
              </w:rPr>
              <w:t>根据《关于印发中小企业划型标准规定的通知》（工信部联企业〔2011〕300）第四条第（十六）项规定：其他未列明行业：从业人员300人以下的为中小微型企业。其中，从业人员100人及以上的为中型企业；从业人员10人及以上的为小型企业；从业人员10人以下的为微型企业。</w:t>
            </w:r>
          </w:p>
        </w:tc>
      </w:tr>
      <w:tr w14:paraId="26C2523E">
        <w:tc>
          <w:tcPr>
            <w:tcW w:w="629" w:type="dxa"/>
            <w:tcBorders>
              <w:tl2br w:val="nil"/>
              <w:tr2bl w:val="nil"/>
            </w:tcBorders>
            <w:vAlign w:val="center"/>
          </w:tcPr>
          <w:p w14:paraId="64E9C44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l2br w:val="nil"/>
              <w:tr2bl w:val="nil"/>
            </w:tcBorders>
            <w:vAlign w:val="center"/>
          </w:tcPr>
          <w:p w14:paraId="251F09A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l2br w:val="nil"/>
              <w:tr2bl w:val="nil"/>
            </w:tcBorders>
            <w:vAlign w:val="center"/>
          </w:tcPr>
          <w:p w14:paraId="10EE503F">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474835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C741875">
            <w:pP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14746407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818864C">
        <w:tc>
          <w:tcPr>
            <w:tcW w:w="629" w:type="dxa"/>
            <w:tcBorders>
              <w:tl2br w:val="nil"/>
              <w:tr2bl w:val="nil"/>
            </w:tcBorders>
            <w:vAlign w:val="center"/>
          </w:tcPr>
          <w:p w14:paraId="5FAFD75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l2br w:val="nil"/>
              <w:tr2bl w:val="nil"/>
            </w:tcBorders>
            <w:vAlign w:val="center"/>
          </w:tcPr>
          <w:p w14:paraId="3E44D63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l2br w:val="nil"/>
              <w:tr2bl w:val="nil"/>
            </w:tcBorders>
            <w:vAlign w:val="center"/>
          </w:tcPr>
          <w:p w14:paraId="47892FF5">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6751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服务</w:t>
            </w:r>
            <w:r>
              <w:rPr>
                <w:rFonts w:hint="eastAsia" w:ascii="宋体" w:hAnsi="宋体" w:cs="宋体"/>
                <w:color w:val="auto"/>
                <w:sz w:val="24"/>
                <w:highlight w:val="none"/>
              </w:rPr>
              <w:t>工作分包。</w:t>
            </w:r>
          </w:p>
          <w:p w14:paraId="0B5A4102">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62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E76AC2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789A45D">
        <w:tc>
          <w:tcPr>
            <w:tcW w:w="629" w:type="dxa"/>
            <w:tcBorders>
              <w:tl2br w:val="nil"/>
              <w:tr2bl w:val="nil"/>
            </w:tcBorders>
            <w:vAlign w:val="center"/>
          </w:tcPr>
          <w:p w14:paraId="5732D24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l2br w:val="nil"/>
              <w:tr2bl w:val="nil"/>
            </w:tcBorders>
            <w:vAlign w:val="center"/>
          </w:tcPr>
          <w:p w14:paraId="5326AC5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l2br w:val="nil"/>
              <w:tr2bl w:val="nil"/>
            </w:tcBorders>
            <w:vAlign w:val="center"/>
          </w:tcPr>
          <w:p w14:paraId="1821342A">
            <w:pPr>
              <w:spacing w:line="360" w:lineRule="auto"/>
              <w:rPr>
                <w:rFonts w:hint="eastAsia" w:ascii="宋体" w:hAnsi="宋体" w:cs="宋体"/>
                <w:color w:val="auto"/>
                <w:sz w:val="24"/>
                <w:highlight w:val="none"/>
              </w:rPr>
            </w:pPr>
            <w:sdt>
              <w:sdtPr>
                <w:rPr>
                  <w:rFonts w:hint="eastAsia"/>
                  <w:color w:val="auto"/>
                  <w:highlight w:val="none"/>
                </w:rPr>
                <w:id w:val="147461205"/>
                <w14:checkbox>
                  <w14:checked w14:val="1"/>
                  <w14:checkedState w14:val="00FE" w14:font="Wingdings"/>
                  <w14:uncheckedState w14:val="2610" w14:font="MS Gothic"/>
                </w14:checkbox>
              </w:sdtPr>
              <w:sdtEndPr>
                <w:rPr>
                  <w:rFonts w:hint="eastAsia"/>
                  <w:color w:val="auto"/>
                  <w:highlight w:val="none"/>
                </w:rPr>
              </w:sdtEndPr>
              <w:sdtContent>
                <w:r>
                  <w:rPr>
                    <w:rFonts w:hint="eastAsia" w:ascii="Wingdings" w:hAnsi="Wingdings"/>
                    <w:color w:val="auto"/>
                    <w:highlight w:val="none"/>
                  </w:rPr>
                  <w:t>þ</w:t>
                </w:r>
              </w:sdtContent>
            </w:sdt>
            <w:r>
              <w:rPr>
                <w:rFonts w:hint="eastAsia" w:ascii="宋体" w:hAnsi="宋体" w:cs="宋体"/>
                <w:color w:val="auto"/>
                <w:sz w:val="24"/>
                <w:highlight w:val="none"/>
              </w:rPr>
              <w:t>A不组织。</w:t>
            </w:r>
          </w:p>
          <w:p w14:paraId="231118C8">
            <w:pPr>
              <w:spacing w:line="360" w:lineRule="auto"/>
              <w:rPr>
                <w:rFonts w:hint="eastAsia" w:ascii="宋体" w:hAnsi="宋体" w:cs="宋体"/>
                <w:color w:val="auto"/>
                <w:sz w:val="24"/>
                <w:highlight w:val="none"/>
              </w:rPr>
            </w:pPr>
            <w:sdt>
              <w:sdtPr>
                <w:rPr>
                  <w:rFonts w:hint="eastAsia" w:ascii="宋体" w:hAnsi="宋体" w:cs="宋体"/>
                  <w:color w:val="auto"/>
                  <w:sz w:val="24"/>
                  <w:highlight w:val="none"/>
                </w:rPr>
                <w:id w:val="147458470"/>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B组织，时间：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A6A133F">
            <w:pPr>
              <w:pStyle w:val="80"/>
              <w:ind w:firstLine="0" w:firstLineChars="0"/>
              <w:rPr>
                <w:rFonts w:hint="eastAsia"/>
                <w:color w:val="auto"/>
                <w:highlight w:val="none"/>
              </w:rPr>
            </w:pPr>
            <w:r>
              <w:rPr>
                <w:rFonts w:hint="eastAsia" w:ascii="宋体" w:hAnsi="宋体" w:eastAsia="宋体" w:cs="宋体"/>
                <w:color w:val="auto"/>
                <w:sz w:val="24"/>
                <w:szCs w:val="24"/>
                <w:highlight w:val="none"/>
              </w:rPr>
              <w:t>☐C不统一组织，供应商在获取采购文件后，自行至项目现场考察。地点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color w:val="auto"/>
                <w:highlight w:val="none"/>
              </w:rPr>
              <w:t>。</w:t>
            </w:r>
          </w:p>
          <w:p w14:paraId="2E1C5BC8">
            <w:pPr>
              <w:pStyle w:val="80"/>
              <w:rPr>
                <w:rFonts w:hint="eastAsia"/>
                <w:color w:val="auto"/>
                <w:highlight w:val="none"/>
              </w:rPr>
            </w:pPr>
          </w:p>
        </w:tc>
      </w:tr>
      <w:tr w14:paraId="0FCFF99D">
        <w:tc>
          <w:tcPr>
            <w:tcW w:w="629" w:type="dxa"/>
            <w:tcBorders>
              <w:tl2br w:val="nil"/>
              <w:tr2bl w:val="nil"/>
            </w:tcBorders>
            <w:vAlign w:val="center"/>
          </w:tcPr>
          <w:p w14:paraId="306C3FC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l2br w:val="nil"/>
              <w:tr2bl w:val="nil"/>
            </w:tcBorders>
            <w:vAlign w:val="center"/>
          </w:tcPr>
          <w:p w14:paraId="5F759C2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l2br w:val="nil"/>
              <w:tr2bl w:val="nil"/>
            </w:tcBorders>
            <w:vAlign w:val="center"/>
          </w:tcPr>
          <w:p w14:paraId="3AC3767E">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7327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A19CE1A">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D98C0A2">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3B8F0D6">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CD79A3D">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3E1D93F">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F9B57A8">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FAAB34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2069B87">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42C9ACA">
        <w:tc>
          <w:tcPr>
            <w:tcW w:w="629" w:type="dxa"/>
            <w:tcBorders>
              <w:tl2br w:val="nil"/>
              <w:tr2bl w:val="nil"/>
            </w:tcBorders>
            <w:vAlign w:val="center"/>
          </w:tcPr>
          <w:p w14:paraId="28735E8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l2br w:val="nil"/>
              <w:tr2bl w:val="nil"/>
            </w:tcBorders>
            <w:vAlign w:val="center"/>
          </w:tcPr>
          <w:p w14:paraId="0BB1DC4A">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l2br w:val="nil"/>
              <w:tr2bl w:val="nil"/>
            </w:tcBorders>
            <w:vAlign w:val="center"/>
          </w:tcPr>
          <w:p w14:paraId="121904C0">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7668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F7C212">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39B9E2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2BBB6A8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08CFAD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B110C3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C3EFA49">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8D5D6AE">
        <w:tc>
          <w:tcPr>
            <w:tcW w:w="629" w:type="dxa"/>
            <w:vMerge w:val="restart"/>
            <w:tcBorders>
              <w:tl2br w:val="nil"/>
              <w:tr2bl w:val="nil"/>
            </w:tcBorders>
            <w:vAlign w:val="center"/>
          </w:tcPr>
          <w:p w14:paraId="08D0BE8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l2br w:val="nil"/>
              <w:tr2bl w:val="nil"/>
            </w:tcBorders>
            <w:vAlign w:val="center"/>
          </w:tcPr>
          <w:p w14:paraId="7F41303C">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l2br w:val="nil"/>
              <w:tr2bl w:val="nil"/>
            </w:tcBorders>
            <w:vAlign w:val="center"/>
          </w:tcPr>
          <w:p w14:paraId="522C3A68">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B47676E">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98AD1DC">
        <w:tc>
          <w:tcPr>
            <w:tcW w:w="629" w:type="dxa"/>
            <w:vMerge w:val="continue"/>
            <w:tcBorders>
              <w:tl2br w:val="nil"/>
              <w:tr2bl w:val="nil"/>
            </w:tcBorders>
            <w:vAlign w:val="center"/>
          </w:tcPr>
          <w:p w14:paraId="087588C7">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23D20F9A">
            <w:pPr>
              <w:snapToGrid w:val="0"/>
              <w:spacing w:line="360" w:lineRule="auto"/>
              <w:jc w:val="center"/>
              <w:rPr>
                <w:rFonts w:hint="eastAsia" w:ascii="宋体" w:hAnsi="宋体" w:cs="宋体"/>
                <w:b/>
                <w:color w:val="auto"/>
                <w:sz w:val="24"/>
                <w:highlight w:val="none"/>
              </w:rPr>
            </w:pPr>
          </w:p>
        </w:tc>
        <w:tc>
          <w:tcPr>
            <w:tcW w:w="6095" w:type="dxa"/>
            <w:tcBorders>
              <w:tl2br w:val="nil"/>
              <w:tr2bl w:val="nil"/>
            </w:tcBorders>
            <w:vAlign w:val="center"/>
          </w:tcPr>
          <w:p w14:paraId="74E38F67">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959AD50">
        <w:tc>
          <w:tcPr>
            <w:tcW w:w="629" w:type="dxa"/>
            <w:tcBorders>
              <w:tl2br w:val="nil"/>
              <w:tr2bl w:val="nil"/>
            </w:tcBorders>
            <w:vAlign w:val="center"/>
          </w:tcPr>
          <w:p w14:paraId="0DB9347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l2br w:val="nil"/>
              <w:tr2bl w:val="nil"/>
            </w:tcBorders>
            <w:vAlign w:val="center"/>
          </w:tcPr>
          <w:p w14:paraId="599A531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l2br w:val="nil"/>
              <w:tr2bl w:val="nil"/>
            </w:tcBorders>
            <w:vAlign w:val="center"/>
          </w:tcPr>
          <w:p w14:paraId="2941BE18">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F153FDA">
            <w:pPr>
              <w:spacing w:line="360" w:lineRule="auto"/>
              <w:rPr>
                <w:rFonts w:hint="eastAsia" w:ascii="宋体" w:hAnsi="宋体" w:cs="宋体"/>
                <w:color w:val="auto"/>
                <w:sz w:val="24"/>
                <w:highlight w:val="none"/>
              </w:rPr>
            </w:pPr>
            <w:sdt>
              <w:sdtPr>
                <w:rPr>
                  <w:rFonts w:hint="eastAsia" w:ascii="宋体" w:hAnsi="宋体" w:cs="宋体"/>
                  <w:color w:val="auto"/>
                  <w:sz w:val="24"/>
                  <w:highlight w:val="none"/>
                </w:rPr>
                <w:id w:val="147461840"/>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 xml:space="preserve">强制采购。产品：    </w:t>
            </w:r>
          </w:p>
          <w:p w14:paraId="4B2329E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□优先采购节能产品。产品：   </w:t>
            </w:r>
          </w:p>
          <w:p w14:paraId="681EA24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□优先采购环保产品。产品：    </w:t>
            </w:r>
          </w:p>
          <w:p w14:paraId="79B6F238">
            <w:pPr>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☑无</w:t>
            </w:r>
          </w:p>
        </w:tc>
      </w:tr>
      <w:tr w14:paraId="393EAA94">
        <w:tc>
          <w:tcPr>
            <w:tcW w:w="629" w:type="dxa"/>
            <w:tcBorders>
              <w:tl2br w:val="nil"/>
              <w:tr2bl w:val="nil"/>
            </w:tcBorders>
            <w:vAlign w:val="center"/>
          </w:tcPr>
          <w:p w14:paraId="68EB086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l2br w:val="nil"/>
              <w:tr2bl w:val="nil"/>
            </w:tcBorders>
            <w:vAlign w:val="center"/>
          </w:tcPr>
          <w:p w14:paraId="391A266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l2br w:val="nil"/>
              <w:tr2bl w:val="nil"/>
            </w:tcBorders>
            <w:vAlign w:val="center"/>
          </w:tcPr>
          <w:p w14:paraId="27C4145D">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w:t>
            </w:r>
            <w:r>
              <w:rPr>
                <w:rFonts w:hint="eastAsia" w:ascii="宋体" w:hAnsi="宋体" w:cs="宋体"/>
                <w:b/>
                <w:color w:val="auto"/>
                <w:kern w:val="0"/>
                <w:sz w:val="24"/>
                <w:highlight w:val="none"/>
              </w:rPr>
              <w:t>如有</w:t>
            </w:r>
            <w:r>
              <w:rPr>
                <w:rFonts w:hint="eastAsia" w:ascii="宋体" w:hAnsi="宋体" w:cs="宋体"/>
                <w:b/>
                <w:color w:val="auto"/>
                <w:kern w:val="0"/>
                <w:sz w:val="24"/>
                <w:highlight w:val="none"/>
                <w:lang w:val="zh-CN"/>
              </w:rPr>
              <w:t>）由采购人承担，不包含在投标总价中。</w:t>
            </w:r>
          </w:p>
          <w:p w14:paraId="1867C7CA">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B490EA9">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rPr>
              <w:t>1.</w:t>
            </w:r>
            <w:r>
              <w:rPr>
                <w:rFonts w:hint="eastAsia" w:ascii="宋体" w:hAnsi="宋体" w:cs="宋体"/>
                <w:b/>
                <w:color w:val="auto"/>
                <w:kern w:val="0"/>
                <w:sz w:val="24"/>
                <w:highlight w:val="none"/>
                <w:lang w:val="zh-CN"/>
              </w:rPr>
              <w:t>投标文件出现不是唯一的、有选择性投标报价的；</w:t>
            </w:r>
          </w:p>
          <w:p w14:paraId="2C88E77C">
            <w:pPr>
              <w:snapToGrid w:val="0"/>
              <w:spacing w:line="360" w:lineRule="auto"/>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投标报价超过招标文件中规定的预算金额或者最高限价的;</w:t>
            </w:r>
          </w:p>
          <w:p w14:paraId="05801114">
            <w:pPr>
              <w:spacing w:line="360" w:lineRule="auto"/>
              <w:rPr>
                <w:rFonts w:hint="eastAsia" w:ascii="宋体" w:hAnsi="宋体" w:cs="宋体"/>
                <w:b/>
                <w:color w:val="auto"/>
                <w:sz w:val="24"/>
                <w:highlight w:val="none"/>
              </w:rPr>
            </w:pPr>
            <w:r>
              <w:rPr>
                <w:rFonts w:hint="eastAsia" w:ascii="宋体" w:hAnsi="宋体" w:cs="宋体"/>
                <w:b/>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7B2053D0">
            <w:pPr>
              <w:spacing w:line="360" w:lineRule="auto"/>
              <w:rPr>
                <w:rFonts w:hint="eastAsia" w:ascii="宋体" w:hAnsi="宋体" w:cs="宋体"/>
                <w:color w:val="auto"/>
                <w:sz w:val="24"/>
                <w:highlight w:val="none"/>
              </w:rPr>
            </w:pPr>
            <w:r>
              <w:rPr>
                <w:rFonts w:hint="eastAsia" w:ascii="宋体" w:hAnsi="宋体" w:cs="宋体"/>
                <w:b/>
                <w:color w:val="auto"/>
                <w:kern w:val="0"/>
                <w:sz w:val="24"/>
                <w:highlight w:val="none"/>
              </w:rPr>
              <w:t>4.投标人对根据修正原则修正后的报价不确认的</w:t>
            </w:r>
            <w:r>
              <w:rPr>
                <w:rFonts w:hint="eastAsia" w:ascii="宋体" w:hAnsi="宋体" w:cs="宋体"/>
                <w:b/>
                <w:color w:val="auto"/>
                <w:sz w:val="24"/>
                <w:highlight w:val="none"/>
              </w:rPr>
              <w:t>。</w:t>
            </w:r>
          </w:p>
        </w:tc>
      </w:tr>
      <w:tr w14:paraId="1EDEDBB6">
        <w:tc>
          <w:tcPr>
            <w:tcW w:w="629" w:type="dxa"/>
            <w:tcBorders>
              <w:tl2br w:val="nil"/>
              <w:tr2bl w:val="nil"/>
            </w:tcBorders>
            <w:vAlign w:val="center"/>
          </w:tcPr>
          <w:p w14:paraId="430B06B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l2br w:val="nil"/>
              <w:tr2bl w:val="nil"/>
            </w:tcBorders>
            <w:vAlign w:val="center"/>
          </w:tcPr>
          <w:p w14:paraId="6E38212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l2br w:val="nil"/>
              <w:tr2bl w:val="nil"/>
            </w:tcBorders>
            <w:vAlign w:val="center"/>
          </w:tcPr>
          <w:p w14:paraId="16D3C344">
            <w:pPr>
              <w:spacing w:line="360" w:lineRule="auto"/>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07923CA">
        <w:tc>
          <w:tcPr>
            <w:tcW w:w="629" w:type="dxa"/>
            <w:tcBorders>
              <w:tl2br w:val="nil"/>
              <w:tr2bl w:val="nil"/>
            </w:tcBorders>
            <w:vAlign w:val="center"/>
          </w:tcPr>
          <w:p w14:paraId="4E54C43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l2br w:val="nil"/>
              <w:tr2bl w:val="nil"/>
            </w:tcBorders>
            <w:vAlign w:val="center"/>
          </w:tcPr>
          <w:p w14:paraId="7BF509E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l2br w:val="nil"/>
              <w:tr2bl w:val="nil"/>
            </w:tcBorders>
            <w:vAlign w:val="center"/>
          </w:tcPr>
          <w:p w14:paraId="6ABA5622">
            <w:pPr>
              <w:spacing w:line="360" w:lineRule="auto"/>
              <w:rPr>
                <w:rFonts w:hint="eastAsia" w:ascii="宋体" w:hAnsi="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投标人可在投标截止时间前以Email形式发送备份投标文件至采购代理机构邮箱：1241596092@qq.com,邮件主题建议为：项目名称+“备份文件”。</w:t>
            </w:r>
          </w:p>
          <w:p w14:paraId="71887F21">
            <w:pPr>
              <w:pStyle w:val="32"/>
              <w:spacing w:line="360" w:lineRule="auto"/>
              <w:rPr>
                <w:rFonts w:hint="eastAsia" w:hAnsi="宋体" w:cs="宋体"/>
                <w:color w:val="auto"/>
                <w:kern w:val="28"/>
                <w:sz w:val="24"/>
                <w:highlight w:val="none"/>
              </w:rPr>
            </w:pPr>
            <w:r>
              <w:rPr>
                <w:rFonts w:hint="eastAsia" w:hAnsi="宋体" w:cs="宋体"/>
                <w:b/>
                <w:color w:val="auto"/>
                <w:sz w:val="24"/>
                <w:szCs w:val="24"/>
                <w:highlight w:val="none"/>
              </w:rPr>
              <w:t>采购人、采购代理机构不强制或变相强制投标人提交备份投标文件。</w:t>
            </w:r>
          </w:p>
        </w:tc>
      </w:tr>
      <w:tr w14:paraId="7E3584B3">
        <w:tc>
          <w:tcPr>
            <w:tcW w:w="629" w:type="dxa"/>
            <w:vMerge w:val="restart"/>
            <w:tcBorders>
              <w:tl2br w:val="nil"/>
              <w:tr2bl w:val="nil"/>
            </w:tcBorders>
            <w:vAlign w:val="center"/>
          </w:tcPr>
          <w:p w14:paraId="641FC24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l2br w:val="nil"/>
              <w:tr2bl w:val="nil"/>
            </w:tcBorders>
            <w:vAlign w:val="center"/>
          </w:tcPr>
          <w:p w14:paraId="3F0A4050">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l2br w:val="nil"/>
              <w:tr2bl w:val="nil"/>
            </w:tcBorders>
            <w:vAlign w:val="center"/>
          </w:tcPr>
          <w:p w14:paraId="22C09CAA">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2EBE731">
        <w:tc>
          <w:tcPr>
            <w:tcW w:w="629" w:type="dxa"/>
            <w:vMerge w:val="continue"/>
            <w:tcBorders>
              <w:tl2br w:val="nil"/>
              <w:tr2bl w:val="nil"/>
            </w:tcBorders>
            <w:vAlign w:val="center"/>
          </w:tcPr>
          <w:p w14:paraId="6C7391B2">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3D28F2B1">
            <w:pPr>
              <w:snapToGrid w:val="0"/>
              <w:spacing w:line="360" w:lineRule="auto"/>
              <w:jc w:val="center"/>
              <w:rPr>
                <w:rFonts w:hint="eastAsia" w:ascii="宋体" w:hAnsi="宋体" w:cs="宋体"/>
                <w:b/>
                <w:color w:val="auto"/>
                <w:sz w:val="24"/>
                <w:highlight w:val="none"/>
              </w:rPr>
            </w:pPr>
          </w:p>
        </w:tc>
        <w:tc>
          <w:tcPr>
            <w:tcW w:w="6095" w:type="dxa"/>
            <w:tcBorders>
              <w:tl2br w:val="nil"/>
              <w:tr2bl w:val="nil"/>
            </w:tcBorders>
            <w:vAlign w:val="center"/>
          </w:tcPr>
          <w:p w14:paraId="1D302C0D">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426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A3EA4B7">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ADFB58A">
        <w:tc>
          <w:tcPr>
            <w:tcW w:w="629" w:type="dxa"/>
            <w:tcBorders>
              <w:tl2br w:val="nil"/>
              <w:tr2bl w:val="nil"/>
            </w:tcBorders>
            <w:vAlign w:val="center"/>
          </w:tcPr>
          <w:p w14:paraId="0745516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843" w:type="dxa"/>
            <w:tcBorders>
              <w:tl2br w:val="nil"/>
              <w:tr2bl w:val="nil"/>
            </w:tcBorders>
            <w:vAlign w:val="center"/>
          </w:tcPr>
          <w:p w14:paraId="0F796198">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rPr>
              <w:t>中标候选人数量</w:t>
            </w:r>
          </w:p>
        </w:tc>
        <w:tc>
          <w:tcPr>
            <w:tcW w:w="6095" w:type="dxa"/>
            <w:tcBorders>
              <w:tl2br w:val="nil"/>
              <w:tr2bl w:val="nil"/>
            </w:tcBorders>
            <w:vAlign w:val="center"/>
          </w:tcPr>
          <w:p w14:paraId="50002736">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1家</w:t>
            </w:r>
            <w:r>
              <w:rPr>
                <w:rFonts w:hint="eastAsia" w:ascii="宋体" w:hAnsi="宋体" w:cs="宋体"/>
                <w:color w:val="auto"/>
                <w:kern w:val="0"/>
                <w:sz w:val="24"/>
                <w:highlight w:val="none"/>
                <w:lang w:val="en"/>
              </w:rPr>
              <w:t>。</w:t>
            </w:r>
          </w:p>
        </w:tc>
      </w:tr>
      <w:tr w14:paraId="0EDF0E20">
        <w:tc>
          <w:tcPr>
            <w:tcW w:w="629" w:type="dxa"/>
            <w:tcBorders>
              <w:tl2br w:val="nil"/>
              <w:tr2bl w:val="nil"/>
            </w:tcBorders>
            <w:vAlign w:val="center"/>
          </w:tcPr>
          <w:p w14:paraId="14005D26">
            <w:pPr>
              <w:snapToGrid w:val="0"/>
              <w:spacing w:line="360" w:lineRule="auto"/>
              <w:jc w:val="center"/>
              <w:rPr>
                <w:rFonts w:hint="eastAsia" w:ascii="宋体" w:hAnsi="宋体" w:cs="宋体"/>
                <w:color w:val="auto"/>
                <w:sz w:val="24"/>
                <w:highlight w:val="none"/>
              </w:rPr>
            </w:pPr>
            <w:bookmarkStart w:id="10" w:name="_Toc164416483"/>
            <w:r>
              <w:rPr>
                <w:rFonts w:hint="eastAsia" w:ascii="宋体" w:hAnsi="宋体" w:cs="宋体"/>
                <w:color w:val="auto"/>
                <w:sz w:val="24"/>
                <w:highlight w:val="none"/>
              </w:rPr>
              <w:t>15</w:t>
            </w:r>
          </w:p>
        </w:tc>
        <w:tc>
          <w:tcPr>
            <w:tcW w:w="1843" w:type="dxa"/>
            <w:tcBorders>
              <w:tl2br w:val="nil"/>
              <w:tr2bl w:val="nil"/>
            </w:tcBorders>
            <w:vAlign w:val="center"/>
          </w:tcPr>
          <w:p w14:paraId="4AC5B10B">
            <w:pPr>
              <w:spacing w:line="360" w:lineRule="auto"/>
              <w:jc w:val="center"/>
              <w:rPr>
                <w:rFonts w:hint="eastAsia" w:ascii="宋体" w:hAnsi="宋体" w:cs="宋体"/>
                <w:color w:val="auto"/>
                <w:kern w:val="0"/>
                <w:sz w:val="24"/>
                <w:highlight w:val="none"/>
                <w:lang w:val="en"/>
              </w:rPr>
            </w:pPr>
            <w:r>
              <w:rPr>
                <w:rFonts w:hint="eastAsia" w:asciiTheme="minorEastAsia" w:hAnsiTheme="minorEastAsia" w:eastAsiaTheme="minorEastAsia" w:cstheme="minorEastAsia"/>
                <w:b/>
                <w:color w:val="auto"/>
                <w:sz w:val="24"/>
                <w:highlight w:val="none"/>
              </w:rPr>
              <w:t>招标代理服务费</w:t>
            </w:r>
          </w:p>
        </w:tc>
        <w:tc>
          <w:tcPr>
            <w:tcW w:w="6095" w:type="dxa"/>
            <w:tcBorders>
              <w:tl2br w:val="nil"/>
              <w:tr2bl w:val="nil"/>
            </w:tcBorders>
            <w:vAlign w:val="center"/>
          </w:tcPr>
          <w:p w14:paraId="57FED6FF">
            <w:pPr>
              <w:spacing w:line="360" w:lineRule="auto"/>
              <w:rPr>
                <w:rFonts w:hint="eastAsia" w:asciiTheme="minorEastAsia" w:hAnsiTheme="minorEastAsia" w:eastAsiaTheme="minorEastAsia" w:cstheme="minorEastAsia"/>
                <w:snapToGrid w:val="0"/>
                <w:color w:val="auto"/>
                <w:kern w:val="28"/>
                <w:sz w:val="24"/>
                <w:highlight w:val="none"/>
                <w:lang w:val="zh-TW" w:eastAsia="zh-CN"/>
              </w:rPr>
            </w:pPr>
            <w:r>
              <w:rPr>
                <w:rFonts w:hint="eastAsia" w:asciiTheme="minorEastAsia" w:hAnsiTheme="minorEastAsia" w:eastAsiaTheme="minorEastAsia" w:cstheme="minorEastAsia"/>
                <w:b/>
                <w:bCs/>
                <w:snapToGrid w:val="0"/>
                <w:color w:val="auto"/>
                <w:kern w:val="28"/>
                <w:sz w:val="24"/>
                <w:highlight w:val="none"/>
              </w:rPr>
              <w:t>收取标准</w:t>
            </w:r>
            <w:r>
              <w:rPr>
                <w:rFonts w:hint="eastAsia" w:asciiTheme="minorEastAsia" w:hAnsiTheme="minorEastAsia" w:eastAsiaTheme="minorEastAsia" w:cstheme="minorEastAsia"/>
                <w:snapToGrid w:val="0"/>
                <w:color w:val="auto"/>
                <w:kern w:val="28"/>
                <w:sz w:val="24"/>
                <w:highlight w:val="none"/>
              </w:rPr>
              <w:t>：参照国家计委计价格[2002]1980号《招标代理服务收费管理暂行办法》收费标准</w:t>
            </w:r>
            <w:r>
              <w:rPr>
                <w:rFonts w:hint="eastAsia" w:asciiTheme="minorEastAsia" w:hAnsiTheme="minorEastAsia" w:eastAsiaTheme="minorEastAsia" w:cstheme="minorEastAsia"/>
                <w:snapToGrid w:val="0"/>
                <w:color w:val="auto"/>
                <w:kern w:val="28"/>
                <w:sz w:val="24"/>
                <w:highlight w:val="none"/>
                <w:lang w:val="en-US" w:eastAsia="zh-CN"/>
              </w:rPr>
              <w:t>的</w:t>
            </w:r>
            <w:r>
              <w:rPr>
                <w:rFonts w:hint="eastAsia" w:asciiTheme="minorEastAsia" w:hAnsiTheme="minorEastAsia" w:eastAsiaTheme="minorEastAsia" w:cstheme="minorEastAsia"/>
                <w:snapToGrid w:val="0"/>
                <w:color w:val="auto"/>
                <w:kern w:val="28"/>
                <w:sz w:val="24"/>
                <w:highlight w:val="none"/>
              </w:rPr>
              <w:t>70%</w:t>
            </w:r>
            <w:r>
              <w:rPr>
                <w:rFonts w:hint="eastAsia" w:asciiTheme="minorEastAsia" w:hAnsiTheme="minorEastAsia" w:eastAsiaTheme="minorEastAsia" w:cstheme="minorEastAsia"/>
                <w:snapToGrid w:val="0"/>
                <w:color w:val="auto"/>
                <w:kern w:val="28"/>
                <w:sz w:val="24"/>
                <w:highlight w:val="none"/>
                <w:lang w:val="en-US" w:eastAsia="zh-CN"/>
              </w:rPr>
              <w:t>计取</w:t>
            </w:r>
            <w:r>
              <w:rPr>
                <w:rFonts w:hint="eastAsia" w:asciiTheme="minorEastAsia" w:hAnsiTheme="minorEastAsia" w:eastAsiaTheme="minorEastAsia" w:cstheme="minorEastAsia"/>
                <w:snapToGrid w:val="0"/>
                <w:color w:val="auto"/>
                <w:kern w:val="28"/>
                <w:sz w:val="24"/>
                <w:highlight w:val="none"/>
                <w:lang w:eastAsia="zh-CN"/>
              </w:rPr>
              <w:t>。</w:t>
            </w:r>
          </w:p>
          <w:p w14:paraId="4D984B3F">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b/>
                <w:bCs/>
                <w:snapToGrid w:val="0"/>
                <w:color w:val="auto"/>
                <w:kern w:val="28"/>
                <w:sz w:val="24"/>
                <w:highlight w:val="none"/>
              </w:rPr>
              <w:t>收取方式</w:t>
            </w:r>
            <w:r>
              <w:rPr>
                <w:rFonts w:hint="eastAsia" w:asciiTheme="minorEastAsia" w:hAnsiTheme="minorEastAsia" w:eastAsiaTheme="minorEastAsia" w:cstheme="minorEastAsia"/>
                <w:snapToGrid w:val="0"/>
                <w:color w:val="auto"/>
                <w:kern w:val="28"/>
                <w:sz w:val="24"/>
                <w:highlight w:val="none"/>
              </w:rPr>
              <w:t>：本项目的代理费由中标人支付。由中标人在领取中标通知书时一次性向代理机构付清。账户信息如下：</w:t>
            </w:r>
          </w:p>
          <w:p w14:paraId="4FB5E3AC">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收款单位：浙江华耀建设咨询有限公司</w:t>
            </w:r>
          </w:p>
          <w:p w14:paraId="6692B618">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账号：1202026109900014283</w:t>
            </w:r>
          </w:p>
          <w:p w14:paraId="689B9019">
            <w:pPr>
              <w:spacing w:line="360" w:lineRule="auto"/>
              <w:rPr>
                <w:rFonts w:hint="eastAsia" w:ascii="宋体" w:hAnsi="宋体" w:cs="宋体"/>
                <w:color w:val="auto"/>
                <w:kern w:val="0"/>
                <w:sz w:val="24"/>
                <w:highlight w:val="none"/>
                <w:lang w:val="en"/>
              </w:rPr>
            </w:pPr>
            <w:r>
              <w:rPr>
                <w:rFonts w:hint="eastAsia" w:asciiTheme="minorEastAsia" w:hAnsiTheme="minorEastAsia" w:eastAsiaTheme="minorEastAsia" w:cstheme="minorEastAsia"/>
                <w:snapToGrid w:val="0"/>
                <w:color w:val="auto"/>
                <w:kern w:val="28"/>
                <w:sz w:val="24"/>
                <w:highlight w:val="none"/>
              </w:rPr>
              <w:t>开户行：中国工商银行杭州莫干山路支行</w:t>
            </w:r>
          </w:p>
        </w:tc>
      </w:tr>
      <w:bookmarkEnd w:id="8"/>
    </w:tbl>
    <w:p w14:paraId="5FD73730">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766B703F">
      <w:pPr>
        <w:snapToGrid w:val="0"/>
        <w:spacing w:line="360"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3A3DEA3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CE685F7">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3C50F58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B777E3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580D55B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81423F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D2B14E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BA113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2E47EB6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00D09A2">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1FBEC4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90976D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28317586">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09720C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28C17F4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88B4EF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76196EBE">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4AA4B95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2975C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7347D27">
      <w:pPr>
        <w:widowControl/>
        <w:spacing w:line="360"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服务采购项目中，服务由中小企业承接，即提供服务的人员为中小企业依照《中华人民共和国劳动合同法》订立劳动合同的从业人员；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C20F9D0">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EE81F8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w:t>
      </w:r>
      <w:r>
        <w:rPr>
          <w:rFonts w:hint="eastAsia" w:ascii="宋体" w:hAnsi="宋体" w:cs="宋体"/>
          <w:color w:val="auto"/>
          <w:sz w:val="24"/>
          <w:highlight w:val="none"/>
          <w:lang w:val="en-US" w:eastAsia="zh-CN"/>
        </w:rPr>
        <w:t>1</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4CE57A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D2551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5E2C44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EBB5A0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FFA628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支持创新发展（如适用）</w:t>
      </w:r>
    </w:p>
    <w:p w14:paraId="11B049A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6CCC83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B6DAE2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3.4.3 采购人应当贯彻落实知识产权保护相关法律法规，应当采购使用正版软件。</w:t>
      </w:r>
    </w:p>
    <w:p w14:paraId="46B6ACC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0B47B5D3">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仿宋"/>
          <w:b/>
          <w:bCs/>
          <w:color w:val="auto"/>
          <w:sz w:val="24"/>
          <w:highlight w:val="none"/>
        </w:rPr>
        <w:t>4. 询问、质疑、投诉</w:t>
      </w:r>
    </w:p>
    <w:p w14:paraId="712FEA1D">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4.1在线询问、质疑、投诉</w:t>
      </w:r>
    </w:p>
    <w:p w14:paraId="18FAFAAB">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2D7F27">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481C853">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20A331A">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7D2DE27">
      <w:pPr>
        <w:pStyle w:val="32"/>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4DADE">
      <w:pPr>
        <w:pStyle w:val="32"/>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13985F7">
      <w:pPr>
        <w:pStyle w:val="15"/>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7DC4BF2">
      <w:pPr>
        <w:pStyle w:val="32"/>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13CCC31">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98C6940">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2F06C63">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44E62BF">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20EB5F5">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CB7F873">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122742B">
      <w:pPr>
        <w:pStyle w:val="32"/>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9443517">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1F096806">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质疑函范本及制作说明详见附件2。</w:t>
      </w:r>
    </w:p>
    <w:p w14:paraId="14D2992A">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4.3.4对同一采购程序环节的质疑，供应商须在法定质疑期内一次性提出。</w:t>
      </w:r>
    </w:p>
    <w:p w14:paraId="59A23F0C">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zh-CN"/>
        </w:rPr>
        <w:t>4.3</w:t>
      </w:r>
      <w:r>
        <w:rPr>
          <w:rFonts w:hint="eastAsia" w:hAnsi="宋体" w:cs="宋体"/>
          <w:color w:val="auto"/>
          <w:sz w:val="24"/>
          <w:szCs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385010BB">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zh-CN"/>
        </w:rPr>
        <w:t>4.3</w:t>
      </w:r>
      <w:r>
        <w:rPr>
          <w:rFonts w:hint="eastAsia" w:hAnsi="宋体" w:cs="宋体"/>
          <w:color w:val="auto"/>
          <w:sz w:val="24"/>
          <w:szCs w:val="24"/>
          <w:highlight w:val="none"/>
        </w:rPr>
        <w:t>.6询问或者质疑事项可能影响采购结果的，采购人应当暂停签订合同，已经签订合同的，应当中止履行合同。</w:t>
      </w:r>
    </w:p>
    <w:p w14:paraId="4C3775C0">
      <w:pPr>
        <w:pStyle w:val="32"/>
        <w:spacing w:line="360" w:lineRule="auto"/>
        <w:ind w:firstLine="480" w:firstLineChars="200"/>
        <w:rPr>
          <w:rFonts w:hint="eastAsia" w:hAnsi="宋体" w:cs="宋体"/>
          <w:color w:val="auto"/>
          <w:sz w:val="24"/>
          <w:szCs w:val="24"/>
          <w:highlight w:val="none"/>
          <w:lang w:val="zh-CN"/>
        </w:rPr>
      </w:pPr>
      <w:r>
        <w:rPr>
          <w:rFonts w:hint="eastAsia" w:hAnsi="宋体" w:cs="宋体"/>
          <w:color w:val="auto"/>
          <w:sz w:val="24"/>
          <w:szCs w:val="24"/>
          <w:highlight w:val="none"/>
          <w:lang w:val="zh-CN"/>
        </w:rPr>
        <w:t>4.4供应商投诉</w:t>
      </w:r>
    </w:p>
    <w:p w14:paraId="25EC1886">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69A3871">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w:t>
      </w:r>
      <w:r>
        <w:rPr>
          <w:rFonts w:hint="eastAsia" w:hAnsi="宋体" w:cs="宋体"/>
          <w:color w:val="auto"/>
          <w:sz w:val="24"/>
          <w:szCs w:val="24"/>
          <w:highlight w:val="none"/>
          <w:lang w:val="zh-CN"/>
        </w:rPr>
        <w:t>2</w:t>
      </w:r>
      <w:r>
        <w:rPr>
          <w:rFonts w:hint="eastAsia" w:hAnsi="宋体" w:cs="宋体"/>
          <w:color w:val="auto"/>
          <w:sz w:val="24"/>
          <w:szCs w:val="24"/>
          <w:highlight w:val="none"/>
        </w:rPr>
        <w:t>供应商投诉的事项不得超出已质疑事项的范围，基于质疑答复内容提出的投诉事项除外。</w:t>
      </w:r>
    </w:p>
    <w:p w14:paraId="46FBBD8B">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4.4.3供应商投诉应当有明确的请求和必要的证明材料。</w:t>
      </w:r>
    </w:p>
    <w:p w14:paraId="47D9BE76">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4.4.4 以联合体形式参加政府采购活动的，其投诉应当由组成联合体的所有供应商共同提出。</w:t>
      </w:r>
    </w:p>
    <w:p w14:paraId="474B7956">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投诉书范本及制作说明详见附件3。</w:t>
      </w:r>
    </w:p>
    <w:p w14:paraId="657CDA1A">
      <w:pPr>
        <w:pStyle w:val="132"/>
        <w:snapToGrid w:val="0"/>
        <w:spacing w:before="0"/>
        <w:ind w:firstLine="360"/>
        <w:rPr>
          <w:rFonts w:hint="eastAsia" w:ascii="宋体" w:hAnsi="宋体" w:cs="宋体"/>
          <w:color w:val="auto"/>
          <w:sz w:val="18"/>
          <w:szCs w:val="18"/>
          <w:highlight w:val="none"/>
        </w:rPr>
      </w:pPr>
    </w:p>
    <w:p w14:paraId="5C0A0BCC">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3AE241D9">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6B30A61E">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213B6D27">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6CF44377">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5B87EACD">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17AD91FD">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7129E319">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012432BF">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3B6919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83351BE">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0FD26B5B">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21C3BC77">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11BAE04">
      <w:pPr>
        <w:pStyle w:val="23"/>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14:paraId="1F4AEAAC">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02527035">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49BD0C3D">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17B0D4C">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372C48D1">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83F3E82">
      <w:pPr>
        <w:pStyle w:val="32"/>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3C75F94E">
      <w:pPr>
        <w:pStyle w:val="15"/>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5C9DEEDF">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515473B9">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CF97A36">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59AC54A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23BCCF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D7706C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4515C6E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9EA421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65515B2">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64B7A2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7419AB4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423FAEB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11.2.3分包意向协议（如果有)；</w:t>
      </w:r>
    </w:p>
    <w:p w14:paraId="02297DA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17EE2DD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6C5347C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788F1E7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59D1DD00">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0F3409CF">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F4398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45FEA244">
      <w:pPr>
        <w:pStyle w:val="81"/>
        <w:adjustRightInd w:val="0"/>
        <w:spacing w:line="360" w:lineRule="auto"/>
        <w:ind w:firstLine="960" w:firstLineChars="4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11.3.2 报价情况说明</w:t>
      </w:r>
      <w:r>
        <w:rPr>
          <w:rFonts w:hint="eastAsia" w:ascii="宋体" w:hAnsi="宋体" w:eastAsia="宋体" w:cs="宋体"/>
          <w:color w:val="auto"/>
          <w:sz w:val="24"/>
          <w:szCs w:val="24"/>
          <w:highlight w:val="none"/>
          <w:lang w:val="en-US" w:eastAsia="zh-CN"/>
        </w:rPr>
        <w:t>（如果有）</w:t>
      </w:r>
      <w:r>
        <w:rPr>
          <w:rFonts w:hint="eastAsia" w:ascii="宋体" w:hAnsi="宋体" w:eastAsia="宋体" w:cs="宋体"/>
          <w:color w:val="auto"/>
          <w:sz w:val="24"/>
          <w:szCs w:val="24"/>
          <w:highlight w:val="none"/>
          <w:lang w:val="en-US"/>
        </w:rPr>
        <w:t>；</w:t>
      </w:r>
    </w:p>
    <w:p w14:paraId="7E4C87B6">
      <w:pPr>
        <w:keepNext w:val="0"/>
        <w:keepLines w:val="0"/>
        <w:pageBreakBefore w:val="0"/>
        <w:widowControl w:val="0"/>
        <w:tabs>
          <w:tab w:val="left" w:leader="middleDot" w:pos="9240"/>
        </w:tabs>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11.3.3</w:t>
      </w:r>
      <w:r>
        <w:rPr>
          <w:rFonts w:hint="eastAsia" w:ascii="宋体" w:hAnsi="宋体" w:cs="宋体"/>
          <w:color w:val="auto"/>
          <w:sz w:val="24"/>
          <w:highlight w:val="none"/>
        </w:rPr>
        <w:t>中小企业声明函或属于</w:t>
      </w:r>
      <w:r>
        <w:rPr>
          <w:rFonts w:hint="eastAsia" w:ascii="宋体" w:hAnsi="宋体" w:cs="宋体"/>
          <w:color w:val="auto"/>
          <w:sz w:val="24"/>
          <w:highlight w:val="none"/>
          <w:lang w:eastAsia="zh-CN"/>
        </w:rPr>
        <w:t>监狱企业证明文件</w:t>
      </w:r>
      <w:r>
        <w:rPr>
          <w:rFonts w:hint="eastAsia" w:ascii="宋体" w:hAnsi="宋体" w:cs="宋体"/>
          <w:color w:val="auto"/>
          <w:sz w:val="24"/>
          <w:highlight w:val="none"/>
        </w:rPr>
        <w:t>或残疾人福利性单位声明函（如果有）</w:t>
      </w:r>
      <w:r>
        <w:rPr>
          <w:rFonts w:hint="eastAsia" w:ascii="宋体" w:hAnsi="宋体" w:cs="宋体"/>
          <w:color w:val="auto"/>
          <w:sz w:val="24"/>
          <w:highlight w:val="none"/>
          <w:lang w:eastAsia="zh-CN"/>
        </w:rPr>
        <w:t>；</w:t>
      </w:r>
    </w:p>
    <w:p w14:paraId="7007C800">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0979563">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EA74B27">
      <w:pPr>
        <w:spacing w:line="360" w:lineRule="auto"/>
        <w:ind w:firstLine="720" w:firstLineChars="300"/>
        <w:rPr>
          <w:color w:val="auto"/>
          <w:sz w:val="24"/>
          <w:highlight w:val="none"/>
          <w:shd w:val="clear" w:color="auto" w:fill="FFFFFF"/>
        </w:rPr>
      </w:pPr>
      <w:r>
        <w:rPr>
          <w:rFonts w:hint="eastAsia"/>
          <w:color w:val="auto"/>
          <w:sz w:val="24"/>
          <w:highlight w:val="none"/>
          <w:shd w:val="clear" w:color="auto" w:fill="FFFFFF"/>
        </w:rPr>
        <w:t>投标人应对投标文件中材料的真实性、合法性负责。</w:t>
      </w:r>
    </w:p>
    <w:p w14:paraId="260D8DA3">
      <w:pPr>
        <w:pStyle w:val="81"/>
        <w:rPr>
          <w:rFonts w:hint="eastAsia"/>
          <w:color w:val="auto"/>
          <w:highlight w:val="none"/>
        </w:rPr>
      </w:pPr>
    </w:p>
    <w:p w14:paraId="030F1FC8">
      <w:pPr>
        <w:pStyle w:val="132"/>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958EE34">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68D7399">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B3143FA">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107A64A">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38645D50">
      <w:pPr>
        <w:pStyle w:val="132"/>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E2F4BC5">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7E11B79">
      <w:pPr>
        <w:pStyle w:val="132"/>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529EFB9">
      <w:pPr>
        <w:pStyle w:val="132"/>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6771344">
      <w:pPr>
        <w:pStyle w:val="132"/>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9F46DF3">
      <w:pPr>
        <w:pStyle w:val="132"/>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C8780B7">
      <w:pPr>
        <w:pStyle w:val="132"/>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FD02B8F">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14:paraId="37C08CF9">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15.1投标人在电子交易平台传输递交投标文件后，还可以在投标截止时间前以</w:t>
      </w:r>
      <w:r>
        <w:rPr>
          <w:rFonts w:hint="eastAsia" w:hAnsi="宋体" w:cs="宋体"/>
          <w:color w:val="auto"/>
          <w:sz w:val="24"/>
          <w:szCs w:val="24"/>
          <w:highlight w:val="none"/>
          <w:lang w:val="en-US" w:eastAsia="zh-CN"/>
        </w:rPr>
        <w:t>Email</w:t>
      </w:r>
      <w:r>
        <w:rPr>
          <w:rFonts w:hint="eastAsia" w:hAnsi="宋体" w:cs="宋体"/>
          <w:color w:val="auto"/>
          <w:sz w:val="24"/>
          <w:szCs w:val="24"/>
          <w:highlight w:val="none"/>
        </w:rPr>
        <w:t>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03E3509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15.2备份投标文件须在“政采云投标客户端”制作生成，投标人应于投标截止时间前</w:t>
      </w:r>
      <w:r>
        <w:rPr>
          <w:rFonts w:hint="eastAsia" w:hAnsi="宋体" w:cs="宋体"/>
          <w:color w:val="auto"/>
          <w:sz w:val="24"/>
          <w:szCs w:val="24"/>
          <w:highlight w:val="none"/>
          <w:lang w:val="en-US" w:eastAsia="zh-CN"/>
        </w:rPr>
        <w:t>发送至</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lang w:val="en-US" w:eastAsia="zh-CN"/>
        </w:rPr>
        <w:t>邮箱</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619C654D">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电子备份投标文件</w:t>
      </w:r>
      <w:r>
        <w:rPr>
          <w:rFonts w:hint="eastAsia" w:hAnsi="宋体" w:cs="宋体"/>
          <w:color w:val="auto"/>
          <w:sz w:val="24"/>
          <w:szCs w:val="24"/>
          <w:highlight w:val="none"/>
          <w:lang w:val="en-US" w:eastAsia="zh-CN"/>
        </w:rPr>
        <w:t>在发送邮箱中</w:t>
      </w:r>
      <w:r>
        <w:rPr>
          <w:rFonts w:hint="eastAsia" w:hAnsi="宋体" w:cs="宋体"/>
          <w:color w:val="auto"/>
          <w:sz w:val="24"/>
          <w:szCs w:val="24"/>
          <w:highlight w:val="none"/>
        </w:rPr>
        <w:t>发生泄露、遗失、损坏或延期送达等情况的，由投标人自行负责。</w:t>
      </w:r>
    </w:p>
    <w:p w14:paraId="3F344FDA">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w:t>
      </w: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投标人仅提交备份投标文件，未在电子交易平台传输递交投标文件的，投标无效。</w:t>
      </w:r>
    </w:p>
    <w:p w14:paraId="522427EB">
      <w:pPr>
        <w:pStyle w:val="132"/>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0DB54F66">
      <w:pPr>
        <w:pStyle w:val="24"/>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3C01063E">
      <w:pPr>
        <w:pStyle w:val="132"/>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33832C3F">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0AB4FBF">
      <w:pPr>
        <w:pStyle w:val="132"/>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0A32E59">
      <w:pPr>
        <w:pStyle w:val="132"/>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5468F22">
      <w:pPr>
        <w:pStyle w:val="132"/>
        <w:spacing w:before="0"/>
        <w:ind w:firstLine="643"/>
        <w:rPr>
          <w:rFonts w:hint="eastAsia" w:ascii="宋体" w:hAnsi="宋体" w:cs="宋体"/>
          <w:b/>
          <w:color w:val="auto"/>
          <w:sz w:val="32"/>
          <w:highlight w:val="none"/>
        </w:rPr>
      </w:pPr>
    </w:p>
    <w:p w14:paraId="15B2FCB6">
      <w:pPr>
        <w:pStyle w:val="132"/>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8C6E0B6">
      <w:pPr>
        <w:pStyle w:val="557"/>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78D1AA0">
      <w:pPr>
        <w:pStyle w:val="557"/>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7A8D5E90">
      <w:pPr>
        <w:pStyle w:val="557"/>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16489848">
      <w:pPr>
        <w:pStyle w:val="557"/>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D00E361">
      <w:pPr>
        <w:keepNext w:val="0"/>
        <w:keepLines w:val="0"/>
        <w:pageBreakBefore w:val="0"/>
        <w:widowControl/>
        <w:kinsoku/>
        <w:wordWrap/>
        <w:overflowPunct/>
        <w:topLinePunct w:val="0"/>
        <w:autoSpaceDE/>
        <w:autoSpaceDN/>
        <w:bidi w:val="0"/>
        <w:adjustRightInd w:val="0"/>
        <w:snapToGrid/>
        <w:spacing w:beforeAutospacing="0" w:line="360" w:lineRule="auto"/>
        <w:jc w:val="left"/>
        <w:textAlignment w:val="auto"/>
        <w:rPr>
          <w:rFonts w:hint="eastAsia" w:ascii="宋体" w:hAnsi="宋体" w:cs="宋体"/>
          <w:b/>
          <w:color w:val="auto"/>
          <w:sz w:val="24"/>
          <w:highlight w:val="none"/>
        </w:rPr>
      </w:pPr>
      <w:r>
        <w:rPr>
          <w:rFonts w:hint="eastAsia" w:ascii="宋体" w:hAnsi="宋体" w:cs="宋体"/>
          <w:b/>
          <w:color w:val="auto"/>
          <w:sz w:val="24"/>
          <w:szCs w:val="20"/>
          <w:highlight w:val="none"/>
        </w:rPr>
        <w:t>　</w:t>
      </w:r>
      <w:r>
        <w:rPr>
          <w:rFonts w:hint="eastAsia" w:ascii="宋体" w:hAnsi="宋体" w:cs="宋体"/>
          <w:b/>
          <w:color w:val="auto"/>
          <w:sz w:val="24"/>
          <w:szCs w:val="20"/>
          <w:highlight w:val="none"/>
          <w:lang w:val="en-US" w:eastAsia="zh-CN"/>
        </w:rPr>
        <w:t xml:space="preserve">  </w:t>
      </w:r>
      <w:r>
        <w:rPr>
          <w:rFonts w:hint="eastAsia" w:ascii="宋体" w:hAnsi="宋体" w:eastAsia="宋体" w:cs="宋体"/>
          <w:b/>
          <w:color w:val="auto"/>
          <w:kern w:val="0"/>
          <w:sz w:val="24"/>
          <w:szCs w:val="20"/>
          <w:highlight w:val="none"/>
          <w:lang w:val="en-US" w:eastAsia="zh-CN" w:bidi="ar-SA"/>
        </w:rPr>
        <w:t>18.4解密结束后，《政府采购活动现场确认声明书》（详见附件8）由投标人法定代表人或其授权代表按要求填写签字后扫描回传至采购代理机构邮箱</w:t>
      </w:r>
      <w:r>
        <w:rPr>
          <w:rFonts w:hint="default" w:ascii="宋体" w:hAnsi="宋体" w:eastAsia="宋体" w:cs="宋体"/>
          <w:b/>
          <w:color w:val="auto"/>
          <w:kern w:val="0"/>
          <w:sz w:val="24"/>
          <w:szCs w:val="20"/>
          <w:highlight w:val="none"/>
          <w:lang w:val="en-US" w:eastAsia="zh-CN" w:bidi="ar-SA"/>
        </w:rPr>
        <w:t>:1241596092@qq.com</w:t>
      </w:r>
      <w:r>
        <w:rPr>
          <w:rFonts w:hint="eastAsia" w:ascii="宋体" w:hAnsi="宋体" w:eastAsia="宋体" w:cs="宋体"/>
          <w:b/>
          <w:color w:val="auto"/>
          <w:kern w:val="0"/>
          <w:sz w:val="24"/>
          <w:szCs w:val="20"/>
          <w:highlight w:val="none"/>
          <w:lang w:val="en-US" w:eastAsia="zh-CN" w:bidi="ar-SA"/>
        </w:rPr>
        <w:t>。</w:t>
      </w:r>
    </w:p>
    <w:p w14:paraId="6CE94F49">
      <w:pPr>
        <w:widowControl/>
        <w:spacing w:before="100" w:beforeAutospacing="1" w:after="240"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4D0E894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259C9F2C">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ADFA15A">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05F037C0">
      <w:pPr>
        <w:pStyle w:val="132"/>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0FF2809E">
      <w:pPr>
        <w:pStyle w:val="132"/>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6807C55A">
      <w:pPr>
        <w:pStyle w:val="132"/>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20.1信用信息查询渠道及截止时间：采购代理机构将在资格审查时通过“信用中国”网站(www.creditchina.gov.cn)、中国政府采购网(www.ccgp.gov.cn)渠道查询投标人的信用记录。</w:t>
      </w:r>
    </w:p>
    <w:p w14:paraId="24C15D21">
      <w:pPr>
        <w:pStyle w:val="132"/>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5A7174E">
      <w:pPr>
        <w:pStyle w:val="132"/>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32DCE65">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E7ABBB7">
      <w:pPr>
        <w:pStyle w:val="132"/>
        <w:spacing w:before="0"/>
        <w:ind w:firstLine="0" w:firstLineChars="0"/>
        <w:rPr>
          <w:rFonts w:hint="eastAsia" w:ascii="宋体" w:hAnsi="宋体" w:cs="宋体"/>
          <w:color w:val="auto"/>
          <w:kern w:val="0"/>
          <w:szCs w:val="24"/>
          <w:highlight w:val="none"/>
        </w:rPr>
      </w:pPr>
    </w:p>
    <w:p w14:paraId="702E78B0">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614AE92B">
      <w:pPr>
        <w:spacing w:line="360" w:lineRule="auto"/>
        <w:rPr>
          <w:rFonts w:hint="eastAsia"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F838A6A">
      <w:pPr>
        <w:spacing w:line="360" w:lineRule="auto"/>
        <w:rPr>
          <w:rFonts w:hint="eastAsia" w:ascii="宋体" w:hAnsi="宋体" w:cs="宋体"/>
          <w:b/>
          <w:color w:val="auto"/>
          <w:sz w:val="24"/>
          <w:highlight w:val="none"/>
        </w:rPr>
      </w:pPr>
    </w:p>
    <w:p w14:paraId="795288B7">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20D91927">
      <w:pPr>
        <w:pStyle w:val="24"/>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23164E7A">
      <w:pPr>
        <w:pStyle w:val="132"/>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采购代理机构将自评审结束之日起2个工作日内将评审报告送交采购人。采购人将自收到评审报告之日起5个工作日内在评审报告推荐的中标候选人中按顺序确定中标人。</w:t>
      </w:r>
    </w:p>
    <w:p w14:paraId="1B389178">
      <w:pPr>
        <w:pStyle w:val="132"/>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13CBA03">
      <w:pPr>
        <w:pStyle w:val="132"/>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23.1自中标人确定之日起2个工作日内，采购代理机构通过电子交易平台向中标人发出中标通知书，同时编制发布采购结果公告。采购代理机构也可以以纸质形式进行中标通知。</w:t>
      </w:r>
    </w:p>
    <w:p w14:paraId="1FF95426">
      <w:pPr>
        <w:pStyle w:val="132"/>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中标公告期限以及评审专家名单、评分汇总及明细。</w:t>
      </w:r>
    </w:p>
    <w:p w14:paraId="244FC0C8">
      <w:pPr>
        <w:pStyle w:val="132"/>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23.3公告期限为1个工作日。</w:t>
      </w:r>
    </w:p>
    <w:p w14:paraId="40D065D5">
      <w:pPr>
        <w:pStyle w:val="132"/>
        <w:snapToGrid w:val="0"/>
        <w:spacing w:before="0"/>
        <w:ind w:firstLine="480"/>
        <w:rPr>
          <w:rStyle w:val="78"/>
          <w:color w:val="auto"/>
          <w:highlight w:val="none"/>
        </w:rPr>
      </w:pPr>
      <w:r>
        <w:rPr>
          <w:rFonts w:hint="eastAsia" w:ascii="宋体" w:hAnsi="宋体" w:cs="宋体"/>
          <w:bCs/>
          <w:color w:val="auto"/>
          <w:szCs w:val="24"/>
          <w:highlight w:val="none"/>
        </w:rPr>
        <w:t>23.4</w:t>
      </w:r>
      <w:r>
        <w:rPr>
          <w:rFonts w:hint="eastAsia" w:ascii="宋体" w:hAnsi="宋体" w:cs="宋体"/>
          <w:b/>
          <w:color w:val="auto"/>
          <w:szCs w:val="24"/>
          <w:highlight w:val="none"/>
        </w:rPr>
        <w:t xml:space="preserve"> </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31B02711">
      <w:pPr>
        <w:pStyle w:val="81"/>
        <w:rPr>
          <w:rFonts w:hint="eastAsia"/>
          <w:color w:val="auto"/>
          <w:highlight w:val="none"/>
        </w:rPr>
      </w:pPr>
    </w:p>
    <w:p w14:paraId="53548E41">
      <w:pPr>
        <w:snapToGrid w:val="0"/>
        <w:spacing w:line="360" w:lineRule="auto"/>
        <w:ind w:left="120" w:leftChars="57" w:firstLine="482" w:firstLineChars="150"/>
        <w:jc w:val="center"/>
        <w:rPr>
          <w:rFonts w:hint="eastAsia" w:ascii="宋体" w:hAnsi="宋体" w:cs="宋体"/>
          <w:b/>
          <w:color w:val="auto"/>
          <w:sz w:val="32"/>
          <w:highlight w:val="none"/>
        </w:rPr>
      </w:pPr>
    </w:p>
    <w:p w14:paraId="22A4F5AA">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59EA8B8A">
      <w:pPr>
        <w:pStyle w:val="24"/>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4CB9D9A">
      <w:pPr>
        <w:pStyle w:val="24"/>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1DAFEB06">
      <w:pPr>
        <w:pStyle w:val="24"/>
        <w:spacing w:line="360" w:lineRule="auto"/>
        <w:ind w:firstLine="420" w:firstLineChars="175"/>
        <w:rPr>
          <w:rFonts w:hint="eastAsia" w:cs="宋体"/>
          <w:color w:val="auto"/>
          <w:kern w:val="0"/>
          <w:szCs w:val="20"/>
          <w:highlight w:val="none"/>
          <w:lang w:val="zh-CN"/>
        </w:rPr>
      </w:pPr>
      <w:r>
        <w:rPr>
          <w:rFonts w:hint="eastAsia" w:cs="宋体"/>
          <w:color w:val="auto"/>
          <w:kern w:val="0"/>
          <w:szCs w:val="20"/>
          <w:highlight w:val="none"/>
          <w:lang w:val="zh-CN"/>
        </w:rPr>
        <w:t>25.1 采购人与中标人应当在中标通知书发出之日起30日内，按照采购文件确定的事项签订政府采购合同。</w:t>
      </w:r>
    </w:p>
    <w:p w14:paraId="36F529DC">
      <w:pPr>
        <w:pStyle w:val="132"/>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63C9AB5">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2B8B8EE">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DE69795">
      <w:pPr>
        <w:pStyle w:val="132"/>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6A3A8">
      <w:pPr>
        <w:pStyle w:val="24"/>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3B8E08A0">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C0E0DBD">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采购人不得拒收履约保函。</w:t>
      </w:r>
    </w:p>
    <w:p w14:paraId="30A2404E">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72611D64">
      <w:pPr>
        <w:pStyle w:val="3"/>
        <w:rPr>
          <w:rFonts w:hint="eastAsia"/>
          <w:color w:val="auto"/>
          <w:highlight w:val="none"/>
        </w:rPr>
      </w:pPr>
      <w:r>
        <w:rPr>
          <w:rFonts w:ascii="宋体" w:hAnsi="宋体" w:eastAsia="宋体"/>
          <w:color w:val="auto"/>
          <w:sz w:val="24"/>
          <w:highlight w:val="none"/>
          <w:lang w:val="en-US"/>
        </w:rPr>
        <w:t>27.预付款</w:t>
      </w:r>
    </w:p>
    <w:p w14:paraId="1F23B426">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w:t>
      </w:r>
    </w:p>
    <w:p w14:paraId="79246DC4">
      <w:pPr>
        <w:rPr>
          <w:color w:val="auto"/>
          <w:highlight w:val="none"/>
        </w:rPr>
      </w:pPr>
    </w:p>
    <w:p w14:paraId="0AA6E1AC">
      <w:pPr>
        <w:snapToGrid w:val="0"/>
        <w:spacing w:line="360" w:lineRule="auto"/>
        <w:ind w:firstLine="3357" w:firstLineChars="1045"/>
        <w:rPr>
          <w:rFonts w:hint="eastAsia" w:ascii="宋体" w:hAnsi="宋体" w:cs="宋体"/>
          <w:b/>
          <w:color w:val="auto"/>
          <w:sz w:val="32"/>
          <w:highlight w:val="none"/>
        </w:rPr>
      </w:pPr>
    </w:p>
    <w:p w14:paraId="3C4FC73B">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40114A28">
      <w:pPr>
        <w:pStyle w:val="132"/>
        <w:snapToGrid w:val="0"/>
        <w:spacing w:before="0"/>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05F26E05">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F159887">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E87BEEC">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2CF87B6">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DD27AE0">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E53B3D6">
      <w:pPr>
        <w:pStyle w:val="132"/>
        <w:snapToGrid w:val="0"/>
        <w:spacing w:before="0"/>
        <w:ind w:firstLine="0" w:firstLineChars="0"/>
        <w:rPr>
          <w:rFonts w:hint="eastAsia" w:ascii="宋体" w:hAnsi="宋体" w:cs="宋体"/>
          <w:color w:val="auto"/>
          <w:highlight w:val="none"/>
        </w:rPr>
      </w:pPr>
      <w:r>
        <w:rPr>
          <w:rFonts w:hint="eastAsia" w:ascii="宋体" w:hAnsi="宋体" w:cs="宋体"/>
          <w:b/>
          <w:bCs/>
          <w:color w:val="auto"/>
          <w:highlight w:val="none"/>
        </w:rPr>
        <w:t xml:space="preserve"> 29.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DD22350">
      <w:pPr>
        <w:tabs>
          <w:tab w:val="left" w:pos="0"/>
        </w:tabs>
        <w:spacing w:line="360" w:lineRule="auto"/>
        <w:ind w:firstLine="480"/>
        <w:rPr>
          <w:rFonts w:hint="eastAsia" w:ascii="宋体" w:hAnsi="宋体" w:cs="宋体"/>
          <w:color w:val="auto"/>
          <w:sz w:val="24"/>
          <w:highlight w:val="none"/>
        </w:rPr>
      </w:pPr>
    </w:p>
    <w:p w14:paraId="05E188D6">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266B1810">
      <w:pPr>
        <w:pStyle w:val="24"/>
        <w:spacing w:line="360" w:lineRule="auto"/>
        <w:ind w:firstLine="0" w:firstLineChars="0"/>
        <w:rPr>
          <w:rFonts w:hint="eastAsia" w:cs="宋体"/>
          <w:b/>
          <w:color w:val="auto"/>
          <w:highlight w:val="none"/>
        </w:rPr>
      </w:pPr>
      <w:r>
        <w:rPr>
          <w:rFonts w:hint="eastAsia" w:cs="宋体"/>
          <w:b/>
          <w:color w:val="auto"/>
          <w:highlight w:val="none"/>
        </w:rPr>
        <w:t>30.验收</w:t>
      </w:r>
    </w:p>
    <w:p w14:paraId="3181F812">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4F5B5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861DBA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01567F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74714665"/>
      <w:bookmarkEnd w:id="15"/>
      <w:bookmarkStart w:id="16" w:name="_Hlt68073093"/>
      <w:bookmarkEnd w:id="16"/>
      <w:bookmarkStart w:id="17" w:name="_Hlt68403820"/>
      <w:bookmarkEnd w:id="17"/>
      <w:bookmarkStart w:id="18" w:name="_Hlt74707468"/>
      <w:bookmarkEnd w:id="18"/>
      <w:bookmarkStart w:id="19" w:name="_Hlt68072998"/>
      <w:bookmarkEnd w:id="19"/>
      <w:bookmarkStart w:id="20" w:name="_Hlt68072990"/>
      <w:bookmarkEnd w:id="20"/>
      <w:bookmarkStart w:id="21" w:name="_Hlt74730295"/>
      <w:bookmarkEnd w:id="21"/>
      <w:bookmarkStart w:id="22" w:name="_Hlt75236290"/>
      <w:bookmarkEnd w:id="22"/>
      <w:bookmarkStart w:id="23" w:name="_Hlt68057669"/>
      <w:bookmarkEnd w:id="23"/>
      <w:bookmarkStart w:id="24" w:name="_Hlt75236101"/>
      <w:bookmarkEnd w:id="24"/>
      <w:bookmarkStart w:id="25" w:name="_Hlt74729768"/>
      <w:bookmarkEnd w:id="25"/>
      <w:bookmarkStart w:id="26" w:name="_Hlt75236011"/>
      <w:bookmarkEnd w:id="26"/>
    </w:p>
    <w:p w14:paraId="1E0D6A3D">
      <w:pPr>
        <w:tabs>
          <w:tab w:val="left" w:pos="0"/>
        </w:tabs>
        <w:spacing w:line="360" w:lineRule="auto"/>
        <w:ind w:firstLine="48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765469C">
      <w:pPr>
        <w:pStyle w:val="81"/>
        <w:rPr>
          <w:rFonts w:hint="eastAsia"/>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0"/>
    <w:p w14:paraId="78C6CF13">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1CAABA92">
      <w:pPr>
        <w:pStyle w:val="15"/>
        <w:spacing w:line="360" w:lineRule="auto"/>
        <w:ind w:firstLine="482" w:firstLineChars="200"/>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一、项目概述</w:t>
      </w:r>
    </w:p>
    <w:p w14:paraId="5CC4459C">
      <w:pPr>
        <w:spacing w:line="360" w:lineRule="auto"/>
        <w:ind w:right="37" w:firstLine="59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项目围绕贯彻落实省委省政府关于缩小“三大差距”推进共同富裕先行示范的部署要求，按照建强“县城—中心镇—重点村”发展轴及推进乡村片区组团发展的目标任务开展相关工作。项目旨在通过开展《城乡公交客运片区组团融合发展缩小“三大差距”促进共同富裕成效评估》，系统掌握浙江省城乡公交一体化发展脉络，科学评估其对缩小“三大差距”、促进共富的实际成效。评估工作将运用多维度分析、典型案例总结和政策研究等方法，全面总结归纳实践经验与存在问题，系统性评估可持续发展情况，有效支撑“强城、兴村、融合”发展战略，推动城乡公交客运服务从“走得了”向“走得好”升级，为政府决策和行业发展提供科学依据。</w:t>
      </w:r>
    </w:p>
    <w:p w14:paraId="70AF51F4">
      <w:pPr>
        <w:tabs>
          <w:tab w:val="left" w:pos="420"/>
        </w:tabs>
        <w:spacing w:line="360" w:lineRule="auto"/>
        <w:ind w:firstLine="480" w:firstLineChars="200"/>
        <w:rPr>
          <w:rFonts w:hint="eastAsia" w:asciiTheme="minorEastAsia" w:hAnsiTheme="minorEastAsia" w:eastAsiaTheme="minorEastAsia" w:cstheme="minorEastAsia"/>
          <w:b w:val="0"/>
          <w:bCs/>
          <w:color w:val="auto"/>
          <w:kern w:val="0"/>
          <w:sz w:val="24"/>
          <w:szCs w:val="24"/>
          <w:highlight w:val="none"/>
        </w:rPr>
      </w:pPr>
      <w:r>
        <w:rPr>
          <w:rFonts w:hint="eastAsia" w:asciiTheme="minorEastAsia" w:hAnsiTheme="minorEastAsia" w:eastAsiaTheme="minorEastAsia" w:cstheme="minorEastAsia"/>
          <w:b w:val="0"/>
          <w:bCs/>
          <w:color w:val="auto"/>
          <w:kern w:val="0"/>
          <w:sz w:val="24"/>
          <w:szCs w:val="24"/>
          <w:highlight w:val="none"/>
        </w:rPr>
        <w:t>二、总体目标</w:t>
      </w:r>
    </w:p>
    <w:p w14:paraId="10E7E725">
      <w:pPr>
        <w:spacing w:line="360" w:lineRule="auto"/>
        <w:ind w:right="37" w:firstLine="59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通过周期性评估、政策贯彻成效评估、山区（海岛）质效提升评估，全面总结浙江省城乡公交一体化改革（2021-2025年）的进展与综合成效。聚焦缩小“三大差距”和促进共同富裕目标，深度挖掘并总结形成一批可复制、可推广的城乡公交客运服务优秀案例与实践模式。基于评估结果、现状分析及国家与省级最新政策导向，精准研判发展趋势，提出下一阶段推动城乡公交客运服务可持续、高质量发展的前瞻性建议。</w:t>
      </w:r>
    </w:p>
    <w:p w14:paraId="2B9B2054">
      <w:pPr>
        <w:tabs>
          <w:tab w:val="left" w:pos="420"/>
        </w:tabs>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rPr>
        <w:t>三、项目内容</w:t>
      </w:r>
    </w:p>
    <w:p w14:paraId="7933FE98">
      <w:pPr>
        <w:pStyle w:val="15"/>
        <w:spacing w:line="360" w:lineRule="auto"/>
        <w:rPr>
          <w:rFonts w:hint="eastAsia" w:asciiTheme="minorEastAsia" w:hAnsiTheme="minorEastAsia" w:eastAsiaTheme="minorEastAsia" w:cstheme="minorEastAsia"/>
          <w:bCs/>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1.城乡公交一体化改革周期性评估。</w:t>
      </w:r>
      <w:r>
        <w:rPr>
          <w:rFonts w:hint="eastAsia" w:asciiTheme="minorEastAsia" w:hAnsiTheme="minorEastAsia" w:eastAsiaTheme="minorEastAsia" w:cstheme="minorEastAsia"/>
          <w:bCs/>
          <w:color w:val="auto"/>
          <w:kern w:val="2"/>
          <w:sz w:val="24"/>
          <w:szCs w:val="24"/>
          <w:highlight w:val="none"/>
        </w:rPr>
        <w:t>优化浙江省城乡公交数据技术平台，完成2025年度城乡公交一体化数据监测，形成各县（市、区）城乡公交一体化率监测结果，生成“一村一表、一县一档”数据档案。梳理2021—2025年城乡公交一体化工作推进情况，对《城乡公交一体化发展专项行动方案》实施成效进行全面评估，定性、定量分析形成可视化对比结果，总结阶段性成效。</w:t>
      </w:r>
    </w:p>
    <w:p w14:paraId="5ABB0361">
      <w:pPr>
        <w:pStyle w:val="15"/>
        <w:spacing w:line="360" w:lineRule="auto"/>
        <w:rPr>
          <w:rFonts w:hint="eastAsia" w:asciiTheme="minorEastAsia" w:hAnsiTheme="minorEastAsia" w:eastAsiaTheme="minorEastAsia" w:cstheme="minorEastAsia"/>
          <w:bCs/>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2.城乡融合发展政策行业贯彻成效评估。</w:t>
      </w:r>
      <w:r>
        <w:rPr>
          <w:rFonts w:hint="eastAsia" w:asciiTheme="minorEastAsia" w:hAnsiTheme="minorEastAsia" w:eastAsiaTheme="minorEastAsia" w:cstheme="minorEastAsia"/>
          <w:bCs/>
          <w:color w:val="auto"/>
          <w:kern w:val="2"/>
          <w:sz w:val="24"/>
          <w:szCs w:val="24"/>
          <w:highlight w:val="none"/>
        </w:rPr>
        <w:t>围绕省委省政府城乡融合政策要求，重点评估各地在推进城乡公交一体化、提升公共交通服务均等化方面的落实举措与效果。对比分析政策实施前后，各地在城乡公交基础设施配套、客运服务水平等方面的变化与提升。从社会效益、经济发展等维度，分析政策实施对缩小“三大差距”、促进共同富裕的实际效果。</w:t>
      </w:r>
    </w:p>
    <w:p w14:paraId="537D8B4F">
      <w:pPr>
        <w:pStyle w:val="15"/>
        <w:spacing w:line="360" w:lineRule="auto"/>
        <w:rPr>
          <w:rFonts w:hint="eastAsia" w:asciiTheme="minorEastAsia" w:hAnsiTheme="minorEastAsia" w:eastAsiaTheme="minorEastAsia" w:cstheme="minorEastAsia"/>
          <w:bCs/>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3.浙江省各地城乡公交一体化质效提升工作评估。</w:t>
      </w:r>
      <w:r>
        <w:rPr>
          <w:rFonts w:hint="eastAsia" w:asciiTheme="minorEastAsia" w:hAnsiTheme="minorEastAsia" w:eastAsiaTheme="minorEastAsia" w:cstheme="minorEastAsia"/>
          <w:bCs/>
          <w:color w:val="auto"/>
          <w:kern w:val="2"/>
          <w:sz w:val="24"/>
          <w:szCs w:val="24"/>
          <w:highlight w:val="none"/>
        </w:rPr>
        <w:t>对照《省交通运输厅关于印发加开山区（海岛）城乡公交一体化质效提升方案的通知》，专项评估各地在推动山区、海岛等特殊区域城乡公交可持续发展的实施成效。总结提炼先进经验和有效模式，为下一步深化提升工作提供依据。</w:t>
      </w:r>
    </w:p>
    <w:p w14:paraId="12564532">
      <w:pPr>
        <w:pStyle w:val="15"/>
        <w:spacing w:line="360" w:lineRule="auto"/>
        <w:rPr>
          <w:rFonts w:hint="eastAsia" w:asciiTheme="minorEastAsia" w:hAnsiTheme="minorEastAsia" w:eastAsiaTheme="minorEastAsia" w:cstheme="minorEastAsia"/>
          <w:bCs/>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4.典型案例收集。</w:t>
      </w:r>
      <w:r>
        <w:rPr>
          <w:rFonts w:hint="eastAsia" w:asciiTheme="minorEastAsia" w:hAnsiTheme="minorEastAsia" w:eastAsiaTheme="minorEastAsia" w:cstheme="minorEastAsia"/>
          <w:bCs/>
          <w:color w:val="auto"/>
          <w:kern w:val="2"/>
          <w:sz w:val="24"/>
          <w:szCs w:val="24"/>
          <w:highlight w:val="none"/>
        </w:rPr>
        <w:t>围绕城乡公交系列工作，系统收集整理各地在提升山区（海岛）城乡公交质效、缩小“三大差距”促进共同富裕等方面的创新实践与成功案例。深入分析案例的背景、做法、成效，形成具有示范引领作用的经验模式集。</w:t>
      </w:r>
    </w:p>
    <w:p w14:paraId="040C4CA2">
      <w:pPr>
        <w:pStyle w:val="15"/>
        <w:spacing w:line="360" w:lineRule="auto"/>
        <w:rPr>
          <w:rFonts w:hint="eastAsia" w:asciiTheme="minorEastAsia" w:hAnsiTheme="minorEastAsia" w:eastAsiaTheme="minorEastAsia" w:cstheme="minorEastAsia"/>
          <w:bCs/>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5.评估结果分析与发展建议。</w:t>
      </w:r>
      <w:r>
        <w:rPr>
          <w:rFonts w:hint="eastAsia" w:asciiTheme="minorEastAsia" w:hAnsiTheme="minorEastAsia" w:eastAsiaTheme="minorEastAsia" w:cstheme="minorEastAsia"/>
          <w:bCs/>
          <w:color w:val="auto"/>
          <w:kern w:val="2"/>
          <w:sz w:val="24"/>
          <w:szCs w:val="24"/>
          <w:highlight w:val="none"/>
        </w:rPr>
        <w:t>对项目评估结果进行系统性分析，合理提出评估分析结论，点明当下发展主要问题，结合城乡公交发展面临的新形势、新特征、新挑战，重点聚焦具体可落地场景，基于评估结果进一步形成下一阶段浙江省城乡公交客运服务高质量发展建议。</w:t>
      </w:r>
    </w:p>
    <w:p w14:paraId="66E483E5">
      <w:pPr>
        <w:tabs>
          <w:tab w:val="left" w:pos="420"/>
        </w:tabs>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rPr>
        <w:t>四、技术要求</w:t>
      </w:r>
    </w:p>
    <w:p w14:paraId="67A4C600">
      <w:pPr>
        <w:pStyle w:val="15"/>
        <w:spacing w:line="360" w:lineRule="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项目成果要严格按照国家颁布的有关法律、法规及政策要求，符合相关的技术规范和标准。</w:t>
      </w:r>
    </w:p>
    <w:p w14:paraId="374CD7BA">
      <w:pPr>
        <w:pStyle w:val="15"/>
        <w:spacing w:line="360" w:lineRule="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评估需覆盖全省11个设区市及所有运营城乡公交的县（市、区），全面反映2021-2025年全省城乡公交一体化发展水平、服务效能、工作进展与成效。评估方法应科学严谨，思路开阔，观点明确，数据详实可靠，分析论证充分。提出的发展建议需聚焦具体任务和可落地场景，确保具备较强的实操性与应用价值。</w:t>
      </w:r>
    </w:p>
    <w:p w14:paraId="19FCB95D">
      <w:pPr>
        <w:pStyle w:val="96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en-US"/>
        </w:rPr>
      </w:pPr>
      <w:r>
        <w:rPr>
          <w:rFonts w:hint="eastAsia" w:asciiTheme="minorEastAsia" w:hAnsiTheme="minorEastAsia" w:eastAsiaTheme="minorEastAsia" w:cstheme="minorEastAsia"/>
          <w:color w:val="auto"/>
          <w:kern w:val="2"/>
          <w:sz w:val="24"/>
          <w:szCs w:val="24"/>
          <w:highlight w:val="none"/>
          <w:lang w:val="en-US"/>
        </w:rPr>
        <w:t>评估成果应做到文字流畅、思路清晰、逻辑性强、数据详实可靠、图标规范清晰。</w:t>
      </w:r>
    </w:p>
    <w:p w14:paraId="0F5FE082">
      <w:pPr>
        <w:tabs>
          <w:tab w:val="left" w:pos="420"/>
        </w:tabs>
        <w:spacing w:line="360" w:lineRule="auto"/>
        <w:ind w:firstLine="482" w:firstLineChars="200"/>
        <w:rPr>
          <w:rFonts w:hint="eastAsia" w:asciiTheme="minorEastAsia" w:hAnsiTheme="minorEastAsia" w:eastAsiaTheme="minorEastAsia" w:cstheme="minorEastAsia"/>
          <w:b/>
          <w:bCs/>
          <w:color w:val="auto"/>
          <w:kern w:val="0"/>
          <w:sz w:val="24"/>
          <w:szCs w:val="24"/>
          <w:highlight w:val="none"/>
          <w:lang w:val="en-US"/>
        </w:rPr>
      </w:pPr>
      <w:r>
        <w:rPr>
          <w:rFonts w:hint="eastAsia" w:asciiTheme="minorEastAsia" w:hAnsiTheme="minorEastAsia" w:eastAsiaTheme="minorEastAsia" w:cstheme="minorEastAsia"/>
          <w:b/>
          <w:bCs/>
          <w:color w:val="auto"/>
          <w:kern w:val="0"/>
          <w:sz w:val="24"/>
          <w:szCs w:val="24"/>
          <w:highlight w:val="none"/>
          <w:lang w:val="en-US"/>
        </w:rPr>
        <w:t>五、项目成果</w:t>
      </w:r>
    </w:p>
    <w:p w14:paraId="6C3485C9">
      <w:pPr>
        <w:pStyle w:val="96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en-US"/>
        </w:rPr>
      </w:pPr>
      <w:r>
        <w:rPr>
          <w:rFonts w:hint="eastAsia" w:asciiTheme="minorEastAsia" w:hAnsiTheme="minorEastAsia" w:eastAsiaTheme="minorEastAsia" w:cstheme="minorEastAsia"/>
          <w:color w:val="auto"/>
          <w:kern w:val="2"/>
          <w:sz w:val="24"/>
          <w:szCs w:val="24"/>
          <w:highlight w:val="none"/>
          <w:lang w:val="en-US"/>
        </w:rPr>
        <w:t>文档的提交应覆盖以下内容，电子文档是成果不可分割的部分。要求如下文档：</w:t>
      </w:r>
    </w:p>
    <w:p w14:paraId="5204434A">
      <w:pPr>
        <w:pStyle w:val="96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en-US"/>
        </w:rPr>
      </w:pPr>
      <w:r>
        <w:rPr>
          <w:rFonts w:hint="eastAsia" w:asciiTheme="minorEastAsia" w:hAnsiTheme="minorEastAsia" w:eastAsiaTheme="minorEastAsia" w:cstheme="minorEastAsia"/>
          <w:color w:val="auto"/>
          <w:kern w:val="2"/>
          <w:sz w:val="24"/>
          <w:szCs w:val="24"/>
          <w:highlight w:val="none"/>
          <w:lang w:val="en-US"/>
        </w:rPr>
        <w:t>●《城乡公交客运片区组团融合发展“缩小三大差距”促进共同富裕成效评估》评估报告，报告需包含全省11个地市、及全部运营有城乡公交的县（市、区），总结形成城乡公交客运典型案例集；</w:t>
      </w:r>
    </w:p>
    <w:p w14:paraId="08963CDC">
      <w:pPr>
        <w:pStyle w:val="96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en-US"/>
        </w:rPr>
      </w:pPr>
      <w:r>
        <w:rPr>
          <w:rFonts w:hint="eastAsia" w:asciiTheme="minorEastAsia" w:hAnsiTheme="minorEastAsia" w:eastAsiaTheme="minorEastAsia" w:cstheme="minorEastAsia"/>
          <w:color w:val="auto"/>
          <w:kern w:val="2"/>
          <w:sz w:val="24"/>
          <w:szCs w:val="24"/>
          <w:highlight w:val="none"/>
          <w:lang w:val="en-US"/>
        </w:rPr>
        <w:t>●其他需要提交的材料。</w:t>
      </w:r>
    </w:p>
    <w:p w14:paraId="06A988A3">
      <w:pPr>
        <w:tabs>
          <w:tab w:val="left" w:pos="420"/>
        </w:tabs>
        <w:spacing w:line="360" w:lineRule="auto"/>
        <w:ind w:firstLine="482" w:firstLineChars="200"/>
        <w:rPr>
          <w:rFonts w:hint="eastAsia" w:asciiTheme="minorEastAsia" w:hAnsiTheme="minorEastAsia" w:eastAsiaTheme="minorEastAsia" w:cstheme="minorEastAsia"/>
          <w:b/>
          <w:bCs/>
          <w:color w:val="auto"/>
          <w:kern w:val="0"/>
          <w:sz w:val="24"/>
          <w:szCs w:val="24"/>
          <w:highlight w:val="none"/>
          <w:lang w:val="en-US"/>
        </w:rPr>
      </w:pPr>
      <w:r>
        <w:rPr>
          <w:rFonts w:hint="eastAsia" w:asciiTheme="minorEastAsia" w:hAnsiTheme="minorEastAsia" w:eastAsiaTheme="minorEastAsia" w:cstheme="minorEastAsia"/>
          <w:b/>
          <w:bCs/>
          <w:color w:val="auto"/>
          <w:kern w:val="0"/>
          <w:sz w:val="24"/>
          <w:szCs w:val="24"/>
          <w:highlight w:val="none"/>
          <w:lang w:val="en-US"/>
        </w:rPr>
        <w:t>六、项目服务期</w:t>
      </w:r>
    </w:p>
    <w:p w14:paraId="30EB77FC">
      <w:pPr>
        <w:pStyle w:val="96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本计划服务期约6个月。</w:t>
      </w:r>
    </w:p>
    <w:p w14:paraId="5466BCD0">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2"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七、验收</w:t>
      </w:r>
    </w:p>
    <w:p w14:paraId="04664F3C">
      <w:pPr>
        <w:spacing w:line="360" w:lineRule="auto"/>
        <w:ind w:firstLine="480" w:firstLineChars="200"/>
        <w:rPr>
          <w:rFonts w:hint="eastAsia" w:asciiTheme="minorEastAsia" w:hAnsiTheme="minorEastAsia" w:eastAsiaTheme="minorEastAsia" w:cstheme="minorEastAsia"/>
          <w:b w:val="0"/>
          <w:bCs/>
          <w:color w:val="auto"/>
          <w:kern w:val="0"/>
          <w:sz w:val="24"/>
          <w:szCs w:val="24"/>
          <w:highlight w:val="none"/>
          <w:lang w:val="en-US"/>
        </w:rPr>
      </w:pPr>
      <w:r>
        <w:rPr>
          <w:rFonts w:hint="eastAsia" w:asciiTheme="minorEastAsia" w:hAnsiTheme="minorEastAsia" w:eastAsiaTheme="minorEastAsia" w:cstheme="minorEastAsia"/>
          <w:b w:val="0"/>
          <w:bCs/>
          <w:color w:val="auto"/>
          <w:kern w:val="0"/>
          <w:sz w:val="24"/>
          <w:szCs w:val="24"/>
          <w:highlight w:val="none"/>
          <w:lang w:val="en-US"/>
        </w:rPr>
        <w:t>验收时间：合同签订后6个月进行验收。</w:t>
      </w:r>
    </w:p>
    <w:p w14:paraId="63FA51D7">
      <w:pPr>
        <w:spacing w:line="360" w:lineRule="auto"/>
        <w:ind w:firstLine="480" w:firstLineChars="200"/>
        <w:rPr>
          <w:rFonts w:hint="eastAsia" w:asciiTheme="minorEastAsia" w:hAnsiTheme="minorEastAsia" w:eastAsiaTheme="minorEastAsia" w:cstheme="minorEastAsia"/>
          <w:b w:val="0"/>
          <w:bCs/>
          <w:color w:val="auto"/>
          <w:kern w:val="0"/>
          <w:sz w:val="24"/>
          <w:szCs w:val="24"/>
          <w:highlight w:val="none"/>
        </w:rPr>
      </w:pPr>
      <w:r>
        <w:rPr>
          <w:rFonts w:hint="eastAsia" w:asciiTheme="minorEastAsia" w:hAnsiTheme="minorEastAsia" w:eastAsiaTheme="minorEastAsia" w:cstheme="minorEastAsia"/>
          <w:b w:val="0"/>
          <w:bCs/>
          <w:color w:val="auto"/>
          <w:kern w:val="0"/>
          <w:sz w:val="24"/>
          <w:szCs w:val="24"/>
          <w:highlight w:val="none"/>
        </w:rPr>
        <w:t>验收地点：用户指定地点。</w:t>
      </w:r>
    </w:p>
    <w:p w14:paraId="152282EB">
      <w:pPr>
        <w:tabs>
          <w:tab w:val="left" w:pos="420"/>
        </w:tabs>
        <w:spacing w:line="360" w:lineRule="auto"/>
        <w:ind w:firstLine="482" w:firstLineChars="200"/>
        <w:rPr>
          <w:rFonts w:hint="eastAsia" w:asciiTheme="minorEastAsia" w:hAnsiTheme="minorEastAsia" w:eastAsiaTheme="minorEastAsia" w:cstheme="minorEastAsia"/>
          <w:b/>
          <w:bCs/>
          <w:color w:val="auto"/>
          <w:kern w:val="0"/>
          <w:sz w:val="24"/>
          <w:szCs w:val="24"/>
          <w:highlight w:val="none"/>
          <w:lang w:val="en-US"/>
        </w:rPr>
      </w:pPr>
      <w:r>
        <w:rPr>
          <w:rFonts w:hint="eastAsia" w:asciiTheme="minorEastAsia" w:hAnsiTheme="minorEastAsia" w:eastAsiaTheme="minorEastAsia" w:cstheme="minorEastAsia"/>
          <w:b/>
          <w:bCs/>
          <w:color w:val="auto"/>
          <w:kern w:val="0"/>
          <w:sz w:val="24"/>
          <w:szCs w:val="24"/>
          <w:highlight w:val="none"/>
          <w:lang w:val="en-US"/>
        </w:rPr>
        <w:t>八、人员要求</w:t>
      </w:r>
    </w:p>
    <w:p w14:paraId="680534BB">
      <w:pPr>
        <w:pStyle w:val="96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须组织具有较强研究能力的研究团队（其中提供驻场人员1名，原则上要求项目实施期间全程驻场，具体时间以项目实际要求为准）以保障本项目研究的时间与精力投入；项目团队成员不少于10人，包括项目负责人、规划研究人员及数据分析人员等，并有效保障实地调研开展。</w:t>
      </w:r>
    </w:p>
    <w:p w14:paraId="2AC4CF17">
      <w:pPr>
        <w:tabs>
          <w:tab w:val="left" w:pos="420"/>
        </w:tabs>
        <w:spacing w:line="360" w:lineRule="auto"/>
        <w:ind w:firstLine="482" w:firstLineChars="200"/>
        <w:rPr>
          <w:rFonts w:hint="eastAsia" w:asciiTheme="minorEastAsia" w:hAnsiTheme="minorEastAsia" w:eastAsiaTheme="minorEastAsia" w:cstheme="minorEastAsia"/>
          <w:b/>
          <w:bCs/>
          <w:color w:val="auto"/>
          <w:kern w:val="0"/>
          <w:sz w:val="24"/>
          <w:szCs w:val="24"/>
          <w:highlight w:val="none"/>
          <w:lang w:val="en-US"/>
        </w:rPr>
      </w:pPr>
      <w:r>
        <w:rPr>
          <w:rFonts w:hint="eastAsia" w:asciiTheme="minorEastAsia" w:hAnsiTheme="minorEastAsia" w:eastAsiaTheme="minorEastAsia" w:cstheme="minorEastAsia"/>
          <w:b/>
          <w:bCs/>
          <w:color w:val="auto"/>
          <w:kern w:val="0"/>
          <w:sz w:val="24"/>
          <w:szCs w:val="24"/>
          <w:highlight w:val="none"/>
          <w:lang w:val="en-US"/>
        </w:rPr>
        <w:t>九、付款方式</w:t>
      </w:r>
    </w:p>
    <w:p w14:paraId="5B496112">
      <w:pPr>
        <w:pStyle w:val="96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分两次支付，合同签订且具备实施条件后7个工作日内采购人向中标人预付合同金额的80%（中小企业合同为70%），项目通过采购人组织的验收后一个月内采购人向中标人支付合同金额的20%（中小企业合同为30%）。</w:t>
      </w:r>
    </w:p>
    <w:p w14:paraId="291DE6D4">
      <w:pPr>
        <w:tabs>
          <w:tab w:val="left" w:pos="420"/>
        </w:tabs>
        <w:spacing w:line="360" w:lineRule="auto"/>
        <w:ind w:firstLine="482" w:firstLineChars="200"/>
        <w:rPr>
          <w:rFonts w:hint="eastAsia" w:asciiTheme="minorEastAsia" w:hAnsiTheme="minorEastAsia" w:eastAsiaTheme="minorEastAsia" w:cstheme="minorEastAsia"/>
          <w:b/>
          <w:bCs/>
          <w:color w:val="auto"/>
          <w:kern w:val="0"/>
          <w:sz w:val="24"/>
          <w:szCs w:val="24"/>
          <w:highlight w:val="none"/>
          <w:lang w:val="en-US"/>
        </w:rPr>
      </w:pPr>
      <w:r>
        <w:rPr>
          <w:rFonts w:hint="eastAsia" w:asciiTheme="minorEastAsia" w:hAnsiTheme="minorEastAsia" w:eastAsiaTheme="minorEastAsia" w:cstheme="minorEastAsia"/>
          <w:b/>
          <w:bCs/>
          <w:color w:val="auto"/>
          <w:kern w:val="0"/>
          <w:sz w:val="24"/>
          <w:szCs w:val="24"/>
          <w:highlight w:val="none"/>
          <w:lang w:val="en-US"/>
        </w:rPr>
        <w:t>十、其他</w:t>
      </w:r>
    </w:p>
    <w:p w14:paraId="7B2D0D15">
      <w:pPr>
        <w:pStyle w:val="96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投标人应对上述服务要求作出一一响应。同时在投标文件中应根据上述要求提供总体方案，包括但不限于对项目需求的理解，服务方案、项目团队配置方案、项目服务质量保障措施等。</w:t>
      </w:r>
    </w:p>
    <w:p w14:paraId="082C7CD4">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7" w:name="_Toc184313248"/>
      <w:bookmarkEnd w:id="27"/>
      <w:bookmarkStart w:id="28" w:name="_Toc184308102"/>
      <w:bookmarkEnd w:id="28"/>
      <w:bookmarkStart w:id="29" w:name="_Toc184308061"/>
      <w:bookmarkEnd w:id="29"/>
      <w:bookmarkStart w:id="30" w:name="_Toc184312129"/>
      <w:bookmarkEnd w:id="30"/>
      <w:bookmarkStart w:id="31" w:name="_Toc184312118"/>
      <w:bookmarkEnd w:id="31"/>
      <w:bookmarkStart w:id="32" w:name="_Toc184314463"/>
      <w:bookmarkEnd w:id="32"/>
      <w:bookmarkStart w:id="33" w:name="_Toc184312080"/>
      <w:bookmarkEnd w:id="33"/>
      <w:bookmarkStart w:id="34" w:name="_Toc184314434"/>
      <w:bookmarkEnd w:id="34"/>
      <w:bookmarkStart w:id="35" w:name="_Toc184308079"/>
      <w:bookmarkEnd w:id="35"/>
      <w:bookmarkStart w:id="36" w:name="_Toc184313274"/>
      <w:bookmarkEnd w:id="36"/>
      <w:bookmarkStart w:id="37" w:name="_Toc184312079"/>
      <w:bookmarkEnd w:id="37"/>
      <w:bookmarkStart w:id="38" w:name="_Toc184308055"/>
      <w:bookmarkEnd w:id="38"/>
      <w:bookmarkStart w:id="39" w:name="_Toc184308095"/>
      <w:bookmarkEnd w:id="39"/>
      <w:bookmarkStart w:id="40" w:name="_Toc184310317"/>
      <w:bookmarkEnd w:id="40"/>
      <w:bookmarkStart w:id="41" w:name="_Toc184310305"/>
      <w:bookmarkEnd w:id="41"/>
      <w:bookmarkStart w:id="42" w:name="_Toc184308054"/>
      <w:bookmarkEnd w:id="42"/>
      <w:bookmarkStart w:id="43" w:name="_Toc184312075"/>
      <w:bookmarkEnd w:id="43"/>
      <w:bookmarkStart w:id="44" w:name="_Toc184310289"/>
      <w:bookmarkEnd w:id="44"/>
      <w:bookmarkStart w:id="45" w:name="_Toc184308106"/>
      <w:bookmarkEnd w:id="45"/>
      <w:bookmarkStart w:id="46" w:name="_Toc184313287"/>
      <w:bookmarkEnd w:id="46"/>
      <w:bookmarkStart w:id="47" w:name="_Toc184313303"/>
      <w:bookmarkEnd w:id="47"/>
      <w:bookmarkStart w:id="48" w:name="_Toc184308108"/>
      <w:bookmarkEnd w:id="48"/>
      <w:bookmarkStart w:id="49" w:name="_Toc184312097"/>
      <w:bookmarkEnd w:id="49"/>
      <w:bookmarkStart w:id="50" w:name="_Toc184312122"/>
      <w:bookmarkEnd w:id="50"/>
      <w:bookmarkStart w:id="51" w:name="_Toc184308071"/>
      <w:bookmarkEnd w:id="51"/>
      <w:bookmarkStart w:id="52" w:name="_Toc184308038"/>
      <w:bookmarkEnd w:id="52"/>
      <w:bookmarkStart w:id="53" w:name="_Toc184314466"/>
      <w:bookmarkEnd w:id="53"/>
      <w:bookmarkStart w:id="54" w:name="_Toc184310294"/>
      <w:bookmarkEnd w:id="54"/>
      <w:bookmarkStart w:id="55" w:name="_Toc184313272"/>
      <w:bookmarkEnd w:id="55"/>
      <w:bookmarkStart w:id="56" w:name="_Toc184310332"/>
      <w:bookmarkEnd w:id="56"/>
      <w:bookmarkStart w:id="57" w:name="_Toc184312131"/>
      <w:bookmarkEnd w:id="57"/>
      <w:bookmarkStart w:id="58" w:name="_Toc184308083"/>
      <w:bookmarkEnd w:id="58"/>
      <w:bookmarkStart w:id="59" w:name="_Toc184312108"/>
      <w:bookmarkEnd w:id="59"/>
      <w:bookmarkStart w:id="60" w:name="_Toc184312139"/>
      <w:bookmarkEnd w:id="60"/>
      <w:bookmarkStart w:id="61" w:name="_Toc184314470"/>
      <w:bookmarkEnd w:id="61"/>
      <w:bookmarkStart w:id="62" w:name="_Toc184310343"/>
      <w:bookmarkEnd w:id="62"/>
      <w:bookmarkStart w:id="63" w:name="_Toc184308073"/>
      <w:bookmarkEnd w:id="63"/>
      <w:bookmarkStart w:id="64" w:name="_Toc184314475"/>
      <w:bookmarkEnd w:id="64"/>
      <w:bookmarkStart w:id="65" w:name="_Toc184313267"/>
      <w:bookmarkEnd w:id="65"/>
      <w:bookmarkStart w:id="66" w:name="_Toc184313279"/>
      <w:bookmarkEnd w:id="66"/>
      <w:bookmarkStart w:id="67" w:name="_Toc184314426"/>
      <w:bookmarkEnd w:id="67"/>
      <w:bookmarkStart w:id="68" w:name="_Toc184314454"/>
      <w:bookmarkEnd w:id="68"/>
      <w:bookmarkStart w:id="69" w:name="_Toc184308097"/>
      <w:bookmarkEnd w:id="69"/>
      <w:bookmarkStart w:id="70" w:name="_Toc184312100"/>
      <w:bookmarkEnd w:id="70"/>
      <w:bookmarkStart w:id="71" w:name="_Toc184314443"/>
      <w:bookmarkEnd w:id="71"/>
      <w:bookmarkStart w:id="72" w:name="_Toc184314421"/>
      <w:bookmarkEnd w:id="72"/>
      <w:bookmarkStart w:id="73" w:name="_Toc184314411"/>
      <w:bookmarkEnd w:id="73"/>
      <w:bookmarkStart w:id="74" w:name="_Toc184308066"/>
      <w:bookmarkEnd w:id="74"/>
      <w:bookmarkStart w:id="75" w:name="_Toc184310312"/>
      <w:bookmarkEnd w:id="75"/>
      <w:bookmarkStart w:id="76" w:name="_Toc184313239"/>
      <w:bookmarkEnd w:id="76"/>
      <w:bookmarkStart w:id="77" w:name="_Toc184314467"/>
      <w:bookmarkEnd w:id="77"/>
      <w:bookmarkStart w:id="78" w:name="_Toc184308062"/>
      <w:bookmarkEnd w:id="78"/>
      <w:bookmarkStart w:id="79" w:name="_Toc184313283"/>
      <w:bookmarkEnd w:id="79"/>
      <w:bookmarkStart w:id="80" w:name="_Toc184308040"/>
      <w:bookmarkEnd w:id="80"/>
      <w:bookmarkStart w:id="81" w:name="_Toc184314422"/>
      <w:bookmarkEnd w:id="81"/>
      <w:bookmarkStart w:id="82" w:name="_Toc184313286"/>
      <w:bookmarkEnd w:id="82"/>
      <w:bookmarkStart w:id="83" w:name="_Toc184313270"/>
      <w:bookmarkEnd w:id="83"/>
      <w:bookmarkStart w:id="84" w:name="_Toc184308057"/>
      <w:bookmarkEnd w:id="84"/>
      <w:bookmarkStart w:id="85" w:name="_Toc184314417"/>
      <w:bookmarkEnd w:id="85"/>
      <w:bookmarkStart w:id="86" w:name="_Toc184313277"/>
      <w:bookmarkEnd w:id="86"/>
      <w:bookmarkStart w:id="87" w:name="_Toc184310288"/>
      <w:bookmarkEnd w:id="87"/>
      <w:bookmarkStart w:id="88" w:name="_Toc184312127"/>
      <w:bookmarkEnd w:id="88"/>
      <w:bookmarkStart w:id="89" w:name="_Toc184312089"/>
      <w:bookmarkEnd w:id="89"/>
      <w:bookmarkStart w:id="90" w:name="_Toc184313278"/>
      <w:bookmarkEnd w:id="90"/>
      <w:bookmarkStart w:id="91" w:name="_Toc184313258"/>
      <w:bookmarkEnd w:id="91"/>
      <w:bookmarkStart w:id="92" w:name="_Toc184312071"/>
      <w:bookmarkEnd w:id="92"/>
      <w:bookmarkStart w:id="93" w:name="_Toc184314482"/>
      <w:bookmarkEnd w:id="93"/>
      <w:bookmarkStart w:id="94" w:name="_Toc184308041"/>
      <w:bookmarkEnd w:id="94"/>
      <w:bookmarkStart w:id="95" w:name="_Toc184314446"/>
      <w:bookmarkEnd w:id="95"/>
      <w:bookmarkStart w:id="96" w:name="_Toc184308069"/>
      <w:bookmarkEnd w:id="96"/>
      <w:bookmarkStart w:id="97" w:name="_Toc184314478"/>
      <w:bookmarkEnd w:id="97"/>
      <w:bookmarkStart w:id="98" w:name="_Toc184313292"/>
      <w:bookmarkEnd w:id="98"/>
      <w:bookmarkStart w:id="99" w:name="_Toc184312093"/>
      <w:bookmarkEnd w:id="99"/>
      <w:bookmarkStart w:id="100" w:name="_Toc184308074"/>
      <w:bookmarkEnd w:id="100"/>
      <w:bookmarkStart w:id="101" w:name="_Toc184313297"/>
      <w:bookmarkEnd w:id="101"/>
      <w:bookmarkStart w:id="102" w:name="_Toc184312125"/>
      <w:bookmarkEnd w:id="102"/>
      <w:bookmarkStart w:id="103" w:name="_Toc184314441"/>
      <w:bookmarkEnd w:id="103"/>
      <w:bookmarkStart w:id="104" w:name="_Toc184313243"/>
      <w:bookmarkEnd w:id="104"/>
      <w:bookmarkStart w:id="105" w:name="_Toc184310322"/>
      <w:bookmarkEnd w:id="105"/>
      <w:bookmarkStart w:id="106" w:name="_Toc184313238"/>
      <w:bookmarkEnd w:id="106"/>
      <w:bookmarkStart w:id="107" w:name="_Toc184314469"/>
      <w:bookmarkEnd w:id="107"/>
      <w:bookmarkStart w:id="108" w:name="_Toc184313263"/>
      <w:bookmarkEnd w:id="108"/>
      <w:bookmarkStart w:id="109" w:name="_Toc184314464"/>
      <w:bookmarkEnd w:id="109"/>
      <w:bookmarkStart w:id="110" w:name="_Toc184312107"/>
      <w:bookmarkEnd w:id="110"/>
      <w:bookmarkStart w:id="111" w:name="_Toc184310303"/>
      <w:bookmarkEnd w:id="111"/>
      <w:bookmarkStart w:id="112" w:name="_Toc184314429"/>
      <w:bookmarkEnd w:id="112"/>
      <w:bookmarkStart w:id="113" w:name="_Toc184308086"/>
      <w:bookmarkEnd w:id="113"/>
      <w:bookmarkStart w:id="114" w:name="_Toc184310330"/>
      <w:bookmarkEnd w:id="114"/>
      <w:bookmarkStart w:id="115" w:name="_Toc184314476"/>
      <w:bookmarkEnd w:id="115"/>
      <w:bookmarkStart w:id="116" w:name="_Toc184314480"/>
      <w:bookmarkEnd w:id="116"/>
      <w:bookmarkStart w:id="117" w:name="_Toc184313301"/>
      <w:bookmarkEnd w:id="117"/>
      <w:bookmarkStart w:id="118" w:name="_Toc184310306"/>
      <w:bookmarkEnd w:id="118"/>
      <w:bookmarkStart w:id="119" w:name="_Toc184308037"/>
      <w:bookmarkEnd w:id="119"/>
      <w:bookmarkStart w:id="120" w:name="_Toc184312073"/>
      <w:bookmarkEnd w:id="120"/>
      <w:bookmarkStart w:id="121" w:name="_Toc184312076"/>
      <w:bookmarkEnd w:id="121"/>
      <w:bookmarkStart w:id="122" w:name="_Toc184310307"/>
      <w:bookmarkEnd w:id="122"/>
      <w:bookmarkStart w:id="123" w:name="_Toc184313251"/>
      <w:bookmarkEnd w:id="123"/>
      <w:bookmarkStart w:id="124" w:name="_Toc184313273"/>
      <w:bookmarkEnd w:id="124"/>
      <w:bookmarkStart w:id="125" w:name="_Toc184312070"/>
      <w:bookmarkEnd w:id="125"/>
      <w:bookmarkStart w:id="126" w:name="_Toc184310299"/>
      <w:bookmarkEnd w:id="126"/>
      <w:bookmarkStart w:id="127" w:name="_Toc184313269"/>
      <w:bookmarkEnd w:id="127"/>
      <w:bookmarkStart w:id="128" w:name="_Toc184314435"/>
      <w:bookmarkEnd w:id="128"/>
      <w:bookmarkStart w:id="129" w:name="_Toc184308101"/>
      <w:bookmarkEnd w:id="129"/>
      <w:bookmarkStart w:id="130" w:name="_Toc184310319"/>
      <w:bookmarkEnd w:id="130"/>
      <w:bookmarkStart w:id="131" w:name="_Toc184308077"/>
      <w:bookmarkEnd w:id="131"/>
      <w:bookmarkStart w:id="132" w:name="_Toc184310335"/>
      <w:bookmarkEnd w:id="132"/>
      <w:bookmarkStart w:id="133" w:name="_Toc184312085"/>
      <w:bookmarkEnd w:id="133"/>
      <w:bookmarkStart w:id="134" w:name="_Toc184310315"/>
      <w:bookmarkEnd w:id="134"/>
      <w:bookmarkStart w:id="135" w:name="_Toc184313259"/>
      <w:bookmarkEnd w:id="135"/>
      <w:bookmarkStart w:id="136" w:name="_Toc184314461"/>
      <w:bookmarkEnd w:id="136"/>
      <w:bookmarkStart w:id="137" w:name="_Toc184313253"/>
      <w:bookmarkEnd w:id="137"/>
      <w:bookmarkStart w:id="138" w:name="_Toc184312077"/>
      <w:bookmarkEnd w:id="138"/>
      <w:bookmarkStart w:id="139" w:name="_Toc184308089"/>
      <w:bookmarkEnd w:id="139"/>
      <w:bookmarkStart w:id="140" w:name="_Toc184308087"/>
      <w:bookmarkEnd w:id="140"/>
      <w:bookmarkStart w:id="141" w:name="_Toc184310272"/>
      <w:bookmarkEnd w:id="141"/>
      <w:bookmarkStart w:id="142" w:name="_Toc184310276"/>
      <w:bookmarkEnd w:id="142"/>
      <w:bookmarkStart w:id="143" w:name="_Toc184314433"/>
      <w:bookmarkEnd w:id="143"/>
      <w:bookmarkStart w:id="144" w:name="_Toc184314430"/>
      <w:bookmarkEnd w:id="144"/>
      <w:bookmarkStart w:id="145" w:name="_Toc184310342"/>
      <w:bookmarkEnd w:id="145"/>
      <w:bookmarkStart w:id="146" w:name="_Toc184310341"/>
      <w:bookmarkEnd w:id="146"/>
      <w:bookmarkStart w:id="147" w:name="_Toc184308098"/>
      <w:bookmarkEnd w:id="147"/>
      <w:bookmarkStart w:id="148" w:name="_Toc184313310"/>
      <w:bookmarkEnd w:id="148"/>
      <w:bookmarkStart w:id="149" w:name="_Toc184314471"/>
      <w:bookmarkEnd w:id="149"/>
      <w:bookmarkStart w:id="150" w:name="_Toc184314444"/>
      <w:bookmarkEnd w:id="150"/>
      <w:bookmarkStart w:id="151" w:name="_Toc184312074"/>
      <w:bookmarkEnd w:id="151"/>
      <w:bookmarkStart w:id="152" w:name="_Toc184312136"/>
      <w:bookmarkEnd w:id="152"/>
      <w:bookmarkStart w:id="153" w:name="_Toc184314427"/>
      <w:bookmarkEnd w:id="153"/>
      <w:bookmarkStart w:id="154" w:name="_Toc184313252"/>
      <w:bookmarkEnd w:id="154"/>
      <w:bookmarkStart w:id="155" w:name="_Toc184313280"/>
      <w:bookmarkEnd w:id="155"/>
      <w:bookmarkStart w:id="156" w:name="_Toc184312117"/>
      <w:bookmarkEnd w:id="156"/>
      <w:bookmarkStart w:id="157" w:name="_Toc184312101"/>
      <w:bookmarkEnd w:id="157"/>
      <w:bookmarkStart w:id="158" w:name="_Toc184313302"/>
      <w:bookmarkEnd w:id="158"/>
      <w:bookmarkStart w:id="159" w:name="_Toc184313284"/>
      <w:bookmarkEnd w:id="159"/>
      <w:bookmarkStart w:id="160" w:name="_Toc184313276"/>
      <w:bookmarkEnd w:id="160"/>
      <w:bookmarkStart w:id="161" w:name="_Toc184308105"/>
      <w:bookmarkEnd w:id="161"/>
      <w:bookmarkStart w:id="162" w:name="_Toc184310301"/>
      <w:bookmarkEnd w:id="162"/>
      <w:bookmarkStart w:id="163" w:name="_Toc184312069"/>
      <w:bookmarkEnd w:id="163"/>
      <w:bookmarkStart w:id="164" w:name="_Toc184308084"/>
      <w:bookmarkEnd w:id="164"/>
      <w:bookmarkStart w:id="165" w:name="_Toc184308043"/>
      <w:bookmarkEnd w:id="165"/>
      <w:bookmarkStart w:id="166" w:name="_Toc184310331"/>
      <w:bookmarkEnd w:id="166"/>
      <w:bookmarkStart w:id="167" w:name="_Toc184310339"/>
      <w:bookmarkEnd w:id="167"/>
      <w:bookmarkStart w:id="168" w:name="_Toc184308049"/>
      <w:bookmarkEnd w:id="168"/>
      <w:bookmarkStart w:id="169" w:name="_Toc184310337"/>
      <w:bookmarkEnd w:id="169"/>
      <w:bookmarkStart w:id="170" w:name="_Toc184308085"/>
      <w:bookmarkEnd w:id="170"/>
      <w:bookmarkStart w:id="171" w:name="_Toc184313296"/>
      <w:bookmarkEnd w:id="171"/>
      <w:bookmarkStart w:id="172" w:name="_Toc184312137"/>
      <w:bookmarkEnd w:id="172"/>
      <w:bookmarkStart w:id="173" w:name="_Toc184313300"/>
      <w:bookmarkEnd w:id="173"/>
      <w:bookmarkStart w:id="174" w:name="_Toc184312084"/>
      <w:bookmarkEnd w:id="174"/>
      <w:bookmarkStart w:id="175" w:name="_Toc184314456"/>
      <w:bookmarkEnd w:id="175"/>
      <w:bookmarkStart w:id="176" w:name="_Toc184308064"/>
      <w:bookmarkEnd w:id="176"/>
      <w:bookmarkStart w:id="177" w:name="_Toc184308056"/>
      <w:bookmarkEnd w:id="177"/>
      <w:bookmarkStart w:id="178" w:name="_Toc184314462"/>
      <w:bookmarkEnd w:id="178"/>
      <w:bookmarkStart w:id="179" w:name="_Toc184312124"/>
      <w:bookmarkEnd w:id="179"/>
      <w:bookmarkStart w:id="180" w:name="_Toc184308096"/>
      <w:bookmarkEnd w:id="180"/>
      <w:bookmarkStart w:id="181" w:name="_Toc184308048"/>
      <w:bookmarkEnd w:id="181"/>
      <w:bookmarkStart w:id="182" w:name="_Toc184312112"/>
      <w:bookmarkEnd w:id="182"/>
      <w:bookmarkStart w:id="183" w:name="_Toc184313282"/>
      <w:bookmarkEnd w:id="183"/>
      <w:bookmarkStart w:id="184" w:name="_Toc184314481"/>
      <w:bookmarkEnd w:id="184"/>
      <w:bookmarkStart w:id="185" w:name="_Toc184313247"/>
      <w:bookmarkEnd w:id="185"/>
      <w:bookmarkStart w:id="186" w:name="_Toc184314425"/>
      <w:bookmarkEnd w:id="186"/>
      <w:bookmarkStart w:id="187" w:name="_Toc184308067"/>
      <w:bookmarkEnd w:id="187"/>
      <w:bookmarkStart w:id="188" w:name="_Toc184310326"/>
      <w:bookmarkEnd w:id="188"/>
      <w:bookmarkStart w:id="189" w:name="_Toc184308059"/>
      <w:bookmarkEnd w:id="189"/>
      <w:bookmarkStart w:id="190" w:name="_Toc184312095"/>
      <w:bookmarkEnd w:id="190"/>
      <w:bookmarkStart w:id="191" w:name="_Toc184314437"/>
      <w:bookmarkEnd w:id="191"/>
      <w:bookmarkStart w:id="192" w:name="_Toc184313245"/>
      <w:bookmarkEnd w:id="192"/>
      <w:bookmarkStart w:id="193" w:name="_Toc184314412"/>
      <w:bookmarkEnd w:id="193"/>
      <w:bookmarkStart w:id="194" w:name="_Toc184314447"/>
      <w:bookmarkEnd w:id="194"/>
      <w:bookmarkStart w:id="195" w:name="_Toc184310283"/>
      <w:bookmarkEnd w:id="195"/>
      <w:bookmarkStart w:id="196" w:name="_Toc184310280"/>
      <w:bookmarkEnd w:id="196"/>
      <w:bookmarkStart w:id="197" w:name="_Toc184308103"/>
      <w:bookmarkEnd w:id="197"/>
      <w:bookmarkStart w:id="198" w:name="_Toc184314415"/>
      <w:bookmarkEnd w:id="198"/>
      <w:bookmarkStart w:id="199" w:name="_Toc184310295"/>
      <w:bookmarkEnd w:id="199"/>
      <w:bookmarkStart w:id="200" w:name="_Toc184312133"/>
      <w:bookmarkEnd w:id="200"/>
      <w:bookmarkStart w:id="201" w:name="_Toc184312111"/>
      <w:bookmarkEnd w:id="201"/>
      <w:bookmarkStart w:id="202" w:name="_Toc184308080"/>
      <w:bookmarkEnd w:id="202"/>
      <w:bookmarkStart w:id="203" w:name="_Toc184310302"/>
      <w:bookmarkEnd w:id="203"/>
      <w:bookmarkStart w:id="204" w:name="_Toc184313266"/>
      <w:bookmarkEnd w:id="204"/>
      <w:bookmarkStart w:id="205" w:name="_Toc184310320"/>
      <w:bookmarkEnd w:id="205"/>
      <w:bookmarkStart w:id="206" w:name="_Toc184310318"/>
      <w:bookmarkEnd w:id="206"/>
      <w:bookmarkStart w:id="207" w:name="_Toc184312091"/>
      <w:bookmarkEnd w:id="207"/>
      <w:bookmarkStart w:id="208" w:name="_Toc184313240"/>
      <w:bookmarkEnd w:id="208"/>
      <w:bookmarkStart w:id="209" w:name="_Toc184314455"/>
      <w:bookmarkEnd w:id="209"/>
      <w:bookmarkStart w:id="210" w:name="_Toc184312086"/>
      <w:bookmarkEnd w:id="210"/>
      <w:bookmarkStart w:id="211" w:name="_Toc184308044"/>
      <w:bookmarkEnd w:id="211"/>
      <w:bookmarkStart w:id="212" w:name="_Toc184308036"/>
      <w:bookmarkEnd w:id="212"/>
      <w:bookmarkStart w:id="213" w:name="_Toc184312119"/>
      <w:bookmarkEnd w:id="213"/>
      <w:bookmarkStart w:id="214" w:name="_Toc184310290"/>
      <w:bookmarkEnd w:id="214"/>
      <w:bookmarkStart w:id="215" w:name="_Toc184308091"/>
      <w:bookmarkEnd w:id="215"/>
      <w:bookmarkStart w:id="216" w:name="_Toc184312109"/>
      <w:bookmarkEnd w:id="216"/>
      <w:bookmarkStart w:id="217" w:name="_Toc184312130"/>
      <w:bookmarkEnd w:id="217"/>
      <w:bookmarkStart w:id="218" w:name="_Toc184312103"/>
      <w:bookmarkEnd w:id="218"/>
      <w:bookmarkStart w:id="219" w:name="_Toc184308065"/>
      <w:bookmarkEnd w:id="219"/>
      <w:bookmarkStart w:id="220" w:name="_Toc184308082"/>
      <w:bookmarkEnd w:id="220"/>
      <w:bookmarkStart w:id="221" w:name="_Toc184313249"/>
      <w:bookmarkEnd w:id="221"/>
      <w:bookmarkStart w:id="222" w:name="_Toc184313306"/>
      <w:bookmarkEnd w:id="222"/>
      <w:bookmarkStart w:id="223" w:name="_Toc184313275"/>
      <w:bookmarkEnd w:id="223"/>
      <w:bookmarkStart w:id="224" w:name="_Toc184310279"/>
      <w:bookmarkEnd w:id="224"/>
      <w:bookmarkStart w:id="225" w:name="_Toc184312115"/>
      <w:bookmarkEnd w:id="225"/>
      <w:bookmarkStart w:id="226" w:name="_Toc184310333"/>
      <w:bookmarkEnd w:id="226"/>
      <w:bookmarkStart w:id="227" w:name="_Toc184314477"/>
      <w:bookmarkEnd w:id="227"/>
      <w:bookmarkStart w:id="228" w:name="_Toc184310293"/>
      <w:bookmarkEnd w:id="228"/>
      <w:bookmarkStart w:id="229" w:name="_Toc184312078"/>
      <w:bookmarkEnd w:id="229"/>
      <w:bookmarkStart w:id="230" w:name="_Toc184313265"/>
      <w:bookmarkEnd w:id="230"/>
      <w:bookmarkStart w:id="231" w:name="_Toc184312123"/>
      <w:bookmarkEnd w:id="231"/>
      <w:bookmarkStart w:id="232" w:name="_Toc184313298"/>
      <w:bookmarkEnd w:id="232"/>
      <w:bookmarkStart w:id="233" w:name="_Toc184310334"/>
      <w:bookmarkEnd w:id="233"/>
      <w:bookmarkStart w:id="234" w:name="_Toc184314474"/>
      <w:bookmarkEnd w:id="234"/>
      <w:bookmarkStart w:id="235" w:name="_Toc184314458"/>
      <w:bookmarkEnd w:id="235"/>
      <w:bookmarkStart w:id="236" w:name="_Toc184310308"/>
      <w:bookmarkEnd w:id="236"/>
      <w:bookmarkStart w:id="237" w:name="_Toc184314459"/>
      <w:bookmarkEnd w:id="237"/>
      <w:bookmarkStart w:id="238" w:name="_Toc184308051"/>
      <w:bookmarkEnd w:id="238"/>
      <w:bookmarkStart w:id="239" w:name="_Toc184308058"/>
      <w:bookmarkEnd w:id="239"/>
      <w:bookmarkStart w:id="240" w:name="_Toc184312068"/>
      <w:bookmarkEnd w:id="240"/>
      <w:bookmarkStart w:id="241" w:name="_Toc184312105"/>
      <w:bookmarkEnd w:id="241"/>
      <w:bookmarkStart w:id="242" w:name="_Toc184314445"/>
      <w:bookmarkEnd w:id="242"/>
      <w:bookmarkStart w:id="243" w:name="_Toc184313271"/>
      <w:bookmarkEnd w:id="243"/>
      <w:bookmarkStart w:id="244" w:name="_Toc184310309"/>
      <w:bookmarkEnd w:id="244"/>
      <w:bookmarkStart w:id="245" w:name="_Toc184314472"/>
      <w:bookmarkEnd w:id="245"/>
      <w:bookmarkStart w:id="246" w:name="_Toc184312106"/>
      <w:bookmarkEnd w:id="246"/>
      <w:bookmarkStart w:id="247" w:name="_Toc184308104"/>
      <w:bookmarkEnd w:id="247"/>
      <w:bookmarkStart w:id="248" w:name="_Toc184310282"/>
      <w:bookmarkEnd w:id="248"/>
      <w:bookmarkStart w:id="249" w:name="_Toc184308042"/>
      <w:bookmarkEnd w:id="249"/>
      <w:bookmarkStart w:id="250" w:name="_Toc184313268"/>
      <w:bookmarkEnd w:id="250"/>
      <w:bookmarkStart w:id="251" w:name="_Toc184313309"/>
      <w:bookmarkEnd w:id="251"/>
      <w:bookmarkStart w:id="252" w:name="_Toc184312092"/>
      <w:bookmarkEnd w:id="252"/>
      <w:bookmarkStart w:id="253" w:name="_Toc184312110"/>
      <w:bookmarkEnd w:id="253"/>
      <w:bookmarkStart w:id="254" w:name="_Toc184310313"/>
      <w:bookmarkEnd w:id="254"/>
      <w:bookmarkStart w:id="255" w:name="_Toc184308107"/>
      <w:bookmarkEnd w:id="255"/>
      <w:bookmarkStart w:id="256" w:name="_Toc184314419"/>
      <w:bookmarkEnd w:id="256"/>
      <w:bookmarkStart w:id="257" w:name="_Toc184313299"/>
      <w:bookmarkEnd w:id="257"/>
      <w:bookmarkStart w:id="258" w:name="_Toc184312132"/>
      <w:bookmarkEnd w:id="258"/>
      <w:bookmarkStart w:id="259" w:name="_Toc184314465"/>
      <w:bookmarkEnd w:id="259"/>
      <w:bookmarkStart w:id="260" w:name="_Toc184308052"/>
      <w:bookmarkEnd w:id="260"/>
      <w:bookmarkStart w:id="261" w:name="_Toc184314424"/>
      <w:bookmarkEnd w:id="261"/>
      <w:bookmarkStart w:id="262" w:name="_Toc184314410"/>
      <w:bookmarkEnd w:id="262"/>
      <w:bookmarkStart w:id="263" w:name="_Toc184312134"/>
      <w:bookmarkEnd w:id="263"/>
      <w:bookmarkStart w:id="264" w:name="_Toc184313246"/>
      <w:bookmarkEnd w:id="264"/>
      <w:bookmarkStart w:id="265" w:name="_Toc184310316"/>
      <w:bookmarkEnd w:id="265"/>
      <w:bookmarkStart w:id="266" w:name="_Toc184313241"/>
      <w:bookmarkEnd w:id="266"/>
      <w:bookmarkStart w:id="267" w:name="_Toc184310273"/>
      <w:bookmarkEnd w:id="267"/>
      <w:bookmarkStart w:id="268" w:name="_Toc184310321"/>
      <w:bookmarkEnd w:id="268"/>
      <w:bookmarkStart w:id="269" w:name="_Toc184308060"/>
      <w:bookmarkEnd w:id="269"/>
      <w:bookmarkStart w:id="270" w:name="_Toc184313307"/>
      <w:bookmarkEnd w:id="270"/>
      <w:bookmarkStart w:id="271" w:name="_Toc184313260"/>
      <w:bookmarkEnd w:id="271"/>
      <w:bookmarkStart w:id="272" w:name="_Toc184310286"/>
      <w:bookmarkEnd w:id="272"/>
      <w:bookmarkStart w:id="273" w:name="_Toc184314416"/>
      <w:bookmarkEnd w:id="273"/>
      <w:bookmarkStart w:id="274" w:name="_Toc184314418"/>
      <w:bookmarkEnd w:id="274"/>
      <w:bookmarkStart w:id="275" w:name="_Toc184310314"/>
      <w:bookmarkEnd w:id="275"/>
      <w:bookmarkStart w:id="276" w:name="_Toc184310296"/>
      <w:bookmarkEnd w:id="276"/>
      <w:bookmarkStart w:id="277" w:name="_Toc184314436"/>
      <w:bookmarkEnd w:id="277"/>
      <w:bookmarkStart w:id="278" w:name="_Toc184312126"/>
      <w:bookmarkEnd w:id="278"/>
      <w:bookmarkStart w:id="279" w:name="_Toc184314439"/>
      <w:bookmarkEnd w:id="279"/>
      <w:bookmarkStart w:id="280" w:name="_Toc184314442"/>
      <w:bookmarkEnd w:id="280"/>
      <w:bookmarkStart w:id="281" w:name="_Toc184312104"/>
      <w:bookmarkEnd w:id="281"/>
      <w:bookmarkStart w:id="282" w:name="_Toc184308045"/>
      <w:bookmarkEnd w:id="282"/>
      <w:bookmarkStart w:id="283" w:name="_Toc184314451"/>
      <w:bookmarkEnd w:id="283"/>
      <w:bookmarkStart w:id="284" w:name="_Toc184308092"/>
      <w:bookmarkEnd w:id="284"/>
      <w:bookmarkStart w:id="285" w:name="_Toc184314423"/>
      <w:bookmarkEnd w:id="285"/>
      <w:bookmarkStart w:id="286" w:name="_Toc184312090"/>
      <w:bookmarkEnd w:id="286"/>
      <w:bookmarkStart w:id="287" w:name="_Toc184313289"/>
      <w:bookmarkEnd w:id="287"/>
      <w:bookmarkStart w:id="288" w:name="_Toc184312121"/>
      <w:bookmarkEnd w:id="288"/>
      <w:bookmarkStart w:id="289" w:name="_Toc184310344"/>
      <w:bookmarkEnd w:id="289"/>
      <w:bookmarkStart w:id="290" w:name="_Toc184312088"/>
      <w:bookmarkEnd w:id="290"/>
      <w:bookmarkStart w:id="291" w:name="_Toc184314431"/>
      <w:bookmarkEnd w:id="291"/>
      <w:bookmarkStart w:id="292" w:name="_Toc184310287"/>
      <w:bookmarkEnd w:id="292"/>
      <w:bookmarkStart w:id="293" w:name="_Toc184310336"/>
      <w:bookmarkEnd w:id="293"/>
      <w:bookmarkStart w:id="294" w:name="_Toc184308100"/>
      <w:bookmarkEnd w:id="294"/>
      <w:bookmarkStart w:id="295" w:name="_Toc184310277"/>
      <w:bookmarkEnd w:id="295"/>
      <w:bookmarkStart w:id="296" w:name="_Toc184312099"/>
      <w:bookmarkEnd w:id="296"/>
      <w:bookmarkStart w:id="297" w:name="_Toc184314457"/>
      <w:bookmarkEnd w:id="297"/>
      <w:bookmarkStart w:id="298" w:name="_Toc184313290"/>
      <w:bookmarkEnd w:id="298"/>
      <w:bookmarkStart w:id="299" w:name="_Toc184313250"/>
      <w:bookmarkEnd w:id="299"/>
      <w:bookmarkStart w:id="300" w:name="_Toc184314420"/>
      <w:bookmarkEnd w:id="300"/>
      <w:bookmarkStart w:id="301" w:name="_Toc184310281"/>
      <w:bookmarkEnd w:id="301"/>
      <w:bookmarkStart w:id="302" w:name="_Toc184312102"/>
      <w:bookmarkEnd w:id="302"/>
      <w:bookmarkStart w:id="303" w:name="_Toc184310284"/>
      <w:bookmarkEnd w:id="303"/>
      <w:bookmarkStart w:id="304" w:name="_Toc184313257"/>
      <w:bookmarkEnd w:id="304"/>
      <w:bookmarkStart w:id="305" w:name="_Toc184310300"/>
      <w:bookmarkEnd w:id="305"/>
      <w:bookmarkStart w:id="306" w:name="_Toc184308068"/>
      <w:bookmarkEnd w:id="306"/>
      <w:bookmarkStart w:id="307" w:name="_Toc184313244"/>
      <w:bookmarkEnd w:id="307"/>
      <w:bookmarkStart w:id="308" w:name="_Toc184314452"/>
      <w:bookmarkEnd w:id="308"/>
      <w:bookmarkStart w:id="309" w:name="_Toc184312082"/>
      <w:bookmarkEnd w:id="309"/>
      <w:bookmarkStart w:id="310" w:name="_Toc184314453"/>
      <w:bookmarkEnd w:id="310"/>
      <w:bookmarkStart w:id="311" w:name="_Toc184313308"/>
      <w:bookmarkEnd w:id="311"/>
      <w:bookmarkStart w:id="312" w:name="_Toc184308088"/>
      <w:bookmarkEnd w:id="312"/>
      <w:bookmarkStart w:id="313" w:name="_Toc184312135"/>
      <w:bookmarkEnd w:id="313"/>
      <w:bookmarkStart w:id="314" w:name="_Toc184314432"/>
      <w:bookmarkEnd w:id="314"/>
      <w:bookmarkStart w:id="315" w:name="_Toc184313295"/>
      <w:bookmarkEnd w:id="315"/>
      <w:bookmarkStart w:id="316" w:name="_Toc184308070"/>
      <w:bookmarkEnd w:id="316"/>
      <w:bookmarkStart w:id="317" w:name="_Toc184314428"/>
      <w:bookmarkEnd w:id="317"/>
      <w:bookmarkStart w:id="318" w:name="_Toc184312114"/>
      <w:bookmarkEnd w:id="318"/>
      <w:bookmarkStart w:id="319" w:name="_Toc184314479"/>
      <w:bookmarkEnd w:id="319"/>
      <w:bookmarkStart w:id="320" w:name="_Toc184312067"/>
      <w:bookmarkEnd w:id="320"/>
      <w:bookmarkStart w:id="321" w:name="_Toc184314440"/>
      <w:bookmarkEnd w:id="321"/>
      <w:bookmarkStart w:id="322" w:name="_Toc184313262"/>
      <w:bookmarkEnd w:id="322"/>
      <w:bookmarkStart w:id="323" w:name="_Toc184312113"/>
      <w:bookmarkEnd w:id="323"/>
      <w:bookmarkStart w:id="324" w:name="_Toc184310298"/>
      <w:bookmarkEnd w:id="324"/>
      <w:bookmarkStart w:id="325" w:name="_Toc184313288"/>
      <w:bookmarkEnd w:id="325"/>
      <w:bookmarkStart w:id="326" w:name="_Toc184313255"/>
      <w:bookmarkEnd w:id="326"/>
      <w:bookmarkStart w:id="327" w:name="_Toc184310304"/>
      <w:bookmarkEnd w:id="327"/>
      <w:bookmarkStart w:id="328" w:name="_Toc184313281"/>
      <w:bookmarkEnd w:id="328"/>
      <w:bookmarkStart w:id="329" w:name="_Toc184314414"/>
      <w:bookmarkEnd w:id="329"/>
      <w:bookmarkStart w:id="330" w:name="_Toc184308090"/>
      <w:bookmarkEnd w:id="330"/>
      <w:bookmarkStart w:id="331" w:name="_Toc184312094"/>
      <w:bookmarkEnd w:id="331"/>
      <w:bookmarkStart w:id="332" w:name="_Toc184308094"/>
      <w:bookmarkEnd w:id="332"/>
      <w:bookmarkStart w:id="333" w:name="_Toc184314460"/>
      <w:bookmarkEnd w:id="333"/>
      <w:bookmarkStart w:id="334" w:name="_Toc184308046"/>
      <w:bookmarkEnd w:id="334"/>
      <w:bookmarkStart w:id="335" w:name="_Toc184310338"/>
      <w:bookmarkEnd w:id="335"/>
      <w:bookmarkStart w:id="336" w:name="_Toc184310275"/>
      <w:bookmarkEnd w:id="336"/>
      <w:bookmarkStart w:id="337" w:name="_Toc184312116"/>
      <w:bookmarkEnd w:id="337"/>
      <w:bookmarkStart w:id="338" w:name="_Toc184312087"/>
      <w:bookmarkEnd w:id="338"/>
      <w:bookmarkStart w:id="339" w:name="_Toc184310327"/>
      <w:bookmarkEnd w:id="339"/>
      <w:bookmarkStart w:id="340" w:name="_Toc184314473"/>
      <w:bookmarkEnd w:id="340"/>
      <w:bookmarkStart w:id="341" w:name="_Toc184310278"/>
      <w:bookmarkEnd w:id="341"/>
      <w:bookmarkStart w:id="342" w:name="_Toc184314468"/>
      <w:bookmarkEnd w:id="342"/>
      <w:bookmarkStart w:id="343" w:name="_Toc184308093"/>
      <w:bookmarkEnd w:id="343"/>
      <w:bookmarkStart w:id="344" w:name="_Toc184310285"/>
      <w:bookmarkEnd w:id="344"/>
      <w:bookmarkStart w:id="345" w:name="_Toc184310297"/>
      <w:bookmarkEnd w:id="345"/>
      <w:bookmarkStart w:id="346" w:name="_Toc184308039"/>
      <w:bookmarkEnd w:id="346"/>
      <w:bookmarkStart w:id="347" w:name="_Toc184310328"/>
      <w:bookmarkEnd w:id="347"/>
      <w:bookmarkStart w:id="348" w:name="_Toc184310324"/>
      <w:bookmarkEnd w:id="348"/>
      <w:bookmarkStart w:id="349" w:name="_Toc184312120"/>
      <w:bookmarkEnd w:id="349"/>
      <w:bookmarkStart w:id="350" w:name="_Toc184308050"/>
      <w:bookmarkEnd w:id="350"/>
      <w:bookmarkStart w:id="351" w:name="_Toc184312083"/>
      <w:bookmarkEnd w:id="351"/>
      <w:bookmarkStart w:id="352" w:name="_Toc184314413"/>
      <w:bookmarkEnd w:id="352"/>
      <w:bookmarkStart w:id="353" w:name="_Toc184308047"/>
      <w:bookmarkEnd w:id="353"/>
      <w:bookmarkStart w:id="354" w:name="_Toc184308078"/>
      <w:bookmarkEnd w:id="354"/>
      <w:bookmarkStart w:id="355" w:name="_Toc184308072"/>
      <w:bookmarkEnd w:id="355"/>
      <w:bookmarkStart w:id="356" w:name="_Toc184308076"/>
      <w:bookmarkEnd w:id="356"/>
      <w:bookmarkStart w:id="357" w:name="_Toc184314450"/>
      <w:bookmarkEnd w:id="357"/>
      <w:bookmarkStart w:id="358" w:name="_Toc184308063"/>
      <w:bookmarkEnd w:id="358"/>
      <w:bookmarkStart w:id="359" w:name="_Toc184313256"/>
      <w:bookmarkEnd w:id="359"/>
      <w:bookmarkStart w:id="360" w:name="_Toc184314448"/>
      <w:bookmarkEnd w:id="360"/>
      <w:bookmarkStart w:id="361" w:name="_Toc184308053"/>
      <w:bookmarkEnd w:id="361"/>
      <w:bookmarkStart w:id="362" w:name="_Toc184310291"/>
      <w:bookmarkEnd w:id="362"/>
      <w:bookmarkStart w:id="363" w:name="_Toc184310311"/>
      <w:bookmarkEnd w:id="363"/>
      <w:bookmarkStart w:id="364" w:name="_Toc184310325"/>
      <w:bookmarkEnd w:id="364"/>
      <w:bookmarkStart w:id="365" w:name="_Toc184312098"/>
      <w:bookmarkEnd w:id="365"/>
      <w:bookmarkStart w:id="366" w:name="_Toc184310323"/>
      <w:bookmarkEnd w:id="366"/>
      <w:bookmarkStart w:id="367" w:name="_Toc184308099"/>
      <w:bookmarkEnd w:id="367"/>
      <w:bookmarkStart w:id="368" w:name="_Toc184310340"/>
      <w:bookmarkEnd w:id="368"/>
      <w:bookmarkStart w:id="369" w:name="_Toc184310310"/>
      <w:bookmarkEnd w:id="369"/>
      <w:bookmarkStart w:id="370" w:name="_Toc184308081"/>
      <w:bookmarkEnd w:id="370"/>
      <w:bookmarkStart w:id="371" w:name="_Toc184313254"/>
      <w:bookmarkEnd w:id="371"/>
      <w:bookmarkStart w:id="372" w:name="_Toc184312128"/>
      <w:bookmarkEnd w:id="372"/>
      <w:bookmarkStart w:id="373" w:name="_Toc184312081"/>
      <w:bookmarkEnd w:id="373"/>
      <w:bookmarkStart w:id="374" w:name="_Toc184313293"/>
      <w:bookmarkEnd w:id="374"/>
      <w:bookmarkStart w:id="375" w:name="_Toc184313305"/>
      <w:bookmarkEnd w:id="375"/>
      <w:bookmarkStart w:id="376" w:name="_Toc184310274"/>
      <w:bookmarkEnd w:id="376"/>
      <w:bookmarkStart w:id="377" w:name="_Toc184314438"/>
      <w:bookmarkEnd w:id="377"/>
      <w:bookmarkStart w:id="378" w:name="_Toc184312072"/>
      <w:bookmarkEnd w:id="378"/>
      <w:bookmarkStart w:id="379" w:name="_Toc184313261"/>
      <w:bookmarkEnd w:id="379"/>
      <w:bookmarkStart w:id="380" w:name="_Toc184313291"/>
      <w:bookmarkEnd w:id="380"/>
      <w:bookmarkStart w:id="381" w:name="_Toc184313285"/>
      <w:bookmarkEnd w:id="381"/>
      <w:bookmarkStart w:id="382" w:name="_Toc184313264"/>
      <w:bookmarkEnd w:id="382"/>
      <w:bookmarkStart w:id="383" w:name="_Toc184313294"/>
      <w:bookmarkEnd w:id="383"/>
      <w:bookmarkStart w:id="384" w:name="_Toc184312096"/>
      <w:bookmarkEnd w:id="384"/>
      <w:bookmarkStart w:id="385" w:name="_Toc184314449"/>
      <w:bookmarkEnd w:id="385"/>
      <w:bookmarkStart w:id="386" w:name="_Toc184308075"/>
      <w:bookmarkEnd w:id="386"/>
      <w:bookmarkStart w:id="387" w:name="_Toc184310292"/>
      <w:bookmarkEnd w:id="387"/>
      <w:bookmarkStart w:id="388" w:name="_Toc184312138"/>
      <w:bookmarkEnd w:id="388"/>
      <w:bookmarkStart w:id="389" w:name="_Toc184310329"/>
      <w:bookmarkEnd w:id="389"/>
      <w:bookmarkStart w:id="390" w:name="_Toc184313304"/>
      <w:bookmarkEnd w:id="390"/>
      <w:bookmarkStart w:id="391" w:name="_Toc184313242"/>
      <w:bookmarkEnd w:id="391"/>
      <w:r>
        <w:rPr>
          <w:rFonts w:hint="eastAsia" w:ascii="宋体" w:hAnsi="宋体" w:cs="宋体"/>
          <w:b/>
          <w:color w:val="auto"/>
          <w:sz w:val="36"/>
          <w:szCs w:val="36"/>
          <w:highlight w:val="none"/>
        </w:rPr>
        <w:t>评标办法</w:t>
      </w:r>
    </w:p>
    <w:p w14:paraId="50421043">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10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68"/>
        <w:gridCol w:w="643"/>
        <w:gridCol w:w="6127"/>
        <w:gridCol w:w="761"/>
        <w:gridCol w:w="1038"/>
      </w:tblGrid>
      <w:tr w14:paraId="59A1F9CB">
        <w:trPr>
          <w:trHeight w:val="467" w:hRule="atLeast"/>
          <w:tblHeader/>
          <w:jc w:val="center"/>
        </w:trPr>
        <w:tc>
          <w:tcPr>
            <w:tcW w:w="828" w:type="dxa"/>
            <w:vAlign w:val="center"/>
          </w:tcPr>
          <w:p w14:paraId="4F3C1DA5">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序号</w:t>
            </w:r>
          </w:p>
        </w:tc>
        <w:tc>
          <w:tcPr>
            <w:tcW w:w="7638" w:type="dxa"/>
            <w:gridSpan w:val="3"/>
            <w:vAlign w:val="center"/>
          </w:tcPr>
          <w:p w14:paraId="504A29D2">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评分内容和标准</w:t>
            </w:r>
          </w:p>
        </w:tc>
        <w:tc>
          <w:tcPr>
            <w:tcW w:w="761" w:type="dxa"/>
            <w:vAlign w:val="center"/>
          </w:tcPr>
          <w:p w14:paraId="48332E36">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分值</w:t>
            </w:r>
          </w:p>
        </w:tc>
        <w:tc>
          <w:tcPr>
            <w:tcW w:w="1038" w:type="dxa"/>
            <w:vAlign w:val="center"/>
          </w:tcPr>
          <w:p w14:paraId="6E80AE0C">
            <w:pPr>
              <w:widowControl/>
              <w:jc w:val="center"/>
              <w:rPr>
                <w:rFonts w:hint="default" w:ascii="Songti SC Regular" w:hAnsi="Songti SC Regular" w:eastAsia="Songti SC Regular" w:cs="Songti SC Regular"/>
                <w:color w:val="auto"/>
                <w:kern w:val="0"/>
                <w:sz w:val="24"/>
                <w:szCs w:val="24"/>
                <w:highlight w:val="none"/>
                <w:lang w:val="en-US" w:eastAsia="zh-CN"/>
              </w:rPr>
            </w:pPr>
            <w:r>
              <w:rPr>
                <w:rFonts w:hint="eastAsia" w:ascii="Songti SC Regular" w:hAnsi="Songti SC Regular" w:eastAsia="Songti SC Regular" w:cs="Songti SC Regular"/>
                <w:color w:val="auto"/>
                <w:kern w:val="0"/>
                <w:sz w:val="24"/>
                <w:szCs w:val="24"/>
                <w:highlight w:val="none"/>
                <w:lang w:val="en-US" w:eastAsia="zh-CN"/>
              </w:rPr>
              <w:t>主观分/客观分属性</w:t>
            </w:r>
          </w:p>
        </w:tc>
      </w:tr>
      <w:tr w14:paraId="73DAFC0C">
        <w:trPr>
          <w:trHeight w:val="900" w:hRule="atLeast"/>
          <w:jc w:val="center"/>
        </w:trPr>
        <w:tc>
          <w:tcPr>
            <w:tcW w:w="828" w:type="dxa"/>
            <w:vAlign w:val="center"/>
          </w:tcPr>
          <w:p w14:paraId="35F8CF44">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1</w:t>
            </w:r>
          </w:p>
        </w:tc>
        <w:tc>
          <w:tcPr>
            <w:tcW w:w="7638" w:type="dxa"/>
            <w:gridSpan w:val="3"/>
            <w:vAlign w:val="center"/>
          </w:tcPr>
          <w:p w14:paraId="25343A79">
            <w:pPr>
              <w:widowControl/>
              <w:jc w:val="left"/>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投标人自2021年</w:t>
            </w:r>
            <w:r>
              <w:rPr>
                <w:rFonts w:hint="eastAsia" w:ascii="Songti SC Regular" w:hAnsi="Songti SC Regular" w:eastAsia="Songti SC Regular" w:cs="Songti SC Regular"/>
                <w:color w:val="auto"/>
                <w:kern w:val="0"/>
                <w:sz w:val="24"/>
                <w:szCs w:val="24"/>
                <w:highlight w:val="none"/>
                <w:lang w:val="en-US" w:eastAsia="zh-CN"/>
              </w:rPr>
              <w:t>1月1日</w:t>
            </w:r>
            <w:r>
              <w:rPr>
                <w:rFonts w:hint="eastAsia" w:ascii="Songti SC Regular" w:hAnsi="Songti SC Regular" w:eastAsia="Songti SC Regular" w:cs="Songti SC Regular"/>
                <w:color w:val="auto"/>
                <w:kern w:val="0"/>
                <w:sz w:val="24"/>
                <w:szCs w:val="24"/>
                <w:highlight w:val="none"/>
              </w:rPr>
              <w:t>以来具有的城乡公交一体化规划、政策研究、平台建设等相关技术咨询项目经验，每个得0.5分，最高得1分。</w:t>
            </w:r>
          </w:p>
          <w:p w14:paraId="5FB3F478">
            <w:pPr>
              <w:widowControl/>
              <w:jc w:val="left"/>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注：提供相应的证明文件（合同扫描件），时间以合同签订时间为准。</w:t>
            </w:r>
          </w:p>
        </w:tc>
        <w:tc>
          <w:tcPr>
            <w:tcW w:w="761" w:type="dxa"/>
            <w:vAlign w:val="center"/>
          </w:tcPr>
          <w:p w14:paraId="15B6887F">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1</w:t>
            </w:r>
          </w:p>
        </w:tc>
        <w:tc>
          <w:tcPr>
            <w:tcW w:w="1038" w:type="dxa"/>
            <w:vAlign w:val="center"/>
          </w:tcPr>
          <w:p w14:paraId="169F2F01">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客观分</w:t>
            </w:r>
          </w:p>
        </w:tc>
      </w:tr>
      <w:tr w14:paraId="2EFAFE11">
        <w:trPr>
          <w:trHeight w:val="90" w:hRule="atLeast"/>
          <w:jc w:val="center"/>
        </w:trPr>
        <w:tc>
          <w:tcPr>
            <w:tcW w:w="828" w:type="dxa"/>
            <w:vAlign w:val="center"/>
          </w:tcPr>
          <w:p w14:paraId="33044B86">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2</w:t>
            </w:r>
          </w:p>
        </w:tc>
        <w:tc>
          <w:tcPr>
            <w:tcW w:w="1511" w:type="dxa"/>
            <w:gridSpan w:val="2"/>
            <w:vMerge w:val="restart"/>
            <w:vAlign w:val="center"/>
          </w:tcPr>
          <w:p w14:paraId="46D23490">
            <w:pPr>
              <w:jc w:val="left"/>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拟派项目组人员</w:t>
            </w:r>
          </w:p>
        </w:tc>
        <w:tc>
          <w:tcPr>
            <w:tcW w:w="6127" w:type="dxa"/>
            <w:vAlign w:val="center"/>
          </w:tcPr>
          <w:p w14:paraId="298B5D06">
            <w:pPr>
              <w:widowControl/>
              <w:jc w:val="left"/>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（1）拟派项目负责人具备交通运输工程类或规划</w:t>
            </w:r>
          </w:p>
          <w:p w14:paraId="4812E1C1">
            <w:pPr>
              <w:widowControl/>
              <w:jc w:val="left"/>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相关的高级及以上职称得2分，其余不得分。（2分）</w:t>
            </w:r>
          </w:p>
          <w:p w14:paraId="627C7A42">
            <w:pPr>
              <w:widowControl/>
              <w:jc w:val="left"/>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（2）拟派项目负责人具有注册咨询工程师（投资）执业资格、注册城乡规划师执业能力证书的，每个证书得2分，最高得4分。（4分）</w:t>
            </w:r>
          </w:p>
          <w:p w14:paraId="5C6B0FF7">
            <w:pPr>
              <w:widowControl/>
              <w:jc w:val="left"/>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（3）2021年1月1日以来，拟派项目负责人主持过城乡公交一体化或者综合交通规划类似咨询项目的，每个项目2分，最多4分。（4分）</w:t>
            </w:r>
          </w:p>
          <w:p w14:paraId="12505658">
            <w:pPr>
              <w:widowControl/>
              <w:jc w:val="left"/>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注：1、提供相关证明材料。2、须提供拟派人员在投标人最近3个月内任意1个月的社保证明，不提供的不得分。</w:t>
            </w:r>
          </w:p>
        </w:tc>
        <w:tc>
          <w:tcPr>
            <w:tcW w:w="761" w:type="dxa"/>
            <w:vAlign w:val="center"/>
          </w:tcPr>
          <w:p w14:paraId="2F0D18C1">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10</w:t>
            </w:r>
          </w:p>
        </w:tc>
        <w:tc>
          <w:tcPr>
            <w:tcW w:w="1038" w:type="dxa"/>
            <w:vAlign w:val="center"/>
          </w:tcPr>
          <w:p w14:paraId="247B7317">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客观分</w:t>
            </w:r>
          </w:p>
        </w:tc>
      </w:tr>
      <w:tr w14:paraId="052FC733">
        <w:trPr>
          <w:trHeight w:val="1840" w:hRule="atLeast"/>
          <w:jc w:val="center"/>
        </w:trPr>
        <w:tc>
          <w:tcPr>
            <w:tcW w:w="828" w:type="dxa"/>
            <w:vAlign w:val="center"/>
          </w:tcPr>
          <w:p w14:paraId="6DF19B4E">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3</w:t>
            </w:r>
          </w:p>
        </w:tc>
        <w:tc>
          <w:tcPr>
            <w:tcW w:w="1511" w:type="dxa"/>
            <w:gridSpan w:val="2"/>
            <w:vMerge w:val="continue"/>
            <w:vAlign w:val="center"/>
          </w:tcPr>
          <w:p w14:paraId="68DFE3F6">
            <w:pPr>
              <w:jc w:val="left"/>
              <w:rPr>
                <w:rFonts w:hint="eastAsia" w:ascii="Songti SC Regular" w:hAnsi="Songti SC Regular" w:eastAsia="Songti SC Regular" w:cs="Songti SC Regular"/>
                <w:color w:val="auto"/>
                <w:kern w:val="0"/>
                <w:sz w:val="24"/>
                <w:szCs w:val="24"/>
                <w:highlight w:val="none"/>
              </w:rPr>
            </w:pPr>
          </w:p>
        </w:tc>
        <w:tc>
          <w:tcPr>
            <w:tcW w:w="6127" w:type="dxa"/>
            <w:vAlign w:val="center"/>
          </w:tcPr>
          <w:p w14:paraId="70395278">
            <w:pPr>
              <w:widowControl/>
              <w:jc w:val="left"/>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（4）拟派项目负责人以外的人员中具备交通运输工程类或规划相关的高级及以上职称的每人得2分，最多6分。（6分）</w:t>
            </w:r>
          </w:p>
          <w:p w14:paraId="621DBA55">
            <w:pPr>
              <w:widowControl/>
              <w:jc w:val="left"/>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（5）2021年1月1日以来，拟派项目负责人以外的人员中主持过城乡公交一体化或者综合交通规划类似咨询项目的，每人得2分，最多6分。（6分）</w:t>
            </w:r>
          </w:p>
          <w:p w14:paraId="298228B8">
            <w:pPr>
              <w:pStyle w:val="807"/>
              <w:spacing w:line="240" w:lineRule="auto"/>
              <w:ind w:firstLine="0" w:firstLineChars="0"/>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注：1、提供相关证明材料。2、须提供拟派人员在投标人最近3个月内任意1个月的社保证明，不提供的不得分。</w:t>
            </w:r>
          </w:p>
        </w:tc>
        <w:tc>
          <w:tcPr>
            <w:tcW w:w="761" w:type="dxa"/>
            <w:vAlign w:val="center"/>
          </w:tcPr>
          <w:p w14:paraId="0160EC85">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12</w:t>
            </w:r>
          </w:p>
        </w:tc>
        <w:tc>
          <w:tcPr>
            <w:tcW w:w="1038" w:type="dxa"/>
            <w:vAlign w:val="center"/>
          </w:tcPr>
          <w:p w14:paraId="7E5E5D57">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客观分</w:t>
            </w:r>
          </w:p>
        </w:tc>
      </w:tr>
      <w:tr w14:paraId="0A45B61D">
        <w:trPr>
          <w:trHeight w:val="229" w:hRule="atLeast"/>
          <w:jc w:val="center"/>
        </w:trPr>
        <w:tc>
          <w:tcPr>
            <w:tcW w:w="828" w:type="dxa"/>
            <w:vAlign w:val="center"/>
          </w:tcPr>
          <w:p w14:paraId="14F9A075">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4</w:t>
            </w:r>
          </w:p>
        </w:tc>
        <w:tc>
          <w:tcPr>
            <w:tcW w:w="1511" w:type="dxa"/>
            <w:gridSpan w:val="2"/>
            <w:vMerge w:val="continue"/>
            <w:vAlign w:val="center"/>
          </w:tcPr>
          <w:p w14:paraId="478D736F">
            <w:pPr>
              <w:jc w:val="left"/>
              <w:rPr>
                <w:rFonts w:hint="eastAsia" w:ascii="Songti SC Regular" w:hAnsi="Songti SC Regular" w:eastAsia="Songti SC Regular" w:cs="Songti SC Regular"/>
                <w:color w:val="auto"/>
                <w:kern w:val="0"/>
                <w:sz w:val="24"/>
                <w:szCs w:val="24"/>
                <w:highlight w:val="none"/>
              </w:rPr>
            </w:pPr>
          </w:p>
        </w:tc>
        <w:tc>
          <w:tcPr>
            <w:tcW w:w="6127" w:type="dxa"/>
            <w:vAlign w:val="center"/>
          </w:tcPr>
          <w:p w14:paraId="18923561">
            <w:pPr>
              <w:widowControl/>
              <w:jc w:val="left"/>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（6）拟派项目人员不少于10人（含驻场人员）的得4分。提供人员名单，不符合要求不得分。</w:t>
            </w:r>
          </w:p>
        </w:tc>
        <w:tc>
          <w:tcPr>
            <w:tcW w:w="761" w:type="dxa"/>
            <w:vAlign w:val="center"/>
          </w:tcPr>
          <w:p w14:paraId="3C168BBA">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4</w:t>
            </w:r>
          </w:p>
        </w:tc>
        <w:tc>
          <w:tcPr>
            <w:tcW w:w="1038" w:type="dxa"/>
            <w:vAlign w:val="center"/>
          </w:tcPr>
          <w:p w14:paraId="47FB2EF8">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客观分</w:t>
            </w:r>
          </w:p>
        </w:tc>
      </w:tr>
      <w:tr w14:paraId="0069BBF0">
        <w:trPr>
          <w:trHeight w:val="1464" w:hRule="atLeast"/>
          <w:jc w:val="center"/>
        </w:trPr>
        <w:tc>
          <w:tcPr>
            <w:tcW w:w="828" w:type="dxa"/>
            <w:vAlign w:val="center"/>
          </w:tcPr>
          <w:p w14:paraId="2F683E18">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5</w:t>
            </w:r>
          </w:p>
        </w:tc>
        <w:tc>
          <w:tcPr>
            <w:tcW w:w="1511" w:type="dxa"/>
            <w:gridSpan w:val="2"/>
            <w:vMerge w:val="continue"/>
            <w:vAlign w:val="center"/>
          </w:tcPr>
          <w:p w14:paraId="4D22E41A">
            <w:pPr>
              <w:widowControl/>
              <w:jc w:val="left"/>
              <w:rPr>
                <w:rFonts w:hint="eastAsia" w:ascii="Songti SC Regular" w:hAnsi="Songti SC Regular" w:eastAsia="Songti SC Regular" w:cs="Songti SC Regular"/>
                <w:color w:val="auto"/>
                <w:kern w:val="0"/>
                <w:sz w:val="24"/>
                <w:szCs w:val="24"/>
                <w:highlight w:val="none"/>
              </w:rPr>
            </w:pPr>
          </w:p>
        </w:tc>
        <w:tc>
          <w:tcPr>
            <w:tcW w:w="6127" w:type="dxa"/>
            <w:vAlign w:val="center"/>
          </w:tcPr>
          <w:p w14:paraId="4E959AED">
            <w:pPr>
              <w:widowControl/>
              <w:jc w:val="left"/>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（7）根据拟派服务团队人员的构成、职责划分的合理性和完整性以及项目团队整体服务能力情况综合评分。（评分范围：3，2，1，0）</w:t>
            </w:r>
          </w:p>
          <w:p w14:paraId="5C655C00">
            <w:pPr>
              <w:widowControl/>
              <w:jc w:val="left"/>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注：1、提供相关证明材料。2、须提供拟派人员在投标人最近3个月内任意1个月的社保证明，不提供的不得分。</w:t>
            </w:r>
          </w:p>
        </w:tc>
        <w:tc>
          <w:tcPr>
            <w:tcW w:w="761" w:type="dxa"/>
            <w:vAlign w:val="center"/>
          </w:tcPr>
          <w:p w14:paraId="3787470A">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3</w:t>
            </w:r>
          </w:p>
        </w:tc>
        <w:tc>
          <w:tcPr>
            <w:tcW w:w="1038" w:type="dxa"/>
            <w:vAlign w:val="center"/>
          </w:tcPr>
          <w:p w14:paraId="5BBD18B5">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主观分</w:t>
            </w:r>
          </w:p>
        </w:tc>
      </w:tr>
      <w:tr w14:paraId="5020EC8A">
        <w:trPr>
          <w:trHeight w:val="900" w:hRule="atLeast"/>
          <w:jc w:val="center"/>
        </w:trPr>
        <w:tc>
          <w:tcPr>
            <w:tcW w:w="828" w:type="dxa"/>
            <w:vAlign w:val="center"/>
          </w:tcPr>
          <w:p w14:paraId="735B940A">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6</w:t>
            </w:r>
          </w:p>
        </w:tc>
        <w:tc>
          <w:tcPr>
            <w:tcW w:w="7638" w:type="dxa"/>
            <w:gridSpan w:val="3"/>
            <w:vAlign w:val="center"/>
          </w:tcPr>
          <w:p w14:paraId="1B4B4A22">
            <w:pPr>
              <w:widowControl/>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招标内容及需求响应程度：</w:t>
            </w:r>
          </w:p>
          <w:p w14:paraId="3267BE03">
            <w:pPr>
              <w:widowControl/>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投标人所投服务内容完全满足招标文件“第三部分   采购需求”（“一、项目概述”、“八、人员要求”和“十、其他”除外）要求的，得15分；每有1项细分要求不满足的，每项扣5分；扣完为止。</w:t>
            </w:r>
          </w:p>
        </w:tc>
        <w:tc>
          <w:tcPr>
            <w:tcW w:w="761" w:type="dxa"/>
            <w:vAlign w:val="center"/>
          </w:tcPr>
          <w:p w14:paraId="50F153C1">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15</w:t>
            </w:r>
          </w:p>
        </w:tc>
        <w:tc>
          <w:tcPr>
            <w:tcW w:w="1038" w:type="dxa"/>
            <w:vAlign w:val="center"/>
          </w:tcPr>
          <w:p w14:paraId="5526E4B6">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客观分</w:t>
            </w:r>
          </w:p>
        </w:tc>
      </w:tr>
      <w:tr w14:paraId="26849BE2">
        <w:trPr>
          <w:trHeight w:val="1200" w:hRule="atLeast"/>
          <w:jc w:val="center"/>
        </w:trPr>
        <w:tc>
          <w:tcPr>
            <w:tcW w:w="828" w:type="dxa"/>
            <w:vAlign w:val="center"/>
          </w:tcPr>
          <w:p w14:paraId="1A1F3C7B">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7</w:t>
            </w:r>
          </w:p>
        </w:tc>
        <w:tc>
          <w:tcPr>
            <w:tcW w:w="7638" w:type="dxa"/>
            <w:gridSpan w:val="3"/>
            <w:vAlign w:val="center"/>
          </w:tcPr>
          <w:p w14:paraId="3B600610">
            <w:pPr>
              <w:widowControl/>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项目理解程度：</w:t>
            </w:r>
          </w:p>
          <w:p w14:paraId="6DD5634F">
            <w:pPr>
              <w:widowControl/>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投标人针对本项目背景、范围、服务内容及成果提出自己对项目的理解与分析，制定项目实施大纲。评审小组根据投标人提供内容的合理性、与项目符合程度，综合评分。（评分范围：4，3，2，1，0）</w:t>
            </w:r>
          </w:p>
        </w:tc>
        <w:tc>
          <w:tcPr>
            <w:tcW w:w="761" w:type="dxa"/>
            <w:vAlign w:val="center"/>
          </w:tcPr>
          <w:p w14:paraId="2E4FC330">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4</w:t>
            </w:r>
          </w:p>
        </w:tc>
        <w:tc>
          <w:tcPr>
            <w:tcW w:w="1038" w:type="dxa"/>
            <w:vAlign w:val="center"/>
          </w:tcPr>
          <w:p w14:paraId="44FFDB15">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主观分</w:t>
            </w:r>
          </w:p>
        </w:tc>
      </w:tr>
      <w:tr w14:paraId="5660D913">
        <w:trPr>
          <w:trHeight w:val="1200" w:hRule="atLeast"/>
          <w:jc w:val="center"/>
        </w:trPr>
        <w:tc>
          <w:tcPr>
            <w:tcW w:w="828" w:type="dxa"/>
            <w:vAlign w:val="center"/>
          </w:tcPr>
          <w:p w14:paraId="485CEC1E">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8</w:t>
            </w:r>
          </w:p>
        </w:tc>
        <w:tc>
          <w:tcPr>
            <w:tcW w:w="868" w:type="dxa"/>
            <w:vMerge w:val="restart"/>
            <w:vAlign w:val="center"/>
          </w:tcPr>
          <w:p w14:paraId="2FDB0B86">
            <w:pPr>
              <w:widowControl/>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周期性评估</w:t>
            </w:r>
          </w:p>
        </w:tc>
        <w:tc>
          <w:tcPr>
            <w:tcW w:w="6770" w:type="dxa"/>
            <w:gridSpan w:val="2"/>
            <w:vAlign w:val="center"/>
          </w:tcPr>
          <w:p w14:paraId="0155D83E">
            <w:pPr>
              <w:widowControl/>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投标人针对城乡公交一体化改革周期性评估提出技术平台支撑方案，评审小组根据投标人提供的内容的专业性、合理性、与项目要求的符合程度，综合评分。（评分范围：5，4，3，2，1，0）</w:t>
            </w:r>
          </w:p>
        </w:tc>
        <w:tc>
          <w:tcPr>
            <w:tcW w:w="761" w:type="dxa"/>
            <w:vAlign w:val="center"/>
          </w:tcPr>
          <w:p w14:paraId="55557DB7">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5</w:t>
            </w:r>
          </w:p>
        </w:tc>
        <w:tc>
          <w:tcPr>
            <w:tcW w:w="1038" w:type="dxa"/>
            <w:vAlign w:val="center"/>
          </w:tcPr>
          <w:p w14:paraId="4BC4C25A">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主观分</w:t>
            </w:r>
          </w:p>
        </w:tc>
      </w:tr>
      <w:tr w14:paraId="194C0E46">
        <w:trPr>
          <w:trHeight w:val="1200" w:hRule="atLeast"/>
          <w:jc w:val="center"/>
        </w:trPr>
        <w:tc>
          <w:tcPr>
            <w:tcW w:w="828" w:type="dxa"/>
            <w:shd w:val="clear" w:color="auto" w:fill="auto"/>
            <w:vAlign w:val="center"/>
          </w:tcPr>
          <w:p w14:paraId="5C749AB2">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9</w:t>
            </w:r>
          </w:p>
        </w:tc>
        <w:tc>
          <w:tcPr>
            <w:tcW w:w="868" w:type="dxa"/>
            <w:vMerge w:val="continue"/>
            <w:vAlign w:val="center"/>
          </w:tcPr>
          <w:p w14:paraId="005F94FB">
            <w:pPr>
              <w:widowControl/>
              <w:rPr>
                <w:rFonts w:hint="eastAsia" w:ascii="Songti SC Regular" w:hAnsi="Songti SC Regular" w:eastAsia="Songti SC Regular" w:cs="Songti SC Regular"/>
                <w:color w:val="auto"/>
                <w:kern w:val="0"/>
                <w:sz w:val="24"/>
                <w:szCs w:val="24"/>
                <w:highlight w:val="none"/>
              </w:rPr>
            </w:pPr>
          </w:p>
        </w:tc>
        <w:tc>
          <w:tcPr>
            <w:tcW w:w="6770" w:type="dxa"/>
            <w:gridSpan w:val="2"/>
            <w:vAlign w:val="center"/>
          </w:tcPr>
          <w:p w14:paraId="6DE30D64">
            <w:pPr>
              <w:widowControl/>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投标人针对城乡公交一体化改革周期性评估提出成效评估方案，评审小组根据投标人提供的内容的专业性、合理性、与项目要求的符合程度，综合评分。（评分范围：5，4，3，2，1，0）</w:t>
            </w:r>
          </w:p>
        </w:tc>
        <w:tc>
          <w:tcPr>
            <w:tcW w:w="761" w:type="dxa"/>
            <w:vAlign w:val="center"/>
          </w:tcPr>
          <w:p w14:paraId="3A85959D">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5</w:t>
            </w:r>
          </w:p>
        </w:tc>
        <w:tc>
          <w:tcPr>
            <w:tcW w:w="1038" w:type="dxa"/>
            <w:vAlign w:val="center"/>
          </w:tcPr>
          <w:p w14:paraId="31C979A2">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主观分</w:t>
            </w:r>
          </w:p>
        </w:tc>
      </w:tr>
      <w:tr w14:paraId="12529469">
        <w:trPr>
          <w:trHeight w:val="912" w:hRule="atLeast"/>
          <w:jc w:val="center"/>
        </w:trPr>
        <w:tc>
          <w:tcPr>
            <w:tcW w:w="828" w:type="dxa"/>
            <w:shd w:val="clear" w:color="auto" w:fill="auto"/>
            <w:vAlign w:val="center"/>
          </w:tcPr>
          <w:p w14:paraId="15CC65C7">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10</w:t>
            </w:r>
          </w:p>
        </w:tc>
        <w:tc>
          <w:tcPr>
            <w:tcW w:w="868" w:type="dxa"/>
            <w:vMerge w:val="restart"/>
            <w:shd w:val="clear" w:color="auto" w:fill="auto"/>
            <w:vAlign w:val="center"/>
          </w:tcPr>
          <w:p w14:paraId="2BFBEBFC">
            <w:pPr>
              <w:widowControl/>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相关政策贯彻成效</w:t>
            </w:r>
          </w:p>
        </w:tc>
        <w:tc>
          <w:tcPr>
            <w:tcW w:w="6770" w:type="dxa"/>
            <w:gridSpan w:val="2"/>
            <w:shd w:val="clear" w:color="auto" w:fill="auto"/>
            <w:vAlign w:val="center"/>
          </w:tcPr>
          <w:p w14:paraId="7A98F1AB">
            <w:pPr>
              <w:widowControl/>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投标人根据相关法律法规及项目需求，提出城乡融合发展政策行业贯彻成效评估方案。评审小组根据投标人提供的内容的专业性、合理性、与项目要求的符合程度，综合评分。（评分范围：2，1，0）</w:t>
            </w:r>
          </w:p>
        </w:tc>
        <w:tc>
          <w:tcPr>
            <w:tcW w:w="761" w:type="dxa"/>
            <w:vAlign w:val="center"/>
          </w:tcPr>
          <w:p w14:paraId="587C2621">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2</w:t>
            </w:r>
          </w:p>
        </w:tc>
        <w:tc>
          <w:tcPr>
            <w:tcW w:w="1038" w:type="dxa"/>
            <w:vAlign w:val="center"/>
          </w:tcPr>
          <w:p w14:paraId="2DCFA751">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主观分</w:t>
            </w:r>
          </w:p>
        </w:tc>
      </w:tr>
      <w:tr w14:paraId="3FBC37D9">
        <w:trPr>
          <w:trHeight w:val="325" w:hRule="atLeast"/>
          <w:jc w:val="center"/>
        </w:trPr>
        <w:tc>
          <w:tcPr>
            <w:tcW w:w="828" w:type="dxa"/>
            <w:shd w:val="clear" w:color="auto" w:fill="auto"/>
            <w:vAlign w:val="center"/>
          </w:tcPr>
          <w:p w14:paraId="05144CA6">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11</w:t>
            </w:r>
          </w:p>
        </w:tc>
        <w:tc>
          <w:tcPr>
            <w:tcW w:w="868" w:type="dxa"/>
            <w:vMerge w:val="continue"/>
            <w:shd w:val="clear" w:color="auto" w:fill="auto"/>
            <w:vAlign w:val="center"/>
          </w:tcPr>
          <w:p w14:paraId="76CD413C">
            <w:pPr>
              <w:widowControl/>
              <w:rPr>
                <w:rFonts w:hint="eastAsia" w:ascii="Songti SC Regular" w:hAnsi="Songti SC Regular" w:eastAsia="Songti SC Regular" w:cs="Songti SC Regular"/>
                <w:color w:val="auto"/>
                <w:kern w:val="0"/>
                <w:sz w:val="24"/>
                <w:szCs w:val="24"/>
                <w:highlight w:val="none"/>
              </w:rPr>
            </w:pPr>
          </w:p>
        </w:tc>
        <w:tc>
          <w:tcPr>
            <w:tcW w:w="6770" w:type="dxa"/>
            <w:gridSpan w:val="2"/>
            <w:shd w:val="clear" w:color="auto" w:fill="auto"/>
            <w:vAlign w:val="center"/>
          </w:tcPr>
          <w:p w14:paraId="3B4C9F32">
            <w:pPr>
              <w:widowControl/>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投标人根据相关法律法规及项目需求，提出城乡公交一体化质效提升工作评估方案。评审小组根据投标人提供的内容的专业性、合理性、与项目要求的符合程度，综合评分。（评分范围：3，2，1，0）</w:t>
            </w:r>
          </w:p>
        </w:tc>
        <w:tc>
          <w:tcPr>
            <w:tcW w:w="761" w:type="dxa"/>
            <w:shd w:val="clear" w:color="auto" w:fill="auto"/>
            <w:vAlign w:val="center"/>
          </w:tcPr>
          <w:p w14:paraId="05841982">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3</w:t>
            </w:r>
          </w:p>
        </w:tc>
        <w:tc>
          <w:tcPr>
            <w:tcW w:w="1038" w:type="dxa"/>
            <w:shd w:val="clear" w:color="auto" w:fill="auto"/>
            <w:vAlign w:val="center"/>
          </w:tcPr>
          <w:p w14:paraId="37D3499F">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主观分</w:t>
            </w:r>
          </w:p>
        </w:tc>
      </w:tr>
      <w:tr w14:paraId="780283F7">
        <w:trPr>
          <w:trHeight w:val="325" w:hRule="atLeast"/>
          <w:jc w:val="center"/>
        </w:trPr>
        <w:tc>
          <w:tcPr>
            <w:tcW w:w="828" w:type="dxa"/>
            <w:shd w:val="clear" w:color="auto" w:fill="auto"/>
            <w:vAlign w:val="center"/>
          </w:tcPr>
          <w:p w14:paraId="32B74691">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12</w:t>
            </w:r>
          </w:p>
        </w:tc>
        <w:tc>
          <w:tcPr>
            <w:tcW w:w="868" w:type="dxa"/>
            <w:shd w:val="clear" w:color="auto" w:fill="auto"/>
            <w:vAlign w:val="center"/>
          </w:tcPr>
          <w:p w14:paraId="030FD9B3">
            <w:pPr>
              <w:widowControl/>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典型案例收集</w:t>
            </w:r>
          </w:p>
        </w:tc>
        <w:tc>
          <w:tcPr>
            <w:tcW w:w="6770" w:type="dxa"/>
            <w:gridSpan w:val="2"/>
            <w:shd w:val="clear" w:color="auto" w:fill="auto"/>
            <w:vAlign w:val="center"/>
          </w:tcPr>
          <w:p w14:paraId="702E76CD">
            <w:pPr>
              <w:widowControl/>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投标人根据相关法律法规及项目需求，提出城乡公交创新实践或成功案例。评审小组根据投标人提供的内容的专业性、合理性、与项目要求的符合程度，综合评分。（评分范围：3，2，1，0）</w:t>
            </w:r>
          </w:p>
        </w:tc>
        <w:tc>
          <w:tcPr>
            <w:tcW w:w="761" w:type="dxa"/>
            <w:shd w:val="clear" w:color="auto" w:fill="auto"/>
            <w:vAlign w:val="center"/>
          </w:tcPr>
          <w:p w14:paraId="41907841">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3</w:t>
            </w:r>
          </w:p>
        </w:tc>
        <w:tc>
          <w:tcPr>
            <w:tcW w:w="1038" w:type="dxa"/>
            <w:shd w:val="clear" w:color="auto" w:fill="auto"/>
            <w:vAlign w:val="center"/>
          </w:tcPr>
          <w:p w14:paraId="5E623119">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主观分</w:t>
            </w:r>
          </w:p>
        </w:tc>
      </w:tr>
      <w:tr w14:paraId="2C9C919A">
        <w:trPr>
          <w:trHeight w:val="912" w:hRule="atLeast"/>
          <w:jc w:val="center"/>
        </w:trPr>
        <w:tc>
          <w:tcPr>
            <w:tcW w:w="828" w:type="dxa"/>
            <w:shd w:val="clear" w:color="auto" w:fill="auto"/>
            <w:vAlign w:val="center"/>
          </w:tcPr>
          <w:p w14:paraId="138D8C8D">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13</w:t>
            </w:r>
          </w:p>
        </w:tc>
        <w:tc>
          <w:tcPr>
            <w:tcW w:w="868" w:type="dxa"/>
            <w:vMerge w:val="restart"/>
            <w:shd w:val="clear" w:color="auto" w:fill="auto"/>
            <w:vAlign w:val="center"/>
          </w:tcPr>
          <w:p w14:paraId="324AD5F1">
            <w:pPr>
              <w:widowControl/>
              <w:jc w:val="center"/>
              <w:rPr>
                <w:rFonts w:hint="eastAsia" w:ascii="Songti SC Regular" w:hAnsi="Songti SC Regular" w:eastAsia="Songti SC Regular" w:cs="Songti SC Regular"/>
                <w:color w:val="auto"/>
                <w:sz w:val="24"/>
                <w:szCs w:val="24"/>
                <w:highlight w:val="none"/>
              </w:rPr>
            </w:pPr>
            <w:r>
              <w:rPr>
                <w:rFonts w:hint="eastAsia" w:ascii="Songti SC Regular" w:hAnsi="Songti SC Regular" w:eastAsia="Songti SC Regular" w:cs="Songti SC Regular"/>
                <w:color w:val="auto"/>
                <w:sz w:val="24"/>
                <w:szCs w:val="24"/>
                <w:highlight w:val="none"/>
              </w:rPr>
              <w:t>评估结果分析与发展建议</w:t>
            </w:r>
          </w:p>
        </w:tc>
        <w:tc>
          <w:tcPr>
            <w:tcW w:w="6770" w:type="dxa"/>
            <w:gridSpan w:val="2"/>
            <w:shd w:val="clear" w:color="auto" w:fill="auto"/>
            <w:vAlign w:val="center"/>
          </w:tcPr>
          <w:p w14:paraId="49EA1A64">
            <w:pPr>
              <w:widowControl/>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投标人根据相关法律法规及项目需求，初步提出新形势、新特征、新挑战分析，多维度分析现阶段工作要求。评审小组根据投标人提供的内容的专业性、合理性、与项目要求的符合程度，综合评分。（评分范围：5，4，3，2，1，0）</w:t>
            </w:r>
          </w:p>
        </w:tc>
        <w:tc>
          <w:tcPr>
            <w:tcW w:w="761" w:type="dxa"/>
            <w:shd w:val="clear" w:color="auto" w:fill="auto"/>
            <w:vAlign w:val="center"/>
          </w:tcPr>
          <w:p w14:paraId="35033D3B">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5</w:t>
            </w:r>
          </w:p>
        </w:tc>
        <w:tc>
          <w:tcPr>
            <w:tcW w:w="1038" w:type="dxa"/>
            <w:shd w:val="clear" w:color="auto" w:fill="auto"/>
            <w:vAlign w:val="center"/>
          </w:tcPr>
          <w:p w14:paraId="5850BE2C">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主观分</w:t>
            </w:r>
          </w:p>
        </w:tc>
      </w:tr>
      <w:tr w14:paraId="70F760FB">
        <w:trPr>
          <w:trHeight w:val="912" w:hRule="atLeast"/>
          <w:jc w:val="center"/>
        </w:trPr>
        <w:tc>
          <w:tcPr>
            <w:tcW w:w="828" w:type="dxa"/>
            <w:shd w:val="clear" w:color="auto" w:fill="auto"/>
            <w:vAlign w:val="center"/>
          </w:tcPr>
          <w:p w14:paraId="0D8A7ED7">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14</w:t>
            </w:r>
          </w:p>
        </w:tc>
        <w:tc>
          <w:tcPr>
            <w:tcW w:w="868" w:type="dxa"/>
            <w:vMerge w:val="continue"/>
            <w:shd w:val="clear" w:color="auto" w:fill="auto"/>
            <w:vAlign w:val="center"/>
          </w:tcPr>
          <w:p w14:paraId="1530B2EF">
            <w:pPr>
              <w:pStyle w:val="24"/>
              <w:spacing w:line="240" w:lineRule="auto"/>
              <w:jc w:val="center"/>
              <w:rPr>
                <w:rFonts w:hint="eastAsia" w:ascii="Songti SC Regular" w:hAnsi="Songti SC Regular" w:eastAsia="Songti SC Regular" w:cs="Songti SC Regular"/>
                <w:color w:val="auto"/>
                <w:sz w:val="24"/>
                <w:szCs w:val="24"/>
                <w:highlight w:val="none"/>
              </w:rPr>
            </w:pPr>
          </w:p>
        </w:tc>
        <w:tc>
          <w:tcPr>
            <w:tcW w:w="6770" w:type="dxa"/>
            <w:gridSpan w:val="2"/>
            <w:shd w:val="clear" w:color="auto" w:fill="auto"/>
            <w:vAlign w:val="center"/>
          </w:tcPr>
          <w:p w14:paraId="084D307A">
            <w:pPr>
              <w:widowControl/>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投标人提出对各类评估结果进行系统性分析的方案，根据相关法律法规及项目需求，针对浙江省城乡公交一体化发展阶段性问题进行分析，梳理问题层次。评审小组根据投标人提供的内容的专业性、合理性、与项目要求的符合程度，综合评分。（评分范围：5，4，3，2，1，0）</w:t>
            </w:r>
          </w:p>
        </w:tc>
        <w:tc>
          <w:tcPr>
            <w:tcW w:w="761" w:type="dxa"/>
            <w:shd w:val="clear" w:color="auto" w:fill="auto"/>
            <w:vAlign w:val="center"/>
          </w:tcPr>
          <w:p w14:paraId="14496DE6">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5</w:t>
            </w:r>
          </w:p>
        </w:tc>
        <w:tc>
          <w:tcPr>
            <w:tcW w:w="1038" w:type="dxa"/>
            <w:shd w:val="clear" w:color="auto" w:fill="auto"/>
            <w:vAlign w:val="center"/>
          </w:tcPr>
          <w:p w14:paraId="6009BF29">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主观分</w:t>
            </w:r>
          </w:p>
        </w:tc>
      </w:tr>
      <w:tr w14:paraId="07601515">
        <w:trPr>
          <w:trHeight w:val="900" w:hRule="atLeast"/>
          <w:jc w:val="center"/>
        </w:trPr>
        <w:tc>
          <w:tcPr>
            <w:tcW w:w="828" w:type="dxa"/>
            <w:shd w:val="clear" w:color="auto" w:fill="auto"/>
            <w:vAlign w:val="center"/>
          </w:tcPr>
          <w:p w14:paraId="5D507C43">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15</w:t>
            </w:r>
          </w:p>
        </w:tc>
        <w:tc>
          <w:tcPr>
            <w:tcW w:w="868" w:type="dxa"/>
            <w:vMerge w:val="continue"/>
            <w:vAlign w:val="center"/>
          </w:tcPr>
          <w:p w14:paraId="73BBF293">
            <w:pPr>
              <w:pStyle w:val="24"/>
              <w:spacing w:line="240" w:lineRule="auto"/>
              <w:ind w:firstLine="0"/>
              <w:jc w:val="center"/>
              <w:rPr>
                <w:rFonts w:hint="eastAsia" w:ascii="Songti SC Regular" w:hAnsi="Songti SC Regular" w:eastAsia="Songti SC Regular" w:cs="Songti SC Regular"/>
                <w:color w:val="auto"/>
                <w:spacing w:val="0"/>
                <w:sz w:val="24"/>
                <w:szCs w:val="24"/>
                <w:highlight w:val="none"/>
              </w:rPr>
            </w:pPr>
          </w:p>
        </w:tc>
        <w:tc>
          <w:tcPr>
            <w:tcW w:w="6770" w:type="dxa"/>
            <w:gridSpan w:val="2"/>
            <w:vAlign w:val="center"/>
          </w:tcPr>
          <w:p w14:paraId="0C55E23F">
            <w:pPr>
              <w:widowControl/>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发展方向和保障措施：</w:t>
            </w:r>
          </w:p>
          <w:p w14:paraId="55D553A4">
            <w:pPr>
              <w:pStyle w:val="24"/>
              <w:spacing w:line="240" w:lineRule="auto"/>
              <w:ind w:firstLine="0" w:firstLineChars="0"/>
              <w:rPr>
                <w:rFonts w:hint="eastAsia" w:ascii="Songti SC Regular" w:hAnsi="Songti SC Regular" w:eastAsia="Songti SC Regular" w:cs="Songti SC Regular"/>
                <w:color w:val="auto"/>
                <w:spacing w:val="0"/>
                <w:sz w:val="24"/>
                <w:szCs w:val="24"/>
                <w:highlight w:val="none"/>
              </w:rPr>
            </w:pPr>
            <w:r>
              <w:rPr>
                <w:rFonts w:hint="eastAsia" w:ascii="Songti SC Regular" w:hAnsi="Songti SC Regular" w:eastAsia="Songti SC Regular" w:cs="Songti SC Regular"/>
                <w:color w:val="auto"/>
                <w:spacing w:val="0"/>
                <w:sz w:val="24"/>
                <w:szCs w:val="24"/>
                <w:highlight w:val="none"/>
              </w:rPr>
              <w:t>投标人根据项目需求，提出城乡公交下一阶段的发展方向，包括基本定义、保障措施等内容。评审小组根据投标人提供的内容的专业性、合理性、与项目要求的符合程度，综合评分。（评分范围：3，2，1，0）</w:t>
            </w:r>
          </w:p>
        </w:tc>
        <w:tc>
          <w:tcPr>
            <w:tcW w:w="761" w:type="dxa"/>
            <w:vAlign w:val="center"/>
          </w:tcPr>
          <w:p w14:paraId="73F6A2BA">
            <w:pPr>
              <w:widowControl/>
              <w:jc w:val="center"/>
              <w:rPr>
                <w:rFonts w:hint="eastAsia" w:ascii="Songti SC Regular" w:hAnsi="Songti SC Regular" w:eastAsia="Songti SC Regular" w:cs="Songti SC Regular"/>
                <w:color w:val="auto"/>
                <w:sz w:val="24"/>
                <w:szCs w:val="24"/>
                <w:highlight w:val="none"/>
              </w:rPr>
            </w:pPr>
            <w:r>
              <w:rPr>
                <w:rFonts w:hint="eastAsia" w:ascii="Songti SC Regular" w:hAnsi="Songti SC Regular" w:eastAsia="Songti SC Regular" w:cs="Songti SC Regular"/>
                <w:color w:val="auto"/>
                <w:kern w:val="0"/>
                <w:sz w:val="24"/>
                <w:szCs w:val="24"/>
                <w:highlight w:val="none"/>
              </w:rPr>
              <w:t>3</w:t>
            </w:r>
          </w:p>
        </w:tc>
        <w:tc>
          <w:tcPr>
            <w:tcW w:w="1038" w:type="dxa"/>
            <w:vAlign w:val="center"/>
          </w:tcPr>
          <w:p w14:paraId="57CDA5D7">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主观分</w:t>
            </w:r>
          </w:p>
        </w:tc>
      </w:tr>
      <w:tr w14:paraId="458A90A6">
        <w:trPr>
          <w:trHeight w:val="221" w:hRule="atLeast"/>
          <w:jc w:val="center"/>
        </w:trPr>
        <w:tc>
          <w:tcPr>
            <w:tcW w:w="828" w:type="dxa"/>
            <w:shd w:val="clear" w:color="auto" w:fill="auto"/>
            <w:vAlign w:val="center"/>
          </w:tcPr>
          <w:p w14:paraId="0C15704B">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16</w:t>
            </w:r>
          </w:p>
        </w:tc>
        <w:tc>
          <w:tcPr>
            <w:tcW w:w="868" w:type="dxa"/>
            <w:vMerge w:val="continue"/>
            <w:vAlign w:val="center"/>
          </w:tcPr>
          <w:p w14:paraId="2D81A06C">
            <w:pPr>
              <w:widowControl/>
              <w:rPr>
                <w:rFonts w:hint="eastAsia" w:ascii="Songti SC Regular" w:hAnsi="Songti SC Regular" w:eastAsia="Songti SC Regular" w:cs="Songti SC Regular"/>
                <w:color w:val="auto"/>
                <w:kern w:val="0"/>
                <w:sz w:val="24"/>
                <w:szCs w:val="24"/>
                <w:highlight w:val="none"/>
              </w:rPr>
            </w:pPr>
          </w:p>
        </w:tc>
        <w:tc>
          <w:tcPr>
            <w:tcW w:w="6770" w:type="dxa"/>
            <w:gridSpan w:val="2"/>
            <w:vAlign w:val="center"/>
          </w:tcPr>
          <w:p w14:paraId="60F42B65">
            <w:pPr>
              <w:widowControl/>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sz w:val="24"/>
                <w:szCs w:val="24"/>
                <w:highlight w:val="none"/>
              </w:rPr>
              <w:t>发展建议</w:t>
            </w:r>
            <w:r>
              <w:rPr>
                <w:rFonts w:hint="eastAsia" w:ascii="Songti SC Regular" w:hAnsi="Songti SC Regular" w:eastAsia="Songti SC Regular" w:cs="Songti SC Regular"/>
                <w:color w:val="auto"/>
                <w:kern w:val="0"/>
                <w:sz w:val="24"/>
                <w:szCs w:val="24"/>
                <w:highlight w:val="none"/>
              </w:rPr>
              <w:t>：</w:t>
            </w:r>
          </w:p>
          <w:p w14:paraId="1231AB91">
            <w:pPr>
              <w:widowControl/>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sz w:val="24"/>
                <w:szCs w:val="24"/>
                <w:highlight w:val="none"/>
              </w:rPr>
              <w:t>投标人根据项目需求，提出城乡公交下一阶段的发展建议</w:t>
            </w:r>
            <w:r>
              <w:rPr>
                <w:rFonts w:hint="eastAsia" w:ascii="Songti SC Regular" w:hAnsi="Songti SC Regular" w:eastAsia="Songti SC Regular" w:cs="Songti SC Regular"/>
                <w:color w:val="auto"/>
                <w:kern w:val="0"/>
                <w:sz w:val="24"/>
                <w:szCs w:val="24"/>
                <w:highlight w:val="none"/>
              </w:rPr>
              <w:t>，需涵盖公交运营的各项要素，涵盖助农、助工等有助于缩小三大差距的角度。评审小组根据投标人提供的内容的专业性、合理性、与项目要求的符合程度，综合评分。（评分范围：5，4，3，2，1，0）</w:t>
            </w:r>
          </w:p>
        </w:tc>
        <w:tc>
          <w:tcPr>
            <w:tcW w:w="761" w:type="dxa"/>
            <w:vAlign w:val="center"/>
          </w:tcPr>
          <w:p w14:paraId="168FA668">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5</w:t>
            </w:r>
          </w:p>
        </w:tc>
        <w:tc>
          <w:tcPr>
            <w:tcW w:w="1038" w:type="dxa"/>
            <w:vAlign w:val="center"/>
          </w:tcPr>
          <w:p w14:paraId="1FEF9742">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主观分</w:t>
            </w:r>
          </w:p>
        </w:tc>
      </w:tr>
      <w:tr w14:paraId="3F4D74CE">
        <w:trPr>
          <w:trHeight w:val="924" w:hRule="atLeast"/>
          <w:jc w:val="center"/>
        </w:trPr>
        <w:tc>
          <w:tcPr>
            <w:tcW w:w="828" w:type="dxa"/>
            <w:shd w:val="clear" w:color="auto" w:fill="auto"/>
            <w:vAlign w:val="center"/>
          </w:tcPr>
          <w:p w14:paraId="6FDC09B1">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17</w:t>
            </w:r>
          </w:p>
        </w:tc>
        <w:tc>
          <w:tcPr>
            <w:tcW w:w="868" w:type="dxa"/>
            <w:vMerge w:val="restart"/>
            <w:vAlign w:val="center"/>
          </w:tcPr>
          <w:p w14:paraId="676CBFE3">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服务保障</w:t>
            </w:r>
          </w:p>
        </w:tc>
        <w:tc>
          <w:tcPr>
            <w:tcW w:w="6770" w:type="dxa"/>
            <w:gridSpan w:val="2"/>
            <w:vAlign w:val="center"/>
          </w:tcPr>
          <w:p w14:paraId="520A5994">
            <w:pPr>
              <w:widowControl/>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服务进度计划方案：</w:t>
            </w:r>
          </w:p>
          <w:p w14:paraId="721B751A">
            <w:pPr>
              <w:widowControl/>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评审小组根据投标人提供的服务进度计划的合理性、与项目要求的符合程度，综合评分。（评分范围：2，1，0）</w:t>
            </w:r>
          </w:p>
        </w:tc>
        <w:tc>
          <w:tcPr>
            <w:tcW w:w="761" w:type="dxa"/>
            <w:vAlign w:val="center"/>
          </w:tcPr>
          <w:p w14:paraId="22686DB1">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2</w:t>
            </w:r>
          </w:p>
        </w:tc>
        <w:tc>
          <w:tcPr>
            <w:tcW w:w="1038" w:type="dxa"/>
            <w:vAlign w:val="center"/>
          </w:tcPr>
          <w:p w14:paraId="1B44F3E6">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主观分</w:t>
            </w:r>
          </w:p>
        </w:tc>
      </w:tr>
      <w:tr w14:paraId="16C1DE17">
        <w:trPr>
          <w:trHeight w:val="399" w:hRule="atLeast"/>
          <w:jc w:val="center"/>
        </w:trPr>
        <w:tc>
          <w:tcPr>
            <w:tcW w:w="828" w:type="dxa"/>
            <w:vAlign w:val="center"/>
          </w:tcPr>
          <w:p w14:paraId="1986C9CC">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18</w:t>
            </w:r>
          </w:p>
        </w:tc>
        <w:tc>
          <w:tcPr>
            <w:tcW w:w="868" w:type="dxa"/>
            <w:vMerge w:val="continue"/>
            <w:vAlign w:val="center"/>
          </w:tcPr>
          <w:p w14:paraId="62F84B1C">
            <w:pPr>
              <w:widowControl/>
              <w:rPr>
                <w:rFonts w:hint="eastAsia" w:ascii="Songti SC Regular" w:hAnsi="Songti SC Regular" w:eastAsia="Songti SC Regular" w:cs="Songti SC Regular"/>
                <w:color w:val="auto"/>
                <w:kern w:val="0"/>
                <w:sz w:val="24"/>
                <w:szCs w:val="24"/>
                <w:highlight w:val="none"/>
              </w:rPr>
            </w:pPr>
          </w:p>
        </w:tc>
        <w:tc>
          <w:tcPr>
            <w:tcW w:w="6770" w:type="dxa"/>
            <w:gridSpan w:val="2"/>
            <w:vAlign w:val="center"/>
          </w:tcPr>
          <w:p w14:paraId="6A664D42">
            <w:pPr>
              <w:widowControl/>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服务质量保证措施：</w:t>
            </w:r>
          </w:p>
          <w:p w14:paraId="71AEBFE1">
            <w:pPr>
              <w:widowControl/>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评审小组根据投标人提供的服务质量保证措施的科学性、合理性，综合评分。（评分范围：3，2，1，0）</w:t>
            </w:r>
          </w:p>
        </w:tc>
        <w:tc>
          <w:tcPr>
            <w:tcW w:w="761" w:type="dxa"/>
            <w:vAlign w:val="center"/>
          </w:tcPr>
          <w:p w14:paraId="580411F3">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3</w:t>
            </w:r>
          </w:p>
        </w:tc>
        <w:tc>
          <w:tcPr>
            <w:tcW w:w="1038" w:type="dxa"/>
            <w:vAlign w:val="center"/>
          </w:tcPr>
          <w:p w14:paraId="2F3170D1">
            <w:pPr>
              <w:widowControl/>
              <w:jc w:val="center"/>
              <w:rPr>
                <w:rFonts w:hint="eastAsia" w:ascii="Songti SC Regular" w:hAnsi="Songti SC Regular" w:eastAsia="Songti SC Regular" w:cs="Songti SC Regular"/>
                <w:color w:val="auto"/>
                <w:kern w:val="0"/>
                <w:sz w:val="24"/>
                <w:szCs w:val="24"/>
                <w:highlight w:val="none"/>
              </w:rPr>
            </w:pPr>
            <w:r>
              <w:rPr>
                <w:rFonts w:hint="eastAsia" w:ascii="Songti SC Regular" w:hAnsi="Songti SC Regular" w:eastAsia="Songti SC Regular" w:cs="Songti SC Regular"/>
                <w:color w:val="auto"/>
                <w:kern w:val="0"/>
                <w:sz w:val="24"/>
                <w:szCs w:val="24"/>
                <w:highlight w:val="none"/>
              </w:rPr>
              <w:t>主观分</w:t>
            </w:r>
          </w:p>
        </w:tc>
      </w:tr>
      <w:tr w14:paraId="5D7211B9">
        <w:trPr>
          <w:trHeight w:val="399" w:hRule="atLeast"/>
          <w:jc w:val="center"/>
        </w:trPr>
        <w:tc>
          <w:tcPr>
            <w:tcW w:w="828" w:type="dxa"/>
            <w:vAlign w:val="center"/>
          </w:tcPr>
          <w:p w14:paraId="1353047E">
            <w:pPr>
              <w:widowControl/>
              <w:jc w:val="center"/>
              <w:rPr>
                <w:rFonts w:hint="eastAsia" w:ascii="Songti SC Regular" w:hAnsi="Songti SC Regular" w:eastAsia="Songti SC Regular" w:cs="Songti SC Regular"/>
                <w:color w:val="auto"/>
                <w:kern w:val="0"/>
                <w:sz w:val="24"/>
                <w:szCs w:val="24"/>
                <w:highlight w:val="none"/>
                <w:lang w:val="en-US" w:eastAsia="zh-CN"/>
              </w:rPr>
            </w:pPr>
            <w:r>
              <w:rPr>
                <w:rFonts w:hint="eastAsia" w:ascii="Songti SC Regular" w:hAnsi="Songti SC Regular" w:eastAsia="Songti SC Regular" w:cs="Songti SC Regular"/>
                <w:color w:val="auto"/>
                <w:kern w:val="0"/>
                <w:sz w:val="24"/>
                <w:szCs w:val="24"/>
                <w:highlight w:val="none"/>
                <w:lang w:val="en-US" w:eastAsia="zh-CN"/>
              </w:rPr>
              <w:t>19</w:t>
            </w:r>
          </w:p>
        </w:tc>
        <w:tc>
          <w:tcPr>
            <w:tcW w:w="868" w:type="dxa"/>
            <w:vAlign w:val="center"/>
          </w:tcPr>
          <w:p w14:paraId="15C51AB5">
            <w:pPr>
              <w:widowControl/>
              <w:rPr>
                <w:rFonts w:hint="eastAsia" w:ascii="Songti SC Regular" w:hAnsi="Songti SC Regular" w:eastAsia="Songti SC Regular" w:cs="Songti SC Regular"/>
                <w:color w:val="auto"/>
                <w:kern w:val="0"/>
                <w:sz w:val="24"/>
                <w:szCs w:val="24"/>
                <w:highlight w:val="none"/>
                <w:lang w:val="en-US" w:eastAsia="zh-CN"/>
              </w:rPr>
            </w:pPr>
            <w:r>
              <w:rPr>
                <w:rFonts w:hint="eastAsia" w:ascii="Songti SC Regular" w:hAnsi="Songti SC Regular" w:eastAsia="Songti SC Regular" w:cs="Songti SC Regular"/>
                <w:color w:val="auto"/>
                <w:kern w:val="0"/>
                <w:sz w:val="24"/>
                <w:szCs w:val="24"/>
                <w:highlight w:val="none"/>
                <w:lang w:val="en-US" w:eastAsia="zh-CN"/>
              </w:rPr>
              <w:t>价格分</w:t>
            </w:r>
          </w:p>
        </w:tc>
        <w:tc>
          <w:tcPr>
            <w:tcW w:w="6770" w:type="dxa"/>
            <w:gridSpan w:val="2"/>
            <w:vAlign w:val="center"/>
          </w:tcPr>
          <w:p w14:paraId="1BBDC0E7">
            <w:pPr>
              <w:keepNext w:val="0"/>
              <w:keepLines w:val="0"/>
              <w:pageBreakBefore w:val="0"/>
              <w:kinsoku/>
              <w:wordWrap/>
              <w:overflowPunct/>
              <w:topLinePunct w:val="0"/>
              <w:autoSpaceDE/>
              <w:autoSpaceDN/>
              <w:bidi w:val="0"/>
              <w:adjustRightInd w:val="0"/>
              <w:spacing w:line="240" w:lineRule="auto"/>
              <w:textAlignment w:val="auto"/>
              <w:outlineLvl w:val="0"/>
              <w:rPr>
                <w:rFonts w:hint="eastAsia" w:ascii="Songti SC Regular" w:hAnsi="Songti SC Regular" w:eastAsia="Songti SC Regular" w:cs="Songti SC Regular"/>
                <w:color w:val="auto"/>
                <w:sz w:val="24"/>
                <w:szCs w:val="24"/>
                <w:highlight w:val="none"/>
              </w:rPr>
            </w:pPr>
            <w:r>
              <w:rPr>
                <w:rFonts w:hint="eastAsia" w:ascii="Songti SC Regular" w:hAnsi="Songti SC Regular" w:eastAsia="Songti SC Regular" w:cs="Songti SC Regular"/>
                <w:color w:val="auto"/>
                <w:sz w:val="24"/>
                <w:szCs w:val="24"/>
                <w:highlight w:val="none"/>
              </w:rPr>
              <w:t>有效投标报价的最低价作为评标基准价，其最低报价为满分；按［投标报价得分=（评标基准价/投标报价）*</w:t>
            </w:r>
            <w:r>
              <w:rPr>
                <w:rFonts w:hint="eastAsia" w:ascii="Songti SC Regular" w:hAnsi="Songti SC Regular" w:eastAsia="Songti SC Regular" w:cs="Songti SC Regular"/>
                <w:color w:val="auto"/>
                <w:sz w:val="24"/>
                <w:szCs w:val="24"/>
                <w:highlight w:val="none"/>
                <w:lang w:val="en-US" w:eastAsia="zh-CN"/>
              </w:rPr>
              <w:t>10</w:t>
            </w:r>
            <w:r>
              <w:rPr>
                <w:rFonts w:hint="eastAsia" w:ascii="Songti SC Regular" w:hAnsi="Songti SC Regular" w:eastAsia="Songti SC Regular" w:cs="Songti SC Regular"/>
                <w:color w:val="auto"/>
                <w:sz w:val="24"/>
                <w:szCs w:val="24"/>
                <w:highlight w:val="none"/>
              </w:rPr>
              <w:t>］的计算公式计算。</w:t>
            </w:r>
          </w:p>
          <w:p w14:paraId="22FCBA4F">
            <w:pPr>
              <w:widowControl/>
              <w:rPr>
                <w:rFonts w:hint="eastAsia" w:ascii="Songti SC Regular" w:hAnsi="Songti SC Regular" w:eastAsia="Songti SC Regular" w:cs="Songti SC Regular"/>
                <w:color w:val="auto"/>
                <w:sz w:val="24"/>
                <w:szCs w:val="24"/>
                <w:highlight w:val="none"/>
              </w:rPr>
            </w:pPr>
            <w:r>
              <w:rPr>
                <w:rFonts w:hint="eastAsia" w:ascii="Songti SC Regular" w:hAnsi="Songti SC Regular" w:eastAsia="Songti SC Regular" w:cs="Songti SC Regular"/>
                <w:color w:val="auto"/>
                <w:sz w:val="24"/>
                <w:szCs w:val="24"/>
                <w:highlight w:val="none"/>
              </w:rPr>
              <w:t>评标过程中，不得去掉报价中的最高报价和最低报价。</w:t>
            </w:r>
          </w:p>
          <w:p w14:paraId="4101F02E">
            <w:pPr>
              <w:widowControl/>
              <w:rPr>
                <w:rFonts w:hint="eastAsia" w:ascii="Songti SC Regular" w:hAnsi="Songti SC Regular" w:eastAsia="Songti SC Regular" w:cs="Songti SC Regular"/>
                <w:color w:val="auto"/>
                <w:sz w:val="24"/>
                <w:szCs w:val="24"/>
                <w:highlight w:val="none"/>
              </w:rPr>
            </w:pPr>
            <w:r>
              <w:rPr>
                <w:rFonts w:hint="eastAsia" w:ascii="Songti SC Regular" w:hAnsi="Songti SC Regular" w:eastAsia="Songti SC Regular" w:cs="Songti SC Regular"/>
                <w:color w:val="auto"/>
                <w:sz w:val="24"/>
                <w:szCs w:val="24"/>
                <w:highlight w:val="none"/>
              </w:rPr>
              <w:t>对于未预留份额专门面向中小企业的政府采购货物项目，以及预留份额政府采购货物项目中的非预留部分标项，对小型和微型企业的投标报价给予</w:t>
            </w:r>
            <w:r>
              <w:rPr>
                <w:rFonts w:hint="eastAsia" w:ascii="Songti SC Regular" w:hAnsi="Songti SC Regular" w:eastAsia="Songti SC Regular" w:cs="Songti SC Regular"/>
                <w:color w:val="auto"/>
                <w:sz w:val="24"/>
                <w:szCs w:val="24"/>
                <w:highlight w:val="none"/>
                <w:lang w:val="en-US" w:eastAsia="zh-CN"/>
              </w:rPr>
              <w:t>10</w:t>
            </w:r>
            <w:r>
              <w:rPr>
                <w:rFonts w:hint="eastAsia" w:ascii="Songti SC Regular" w:hAnsi="Songti SC Regular" w:eastAsia="Songti SC Regular" w:cs="Songti SC Regular"/>
                <w:color w:val="auto"/>
                <w:sz w:val="24"/>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Songti SC Regular" w:hAnsi="Songti SC Regular" w:eastAsia="Songti SC Regular" w:cs="Songti SC Regular"/>
                <w:color w:val="auto"/>
                <w:sz w:val="24"/>
                <w:szCs w:val="24"/>
                <w:highlight w:val="none"/>
                <w:lang w:val="en-US" w:eastAsia="zh-CN"/>
              </w:rPr>
              <w:t>4</w:t>
            </w:r>
            <w:r>
              <w:rPr>
                <w:rFonts w:hint="eastAsia" w:ascii="Songti SC Regular" w:hAnsi="Songti SC Regular" w:eastAsia="Songti SC Regular" w:cs="Songti SC Regular"/>
                <w:color w:val="auto"/>
                <w:sz w:val="24"/>
                <w:szCs w:val="24"/>
                <w:highlight w:val="none"/>
              </w:rPr>
              <w:t>%的扣除，用扣除后的价格参加评审。</w:t>
            </w:r>
          </w:p>
        </w:tc>
        <w:tc>
          <w:tcPr>
            <w:tcW w:w="761" w:type="dxa"/>
            <w:vAlign w:val="center"/>
          </w:tcPr>
          <w:p w14:paraId="13A89817">
            <w:pPr>
              <w:widowControl/>
              <w:jc w:val="center"/>
              <w:rPr>
                <w:rFonts w:hint="eastAsia" w:ascii="Songti SC Regular" w:hAnsi="Songti SC Regular" w:eastAsia="Songti SC Regular" w:cs="Songti SC Regular"/>
                <w:color w:val="auto"/>
                <w:kern w:val="0"/>
                <w:sz w:val="24"/>
                <w:szCs w:val="24"/>
                <w:highlight w:val="none"/>
                <w:lang w:val="en-US" w:eastAsia="zh-CN"/>
              </w:rPr>
            </w:pPr>
            <w:r>
              <w:rPr>
                <w:rFonts w:hint="eastAsia" w:ascii="Songti SC Regular" w:hAnsi="Songti SC Regular" w:eastAsia="Songti SC Regular" w:cs="Songti SC Regular"/>
                <w:color w:val="auto"/>
                <w:kern w:val="0"/>
                <w:sz w:val="24"/>
                <w:szCs w:val="24"/>
                <w:highlight w:val="none"/>
                <w:lang w:val="en-US" w:eastAsia="zh-CN"/>
              </w:rPr>
              <w:t>10</w:t>
            </w:r>
          </w:p>
        </w:tc>
        <w:tc>
          <w:tcPr>
            <w:tcW w:w="1038" w:type="dxa"/>
            <w:vAlign w:val="center"/>
          </w:tcPr>
          <w:p w14:paraId="303778D4">
            <w:pPr>
              <w:widowControl/>
              <w:jc w:val="center"/>
              <w:rPr>
                <w:rFonts w:hint="eastAsia" w:ascii="Songti SC Regular" w:hAnsi="Songti SC Regular" w:eastAsia="Songti SC Regular" w:cs="Songti SC Regular"/>
                <w:color w:val="auto"/>
                <w:kern w:val="0"/>
                <w:sz w:val="24"/>
                <w:szCs w:val="24"/>
                <w:highlight w:val="none"/>
                <w:lang w:val="en-US" w:eastAsia="zh-CN"/>
              </w:rPr>
            </w:pPr>
            <w:r>
              <w:rPr>
                <w:rFonts w:hint="eastAsia" w:ascii="Songti SC Regular" w:hAnsi="Songti SC Regular" w:eastAsia="Songti SC Regular" w:cs="Songti SC Regular"/>
                <w:color w:val="auto"/>
                <w:kern w:val="0"/>
                <w:sz w:val="24"/>
                <w:szCs w:val="24"/>
                <w:highlight w:val="none"/>
                <w:lang w:val="en-US" w:eastAsia="zh-CN"/>
              </w:rPr>
              <w:t>客观分</w:t>
            </w:r>
          </w:p>
        </w:tc>
      </w:tr>
    </w:tbl>
    <w:p w14:paraId="10EEDAEE">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3A229B6E">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3EDBD32">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28154C33">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8CE62DD">
      <w:pPr>
        <w:spacing w:line="360" w:lineRule="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45BD4B6">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09D27CC">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010F4C4">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CB73261">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21ADA8">
      <w:pPr>
        <w:pStyle w:val="132"/>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FD78BFB">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w:t>
      </w:r>
      <w:r>
        <w:rPr>
          <w:rFonts w:hint="eastAsia" w:ascii="宋体" w:hAnsi="宋体" w:cs="宋体"/>
          <w:color w:val="auto"/>
          <w:kern w:val="0"/>
          <w:szCs w:val="24"/>
          <w:highlight w:val="none"/>
          <w:lang w:val="en-US" w:eastAsia="zh-CN"/>
        </w:rPr>
        <w:t>政采云系统中的报价与</w:t>
      </w:r>
      <w:r>
        <w:rPr>
          <w:rFonts w:hint="eastAsia" w:ascii="宋体" w:hAnsi="宋体" w:cs="宋体"/>
          <w:color w:val="auto"/>
          <w:kern w:val="0"/>
          <w:szCs w:val="24"/>
          <w:highlight w:val="none"/>
        </w:rPr>
        <w:t>投标文件中开标一览表(报价表)内容与不一致的，以投标文件中开标一览表(报价表)为准;</w:t>
      </w:r>
    </w:p>
    <w:p w14:paraId="7A947887">
      <w:pPr>
        <w:pStyle w:val="132"/>
        <w:spacing w:before="0"/>
        <w:ind w:firstLine="480"/>
        <w:rPr>
          <w:rFonts w:hint="eastAsia"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rPr>
        <w:t>3.4.1.2投标文件中开标一览表(报价表)内容</w:t>
      </w:r>
      <w:r>
        <w:rPr>
          <w:rFonts w:hint="eastAsia" w:ascii="宋体" w:hAnsi="宋体" w:cs="宋体"/>
          <w:color w:val="auto"/>
          <w:kern w:val="0"/>
          <w:szCs w:val="24"/>
          <w:highlight w:val="none"/>
          <w:lang w:val="en-US" w:eastAsia="zh-CN"/>
        </w:rPr>
        <w:t>与报价文件其它部分中的报价不一致的，以</w:t>
      </w:r>
      <w:r>
        <w:rPr>
          <w:rFonts w:hint="eastAsia" w:ascii="宋体" w:hAnsi="宋体" w:cs="宋体"/>
          <w:color w:val="auto"/>
          <w:kern w:val="0"/>
          <w:szCs w:val="24"/>
          <w:highlight w:val="none"/>
        </w:rPr>
        <w:t>开标一览表(报价表)</w:t>
      </w:r>
      <w:r>
        <w:rPr>
          <w:rFonts w:hint="eastAsia" w:ascii="宋体" w:hAnsi="宋体" w:cs="宋体"/>
          <w:color w:val="auto"/>
          <w:kern w:val="0"/>
          <w:szCs w:val="24"/>
          <w:highlight w:val="none"/>
          <w:lang w:val="en-US" w:eastAsia="zh-CN"/>
        </w:rPr>
        <w:t>为准；</w:t>
      </w:r>
    </w:p>
    <w:p w14:paraId="728D5FE3">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3.4.1.3大写金额和小写金额不一致的，以大写金额为准;</w:t>
      </w:r>
    </w:p>
    <w:p w14:paraId="5812E124">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w:t>
      </w:r>
      <w:r>
        <w:rPr>
          <w:rFonts w:hint="eastAsia" w:ascii="宋体" w:hAnsi="宋体" w:cs="宋体"/>
          <w:color w:val="auto"/>
          <w:kern w:val="0"/>
          <w:szCs w:val="24"/>
          <w:highlight w:val="none"/>
          <w:lang w:val="en-US" w:eastAsia="zh-CN"/>
        </w:rPr>
        <w:t>4</w:t>
      </w:r>
      <w:r>
        <w:rPr>
          <w:rFonts w:hint="eastAsia" w:ascii="宋体" w:hAnsi="宋体" w:cs="宋体"/>
          <w:color w:val="auto"/>
          <w:kern w:val="0"/>
          <w:szCs w:val="24"/>
          <w:highlight w:val="none"/>
        </w:rPr>
        <w:t>单价金额小数点或者百分比有明显错位的，以开标一览表的总价为准，并修改单价;</w:t>
      </w:r>
    </w:p>
    <w:p w14:paraId="5A1660BA">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w:t>
      </w:r>
      <w:r>
        <w:rPr>
          <w:rFonts w:hint="eastAsia" w:ascii="宋体" w:hAnsi="宋体" w:cs="宋体"/>
          <w:color w:val="auto"/>
          <w:kern w:val="0"/>
          <w:szCs w:val="24"/>
          <w:highlight w:val="none"/>
          <w:lang w:val="en-US" w:eastAsia="zh-CN"/>
        </w:rPr>
        <w:t>5</w:t>
      </w:r>
      <w:r>
        <w:rPr>
          <w:rFonts w:hint="eastAsia" w:ascii="宋体" w:hAnsi="宋体" w:cs="宋体"/>
          <w:color w:val="auto"/>
          <w:kern w:val="0"/>
          <w:szCs w:val="24"/>
          <w:highlight w:val="none"/>
        </w:rPr>
        <w:t>总价金额与按单价汇总金额不一致的，以单价金额计算结果为准。</w:t>
      </w:r>
    </w:p>
    <w:p w14:paraId="78844557">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w:t>
      </w:r>
      <w:r>
        <w:rPr>
          <w:rFonts w:hint="eastAsia" w:ascii="宋体" w:hAnsi="宋体" w:cs="宋体"/>
          <w:color w:val="auto"/>
          <w:kern w:val="0"/>
          <w:szCs w:val="24"/>
          <w:highlight w:val="none"/>
          <w:lang w:val="en-US" w:eastAsia="zh-CN"/>
        </w:rPr>
        <w:t>6</w:t>
      </w:r>
      <w:r>
        <w:rPr>
          <w:rFonts w:hint="eastAsia" w:ascii="宋体" w:hAnsi="宋体"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42632980">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AE2BC8D">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0150237">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5A7C0BD">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w:t>
      </w:r>
      <w:r>
        <w:rPr>
          <w:rFonts w:hint="eastAsia" w:ascii="宋体" w:hAnsi="宋体" w:cs="宋体"/>
          <w:color w:val="auto"/>
          <w:kern w:val="0"/>
          <w:szCs w:val="24"/>
          <w:highlight w:val="none"/>
          <w:lang w:val="en-US" w:eastAsia="zh-CN"/>
        </w:rPr>
        <w:t>10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4</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6DE2244">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13241F9">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E9B0FAA">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44CE932">
      <w:pPr>
        <w:snapToGrid w:val="0"/>
        <w:spacing w:line="360" w:lineRule="auto"/>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41D17802">
      <w:pPr>
        <w:pStyle w:val="132"/>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A4B71F1">
      <w:pPr>
        <w:pStyle w:val="24"/>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9067AA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2864E4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ECE86B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3A7315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4AB6FD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945BFC7">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7FBB03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BF4F96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4.2.8专门面向中小企业采购的项目，《中小企业声明函》填写企业类型错误或者未填写企业类型的，投标无效；</w:t>
      </w:r>
    </w:p>
    <w:p w14:paraId="5D31B79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0AB10B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7943BB1">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69AFD5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 参与同一个项目（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4F5A57E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4.2.13投标人仅提交备份投标文件，未在电子交易平台传输递交投标文件的，投标无效；</w:t>
      </w:r>
    </w:p>
    <w:p w14:paraId="689E6D74">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14:paraId="27B002C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65B60D96">
      <w:pPr>
        <w:pStyle w:val="24"/>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71628C0">
      <w:pPr>
        <w:pStyle w:val="24"/>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692BFE61">
      <w:pPr>
        <w:pStyle w:val="24"/>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789BCE39">
      <w:pPr>
        <w:pStyle w:val="24"/>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1BB0FE05">
      <w:pPr>
        <w:pStyle w:val="24"/>
        <w:snapToGrid w:val="0"/>
        <w:spacing w:line="360" w:lineRule="auto"/>
        <w:rPr>
          <w:rFonts w:hint="eastAsia" w:cs="宋体"/>
          <w:color w:val="auto"/>
          <w:highlight w:val="none"/>
        </w:rPr>
      </w:pPr>
      <w:r>
        <w:rPr>
          <w:rFonts w:hint="eastAsia" w:cs="宋体"/>
          <w:color w:val="auto"/>
          <w:highlight w:val="none"/>
        </w:rPr>
        <w:t>5.4因重大变故，采购任务取消的。</w:t>
      </w:r>
    </w:p>
    <w:p w14:paraId="69583545">
      <w:pPr>
        <w:pStyle w:val="24"/>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7796D43F">
      <w:pPr>
        <w:pStyle w:val="24"/>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83ABC0D">
      <w:pPr>
        <w:pStyle w:val="24"/>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0B061E5">
      <w:pPr>
        <w:pStyle w:val="24"/>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7EE4435E">
      <w:pPr>
        <w:pStyle w:val="24"/>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2695C5D">
      <w:pPr>
        <w:pStyle w:val="24"/>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2C6709">
      <w:pPr>
        <w:pStyle w:val="24"/>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1A7348A2">
      <w:pPr>
        <w:pStyle w:val="24"/>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22FB578">
      <w:pPr>
        <w:rPr>
          <w:rFonts w:hint="eastAsia" w:ascii="宋体" w:hAnsi="宋体" w:cs="宋体"/>
          <w:b/>
          <w:color w:val="auto"/>
          <w:sz w:val="36"/>
          <w:szCs w:val="36"/>
          <w:highlight w:val="none"/>
        </w:rPr>
      </w:pPr>
      <w:bookmarkStart w:id="392" w:name="_Toc86217003"/>
      <w:r>
        <w:rPr>
          <w:rFonts w:hint="eastAsia" w:ascii="宋体" w:hAnsi="宋体" w:cs="宋体"/>
          <w:b/>
          <w:color w:val="auto"/>
          <w:sz w:val="36"/>
          <w:szCs w:val="36"/>
          <w:highlight w:val="none"/>
        </w:rPr>
        <w:br w:type="page"/>
      </w:r>
    </w:p>
    <w:p w14:paraId="06A815AC">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D0120B8">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本章所述合同格式及合同条款为指引性文件。在合同签订时，采购人有权合理修改本合同条款。若采购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14:paraId="33798563">
      <w:pPr>
        <w:snapToGrid w:val="0"/>
        <w:spacing w:before="120" w:beforeLines="50" w:after="120" w:afterLines="50"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浙江省政府采购合同（参考）</w:t>
      </w:r>
    </w:p>
    <w:p w14:paraId="652CC601">
      <w:pPr>
        <w:spacing w:line="360" w:lineRule="auto"/>
        <w:ind w:firstLine="480" w:firstLineChars="200"/>
        <w:jc w:val="left"/>
        <w:rPr>
          <w:rFonts w:hint="eastAsia" w:ascii="宋体" w:hAnsi="宋体" w:cs="宋体"/>
          <w:b/>
          <w:bCs/>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城乡公交客运片区组团融合发展“缩小三大差距”促进共同富裕成效评估</w:t>
      </w:r>
    </w:p>
    <w:p w14:paraId="2096046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lang w:eastAsia="zh-CN"/>
        </w:rPr>
        <w:t>ZJHY-SGLYSZX-202509</w:t>
      </w:r>
    </w:p>
    <w:p w14:paraId="4117CC99">
      <w:pPr>
        <w:snapToGrid w:val="0"/>
        <w:spacing w:line="360" w:lineRule="auto"/>
        <w:ind w:firstLine="482" w:firstLineChars="200"/>
        <w:rPr>
          <w:rFonts w:hint="eastAsia" w:ascii="宋体" w:hAnsi="宋体" w:cs="宋体"/>
          <w:b/>
          <w:bCs/>
          <w:color w:val="auto"/>
          <w:sz w:val="24"/>
          <w:highlight w:val="none"/>
          <w:u w:val="single"/>
        </w:rPr>
      </w:pPr>
      <w:r>
        <w:rPr>
          <w:rFonts w:hint="eastAsia" w:ascii="宋体" w:hAnsi="宋体" w:cs="宋体"/>
          <w:b/>
          <w:bCs/>
          <w:color w:val="auto"/>
          <w:sz w:val="24"/>
          <w:highlight w:val="none"/>
          <w:u w:val="single"/>
        </w:rPr>
        <w:t>甲方：浙江省公路与运输管理中心</w:t>
      </w:r>
    </w:p>
    <w:p w14:paraId="1E87A958">
      <w:pPr>
        <w:snapToGrid w:val="0"/>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bCs/>
          <w:color w:val="auto"/>
          <w:sz w:val="24"/>
          <w:highlight w:val="none"/>
          <w:u w:val="single"/>
        </w:rPr>
        <w:t xml:space="preserve">乙方：（中标人）   </w:t>
      </w:r>
    </w:p>
    <w:p w14:paraId="0B08E2A8">
      <w:pPr>
        <w:spacing w:line="360" w:lineRule="auto"/>
        <w:ind w:firstLine="480" w:firstLineChars="200"/>
        <w:jc w:val="left"/>
        <w:rPr>
          <w:rFonts w:hint="eastAsia" w:ascii="宋体" w:hAnsi="宋体" w:cs="宋体"/>
          <w:b/>
          <w:color w:val="auto"/>
          <w:sz w:val="24"/>
          <w:highlight w:val="none"/>
        </w:rPr>
      </w:pPr>
      <w:r>
        <w:rPr>
          <w:rFonts w:hint="eastAsia" w:ascii="宋体" w:hAnsi="宋体" w:cs="宋体"/>
          <w:color w:val="auto"/>
          <w:sz w:val="24"/>
          <w:highlight w:val="none"/>
        </w:rPr>
        <w:t xml:space="preserve">   甲、乙双方根据</w:t>
      </w:r>
      <w:r>
        <w:rPr>
          <w:rFonts w:hint="eastAsia" w:ascii="宋体" w:hAnsi="宋体" w:cs="宋体"/>
          <w:color w:val="auto"/>
          <w:sz w:val="24"/>
          <w:highlight w:val="none"/>
          <w:u w:val="single"/>
        </w:rPr>
        <w:t xml:space="preserve"> 城乡公交客运片区组团融合发展“缩小三大差距”促进共同富裕成效评估</w:t>
      </w:r>
      <w:r>
        <w:rPr>
          <w:rFonts w:hint="eastAsia" w:ascii="宋体" w:hAnsi="宋体" w:cs="宋体"/>
          <w:color w:val="auto"/>
          <w:sz w:val="24"/>
          <w:highlight w:val="none"/>
          <w:u w:val="none"/>
          <w:lang w:val="en-US" w:eastAsia="zh-CN"/>
        </w:rPr>
        <w:t>项目</w:t>
      </w:r>
      <w:r>
        <w:rPr>
          <w:rFonts w:hint="eastAsia" w:ascii="宋体" w:hAnsi="宋体" w:cs="宋体"/>
          <w:color w:val="auto"/>
          <w:sz w:val="24"/>
          <w:highlight w:val="none"/>
          <w:u w:val="none"/>
        </w:rPr>
        <w:t>（</w:t>
      </w:r>
      <w:r>
        <w:rPr>
          <w:rFonts w:hint="eastAsia" w:ascii="宋体" w:hAnsi="宋体" w:cs="宋体"/>
          <w:color w:val="auto"/>
          <w:sz w:val="24"/>
          <w:highlight w:val="none"/>
        </w:rPr>
        <w:t>项目编号：</w:t>
      </w:r>
      <w:r>
        <w:rPr>
          <w:rFonts w:hint="eastAsia" w:ascii="宋体" w:hAnsi="宋体" w:cs="宋体"/>
          <w:color w:val="auto"/>
          <w:sz w:val="24"/>
          <w:highlight w:val="none"/>
          <w:u w:val="single"/>
          <w:lang w:eastAsia="zh-CN"/>
        </w:rPr>
        <w:t>ZJHY-SGLYSZX-202509</w:t>
      </w:r>
      <w:r>
        <w:rPr>
          <w:rFonts w:hint="eastAsia" w:ascii="宋体" w:hAnsi="宋体" w:cs="宋体"/>
          <w:color w:val="auto"/>
          <w:sz w:val="24"/>
          <w:highlight w:val="none"/>
        </w:rPr>
        <w:t>）招标的结果，签署本合同。</w:t>
      </w:r>
    </w:p>
    <w:p w14:paraId="59AE57BB">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一、合同内容</w:t>
      </w:r>
    </w:p>
    <w:p w14:paraId="050F40D2">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  本项目为 </w:t>
      </w:r>
      <w:r>
        <w:rPr>
          <w:rFonts w:hint="eastAsia" w:ascii="宋体" w:hAnsi="宋体" w:cs="宋体"/>
          <w:b/>
          <w:bCs/>
          <w:color w:val="auto"/>
          <w:sz w:val="24"/>
          <w:highlight w:val="none"/>
          <w:u w:val="single"/>
          <w:lang w:eastAsia="zh-CN"/>
        </w:rPr>
        <w:t>城乡公交客运片区组团融合发展“缩小三大差距”促进共同富裕成效评估</w:t>
      </w:r>
      <w:r>
        <w:rPr>
          <w:rFonts w:hint="eastAsia" w:ascii="宋体" w:hAnsi="宋体" w:cs="宋体"/>
          <w:bCs/>
          <w:color w:val="auto"/>
          <w:sz w:val="24"/>
          <w:highlight w:val="none"/>
          <w:u w:val="single"/>
        </w:rPr>
        <w:t>，</w:t>
      </w:r>
      <w:r>
        <w:rPr>
          <w:rFonts w:hint="eastAsia" w:ascii="宋体" w:hAnsi="宋体" w:cs="宋体"/>
          <w:color w:val="auto"/>
          <w:sz w:val="24"/>
          <w:highlight w:val="none"/>
        </w:rPr>
        <w:t>乙方负责甲方招标文件中</w:t>
      </w:r>
      <w:r>
        <w:rPr>
          <w:rFonts w:hint="eastAsia" w:ascii="宋体" w:hAnsi="宋体" w:cs="宋体"/>
          <w:bCs/>
          <w:color w:val="auto"/>
          <w:sz w:val="24"/>
          <w:highlight w:val="none"/>
          <w:u w:val="single"/>
        </w:rPr>
        <w:t>指定的各项工作</w:t>
      </w:r>
      <w:r>
        <w:rPr>
          <w:rFonts w:hint="eastAsia" w:ascii="宋体" w:hAnsi="宋体" w:cs="宋体"/>
          <w:color w:val="auto"/>
          <w:sz w:val="24"/>
          <w:highlight w:val="none"/>
        </w:rPr>
        <w:t>。</w:t>
      </w:r>
    </w:p>
    <w:p w14:paraId="1AC7EE8C">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二、合同金额</w:t>
      </w:r>
    </w:p>
    <w:p w14:paraId="26776EC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本合同金额为人民币（大写）：</w:t>
      </w:r>
      <w:r>
        <w:rPr>
          <w:rFonts w:hint="eastAsia" w:ascii="宋体" w:hAnsi="宋体" w:cs="宋体"/>
          <w:b/>
          <w:bCs/>
          <w:color w:val="auto"/>
          <w:kern w:val="0"/>
          <w:sz w:val="24"/>
          <w:highlight w:val="none"/>
          <w:u w:val="single"/>
        </w:rPr>
        <w:t xml:space="preserve">      元整 </w:t>
      </w:r>
      <w:r>
        <w:rPr>
          <w:rFonts w:hint="eastAsia" w:ascii="宋体" w:hAnsi="宋体" w:cs="宋体"/>
          <w:b/>
          <w:bCs/>
          <w:color w:val="auto"/>
          <w:sz w:val="24"/>
          <w:highlight w:val="none"/>
          <w:u w:val="single"/>
        </w:rPr>
        <w:t>（￥</w:t>
      </w:r>
      <w:r>
        <w:rPr>
          <w:rFonts w:hint="eastAsia" w:ascii="宋体" w:hAnsi="宋体" w:cs="宋体"/>
          <w:b/>
          <w:bCs/>
          <w:color w:val="auto"/>
          <w:kern w:val="0"/>
          <w:sz w:val="24"/>
          <w:highlight w:val="none"/>
          <w:u w:val="single"/>
        </w:rPr>
        <w:t xml:space="preserve">   </w:t>
      </w:r>
      <w:r>
        <w:rPr>
          <w:rFonts w:hint="eastAsia" w:ascii="宋体" w:hAnsi="宋体" w:cs="宋体"/>
          <w:b/>
          <w:bCs/>
          <w:color w:val="auto"/>
          <w:sz w:val="24"/>
          <w:highlight w:val="none"/>
          <w:u w:val="single"/>
        </w:rPr>
        <w:t>元）。</w:t>
      </w:r>
    </w:p>
    <w:p w14:paraId="7FB211A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合同价</w:t>
      </w:r>
      <w:r>
        <w:rPr>
          <w:rFonts w:hint="eastAsia" w:ascii="宋体" w:hAnsi="宋体" w:cs="宋体"/>
          <w:color w:val="auto"/>
          <w:sz w:val="24"/>
          <w:highlight w:val="none"/>
          <w:u w:val="single"/>
        </w:rPr>
        <w:t>包含完成本项目工作任务所发生的一切费用及不可预见费等所需的全部费用，全部费用已包含在合同价中。全部费用包括（但不限于）：技术服务发生人工费（含工资、奖金、加班费、补贴、劳务费等所有费用）、成果（文本）编制费、技术评审费、设备器材费、场地费、利润、税费、其他不可预见费用及所有有关的管理成本等全部费用。</w:t>
      </w:r>
      <w:r>
        <w:rPr>
          <w:rFonts w:hint="eastAsia" w:ascii="宋体" w:hAnsi="宋体" w:cs="宋体"/>
          <w:color w:val="auto"/>
          <w:sz w:val="24"/>
          <w:highlight w:val="none"/>
        </w:rPr>
        <w:t>凡乙方在报价中未列明但又为本次采购所必备的项目或遗漏项目，甲方将一律视为已包括在合同价中，在合同执行中将不予考虑。</w:t>
      </w:r>
    </w:p>
    <w:p w14:paraId="33D990F1">
      <w:pPr>
        <w:snapToGrid w:val="0"/>
        <w:spacing w:line="360" w:lineRule="auto"/>
        <w:rPr>
          <w:rFonts w:hint="eastAsia" w:ascii="宋体" w:hAnsi="宋体" w:cs="宋体"/>
          <w:color w:val="auto"/>
          <w:sz w:val="24"/>
          <w:highlight w:val="none"/>
          <w:lang w:val="en-US" w:eastAsia="zh-CN"/>
        </w:rPr>
      </w:pPr>
      <w:r>
        <w:rPr>
          <w:rFonts w:hint="eastAsia" w:ascii="宋体" w:hAnsi="宋体" w:eastAsia="宋体" w:cs="宋体"/>
          <w:b/>
          <w:bCs/>
          <w:color w:val="auto"/>
          <w:sz w:val="24"/>
          <w:highlight w:val="none"/>
        </w:rPr>
        <w:t>三、服务</w:t>
      </w:r>
      <w:r>
        <w:rPr>
          <w:rFonts w:hint="eastAsia" w:ascii="宋体" w:hAnsi="宋体" w:eastAsia="宋体" w:cs="宋体"/>
          <w:b/>
          <w:bCs/>
          <w:color w:val="auto"/>
          <w:sz w:val="24"/>
          <w:highlight w:val="none"/>
          <w:lang w:val="en-US" w:eastAsia="zh-CN"/>
        </w:rPr>
        <w:t>内容及要求</w:t>
      </w:r>
    </w:p>
    <w:p w14:paraId="1D2E52A7">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（一）项目内容</w:t>
      </w:r>
    </w:p>
    <w:p w14:paraId="72317AF2">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城乡公交一体化改革周期性评估。优化浙江省城乡公交数据技术平台，完成2025年度城乡公交一体化数据监测，形成各县（市、区）城乡公交一体化率监测结果，生成“一村一表、一县一档”数据档案。梳理2021—2025年城乡公交一体化工作推进情况，对《城乡公交一体化发展专项行动方案》实施成效进行全面评估，定性、定量分析形成可视化对比结果，总结阶段性成效。</w:t>
      </w:r>
    </w:p>
    <w:p w14:paraId="1E3A4B4F">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城乡融合发展政策行业贯彻成效评估。围绕省委省政府城乡融合政策要求，重点评估各地在推进城乡公交一体化、提升公共交通服务均等化方面的落实举措与效果。对比分析政策实施前后，各地在城乡公交基础设施配套、客运服务水平等方面的变化与提升。从社会效益、经济发展等维度，分析政策实施对缩小“三大差距”、促进共同富裕的实际效果。</w:t>
      </w:r>
    </w:p>
    <w:p w14:paraId="02277742">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浙江省各地城乡公交一体化质效提升工作评估。对照《省交通运输厅关于印发加开山区（海岛）城乡公交一体化质效提升方案的通知》，专项评估各地在推动山区、海岛等特殊区域城乡公交可持续发展的实施成效。总结提炼先进经验和有效模式，为下一步深化提升工作提供依据。</w:t>
      </w:r>
    </w:p>
    <w:p w14:paraId="29CE6397">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典型案例收集。围绕城乡公交系列工作，系统收集整理各地在提升山区（海岛）城乡公交质效、缩小“三大差距”促进共同富裕等方面的创新实践与成功案例。深入分析案例的背景、做法、成效，形成具有示范引领作用的经验模式集。</w:t>
      </w:r>
    </w:p>
    <w:p w14:paraId="1192F66C">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评估结果分析与发展建议。对项目评估结果进行系统性分析，合理提出评估分析结论，点明当下发展主要问题，结合城乡公交发展面临的新形势、新特征、新挑战，重点聚焦具体可落地场景，基于评估结果进一步形成下一阶段浙江省城乡公交客运服务高质量发展建议。</w:t>
      </w:r>
    </w:p>
    <w:p w14:paraId="1FFD6D0F">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（二）技术要求</w:t>
      </w:r>
    </w:p>
    <w:p w14:paraId="51729EC5">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项目成果要严格按照国家颁布的有关法律、法规及政策要求，符合相关的技术规范和标准。</w:t>
      </w:r>
    </w:p>
    <w:p w14:paraId="3EE81BB2">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评估需覆盖全省11个设区市及所有运营城乡公交的县（市、区），全面反映2021-2025年全省城乡公交一体化发展水平、服务效能、工作进展与成效。评估方法应科学严谨，思路开阔，观点明确，数据详实可靠，分析论证充分。提出的发展建议需聚焦具体任务和可落地场景，确保具备较强的实操性与应用价值。</w:t>
      </w:r>
    </w:p>
    <w:p w14:paraId="7B272EBA">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评估成果应做到文字流畅、思路清晰、逻辑性强、数据详实可靠、图标规范清晰。</w:t>
      </w:r>
    </w:p>
    <w:p w14:paraId="5B8B6767">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（三）项目成果</w:t>
      </w:r>
    </w:p>
    <w:p w14:paraId="7CCC504D">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文档的提交应覆盖以下内容，电子文档是成果不可分割的部分。要求如下文档：</w:t>
      </w:r>
    </w:p>
    <w:p w14:paraId="1F72155C">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●《城乡公交客运片区组团融合发展“缩小三大差距”促进共同富裕成效评估》评估报告，报告需包含全省11个地市、及全部运营有城乡公交的县（市、区），总结形成城乡公交客运典型案例集；</w:t>
      </w:r>
    </w:p>
    <w:p w14:paraId="0953C696">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●其他需要提交的材料。</w:t>
      </w:r>
    </w:p>
    <w:p w14:paraId="0A4F3C89">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四、相关法规、管理条例与技术标准、行业规范</w:t>
      </w:r>
    </w:p>
    <w:p w14:paraId="16E1A597">
      <w:pPr>
        <w:snapToGrid w:val="0"/>
        <w:spacing w:line="360" w:lineRule="auto"/>
        <w:ind w:left="269" w:leftChars="128" w:firstLine="480" w:firstLineChars="200"/>
        <w:rPr>
          <w:rFonts w:hint="eastAsia" w:ascii="宋体" w:hAnsi="宋体" w:cs="宋体"/>
          <w:color w:val="auto"/>
          <w:sz w:val="24"/>
          <w:highlight w:val="none"/>
        </w:rPr>
      </w:pPr>
      <w:r>
        <w:rPr>
          <w:rFonts w:hint="eastAsia" w:ascii="宋体" w:hAnsi="宋体" w:cs="宋体"/>
          <w:color w:val="auto"/>
          <w:sz w:val="24"/>
          <w:highlight w:val="none"/>
        </w:rPr>
        <w:t>4.1 国家、行业标准及规范，有新标准按新标准执行；</w:t>
      </w:r>
    </w:p>
    <w:p w14:paraId="72078A71">
      <w:pPr>
        <w:snapToGrid w:val="0"/>
        <w:spacing w:line="360" w:lineRule="auto"/>
        <w:ind w:left="269" w:leftChars="128" w:firstLine="480" w:firstLineChars="200"/>
        <w:rPr>
          <w:color w:val="auto"/>
          <w:highlight w:val="none"/>
        </w:rPr>
      </w:pPr>
      <w:r>
        <w:rPr>
          <w:rFonts w:hint="eastAsia" w:ascii="宋体" w:hAnsi="宋体" w:cs="宋体"/>
          <w:color w:val="auto"/>
          <w:sz w:val="24"/>
          <w:highlight w:val="none"/>
        </w:rPr>
        <w:t>4.2 其他相关标准。</w:t>
      </w:r>
    </w:p>
    <w:p w14:paraId="65067AAB">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五、知识产权</w:t>
      </w:r>
    </w:p>
    <w:p w14:paraId="0851C50F">
      <w:pPr>
        <w:spacing w:line="360" w:lineRule="auto"/>
        <w:ind w:firstLine="477" w:firstLineChars="199"/>
        <w:rPr>
          <w:rFonts w:hint="eastAsia"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1、乙方应保证所提供的服务或其任何一部分均不会侵犯任何第三方的知识产权。</w:t>
      </w:r>
    </w:p>
    <w:p w14:paraId="419A3CC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2、与本项目相关的数据、研究、评估报告、政策建议等知识产权的所有权和使用权均为甲方和乙方共有。未经甲方书面同意，任何单位和个人不得转让和使用本项目成果。</w:t>
      </w:r>
    </w:p>
    <w:p w14:paraId="23D99F7D">
      <w:pPr>
        <w:spacing w:line="360" w:lineRule="auto"/>
        <w:rPr>
          <w:rFonts w:hint="eastAsia" w:ascii="宋体" w:hAnsi="宋体" w:cs="宋体"/>
          <w:b/>
          <w:color w:val="auto"/>
          <w:sz w:val="24"/>
          <w:highlight w:val="none"/>
        </w:rPr>
      </w:pPr>
      <w:r>
        <w:rPr>
          <w:rFonts w:hint="eastAsia" w:ascii="宋体" w:hAnsi="宋体" w:cs="宋体"/>
          <w:b/>
          <w:color w:val="auto"/>
          <w:sz w:val="24"/>
          <w:highlight w:val="none"/>
          <w:shd w:val="clear" w:color="auto" w:fill="FFFFFF"/>
        </w:rPr>
        <w:t>六、</w:t>
      </w:r>
      <w:r>
        <w:rPr>
          <w:rFonts w:hint="eastAsia" w:ascii="宋体" w:hAnsi="宋体" w:cs="宋体"/>
          <w:b/>
          <w:color w:val="auto"/>
          <w:sz w:val="24"/>
          <w:highlight w:val="none"/>
        </w:rPr>
        <w:t>服务期限及地点</w:t>
      </w:r>
    </w:p>
    <w:p w14:paraId="18C89EC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1、服务期限：</w:t>
      </w:r>
      <w:r>
        <w:rPr>
          <w:rFonts w:hint="eastAsia" w:ascii="宋体" w:hAnsi="宋体" w:cs="宋体"/>
          <w:color w:val="auto"/>
          <w:sz w:val="24"/>
          <w:highlight w:val="none"/>
          <w:u w:val="single"/>
        </w:rPr>
        <w:t>本计划服务期约6个月</w:t>
      </w:r>
      <w:r>
        <w:rPr>
          <w:rFonts w:hint="eastAsia" w:ascii="宋体" w:hAnsi="宋体" w:cs="宋体"/>
          <w:color w:val="auto"/>
          <w:sz w:val="24"/>
          <w:highlight w:val="none"/>
        </w:rPr>
        <w:t>。</w:t>
      </w:r>
    </w:p>
    <w:p w14:paraId="791AF99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2、服务地点：</w:t>
      </w:r>
      <w:r>
        <w:rPr>
          <w:rFonts w:hint="eastAsia" w:ascii="宋体" w:hAnsi="宋体" w:cs="宋体"/>
          <w:color w:val="auto"/>
          <w:sz w:val="24"/>
          <w:highlight w:val="none"/>
          <w:u w:val="single"/>
        </w:rPr>
        <w:t>甲方指定</w:t>
      </w:r>
      <w:r>
        <w:rPr>
          <w:rFonts w:hint="eastAsia" w:ascii="宋体" w:hAnsi="宋体" w:cs="宋体"/>
          <w:color w:val="auto"/>
          <w:sz w:val="24"/>
          <w:highlight w:val="none"/>
        </w:rPr>
        <w:t>。</w:t>
      </w:r>
    </w:p>
    <w:p w14:paraId="6E03786F">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七、付款方式</w:t>
      </w:r>
    </w:p>
    <w:p w14:paraId="54724F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本项目分两次支付，合同签订且具备实施条件后7个工作日内</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向</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预付合同金额的80%（中小企业合同为70%），项目通过</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组织的验收后一个月内</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向</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支付合同金额的20%（中小企业合同为30%）。</w:t>
      </w:r>
    </w:p>
    <w:p w14:paraId="521FC53B">
      <w:pPr>
        <w:spacing w:line="340" w:lineRule="exact"/>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、验收</w:t>
      </w:r>
      <w:r>
        <w:rPr>
          <w:rFonts w:hint="eastAsia" w:ascii="宋体" w:hAnsi="宋体" w:cs="宋体"/>
          <w:b/>
          <w:color w:val="auto"/>
          <w:sz w:val="24"/>
          <w:highlight w:val="none"/>
          <w:lang w:val="en-US" w:eastAsia="zh-CN"/>
        </w:rPr>
        <w:t>标准</w:t>
      </w:r>
    </w:p>
    <w:p w14:paraId="2275566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验收时间：合同签订后6个月进行验收。</w:t>
      </w:r>
    </w:p>
    <w:p w14:paraId="2B335EF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验收地点：用户指定地点。</w:t>
      </w:r>
    </w:p>
    <w:p w14:paraId="3E8534D5">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九</w:t>
      </w:r>
      <w:r>
        <w:rPr>
          <w:rFonts w:hint="eastAsia" w:ascii="宋体" w:hAnsi="宋体" w:cs="宋体"/>
          <w:b/>
          <w:bCs/>
          <w:color w:val="auto"/>
          <w:sz w:val="24"/>
          <w:highlight w:val="none"/>
        </w:rPr>
        <w:t>、税费</w:t>
      </w:r>
    </w:p>
    <w:p w14:paraId="506CC4C0">
      <w:pPr>
        <w:snapToGrid w:val="0"/>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本合同执行中相关的一切税费均由乙方负担。</w:t>
      </w:r>
    </w:p>
    <w:p w14:paraId="28BF4769">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十、违约责任</w:t>
      </w:r>
    </w:p>
    <w:p w14:paraId="28B7FCF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1、违反本合同约定，造成本合同不能履行或不能完全履行，由违约方承担违约责任，违约方应按《中华人民共和国民法典》相关规定赔偿对方经济损失。</w:t>
      </w:r>
    </w:p>
    <w:p w14:paraId="5F3945C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2、甲方无故逾期验收和办理合同</w:t>
      </w:r>
      <w:r>
        <w:rPr>
          <w:rFonts w:hint="eastAsia" w:ascii="宋体" w:hAnsi="宋体" w:cs="宋体"/>
          <w:color w:val="auto"/>
          <w:sz w:val="24"/>
          <w:highlight w:val="none"/>
          <w:lang w:eastAsia="zh-Hans"/>
        </w:rPr>
        <w:t>价</w:t>
      </w:r>
      <w:r>
        <w:rPr>
          <w:rFonts w:hint="eastAsia" w:ascii="宋体" w:hAnsi="宋体" w:cs="宋体"/>
          <w:color w:val="auto"/>
          <w:sz w:val="24"/>
          <w:highlight w:val="none"/>
        </w:rPr>
        <w:t>款支付手续的,甲方应按逾期付款总额每日万分之五向乙方支付违约金。</w:t>
      </w:r>
    </w:p>
    <w:p w14:paraId="2375CBF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未按采购人要求的时间提供服务的，乙方应按逾期每日总额千分之六向甲方支付违约金，由甲方从待付合同款中扣除。逾期超过约定日期10个工作日不能履行服务的，甲方可解除本合同，乙方应退还全部已收款项。乙方因逾期履行服务或因其他违约行为导致甲方解除合同，或乙方擅自解除合同的，乙方应向甲方支付合同总额5%的违约金，如造成甲方损失超过违约金的，超出部分由乙方继续承担赔偿责任，此外，乙方还应退还全部已收款项。</w:t>
      </w:r>
    </w:p>
    <w:p w14:paraId="12CF82E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4、乙方达不到项目要求，乙方应负责根据合同及甲方的要求采取相应的处理措施，并承担由此发生的一切损失和费用，整改延误的时间不作为整个项目工期延期的理由。</w:t>
      </w:r>
    </w:p>
    <w:p w14:paraId="43415D4E">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十</w:t>
      </w: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rPr>
        <w:t>、不可抗力事件处理</w:t>
      </w:r>
    </w:p>
    <w:p w14:paraId="514AAA6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14:paraId="22D1778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2.不可抗力事件发生后，应立即通知对方，并寄送有关权威机构出具的证明。</w:t>
      </w:r>
    </w:p>
    <w:p w14:paraId="79F4A62F">
      <w:pPr>
        <w:snapToGrid w:val="0"/>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3.不可抗力事件延续60天以上，双方应通过友好协商，确定是否继续履行合同。</w:t>
      </w:r>
      <w:r>
        <w:rPr>
          <w:rFonts w:hint="eastAsia" w:ascii="宋体" w:hAnsi="宋体" w:cs="宋体"/>
          <w:b/>
          <w:bCs/>
          <w:color w:val="auto"/>
          <w:sz w:val="24"/>
          <w:highlight w:val="none"/>
        </w:rPr>
        <w:t>十</w:t>
      </w:r>
      <w:r>
        <w:rPr>
          <w:rFonts w:hint="eastAsia" w:ascii="宋体" w:hAnsi="宋体" w:cs="宋体"/>
          <w:b/>
          <w:bCs/>
          <w:color w:val="auto"/>
          <w:sz w:val="24"/>
          <w:highlight w:val="none"/>
          <w:lang w:val="en-US" w:eastAsia="zh-CN"/>
        </w:rPr>
        <w:t>十二</w:t>
      </w:r>
      <w:r>
        <w:rPr>
          <w:rFonts w:hint="eastAsia" w:ascii="宋体" w:hAnsi="宋体" w:cs="宋体"/>
          <w:b/>
          <w:bCs/>
          <w:color w:val="auto"/>
          <w:sz w:val="24"/>
          <w:highlight w:val="none"/>
        </w:rPr>
        <w:t>、安全责任</w:t>
      </w:r>
    </w:p>
    <w:p w14:paraId="0638025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在采购及合同执行过程中，供应商应承担由于其行为所造成的人身伤害、财产损失或损坏的责任，无论何种原因所造成，采购人均不负责。</w:t>
      </w:r>
    </w:p>
    <w:p w14:paraId="4B23B6FD">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十</w:t>
      </w: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、争议的解决</w:t>
      </w:r>
    </w:p>
    <w:p w14:paraId="5918681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双方在执行合同中所发生的一切争议，应通过协商解决。如协商不成，可向甲方所在地法院起诉。</w:t>
      </w:r>
    </w:p>
    <w:p w14:paraId="60B5B7BC">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十</w:t>
      </w: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、合同生效及其它</w:t>
      </w:r>
    </w:p>
    <w:p w14:paraId="67FF8251">
      <w:pPr>
        <w:snapToGrid w:val="0"/>
        <w:spacing w:before="120" w:after="1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1.合同经双方法定代表人或授权代表签字并加盖单位公章后生效。</w:t>
      </w:r>
    </w:p>
    <w:p w14:paraId="340F6404">
      <w:pPr>
        <w:tabs>
          <w:tab w:val="left" w:pos="0"/>
          <w:tab w:val="left" w:pos="8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2.下述文件是构成合同不可分割的部分，应一并阅读和理解。</w:t>
      </w:r>
    </w:p>
    <w:p w14:paraId="3200D5F8">
      <w:pPr>
        <w:tabs>
          <w:tab w:val="left" w:pos="0"/>
          <w:tab w:val="left" w:pos="8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（1）本合同协议书；</w:t>
      </w:r>
    </w:p>
    <w:p w14:paraId="09B150B5">
      <w:pPr>
        <w:tabs>
          <w:tab w:val="left" w:pos="0"/>
          <w:tab w:val="left" w:pos="8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（2）中标通知书；</w:t>
      </w:r>
    </w:p>
    <w:p w14:paraId="5D41BA45">
      <w:pPr>
        <w:tabs>
          <w:tab w:val="left" w:pos="0"/>
          <w:tab w:val="left" w:pos="8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（3）招标文件及附件；</w:t>
      </w:r>
    </w:p>
    <w:p w14:paraId="1BD274D4">
      <w:pPr>
        <w:tabs>
          <w:tab w:val="left" w:pos="0"/>
          <w:tab w:val="left" w:pos="8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（4）投标文件及附件。</w:t>
      </w:r>
    </w:p>
    <w:p w14:paraId="60AA2954">
      <w:pPr>
        <w:snapToGrid w:val="0"/>
        <w:spacing w:before="120" w:after="1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3.合同执行中涉及采购资金和采购内容修改或补充的，须经财政部门审批，并签书面补充协议报政府采购监督管理部门备案，方可作为主合同不可分割的一部分。</w:t>
      </w:r>
    </w:p>
    <w:p w14:paraId="44A270C5">
      <w:pPr>
        <w:snapToGrid w:val="0"/>
        <w:spacing w:before="120" w:after="1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4.本合同未尽事宜，遵照《民法典》有关条文执行。</w:t>
      </w:r>
    </w:p>
    <w:p w14:paraId="4B7F1B16">
      <w:pPr>
        <w:snapToGrid w:val="0"/>
        <w:spacing w:before="120" w:after="1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5.本合同正本一式</w:t>
      </w:r>
      <w:r>
        <w:rPr>
          <w:rFonts w:hint="eastAsia" w:ascii="宋体" w:hAnsi="宋体" w:cs="宋体"/>
          <w:color w:val="auto"/>
          <w:sz w:val="24"/>
          <w:highlight w:val="none"/>
          <w:u w:val="single"/>
          <w:lang w:val="en-US" w:eastAsia="zh-CN"/>
        </w:rPr>
        <w:t>陆</w:t>
      </w:r>
      <w:r>
        <w:rPr>
          <w:rFonts w:hint="eastAsia" w:ascii="宋体" w:hAnsi="宋体" w:cs="宋体"/>
          <w:color w:val="auto"/>
          <w:sz w:val="24"/>
          <w:highlight w:val="none"/>
        </w:rPr>
        <w:t xml:space="preserve">份，具有同等法律效力，甲方执 </w:t>
      </w:r>
      <w:r>
        <w:rPr>
          <w:rFonts w:hint="eastAsia" w:ascii="宋体" w:hAnsi="宋体" w:cs="宋体"/>
          <w:color w:val="auto"/>
          <w:sz w:val="24"/>
          <w:highlight w:val="none"/>
          <w:u w:val="single"/>
          <w:lang w:val="en-US" w:eastAsia="zh-CN"/>
        </w:rPr>
        <w:t>叁</w:t>
      </w:r>
      <w:r>
        <w:rPr>
          <w:rFonts w:hint="eastAsia" w:ascii="宋体" w:hAnsi="宋体" w:cs="宋体"/>
          <w:color w:val="auto"/>
          <w:sz w:val="24"/>
          <w:highlight w:val="none"/>
        </w:rPr>
        <w:t xml:space="preserve">份，乙方执 </w:t>
      </w:r>
      <w:r>
        <w:rPr>
          <w:rFonts w:hint="eastAsia" w:ascii="宋体" w:hAnsi="宋体" w:cs="宋体"/>
          <w:color w:val="auto"/>
          <w:sz w:val="24"/>
          <w:highlight w:val="none"/>
          <w:u w:val="single"/>
          <w:lang w:val="en-US" w:eastAsia="zh-CN"/>
        </w:rPr>
        <w:t>叁</w:t>
      </w:r>
      <w:r>
        <w:rPr>
          <w:rFonts w:hint="eastAsia" w:ascii="宋体" w:hAnsi="宋体" w:cs="宋体"/>
          <w:color w:val="auto"/>
          <w:sz w:val="24"/>
          <w:highlight w:val="none"/>
        </w:rPr>
        <w:t>份。</w:t>
      </w: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4A9051FF">
        <w:trPr>
          <w:trHeight w:val="490" w:hRule="atLeast"/>
        </w:trPr>
        <w:tc>
          <w:tcPr>
            <w:tcW w:w="4303" w:type="dxa"/>
            <w:gridSpan w:val="2"/>
            <w:tcBorders>
              <w:bottom w:val="single" w:color="auto" w:sz="2" w:space="0"/>
              <w:right w:val="single" w:color="auto" w:sz="2" w:space="0"/>
            </w:tcBorders>
            <w:vAlign w:val="center"/>
          </w:tcPr>
          <w:p w14:paraId="7CB1DE71">
            <w:pPr>
              <w:snapToGrid w:val="0"/>
              <w:spacing w:line="300" w:lineRule="exact"/>
              <w:rPr>
                <w:color w:val="auto"/>
                <w:highlight w:val="none"/>
              </w:rPr>
            </w:pPr>
            <w:r>
              <w:rPr>
                <w:color w:val="auto"/>
                <w:szCs w:val="21"/>
                <w:highlight w:val="none"/>
              </w:rPr>
              <w:t>甲方</w:t>
            </w:r>
            <w:r>
              <w:rPr>
                <w:rFonts w:hint="eastAsia"/>
                <w:color w:val="auto"/>
                <w:szCs w:val="21"/>
                <w:highlight w:val="none"/>
              </w:rPr>
              <w:t>：</w:t>
            </w:r>
          </w:p>
        </w:tc>
        <w:tc>
          <w:tcPr>
            <w:tcW w:w="4095" w:type="dxa"/>
            <w:gridSpan w:val="2"/>
            <w:tcBorders>
              <w:left w:val="single" w:color="auto" w:sz="2" w:space="0"/>
              <w:bottom w:val="single" w:color="auto" w:sz="2" w:space="0"/>
            </w:tcBorders>
            <w:vAlign w:val="center"/>
          </w:tcPr>
          <w:p w14:paraId="69A6EFB5">
            <w:pPr>
              <w:snapToGrid w:val="0"/>
              <w:spacing w:line="300" w:lineRule="exact"/>
              <w:rPr>
                <w:color w:val="auto"/>
                <w:highlight w:val="none"/>
              </w:rPr>
            </w:pPr>
            <w:r>
              <w:rPr>
                <w:color w:val="auto"/>
                <w:szCs w:val="21"/>
                <w:highlight w:val="none"/>
              </w:rPr>
              <w:t>乙方</w:t>
            </w:r>
            <w:r>
              <w:rPr>
                <w:rFonts w:hint="eastAsia"/>
                <w:color w:val="auto"/>
                <w:szCs w:val="21"/>
                <w:highlight w:val="none"/>
              </w:rPr>
              <w:t>：</w:t>
            </w:r>
          </w:p>
        </w:tc>
      </w:tr>
      <w:tr w14:paraId="5FB284C8">
        <w:trPr>
          <w:trHeight w:val="917" w:hRule="atLeast"/>
        </w:trPr>
        <w:tc>
          <w:tcPr>
            <w:tcW w:w="1891" w:type="dxa"/>
            <w:tcBorders>
              <w:top w:val="single" w:color="auto" w:sz="2" w:space="0"/>
              <w:bottom w:val="single" w:color="auto" w:sz="2" w:space="0"/>
              <w:right w:val="single" w:color="auto" w:sz="2" w:space="0"/>
            </w:tcBorders>
            <w:vAlign w:val="center"/>
          </w:tcPr>
          <w:p w14:paraId="6DBAE9A6">
            <w:pPr>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152F5071">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028C095">
            <w:pPr>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116" w:type="dxa"/>
            <w:tcBorders>
              <w:top w:val="single" w:color="auto" w:sz="2" w:space="0"/>
              <w:left w:val="single" w:color="auto" w:sz="2" w:space="0"/>
              <w:bottom w:val="single" w:color="auto" w:sz="2" w:space="0"/>
            </w:tcBorders>
            <w:vAlign w:val="center"/>
          </w:tcPr>
          <w:p w14:paraId="462F549D">
            <w:pPr>
              <w:snapToGrid w:val="0"/>
              <w:spacing w:line="300" w:lineRule="exact"/>
              <w:jc w:val="center"/>
              <w:rPr>
                <w:color w:val="auto"/>
                <w:spacing w:val="20"/>
                <w:szCs w:val="21"/>
                <w:highlight w:val="none"/>
              </w:rPr>
            </w:pPr>
          </w:p>
        </w:tc>
      </w:tr>
      <w:tr w14:paraId="020AE8B7">
        <w:trPr>
          <w:trHeight w:val="1171" w:hRule="atLeast"/>
        </w:trPr>
        <w:tc>
          <w:tcPr>
            <w:tcW w:w="1891" w:type="dxa"/>
            <w:tcBorders>
              <w:top w:val="single" w:color="auto" w:sz="2" w:space="0"/>
              <w:right w:val="single" w:color="auto" w:sz="2" w:space="0"/>
            </w:tcBorders>
            <w:vAlign w:val="center"/>
          </w:tcPr>
          <w:p w14:paraId="75AED6F8">
            <w:pPr>
              <w:snapToGrid w:val="0"/>
              <w:spacing w:line="300" w:lineRule="exact"/>
              <w:jc w:val="center"/>
              <w:rPr>
                <w:color w:val="auto"/>
                <w:szCs w:val="21"/>
                <w:highlight w:val="none"/>
              </w:rPr>
            </w:pPr>
            <w:r>
              <w:rPr>
                <w:color w:val="auto"/>
                <w:szCs w:val="21"/>
                <w:highlight w:val="none"/>
              </w:rPr>
              <w:t>法定代表人</w:t>
            </w:r>
          </w:p>
          <w:p w14:paraId="0FEF3C33">
            <w:pPr>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tcBorders>
              <w:top w:val="single" w:color="auto" w:sz="2" w:space="0"/>
              <w:left w:val="single" w:color="auto" w:sz="2" w:space="0"/>
              <w:right w:val="single" w:color="auto" w:sz="2" w:space="0"/>
            </w:tcBorders>
            <w:vAlign w:val="center"/>
          </w:tcPr>
          <w:p w14:paraId="2CDA871C">
            <w:pPr>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143C9B67">
            <w:pPr>
              <w:snapToGrid w:val="0"/>
              <w:spacing w:line="300" w:lineRule="exact"/>
              <w:jc w:val="center"/>
              <w:rPr>
                <w:color w:val="auto"/>
                <w:szCs w:val="21"/>
                <w:highlight w:val="none"/>
              </w:rPr>
            </w:pPr>
            <w:r>
              <w:rPr>
                <w:color w:val="auto"/>
                <w:szCs w:val="21"/>
                <w:highlight w:val="none"/>
              </w:rPr>
              <w:t>法定代表人</w:t>
            </w:r>
          </w:p>
          <w:p w14:paraId="65972C22">
            <w:pPr>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09E65247">
            <w:pPr>
              <w:snapToGrid w:val="0"/>
              <w:spacing w:line="300" w:lineRule="exact"/>
              <w:jc w:val="center"/>
              <w:rPr>
                <w:color w:val="auto"/>
                <w:szCs w:val="21"/>
                <w:highlight w:val="none"/>
              </w:rPr>
            </w:pPr>
          </w:p>
        </w:tc>
      </w:tr>
      <w:tr w14:paraId="00889A28">
        <w:trPr>
          <w:trHeight w:val="483" w:hRule="atLeast"/>
        </w:trPr>
        <w:tc>
          <w:tcPr>
            <w:tcW w:w="1891" w:type="dxa"/>
            <w:tcBorders>
              <w:bottom w:val="single" w:color="auto" w:sz="2" w:space="0"/>
              <w:right w:val="single" w:color="auto" w:sz="2" w:space="0"/>
            </w:tcBorders>
            <w:vAlign w:val="center"/>
          </w:tcPr>
          <w:p w14:paraId="09A7C3A6">
            <w:pPr>
              <w:snapToGrid w:val="0"/>
              <w:spacing w:line="300" w:lineRule="exact"/>
              <w:jc w:val="center"/>
              <w:rPr>
                <w:color w:val="auto"/>
                <w:szCs w:val="21"/>
                <w:highlight w:val="none"/>
              </w:rPr>
            </w:pPr>
            <w:r>
              <w:rPr>
                <w:rFonts w:hint="eastAsia"/>
                <w:color w:val="auto"/>
                <w:szCs w:val="21"/>
                <w:highlight w:val="none"/>
              </w:rPr>
              <w:t>拥有者性别</w:t>
            </w:r>
          </w:p>
        </w:tc>
        <w:tc>
          <w:tcPr>
            <w:tcW w:w="2412" w:type="dxa"/>
            <w:tcBorders>
              <w:left w:val="single" w:color="auto" w:sz="2" w:space="0"/>
              <w:bottom w:val="single" w:color="auto" w:sz="2" w:space="0"/>
              <w:right w:val="single" w:color="auto" w:sz="2" w:space="0"/>
            </w:tcBorders>
            <w:vAlign w:val="center"/>
          </w:tcPr>
          <w:p w14:paraId="7105AF4E">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2672266">
            <w:pPr>
              <w:snapToGrid w:val="0"/>
              <w:spacing w:line="300" w:lineRule="exact"/>
              <w:jc w:val="center"/>
              <w:rPr>
                <w:color w:val="auto"/>
                <w:szCs w:val="21"/>
                <w:highlight w:val="none"/>
              </w:rPr>
            </w:pPr>
            <w:r>
              <w:rPr>
                <w:rFonts w:hint="eastAsia"/>
                <w:color w:val="auto"/>
                <w:szCs w:val="21"/>
                <w:highlight w:val="none"/>
              </w:rPr>
              <w:t>拥有者性别</w:t>
            </w:r>
          </w:p>
        </w:tc>
        <w:tc>
          <w:tcPr>
            <w:tcW w:w="2116" w:type="dxa"/>
            <w:tcBorders>
              <w:top w:val="single" w:color="auto" w:sz="2" w:space="0"/>
              <w:left w:val="single" w:color="auto" w:sz="2" w:space="0"/>
              <w:bottom w:val="single" w:color="auto" w:sz="2" w:space="0"/>
            </w:tcBorders>
            <w:vAlign w:val="center"/>
          </w:tcPr>
          <w:p w14:paraId="3A93745D">
            <w:pPr>
              <w:snapToGrid w:val="0"/>
              <w:spacing w:line="300" w:lineRule="exact"/>
              <w:jc w:val="center"/>
              <w:rPr>
                <w:color w:val="auto"/>
                <w:spacing w:val="20"/>
                <w:szCs w:val="21"/>
                <w:highlight w:val="none"/>
              </w:rPr>
            </w:pPr>
          </w:p>
        </w:tc>
      </w:tr>
      <w:tr w14:paraId="32E44665">
        <w:trPr>
          <w:trHeight w:val="483" w:hRule="atLeast"/>
        </w:trPr>
        <w:tc>
          <w:tcPr>
            <w:tcW w:w="1891" w:type="dxa"/>
            <w:tcBorders>
              <w:top w:val="single" w:color="auto" w:sz="2" w:space="0"/>
              <w:bottom w:val="single" w:color="auto" w:sz="2" w:space="0"/>
              <w:right w:val="single" w:color="auto" w:sz="2" w:space="0"/>
            </w:tcBorders>
            <w:vAlign w:val="center"/>
          </w:tcPr>
          <w:p w14:paraId="5ED367D3">
            <w:pPr>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1F0C00B7">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3847645">
            <w:pPr>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438690B8">
            <w:pPr>
              <w:snapToGrid w:val="0"/>
              <w:spacing w:line="300" w:lineRule="exact"/>
              <w:jc w:val="center"/>
              <w:rPr>
                <w:color w:val="auto"/>
                <w:spacing w:val="20"/>
                <w:szCs w:val="21"/>
                <w:highlight w:val="none"/>
              </w:rPr>
            </w:pPr>
          </w:p>
        </w:tc>
      </w:tr>
      <w:tr w14:paraId="6C4E0FEE">
        <w:trPr>
          <w:trHeight w:val="483" w:hRule="atLeast"/>
        </w:trPr>
        <w:tc>
          <w:tcPr>
            <w:tcW w:w="1891" w:type="dxa"/>
            <w:tcBorders>
              <w:top w:val="single" w:color="auto" w:sz="2" w:space="0"/>
              <w:bottom w:val="single" w:color="auto" w:sz="2" w:space="0"/>
              <w:right w:val="single" w:color="auto" w:sz="2" w:space="0"/>
            </w:tcBorders>
            <w:vAlign w:val="center"/>
          </w:tcPr>
          <w:p w14:paraId="13BF959F">
            <w:pPr>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73D2350F">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B919208">
            <w:pPr>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1C9BF066">
            <w:pPr>
              <w:snapToGrid w:val="0"/>
              <w:spacing w:line="300" w:lineRule="exact"/>
              <w:jc w:val="center"/>
              <w:rPr>
                <w:color w:val="auto"/>
                <w:spacing w:val="20"/>
                <w:szCs w:val="21"/>
                <w:highlight w:val="none"/>
              </w:rPr>
            </w:pPr>
          </w:p>
        </w:tc>
      </w:tr>
      <w:tr w14:paraId="2A84D97E">
        <w:trPr>
          <w:trHeight w:val="483" w:hRule="atLeast"/>
        </w:trPr>
        <w:tc>
          <w:tcPr>
            <w:tcW w:w="1891" w:type="dxa"/>
            <w:tcBorders>
              <w:top w:val="single" w:color="auto" w:sz="2" w:space="0"/>
              <w:bottom w:val="single" w:color="auto" w:sz="2" w:space="0"/>
              <w:right w:val="single" w:color="auto" w:sz="2" w:space="0"/>
            </w:tcBorders>
            <w:vAlign w:val="center"/>
          </w:tcPr>
          <w:p w14:paraId="6C1814AE">
            <w:pPr>
              <w:snapToGrid w:val="0"/>
              <w:spacing w:line="300" w:lineRule="exact"/>
              <w:jc w:val="center"/>
              <w:rPr>
                <w:color w:val="auto"/>
                <w:szCs w:val="21"/>
                <w:highlight w:val="none"/>
              </w:rPr>
            </w:pPr>
            <w:r>
              <w:rPr>
                <w:rFonts w:hint="eastAsia"/>
                <w:color w:val="auto"/>
                <w:szCs w:val="21"/>
                <w:highlight w:val="none"/>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6B397C6B">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38FB933">
            <w:pPr>
              <w:snapToGrid w:val="0"/>
              <w:spacing w:line="300" w:lineRule="exact"/>
              <w:jc w:val="center"/>
              <w:rPr>
                <w:color w:val="auto"/>
                <w:szCs w:val="21"/>
                <w:highlight w:val="none"/>
              </w:rPr>
            </w:pPr>
            <w:r>
              <w:rPr>
                <w:rFonts w:hint="eastAsia"/>
                <w:color w:val="auto"/>
                <w:szCs w:val="21"/>
                <w:highlight w:val="none"/>
              </w:rPr>
              <w:t>通信地址</w:t>
            </w:r>
          </w:p>
        </w:tc>
        <w:tc>
          <w:tcPr>
            <w:tcW w:w="2116" w:type="dxa"/>
            <w:tcBorders>
              <w:top w:val="single" w:color="auto" w:sz="2" w:space="0"/>
              <w:left w:val="single" w:color="auto" w:sz="2" w:space="0"/>
              <w:bottom w:val="single" w:color="auto" w:sz="2" w:space="0"/>
            </w:tcBorders>
            <w:vAlign w:val="center"/>
          </w:tcPr>
          <w:p w14:paraId="2151FC77">
            <w:pPr>
              <w:snapToGrid w:val="0"/>
              <w:spacing w:line="300" w:lineRule="exact"/>
              <w:jc w:val="center"/>
              <w:rPr>
                <w:color w:val="auto"/>
                <w:spacing w:val="20"/>
                <w:szCs w:val="21"/>
                <w:highlight w:val="none"/>
              </w:rPr>
            </w:pPr>
          </w:p>
        </w:tc>
      </w:tr>
      <w:tr w14:paraId="795EDDD4">
        <w:trPr>
          <w:trHeight w:val="483" w:hRule="atLeast"/>
        </w:trPr>
        <w:tc>
          <w:tcPr>
            <w:tcW w:w="1891" w:type="dxa"/>
            <w:tcBorders>
              <w:top w:val="single" w:color="auto" w:sz="2" w:space="0"/>
              <w:bottom w:val="single" w:color="auto" w:sz="2" w:space="0"/>
              <w:right w:val="single" w:color="auto" w:sz="2" w:space="0"/>
            </w:tcBorders>
            <w:vAlign w:val="center"/>
          </w:tcPr>
          <w:p w14:paraId="4DAE0F63">
            <w:pPr>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07D22E6D">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0EA5318">
            <w:pPr>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2C6D60D7">
            <w:pPr>
              <w:snapToGrid w:val="0"/>
              <w:spacing w:line="300" w:lineRule="exact"/>
              <w:jc w:val="center"/>
              <w:rPr>
                <w:color w:val="auto"/>
                <w:spacing w:val="20"/>
                <w:szCs w:val="21"/>
                <w:highlight w:val="none"/>
              </w:rPr>
            </w:pPr>
          </w:p>
        </w:tc>
      </w:tr>
      <w:tr w14:paraId="019C4721">
        <w:trPr>
          <w:trHeight w:val="483" w:hRule="atLeast"/>
        </w:trPr>
        <w:tc>
          <w:tcPr>
            <w:tcW w:w="1891" w:type="dxa"/>
            <w:tcBorders>
              <w:top w:val="single" w:color="auto" w:sz="2" w:space="0"/>
              <w:bottom w:val="single" w:color="auto" w:sz="2" w:space="0"/>
              <w:right w:val="single" w:color="auto" w:sz="2" w:space="0"/>
            </w:tcBorders>
            <w:vAlign w:val="center"/>
          </w:tcPr>
          <w:p w14:paraId="755B5DB2">
            <w:pPr>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7FB117EE">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5DF3000">
            <w:pPr>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64CF93ED">
            <w:pPr>
              <w:snapToGrid w:val="0"/>
              <w:spacing w:line="300" w:lineRule="exact"/>
              <w:jc w:val="center"/>
              <w:rPr>
                <w:color w:val="auto"/>
                <w:spacing w:val="20"/>
                <w:szCs w:val="21"/>
                <w:highlight w:val="none"/>
              </w:rPr>
            </w:pPr>
          </w:p>
        </w:tc>
      </w:tr>
      <w:tr w14:paraId="7EEE28DB">
        <w:trPr>
          <w:trHeight w:val="483" w:hRule="atLeast"/>
        </w:trPr>
        <w:tc>
          <w:tcPr>
            <w:tcW w:w="1891" w:type="dxa"/>
            <w:tcBorders>
              <w:top w:val="single" w:color="auto" w:sz="2" w:space="0"/>
              <w:bottom w:val="single" w:color="auto" w:sz="2" w:space="0"/>
              <w:right w:val="single" w:color="auto" w:sz="2" w:space="0"/>
            </w:tcBorders>
            <w:vAlign w:val="center"/>
          </w:tcPr>
          <w:p w14:paraId="34B87C01">
            <w:pPr>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595ED2C9">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E9B55CB">
            <w:pPr>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0A17FE78">
            <w:pPr>
              <w:snapToGrid w:val="0"/>
              <w:spacing w:line="300" w:lineRule="exact"/>
              <w:jc w:val="center"/>
              <w:rPr>
                <w:color w:val="auto"/>
                <w:spacing w:val="20"/>
                <w:szCs w:val="21"/>
                <w:highlight w:val="none"/>
              </w:rPr>
            </w:pPr>
          </w:p>
        </w:tc>
      </w:tr>
      <w:tr w14:paraId="0CB8BEAD">
        <w:trPr>
          <w:trHeight w:val="483" w:hRule="atLeast"/>
        </w:trPr>
        <w:tc>
          <w:tcPr>
            <w:tcW w:w="1891" w:type="dxa"/>
            <w:tcBorders>
              <w:top w:val="single" w:color="auto" w:sz="2" w:space="0"/>
              <w:bottom w:val="single" w:color="auto" w:sz="2" w:space="0"/>
              <w:right w:val="single" w:color="auto" w:sz="2" w:space="0"/>
            </w:tcBorders>
            <w:vAlign w:val="center"/>
          </w:tcPr>
          <w:p w14:paraId="284219D1">
            <w:pPr>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5F1A0ED3">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9A19C4F">
            <w:pPr>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510B078E">
            <w:pPr>
              <w:snapToGrid w:val="0"/>
              <w:spacing w:line="300" w:lineRule="exact"/>
              <w:jc w:val="center"/>
              <w:rPr>
                <w:color w:val="auto"/>
                <w:spacing w:val="20"/>
                <w:szCs w:val="21"/>
                <w:highlight w:val="none"/>
              </w:rPr>
            </w:pPr>
          </w:p>
        </w:tc>
      </w:tr>
      <w:tr w14:paraId="4445FB25">
        <w:trPr>
          <w:trHeight w:val="483" w:hRule="atLeast"/>
        </w:trPr>
        <w:tc>
          <w:tcPr>
            <w:tcW w:w="1891" w:type="dxa"/>
            <w:tcBorders>
              <w:top w:val="single" w:color="auto" w:sz="2" w:space="0"/>
              <w:bottom w:val="single" w:color="auto" w:sz="2" w:space="0"/>
              <w:right w:val="single" w:color="auto" w:sz="2" w:space="0"/>
            </w:tcBorders>
            <w:vAlign w:val="center"/>
          </w:tcPr>
          <w:p w14:paraId="491F82F1">
            <w:pPr>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17076FE1">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650BBE8">
            <w:pPr>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30E5B6FC">
            <w:pPr>
              <w:snapToGrid w:val="0"/>
              <w:spacing w:line="300" w:lineRule="exact"/>
              <w:jc w:val="center"/>
              <w:rPr>
                <w:color w:val="auto"/>
                <w:spacing w:val="20"/>
                <w:szCs w:val="21"/>
                <w:highlight w:val="none"/>
              </w:rPr>
            </w:pPr>
          </w:p>
        </w:tc>
      </w:tr>
      <w:tr w14:paraId="00F67026">
        <w:trPr>
          <w:trHeight w:val="483" w:hRule="atLeast"/>
        </w:trPr>
        <w:tc>
          <w:tcPr>
            <w:tcW w:w="1891" w:type="dxa"/>
            <w:tcBorders>
              <w:top w:val="single" w:color="auto" w:sz="2" w:space="0"/>
              <w:bottom w:val="single" w:color="auto" w:sz="2" w:space="0"/>
              <w:right w:val="single" w:color="auto" w:sz="2" w:space="0"/>
            </w:tcBorders>
            <w:vAlign w:val="center"/>
          </w:tcPr>
          <w:p w14:paraId="06194CD1">
            <w:pPr>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53F40974">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48BDCD0">
            <w:pPr>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557A6246">
            <w:pPr>
              <w:snapToGrid w:val="0"/>
              <w:spacing w:line="300" w:lineRule="exact"/>
              <w:jc w:val="center"/>
              <w:rPr>
                <w:color w:val="auto"/>
                <w:spacing w:val="20"/>
                <w:szCs w:val="21"/>
                <w:highlight w:val="none"/>
              </w:rPr>
            </w:pPr>
          </w:p>
        </w:tc>
      </w:tr>
      <w:tr w14:paraId="0D23652D">
        <w:trPr>
          <w:trHeight w:val="586" w:hRule="atLeast"/>
        </w:trPr>
        <w:tc>
          <w:tcPr>
            <w:tcW w:w="8398" w:type="dxa"/>
            <w:gridSpan w:val="4"/>
            <w:tcBorders>
              <w:top w:val="single" w:color="auto" w:sz="2" w:space="0"/>
            </w:tcBorders>
            <w:vAlign w:val="center"/>
          </w:tcPr>
          <w:p w14:paraId="56F6BA5F">
            <w:pPr>
              <w:pStyle w:val="24"/>
              <w:snapToGrid w:val="0"/>
              <w:spacing w:before="120" w:beforeLines="50" w:line="360" w:lineRule="auto"/>
              <w:jc w:val="left"/>
              <w:rPr>
                <w:rFonts w:hint="eastAsia"/>
                <w:color w:val="auto"/>
                <w:spacing w:val="20"/>
                <w:szCs w:val="21"/>
                <w:highlight w:val="none"/>
              </w:rPr>
            </w:pPr>
            <w:r>
              <w:rPr>
                <w:rFonts w:hint="eastAsia"/>
                <w:color w:val="auto"/>
                <w:szCs w:val="21"/>
                <w:highlight w:val="none"/>
              </w:rPr>
              <w:t>注：涉及联合体或其他合同主体的信息应按上表格式加列。</w:t>
            </w:r>
          </w:p>
        </w:tc>
      </w:tr>
    </w:tbl>
    <w:p w14:paraId="44308D66">
      <w:pPr>
        <w:rPr>
          <w:rFonts w:hint="eastAsia" w:ascii="宋体" w:hAnsi="宋体"/>
          <w:color w:val="auto"/>
          <w:szCs w:val="21"/>
          <w:highlight w:val="none"/>
          <w:u w:val="single"/>
        </w:rPr>
      </w:pPr>
      <w:r>
        <w:rPr>
          <w:rFonts w:ascii="宋体" w:hAnsi="宋体"/>
          <w:color w:val="auto"/>
          <w:szCs w:val="21"/>
          <w:highlight w:val="none"/>
          <w:u w:val="single"/>
        </w:rPr>
        <w:br w:type="page"/>
      </w:r>
    </w:p>
    <w:p w14:paraId="3118C13F">
      <w:pPr>
        <w:pStyle w:val="23"/>
        <w:rPr>
          <w:color w:val="auto"/>
          <w:highlight w:val="none"/>
        </w:rPr>
      </w:pPr>
    </w:p>
    <w:p w14:paraId="6E17C96E">
      <w:pPr>
        <w:spacing w:line="360" w:lineRule="auto"/>
        <w:ind w:left="720" w:firstLine="723" w:firstLineChars="200"/>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 xml:space="preserve">第六部分 </w:t>
      </w:r>
      <w:bookmarkEnd w:id="392"/>
      <w:r>
        <w:rPr>
          <w:rFonts w:hint="eastAsia" w:ascii="宋体" w:hAnsi="宋体" w:cs="宋体"/>
          <w:b/>
          <w:color w:val="auto"/>
          <w:sz w:val="36"/>
          <w:szCs w:val="20"/>
          <w:highlight w:val="none"/>
        </w:rPr>
        <w:t>应提交的有关格式范例</w:t>
      </w:r>
    </w:p>
    <w:p w14:paraId="022942AC">
      <w:pPr>
        <w:spacing w:line="360" w:lineRule="auto"/>
        <w:jc w:val="center"/>
        <w:outlineLvl w:val="0"/>
        <w:rPr>
          <w:rFonts w:hint="eastAsia" w:ascii="宋体" w:hAnsi="宋体" w:cs="宋体"/>
          <w:b/>
          <w:color w:val="auto"/>
          <w:kern w:val="0"/>
          <w:sz w:val="36"/>
          <w:szCs w:val="36"/>
          <w:highlight w:val="none"/>
        </w:rPr>
      </w:pPr>
    </w:p>
    <w:p w14:paraId="0BAB450E">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8962071">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9597811">
      <w:pPr>
        <w:spacing w:line="360" w:lineRule="auto"/>
        <w:jc w:val="center"/>
        <w:outlineLvl w:val="0"/>
        <w:rPr>
          <w:rFonts w:hint="eastAsia" w:ascii="宋体" w:hAnsi="宋体" w:cs="宋体"/>
          <w:b/>
          <w:color w:val="auto"/>
          <w:kern w:val="0"/>
          <w:sz w:val="36"/>
          <w:szCs w:val="36"/>
          <w:highlight w:val="none"/>
        </w:rPr>
      </w:pPr>
    </w:p>
    <w:p w14:paraId="14C28AD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621B259">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3F747D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FDB2E2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37B4689">
      <w:pPr>
        <w:snapToGrid w:val="0"/>
        <w:spacing w:line="360" w:lineRule="auto"/>
        <w:ind w:firstLine="480" w:firstLineChars="200"/>
        <w:rPr>
          <w:rFonts w:hint="eastAsia" w:ascii="宋体" w:hAnsi="宋体" w:cs="宋体"/>
          <w:color w:val="auto"/>
          <w:sz w:val="24"/>
          <w:highlight w:val="none"/>
        </w:rPr>
      </w:pPr>
    </w:p>
    <w:p w14:paraId="461640C6">
      <w:pPr>
        <w:spacing w:line="360" w:lineRule="auto"/>
        <w:ind w:firstLine="480" w:firstLineChars="200"/>
        <w:rPr>
          <w:rFonts w:hint="eastAsia" w:ascii="宋体" w:hAnsi="宋体" w:cs="宋体"/>
          <w:color w:val="auto"/>
          <w:sz w:val="24"/>
          <w:highlight w:val="none"/>
        </w:rPr>
      </w:pPr>
    </w:p>
    <w:p w14:paraId="5638D115">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937EAF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浙江省公路与运输管理中心</w:t>
      </w:r>
      <w:r>
        <w:rPr>
          <w:rFonts w:hint="eastAsia" w:ascii="宋体" w:hAnsi="宋体" w:cs="宋体"/>
          <w:color w:val="auto"/>
          <w:sz w:val="24"/>
          <w:highlight w:val="none"/>
        </w:rPr>
        <w:t>、浙江华耀建设咨询有限公司：</w:t>
      </w:r>
    </w:p>
    <w:p w14:paraId="6311393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城乡公交客运片区组团融合发展“缩小三大差距”促进共同富裕成效评估</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ZJHY-SGLYSZX-202509</w:t>
      </w:r>
      <w:r>
        <w:rPr>
          <w:rFonts w:hint="eastAsia" w:ascii="宋体" w:hAnsi="宋体" w:cs="宋体"/>
          <w:color w:val="auto"/>
          <w:sz w:val="24"/>
          <w:highlight w:val="none"/>
        </w:rPr>
        <w:t>】政府采购活动，郑重承诺：</w:t>
      </w:r>
    </w:p>
    <w:p w14:paraId="2D97F450">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806222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035BBE8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288DE6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4C1BF1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06CE0B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6B436B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F98852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B42263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44D49C4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2250AB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177A4F9">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3F1E84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4CCD1E0">
      <w:pPr>
        <w:widowControl/>
        <w:spacing w:line="360" w:lineRule="auto"/>
        <w:ind w:firstLine="643" w:firstLineChars="200"/>
        <w:jc w:val="center"/>
        <w:rPr>
          <w:rFonts w:hint="eastAsia" w:ascii="宋体" w:hAnsi="宋体" w:cs="宋体"/>
          <w:b/>
          <w:color w:val="auto"/>
          <w:kern w:val="0"/>
          <w:sz w:val="32"/>
          <w:szCs w:val="32"/>
          <w:highlight w:val="none"/>
        </w:rPr>
      </w:pPr>
    </w:p>
    <w:p w14:paraId="44F605BE">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5415C26">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70C5B16">
      <w:pPr>
        <w:snapToGrid w:val="0"/>
        <w:spacing w:line="360" w:lineRule="auto"/>
        <w:ind w:right="480"/>
        <w:jc w:val="center"/>
        <w:rPr>
          <w:rFonts w:hint="eastAsia" w:ascii="宋体" w:hAnsi="宋体" w:cs="宋体"/>
          <w:b/>
          <w:color w:val="auto"/>
          <w:kern w:val="0"/>
          <w:sz w:val="32"/>
          <w:szCs w:val="32"/>
          <w:highlight w:val="none"/>
        </w:rPr>
      </w:pPr>
    </w:p>
    <w:p w14:paraId="6D4CB8F8">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E50097F">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AEB8273">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0DD6BE9E">
      <w:pPr>
        <w:widowControl/>
        <w:spacing w:line="360" w:lineRule="auto"/>
        <w:ind w:firstLine="480"/>
        <w:jc w:val="left"/>
        <w:rPr>
          <w:rFonts w:hint="eastAsia" w:ascii="宋体" w:hAnsi="宋体" w:cs="宋体"/>
          <w:color w:val="auto"/>
          <w:sz w:val="24"/>
          <w:highlight w:val="none"/>
        </w:rPr>
      </w:pPr>
    </w:p>
    <w:p w14:paraId="2369CB28">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86F9EAD">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08CD1385">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F4E3783">
      <w:pPr>
        <w:widowControl/>
        <w:spacing w:line="360" w:lineRule="auto"/>
        <w:ind w:left="150"/>
        <w:jc w:val="center"/>
        <w:rPr>
          <w:rFonts w:hint="eastAsia" w:ascii="宋体" w:hAnsi="宋体" w:cs="宋体"/>
          <w:b/>
          <w:color w:val="auto"/>
          <w:kern w:val="0"/>
          <w:sz w:val="32"/>
          <w:szCs w:val="32"/>
          <w:highlight w:val="none"/>
        </w:rPr>
      </w:pPr>
    </w:p>
    <w:p w14:paraId="63447C2B">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5D931B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4B8BDF6">
      <w:pPr>
        <w:rPr>
          <w:rFonts w:hint="eastAsia" w:ascii="宋体" w:hAnsi="宋体" w:cs="宋体"/>
          <w:color w:val="auto"/>
          <w:highlight w:val="none"/>
        </w:rPr>
      </w:pPr>
    </w:p>
    <w:p w14:paraId="2D6ADF24">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C1B461B">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17138DC">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8C64646">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D2A79F8">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32174E8">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3DA0825">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8CA83B9">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C0222ED">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8F50E62">
      <w:pPr>
        <w:snapToGrid w:val="0"/>
        <w:spacing w:line="360" w:lineRule="auto"/>
        <w:ind w:firstLine="3855" w:firstLineChars="1200"/>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387525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浙江省公路与运输管理中心</w:t>
      </w:r>
      <w:r>
        <w:rPr>
          <w:rFonts w:hint="eastAsia" w:ascii="宋体" w:hAnsi="宋体" w:cs="宋体"/>
          <w:color w:val="auto"/>
          <w:sz w:val="24"/>
          <w:highlight w:val="none"/>
        </w:rPr>
        <w:t>、浙江华耀建设咨询有限公司：</w:t>
      </w:r>
    </w:p>
    <w:p w14:paraId="7EA4891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城乡公交客运片区组团融合发展“缩小三大差距”促进共同富裕成效评估</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ZJHY-SGLYSZX-202509</w:t>
      </w:r>
      <w:r>
        <w:rPr>
          <w:rFonts w:hint="eastAsia" w:ascii="宋体" w:hAnsi="宋体" w:cs="宋体"/>
          <w:color w:val="auto"/>
          <w:sz w:val="24"/>
          <w:highlight w:val="none"/>
        </w:rPr>
        <w:t>】招标的有关活动，并对此项目进行投标。为此：</w:t>
      </w:r>
    </w:p>
    <w:p w14:paraId="363B112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84CA07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682A58A8">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42E9113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5584912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2013911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94F7ED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F2D6965">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EC5D0E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FB3A42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966B2B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1AC420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445C65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DD5064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F3829B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FF8E74">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7C104E0">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0B5718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6BA265FE">
      <w:pPr>
        <w:snapToGrid w:val="0"/>
        <w:spacing w:line="360" w:lineRule="auto"/>
        <w:ind w:left="420" w:leftChars="20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p>
    <w:p w14:paraId="5B0D1A3B">
      <w:pPr>
        <w:snapToGrid w:val="0"/>
        <w:spacing w:line="360" w:lineRule="auto"/>
        <w:ind w:left="420" w:leftChars="200" w:firstLine="480" w:firstLineChars="200"/>
        <w:rPr>
          <w:rFonts w:hint="eastAsia" w:ascii="Times New Roman" w:hAnsi="仿宋_GB2312" w:eastAsia="宋体" w:cs="仿宋_GB2312"/>
          <w:bCs/>
          <w:snapToGrid w:val="0"/>
          <w:color w:val="auto"/>
          <w:sz w:val="24"/>
          <w:highlight w:val="none"/>
        </w:rPr>
      </w:pPr>
      <w:r>
        <w:rPr>
          <w:rFonts w:hint="eastAsia" w:ascii="宋体" w:hAnsi="宋体" w:cs="宋体"/>
          <w:color w:val="auto"/>
          <w:sz w:val="24"/>
          <w:highlight w:val="none"/>
        </w:rPr>
        <w:t>2.3.3</w:t>
      </w:r>
      <w:r>
        <w:rPr>
          <w:rFonts w:hint="eastAsia" w:ascii="Times New Roman" w:hAnsi="仿宋_GB2312" w:eastAsia="宋体" w:cs="仿宋_GB2312"/>
          <w:bCs/>
          <w:snapToGrid w:val="0"/>
          <w:color w:val="auto"/>
          <w:sz w:val="24"/>
          <w:highlight w:val="none"/>
        </w:rPr>
        <w:t>中小企业声明函或属于监狱企业证明文件或残疾人福利性单位声明函（如果有）。</w:t>
      </w:r>
    </w:p>
    <w:p w14:paraId="08E07BE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2BBAE75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12CF206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DD2F09A">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DDCE82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36199E1">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C54468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1AF7F1C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8433DFC">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BBF2B0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4F62D656">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349DFAD1">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65DFA8C">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7BD6A79">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AFBD166">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26CAA820">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浙江省公路与运输管理中心</w:t>
      </w:r>
      <w:r>
        <w:rPr>
          <w:rFonts w:hint="eastAsia" w:ascii="宋体" w:hAnsi="宋体" w:cs="宋体"/>
          <w:color w:val="auto"/>
          <w:sz w:val="24"/>
          <w:highlight w:val="none"/>
        </w:rPr>
        <w:t>、浙江华耀建设咨询有限公司</w:t>
      </w:r>
      <w:r>
        <w:rPr>
          <w:rFonts w:hint="eastAsia" w:ascii="宋体" w:hAnsi="宋体" w:cs="宋体"/>
          <w:color w:val="auto"/>
          <w:kern w:val="0"/>
          <w:sz w:val="24"/>
          <w:highlight w:val="none"/>
          <w:lang w:val="zh-CN"/>
        </w:rPr>
        <w:t>：</w:t>
      </w:r>
    </w:p>
    <w:p w14:paraId="0332CE83">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城乡公交客运片区组团融合发展“缩小三大差距”促进共同富裕成效评估</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ZJHY-SGLYSZX-202509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9BAF56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日止。</w:t>
      </w:r>
    </w:p>
    <w:p w14:paraId="761DF93F">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ECA3E87">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0AFE440">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F105295">
      <w:pPr>
        <w:snapToGrid w:val="0"/>
        <w:spacing w:line="360" w:lineRule="auto"/>
        <w:rPr>
          <w:rFonts w:hint="eastAsia" w:ascii="宋体" w:hAnsi="宋体" w:cs="宋体"/>
          <w:color w:val="auto"/>
          <w:sz w:val="24"/>
          <w:highlight w:val="none"/>
        </w:rPr>
      </w:pPr>
    </w:p>
    <w:p w14:paraId="0924535A">
      <w:pPr>
        <w:snapToGrid w:val="0"/>
        <w:spacing w:line="360" w:lineRule="auto"/>
        <w:rPr>
          <w:rFonts w:hint="eastAsia" w:ascii="宋体" w:hAnsi="宋体" w:cs="宋体"/>
          <w:color w:val="auto"/>
          <w:sz w:val="24"/>
          <w:highlight w:val="none"/>
        </w:rPr>
      </w:pPr>
    </w:p>
    <w:p w14:paraId="32802EE1">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F7BD25C">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浙江省公路与运输管理中心</w:t>
      </w:r>
      <w:r>
        <w:rPr>
          <w:rFonts w:hint="eastAsia" w:ascii="宋体" w:hAnsi="宋体" w:cs="宋体"/>
          <w:color w:val="auto"/>
          <w:sz w:val="24"/>
          <w:highlight w:val="none"/>
        </w:rPr>
        <w:t>、浙江华耀建设咨询有限公司</w:t>
      </w:r>
      <w:r>
        <w:rPr>
          <w:rFonts w:hint="eastAsia" w:ascii="宋体" w:hAnsi="宋体" w:cs="宋体"/>
          <w:color w:val="auto"/>
          <w:kern w:val="0"/>
          <w:sz w:val="24"/>
          <w:highlight w:val="none"/>
          <w:lang w:val="zh-CN"/>
        </w:rPr>
        <w:t>：</w:t>
      </w:r>
    </w:p>
    <w:p w14:paraId="50718A7A">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城乡公交客运片区组团融合发展“缩小三大差距”促进共同富裕成效评估</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ZJHY-SGLYSZX-202509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62A7DC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lang w:val="en-US"/>
        </w:rPr>
        <w:t xml:space="preserve">    </w:t>
      </w:r>
      <w:r>
        <w:rPr>
          <w:rFonts w:hint="eastAsia" w:ascii="宋体" w:hAnsi="宋体" w:cs="宋体"/>
          <w:color w:val="auto"/>
          <w:kern w:val="0"/>
          <w:sz w:val="24"/>
          <w:highlight w:val="none"/>
          <w:lang w:val="zh-CN"/>
        </w:rPr>
        <w:t>日止。</w:t>
      </w:r>
    </w:p>
    <w:p w14:paraId="0A836AF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EC5F1D3">
      <w:pPr>
        <w:jc w:val="center"/>
        <w:rPr>
          <w:rFonts w:hint="eastAsia" w:ascii="宋体" w:hAnsi="宋体" w:cs="宋体"/>
          <w:b/>
          <w:color w:val="auto"/>
          <w:kern w:val="0"/>
          <w:sz w:val="32"/>
          <w:szCs w:val="32"/>
          <w:highlight w:val="none"/>
        </w:rPr>
      </w:pPr>
    </w:p>
    <w:p w14:paraId="1CB28848">
      <w:pPr>
        <w:jc w:val="center"/>
        <w:rPr>
          <w:rFonts w:hint="eastAsia" w:ascii="宋体" w:hAnsi="宋体" w:cs="宋体"/>
          <w:b/>
          <w:color w:val="auto"/>
          <w:kern w:val="0"/>
          <w:sz w:val="32"/>
          <w:szCs w:val="32"/>
          <w:highlight w:val="none"/>
        </w:rPr>
      </w:pPr>
    </w:p>
    <w:p w14:paraId="58613104">
      <w:pPr>
        <w:jc w:val="center"/>
        <w:rPr>
          <w:rFonts w:hint="eastAsia" w:ascii="宋体" w:hAnsi="宋体" w:cs="宋体"/>
          <w:b/>
          <w:color w:val="auto"/>
          <w:kern w:val="0"/>
          <w:sz w:val="32"/>
          <w:szCs w:val="32"/>
          <w:highlight w:val="none"/>
        </w:rPr>
      </w:pPr>
    </w:p>
    <w:p w14:paraId="32E8DFF6">
      <w:pPr>
        <w:rPr>
          <w:rFonts w:hint="eastAsia" w:ascii="宋体" w:hAnsi="宋体" w:cs="宋体"/>
          <w:color w:val="auto"/>
          <w:highlight w:val="none"/>
        </w:rPr>
      </w:pPr>
    </w:p>
    <w:p w14:paraId="1B6A3918">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F5A91F">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0CA7E60">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44C5087A">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1324DA9">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F9085B1">
      <w:pPr>
        <w:pStyle w:val="150"/>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B0CF62">
        <w:trPr>
          <w:trHeight w:val="4812" w:hRule="atLeast"/>
          <w:jc w:val="center"/>
        </w:trPr>
        <w:tc>
          <w:tcPr>
            <w:tcW w:w="9207" w:type="dxa"/>
          </w:tcPr>
          <w:p w14:paraId="3F51F214">
            <w:pPr>
              <w:pStyle w:val="150"/>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7D28414D">
            <w:pPr>
              <w:pStyle w:val="150"/>
              <w:adjustRightInd w:val="0"/>
              <w:spacing w:line="360" w:lineRule="auto"/>
              <w:rPr>
                <w:rFonts w:hint="eastAsia" w:hAnsi="宋体" w:cs="宋体"/>
                <w:bCs/>
                <w:color w:val="auto"/>
                <w:sz w:val="24"/>
                <w:highlight w:val="none"/>
              </w:rPr>
            </w:pPr>
          </w:p>
        </w:tc>
      </w:tr>
    </w:tbl>
    <w:p w14:paraId="41D6195C">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B34489D">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664EA9A">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6EBC63D">
      <w:pPr>
        <w:jc w:val="center"/>
        <w:rPr>
          <w:rFonts w:hint="eastAsia" w:ascii="宋体" w:hAnsi="宋体" w:cs="宋体"/>
          <w:b/>
          <w:color w:val="auto"/>
          <w:kern w:val="0"/>
          <w:sz w:val="32"/>
          <w:szCs w:val="32"/>
          <w:highlight w:val="none"/>
        </w:rPr>
      </w:pPr>
    </w:p>
    <w:p w14:paraId="0F0E8F47">
      <w:pPr>
        <w:snapToGrid w:val="0"/>
        <w:spacing w:line="360" w:lineRule="auto"/>
        <w:ind w:right="480"/>
        <w:rPr>
          <w:rFonts w:hint="eastAsia" w:ascii="宋体" w:hAnsi="宋体" w:cs="宋体"/>
          <w:b/>
          <w:color w:val="auto"/>
          <w:kern w:val="0"/>
          <w:sz w:val="32"/>
          <w:szCs w:val="32"/>
          <w:highlight w:val="none"/>
        </w:rPr>
        <w:sectPr>
          <w:footerReference r:id="rId9" w:type="first"/>
          <w:footerReference r:id="rId8" w:type="default"/>
          <w:pgSz w:w="11906" w:h="16838"/>
          <w:pgMar w:top="1276" w:right="1418" w:bottom="1247" w:left="1418" w:header="851" w:footer="992" w:gutter="0"/>
          <w:cols w:space="720" w:num="1"/>
          <w:titlePg/>
          <w:docGrid w:linePitch="312" w:charSpace="0"/>
        </w:sectPr>
      </w:pPr>
    </w:p>
    <w:p w14:paraId="12D28488">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48CA7AE">
      <w:pPr>
        <w:widowControl/>
        <w:spacing w:line="360" w:lineRule="auto"/>
        <w:ind w:firstLine="120" w:firstLineChars="50"/>
        <w:jc w:val="left"/>
        <w:rPr>
          <w:rFonts w:hint="eastAsia" w:ascii="宋体" w:hAnsi="宋体" w:cs="宋体"/>
          <w:color w:val="auto"/>
          <w:sz w:val="24"/>
          <w:highlight w:val="none"/>
        </w:rPr>
      </w:pPr>
      <w:bookmarkStart w:id="393"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393"/>
    <w:p w14:paraId="09ADD3C1">
      <w:pPr>
        <w:snapToGrid w:val="0"/>
        <w:spacing w:line="360" w:lineRule="auto"/>
        <w:rPr>
          <w:rFonts w:hint="eastAsia" w:ascii="宋体" w:hAnsi="宋体" w:cs="宋体"/>
          <w:color w:val="auto"/>
          <w:kern w:val="0"/>
          <w:sz w:val="24"/>
          <w:highlight w:val="none"/>
        </w:rPr>
      </w:pPr>
    </w:p>
    <w:p w14:paraId="31CABDFD">
      <w:pPr>
        <w:jc w:val="center"/>
        <w:rPr>
          <w:rFonts w:hint="eastAsia" w:ascii="宋体" w:hAnsi="宋体" w:cs="宋体"/>
          <w:b/>
          <w:color w:val="auto"/>
          <w:kern w:val="0"/>
          <w:sz w:val="32"/>
          <w:szCs w:val="32"/>
          <w:highlight w:val="none"/>
        </w:rPr>
      </w:pPr>
    </w:p>
    <w:p w14:paraId="47A59C0B">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8506F76">
      <w:p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1F0F4C3">
        <w:trPr>
          <w:trHeight w:val="882" w:hRule="atLeast"/>
        </w:trPr>
        <w:tc>
          <w:tcPr>
            <w:tcW w:w="646" w:type="dxa"/>
            <w:vAlign w:val="center"/>
          </w:tcPr>
          <w:p w14:paraId="6E4D7944">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1723C0E">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39DFA5C">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E713CD0">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2869013B">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037C8B18">
        <w:trPr>
          <w:trHeight w:val="860" w:hRule="atLeast"/>
        </w:trPr>
        <w:tc>
          <w:tcPr>
            <w:tcW w:w="646" w:type="dxa"/>
            <w:vAlign w:val="center"/>
          </w:tcPr>
          <w:p w14:paraId="10A8E6E6">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14:paraId="03C6AD4E">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E7470D0">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0FDFF90">
            <w:pPr>
              <w:rPr>
                <w:rFonts w:hint="eastAsia" w:ascii="宋体" w:hAnsi="宋体" w:cs="宋体"/>
                <w:color w:val="auto"/>
                <w:sz w:val="24"/>
                <w:highlight w:val="none"/>
              </w:rPr>
            </w:pPr>
          </w:p>
          <w:p w14:paraId="4CFC95AE">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4DE50F32">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0BC56FE">
        <w:trPr>
          <w:trHeight w:val="860" w:hRule="atLeast"/>
        </w:trPr>
        <w:tc>
          <w:tcPr>
            <w:tcW w:w="646" w:type="dxa"/>
            <w:vAlign w:val="center"/>
          </w:tcPr>
          <w:p w14:paraId="5BAE18B8">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14:paraId="00F3A5E2">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AB839A0">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5E8AA9E4">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85B6C41">
        <w:trPr>
          <w:trHeight w:val="860" w:hRule="atLeast"/>
        </w:trPr>
        <w:tc>
          <w:tcPr>
            <w:tcW w:w="646" w:type="dxa"/>
            <w:vAlign w:val="center"/>
          </w:tcPr>
          <w:p w14:paraId="617F63ED">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14:paraId="72499D68">
            <w:pPr>
              <w:snapToGrid w:val="0"/>
              <w:spacing w:line="360" w:lineRule="auto"/>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投标文件的组成应符合招标文件要求</w:t>
            </w:r>
          </w:p>
          <w:p w14:paraId="38D62A4E">
            <w:pPr>
              <w:spacing w:line="360" w:lineRule="auto"/>
              <w:rPr>
                <w:rFonts w:hint="eastAsia" w:ascii="宋体" w:hAnsi="宋体" w:cs="宋体"/>
                <w:color w:val="auto"/>
                <w:sz w:val="24"/>
                <w:highlight w:val="none"/>
              </w:rPr>
            </w:pPr>
          </w:p>
        </w:tc>
        <w:tc>
          <w:tcPr>
            <w:tcW w:w="2551" w:type="dxa"/>
            <w:vAlign w:val="center"/>
          </w:tcPr>
          <w:p w14:paraId="2D110A6B">
            <w:pPr>
              <w:rPr>
                <w:rFonts w:hint="eastAsia" w:ascii="宋体" w:hAnsi="宋体" w:cs="宋体"/>
                <w:color w:val="auto"/>
                <w:sz w:val="24"/>
                <w:highlight w:val="none"/>
              </w:rPr>
            </w:pPr>
            <w:r>
              <w:rPr>
                <w:rFonts w:hint="eastAsia" w:ascii="宋体" w:hAnsi="宋体" w:cs="宋体"/>
                <w:color w:val="auto"/>
                <w:sz w:val="24"/>
                <w:highlight w:val="none"/>
              </w:rPr>
              <w:t>投标文件</w:t>
            </w:r>
          </w:p>
        </w:tc>
        <w:tc>
          <w:tcPr>
            <w:tcW w:w="1418" w:type="dxa"/>
          </w:tcPr>
          <w:p w14:paraId="6A0E9B95">
            <w:pPr>
              <w:rPr>
                <w:rFonts w:hint="eastAsia" w:ascii="宋体" w:hAnsi="宋体" w:cs="宋体"/>
                <w:color w:val="auto"/>
                <w:highlight w:val="none"/>
              </w:rPr>
            </w:pPr>
            <w:r>
              <w:rPr>
                <w:rFonts w:hint="eastAsia" w:ascii="宋体" w:hAnsi="宋体" w:cs="宋体"/>
                <w:color w:val="auto"/>
                <w:sz w:val="24"/>
                <w:highlight w:val="none"/>
              </w:rPr>
              <w:t>/</w:t>
            </w:r>
          </w:p>
        </w:tc>
      </w:tr>
      <w:tr w14:paraId="19CAD855">
        <w:trPr>
          <w:trHeight w:val="860" w:hRule="atLeast"/>
        </w:trPr>
        <w:tc>
          <w:tcPr>
            <w:tcW w:w="646" w:type="dxa"/>
            <w:vAlign w:val="center"/>
          </w:tcPr>
          <w:p w14:paraId="75808F5F">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991" w:type="dxa"/>
          </w:tcPr>
          <w:p w14:paraId="1D3BC8C5">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256FCFB6">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7AEE62F6">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8A63319">
        <w:trPr>
          <w:trHeight w:val="860" w:hRule="atLeast"/>
        </w:trPr>
        <w:tc>
          <w:tcPr>
            <w:tcW w:w="646" w:type="dxa"/>
            <w:vAlign w:val="center"/>
          </w:tcPr>
          <w:p w14:paraId="7DA8D055">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991" w:type="dxa"/>
          </w:tcPr>
          <w:p w14:paraId="48907F36">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0C36AA8D">
            <w:pPr>
              <w:rPr>
                <w:rFonts w:hint="eastAsia" w:ascii="宋体" w:hAnsi="宋体" w:cs="宋体"/>
                <w:color w:val="auto"/>
                <w:sz w:val="24"/>
                <w:highlight w:val="none"/>
              </w:rPr>
            </w:pPr>
          </w:p>
        </w:tc>
        <w:tc>
          <w:tcPr>
            <w:tcW w:w="1418" w:type="dxa"/>
          </w:tcPr>
          <w:p w14:paraId="4661B979">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DF116EE">
        <w:trPr>
          <w:trHeight w:val="860" w:hRule="atLeast"/>
        </w:trPr>
        <w:tc>
          <w:tcPr>
            <w:tcW w:w="646" w:type="dxa"/>
            <w:vAlign w:val="center"/>
          </w:tcPr>
          <w:p w14:paraId="3A0E8016">
            <w:pPr>
              <w:jc w:val="center"/>
              <w:rPr>
                <w:rFonts w:hint="eastAsia" w:ascii="宋体" w:hAnsi="宋体" w:cs="宋体"/>
                <w:color w:val="auto"/>
                <w:sz w:val="24"/>
                <w:highlight w:val="none"/>
              </w:rPr>
            </w:pPr>
            <w:r>
              <w:rPr>
                <w:rFonts w:hint="eastAsia" w:ascii="宋体" w:hAnsi="宋体" w:cs="宋体"/>
                <w:color w:val="auto"/>
                <w:kern w:val="0"/>
                <w:sz w:val="24"/>
                <w:highlight w:val="none"/>
              </w:rPr>
              <w:t>……</w:t>
            </w:r>
          </w:p>
        </w:tc>
        <w:tc>
          <w:tcPr>
            <w:tcW w:w="4991" w:type="dxa"/>
          </w:tcPr>
          <w:p w14:paraId="15B629B5">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5003C883">
            <w:pPr>
              <w:rPr>
                <w:rFonts w:hint="eastAsia" w:ascii="宋体" w:hAnsi="宋体" w:cs="宋体"/>
                <w:color w:val="auto"/>
                <w:sz w:val="24"/>
                <w:highlight w:val="none"/>
              </w:rPr>
            </w:pPr>
          </w:p>
        </w:tc>
        <w:tc>
          <w:tcPr>
            <w:tcW w:w="1418" w:type="dxa"/>
          </w:tcPr>
          <w:p w14:paraId="5F981AF9">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EF885E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5BACE674">
      <w:pPr>
        <w:spacing w:line="360" w:lineRule="auto"/>
        <w:ind w:right="420"/>
        <w:rPr>
          <w:rFonts w:hint="eastAsia"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0E646B91">
      <w:pPr>
        <w:pStyle w:val="80"/>
        <w:rPr>
          <w:rFonts w:hint="eastAsia"/>
          <w:color w:val="auto"/>
          <w:highlight w:val="none"/>
        </w:rPr>
      </w:pPr>
    </w:p>
    <w:p w14:paraId="4BFA6522">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82E1F93">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40856449">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5111F37">
        <w:tc>
          <w:tcPr>
            <w:tcW w:w="774" w:type="dxa"/>
          </w:tcPr>
          <w:p w14:paraId="78F69D67">
            <w:pPr>
              <w:snapToGrid w:val="0"/>
              <w:spacing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14:paraId="16F59AF6">
            <w:pPr>
              <w:snapToGrid w:val="0"/>
              <w:spacing w:line="360" w:lineRule="auto"/>
              <w:jc w:val="center"/>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c>
          <w:tcPr>
            <w:tcW w:w="3046" w:type="dxa"/>
          </w:tcPr>
          <w:p w14:paraId="44A28135">
            <w:pPr>
              <w:snapToGrid w:val="0"/>
              <w:spacing w:line="240" w:lineRule="atLeast"/>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306CEB77">
        <w:tc>
          <w:tcPr>
            <w:tcW w:w="774" w:type="dxa"/>
          </w:tcPr>
          <w:p w14:paraId="02329F4C">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6070A15E">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XXX（预先填写）</w:t>
            </w:r>
          </w:p>
        </w:tc>
        <w:tc>
          <w:tcPr>
            <w:tcW w:w="3046" w:type="dxa"/>
          </w:tcPr>
          <w:p w14:paraId="32B4B1F7">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4F9657E5">
        <w:tc>
          <w:tcPr>
            <w:tcW w:w="774" w:type="dxa"/>
          </w:tcPr>
          <w:p w14:paraId="3B9979E8">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10F8A352">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009CA78B">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6EB5F38A">
        <w:tc>
          <w:tcPr>
            <w:tcW w:w="774" w:type="dxa"/>
          </w:tcPr>
          <w:p w14:paraId="3D01D591">
            <w:pPr>
              <w:snapToGrid w:val="0"/>
              <w:spacing w:line="360" w:lineRule="auto"/>
              <w:jc w:val="center"/>
              <w:rPr>
                <w:rFonts w:hint="eastAsia"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07CA012C">
            <w:pPr>
              <w:snapToGrid w:val="0"/>
              <w:spacing w:line="360" w:lineRule="auto"/>
              <w:jc w:val="center"/>
              <w:rPr>
                <w:rFonts w:hint="eastAsia" w:ascii="宋体" w:hAnsi="宋体" w:cs="宋体"/>
                <w:bCs/>
                <w:color w:val="auto"/>
                <w:sz w:val="24"/>
                <w:highlight w:val="none"/>
              </w:rPr>
            </w:pPr>
          </w:p>
        </w:tc>
        <w:tc>
          <w:tcPr>
            <w:tcW w:w="3046" w:type="dxa"/>
          </w:tcPr>
          <w:p w14:paraId="0A530D7F">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78B660F6">
      <w:pPr>
        <w:jc w:val="center"/>
        <w:rPr>
          <w:rFonts w:hint="eastAsia" w:ascii="宋体" w:hAnsi="宋体" w:cs="宋体"/>
          <w:b/>
          <w:color w:val="auto"/>
          <w:kern w:val="0"/>
          <w:sz w:val="32"/>
          <w:szCs w:val="32"/>
          <w:highlight w:val="none"/>
        </w:rPr>
      </w:pPr>
    </w:p>
    <w:p w14:paraId="66BCF369">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782CE80">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6F089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AEC4D6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6C81811">
            <w:pPr>
              <w:spacing w:line="360" w:lineRule="auto"/>
              <w:jc w:val="center"/>
              <w:rPr>
                <w:rFonts w:hint="eastAsia" w:ascii="宋体" w:hAnsi="宋体" w:cs="宋体"/>
                <w:b/>
                <w:color w:val="auto"/>
                <w:sz w:val="24"/>
                <w:highlight w:val="none"/>
              </w:rPr>
            </w:pPr>
          </w:p>
          <w:p w14:paraId="0D806D1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57210C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26AAE9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87604C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1944CF4B">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9D266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4A366D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523E4583">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374D8DA">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CBCE086">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DC7399C">
            <w:pPr>
              <w:spacing w:line="360" w:lineRule="auto"/>
              <w:jc w:val="center"/>
              <w:rPr>
                <w:rFonts w:hint="eastAsia" w:ascii="宋体" w:hAnsi="宋体" w:cs="宋体"/>
                <w:color w:val="auto"/>
                <w:sz w:val="24"/>
                <w:highlight w:val="none"/>
              </w:rPr>
            </w:pPr>
          </w:p>
        </w:tc>
      </w:tr>
      <w:tr w14:paraId="22533633">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3E5A1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D4D520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4BD35E08">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383C9F5">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4ECF7E9">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BCDE495">
            <w:pPr>
              <w:spacing w:line="360" w:lineRule="auto"/>
              <w:jc w:val="center"/>
              <w:rPr>
                <w:rFonts w:hint="eastAsia" w:ascii="宋体" w:hAnsi="宋体" w:cs="宋体"/>
                <w:color w:val="auto"/>
                <w:sz w:val="24"/>
                <w:highlight w:val="none"/>
              </w:rPr>
            </w:pPr>
          </w:p>
        </w:tc>
      </w:tr>
      <w:tr w14:paraId="0AA66787">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9CF2F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B1BB3D2">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96BC520">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12B1630">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35C084A">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9061A90">
            <w:pPr>
              <w:spacing w:line="360" w:lineRule="auto"/>
              <w:jc w:val="center"/>
              <w:rPr>
                <w:rFonts w:hint="eastAsia" w:ascii="宋体" w:hAnsi="宋体" w:cs="宋体"/>
                <w:color w:val="auto"/>
                <w:sz w:val="24"/>
                <w:highlight w:val="none"/>
              </w:rPr>
            </w:pPr>
          </w:p>
        </w:tc>
      </w:tr>
    </w:tbl>
    <w:p w14:paraId="0040D70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088DF72">
      <w:pPr>
        <w:jc w:val="center"/>
        <w:rPr>
          <w:rFonts w:hint="eastAsia" w:ascii="宋体" w:hAnsi="宋体" w:cs="宋体"/>
          <w:b/>
          <w:color w:val="auto"/>
          <w:kern w:val="0"/>
          <w:sz w:val="32"/>
          <w:szCs w:val="32"/>
          <w:highlight w:val="none"/>
        </w:rPr>
      </w:pPr>
    </w:p>
    <w:p w14:paraId="570DCB28">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220C9585">
        <w:tc>
          <w:tcPr>
            <w:tcW w:w="828" w:type="dxa"/>
          </w:tcPr>
          <w:p w14:paraId="513BAFDC">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4BAABC7E">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D2748B2">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5F9D5AF1">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c>
          <w:tcPr>
            <w:tcW w:w="1088" w:type="dxa"/>
          </w:tcPr>
          <w:p w14:paraId="366EC21F">
            <w:pPr>
              <w:jc w:val="center"/>
              <w:rPr>
                <w:rFonts w:hint="eastAsia" w:ascii="宋体" w:hAnsi="宋体" w:cs="宋体"/>
                <w:b/>
                <w:bCs/>
                <w:color w:val="auto"/>
                <w:sz w:val="24"/>
                <w:highlight w:val="none"/>
              </w:rPr>
            </w:pPr>
          </w:p>
        </w:tc>
      </w:tr>
      <w:tr w14:paraId="4DCA1E9E">
        <w:tc>
          <w:tcPr>
            <w:tcW w:w="828" w:type="dxa"/>
          </w:tcPr>
          <w:p w14:paraId="1ACA2894">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2A748A24">
            <w:pPr>
              <w:jc w:val="center"/>
              <w:rPr>
                <w:rFonts w:hint="eastAsia" w:ascii="宋体" w:hAnsi="宋体" w:cs="宋体"/>
                <w:b/>
                <w:color w:val="auto"/>
                <w:kern w:val="0"/>
                <w:sz w:val="32"/>
                <w:szCs w:val="32"/>
                <w:highlight w:val="none"/>
              </w:rPr>
            </w:pPr>
          </w:p>
        </w:tc>
        <w:tc>
          <w:tcPr>
            <w:tcW w:w="3062" w:type="dxa"/>
          </w:tcPr>
          <w:p w14:paraId="2174EA5C">
            <w:pPr>
              <w:jc w:val="center"/>
              <w:rPr>
                <w:rFonts w:hint="eastAsia" w:ascii="宋体" w:hAnsi="宋体" w:cs="宋体"/>
                <w:b/>
                <w:color w:val="auto"/>
                <w:kern w:val="0"/>
                <w:sz w:val="32"/>
                <w:szCs w:val="32"/>
                <w:highlight w:val="none"/>
              </w:rPr>
            </w:pPr>
          </w:p>
        </w:tc>
        <w:tc>
          <w:tcPr>
            <w:tcW w:w="1102" w:type="dxa"/>
          </w:tcPr>
          <w:p w14:paraId="3AC8360D">
            <w:pPr>
              <w:jc w:val="center"/>
              <w:rPr>
                <w:rFonts w:hint="eastAsia" w:ascii="宋体" w:hAnsi="宋体" w:cs="宋体"/>
                <w:b/>
                <w:color w:val="auto"/>
                <w:kern w:val="0"/>
                <w:sz w:val="32"/>
                <w:szCs w:val="32"/>
                <w:highlight w:val="none"/>
              </w:rPr>
            </w:pPr>
          </w:p>
        </w:tc>
        <w:tc>
          <w:tcPr>
            <w:tcW w:w="1088" w:type="dxa"/>
          </w:tcPr>
          <w:p w14:paraId="25E94AF8">
            <w:pPr>
              <w:jc w:val="center"/>
              <w:rPr>
                <w:rFonts w:hint="eastAsia" w:ascii="宋体" w:hAnsi="宋体" w:cs="宋体"/>
                <w:b/>
                <w:color w:val="auto"/>
                <w:kern w:val="0"/>
                <w:sz w:val="32"/>
                <w:szCs w:val="32"/>
                <w:highlight w:val="none"/>
              </w:rPr>
            </w:pPr>
          </w:p>
        </w:tc>
      </w:tr>
      <w:tr w14:paraId="323BBD82">
        <w:tc>
          <w:tcPr>
            <w:tcW w:w="828" w:type="dxa"/>
          </w:tcPr>
          <w:p w14:paraId="5426EE43">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2CACB2AC">
            <w:pPr>
              <w:jc w:val="center"/>
              <w:rPr>
                <w:rFonts w:hint="eastAsia" w:ascii="宋体" w:hAnsi="宋体" w:cs="宋体"/>
                <w:b/>
                <w:color w:val="auto"/>
                <w:kern w:val="0"/>
                <w:sz w:val="32"/>
                <w:szCs w:val="32"/>
                <w:highlight w:val="none"/>
              </w:rPr>
            </w:pPr>
          </w:p>
        </w:tc>
        <w:tc>
          <w:tcPr>
            <w:tcW w:w="3062" w:type="dxa"/>
          </w:tcPr>
          <w:p w14:paraId="5A4D5449">
            <w:pPr>
              <w:jc w:val="center"/>
              <w:rPr>
                <w:rFonts w:hint="eastAsia" w:ascii="宋体" w:hAnsi="宋体" w:cs="宋体"/>
                <w:b/>
                <w:color w:val="auto"/>
                <w:kern w:val="0"/>
                <w:sz w:val="32"/>
                <w:szCs w:val="32"/>
                <w:highlight w:val="none"/>
              </w:rPr>
            </w:pPr>
          </w:p>
        </w:tc>
        <w:tc>
          <w:tcPr>
            <w:tcW w:w="1102" w:type="dxa"/>
          </w:tcPr>
          <w:p w14:paraId="34899773">
            <w:pPr>
              <w:jc w:val="center"/>
              <w:rPr>
                <w:rFonts w:hint="eastAsia" w:ascii="宋体" w:hAnsi="宋体" w:cs="宋体"/>
                <w:b/>
                <w:color w:val="auto"/>
                <w:kern w:val="0"/>
                <w:sz w:val="32"/>
                <w:szCs w:val="32"/>
                <w:highlight w:val="none"/>
              </w:rPr>
            </w:pPr>
          </w:p>
        </w:tc>
        <w:tc>
          <w:tcPr>
            <w:tcW w:w="1088" w:type="dxa"/>
          </w:tcPr>
          <w:p w14:paraId="7CD9A7B6">
            <w:pPr>
              <w:jc w:val="center"/>
              <w:rPr>
                <w:rFonts w:hint="eastAsia" w:ascii="宋体" w:hAnsi="宋体" w:cs="宋体"/>
                <w:b/>
                <w:color w:val="auto"/>
                <w:kern w:val="0"/>
                <w:sz w:val="32"/>
                <w:szCs w:val="32"/>
                <w:highlight w:val="none"/>
              </w:rPr>
            </w:pPr>
          </w:p>
        </w:tc>
      </w:tr>
      <w:tr w14:paraId="43A51F4E">
        <w:tc>
          <w:tcPr>
            <w:tcW w:w="828" w:type="dxa"/>
          </w:tcPr>
          <w:p w14:paraId="709F473E">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7ACB699">
            <w:pPr>
              <w:jc w:val="center"/>
              <w:rPr>
                <w:rFonts w:hint="eastAsia" w:ascii="宋体" w:hAnsi="宋体" w:cs="宋体"/>
                <w:b/>
                <w:color w:val="auto"/>
                <w:kern w:val="0"/>
                <w:sz w:val="32"/>
                <w:szCs w:val="32"/>
                <w:highlight w:val="none"/>
              </w:rPr>
            </w:pPr>
          </w:p>
        </w:tc>
        <w:tc>
          <w:tcPr>
            <w:tcW w:w="3062" w:type="dxa"/>
          </w:tcPr>
          <w:p w14:paraId="6F1EB80D">
            <w:pPr>
              <w:jc w:val="center"/>
              <w:rPr>
                <w:rFonts w:hint="eastAsia" w:ascii="宋体" w:hAnsi="宋体" w:cs="宋体"/>
                <w:b/>
                <w:color w:val="auto"/>
                <w:kern w:val="0"/>
                <w:sz w:val="32"/>
                <w:szCs w:val="32"/>
                <w:highlight w:val="none"/>
              </w:rPr>
            </w:pPr>
          </w:p>
        </w:tc>
        <w:tc>
          <w:tcPr>
            <w:tcW w:w="1102" w:type="dxa"/>
          </w:tcPr>
          <w:p w14:paraId="19ACF601">
            <w:pPr>
              <w:jc w:val="center"/>
              <w:rPr>
                <w:rFonts w:hint="eastAsia" w:ascii="宋体" w:hAnsi="宋体" w:cs="宋体"/>
                <w:b/>
                <w:color w:val="auto"/>
                <w:kern w:val="0"/>
                <w:sz w:val="32"/>
                <w:szCs w:val="32"/>
                <w:highlight w:val="none"/>
              </w:rPr>
            </w:pPr>
          </w:p>
        </w:tc>
        <w:tc>
          <w:tcPr>
            <w:tcW w:w="1088" w:type="dxa"/>
          </w:tcPr>
          <w:p w14:paraId="7F4235F2">
            <w:pPr>
              <w:jc w:val="center"/>
              <w:rPr>
                <w:rFonts w:hint="eastAsia" w:ascii="宋体" w:hAnsi="宋体" w:cs="宋体"/>
                <w:b/>
                <w:color w:val="auto"/>
                <w:kern w:val="0"/>
                <w:sz w:val="32"/>
                <w:szCs w:val="32"/>
                <w:highlight w:val="none"/>
              </w:rPr>
            </w:pPr>
          </w:p>
        </w:tc>
      </w:tr>
    </w:tbl>
    <w:p w14:paraId="458532EF">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5F13770">
      <w:pPr>
        <w:jc w:val="center"/>
        <w:rPr>
          <w:rFonts w:hint="eastAsia" w:ascii="宋体" w:hAnsi="宋体" w:cs="宋体"/>
          <w:b/>
          <w:color w:val="auto"/>
          <w:kern w:val="0"/>
          <w:sz w:val="32"/>
          <w:szCs w:val="32"/>
          <w:highlight w:val="none"/>
        </w:rPr>
      </w:pPr>
    </w:p>
    <w:p w14:paraId="4BC15415">
      <w:pPr>
        <w:jc w:val="left"/>
        <w:rPr>
          <w:rFonts w:hint="eastAsia" w:ascii="宋体" w:hAnsi="宋体" w:cs="宋体"/>
          <w:color w:val="auto"/>
          <w:kern w:val="0"/>
          <w:sz w:val="24"/>
          <w:highlight w:val="none"/>
        </w:rPr>
      </w:pPr>
      <w:r>
        <w:rPr>
          <w:rFonts w:hint="eastAsia" w:ascii="宋体" w:hAnsi="宋体" w:cs="宋体"/>
          <w:color w:val="auto"/>
          <w:sz w:val="24"/>
          <w:highlight w:val="none"/>
        </w:rPr>
        <w:t>注：</w:t>
      </w:r>
      <w:r>
        <w:rPr>
          <w:rFonts w:hint="eastAsia" w:ascii="宋体" w:hAnsi="宋体" w:cs="宋体"/>
          <w:color w:val="auto"/>
          <w:kern w:val="0"/>
          <w:sz w:val="24"/>
          <w:highlight w:val="none"/>
        </w:rPr>
        <w:t>1.按本格式和要求提供。</w:t>
      </w:r>
    </w:p>
    <w:p w14:paraId="339E654F">
      <w:pPr>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2.本表格所反映的偏离情况与“符合性审查资料”、“评标标准相应的商务技术资料”不一致的，以“符合性审查资料”、“评标标准相应的商务技术资料”为准。</w:t>
      </w:r>
    </w:p>
    <w:p w14:paraId="699BFFD2">
      <w:pPr>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3.投标人须保证：除商务技术偏离表列出的偏离外，投标人响应招标文件的全部非实质性要求。</w:t>
      </w:r>
    </w:p>
    <w:p w14:paraId="74BC49A3">
      <w:pPr>
        <w:rPr>
          <w:rFonts w:hint="eastAsia" w:ascii="宋体" w:hAnsi="宋体" w:cs="宋体"/>
          <w:b/>
          <w:bCs/>
          <w:color w:val="auto"/>
          <w:sz w:val="32"/>
          <w:szCs w:val="32"/>
          <w:highlight w:val="none"/>
        </w:rPr>
      </w:pPr>
    </w:p>
    <w:p w14:paraId="627CA7A5">
      <w:pPr>
        <w:ind w:firstLine="1911" w:firstLineChars="595"/>
        <w:rPr>
          <w:rFonts w:hint="eastAsia" w:ascii="宋体" w:hAnsi="宋体" w:cs="宋体"/>
          <w:b/>
          <w:bCs/>
          <w:color w:val="auto"/>
          <w:sz w:val="32"/>
          <w:szCs w:val="32"/>
          <w:highlight w:val="none"/>
        </w:rPr>
      </w:pPr>
    </w:p>
    <w:p w14:paraId="6ED3786D">
      <w:pPr>
        <w:widowControl/>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14:paraId="7BAC54CB">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C1B6649">
      <w:pPr>
        <w:snapToGrid w:val="0"/>
        <w:spacing w:line="360" w:lineRule="auto"/>
        <w:rPr>
          <w:rFonts w:hint="eastAsia" w:ascii="宋体" w:hAnsi="宋体" w:cs="宋体"/>
          <w:color w:val="auto"/>
          <w:sz w:val="24"/>
          <w:highlight w:val="none"/>
        </w:rPr>
      </w:pPr>
    </w:p>
    <w:p w14:paraId="46A5C27A">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浙江省公路与运输管理中心</w:t>
      </w:r>
      <w:r>
        <w:rPr>
          <w:rFonts w:hint="eastAsia" w:ascii="宋体" w:hAnsi="宋体" w:cs="宋体"/>
          <w:color w:val="auto"/>
          <w:sz w:val="24"/>
          <w:highlight w:val="none"/>
        </w:rPr>
        <w:t>、浙江华耀建设咨询有限公司</w:t>
      </w:r>
      <w:r>
        <w:rPr>
          <w:rFonts w:hint="eastAsia" w:ascii="宋体" w:hAnsi="宋体" w:cs="宋体"/>
          <w:color w:val="auto"/>
          <w:kern w:val="0"/>
          <w:sz w:val="24"/>
          <w:highlight w:val="none"/>
          <w:lang w:val="zh-CN"/>
        </w:rPr>
        <w:t>：</w:t>
      </w:r>
    </w:p>
    <w:p w14:paraId="0505DB95">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D50877E">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583AE88">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0592CAE">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7AE2E50">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7F4C1A0">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D223403">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698C597">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CCBFA3B">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AC82C83">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A1FA9CD">
      <w:pPr>
        <w:autoSpaceDE w:val="0"/>
        <w:autoSpaceDN w:val="0"/>
        <w:spacing w:line="360" w:lineRule="auto"/>
        <w:ind w:left="2"/>
        <w:jc w:val="left"/>
        <w:rPr>
          <w:rFonts w:hint="eastAsia" w:ascii="宋体" w:hAnsi="宋体" w:cs="宋体"/>
          <w:color w:val="auto"/>
          <w:kern w:val="0"/>
          <w:sz w:val="24"/>
          <w:highlight w:val="none"/>
          <w:lang w:val="zh-CN"/>
        </w:rPr>
      </w:pPr>
    </w:p>
    <w:p w14:paraId="617B0F7F">
      <w:pPr>
        <w:autoSpaceDE w:val="0"/>
        <w:autoSpaceDN w:val="0"/>
        <w:spacing w:line="360" w:lineRule="auto"/>
        <w:ind w:left="2"/>
        <w:jc w:val="left"/>
        <w:rPr>
          <w:rFonts w:hint="eastAsia" w:ascii="宋体" w:hAnsi="宋体" w:cs="宋体"/>
          <w:color w:val="auto"/>
          <w:kern w:val="0"/>
          <w:sz w:val="24"/>
          <w:highlight w:val="none"/>
          <w:lang w:val="zh-CN"/>
        </w:rPr>
      </w:pPr>
    </w:p>
    <w:p w14:paraId="45858C35">
      <w:pPr>
        <w:autoSpaceDE w:val="0"/>
        <w:autoSpaceDN w:val="0"/>
        <w:spacing w:line="360" w:lineRule="auto"/>
        <w:ind w:left="2"/>
        <w:jc w:val="left"/>
        <w:rPr>
          <w:rFonts w:hint="eastAsia" w:ascii="宋体" w:hAnsi="宋体" w:cs="宋体"/>
          <w:color w:val="auto"/>
          <w:kern w:val="0"/>
          <w:sz w:val="24"/>
          <w:highlight w:val="none"/>
          <w:lang w:val="zh-CN"/>
        </w:rPr>
      </w:pPr>
    </w:p>
    <w:p w14:paraId="26FE3F2A">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7125DAEA">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B3BA1F4">
      <w:pPr>
        <w:spacing w:line="360" w:lineRule="auto"/>
        <w:jc w:val="center"/>
        <w:rPr>
          <w:rFonts w:hint="eastAsia" w:ascii="宋体" w:hAnsi="宋体" w:cs="宋体"/>
          <w:b/>
          <w:bCs/>
          <w:color w:val="auto"/>
          <w:sz w:val="24"/>
          <w:highlight w:val="none"/>
        </w:rPr>
      </w:pPr>
    </w:p>
    <w:p w14:paraId="676CFC2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062719A">
      <w:pPr>
        <w:spacing w:line="360" w:lineRule="auto"/>
        <w:jc w:val="center"/>
        <w:rPr>
          <w:rFonts w:hint="eastAsia" w:ascii="宋体" w:hAnsi="宋体" w:cs="宋体"/>
          <w:b/>
          <w:bCs/>
          <w:color w:val="auto"/>
          <w:sz w:val="24"/>
          <w:highlight w:val="none"/>
        </w:rPr>
        <w:sectPr>
          <w:footerReference r:id="rId11" w:type="first"/>
          <w:footerReference r:id="rId10" w:type="default"/>
          <w:pgSz w:w="11906" w:h="16838"/>
          <w:pgMar w:top="1276" w:right="1418" w:bottom="1247" w:left="1418" w:header="851" w:footer="992" w:gutter="0"/>
          <w:cols w:space="720" w:num="1"/>
          <w:titlePg/>
          <w:docGrid w:linePitch="312" w:charSpace="0"/>
        </w:sectPr>
      </w:pPr>
    </w:p>
    <w:p w14:paraId="196A6208">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F509A91">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1A1D571">
      <w:pPr>
        <w:spacing w:line="360" w:lineRule="auto"/>
        <w:jc w:val="center"/>
        <w:outlineLvl w:val="0"/>
        <w:rPr>
          <w:rFonts w:hint="eastAsia" w:ascii="宋体" w:hAnsi="宋体" w:cs="宋体"/>
          <w:b/>
          <w:color w:val="auto"/>
          <w:kern w:val="0"/>
          <w:sz w:val="36"/>
          <w:szCs w:val="36"/>
          <w:highlight w:val="none"/>
        </w:rPr>
      </w:pPr>
    </w:p>
    <w:p w14:paraId="627F150D">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581848D4">
      <w:pPr>
        <w:snapToGrid w:val="0"/>
        <w:spacing w:line="360" w:lineRule="auto"/>
        <w:rPr>
          <w:color w:val="auto"/>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7AA2605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（3）中小企业声明函或属于监狱企业证明文件或残疾人福利性单位声明函（如果有）</w:t>
      </w:r>
      <w:r>
        <w:rPr>
          <w:rFonts w:hint="eastAsia" w:ascii="宋体" w:hAnsi="宋体" w:eastAsia="宋体" w:cs="宋体"/>
          <w:color w:val="auto"/>
          <w:sz w:val="24"/>
          <w:highlight w:val="none"/>
        </w:rPr>
        <w:tab/>
      </w:r>
      <w:r>
        <w:rPr>
          <w:rFonts w:hint="eastAsia" w:ascii="宋体" w:hAnsi="宋体" w:cs="宋体"/>
          <w:color w:val="auto"/>
          <w:sz w:val="24"/>
          <w:highlight w:val="none"/>
        </w:rPr>
        <w:t>……………………………………………………………………………………</w:t>
      </w:r>
      <w:r>
        <w:rPr>
          <w:rFonts w:hint="eastAsia" w:ascii="宋体" w:hAnsi="宋体" w:eastAsia="宋体" w:cs="宋体"/>
          <w:color w:val="auto"/>
          <w:sz w:val="24"/>
          <w:highlight w:val="none"/>
        </w:rPr>
        <w:t>（页码）</w:t>
      </w:r>
    </w:p>
    <w:p w14:paraId="1A2D7FED">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footerReference r:id="rId13" w:type="first"/>
          <w:footerReference r:id="rId12" w:type="default"/>
          <w:pgSz w:w="11906" w:h="16838"/>
          <w:pgMar w:top="1276" w:right="1418" w:bottom="1247" w:left="1418" w:header="851" w:footer="992" w:gutter="0"/>
          <w:cols w:space="720" w:num="1"/>
          <w:titlePg/>
          <w:docGrid w:linePitch="312" w:charSpace="0"/>
        </w:sectPr>
      </w:pPr>
    </w:p>
    <w:p w14:paraId="7459BF7D">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DB63358">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浙江省公路与运输管理中心</w:t>
      </w:r>
      <w:r>
        <w:rPr>
          <w:rFonts w:hint="eastAsia" w:ascii="宋体" w:hAnsi="宋体" w:cs="宋体"/>
          <w:color w:val="auto"/>
          <w:sz w:val="24"/>
          <w:highlight w:val="none"/>
        </w:rPr>
        <w:t>、浙江华耀建设咨询有限公司</w:t>
      </w:r>
      <w:r>
        <w:rPr>
          <w:rFonts w:hint="eastAsia" w:ascii="宋体" w:hAnsi="宋体" w:cs="宋体"/>
          <w:color w:val="auto"/>
          <w:kern w:val="0"/>
          <w:sz w:val="24"/>
          <w:highlight w:val="none"/>
          <w:lang w:val="zh-CN"/>
        </w:rPr>
        <w:t>：</w:t>
      </w:r>
    </w:p>
    <w:p w14:paraId="0BB78B2C">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城乡公交客运片区组团融合发展“缩小三大差距”促进共同富裕成效评估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ZJHY-SGLYSZX-202509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CC87588">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0DD8E9A">
        <w:trPr>
          <w:trHeight w:val="1373" w:hRule="atLeast"/>
        </w:trPr>
        <w:tc>
          <w:tcPr>
            <w:tcW w:w="817" w:type="dxa"/>
            <w:vAlign w:val="center"/>
          </w:tcPr>
          <w:p w14:paraId="071A375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49B4D5F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4B32F97C">
            <w:pPr>
              <w:spacing w:line="360" w:lineRule="auto"/>
              <w:jc w:val="center"/>
              <w:rPr>
                <w:rFonts w:hint="eastAsia" w:ascii="宋体" w:hAnsi="宋体" w:cs="宋体"/>
                <w:b/>
                <w:color w:val="auto"/>
                <w:sz w:val="24"/>
                <w:highlight w:val="none"/>
              </w:rPr>
            </w:pPr>
          </w:p>
          <w:p w14:paraId="314AACC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22B1620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680158B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766C411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3152735E">
            <w:pPr>
              <w:spacing w:line="360" w:lineRule="auto"/>
              <w:jc w:val="center"/>
              <w:rPr>
                <w:rFonts w:hint="eastAsia" w:ascii="宋体" w:hAnsi="宋体" w:cs="宋体"/>
                <w:b/>
                <w:color w:val="auto"/>
                <w:sz w:val="24"/>
                <w:highlight w:val="none"/>
              </w:rPr>
            </w:pPr>
          </w:p>
          <w:p w14:paraId="2764FE8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7B416A5C">
            <w:pPr>
              <w:spacing w:line="360" w:lineRule="auto"/>
              <w:jc w:val="center"/>
              <w:rPr>
                <w:rFonts w:hint="eastAsia" w:ascii="宋体" w:hAnsi="宋体" w:cs="宋体"/>
                <w:b/>
                <w:color w:val="auto"/>
                <w:sz w:val="24"/>
                <w:highlight w:val="none"/>
              </w:rPr>
            </w:pPr>
          </w:p>
          <w:p w14:paraId="59ED43B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690081DB">
            <w:pPr>
              <w:spacing w:line="360" w:lineRule="auto"/>
              <w:jc w:val="center"/>
              <w:rPr>
                <w:rFonts w:hint="eastAsia" w:ascii="宋体" w:hAnsi="宋体" w:cs="宋体"/>
                <w:b/>
                <w:color w:val="auto"/>
                <w:sz w:val="24"/>
                <w:highlight w:val="none"/>
              </w:rPr>
            </w:pPr>
          </w:p>
        </w:tc>
      </w:tr>
      <w:tr w14:paraId="35312762">
        <w:trPr>
          <w:trHeight w:val="441" w:hRule="atLeast"/>
        </w:trPr>
        <w:tc>
          <w:tcPr>
            <w:tcW w:w="817" w:type="dxa"/>
            <w:vAlign w:val="center"/>
          </w:tcPr>
          <w:p w14:paraId="09BE904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6D5D722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ACD451B">
            <w:pPr>
              <w:snapToGrid w:val="0"/>
              <w:spacing w:line="360" w:lineRule="auto"/>
              <w:jc w:val="center"/>
              <w:rPr>
                <w:rFonts w:hint="eastAsia" w:ascii="宋体" w:hAnsi="宋体" w:cs="宋体"/>
                <w:color w:val="auto"/>
                <w:sz w:val="24"/>
                <w:highlight w:val="none"/>
              </w:rPr>
            </w:pPr>
          </w:p>
        </w:tc>
        <w:tc>
          <w:tcPr>
            <w:tcW w:w="2410" w:type="dxa"/>
            <w:vAlign w:val="center"/>
          </w:tcPr>
          <w:p w14:paraId="08CE413C">
            <w:pPr>
              <w:snapToGrid w:val="0"/>
              <w:spacing w:line="360" w:lineRule="auto"/>
              <w:jc w:val="center"/>
              <w:rPr>
                <w:rFonts w:hint="eastAsia" w:ascii="宋体" w:hAnsi="宋体" w:cs="宋体"/>
                <w:color w:val="auto"/>
                <w:sz w:val="24"/>
                <w:highlight w:val="none"/>
              </w:rPr>
            </w:pPr>
          </w:p>
        </w:tc>
        <w:tc>
          <w:tcPr>
            <w:tcW w:w="2268" w:type="dxa"/>
            <w:vAlign w:val="center"/>
          </w:tcPr>
          <w:p w14:paraId="2B72B906">
            <w:pPr>
              <w:snapToGrid w:val="0"/>
              <w:spacing w:line="360" w:lineRule="auto"/>
              <w:jc w:val="center"/>
              <w:rPr>
                <w:rFonts w:hint="eastAsia" w:ascii="宋体" w:hAnsi="宋体" w:cs="宋体"/>
                <w:color w:val="auto"/>
                <w:sz w:val="24"/>
                <w:highlight w:val="none"/>
              </w:rPr>
            </w:pPr>
          </w:p>
        </w:tc>
        <w:tc>
          <w:tcPr>
            <w:tcW w:w="2126" w:type="dxa"/>
            <w:vAlign w:val="center"/>
          </w:tcPr>
          <w:p w14:paraId="3ECCEE92">
            <w:pPr>
              <w:spacing w:line="360" w:lineRule="auto"/>
              <w:jc w:val="center"/>
              <w:rPr>
                <w:rFonts w:hint="eastAsia" w:ascii="宋体" w:hAnsi="宋体" w:cs="宋体"/>
                <w:color w:val="auto"/>
                <w:sz w:val="24"/>
                <w:highlight w:val="none"/>
              </w:rPr>
            </w:pPr>
          </w:p>
        </w:tc>
        <w:tc>
          <w:tcPr>
            <w:tcW w:w="2127" w:type="dxa"/>
          </w:tcPr>
          <w:p w14:paraId="01D5D9ED">
            <w:pPr>
              <w:spacing w:line="360" w:lineRule="auto"/>
              <w:jc w:val="center"/>
              <w:rPr>
                <w:rFonts w:hint="eastAsia" w:ascii="宋体" w:hAnsi="宋体" w:cs="宋体"/>
                <w:color w:val="auto"/>
                <w:sz w:val="24"/>
                <w:highlight w:val="none"/>
              </w:rPr>
            </w:pPr>
          </w:p>
        </w:tc>
        <w:tc>
          <w:tcPr>
            <w:tcW w:w="2126" w:type="dxa"/>
            <w:vAlign w:val="center"/>
          </w:tcPr>
          <w:p w14:paraId="629C98A8">
            <w:pPr>
              <w:spacing w:line="360" w:lineRule="auto"/>
              <w:jc w:val="center"/>
              <w:rPr>
                <w:rFonts w:hint="eastAsia" w:ascii="宋体" w:hAnsi="宋体" w:cs="宋体"/>
                <w:color w:val="auto"/>
                <w:sz w:val="24"/>
                <w:highlight w:val="none"/>
              </w:rPr>
            </w:pPr>
          </w:p>
        </w:tc>
      </w:tr>
      <w:tr w14:paraId="17FA1470">
        <w:trPr>
          <w:trHeight w:val="453" w:hRule="atLeast"/>
        </w:trPr>
        <w:tc>
          <w:tcPr>
            <w:tcW w:w="817" w:type="dxa"/>
            <w:vAlign w:val="center"/>
          </w:tcPr>
          <w:p w14:paraId="6C7E5E8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504BD3B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3D0C13E5">
            <w:pPr>
              <w:snapToGrid w:val="0"/>
              <w:spacing w:line="360" w:lineRule="auto"/>
              <w:jc w:val="center"/>
              <w:rPr>
                <w:rFonts w:hint="eastAsia" w:ascii="宋体" w:hAnsi="宋体" w:cs="宋体"/>
                <w:color w:val="auto"/>
                <w:sz w:val="24"/>
                <w:highlight w:val="none"/>
              </w:rPr>
            </w:pPr>
          </w:p>
        </w:tc>
        <w:tc>
          <w:tcPr>
            <w:tcW w:w="2410" w:type="dxa"/>
            <w:vAlign w:val="center"/>
          </w:tcPr>
          <w:p w14:paraId="0B08C280">
            <w:pPr>
              <w:snapToGrid w:val="0"/>
              <w:spacing w:line="360" w:lineRule="auto"/>
              <w:jc w:val="center"/>
              <w:rPr>
                <w:rFonts w:hint="eastAsia" w:ascii="宋体" w:hAnsi="宋体" w:cs="宋体"/>
                <w:color w:val="auto"/>
                <w:sz w:val="24"/>
                <w:highlight w:val="none"/>
              </w:rPr>
            </w:pPr>
          </w:p>
        </w:tc>
        <w:tc>
          <w:tcPr>
            <w:tcW w:w="2268" w:type="dxa"/>
            <w:vAlign w:val="center"/>
          </w:tcPr>
          <w:p w14:paraId="69C53958">
            <w:pPr>
              <w:snapToGrid w:val="0"/>
              <w:spacing w:line="360" w:lineRule="auto"/>
              <w:jc w:val="center"/>
              <w:rPr>
                <w:rFonts w:hint="eastAsia" w:ascii="宋体" w:hAnsi="宋体" w:cs="宋体"/>
                <w:color w:val="auto"/>
                <w:sz w:val="24"/>
                <w:highlight w:val="none"/>
              </w:rPr>
            </w:pPr>
          </w:p>
        </w:tc>
        <w:tc>
          <w:tcPr>
            <w:tcW w:w="2126" w:type="dxa"/>
            <w:vAlign w:val="center"/>
          </w:tcPr>
          <w:p w14:paraId="27CB6DC3">
            <w:pPr>
              <w:spacing w:line="360" w:lineRule="auto"/>
              <w:jc w:val="center"/>
              <w:rPr>
                <w:rFonts w:hint="eastAsia" w:ascii="宋体" w:hAnsi="宋体" w:cs="宋体"/>
                <w:color w:val="auto"/>
                <w:sz w:val="24"/>
                <w:highlight w:val="none"/>
              </w:rPr>
            </w:pPr>
          </w:p>
        </w:tc>
        <w:tc>
          <w:tcPr>
            <w:tcW w:w="2127" w:type="dxa"/>
          </w:tcPr>
          <w:p w14:paraId="4709A76A">
            <w:pPr>
              <w:spacing w:line="360" w:lineRule="auto"/>
              <w:jc w:val="center"/>
              <w:rPr>
                <w:rFonts w:hint="eastAsia" w:ascii="宋体" w:hAnsi="宋体" w:cs="宋体"/>
                <w:color w:val="auto"/>
                <w:sz w:val="24"/>
                <w:highlight w:val="none"/>
              </w:rPr>
            </w:pPr>
          </w:p>
        </w:tc>
        <w:tc>
          <w:tcPr>
            <w:tcW w:w="2126" w:type="dxa"/>
            <w:vAlign w:val="center"/>
          </w:tcPr>
          <w:p w14:paraId="35013DAE">
            <w:pPr>
              <w:spacing w:line="360" w:lineRule="auto"/>
              <w:jc w:val="center"/>
              <w:rPr>
                <w:rFonts w:hint="eastAsia" w:ascii="宋体" w:hAnsi="宋体" w:cs="宋体"/>
                <w:color w:val="auto"/>
                <w:sz w:val="24"/>
                <w:highlight w:val="none"/>
              </w:rPr>
            </w:pPr>
          </w:p>
        </w:tc>
      </w:tr>
      <w:tr w14:paraId="412C1E0B">
        <w:trPr>
          <w:trHeight w:val="453" w:hRule="atLeast"/>
        </w:trPr>
        <w:tc>
          <w:tcPr>
            <w:tcW w:w="817" w:type="dxa"/>
            <w:vAlign w:val="center"/>
          </w:tcPr>
          <w:p w14:paraId="459F211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3D1C220F">
            <w:pPr>
              <w:snapToGrid w:val="0"/>
              <w:spacing w:line="360" w:lineRule="auto"/>
              <w:jc w:val="center"/>
              <w:rPr>
                <w:rFonts w:hint="eastAsia" w:ascii="宋体" w:hAnsi="宋体" w:cs="宋体"/>
                <w:color w:val="auto"/>
                <w:sz w:val="24"/>
                <w:highlight w:val="none"/>
              </w:rPr>
            </w:pPr>
          </w:p>
        </w:tc>
        <w:tc>
          <w:tcPr>
            <w:tcW w:w="2268" w:type="dxa"/>
            <w:vAlign w:val="center"/>
          </w:tcPr>
          <w:p w14:paraId="601679D2">
            <w:pPr>
              <w:snapToGrid w:val="0"/>
              <w:spacing w:line="360" w:lineRule="auto"/>
              <w:jc w:val="center"/>
              <w:rPr>
                <w:rFonts w:hint="eastAsia" w:ascii="宋体" w:hAnsi="宋体" w:cs="宋体"/>
                <w:color w:val="auto"/>
                <w:sz w:val="24"/>
                <w:highlight w:val="none"/>
              </w:rPr>
            </w:pPr>
          </w:p>
        </w:tc>
        <w:tc>
          <w:tcPr>
            <w:tcW w:w="2410" w:type="dxa"/>
            <w:vAlign w:val="center"/>
          </w:tcPr>
          <w:p w14:paraId="3BF66C4D">
            <w:pPr>
              <w:snapToGrid w:val="0"/>
              <w:spacing w:line="360" w:lineRule="auto"/>
              <w:jc w:val="center"/>
              <w:rPr>
                <w:rFonts w:hint="eastAsia" w:ascii="宋体" w:hAnsi="宋体" w:cs="宋体"/>
                <w:color w:val="auto"/>
                <w:sz w:val="24"/>
                <w:highlight w:val="none"/>
              </w:rPr>
            </w:pPr>
          </w:p>
        </w:tc>
        <w:tc>
          <w:tcPr>
            <w:tcW w:w="2268" w:type="dxa"/>
            <w:vAlign w:val="center"/>
          </w:tcPr>
          <w:p w14:paraId="335031E7">
            <w:pPr>
              <w:snapToGrid w:val="0"/>
              <w:spacing w:line="360" w:lineRule="auto"/>
              <w:jc w:val="center"/>
              <w:rPr>
                <w:rFonts w:hint="eastAsia" w:ascii="宋体" w:hAnsi="宋体" w:cs="宋体"/>
                <w:color w:val="auto"/>
                <w:sz w:val="24"/>
                <w:highlight w:val="none"/>
              </w:rPr>
            </w:pPr>
          </w:p>
        </w:tc>
        <w:tc>
          <w:tcPr>
            <w:tcW w:w="2126" w:type="dxa"/>
            <w:vAlign w:val="center"/>
          </w:tcPr>
          <w:p w14:paraId="4262C6DA">
            <w:pPr>
              <w:spacing w:line="360" w:lineRule="auto"/>
              <w:jc w:val="center"/>
              <w:rPr>
                <w:rFonts w:hint="eastAsia" w:ascii="宋体" w:hAnsi="宋体" w:cs="宋体"/>
                <w:color w:val="auto"/>
                <w:sz w:val="24"/>
                <w:highlight w:val="none"/>
              </w:rPr>
            </w:pPr>
          </w:p>
        </w:tc>
        <w:tc>
          <w:tcPr>
            <w:tcW w:w="2127" w:type="dxa"/>
          </w:tcPr>
          <w:p w14:paraId="3FC8B300">
            <w:pPr>
              <w:spacing w:line="360" w:lineRule="auto"/>
              <w:jc w:val="center"/>
              <w:rPr>
                <w:rFonts w:hint="eastAsia" w:ascii="宋体" w:hAnsi="宋体" w:cs="宋体"/>
                <w:color w:val="auto"/>
                <w:sz w:val="24"/>
                <w:highlight w:val="none"/>
              </w:rPr>
            </w:pPr>
          </w:p>
        </w:tc>
        <w:tc>
          <w:tcPr>
            <w:tcW w:w="2126" w:type="dxa"/>
            <w:vAlign w:val="center"/>
          </w:tcPr>
          <w:p w14:paraId="20351AFF">
            <w:pPr>
              <w:spacing w:line="360" w:lineRule="auto"/>
              <w:jc w:val="center"/>
              <w:rPr>
                <w:rFonts w:hint="eastAsia" w:ascii="宋体" w:hAnsi="宋体" w:cs="宋体"/>
                <w:color w:val="auto"/>
                <w:sz w:val="24"/>
                <w:highlight w:val="none"/>
              </w:rPr>
            </w:pPr>
          </w:p>
        </w:tc>
      </w:tr>
      <w:tr w14:paraId="5D37C854">
        <w:trPr>
          <w:trHeight w:val="453" w:hRule="atLeast"/>
        </w:trPr>
        <w:tc>
          <w:tcPr>
            <w:tcW w:w="817" w:type="dxa"/>
            <w:vAlign w:val="center"/>
          </w:tcPr>
          <w:p w14:paraId="30AC933D">
            <w:pPr>
              <w:spacing w:line="360" w:lineRule="auto"/>
              <w:jc w:val="center"/>
              <w:rPr>
                <w:rFonts w:hint="eastAsia" w:ascii="宋体" w:hAnsi="宋体" w:cs="宋体"/>
                <w:color w:val="auto"/>
                <w:sz w:val="24"/>
                <w:highlight w:val="none"/>
              </w:rPr>
            </w:pPr>
          </w:p>
        </w:tc>
        <w:tc>
          <w:tcPr>
            <w:tcW w:w="992" w:type="dxa"/>
            <w:vAlign w:val="center"/>
          </w:tcPr>
          <w:p w14:paraId="34C7FD53">
            <w:pPr>
              <w:snapToGrid w:val="0"/>
              <w:spacing w:line="360" w:lineRule="auto"/>
              <w:jc w:val="center"/>
              <w:rPr>
                <w:rFonts w:hint="eastAsia" w:ascii="宋体" w:hAnsi="宋体" w:cs="宋体"/>
                <w:color w:val="auto"/>
                <w:sz w:val="24"/>
                <w:highlight w:val="none"/>
              </w:rPr>
            </w:pPr>
          </w:p>
        </w:tc>
        <w:tc>
          <w:tcPr>
            <w:tcW w:w="2268" w:type="dxa"/>
            <w:vAlign w:val="center"/>
          </w:tcPr>
          <w:p w14:paraId="5D29C476">
            <w:pPr>
              <w:snapToGrid w:val="0"/>
              <w:spacing w:line="360" w:lineRule="auto"/>
              <w:jc w:val="center"/>
              <w:rPr>
                <w:rFonts w:hint="eastAsia" w:ascii="宋体" w:hAnsi="宋体" w:cs="宋体"/>
                <w:color w:val="auto"/>
                <w:sz w:val="24"/>
                <w:highlight w:val="none"/>
              </w:rPr>
            </w:pPr>
          </w:p>
        </w:tc>
        <w:tc>
          <w:tcPr>
            <w:tcW w:w="2410" w:type="dxa"/>
            <w:vAlign w:val="center"/>
          </w:tcPr>
          <w:p w14:paraId="6BD595E9">
            <w:pPr>
              <w:snapToGrid w:val="0"/>
              <w:spacing w:line="360" w:lineRule="auto"/>
              <w:jc w:val="center"/>
              <w:rPr>
                <w:rFonts w:hint="eastAsia" w:ascii="宋体" w:hAnsi="宋体" w:cs="宋体"/>
                <w:color w:val="auto"/>
                <w:sz w:val="24"/>
                <w:highlight w:val="none"/>
              </w:rPr>
            </w:pPr>
          </w:p>
        </w:tc>
        <w:tc>
          <w:tcPr>
            <w:tcW w:w="2268" w:type="dxa"/>
            <w:vAlign w:val="center"/>
          </w:tcPr>
          <w:p w14:paraId="5221D6CD">
            <w:pPr>
              <w:snapToGrid w:val="0"/>
              <w:spacing w:line="360" w:lineRule="auto"/>
              <w:jc w:val="center"/>
              <w:rPr>
                <w:rFonts w:hint="eastAsia" w:ascii="宋体" w:hAnsi="宋体" w:cs="宋体"/>
                <w:color w:val="auto"/>
                <w:sz w:val="24"/>
                <w:highlight w:val="none"/>
              </w:rPr>
            </w:pPr>
          </w:p>
        </w:tc>
        <w:tc>
          <w:tcPr>
            <w:tcW w:w="2126" w:type="dxa"/>
            <w:vAlign w:val="center"/>
          </w:tcPr>
          <w:p w14:paraId="7394AC4B">
            <w:pPr>
              <w:spacing w:line="360" w:lineRule="auto"/>
              <w:jc w:val="center"/>
              <w:rPr>
                <w:rFonts w:hint="eastAsia" w:ascii="宋体" w:hAnsi="宋体" w:cs="宋体"/>
                <w:color w:val="auto"/>
                <w:sz w:val="24"/>
                <w:highlight w:val="none"/>
              </w:rPr>
            </w:pPr>
          </w:p>
        </w:tc>
        <w:tc>
          <w:tcPr>
            <w:tcW w:w="2127" w:type="dxa"/>
          </w:tcPr>
          <w:p w14:paraId="120B5DF2">
            <w:pPr>
              <w:spacing w:line="360" w:lineRule="auto"/>
              <w:jc w:val="center"/>
              <w:rPr>
                <w:rFonts w:hint="eastAsia" w:ascii="宋体" w:hAnsi="宋体" w:cs="宋体"/>
                <w:color w:val="auto"/>
                <w:sz w:val="24"/>
                <w:highlight w:val="none"/>
              </w:rPr>
            </w:pPr>
          </w:p>
        </w:tc>
        <w:tc>
          <w:tcPr>
            <w:tcW w:w="2126" w:type="dxa"/>
            <w:vAlign w:val="center"/>
          </w:tcPr>
          <w:p w14:paraId="506EB002">
            <w:pPr>
              <w:spacing w:line="360" w:lineRule="auto"/>
              <w:jc w:val="center"/>
              <w:rPr>
                <w:rFonts w:hint="eastAsia" w:ascii="宋体" w:hAnsi="宋体" w:cs="宋体"/>
                <w:color w:val="auto"/>
                <w:sz w:val="24"/>
                <w:highlight w:val="none"/>
              </w:rPr>
            </w:pPr>
          </w:p>
        </w:tc>
      </w:tr>
      <w:tr w14:paraId="01C544E6">
        <w:trPr>
          <w:trHeight w:val="453" w:hRule="atLeast"/>
        </w:trPr>
        <w:tc>
          <w:tcPr>
            <w:tcW w:w="817" w:type="dxa"/>
            <w:vAlign w:val="center"/>
          </w:tcPr>
          <w:p w14:paraId="1130331C">
            <w:pPr>
              <w:spacing w:line="360" w:lineRule="auto"/>
              <w:jc w:val="center"/>
              <w:rPr>
                <w:rFonts w:hint="eastAsia" w:ascii="宋体" w:hAnsi="宋体" w:cs="宋体"/>
                <w:color w:val="auto"/>
                <w:sz w:val="24"/>
                <w:highlight w:val="none"/>
              </w:rPr>
            </w:pPr>
          </w:p>
        </w:tc>
        <w:tc>
          <w:tcPr>
            <w:tcW w:w="992" w:type="dxa"/>
            <w:vAlign w:val="center"/>
          </w:tcPr>
          <w:p w14:paraId="4FE9C8A2">
            <w:pPr>
              <w:snapToGrid w:val="0"/>
              <w:spacing w:line="360" w:lineRule="auto"/>
              <w:jc w:val="center"/>
              <w:rPr>
                <w:rFonts w:hint="eastAsia" w:ascii="宋体" w:hAnsi="宋体" w:cs="宋体"/>
                <w:color w:val="auto"/>
                <w:sz w:val="24"/>
                <w:highlight w:val="none"/>
              </w:rPr>
            </w:pPr>
          </w:p>
        </w:tc>
        <w:tc>
          <w:tcPr>
            <w:tcW w:w="2268" w:type="dxa"/>
            <w:vAlign w:val="center"/>
          </w:tcPr>
          <w:p w14:paraId="6CE39052">
            <w:pPr>
              <w:snapToGrid w:val="0"/>
              <w:spacing w:line="360" w:lineRule="auto"/>
              <w:jc w:val="center"/>
              <w:rPr>
                <w:rFonts w:hint="eastAsia" w:ascii="宋体" w:hAnsi="宋体" w:cs="宋体"/>
                <w:color w:val="auto"/>
                <w:sz w:val="24"/>
                <w:highlight w:val="none"/>
              </w:rPr>
            </w:pPr>
          </w:p>
        </w:tc>
        <w:tc>
          <w:tcPr>
            <w:tcW w:w="2410" w:type="dxa"/>
            <w:vAlign w:val="center"/>
          </w:tcPr>
          <w:p w14:paraId="1D036445">
            <w:pPr>
              <w:snapToGrid w:val="0"/>
              <w:spacing w:line="360" w:lineRule="auto"/>
              <w:jc w:val="center"/>
              <w:rPr>
                <w:rFonts w:hint="eastAsia" w:ascii="宋体" w:hAnsi="宋体" w:cs="宋体"/>
                <w:color w:val="auto"/>
                <w:sz w:val="24"/>
                <w:highlight w:val="none"/>
              </w:rPr>
            </w:pPr>
          </w:p>
        </w:tc>
        <w:tc>
          <w:tcPr>
            <w:tcW w:w="2268" w:type="dxa"/>
            <w:vAlign w:val="center"/>
          </w:tcPr>
          <w:p w14:paraId="6EAFB605">
            <w:pPr>
              <w:snapToGrid w:val="0"/>
              <w:spacing w:line="360" w:lineRule="auto"/>
              <w:jc w:val="center"/>
              <w:rPr>
                <w:rFonts w:hint="eastAsia" w:ascii="宋体" w:hAnsi="宋体" w:cs="宋体"/>
                <w:color w:val="auto"/>
                <w:sz w:val="24"/>
                <w:highlight w:val="none"/>
              </w:rPr>
            </w:pPr>
          </w:p>
        </w:tc>
        <w:tc>
          <w:tcPr>
            <w:tcW w:w="2126" w:type="dxa"/>
            <w:vAlign w:val="center"/>
          </w:tcPr>
          <w:p w14:paraId="5268ECC7">
            <w:pPr>
              <w:spacing w:line="360" w:lineRule="auto"/>
              <w:jc w:val="center"/>
              <w:rPr>
                <w:rFonts w:hint="eastAsia" w:ascii="宋体" w:hAnsi="宋体" w:cs="宋体"/>
                <w:color w:val="auto"/>
                <w:sz w:val="24"/>
                <w:highlight w:val="none"/>
              </w:rPr>
            </w:pPr>
          </w:p>
        </w:tc>
        <w:tc>
          <w:tcPr>
            <w:tcW w:w="2127" w:type="dxa"/>
          </w:tcPr>
          <w:p w14:paraId="7A79F53D">
            <w:pPr>
              <w:spacing w:line="360" w:lineRule="auto"/>
              <w:jc w:val="center"/>
              <w:rPr>
                <w:rFonts w:hint="eastAsia" w:ascii="宋体" w:hAnsi="宋体" w:cs="宋体"/>
                <w:color w:val="auto"/>
                <w:sz w:val="24"/>
                <w:highlight w:val="none"/>
              </w:rPr>
            </w:pPr>
          </w:p>
        </w:tc>
        <w:tc>
          <w:tcPr>
            <w:tcW w:w="2126" w:type="dxa"/>
            <w:vAlign w:val="center"/>
          </w:tcPr>
          <w:p w14:paraId="198E3802">
            <w:pPr>
              <w:spacing w:line="360" w:lineRule="auto"/>
              <w:jc w:val="center"/>
              <w:rPr>
                <w:rFonts w:hint="eastAsia" w:ascii="宋体" w:hAnsi="宋体" w:cs="宋体"/>
                <w:color w:val="auto"/>
                <w:sz w:val="24"/>
                <w:highlight w:val="none"/>
              </w:rPr>
            </w:pPr>
          </w:p>
        </w:tc>
      </w:tr>
      <w:tr w14:paraId="52032C8B">
        <w:trPr>
          <w:trHeight w:val="659" w:hRule="atLeast"/>
        </w:trPr>
        <w:tc>
          <w:tcPr>
            <w:tcW w:w="6487" w:type="dxa"/>
            <w:gridSpan w:val="4"/>
            <w:vAlign w:val="center"/>
          </w:tcPr>
          <w:p w14:paraId="44E75E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74D26A1D">
            <w:pPr>
              <w:spacing w:line="360" w:lineRule="auto"/>
              <w:jc w:val="center"/>
              <w:rPr>
                <w:rFonts w:hint="eastAsia" w:ascii="宋体" w:hAnsi="宋体" w:cs="宋体"/>
                <w:color w:val="auto"/>
                <w:sz w:val="24"/>
                <w:highlight w:val="none"/>
              </w:rPr>
            </w:pPr>
          </w:p>
        </w:tc>
      </w:tr>
      <w:tr w14:paraId="4EECBC63">
        <w:trPr>
          <w:trHeight w:val="597" w:hRule="atLeast"/>
        </w:trPr>
        <w:tc>
          <w:tcPr>
            <w:tcW w:w="6487" w:type="dxa"/>
            <w:gridSpan w:val="4"/>
            <w:vAlign w:val="center"/>
          </w:tcPr>
          <w:p w14:paraId="68B3D22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6DC91C79">
            <w:pPr>
              <w:spacing w:line="360" w:lineRule="auto"/>
              <w:jc w:val="center"/>
              <w:rPr>
                <w:rFonts w:hint="eastAsia" w:ascii="宋体" w:hAnsi="宋体" w:cs="宋体"/>
                <w:color w:val="auto"/>
                <w:sz w:val="24"/>
                <w:highlight w:val="none"/>
              </w:rPr>
            </w:pPr>
          </w:p>
        </w:tc>
      </w:tr>
    </w:tbl>
    <w:p w14:paraId="631C0D6A">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1256B7D">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43CFB1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70A152D">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285CB1E">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342F482C">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516DD03">
      <w:pPr>
        <w:pStyle w:val="694"/>
        <w:keepNext w:val="0"/>
        <w:pageBreakBefore w:val="0"/>
        <w:numPr>
          <w:ilvl w:val="0"/>
          <w:numId w:val="2"/>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w:t>
      </w:r>
      <w:r>
        <w:rPr>
          <w:rFonts w:hint="eastAsia" w:ascii="宋体" w:hAnsi="宋体" w:eastAsia="宋体" w:cs="宋体"/>
          <w:color w:val="auto"/>
          <w:sz w:val="32"/>
          <w:szCs w:val="32"/>
          <w:highlight w:val="none"/>
        </w:rPr>
        <w:t>（如果有）</w:t>
      </w:r>
    </w:p>
    <w:p w14:paraId="3567535C">
      <w:pPr>
        <w:widowControl/>
        <w:spacing w:line="360" w:lineRule="auto"/>
        <w:ind w:firstLine="120" w:firstLineChars="50"/>
        <w:jc w:val="lef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若投标人</w:t>
      </w:r>
      <w:r>
        <w:rPr>
          <w:rFonts w:hint="eastAsia" w:ascii="宋体" w:hAnsi="宋体" w:eastAsia="宋体" w:cs="宋体"/>
          <w:b/>
          <w:color w:val="auto"/>
          <w:sz w:val="24"/>
          <w:highlight w:val="none"/>
        </w:rPr>
        <w:t>报价</w:t>
      </w:r>
      <w:r>
        <w:rPr>
          <w:rFonts w:hint="eastAsia" w:ascii="宋体" w:hAnsi="宋体" w:eastAsia="宋体" w:cs="宋体"/>
          <w:b/>
          <w:color w:val="auto"/>
          <w:sz w:val="24"/>
          <w:highlight w:val="none"/>
          <w:lang w:val="en-US" w:eastAsia="zh-CN"/>
        </w:rPr>
        <w:t>低于本项目预算50%</w:t>
      </w:r>
      <w:r>
        <w:rPr>
          <w:rFonts w:hint="eastAsia" w:ascii="宋体" w:hAnsi="宋体" w:eastAsia="宋体" w:cs="宋体"/>
          <w:b/>
          <w:color w:val="auto"/>
          <w:sz w:val="24"/>
          <w:highlight w:val="none"/>
        </w:rPr>
        <w:t>，有可能影响产品质量或者不能诚信履约的，</w:t>
      </w:r>
      <w:r>
        <w:rPr>
          <w:rFonts w:hint="eastAsia" w:ascii="宋体" w:hAnsi="宋体" w:eastAsia="宋体" w:cs="宋体"/>
          <w:b/>
          <w:color w:val="auto"/>
          <w:sz w:val="24"/>
          <w:highlight w:val="none"/>
          <w:lang w:val="en-US" w:eastAsia="zh-CN"/>
        </w:rPr>
        <w:t>建议</w:t>
      </w:r>
      <w:r>
        <w:rPr>
          <w:rFonts w:hint="eastAsia" w:ascii="宋体" w:hAnsi="宋体" w:eastAsia="宋体" w:cs="宋体"/>
          <w:b/>
          <w:color w:val="auto"/>
          <w:sz w:val="24"/>
          <w:highlight w:val="none"/>
        </w:rPr>
        <w:t>提供书面说明或者提交相关证明材料证明其报价合理性的</w:t>
      </w:r>
      <w:r>
        <w:rPr>
          <w:rFonts w:hint="eastAsia" w:ascii="宋体" w:hAnsi="宋体" w:eastAsia="宋体" w:cs="宋体"/>
          <w:b/>
          <w:color w:val="auto"/>
          <w:sz w:val="24"/>
          <w:highlight w:val="none"/>
          <w:lang w:eastAsia="zh-CN"/>
        </w:rPr>
        <w:t>。</w:t>
      </w:r>
    </w:p>
    <w:p w14:paraId="2EF28880">
      <w:pPr>
        <w:bidi w:val="0"/>
        <w:rPr>
          <w:rFonts w:hint="default"/>
          <w:color w:val="auto"/>
          <w:highlight w:val="none"/>
          <w:lang w:val="en-US" w:eastAsia="zh-CN"/>
        </w:rPr>
      </w:pPr>
    </w:p>
    <w:p w14:paraId="21F238B4">
      <w:pPr>
        <w:pStyle w:val="694"/>
        <w:keepNext w:val="0"/>
        <w:pageBreakBefore w:val="0"/>
        <w:numPr>
          <w:ilvl w:val="0"/>
          <w:numId w:val="0"/>
        </w:numPr>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56F9668D">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bookmarkStart w:id="394" w:name="_Toc465665161"/>
      <w:r>
        <w:rPr>
          <w:rFonts w:hint="eastAsia" w:ascii="宋体" w:hAnsi="宋体" w:cs="宋体"/>
          <w:color w:val="auto"/>
          <w:highlight w:val="none"/>
        </w:rPr>
        <w:t>附件</w:t>
      </w:r>
      <w:bookmarkEnd w:id="394"/>
    </w:p>
    <w:p w14:paraId="15BA3E4C">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E58BA37">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p w14:paraId="50908A96">
      <w:pPr>
        <w:spacing w:line="360" w:lineRule="auto"/>
        <w:rPr>
          <w:rFonts w:hint="eastAsia" w:ascii="宋体" w:hAnsi="宋体" w:cs="宋体"/>
          <w:b/>
          <w:color w:val="auto"/>
          <w:spacing w:val="6"/>
          <w:sz w:val="30"/>
          <w:szCs w:val="30"/>
          <w:highlight w:val="none"/>
        </w:rPr>
      </w:pPr>
    </w:p>
    <w:p w14:paraId="26B4AA8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浙江省公路与运输管理中心</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城乡公交客运片区组团融合发展“缩小三大差距”促进共同富裕成效评估</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83AA40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E492B1C">
      <w:pPr>
        <w:spacing w:line="360" w:lineRule="auto"/>
        <w:ind w:firstLine="480" w:firstLineChars="200"/>
        <w:rPr>
          <w:rFonts w:hint="eastAsia" w:ascii="宋体" w:hAnsi="宋体" w:cs="宋体"/>
          <w:color w:val="auto"/>
          <w:sz w:val="24"/>
          <w:highlight w:val="none"/>
        </w:rPr>
      </w:pPr>
    </w:p>
    <w:p w14:paraId="4A5E8EAB">
      <w:pPr>
        <w:spacing w:line="360" w:lineRule="auto"/>
        <w:ind w:firstLine="480" w:firstLineChars="200"/>
        <w:rPr>
          <w:rFonts w:hint="eastAsia" w:ascii="宋体" w:hAnsi="宋体" w:cs="宋体"/>
          <w:color w:val="auto"/>
          <w:sz w:val="24"/>
          <w:highlight w:val="none"/>
        </w:rPr>
      </w:pPr>
    </w:p>
    <w:p w14:paraId="33547C78">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65EE006">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31D76B7E">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DA8AFEF">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940CB6A">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2BAD048">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162CFE9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B32DCC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80BD6D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542F27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5226D6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AFB6DF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67EF19C">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70361ED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1F7227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2C00DA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D7EE96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7C1A5E2">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0F88D44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A1A28B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A151D2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788A482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EB12B6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3C70D5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69AB7BF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0B9B9461">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63602D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18B2E2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16BD355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30EAF981">
      <w:pPr>
        <w:spacing w:line="360" w:lineRule="auto"/>
        <w:jc w:val="center"/>
        <w:rPr>
          <w:rFonts w:hint="eastAsia" w:ascii="宋体" w:hAnsi="宋体" w:cs="宋体"/>
          <w:b/>
          <w:bCs/>
          <w:color w:val="auto"/>
          <w:sz w:val="24"/>
          <w:highlight w:val="none"/>
        </w:rPr>
      </w:pPr>
    </w:p>
    <w:p w14:paraId="1DBBB349">
      <w:pPr>
        <w:spacing w:line="360" w:lineRule="auto"/>
        <w:rPr>
          <w:rFonts w:hint="eastAsia" w:ascii="宋体" w:hAnsi="宋体" w:cs="宋体"/>
          <w:b/>
          <w:color w:val="auto"/>
          <w:sz w:val="24"/>
          <w:highlight w:val="none"/>
        </w:rPr>
      </w:pPr>
    </w:p>
    <w:p w14:paraId="398B03CD">
      <w:pPr>
        <w:spacing w:line="360" w:lineRule="auto"/>
        <w:rPr>
          <w:rFonts w:hint="eastAsia" w:ascii="宋体" w:hAnsi="宋体" w:cs="宋体"/>
          <w:b/>
          <w:color w:val="auto"/>
          <w:sz w:val="24"/>
          <w:highlight w:val="none"/>
        </w:rPr>
      </w:pPr>
    </w:p>
    <w:p w14:paraId="21BDA44C">
      <w:pPr>
        <w:spacing w:line="360" w:lineRule="auto"/>
        <w:rPr>
          <w:rFonts w:hint="eastAsia" w:ascii="宋体" w:hAnsi="宋体" w:cs="宋体"/>
          <w:b/>
          <w:color w:val="auto"/>
          <w:sz w:val="24"/>
          <w:highlight w:val="none"/>
        </w:rPr>
      </w:pPr>
    </w:p>
    <w:p w14:paraId="5B702D6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5B2CD81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19DAE4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A22FC3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5F2F58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2B1E62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885C10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C5AB62A">
      <w:pPr>
        <w:widowControl/>
        <w:spacing w:line="360" w:lineRule="auto"/>
        <w:ind w:firstLine="600" w:firstLineChars="200"/>
        <w:jc w:val="left"/>
        <w:rPr>
          <w:rFonts w:hint="eastAsia" w:ascii="宋体" w:hAnsi="宋体" w:cs="宋体"/>
          <w:color w:val="auto"/>
          <w:sz w:val="30"/>
          <w:szCs w:val="30"/>
          <w:highlight w:val="none"/>
        </w:rPr>
      </w:pPr>
    </w:p>
    <w:p w14:paraId="7D384566">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DA28068">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F741301">
      <w:pPr>
        <w:spacing w:line="360" w:lineRule="auto"/>
        <w:jc w:val="center"/>
        <w:rPr>
          <w:rFonts w:hint="eastAsia" w:ascii="宋体" w:hAnsi="宋体" w:cs="宋体"/>
          <w:b/>
          <w:color w:val="auto"/>
          <w:sz w:val="24"/>
          <w:highlight w:val="none"/>
        </w:rPr>
      </w:pPr>
    </w:p>
    <w:p w14:paraId="105DD278">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C7850F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1C170B5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C491C9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AB8BCC">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17C2490">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E5069F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59343B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5821B0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B821B4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7C20BE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1A0913">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391B5A77">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77C7399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4342D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DE019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861E77">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4C96782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0B3F83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2587DCA">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7D19C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35CF96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C4C64A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6C6CE0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22E7B67C">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0FCB13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6BB0C1B">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F5D1DBA">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3012473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02DC27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0AE88E4">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AE310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215DEE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ADEEE5">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7CD0BD8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39D23F70">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54D083B8">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557351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6387E65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7BADA09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3CDEC3B2">
      <w:pPr>
        <w:spacing w:line="360" w:lineRule="auto"/>
        <w:rPr>
          <w:rFonts w:hint="eastAsia" w:ascii="宋体" w:hAnsi="宋体" w:cs="宋体"/>
          <w:b/>
          <w:color w:val="auto"/>
          <w:sz w:val="24"/>
          <w:highlight w:val="none"/>
        </w:rPr>
      </w:pPr>
    </w:p>
    <w:p w14:paraId="57B4FB0C">
      <w:pPr>
        <w:spacing w:line="360" w:lineRule="auto"/>
        <w:rPr>
          <w:rFonts w:hint="eastAsia" w:ascii="宋体" w:hAnsi="宋体" w:cs="宋体"/>
          <w:b/>
          <w:color w:val="auto"/>
          <w:sz w:val="24"/>
          <w:highlight w:val="none"/>
        </w:rPr>
      </w:pPr>
    </w:p>
    <w:p w14:paraId="65708CC9">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05BA4D2A">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CBD5674">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79456E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558447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C241CD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6D6892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5D63CE9">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2DE7192">
      <w:pPr>
        <w:spacing w:line="360" w:lineRule="auto"/>
        <w:rPr>
          <w:rFonts w:hint="eastAsia" w:ascii="宋体" w:hAnsi="宋体" w:cs="宋体"/>
          <w:b/>
          <w:color w:val="auto"/>
          <w:sz w:val="24"/>
          <w:highlight w:val="none"/>
        </w:rPr>
      </w:pPr>
    </w:p>
    <w:p w14:paraId="7DC9E931">
      <w:pPr>
        <w:autoSpaceDE w:val="0"/>
        <w:autoSpaceDN w:val="0"/>
        <w:jc w:val="center"/>
        <w:rPr>
          <w:rFonts w:hint="eastAsia" w:ascii="宋体" w:hAnsi="宋体" w:cs="宋体"/>
          <w:b/>
          <w:color w:val="auto"/>
          <w:spacing w:val="6"/>
          <w:sz w:val="32"/>
          <w:szCs w:val="32"/>
          <w:highlight w:val="none"/>
        </w:rPr>
      </w:pPr>
    </w:p>
    <w:p w14:paraId="017EBFE5">
      <w:pPr>
        <w:autoSpaceDE w:val="0"/>
        <w:autoSpaceDN w:val="0"/>
        <w:jc w:val="center"/>
        <w:rPr>
          <w:rFonts w:hint="eastAsia" w:ascii="宋体" w:hAnsi="宋体" w:cs="宋体"/>
          <w:b/>
          <w:color w:val="auto"/>
          <w:spacing w:val="6"/>
          <w:sz w:val="32"/>
          <w:szCs w:val="32"/>
          <w:highlight w:val="none"/>
        </w:rPr>
      </w:pPr>
    </w:p>
    <w:p w14:paraId="5EBC638C">
      <w:pPr>
        <w:autoSpaceDE w:val="0"/>
        <w:autoSpaceDN w:val="0"/>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26372B0">
      <w:pPr>
        <w:spacing w:line="360" w:lineRule="auto"/>
        <w:rPr>
          <w:rFonts w:hint="eastAsia" w:ascii="宋体" w:hAnsi="宋体" w:cs="宋体"/>
          <w:color w:val="auto"/>
          <w:sz w:val="24"/>
          <w:highlight w:val="none"/>
          <w:u w:val="single"/>
        </w:rPr>
      </w:pPr>
    </w:p>
    <w:p w14:paraId="12FDF954">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lang w:eastAsia="zh-CN"/>
        </w:rPr>
        <w:t>浙江省公路与运输管理中心</w:t>
      </w:r>
      <w:r>
        <w:rPr>
          <w:rFonts w:hint="eastAsia" w:ascii="宋体" w:hAnsi="宋体" w:cs="宋体"/>
          <w:color w:val="auto"/>
          <w:sz w:val="24"/>
          <w:highlight w:val="none"/>
          <w:u w:val="single"/>
        </w:rPr>
        <w:t>、浙江华耀建设咨询有限公司：</w:t>
      </w:r>
    </w:p>
    <w:p w14:paraId="707668D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lang w:eastAsia="zh-CN"/>
        </w:rPr>
        <w:t>城乡公交客运片区组团融合发展“缩小三大差距”促进共同富裕成效评估</w:t>
      </w:r>
      <w:r>
        <w:rPr>
          <w:rFonts w:hint="eastAsia" w:ascii="宋体" w:hAnsi="宋体" w:cs="宋体"/>
          <w:color w:val="auto"/>
          <w:sz w:val="24"/>
          <w:highlight w:val="none"/>
        </w:rPr>
        <w:t>【招标编号：</w:t>
      </w:r>
      <w:r>
        <w:rPr>
          <w:rFonts w:hint="eastAsia" w:ascii="宋体" w:hAnsi="宋体" w:cs="宋体"/>
          <w:color w:val="auto"/>
          <w:sz w:val="24"/>
          <w:highlight w:val="none"/>
          <w:u w:val="single"/>
          <w:lang w:eastAsia="zh-CN"/>
        </w:rPr>
        <w:t>ZJHY-SGLYSZX-202509</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944D53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7765CF85">
      <w:pPr>
        <w:spacing w:line="360" w:lineRule="auto"/>
        <w:ind w:firstLine="494"/>
        <w:rPr>
          <w:rFonts w:hint="eastAsia" w:ascii="宋体" w:hAnsi="宋体" w:cs="宋体"/>
          <w:color w:val="auto"/>
          <w:sz w:val="24"/>
          <w:highlight w:val="none"/>
        </w:rPr>
      </w:pPr>
    </w:p>
    <w:p w14:paraId="51169539">
      <w:pPr>
        <w:spacing w:line="360" w:lineRule="auto"/>
        <w:ind w:firstLine="494"/>
        <w:rPr>
          <w:rFonts w:hint="eastAsia" w:ascii="宋体" w:hAnsi="宋体" w:cs="宋体"/>
          <w:color w:val="auto"/>
          <w:sz w:val="24"/>
          <w:highlight w:val="none"/>
        </w:rPr>
      </w:pPr>
    </w:p>
    <w:p w14:paraId="159A5343">
      <w:pPr>
        <w:spacing w:line="360" w:lineRule="auto"/>
        <w:ind w:firstLine="494"/>
        <w:rPr>
          <w:rFonts w:hint="eastAsia" w:ascii="宋体" w:hAnsi="宋体" w:cs="宋体"/>
          <w:color w:val="auto"/>
          <w:sz w:val="24"/>
          <w:highlight w:val="none"/>
        </w:rPr>
      </w:pPr>
    </w:p>
    <w:p w14:paraId="58452FD6">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6F8BF370">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606423D1">
      <w:pPr>
        <w:rPr>
          <w:rFonts w:hint="eastAsia" w:ascii="宋体" w:hAnsi="宋体" w:cs="宋体"/>
          <w:color w:val="auto"/>
          <w:sz w:val="24"/>
          <w:highlight w:val="none"/>
        </w:rPr>
      </w:pPr>
      <w:r>
        <w:rPr>
          <w:rFonts w:hint="eastAsia" w:ascii="宋体" w:hAnsi="宋体" w:cs="宋体"/>
          <w:b/>
          <w:bCs/>
          <w:color w:val="auto"/>
          <w:sz w:val="24"/>
          <w:highlight w:val="none"/>
        </w:rPr>
        <w:t>附：</w:t>
      </w:r>
    </w:p>
    <w:p w14:paraId="1961A361">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687DA09">
      <w:pPr>
        <w:autoSpaceDE w:val="0"/>
        <w:autoSpaceDN w:val="0"/>
        <w:jc w:val="center"/>
        <w:rPr>
          <w:rFonts w:hint="eastAsia" w:ascii="宋体" w:hAnsi="宋体" w:cs="宋体"/>
          <w:b/>
          <w:color w:val="auto"/>
          <w:spacing w:val="6"/>
          <w:sz w:val="32"/>
          <w:szCs w:val="32"/>
          <w:highlight w:val="none"/>
        </w:rPr>
      </w:pPr>
    </w:p>
    <w:p w14:paraId="0E782C03">
      <w:pPr>
        <w:autoSpaceDE w:val="0"/>
        <w:autoSpaceDN w:val="0"/>
        <w:jc w:val="center"/>
        <w:rPr>
          <w:rFonts w:hint="eastAsia" w:ascii="宋体" w:hAnsi="宋体" w:cs="宋体"/>
          <w:b/>
          <w:color w:val="auto"/>
          <w:spacing w:val="6"/>
          <w:sz w:val="32"/>
          <w:szCs w:val="32"/>
          <w:highlight w:val="none"/>
        </w:rPr>
      </w:pPr>
    </w:p>
    <w:p w14:paraId="08AD7752">
      <w:pPr>
        <w:autoSpaceDE w:val="0"/>
        <w:autoSpaceDN w:val="0"/>
        <w:jc w:val="center"/>
        <w:rPr>
          <w:rFonts w:hint="eastAsia" w:ascii="宋体" w:hAnsi="宋体" w:cs="宋体"/>
          <w:b/>
          <w:color w:val="auto"/>
          <w:spacing w:val="6"/>
          <w:sz w:val="32"/>
          <w:szCs w:val="32"/>
          <w:highlight w:val="none"/>
        </w:rPr>
      </w:pPr>
    </w:p>
    <w:p w14:paraId="27C7C4C2">
      <w:pPr>
        <w:autoSpaceDE w:val="0"/>
        <w:autoSpaceDN w:val="0"/>
        <w:jc w:val="center"/>
        <w:rPr>
          <w:rFonts w:hint="eastAsia" w:ascii="宋体" w:hAnsi="宋体" w:cs="宋体"/>
          <w:b/>
          <w:color w:val="auto"/>
          <w:spacing w:val="6"/>
          <w:sz w:val="32"/>
          <w:szCs w:val="32"/>
          <w:highlight w:val="none"/>
        </w:rPr>
      </w:pPr>
    </w:p>
    <w:p w14:paraId="1D86B875">
      <w:pPr>
        <w:autoSpaceDE w:val="0"/>
        <w:autoSpaceDN w:val="0"/>
        <w:jc w:val="center"/>
        <w:rPr>
          <w:rFonts w:hint="eastAsia" w:ascii="宋体" w:hAnsi="宋体" w:cs="宋体"/>
          <w:b/>
          <w:color w:val="auto"/>
          <w:spacing w:val="6"/>
          <w:sz w:val="32"/>
          <w:szCs w:val="32"/>
          <w:highlight w:val="none"/>
        </w:rPr>
      </w:pPr>
    </w:p>
    <w:p w14:paraId="5CA93FD4">
      <w:pPr>
        <w:autoSpaceDE w:val="0"/>
        <w:autoSpaceDN w:val="0"/>
        <w:jc w:val="center"/>
        <w:rPr>
          <w:rFonts w:hint="eastAsia" w:ascii="宋体" w:hAnsi="宋体" w:cs="宋体"/>
          <w:b/>
          <w:color w:val="auto"/>
          <w:spacing w:val="6"/>
          <w:sz w:val="32"/>
          <w:szCs w:val="32"/>
          <w:highlight w:val="none"/>
        </w:rPr>
      </w:pPr>
    </w:p>
    <w:p w14:paraId="453699F1">
      <w:pPr>
        <w:autoSpaceDE w:val="0"/>
        <w:autoSpaceDN w:val="0"/>
        <w:jc w:val="center"/>
        <w:rPr>
          <w:rFonts w:hint="eastAsia" w:ascii="宋体" w:hAnsi="宋体" w:cs="宋体"/>
          <w:b/>
          <w:color w:val="auto"/>
          <w:spacing w:val="6"/>
          <w:sz w:val="32"/>
          <w:szCs w:val="32"/>
          <w:highlight w:val="none"/>
        </w:rPr>
      </w:pPr>
    </w:p>
    <w:p w14:paraId="0041A383">
      <w:pPr>
        <w:autoSpaceDE w:val="0"/>
        <w:autoSpaceDN w:val="0"/>
        <w:jc w:val="center"/>
        <w:rPr>
          <w:rFonts w:hint="eastAsia" w:ascii="宋体" w:hAnsi="宋体" w:cs="宋体"/>
          <w:b/>
          <w:color w:val="auto"/>
          <w:spacing w:val="6"/>
          <w:sz w:val="32"/>
          <w:szCs w:val="32"/>
          <w:highlight w:val="none"/>
        </w:rPr>
      </w:pPr>
    </w:p>
    <w:p w14:paraId="26A0915D">
      <w:pPr>
        <w:autoSpaceDE w:val="0"/>
        <w:autoSpaceDN w:val="0"/>
        <w:jc w:val="center"/>
        <w:rPr>
          <w:rFonts w:hint="eastAsia" w:ascii="宋体" w:hAnsi="宋体" w:cs="宋体"/>
          <w:b/>
          <w:color w:val="auto"/>
          <w:spacing w:val="6"/>
          <w:sz w:val="32"/>
          <w:szCs w:val="32"/>
          <w:highlight w:val="none"/>
        </w:rPr>
      </w:pPr>
    </w:p>
    <w:p w14:paraId="3980C5CC">
      <w:pPr>
        <w:autoSpaceDE w:val="0"/>
        <w:autoSpaceDN w:val="0"/>
        <w:jc w:val="center"/>
        <w:rPr>
          <w:rFonts w:hint="eastAsia" w:ascii="宋体" w:hAnsi="宋体" w:cs="宋体"/>
          <w:b/>
          <w:color w:val="auto"/>
          <w:spacing w:val="6"/>
          <w:sz w:val="32"/>
          <w:szCs w:val="32"/>
          <w:highlight w:val="none"/>
        </w:rPr>
      </w:pPr>
    </w:p>
    <w:p w14:paraId="651B0416">
      <w:pPr>
        <w:autoSpaceDE w:val="0"/>
        <w:autoSpaceDN w:val="0"/>
        <w:jc w:val="center"/>
        <w:rPr>
          <w:rFonts w:hint="eastAsia" w:ascii="宋体" w:hAnsi="宋体" w:cs="宋体"/>
          <w:b/>
          <w:color w:val="auto"/>
          <w:spacing w:val="6"/>
          <w:sz w:val="32"/>
          <w:szCs w:val="32"/>
          <w:highlight w:val="none"/>
        </w:rPr>
      </w:pPr>
    </w:p>
    <w:p w14:paraId="51A2419D">
      <w:pPr>
        <w:autoSpaceDE w:val="0"/>
        <w:autoSpaceDN w:val="0"/>
        <w:jc w:val="center"/>
        <w:rPr>
          <w:rFonts w:hint="eastAsia" w:ascii="宋体" w:hAnsi="宋体" w:cs="宋体"/>
          <w:b/>
          <w:color w:val="auto"/>
          <w:spacing w:val="6"/>
          <w:sz w:val="32"/>
          <w:szCs w:val="32"/>
          <w:highlight w:val="none"/>
        </w:rPr>
      </w:pPr>
    </w:p>
    <w:p w14:paraId="2E355B66">
      <w:pPr>
        <w:autoSpaceDE w:val="0"/>
        <w:autoSpaceDN w:val="0"/>
        <w:jc w:val="center"/>
        <w:rPr>
          <w:rFonts w:hint="eastAsia" w:ascii="宋体" w:hAnsi="宋体" w:cs="宋体"/>
          <w:b/>
          <w:color w:val="auto"/>
          <w:spacing w:val="6"/>
          <w:sz w:val="32"/>
          <w:szCs w:val="32"/>
          <w:highlight w:val="none"/>
        </w:rPr>
      </w:pPr>
    </w:p>
    <w:p w14:paraId="25D82D3C">
      <w:pPr>
        <w:autoSpaceDE w:val="0"/>
        <w:autoSpaceDN w:val="0"/>
        <w:jc w:val="center"/>
        <w:rPr>
          <w:rFonts w:hint="eastAsia" w:ascii="宋体" w:hAnsi="宋体" w:cs="宋体"/>
          <w:b/>
          <w:color w:val="auto"/>
          <w:spacing w:val="6"/>
          <w:sz w:val="32"/>
          <w:szCs w:val="32"/>
          <w:highlight w:val="none"/>
        </w:rPr>
      </w:pPr>
    </w:p>
    <w:p w14:paraId="20D0539F">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E18ADC1">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0AFBA309">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14600D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城乡公交客运片区组团融合发展“缩小三大差距”促进共同富裕成效评估</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ZJHY-SGLYSZX-202509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4F40D9D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F138CD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CD8C3C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AA2D23A">
      <w:pPr>
        <w:snapToGrid w:val="0"/>
        <w:spacing w:line="360" w:lineRule="auto"/>
        <w:ind w:firstLine="576"/>
        <w:rPr>
          <w:rFonts w:hint="eastAsia" w:ascii="宋体" w:hAnsi="宋体" w:cs="宋体"/>
          <w:color w:val="auto"/>
          <w:kern w:val="0"/>
          <w:sz w:val="24"/>
          <w:highlight w:val="none"/>
          <w:lang w:val="zh-CN"/>
        </w:rPr>
      </w:pPr>
      <w:bookmarkStart w:id="395"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937B1A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35891A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395"/>
    <w:p w14:paraId="3802ECC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1396709">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A3B3C2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1CE0ADE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21C4F2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DE8EA1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D9DD2E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5F1AA1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2A4540C">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022373">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CBD476E">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A2F852F">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B7084A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EEA446B">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E0B58C1">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6F0B704C">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394BDD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城乡公交客运片区组团融合发展“缩小三大差距”促进共同富裕成效评估</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ZJHY-SGLYSZX-202509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5F1485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0582BD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A7EF49E">
      <w:pPr>
        <w:rPr>
          <w:color w:val="auto"/>
          <w:highlight w:val="none"/>
        </w:rPr>
      </w:pPr>
      <w:r>
        <w:rPr>
          <w:rFonts w:hint="eastAsia"/>
          <w:color w:val="auto"/>
          <w:highlight w:val="none"/>
        </w:rPr>
        <w:t>……</w:t>
      </w:r>
    </w:p>
    <w:p w14:paraId="2838867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FEDCC14">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6527C17">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39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396"/>
    </w:p>
    <w:p w14:paraId="0F0B77E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B3ACB86">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73383E1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D86A01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FF9F3B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07C4A9E">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B24EAAE">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1229E3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0E30E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9139AB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0CD3844">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1E604155">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8A138A8">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5CE6B518">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17A2A1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5AA5BDC">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6B479A2">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14:paraId="59CF6D45">
      <w:pPr>
        <w:spacing w:line="360" w:lineRule="auto"/>
        <w:jc w:val="center"/>
        <w:rPr>
          <w:rFonts w:hint="eastAsia" w:ascii="宋体" w:hAnsi="宋体" w:cs="宋体"/>
          <w:color w:val="auto"/>
          <w:sz w:val="24"/>
          <w:highlight w:val="none"/>
          <w:u w:val="single"/>
        </w:rPr>
      </w:pPr>
    </w:p>
    <w:p w14:paraId="1177A4C6">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E71923B">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174A1E49">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0350024">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09A8486">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14:paraId="6D15AE81">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DCE66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08FC6D4">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1E97976">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425C381">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3A0907FE">
      <w:pPr>
        <w:spacing w:line="360" w:lineRule="auto"/>
        <w:jc w:val="left"/>
        <w:rPr>
          <w:rFonts w:hint="eastAsia" w:ascii="宋体" w:hAnsi="宋体" w:cs="宋体"/>
          <w:b/>
          <w:color w:val="auto"/>
          <w:sz w:val="32"/>
          <w:szCs w:val="32"/>
          <w:highlight w:val="none"/>
        </w:rPr>
      </w:pPr>
      <w:r>
        <w:rPr>
          <w:rFonts w:hint="eastAsia" w:ascii="宋体" w:hAnsi="宋体" w:cs="宋体"/>
          <w:color w:val="auto"/>
          <w:sz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7C7B6734">
      <w:pPr>
        <w:rPr>
          <w:rFonts w:hint="eastAsia" w:ascii="宋体" w:hAnsi="宋体" w:cs="宋体"/>
          <w:bCs/>
          <w:color w:val="auto"/>
          <w:sz w:val="24"/>
          <w:highlight w:val="none"/>
        </w:rPr>
      </w:pPr>
      <w:r>
        <w:rPr>
          <w:rFonts w:hint="eastAsia" w:ascii="宋体" w:hAnsi="宋体" w:cs="宋体"/>
          <w:bCs/>
          <w:color w:val="auto"/>
          <w:sz w:val="24"/>
          <w:highlight w:val="none"/>
        </w:rPr>
        <w:br w:type="page"/>
      </w:r>
    </w:p>
    <w:p w14:paraId="2514403E">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附件8：政府采购活动现场确认声明书</w:t>
      </w:r>
    </w:p>
    <w:p w14:paraId="745109BB">
      <w:pPr>
        <w:pStyle w:val="607"/>
        <w:snapToGrid w:val="0"/>
        <w:spacing w:line="400" w:lineRule="exact"/>
        <w:rPr>
          <w:rFonts w:hint="eastAsia" w:hAnsi="宋体" w:cs="宋体"/>
          <w:color w:val="auto"/>
          <w:kern w:val="0"/>
          <w:sz w:val="24"/>
          <w:szCs w:val="24"/>
          <w:highlight w:val="none"/>
          <w:u w:val="single"/>
        </w:rPr>
      </w:pPr>
    </w:p>
    <w:p w14:paraId="059FC2D9">
      <w:pPr>
        <w:pStyle w:val="607"/>
        <w:snapToGrid w:val="0"/>
        <w:spacing w:line="400" w:lineRule="exact"/>
        <w:rPr>
          <w:rFonts w:hint="eastAsia" w:hAnsi="宋体" w:cs="宋体"/>
          <w:b/>
          <w:color w:val="auto"/>
          <w:sz w:val="24"/>
          <w:szCs w:val="24"/>
          <w:highlight w:val="none"/>
        </w:rPr>
      </w:pPr>
      <w:r>
        <w:rPr>
          <w:rFonts w:hint="eastAsia" w:hAnsi="宋体" w:cs="宋体"/>
          <w:color w:val="auto"/>
          <w:kern w:val="0"/>
          <w:sz w:val="24"/>
          <w:szCs w:val="24"/>
          <w:highlight w:val="none"/>
          <w:u w:val="single"/>
        </w:rPr>
        <w:t>浙江华耀建设咨询有限公司</w:t>
      </w:r>
      <w:r>
        <w:rPr>
          <w:rFonts w:hint="eastAsia" w:hAnsi="宋体" w:cs="宋体"/>
          <w:color w:val="auto"/>
          <w:kern w:val="0"/>
          <w:sz w:val="24"/>
          <w:szCs w:val="24"/>
          <w:highlight w:val="none"/>
        </w:rPr>
        <w:t>：</w:t>
      </w:r>
    </w:p>
    <w:p w14:paraId="5D4E9C2D">
      <w:pPr>
        <w:pStyle w:val="607"/>
        <w:snapToGrid w:val="0"/>
        <w:spacing w:line="400" w:lineRule="exact"/>
        <w:ind w:firstLine="504" w:firstLineChars="200"/>
        <w:rPr>
          <w:rFonts w:hint="eastAsia" w:hAnsi="宋体" w:cs="宋体"/>
          <w:color w:val="auto"/>
          <w:spacing w:val="6"/>
          <w:sz w:val="24"/>
          <w:szCs w:val="24"/>
          <w:highlight w:val="none"/>
        </w:rPr>
      </w:pPr>
      <w:r>
        <w:rPr>
          <w:rFonts w:hint="eastAsia" w:hAnsi="宋体" w:cs="宋体"/>
          <w:color w:val="auto"/>
          <w:spacing w:val="6"/>
          <w:sz w:val="24"/>
          <w:szCs w:val="24"/>
          <w:highlight w:val="none"/>
        </w:rPr>
        <w:t>本人经由</w:t>
      </w:r>
      <w:r>
        <w:rPr>
          <w:rFonts w:hint="eastAsia" w:hAnsi="宋体" w:cs="宋体"/>
          <w:color w:val="auto"/>
          <w:spacing w:val="6"/>
          <w:sz w:val="24"/>
          <w:szCs w:val="24"/>
          <w:highlight w:val="none"/>
          <w:u w:val="single"/>
        </w:rPr>
        <w:t xml:space="preserve">               </w:t>
      </w:r>
      <w:r>
        <w:rPr>
          <w:rFonts w:hint="eastAsia" w:hAnsi="宋体" w:cs="宋体"/>
          <w:color w:val="auto"/>
          <w:kern w:val="0"/>
          <w:sz w:val="24"/>
          <w:szCs w:val="24"/>
          <w:highlight w:val="none"/>
          <w:u w:val="single"/>
        </w:rPr>
        <w:t>（</w:t>
      </w:r>
      <w:r>
        <w:rPr>
          <w:rFonts w:hint="eastAsia" w:hAnsi="宋体" w:cs="宋体"/>
          <w:color w:val="auto"/>
          <w:spacing w:val="6"/>
          <w:sz w:val="24"/>
          <w:szCs w:val="24"/>
          <w:highlight w:val="none"/>
          <w:u w:val="single"/>
        </w:rPr>
        <w:t>单位）</w:t>
      </w:r>
      <w:r>
        <w:rPr>
          <w:rFonts w:hint="eastAsia" w:hAnsi="宋体" w:cs="宋体"/>
          <w:color w:val="auto"/>
          <w:spacing w:val="6"/>
          <w:sz w:val="24"/>
          <w:szCs w:val="24"/>
          <w:highlight w:val="none"/>
        </w:rPr>
        <w:t>法定代表人（负责人）</w:t>
      </w:r>
      <w:r>
        <w:rPr>
          <w:rFonts w:hint="eastAsia" w:hAnsi="宋体" w:cs="宋体"/>
          <w:color w:val="auto"/>
          <w:spacing w:val="6"/>
          <w:sz w:val="24"/>
          <w:szCs w:val="24"/>
          <w:highlight w:val="none"/>
          <w:u w:val="single"/>
        </w:rPr>
        <w:t xml:space="preserve">        （姓名）</w:t>
      </w:r>
      <w:r>
        <w:rPr>
          <w:rFonts w:hint="eastAsia" w:hAnsi="宋体" w:cs="宋体"/>
          <w:color w:val="auto"/>
          <w:spacing w:val="6"/>
          <w:sz w:val="24"/>
          <w:szCs w:val="24"/>
          <w:highlight w:val="none"/>
        </w:rPr>
        <w:t>合法授权参加</w:t>
      </w:r>
      <w:r>
        <w:rPr>
          <w:rFonts w:hint="eastAsia" w:hAnsi="宋体" w:cs="宋体"/>
          <w:color w:val="auto"/>
          <w:spacing w:val="6"/>
          <w:sz w:val="24"/>
          <w:szCs w:val="24"/>
          <w:highlight w:val="none"/>
          <w:u w:val="single"/>
        </w:rPr>
        <w:t>城乡公交客运片区组团融合发展“缩小三大差距”促进共同富裕成效评估</w:t>
      </w:r>
      <w:r>
        <w:rPr>
          <w:rFonts w:hint="eastAsia" w:hAnsi="宋体" w:cs="宋体"/>
          <w:color w:val="auto"/>
          <w:kern w:val="0"/>
          <w:sz w:val="24"/>
          <w:szCs w:val="24"/>
          <w:highlight w:val="none"/>
          <w:u w:val="single"/>
        </w:rPr>
        <w:t>（</w:t>
      </w:r>
      <w:r>
        <w:rPr>
          <w:rFonts w:hint="eastAsia" w:hAnsi="宋体" w:cs="宋体"/>
          <w:color w:val="auto"/>
          <w:spacing w:val="6"/>
          <w:sz w:val="24"/>
          <w:szCs w:val="24"/>
          <w:highlight w:val="none"/>
          <w:u w:val="single"/>
        </w:rPr>
        <w:t>项目编号：</w:t>
      </w:r>
      <w:r>
        <w:rPr>
          <w:rFonts w:hint="eastAsia" w:hAnsi="宋体" w:cs="宋体"/>
          <w:color w:val="auto"/>
          <w:spacing w:val="6"/>
          <w:sz w:val="24"/>
          <w:szCs w:val="24"/>
          <w:highlight w:val="none"/>
          <w:u w:val="single"/>
          <w:lang w:eastAsia="zh-CN"/>
        </w:rPr>
        <w:t>ZJHY-SGLYSZX-202509</w:t>
      </w:r>
      <w:r>
        <w:rPr>
          <w:rFonts w:hint="eastAsia" w:hAnsi="宋体" w:cs="宋体"/>
          <w:color w:val="auto"/>
          <w:spacing w:val="6"/>
          <w:sz w:val="24"/>
          <w:szCs w:val="24"/>
          <w:highlight w:val="none"/>
          <w:u w:val="single"/>
        </w:rPr>
        <w:t>）</w:t>
      </w:r>
      <w:r>
        <w:rPr>
          <w:rFonts w:hint="eastAsia" w:hAnsi="宋体" w:cs="宋体"/>
          <w:color w:val="auto"/>
          <w:spacing w:val="6"/>
          <w:sz w:val="24"/>
          <w:szCs w:val="24"/>
          <w:highlight w:val="none"/>
        </w:rPr>
        <w:t xml:space="preserve">政府采购活动，经与本单位法定代表人（负责人）联系确认，现就有关公平竞争事项郑重声明如下： </w:t>
      </w:r>
    </w:p>
    <w:p w14:paraId="5114A439">
      <w:pPr>
        <w:pStyle w:val="607"/>
        <w:numPr>
          <w:ilvl w:val="0"/>
          <w:numId w:val="3"/>
        </w:numPr>
        <w:snapToGrid w:val="0"/>
        <w:spacing w:line="400" w:lineRule="exact"/>
        <w:ind w:firstLine="240"/>
        <w:rPr>
          <w:rFonts w:hint="eastAsia" w:hAnsi="宋体" w:cs="宋体"/>
          <w:color w:val="auto"/>
          <w:kern w:val="0"/>
          <w:sz w:val="24"/>
          <w:szCs w:val="24"/>
          <w:highlight w:val="none"/>
        </w:rPr>
      </w:pPr>
      <w:r>
        <w:rPr>
          <w:rFonts w:hint="eastAsia" w:hAnsi="宋体" w:cs="宋体"/>
          <w:color w:val="auto"/>
          <w:kern w:val="0"/>
          <w:sz w:val="24"/>
          <w:szCs w:val="24"/>
          <w:highlight w:val="none"/>
        </w:rPr>
        <w:t>本单位与采购人之间□不存在利害关系 □存在下列利害关系</w:t>
      </w:r>
      <w:r>
        <w:rPr>
          <w:rFonts w:hint="eastAsia" w:hAnsi="宋体" w:cs="宋体"/>
          <w:color w:val="auto"/>
          <w:spacing w:val="6"/>
          <w:sz w:val="24"/>
          <w:szCs w:val="24"/>
          <w:highlight w:val="none"/>
          <w:u w:val="single"/>
        </w:rPr>
        <w:t xml:space="preserve">            </w:t>
      </w:r>
      <w:r>
        <w:rPr>
          <w:rFonts w:hint="eastAsia" w:hAnsi="宋体" w:cs="宋体"/>
          <w:color w:val="auto"/>
          <w:kern w:val="0"/>
          <w:sz w:val="24"/>
          <w:szCs w:val="24"/>
          <w:highlight w:val="none"/>
        </w:rPr>
        <w:t>：</w:t>
      </w:r>
    </w:p>
    <w:p w14:paraId="26BD4232">
      <w:pPr>
        <w:pStyle w:val="607"/>
        <w:snapToGrid w:val="0"/>
        <w:spacing w:line="400" w:lineRule="exact"/>
        <w:ind w:firstLine="240" w:firstLineChars="100"/>
        <w:rPr>
          <w:rFonts w:hint="eastAsia" w:hAnsi="宋体" w:cs="宋体"/>
          <w:color w:val="auto"/>
          <w:kern w:val="0"/>
          <w:sz w:val="24"/>
          <w:szCs w:val="24"/>
          <w:highlight w:val="none"/>
        </w:rPr>
      </w:pPr>
      <w:r>
        <w:rPr>
          <w:rFonts w:hint="eastAsia" w:hAnsi="宋体" w:cs="宋体"/>
          <w:color w:val="auto"/>
          <w:kern w:val="0"/>
          <w:sz w:val="24"/>
          <w:szCs w:val="24"/>
          <w:highlight w:val="none"/>
        </w:rPr>
        <w:t>A.投资关系    B.行政隶属关系    C.业务指导关系</w:t>
      </w:r>
    </w:p>
    <w:p w14:paraId="1B58D2C2">
      <w:pPr>
        <w:pStyle w:val="607"/>
        <w:snapToGrid w:val="0"/>
        <w:spacing w:line="400" w:lineRule="exact"/>
        <w:ind w:firstLine="240" w:firstLineChars="100"/>
        <w:rPr>
          <w:rFonts w:hint="eastAsia" w:hAnsi="宋体" w:cs="宋体"/>
          <w:color w:val="auto"/>
          <w:kern w:val="0"/>
          <w:sz w:val="24"/>
          <w:szCs w:val="24"/>
          <w:highlight w:val="none"/>
        </w:rPr>
      </w:pPr>
      <w:r>
        <w:rPr>
          <w:rFonts w:hint="eastAsia" w:hAnsi="宋体" w:cs="宋体"/>
          <w:color w:val="auto"/>
          <w:kern w:val="0"/>
          <w:sz w:val="24"/>
          <w:szCs w:val="24"/>
          <w:highlight w:val="none"/>
        </w:rPr>
        <w:t>D.其他可能</w:t>
      </w:r>
      <w:r>
        <w:rPr>
          <w:rFonts w:hint="eastAsia" w:hAnsi="宋体" w:cs="宋体"/>
          <w:color w:val="auto"/>
          <w:sz w:val="24"/>
          <w:szCs w:val="24"/>
          <w:highlight w:val="none"/>
        </w:rPr>
        <w:t>影响采购公正的</w:t>
      </w:r>
      <w:r>
        <w:rPr>
          <w:rFonts w:hint="eastAsia" w:hAnsi="宋体" w:cs="宋体"/>
          <w:color w:val="auto"/>
          <w:kern w:val="0"/>
          <w:sz w:val="24"/>
          <w:szCs w:val="24"/>
          <w:highlight w:val="none"/>
        </w:rPr>
        <w:t>利害关系</w:t>
      </w:r>
      <w:r>
        <w:rPr>
          <w:rFonts w:hint="eastAsia" w:hAnsi="宋体" w:cs="宋体"/>
          <w:color w:val="auto"/>
          <w:kern w:val="0"/>
          <w:sz w:val="24"/>
          <w:szCs w:val="24"/>
          <w:highlight w:val="none"/>
          <w:u w:val="single"/>
        </w:rPr>
        <w:t xml:space="preserve">（如有，请如实说明）                 </w:t>
      </w:r>
      <w:r>
        <w:rPr>
          <w:rFonts w:hint="eastAsia" w:hAnsi="宋体" w:cs="宋体"/>
          <w:color w:val="auto"/>
          <w:kern w:val="0"/>
          <w:sz w:val="24"/>
          <w:szCs w:val="24"/>
          <w:highlight w:val="none"/>
        </w:rPr>
        <w:t>。</w:t>
      </w:r>
    </w:p>
    <w:p w14:paraId="1E4BB85D">
      <w:pPr>
        <w:pStyle w:val="608"/>
        <w:widowControl/>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spacing w:val="6"/>
          <w:sz w:val="24"/>
          <w:szCs w:val="24"/>
          <w:highlight w:val="none"/>
        </w:rPr>
        <w:t xml:space="preserve">  二、</w:t>
      </w:r>
      <w:r>
        <w:rPr>
          <w:rFonts w:hint="eastAsia" w:ascii="宋体" w:hAnsi="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4"/>
          <w:szCs w:val="24"/>
          <w:highlight w:val="none"/>
          <w:u w:val="single"/>
        </w:rPr>
        <w:t xml:space="preserve">           （供应商名称）</w:t>
      </w:r>
      <w:r>
        <w:rPr>
          <w:rFonts w:hint="eastAsia" w:ascii="宋体" w:hAnsi="宋体" w:cs="宋体"/>
          <w:color w:val="auto"/>
          <w:kern w:val="0"/>
          <w:sz w:val="24"/>
          <w:szCs w:val="24"/>
          <w:highlight w:val="none"/>
        </w:rPr>
        <w:t>之间存在下列利害关系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750B3C3E">
      <w:pPr>
        <w:pStyle w:val="607"/>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A.法定代表人或负责人或实际控制人是同一人</w:t>
      </w:r>
    </w:p>
    <w:p w14:paraId="57F7C612">
      <w:pPr>
        <w:pStyle w:val="607"/>
        <w:snapToGrid w:val="0"/>
        <w:spacing w:line="400" w:lineRule="exact"/>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B.法定代表人或负责人或实际控制人是夫妻关系</w:t>
      </w:r>
    </w:p>
    <w:p w14:paraId="5FFF3FD8">
      <w:pPr>
        <w:pStyle w:val="607"/>
        <w:snapToGrid w:val="0"/>
        <w:spacing w:line="400" w:lineRule="exact"/>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C.法定代表人或负责人或实际控制人是直系血亲关系</w:t>
      </w:r>
    </w:p>
    <w:p w14:paraId="70BA6BBD">
      <w:pPr>
        <w:pStyle w:val="607"/>
        <w:snapToGrid w:val="0"/>
        <w:spacing w:line="400" w:lineRule="exact"/>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D.法定代表人或负责人或实际控制人存在三代以内旁系血亲关系</w:t>
      </w:r>
    </w:p>
    <w:p w14:paraId="675583CD">
      <w:pPr>
        <w:pStyle w:val="607"/>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E.法定代表人或负责人或实际控制人存在近姻亲关系</w:t>
      </w:r>
    </w:p>
    <w:p w14:paraId="40B79C81">
      <w:pPr>
        <w:pStyle w:val="607"/>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F.法定代表人或负责人或实际控制人存在股份控制或实际控制关系</w:t>
      </w:r>
    </w:p>
    <w:p w14:paraId="60D70EB4">
      <w:pPr>
        <w:pStyle w:val="607"/>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G.存在共同直接或间接投资设立子公司、联营企业和合营企业情况</w:t>
      </w:r>
    </w:p>
    <w:p w14:paraId="3B3FA089">
      <w:pPr>
        <w:pStyle w:val="607"/>
        <w:snapToGrid w:val="0"/>
        <w:spacing w:line="400" w:lineRule="exact"/>
        <w:rPr>
          <w:rFonts w:hint="eastAsia" w:hAnsi="宋体" w:cs="宋体"/>
          <w:color w:val="auto"/>
          <w:sz w:val="24"/>
          <w:szCs w:val="24"/>
          <w:highlight w:val="none"/>
        </w:rPr>
      </w:pPr>
      <w:r>
        <w:rPr>
          <w:rFonts w:hint="eastAsia" w:hAnsi="宋体" w:cs="宋体"/>
          <w:color w:val="auto"/>
          <w:kern w:val="0"/>
          <w:sz w:val="24"/>
          <w:szCs w:val="24"/>
          <w:highlight w:val="none"/>
        </w:rPr>
        <w:t xml:space="preserve">  H.存在分级代理或代销关系、同一生产制造商关系、</w:t>
      </w:r>
      <w:r>
        <w:rPr>
          <w:rFonts w:hint="eastAsia" w:hAnsi="宋体" w:cs="宋体"/>
          <w:color w:val="auto"/>
          <w:sz w:val="24"/>
          <w:szCs w:val="24"/>
          <w:highlight w:val="none"/>
        </w:rPr>
        <w:t>管理关系、重要业务（占主营业务收入50%以上）或重要财务往来关系（如融资）等其他实质性控制关系</w:t>
      </w:r>
    </w:p>
    <w:p w14:paraId="3D02DA61">
      <w:pPr>
        <w:pStyle w:val="607"/>
        <w:snapToGrid w:val="0"/>
        <w:spacing w:line="400" w:lineRule="exact"/>
        <w:rPr>
          <w:rFonts w:hint="eastAsia" w:hAnsi="宋体" w:cs="宋体"/>
          <w:color w:val="auto"/>
          <w:spacing w:val="6"/>
          <w:sz w:val="24"/>
          <w:szCs w:val="24"/>
          <w:highlight w:val="none"/>
        </w:rPr>
      </w:pPr>
      <w:r>
        <w:rPr>
          <w:rFonts w:hint="eastAsia" w:hAnsi="宋体" w:cs="宋体"/>
          <w:color w:val="auto"/>
          <w:sz w:val="24"/>
          <w:szCs w:val="24"/>
          <w:highlight w:val="none"/>
        </w:rPr>
        <w:t xml:space="preserve">    I</w:t>
      </w:r>
      <w:r>
        <w:rPr>
          <w:rFonts w:hint="eastAsia" w:hAnsi="宋体" w:cs="宋体"/>
          <w:color w:val="auto"/>
          <w:kern w:val="0"/>
          <w:sz w:val="24"/>
          <w:szCs w:val="24"/>
          <w:highlight w:val="none"/>
        </w:rPr>
        <w:t>.</w:t>
      </w:r>
      <w:r>
        <w:rPr>
          <w:rFonts w:hint="eastAsia" w:hAnsi="宋体" w:cs="宋体"/>
          <w:color w:val="auto"/>
          <w:sz w:val="24"/>
          <w:szCs w:val="24"/>
          <w:highlight w:val="none"/>
        </w:rPr>
        <w:t>其他利害关系情况</w:t>
      </w:r>
      <w:r>
        <w:rPr>
          <w:rFonts w:hint="eastAsia" w:hAnsi="宋体" w:cs="宋体"/>
          <w:color w:val="auto"/>
          <w:spacing w:val="6"/>
          <w:sz w:val="24"/>
          <w:szCs w:val="24"/>
          <w:highlight w:val="none"/>
          <w:u w:val="single"/>
        </w:rPr>
        <w:t xml:space="preserve">    </w:t>
      </w:r>
      <w:r>
        <w:rPr>
          <w:rFonts w:hint="eastAsia" w:hAnsi="宋体" w:cs="宋体"/>
          <w:color w:val="auto"/>
          <w:kern w:val="0"/>
          <w:sz w:val="24"/>
          <w:szCs w:val="24"/>
          <w:highlight w:val="none"/>
        </w:rPr>
        <w:t>。</w:t>
      </w:r>
    </w:p>
    <w:p w14:paraId="7EA2FD4D">
      <w:pPr>
        <w:pStyle w:val="608"/>
        <w:widowControl/>
        <w:numPr>
          <w:ilvl w:val="0"/>
          <w:numId w:val="4"/>
        </w:numPr>
        <w:snapToGrid w:val="0"/>
        <w:spacing w:line="400" w:lineRule="exact"/>
        <w:ind w:firstLine="453" w:firstLineChars="189"/>
        <w:rPr>
          <w:rFonts w:hint="eastAsia" w:ascii="宋体" w:hAnsi="宋体" w:cs="宋体"/>
          <w:color w:val="auto"/>
          <w:kern w:val="0"/>
          <w:sz w:val="24"/>
          <w:szCs w:val="24"/>
          <w:highlight w:val="none"/>
        </w:rPr>
      </w:pPr>
      <w:r>
        <w:rPr>
          <w:rFonts w:hint="eastAsia" w:ascii="宋体" w:hAnsi="宋体" w:cs="宋体"/>
          <w:color w:val="auto"/>
          <w:sz w:val="24"/>
          <w:szCs w:val="24"/>
          <w:highlight w:val="none"/>
        </w:rPr>
        <w:t>现已清楚知道并</w:t>
      </w:r>
      <w:r>
        <w:rPr>
          <w:rFonts w:hint="eastAsia" w:ascii="宋体" w:hAnsi="宋体" w:cs="宋体"/>
          <w:color w:val="auto"/>
          <w:kern w:val="0"/>
          <w:sz w:val="24"/>
          <w:szCs w:val="24"/>
          <w:highlight w:val="none"/>
        </w:rPr>
        <w:t>严格遵守政府采购法律法规和现场纪律。</w:t>
      </w:r>
    </w:p>
    <w:p w14:paraId="175C9603">
      <w:pPr>
        <w:pStyle w:val="608"/>
        <w:widowControl/>
        <w:numPr>
          <w:ilvl w:val="0"/>
          <w:numId w:val="4"/>
        </w:numPr>
        <w:snapToGrid w:val="0"/>
        <w:spacing w:line="400" w:lineRule="exact"/>
        <w:ind w:firstLine="453" w:firstLineChars="18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我发现</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供应商之间存在或可能存在上述第二条第</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项利害关系。</w:t>
      </w:r>
    </w:p>
    <w:p w14:paraId="31A01F51">
      <w:pPr>
        <w:pStyle w:val="607"/>
        <w:snapToGrid w:val="0"/>
        <w:spacing w:line="400" w:lineRule="exact"/>
        <w:ind w:firstLine="480" w:firstLineChars="200"/>
        <w:rPr>
          <w:rFonts w:hint="eastAsia" w:hAnsi="宋体" w:cs="宋体"/>
          <w:color w:val="auto"/>
          <w:sz w:val="24"/>
          <w:szCs w:val="24"/>
          <w:highlight w:val="none"/>
        </w:rPr>
      </w:pPr>
    </w:p>
    <w:p w14:paraId="02DE0FCC">
      <w:pPr>
        <w:pStyle w:val="607"/>
        <w:snapToGrid w:val="0"/>
        <w:spacing w:line="6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                                      投标人</w:t>
      </w:r>
      <w:r>
        <w:rPr>
          <w:rFonts w:hint="eastAsia" w:hAnsi="宋体" w:cs="宋体"/>
          <w:color w:val="auto"/>
          <w:spacing w:val="6"/>
          <w:sz w:val="24"/>
          <w:szCs w:val="24"/>
          <w:highlight w:val="none"/>
        </w:rPr>
        <w:t>法定代表人</w:t>
      </w:r>
      <w:r>
        <w:rPr>
          <w:rFonts w:hint="eastAsia" w:hAnsi="宋体" w:cs="宋体"/>
          <w:color w:val="auto"/>
          <w:spacing w:val="6"/>
          <w:sz w:val="24"/>
          <w:szCs w:val="24"/>
          <w:highlight w:val="none"/>
          <w:lang w:val="en-US" w:eastAsia="zh-CN"/>
        </w:rPr>
        <w:t>或</w:t>
      </w:r>
      <w:r>
        <w:rPr>
          <w:rFonts w:hint="eastAsia" w:hAnsi="宋体" w:cs="宋体"/>
          <w:color w:val="auto"/>
          <w:sz w:val="24"/>
          <w:szCs w:val="24"/>
          <w:highlight w:val="none"/>
        </w:rPr>
        <w:t>授权代表签名：</w:t>
      </w:r>
    </w:p>
    <w:p w14:paraId="190AC7D4">
      <w:pPr>
        <w:pStyle w:val="607"/>
        <w:snapToGrid w:val="0"/>
        <w:spacing w:line="600" w:lineRule="exact"/>
        <w:jc w:val="right"/>
        <w:rPr>
          <w:rFonts w:hint="eastAsia" w:hAnsi="宋体" w:cs="宋体"/>
          <w:color w:val="auto"/>
          <w:sz w:val="24"/>
          <w:szCs w:val="24"/>
          <w:highlight w:val="none"/>
        </w:rPr>
      </w:pPr>
      <w:r>
        <w:rPr>
          <w:rFonts w:hint="eastAsia" w:hAnsi="宋体" w:cs="宋体"/>
          <w:color w:val="auto"/>
          <w:sz w:val="24"/>
          <w:szCs w:val="24"/>
          <w:highlight w:val="none"/>
        </w:rPr>
        <w:t xml:space="preserve">2025年X月X日  </w:t>
      </w:r>
    </w:p>
    <w:p w14:paraId="3934CB26">
      <w:pPr>
        <w:pStyle w:val="27"/>
        <w:ind w:right="-512" w:firstLine="526"/>
        <w:rPr>
          <w:rFonts w:hint="eastAsia" w:ascii="宋体" w:hAnsi="宋体" w:eastAsia="宋体" w:cs="宋体"/>
          <w:color w:val="auto"/>
          <w:sz w:val="22"/>
          <w:highlight w:val="none"/>
        </w:rPr>
      </w:pPr>
    </w:p>
    <w:p w14:paraId="07CD1952">
      <w:pPr>
        <w:rPr>
          <w:rFonts w:hint="eastAsia" w:ascii="宋体" w:hAnsi="宋体" w:cs="宋体"/>
          <w:b/>
          <w:color w:val="auto"/>
          <w:sz w:val="22"/>
          <w:highlight w:val="none"/>
        </w:rPr>
      </w:pPr>
      <w:r>
        <w:rPr>
          <w:rFonts w:hint="eastAsia" w:ascii="宋体" w:hAnsi="宋体" w:cs="宋体"/>
          <w:b/>
          <w:bCs/>
          <w:color w:val="auto"/>
          <w:sz w:val="22"/>
          <w:highlight w:val="none"/>
        </w:rPr>
        <w:t>备注：《政府采购活动现场确认声明书》不用编制进投标文件中，投标人在投标文件解密后，通过电子邮件形式向邮箱地址（1241596092@qq.com）发送填写完整的确认声明书即可</w:t>
      </w:r>
      <w:r>
        <w:rPr>
          <w:rFonts w:hint="eastAsia" w:ascii="宋体" w:hAnsi="宋体" w:cs="宋体"/>
          <w:b/>
          <w:bCs/>
          <w:color w:val="auto"/>
          <w:sz w:val="22"/>
          <w:highlight w:val="none"/>
          <w:lang w:eastAsia="zh-CN"/>
        </w:rPr>
        <w:t>，</w:t>
      </w:r>
      <w:r>
        <w:rPr>
          <w:rFonts w:hint="eastAsia" w:ascii="宋体" w:hAnsi="宋体" w:cs="宋体"/>
          <w:b/>
          <w:bCs/>
          <w:color w:val="auto"/>
          <w:sz w:val="22"/>
          <w:highlight w:val="none"/>
          <w:lang w:val="en-US" w:eastAsia="zh-CN"/>
        </w:rPr>
        <w:t>落款处由投标人法定代表人或授权代表签名，无需加盖公章，日期填写开标当日</w:t>
      </w:r>
      <w:r>
        <w:rPr>
          <w:rFonts w:hint="eastAsia" w:ascii="宋体" w:hAnsi="宋体" w:cs="宋体"/>
          <w:b/>
          <w:bCs/>
          <w:color w:val="auto"/>
          <w:sz w:val="22"/>
          <w:highlight w:val="none"/>
        </w:rPr>
        <w:t>。</w:t>
      </w:r>
    </w:p>
    <w:p w14:paraId="3B495478">
      <w:pPr>
        <w:pStyle w:val="79"/>
        <w:rPr>
          <w:rFonts w:hint="eastAsia"/>
          <w:color w:val="auto"/>
          <w:highlight w:val="none"/>
        </w:rPr>
      </w:pP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altName w:val="苹方-简"/>
    <w:panose1 w:val="02040503050406030204"/>
    <w:charset w:val="00"/>
    <w:family w:val="roman"/>
    <w:pitch w:val="default"/>
    <w:sig w:usb0="00000000" w:usb1="00000000"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80000287" w:usb1="280F3C52" w:usb2="00000016" w:usb3="00000000" w:csb0="0004001F" w:csb1="00000000"/>
  </w:font>
  <w:font w:name="Futura Bk">
    <w:altName w:val="苹方-简"/>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AFF" w:usb1="C000605B" w:usb2="00000029" w:usb3="00000000" w:csb0="200101FF" w:csb1="20280000"/>
  </w:font>
  <w:font w:name="MS Sans Serif">
    <w:altName w:val="苹方-简"/>
    <w:panose1 w:val="00000000000000000000"/>
    <w:charset w:val="00"/>
    <w:family w:val="swiss"/>
    <w:pitch w:val="default"/>
    <w:sig w:usb0="00000000" w:usb1="00000000" w:usb2="00000000" w:usb3="00000000" w:csb0="00000001" w:csb1="00000000"/>
  </w:font>
  <w:font w:name="Lucida Sans">
    <w:altName w:val="苹方-简"/>
    <w:panose1 w:val="020B0602030504020204"/>
    <w:charset w:val="00"/>
    <w:family w:val="swiss"/>
    <w:pitch w:val="default"/>
    <w:sig w:usb0="00000000" w:usb1="00000000" w:usb2="00000000" w:usb3="00000000" w:csb0="20000001" w:csb1="00000000"/>
  </w:font>
  <w:font w:name="等线 Light">
    <w:altName w:val="汉仪中等线KW"/>
    <w:panose1 w:val="02010600030101010101"/>
    <w:charset w:val="86"/>
    <w:family w:val="auto"/>
    <w:pitch w:val="default"/>
    <w:sig w:usb0="00000000" w:usb1="00000000" w:usb2="00000016" w:usb3="00000000" w:csb0="0004000F" w:csb1="00000000"/>
  </w:font>
  <w:font w:name="Verdana">
    <w:panose1 w:val="020B0804030504040204"/>
    <w:charset w:val="00"/>
    <w:family w:val="swiss"/>
    <w:pitch w:val="default"/>
    <w:sig w:usb0="A10006FF" w:usb1="4000205B" w:usb2="00000010" w:usb3="00000000" w:csb0="2000019F" w:csb1="00000000"/>
  </w:font>
  <w:font w:name="ˎ̥">
    <w:altName w:val="苹方-简"/>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苹方-简"/>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0000000000000000000"/>
    <w:charset w:val="00"/>
    <w:family w:val="swiss"/>
    <w:pitch w:val="default"/>
    <w:sig w:usb0="E00002FF" w:usb1="5000785B" w:usb2="00000000" w:usb3="00000000" w:csb0="2000019F" w:csb1="4F010000"/>
  </w:font>
  <w:font w:name="Cumberland">
    <w:altName w:val="苹方-简"/>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苹方-简"/>
    <w:panose1 w:val="00000000000000000000"/>
    <w:charset w:val="00"/>
    <w:family w:val="swiss"/>
    <w:pitch w:val="default"/>
    <w:sig w:usb0="00000000" w:usb1="00000000" w:usb2="00000000" w:usb3="00000000" w:csb0="000001FB" w:csb1="00000000"/>
  </w:font>
  <w:font w:name="Segoe UI">
    <w:altName w:val="苹方-简"/>
    <w:panose1 w:val="020B0502040204020203"/>
    <w:charset w:val="00"/>
    <w:family w:val="swiss"/>
    <w:pitch w:val="default"/>
    <w:sig w:usb0="00000000" w:usb1="00000000" w:usb2="00000009" w:usb3="00000000" w:csb0="200001FF" w:csb1="00000000"/>
  </w:font>
  <w:font w:name="Latha">
    <w:altName w:val="苹方-简"/>
    <w:panose1 w:val="02000400000000000000"/>
    <w:charset w:val="00"/>
    <w:family w:val="swiss"/>
    <w:pitch w:val="default"/>
    <w:sig w:usb0="00000000" w:usb1="00000000" w:usb2="00000000" w:usb3="00000000" w:csb0="00000001" w:csb1="00000000"/>
  </w:font>
  <w:font w:name="等线">
    <w:altName w:val="汉仪中等线KW"/>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altName w:val="苹方-简"/>
    <w:panose1 w:val="020B0602030504020204"/>
    <w:charset w:val="00"/>
    <w:family w:val="swiss"/>
    <w:pitch w:val="default"/>
    <w:sig w:usb0="00000000" w:usb1="00000000" w:usb2="00000000" w:usb3="00000000" w:csb0="200000BF" w:csb1="D7F70000"/>
  </w:font>
  <w:font w:name="Century Gothic">
    <w:altName w:val="苹方-简"/>
    <w:panose1 w:val="020B0502020202020204"/>
    <w:charset w:val="00"/>
    <w:family w:val="swiss"/>
    <w:pitch w:val="default"/>
    <w:sig w:usb0="00000000" w:usb1="00000000" w:usb2="00000000" w:usb3="00000000" w:csb0="2000009F" w:csb1="DFD70000"/>
  </w:font>
  <w:font w:name="Aldine401 BT">
    <w:altName w:val="苹方-简"/>
    <w:panose1 w:val="00000000000000000000"/>
    <w:charset w:val="00"/>
    <w:family w:val="roman"/>
    <w:pitch w:val="default"/>
    <w:sig w:usb0="00000000" w:usb1="00000000" w:usb2="00000000" w:usb3="00000000" w:csb0="00000011" w:csb1="00000000"/>
  </w:font>
  <w:font w:name=".PingFang SC">
    <w:panose1 w:val="02020503050405090304"/>
    <w:charset w:val="00"/>
    <w:family w:val="modern"/>
    <w:pitch w:val="default"/>
    <w:sig w:usb0="E0000AFF" w:usb1="00007843" w:usb2="00000001" w:usb3="00000000" w:csb0="400001BF" w:csb1="DFF70000"/>
  </w:font>
  <w:font w:name="MS Gothic">
    <w:altName w:val="Hiragino Sans"/>
    <w:panose1 w:val="020B0609070205080204"/>
    <w:charset w:val="80"/>
    <w:family w:val="modern"/>
    <w:pitch w:val="default"/>
    <w:sig w:usb0="00000000" w:usb1="00000000" w:usb2="08000012" w:usb3="00000000" w:csb0="4002009F" w:csb1="DFD70000"/>
  </w:font>
  <w:font w:name="MS Mincho">
    <w:altName w:val="Hiragino Sans"/>
    <w:panose1 w:val="02020609040205080304"/>
    <w:charset w:val="80"/>
    <w:family w:val="modern"/>
    <w:pitch w:val="default"/>
    <w:sig w:usb0="00000000" w:usb1="00000000" w:usb2="08000012" w:usb3="00000000" w:csb0="0002009F" w:csb1="00000000"/>
  </w:font>
  <w:font w:name="Songti SC Regular">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Hiragino Sans">
    <w:panose1 w:val="020B0300000000000000"/>
    <w:charset w:val="80"/>
    <w:family w:val="auto"/>
    <w:pitch w:val="default"/>
    <w:sig w:usb0="E00002FF" w:usb1="7AE7FFFF" w:usb2="00000012" w:usb3="00000000" w:csb0="0002000D"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简">
    <w:panose1 w:val="02010600000101010101"/>
    <w:charset w:val="86"/>
    <w:family w:val="auto"/>
    <w:pitch w:val="default"/>
    <w:sig w:usb0="00000001" w:usb1="080E0800" w:usb2="00000002" w:usb3="00000000" w:csb0="00040000" w:csb1="00000000"/>
  </w:font>
  <w:font w:name="汉仪中等线KW">
    <w:panose1 w:val="01010104010101010101"/>
    <w:charset w:val="86"/>
    <w:family w:val="auto"/>
    <w:pitch w:val="default"/>
    <w:sig w:usb0="800002BF" w:usb1="004F7CFA" w:usb2="00000000" w:usb3="00000000" w:csb0="00040001" w:csb1="00000000"/>
  </w:font>
  <w:font w:name="Arial">
    <w:panose1 w:val="020B0604020202090204"/>
    <w:charset w:val="00"/>
    <w:family w:val="auto"/>
    <w:pitch w:val="default"/>
    <w:sig w:usb0="E0000AFF" w:usb1="00007843"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E55C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DAF54">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3724B">
    <w:pPr>
      <w:pStyle w:val="39"/>
      <w:framePr w:wrap="around" w:vAnchor="text" w:hAnchor="margin" w:xAlign="right" w:y="1"/>
      <w:rPr>
        <w:rStyle w:val="72"/>
      </w:rPr>
    </w:pPr>
    <w:r>
      <w:fldChar w:fldCharType="begin"/>
    </w:r>
    <w:r>
      <w:rPr>
        <w:rStyle w:val="72"/>
      </w:rPr>
      <w:instrText xml:space="preserve">PAGE  </w:instrText>
    </w:r>
    <w:r>
      <w:fldChar w:fldCharType="end"/>
    </w:r>
  </w:p>
  <w:p w14:paraId="51D83C70">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94BDA">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397" w:name="_Toc131845147"/>
    <w:bookmarkStart w:id="398" w:name="_Toc164085800"/>
    <w:bookmarkStart w:id="399" w:name="_Toc91899912"/>
    <w:bookmarkStart w:id="400" w:name="_Toc36110187"/>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7B267">
    <w:pPr>
      <w:pStyle w:val="39"/>
      <w:framePr w:wrap="around" w:vAnchor="text" w:hAnchor="margin" w:xAlign="right" w:y="1"/>
      <w:rPr>
        <w:rStyle w:val="72"/>
      </w:rPr>
    </w:pPr>
    <w:r>
      <w:fldChar w:fldCharType="begin"/>
    </w:r>
    <w:r>
      <w:rPr>
        <w:rStyle w:val="72"/>
      </w:rPr>
      <w:instrText xml:space="preserve">PAGE  </w:instrText>
    </w:r>
    <w:r>
      <w:fldChar w:fldCharType="end"/>
    </w:r>
  </w:p>
  <w:p w14:paraId="67F494BB">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10F1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A9D4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55172A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7140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322FB6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9C6A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45FB45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71DF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D2C9C8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8CC0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42A29B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6C96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75CE40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AC92A">
    <w:pPr>
      <w:pStyle w:val="40"/>
      <w:pBdr>
        <w:bottom w:val="single" w:color="auto" w:sz="6" w:space="4"/>
      </w:pBdr>
      <w:jc w:val="right"/>
    </w:pPr>
    <w:r>
      <w:t></w:t>
    </w:r>
    <w:r>
      <w:rPr>
        <w:rFonts w:hint="eastAsia"/>
      </w:rPr>
      <w:t xml:space="preserve">            </w:t>
    </w:r>
    <w:r>
      <w:t>政府采购公开招标文件</w:t>
    </w:r>
  </w:p>
  <w:p w14:paraId="3F33651C">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8CCF3">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3CD86">
    <w:pPr>
      <w:pStyle w:val="40"/>
      <w:jc w:val="right"/>
      <w:rPr>
        <w:rFonts w:ascii="仿宋_GB2312" w:eastAsia="仿宋_GB2312"/>
        <w:b/>
        <w:i/>
        <w:iCs/>
        <w:u w:val="single"/>
      </w:rPr>
    </w:pP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C6AAC">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B16661"/>
    <w:multiLevelType w:val="singleLevel"/>
    <w:tmpl w:val="C8B16661"/>
    <w:lvl w:ilvl="0" w:tentative="0">
      <w:start w:val="1"/>
      <w:numFmt w:val="chineseCounting"/>
      <w:suff w:val="nothing"/>
      <w:lvlText w:val="%1、"/>
      <w:lvlJc w:val="left"/>
      <w:pPr>
        <w:ind w:left="-11"/>
      </w:pPr>
      <w:rPr>
        <w:rFonts w:hint="eastAsia"/>
      </w:r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292178FB"/>
    <w:multiLevelType w:val="singleLevel"/>
    <w:tmpl w:val="292178FB"/>
    <w:lvl w:ilvl="0" w:tentative="0">
      <w:start w:val="2"/>
      <w:numFmt w:val="chineseCounting"/>
      <w:suff w:val="nothing"/>
      <w:lvlText w:val="%1、"/>
      <w:lvlJc w:val="left"/>
      <w:rPr>
        <w:rFonts w:hint="eastAsia"/>
      </w:rPr>
    </w:lvl>
  </w:abstractNum>
  <w:abstractNum w:abstractNumId="3">
    <w:nsid w:val="557FD3DA"/>
    <w:multiLevelType w:val="singleLevel"/>
    <w:tmpl w:val="557FD3DA"/>
    <w:lvl w:ilvl="0" w:tentative="0">
      <w:start w:val="3"/>
      <w:numFmt w:val="chineseCounting"/>
      <w:suff w:val="nothing"/>
      <w:lvlText w:val="%1、"/>
      <w:lvlJc w:val="left"/>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MWUxYjE0MTA3ZjI2NzE3ZWM2YmI5MmM3ZDc0Y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A0E"/>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58FD"/>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023"/>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008"/>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1A9E"/>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677"/>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21F"/>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C85"/>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46D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81A"/>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6AE0FD2"/>
    <w:rsid w:val="07245D42"/>
    <w:rsid w:val="07264C62"/>
    <w:rsid w:val="0779354C"/>
    <w:rsid w:val="07A149DB"/>
    <w:rsid w:val="08061376"/>
    <w:rsid w:val="08452D77"/>
    <w:rsid w:val="08522B41"/>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2322F7"/>
    <w:rsid w:val="0A3E7710"/>
    <w:rsid w:val="0A5B7E63"/>
    <w:rsid w:val="0AA374A5"/>
    <w:rsid w:val="0AAB7649"/>
    <w:rsid w:val="0ABC5606"/>
    <w:rsid w:val="0ACF4E8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454C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8C1950"/>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05EA9"/>
    <w:rsid w:val="13C77A9D"/>
    <w:rsid w:val="141008D8"/>
    <w:rsid w:val="14125FE6"/>
    <w:rsid w:val="146D271E"/>
    <w:rsid w:val="14982588"/>
    <w:rsid w:val="149A5AD9"/>
    <w:rsid w:val="14A7619D"/>
    <w:rsid w:val="150536C3"/>
    <w:rsid w:val="150C1963"/>
    <w:rsid w:val="151447A0"/>
    <w:rsid w:val="154A6454"/>
    <w:rsid w:val="15762120"/>
    <w:rsid w:val="15832374"/>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BDB3116"/>
    <w:rsid w:val="1C0459C2"/>
    <w:rsid w:val="1C1B3B4A"/>
    <w:rsid w:val="1C88086E"/>
    <w:rsid w:val="1CCB5193"/>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731E7D"/>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2757DF"/>
    <w:rsid w:val="354D7158"/>
    <w:rsid w:val="358D5588"/>
    <w:rsid w:val="362E00BD"/>
    <w:rsid w:val="363A3B40"/>
    <w:rsid w:val="365302AE"/>
    <w:rsid w:val="36607A0A"/>
    <w:rsid w:val="366E227C"/>
    <w:rsid w:val="366F2E0D"/>
    <w:rsid w:val="367B6A5C"/>
    <w:rsid w:val="36A74ADA"/>
    <w:rsid w:val="36AD60D5"/>
    <w:rsid w:val="36B224F9"/>
    <w:rsid w:val="36EC0CC9"/>
    <w:rsid w:val="37026D17"/>
    <w:rsid w:val="37202102"/>
    <w:rsid w:val="373F410B"/>
    <w:rsid w:val="37EE7094"/>
    <w:rsid w:val="38296C89"/>
    <w:rsid w:val="383002EB"/>
    <w:rsid w:val="38586797"/>
    <w:rsid w:val="385D15DF"/>
    <w:rsid w:val="38BC0149"/>
    <w:rsid w:val="38D87D1C"/>
    <w:rsid w:val="39452D9B"/>
    <w:rsid w:val="39501B10"/>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DF314A"/>
    <w:rsid w:val="3BF15831"/>
    <w:rsid w:val="3C072FA6"/>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C7213A"/>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8B6329"/>
    <w:rsid w:val="45C63B94"/>
    <w:rsid w:val="460E7DA5"/>
    <w:rsid w:val="46422483"/>
    <w:rsid w:val="4659254A"/>
    <w:rsid w:val="465B0637"/>
    <w:rsid w:val="465E3F0D"/>
    <w:rsid w:val="466A16E6"/>
    <w:rsid w:val="46893F2B"/>
    <w:rsid w:val="46A92F4A"/>
    <w:rsid w:val="46C4686E"/>
    <w:rsid w:val="477B778F"/>
    <w:rsid w:val="478203EC"/>
    <w:rsid w:val="47B025FA"/>
    <w:rsid w:val="4809698F"/>
    <w:rsid w:val="4811697D"/>
    <w:rsid w:val="48505CB1"/>
    <w:rsid w:val="487A3E25"/>
    <w:rsid w:val="488B5503"/>
    <w:rsid w:val="48937E21"/>
    <w:rsid w:val="489A0361"/>
    <w:rsid w:val="48B94FF3"/>
    <w:rsid w:val="48E37AAB"/>
    <w:rsid w:val="48E37E04"/>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805B9E"/>
    <w:rsid w:val="4CB6685F"/>
    <w:rsid w:val="4CC367FE"/>
    <w:rsid w:val="4CCB66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9A58FE"/>
    <w:rsid w:val="55A8376B"/>
    <w:rsid w:val="55DC29B6"/>
    <w:rsid w:val="55DD4241"/>
    <w:rsid w:val="56471638"/>
    <w:rsid w:val="566B6D1E"/>
    <w:rsid w:val="56FF6099"/>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2334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68237"/>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5FFF07FC"/>
    <w:rsid w:val="60232584"/>
    <w:rsid w:val="607330CE"/>
    <w:rsid w:val="60825176"/>
    <w:rsid w:val="609F2AC4"/>
    <w:rsid w:val="60FA2EE8"/>
    <w:rsid w:val="610538E1"/>
    <w:rsid w:val="61054A27"/>
    <w:rsid w:val="610A52BC"/>
    <w:rsid w:val="611D2366"/>
    <w:rsid w:val="61421856"/>
    <w:rsid w:val="615227C4"/>
    <w:rsid w:val="61654E3F"/>
    <w:rsid w:val="617FD818"/>
    <w:rsid w:val="6182292A"/>
    <w:rsid w:val="619F7F92"/>
    <w:rsid w:val="61B067D3"/>
    <w:rsid w:val="61F94C26"/>
    <w:rsid w:val="62000E56"/>
    <w:rsid w:val="623A601C"/>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1653E"/>
    <w:rsid w:val="653C3090"/>
    <w:rsid w:val="65854376"/>
    <w:rsid w:val="658767BE"/>
    <w:rsid w:val="65892531"/>
    <w:rsid w:val="66195831"/>
    <w:rsid w:val="662E75B1"/>
    <w:rsid w:val="66342C2E"/>
    <w:rsid w:val="663E784C"/>
    <w:rsid w:val="668B6A45"/>
    <w:rsid w:val="66BC5957"/>
    <w:rsid w:val="672F3F24"/>
    <w:rsid w:val="673E055F"/>
    <w:rsid w:val="67551CE3"/>
    <w:rsid w:val="676F7186"/>
    <w:rsid w:val="67A22552"/>
    <w:rsid w:val="67B22DCC"/>
    <w:rsid w:val="67BE71AA"/>
    <w:rsid w:val="67D90273"/>
    <w:rsid w:val="67DE5875"/>
    <w:rsid w:val="67E55852"/>
    <w:rsid w:val="67EB1AB4"/>
    <w:rsid w:val="67F9684B"/>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A470B"/>
    <w:rsid w:val="6D8E4F15"/>
    <w:rsid w:val="6D9078AF"/>
    <w:rsid w:val="6DAA3FEF"/>
    <w:rsid w:val="6DC0172B"/>
    <w:rsid w:val="6DCB690C"/>
    <w:rsid w:val="6DD41A5B"/>
    <w:rsid w:val="6DF43C2E"/>
    <w:rsid w:val="6DF51CA3"/>
    <w:rsid w:val="6E8335BD"/>
    <w:rsid w:val="6E8E12EF"/>
    <w:rsid w:val="6E972936"/>
    <w:rsid w:val="6ED446C5"/>
    <w:rsid w:val="6F2A7D94"/>
    <w:rsid w:val="6F6049BF"/>
    <w:rsid w:val="6F8331F1"/>
    <w:rsid w:val="6FAE1A09"/>
    <w:rsid w:val="6FD75BF8"/>
    <w:rsid w:val="701E33A8"/>
    <w:rsid w:val="707723D0"/>
    <w:rsid w:val="70F5661B"/>
    <w:rsid w:val="71360107"/>
    <w:rsid w:val="713B688E"/>
    <w:rsid w:val="71D43752"/>
    <w:rsid w:val="71F1796A"/>
    <w:rsid w:val="71F9215D"/>
    <w:rsid w:val="72154626"/>
    <w:rsid w:val="72262B5D"/>
    <w:rsid w:val="72283FF7"/>
    <w:rsid w:val="722E7212"/>
    <w:rsid w:val="723A0474"/>
    <w:rsid w:val="725923E4"/>
    <w:rsid w:val="72864BF7"/>
    <w:rsid w:val="729023FC"/>
    <w:rsid w:val="73C0646E"/>
    <w:rsid w:val="73FFE14F"/>
    <w:rsid w:val="742222F5"/>
    <w:rsid w:val="74476126"/>
    <w:rsid w:val="74706664"/>
    <w:rsid w:val="747F3682"/>
    <w:rsid w:val="749C4185"/>
    <w:rsid w:val="75067759"/>
    <w:rsid w:val="752E6DCD"/>
    <w:rsid w:val="7551380D"/>
    <w:rsid w:val="75600BE5"/>
    <w:rsid w:val="7564475C"/>
    <w:rsid w:val="756BF969"/>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87C99F"/>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CFC2019"/>
    <w:rsid w:val="7D0C32F1"/>
    <w:rsid w:val="7D0F408D"/>
    <w:rsid w:val="7D491C6C"/>
    <w:rsid w:val="7D5429C0"/>
    <w:rsid w:val="7D6E6D43"/>
    <w:rsid w:val="7DB57A34"/>
    <w:rsid w:val="7DD86F60"/>
    <w:rsid w:val="7DE60973"/>
    <w:rsid w:val="7DEF0916"/>
    <w:rsid w:val="7E1E5218"/>
    <w:rsid w:val="7E9A4E1F"/>
    <w:rsid w:val="7EA7723A"/>
    <w:rsid w:val="7EEE68EE"/>
    <w:rsid w:val="7EF56FBB"/>
    <w:rsid w:val="7F0768EB"/>
    <w:rsid w:val="7F143BEC"/>
    <w:rsid w:val="7F3C2134"/>
    <w:rsid w:val="7F715AF2"/>
    <w:rsid w:val="7F886E69"/>
    <w:rsid w:val="7F961E7F"/>
    <w:rsid w:val="9EEBCADD"/>
    <w:rsid w:val="9FCD3301"/>
    <w:rsid w:val="9FED7050"/>
    <w:rsid w:val="A9EF6BFC"/>
    <w:rsid w:val="BB7FA927"/>
    <w:rsid w:val="BCCC0DFA"/>
    <w:rsid w:val="BD7EEB0D"/>
    <w:rsid w:val="BF676975"/>
    <w:rsid w:val="BFFDAC50"/>
    <w:rsid w:val="CF7303B9"/>
    <w:rsid w:val="DB93F5F1"/>
    <w:rsid w:val="EFB60A98"/>
    <w:rsid w:val="F5FFD31F"/>
    <w:rsid w:val="FBBEB8A3"/>
    <w:rsid w:val="FBEEB763"/>
    <w:rsid w:val="FFAD6496"/>
    <w:rsid w:val="FFCF1770"/>
    <w:rsid w:val="FFEE4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3"/>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1"/>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3"/>
    <w:qFormat/>
    <w:uiPriority w:val="0"/>
    <w:pPr>
      <w:spacing w:after="120" w:line="480" w:lineRule="auto"/>
    </w:pPr>
  </w:style>
  <w:style w:type="paragraph" w:styleId="56">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7"/>
    <w:qFormat/>
    <w:uiPriority w:val="0"/>
    <w:rPr>
      <w:b/>
      <w:bCs/>
    </w:rPr>
  </w:style>
  <w:style w:type="paragraph" w:styleId="60">
    <w:name w:val="Body Text First Indent"/>
    <w:basedOn w:val="23"/>
    <w:next w:val="50"/>
    <w:link w:val="322"/>
    <w:qFormat/>
    <w:uiPriority w:val="0"/>
    <w:pPr>
      <w:ind w:firstLine="420"/>
    </w:pPr>
    <w:rPr>
      <w:rFonts w:hAnsi="Calibri" w:cs="Times New Roman"/>
      <w:snapToGrid/>
      <w:szCs w:val="20"/>
    </w:rPr>
  </w:style>
  <w:style w:type="paragraph" w:styleId="61">
    <w:name w:val="Body Text First Indent 2"/>
    <w:basedOn w:val="24"/>
    <w:next w:val="1"/>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文字"/>
    <w:basedOn w:val="32"/>
    <w:next w:val="23"/>
    <w:qFormat/>
    <w:uiPriority w:val="0"/>
    <w:pPr>
      <w:adjustRightInd/>
      <w:ind w:firstLine="200" w:firstLineChars="200"/>
    </w:pPr>
    <w:rPr>
      <w:rFonts w:ascii="Arial" w:hAnsi="Arial"/>
      <w:spacing w:val="-5"/>
      <w:kern w:val="0"/>
      <w:sz w:val="24"/>
      <w:szCs w:val="20"/>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7"/>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5"/>
    <w:qFormat/>
    <w:uiPriority w:val="0"/>
    <w:rPr>
      <w:rFonts w:ascii="宋体"/>
      <w:kern w:val="2"/>
      <w:sz w:val="24"/>
      <w:szCs w:val="21"/>
      <w:lang w:val="zh-CN"/>
    </w:rPr>
  </w:style>
  <w:style w:type="character" w:customStyle="1" w:styleId="183">
    <w:name w:val="标题 9 字符"/>
    <w:link w:val="10"/>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表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58"/>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6"/>
    <w:qFormat/>
    <w:uiPriority w:val="0"/>
    <w:rPr>
      <w:rFonts w:ascii="黑体" w:hAnsi="Courier New" w:eastAsia="黑体"/>
    </w:rPr>
  </w:style>
  <w:style w:type="character" w:customStyle="1" w:styleId="303">
    <w:name w:val="正文文本 2 字符1"/>
    <w:link w:val="55"/>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8"/>
    <w:qFormat/>
    <w:uiPriority w:val="0"/>
    <w:rPr>
      <w:b/>
      <w:bCs/>
      <w:kern w:val="2"/>
      <w:sz w:val="24"/>
      <w:szCs w:val="24"/>
    </w:rPr>
  </w:style>
  <w:style w:type="character" w:customStyle="1" w:styleId="309">
    <w:name w:val="正文文本缩进 2 字符"/>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49"/>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60"/>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qFormat/>
    <w:uiPriority w:val="0"/>
    <w:rPr>
      <w:kern w:val="2"/>
      <w:sz w:val="21"/>
      <w:szCs w:val="24"/>
    </w:rPr>
  </w:style>
  <w:style w:type="character" w:customStyle="1" w:styleId="346">
    <w:name w:val="签名 字符"/>
    <w:link w:val="41"/>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2"/>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39"/>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0"/>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608"/>
    <w:qFormat/>
    <w:uiPriority w:val="7"/>
    <w:pPr>
      <w:adjustRightInd/>
    </w:pPr>
    <w:rPr>
      <w:rFonts w:ascii="宋体" w:hAnsi="Courier New"/>
    </w:rPr>
  </w:style>
  <w:style w:type="paragraph" w:customStyle="1" w:styleId="608">
    <w:name w:val="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8"/>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2"/>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7"/>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w:qFormat/>
    <w:uiPriority w:val="0"/>
    <w:rPr>
      <w:rFonts w:ascii="宋体" w:hAnsi="宋体" w:eastAsia="宋体" w:cs="Times New Roman"/>
      <w:sz w:val="24"/>
      <w:lang w:val="en-US" w:eastAsia="en-US" w:bidi="ar-SA"/>
    </w:rPr>
  </w:style>
  <w:style w:type="character" w:customStyle="1" w:styleId="967">
    <w:name w:val="无"/>
    <w:qFormat/>
    <w:uiPriority w:val="0"/>
  </w:style>
  <w:style w:type="paragraph" w:customStyle="1" w:styleId="96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65</Pages>
  <Words>2914</Words>
  <Characters>3327</Characters>
  <Lines>291</Lines>
  <Paragraphs>82</Paragraphs>
  <TotalTime>0</TotalTime>
  <ScaleCrop>false</ScaleCrop>
  <LinksUpToDate>false</LinksUpToDate>
  <CharactersWithSpaces>3583</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Jane</cp:lastModifiedBy>
  <cp:lastPrinted>2025-04-11T19:11:00Z</cp:lastPrinted>
  <dcterms:modified xsi:type="dcterms:W3CDTF">2025-06-19T10:23:33Z</dcterms:modified>
  <dc:title>杭州市市民卡扩大发卡工程</dc:title>
  <cp:revision>346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CB68C1F1CDEF86BDA574536869124C1E_43</vt:lpwstr>
  </property>
  <property fmtid="{D5CDD505-2E9C-101B-9397-08002B2CF9AE}" pid="5" name="KSOTemplateDocerSaveRecord">
    <vt:lpwstr>eyJoZGlkIjoiNDRiZjc0MDU0YTQ1MDIzOTEyMGQyM2Q0NmQ1NzNkYzYiLCJ1c2VySWQiOiIyNjIzMjA1OTAifQ==</vt:lpwstr>
  </property>
</Properties>
</file>