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6268B">
      <w:pPr>
        <w:tabs>
          <w:tab w:val="left" w:pos="0"/>
        </w:tabs>
        <w:autoSpaceDE w:val="0"/>
        <w:autoSpaceDN w:val="0"/>
        <w:adjustRightInd w:val="0"/>
        <w:spacing w:line="400" w:lineRule="exact"/>
        <w:jc w:val="center"/>
        <w:rPr>
          <w:rFonts w:hint="eastAsia" w:ascii="黑体" w:eastAsia="黑体" w:cs="黑体"/>
          <w:color w:val="auto"/>
          <w:sz w:val="32"/>
          <w:szCs w:val="32"/>
          <w:highlight w:val="none"/>
          <w:lang w:val="zh-CN"/>
        </w:rPr>
      </w:pPr>
    </w:p>
    <w:p w14:paraId="6F89AD5A">
      <w:pPr>
        <w:tabs>
          <w:tab w:val="left" w:pos="0"/>
        </w:tabs>
        <w:autoSpaceDE w:val="0"/>
        <w:autoSpaceDN w:val="0"/>
        <w:adjustRightInd w:val="0"/>
        <w:spacing w:line="400" w:lineRule="exact"/>
        <w:jc w:val="center"/>
        <w:rPr>
          <w:rFonts w:hint="eastAsia" w:ascii="黑体" w:eastAsia="黑体" w:cs="黑体"/>
          <w:color w:val="auto"/>
          <w:sz w:val="32"/>
          <w:szCs w:val="32"/>
          <w:highlight w:val="none"/>
          <w:lang w:val="zh-CN"/>
        </w:rPr>
      </w:pPr>
      <w:r>
        <w:rPr>
          <w:rFonts w:hint="eastAsia" w:ascii="黑体" w:eastAsia="黑体" w:cs="黑体"/>
          <w:color w:val="auto"/>
          <w:sz w:val="32"/>
          <w:szCs w:val="32"/>
          <w:highlight w:val="none"/>
          <w:lang w:val="zh-CN"/>
        </w:rPr>
        <w:t>工程量清单编制说明</w:t>
      </w:r>
    </w:p>
    <w:p w14:paraId="37579A13">
      <w:pPr>
        <w:tabs>
          <w:tab w:val="left" w:pos="0"/>
        </w:tabs>
        <w:autoSpaceDE w:val="0"/>
        <w:autoSpaceDN w:val="0"/>
        <w:adjustRightInd w:val="0"/>
        <w:spacing w:line="400" w:lineRule="exact"/>
        <w:jc w:val="left"/>
        <w:rPr>
          <w:rFonts w:hint="eastAsia" w:ascii="宋体" w:hAnsi="宋体" w:eastAsia="宋体" w:cs="宋体"/>
          <w:color w:val="auto"/>
          <w:szCs w:val="22"/>
          <w:highlight w:val="none"/>
          <w:lang w:val="en-US" w:eastAsia="zh-CN"/>
        </w:rPr>
      </w:pPr>
      <w:r>
        <w:rPr>
          <w:rFonts w:hint="eastAsia" w:ascii="宋体" w:hAnsi="宋体" w:cs="宋体"/>
          <w:color w:val="auto"/>
          <w:szCs w:val="21"/>
          <w:highlight w:val="none"/>
          <w:lang w:val="zh-CN"/>
        </w:rPr>
        <w:t>工程名称：</w:t>
      </w:r>
      <w:r>
        <w:rPr>
          <w:rFonts w:hint="eastAsia" w:asciiTheme="minorEastAsia" w:hAnsiTheme="minorEastAsia" w:eastAsiaTheme="minorEastAsia" w:cstheme="minorEastAsia"/>
          <w:szCs w:val="22"/>
          <w:lang w:val="en-US" w:eastAsia="zh-CN"/>
        </w:rPr>
        <w:t>浙江财经大学教学楼卫生间维修改造项目</w:t>
      </w:r>
    </w:p>
    <w:tbl>
      <w:tblPr>
        <w:tblStyle w:val="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14:paraId="5CF3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9514" w:type="dxa"/>
            <w:vAlign w:val="top"/>
          </w:tcPr>
          <w:p w14:paraId="29E6D695">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工程概况：</w:t>
            </w:r>
          </w:p>
          <w:p w14:paraId="01EEA262">
            <w:pPr>
              <w:keepNext w:val="0"/>
              <w:keepLines w:val="0"/>
              <w:pageBreakBefore w:val="0"/>
              <w:widowControl w:val="0"/>
              <w:numPr>
                <w:ilvl w:val="0"/>
                <w:numId w:val="0"/>
              </w:numPr>
              <w:kinsoku/>
              <w:wordWrap/>
              <w:overflowPunct/>
              <w:topLinePunct w:val="0"/>
              <w:bidi w:val="0"/>
              <w:adjustRightInd w:val="0"/>
              <w:snapToGrid w:val="0"/>
              <w:spacing w:line="380" w:lineRule="exact"/>
              <w:ind w:left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本项目为浙江财经大学教学楼卫生间维修改造项目，工程地址位于</w:t>
            </w:r>
            <w:r>
              <w:rPr>
                <w:rFonts w:hint="eastAsia"/>
                <w:szCs w:val="22"/>
                <w:highlight w:val="none"/>
                <w:lang w:val="en-US" w:eastAsia="zh-CN"/>
              </w:rPr>
              <w:t>浙江省杭州市</w:t>
            </w:r>
            <w:r>
              <w:rPr>
                <w:rFonts w:hint="eastAsia" w:ascii="Calibri" w:hAnsi="Calibri" w:eastAsia="宋体" w:cs="Times New Roman"/>
                <w:snapToGrid w:val="0"/>
                <w:kern w:val="0"/>
                <w:sz w:val="21"/>
                <w:szCs w:val="22"/>
                <w:lang w:val="en-US" w:eastAsia="zh-CN" w:bidi="ar-SA"/>
              </w:rPr>
              <w:t>。</w:t>
            </w:r>
          </w:p>
          <w:p w14:paraId="5BED69FA">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编制依据：</w:t>
            </w:r>
          </w:p>
          <w:p w14:paraId="67CFA63E">
            <w:pPr>
              <w:keepNext w:val="0"/>
              <w:keepLines w:val="0"/>
              <w:pageBreakBefore w:val="0"/>
              <w:widowControl w:val="0"/>
              <w:numPr>
                <w:ilvl w:val="0"/>
                <w:numId w:val="2"/>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施工图。</w:t>
            </w:r>
          </w:p>
          <w:p w14:paraId="2912B70C">
            <w:pPr>
              <w:keepNext w:val="0"/>
              <w:keepLines w:val="0"/>
              <w:pageBreakBefore w:val="0"/>
              <w:widowControl w:val="0"/>
              <w:numPr>
                <w:ilvl w:val="0"/>
                <w:numId w:val="2"/>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szCs w:val="22"/>
                <w:lang w:val="en-US" w:eastAsia="zh-CN"/>
              </w:rPr>
              <w:t>《建设工程工程量清单计价规范（GB50500-2013）》、《房屋建筑与装饰工程工程量计算规范（GB50854-2013）》、《通用安装工程工程量计算规范（GB50856-2013）》、《浙江省房屋建筑与装饰工程预算定额（2018版）》、《浙江省通用安装工程预算定额（2018版）》、《浙江省建设工程计价规则（2018版）》以及相应解释和勘误等资料</w:t>
            </w:r>
            <w:r>
              <w:rPr>
                <w:rFonts w:hint="eastAsia" w:ascii="Calibri" w:hAnsi="Calibri" w:eastAsia="宋体" w:cs="Times New Roman"/>
                <w:snapToGrid w:val="0"/>
                <w:kern w:val="0"/>
                <w:sz w:val="21"/>
                <w:szCs w:val="22"/>
                <w:lang w:val="en-US" w:eastAsia="zh-CN" w:bidi="ar-SA"/>
              </w:rPr>
              <w:t>。</w:t>
            </w:r>
          </w:p>
          <w:p w14:paraId="52762EC5">
            <w:pPr>
              <w:keepNext w:val="0"/>
              <w:keepLines w:val="0"/>
              <w:pageBreakBefore w:val="0"/>
              <w:widowControl w:val="0"/>
              <w:numPr>
                <w:ilvl w:val="0"/>
                <w:numId w:val="2"/>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与本工程有关的标准（包括标准图集）、规范、技术资料解释等。</w:t>
            </w:r>
          </w:p>
          <w:p w14:paraId="03F3CD02">
            <w:pPr>
              <w:keepNext w:val="0"/>
              <w:keepLines w:val="0"/>
              <w:pageBreakBefore w:val="0"/>
              <w:widowControl w:val="0"/>
              <w:numPr>
                <w:ilvl w:val="0"/>
                <w:numId w:val="2"/>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业主提供的相关资料、会议纪要、与业主和设计的往来函件</w:t>
            </w:r>
            <w:r>
              <w:rPr>
                <w:rFonts w:hint="eastAsia" w:cs="Times New Roman"/>
                <w:snapToGrid w:val="0"/>
                <w:kern w:val="0"/>
                <w:sz w:val="21"/>
                <w:szCs w:val="22"/>
                <w:lang w:val="en-US" w:eastAsia="zh-CN" w:bidi="ar-SA"/>
              </w:rPr>
              <w:t>、招标文件</w:t>
            </w:r>
            <w:r>
              <w:rPr>
                <w:rFonts w:hint="eastAsia" w:ascii="Calibri" w:hAnsi="Calibri" w:eastAsia="宋体" w:cs="Times New Roman"/>
                <w:snapToGrid w:val="0"/>
                <w:kern w:val="0"/>
                <w:sz w:val="21"/>
                <w:szCs w:val="22"/>
                <w:lang w:val="en-US" w:eastAsia="zh-CN" w:bidi="ar-SA"/>
              </w:rPr>
              <w:t>等。</w:t>
            </w:r>
          </w:p>
          <w:p w14:paraId="26D4FABF">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编制范围：</w:t>
            </w:r>
          </w:p>
          <w:p w14:paraId="36E0BA32">
            <w:pPr>
              <w:tabs>
                <w:tab w:val="left" w:pos="0"/>
              </w:tabs>
              <w:autoSpaceDE w:val="0"/>
              <w:autoSpaceDN w:val="0"/>
              <w:adjustRightInd w:val="0"/>
              <w:spacing w:line="400" w:lineRule="exact"/>
              <w:ind w:firstLine="420" w:firstLineChars="200"/>
              <w:jc w:val="left"/>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本清单编制范围为：</w:t>
            </w:r>
            <w:r>
              <w:rPr>
                <w:rFonts w:hint="eastAsia" w:asciiTheme="minorEastAsia" w:hAnsiTheme="minorEastAsia" w:eastAsiaTheme="minorEastAsia" w:cstheme="minorEastAsia"/>
                <w:szCs w:val="22"/>
                <w:lang w:val="en-US" w:eastAsia="zh-CN"/>
              </w:rPr>
              <w:t>浙江财经大学教学楼卫生间维修改造项目的装饰装修</w:t>
            </w:r>
            <w:r>
              <w:rPr>
                <w:rFonts w:hint="eastAsia" w:asciiTheme="minorEastAsia" w:hAnsiTheme="minorEastAsia" w:eastAsiaTheme="minorEastAsia" w:cstheme="minorEastAsia"/>
                <w:snapToGrid w:val="0"/>
                <w:kern w:val="0"/>
                <w:sz w:val="21"/>
                <w:szCs w:val="22"/>
                <w:lang w:val="en-US" w:eastAsia="zh-CN" w:bidi="ar-SA"/>
              </w:rPr>
              <w:t>工程、电气工程、给排水工程等内容</w:t>
            </w:r>
            <w:r>
              <w:rPr>
                <w:rFonts w:hint="eastAsia" w:ascii="Calibri" w:hAnsi="Calibri" w:eastAsia="宋体" w:cs="Times New Roman"/>
                <w:snapToGrid w:val="0"/>
                <w:kern w:val="0"/>
                <w:sz w:val="21"/>
                <w:szCs w:val="22"/>
                <w:lang w:val="en-US" w:eastAsia="zh-CN" w:bidi="ar-SA"/>
              </w:rPr>
              <w:t>。</w:t>
            </w:r>
          </w:p>
          <w:p w14:paraId="2BE24BD5">
            <w:pPr>
              <w:keepNext w:val="0"/>
              <w:keepLines w:val="0"/>
              <w:pageBreakBefore w:val="0"/>
              <w:widowControl w:val="0"/>
              <w:numPr>
                <w:ilvl w:val="0"/>
                <w:numId w:val="3"/>
              </w:numPr>
              <w:kinsoku/>
              <w:wordWrap/>
              <w:overflowPunct/>
              <w:topLinePunct w:val="0"/>
              <w:bidi w:val="0"/>
              <w:adjustRightInd w:val="0"/>
              <w:snapToGrid w:val="0"/>
              <w:spacing w:line="380" w:lineRule="exact"/>
              <w:ind w:leftChars="200"/>
              <w:rPr>
                <w:rFonts w:hint="default"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具体工作内容以工程量清单项目为准。</w:t>
            </w:r>
          </w:p>
          <w:p w14:paraId="4B3A39F2">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工程质量、工期、材料、施工等要求：（详见</w:t>
            </w:r>
            <w:r>
              <w:rPr>
                <w:rFonts w:hint="eastAsia" w:cs="Times New Roman"/>
                <w:snapToGrid w:val="0"/>
                <w:kern w:val="0"/>
                <w:sz w:val="21"/>
                <w:szCs w:val="22"/>
                <w:lang w:val="en-US" w:eastAsia="zh-CN" w:bidi="ar-SA"/>
              </w:rPr>
              <w:t>招标</w:t>
            </w:r>
            <w:r>
              <w:rPr>
                <w:rFonts w:hint="eastAsia" w:ascii="Calibri" w:hAnsi="Calibri" w:eastAsia="宋体" w:cs="Times New Roman"/>
                <w:snapToGrid w:val="0"/>
                <w:kern w:val="0"/>
                <w:sz w:val="21"/>
                <w:szCs w:val="22"/>
                <w:lang w:val="en-US" w:eastAsia="zh-CN" w:bidi="ar-SA"/>
              </w:rPr>
              <w:t>文件）</w:t>
            </w:r>
          </w:p>
          <w:p w14:paraId="64652391">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其他说明的事项：</w:t>
            </w:r>
          </w:p>
          <w:p w14:paraId="1D7ACA5F">
            <w:pPr>
              <w:keepNext w:val="0"/>
              <w:keepLines w:val="0"/>
              <w:pageBreakBefore w:val="0"/>
              <w:widowControl w:val="0"/>
              <w:numPr>
                <w:ilvl w:val="0"/>
                <w:numId w:val="4"/>
              </w:numPr>
              <w:kinsoku/>
              <w:wordWrap/>
              <w:overflowPunct/>
              <w:topLinePunct w:val="0"/>
              <w:bidi w:val="0"/>
              <w:adjustRightInd w:val="0"/>
              <w:snapToGrid w:val="0"/>
              <w:spacing w:line="380" w:lineRule="exact"/>
              <w:ind w:left="0" w:leftChars="0" w:firstLine="420" w:firstLineChars="200"/>
              <w:rPr>
                <w:rFonts w:hint="default" w:ascii="Calibri" w:hAnsi="Calibri" w:eastAsia="宋体" w:cs="Times New Roman"/>
                <w:snapToGrid w:val="0"/>
                <w:kern w:val="0"/>
                <w:sz w:val="21"/>
                <w:szCs w:val="22"/>
                <w:highlight w:val="none"/>
                <w:lang w:val="en-US" w:eastAsia="zh-CN" w:bidi="ar-SA"/>
              </w:rPr>
            </w:pPr>
            <w:r>
              <w:rPr>
                <w:rFonts w:hint="eastAsia" w:ascii="Calibri" w:hAnsi="Calibri" w:eastAsia="宋体" w:cs="Times New Roman"/>
                <w:snapToGrid w:val="0"/>
                <w:kern w:val="0"/>
                <w:sz w:val="21"/>
                <w:szCs w:val="22"/>
                <w:highlight w:val="none"/>
                <w:lang w:val="en-US" w:eastAsia="zh-CN" w:bidi="ar-SA"/>
              </w:rPr>
              <w:t>取费及报价说明</w:t>
            </w:r>
          </w:p>
          <w:p w14:paraId="684BD687">
            <w:pPr>
              <w:keepNext w:val="0"/>
              <w:keepLines w:val="0"/>
              <w:pageBreakBefore w:val="0"/>
              <w:widowControl w:val="0"/>
              <w:numPr>
                <w:ilvl w:val="0"/>
                <w:numId w:val="5"/>
              </w:numPr>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highlight w:val="none"/>
                <w:lang w:val="en-US" w:eastAsia="zh-CN" w:bidi="ar-SA"/>
              </w:rPr>
            </w:pPr>
            <w:r>
              <w:rPr>
                <w:rFonts w:hint="eastAsia"/>
                <w:highlight w:val="none"/>
                <w:lang w:val="en-US" w:eastAsia="zh-CN"/>
              </w:rPr>
              <w:t>安全文明施工费用必须充分保证。投标单位应根据《关于建筑业实施营改增后浙江省建设工程计价规则调整的通知》（建建发[2016]144号）、</w:t>
            </w:r>
            <w:r>
              <w:rPr>
                <w:rFonts w:hint="eastAsia"/>
                <w:szCs w:val="22"/>
                <w:highlight w:val="none"/>
                <w:lang w:val="en-US" w:eastAsia="zh-CN"/>
              </w:rPr>
              <w:t>《省建设厅关于调整建设工程安全文明施工费的通知》（浙建建发[2022]37号）、</w:t>
            </w:r>
            <w:r>
              <w:rPr>
                <w:rFonts w:hint="eastAsia"/>
                <w:highlight w:val="none"/>
                <w:lang w:val="en-US" w:eastAsia="zh-CN"/>
              </w:rPr>
              <w:t>《关于发布营改增后浙江省建设工程施工取费费率的通知》（浙建站定[2016]23号）及《浙江省建设工程计价规则》（2018版）施工取费的相关规定，投标报价不得低于相应基准费率的90%（即施工取费费率的下限）计取，具体如下：</w:t>
            </w:r>
          </w:p>
          <w:p w14:paraId="4E34A810">
            <w:pPr>
              <w:keepNext w:val="0"/>
              <w:keepLines w:val="0"/>
              <w:pageBreakBefore w:val="0"/>
              <w:widowControl w:val="0"/>
              <w:numPr>
                <w:ilvl w:val="0"/>
                <w:numId w:val="0"/>
              </w:numPr>
              <w:kinsoku/>
              <w:wordWrap/>
              <w:overflowPunct/>
              <w:topLinePunct w:val="0"/>
              <w:bidi w:val="0"/>
              <w:adjustRightInd w:val="0"/>
              <w:snapToGrid w:val="0"/>
              <w:spacing w:line="380" w:lineRule="exact"/>
              <w:ind w:firstLine="630" w:firstLineChars="300"/>
              <w:rPr>
                <w:rFonts w:hint="eastAsia"/>
                <w:color w:val="auto"/>
                <w:highlight w:val="none"/>
                <w:lang w:val="en-US" w:eastAsia="zh-CN"/>
              </w:rPr>
            </w:pPr>
            <w:r>
              <w:rPr>
                <w:rFonts w:hint="eastAsia"/>
                <w:lang w:val="en-US" w:eastAsia="zh-CN"/>
              </w:rPr>
              <w:t>单独装饰</w:t>
            </w:r>
            <w:r>
              <w:rPr>
                <w:rFonts w:hint="eastAsia" w:ascii="Calibri" w:hAnsi="Calibri" w:eastAsia="宋体" w:cs="Times New Roman"/>
                <w:snapToGrid w:val="0"/>
                <w:kern w:val="0"/>
                <w:sz w:val="21"/>
                <w:szCs w:val="22"/>
                <w:lang w:val="en-US" w:eastAsia="zh-CN" w:bidi="ar-SA"/>
              </w:rPr>
              <w:t>工程</w:t>
            </w:r>
            <w:r>
              <w:rPr>
                <w:rFonts w:hint="eastAsia" w:cs="Times New Roman"/>
                <w:snapToGrid w:val="0"/>
                <w:kern w:val="0"/>
                <w:sz w:val="21"/>
                <w:szCs w:val="22"/>
                <w:lang w:val="en-US" w:eastAsia="zh-CN" w:bidi="ar-SA"/>
              </w:rPr>
              <w:t>：</w:t>
            </w:r>
            <w:r>
              <w:rPr>
                <w:rFonts w:hint="eastAsia" w:ascii="Calibri" w:hAnsi="Calibri" w:eastAsia="宋体" w:cs="Times New Roman"/>
                <w:snapToGrid w:val="0"/>
                <w:kern w:val="0"/>
                <w:sz w:val="21"/>
                <w:szCs w:val="22"/>
                <w:lang w:val="en-US" w:eastAsia="zh-CN" w:bidi="ar-SA"/>
              </w:rPr>
              <w:t>取费基数为“定额人工费+定额机械费”，具体费率为</w:t>
            </w:r>
            <w:r>
              <w:rPr>
                <w:rFonts w:hint="eastAsia"/>
                <w:color w:val="auto"/>
                <w:highlight w:val="none"/>
                <w:lang w:val="en-US" w:eastAsia="zh-CN"/>
              </w:rPr>
              <w:t>5.91%；</w:t>
            </w:r>
          </w:p>
          <w:p w14:paraId="18869DA4">
            <w:pPr>
              <w:keepNext w:val="0"/>
              <w:keepLines w:val="0"/>
              <w:pageBreakBefore w:val="0"/>
              <w:widowControl w:val="0"/>
              <w:numPr>
                <w:ilvl w:val="0"/>
                <w:numId w:val="0"/>
              </w:numPr>
              <w:kinsoku/>
              <w:wordWrap/>
              <w:overflowPunct/>
              <w:topLinePunct w:val="0"/>
              <w:bidi w:val="0"/>
              <w:adjustRightInd w:val="0"/>
              <w:snapToGrid w:val="0"/>
              <w:spacing w:line="380" w:lineRule="exact"/>
              <w:ind w:firstLine="630" w:firstLineChars="300"/>
              <w:rPr>
                <w:rFonts w:hint="eastAsia" w:ascii="Calibri" w:hAnsi="Calibri" w:eastAsia="宋体" w:cs="Times New Roman"/>
                <w:snapToGrid w:val="0"/>
                <w:kern w:val="0"/>
                <w:sz w:val="21"/>
                <w:szCs w:val="22"/>
                <w:highlight w:val="none"/>
                <w:lang w:val="en-US" w:eastAsia="zh-CN" w:bidi="ar-SA"/>
              </w:rPr>
            </w:pPr>
            <w:r>
              <w:rPr>
                <w:rFonts w:hint="eastAsia"/>
                <w:color w:val="auto"/>
                <w:highlight w:val="none"/>
                <w:lang w:val="en-US" w:eastAsia="zh-CN"/>
              </w:rPr>
              <w:t>安装工程：</w:t>
            </w:r>
            <w:r>
              <w:rPr>
                <w:rFonts w:hint="eastAsia" w:ascii="Calibri" w:hAnsi="Calibri" w:eastAsia="宋体" w:cs="Times New Roman"/>
                <w:snapToGrid w:val="0"/>
                <w:kern w:val="0"/>
                <w:sz w:val="21"/>
                <w:szCs w:val="22"/>
                <w:lang w:val="en-US" w:eastAsia="zh-CN" w:bidi="ar-SA"/>
              </w:rPr>
              <w:t>取费基数为“定额人工费+定额机械费”，具体费率为</w:t>
            </w:r>
            <w:r>
              <w:rPr>
                <w:rFonts w:hint="eastAsia"/>
                <w:color w:val="auto"/>
                <w:highlight w:val="none"/>
                <w:lang w:val="en-US" w:eastAsia="zh-CN"/>
              </w:rPr>
              <w:t>7.35%</w:t>
            </w:r>
            <w:r>
              <w:rPr>
                <w:rFonts w:hint="eastAsia" w:ascii="Calibri" w:hAnsi="Calibri" w:eastAsia="宋体" w:cs="Times New Roman"/>
                <w:snapToGrid w:val="0"/>
                <w:kern w:val="0"/>
                <w:sz w:val="21"/>
                <w:szCs w:val="22"/>
                <w:highlight w:val="none"/>
                <w:lang w:val="en-US" w:eastAsia="zh-CN" w:bidi="ar-SA"/>
              </w:rPr>
              <w:t>。</w:t>
            </w:r>
          </w:p>
          <w:p w14:paraId="0425D0B6">
            <w:pPr>
              <w:keepNext w:val="0"/>
              <w:keepLines w:val="0"/>
              <w:pageBreakBefore w:val="0"/>
              <w:widowControl w:val="0"/>
              <w:numPr>
                <w:ilvl w:val="0"/>
                <w:numId w:val="5"/>
              </w:numPr>
              <w:kinsoku/>
              <w:wordWrap/>
              <w:overflowPunct/>
              <w:topLinePunct w:val="0"/>
              <w:bidi w:val="0"/>
              <w:adjustRightInd w:val="0"/>
              <w:snapToGrid w:val="0"/>
              <w:spacing w:line="380" w:lineRule="exact"/>
              <w:ind w:firstLine="420" w:firstLineChars="200"/>
              <w:rPr>
                <w:rFonts w:hint="eastAsia"/>
                <w:szCs w:val="22"/>
                <w:highlight w:val="none"/>
              </w:rPr>
            </w:pPr>
            <w:r>
              <w:rPr>
                <w:rFonts w:hint="eastAsia"/>
                <w:szCs w:val="22"/>
                <w:highlight w:val="none"/>
              </w:rPr>
              <w:t>企业管理费（包括施工企业现场监控以及施工企业对建筑以及材料、构件和建筑安装物进行一般鉴定、检查所发生的检验试验费等相关费用）</w:t>
            </w:r>
            <w:r>
              <w:rPr>
                <w:rFonts w:hint="eastAsia"/>
                <w:szCs w:val="22"/>
                <w:highlight w:val="none"/>
                <w:lang w:val="en-US" w:eastAsia="zh-CN"/>
              </w:rPr>
              <w:t>及</w:t>
            </w:r>
            <w:r>
              <w:rPr>
                <w:rFonts w:hint="eastAsia"/>
                <w:szCs w:val="22"/>
                <w:highlight w:val="none"/>
              </w:rPr>
              <w:t>利润的费率按照《浙江省建设工程计价规则（2018版）》规定</w:t>
            </w:r>
            <w:r>
              <w:rPr>
                <w:rFonts w:hint="eastAsia"/>
                <w:szCs w:val="22"/>
                <w:highlight w:val="none"/>
                <w:lang w:val="en-US" w:eastAsia="zh-CN"/>
              </w:rPr>
              <w:t>可参考相应施工取费费率由企业自主确定，取费基数为定额项目中的“人工费+机械费”。</w:t>
            </w:r>
            <w:r>
              <w:rPr>
                <w:rFonts w:hint="eastAsia" w:ascii="宋体" w:hAnsi="宋体" w:cs="宋体"/>
                <w:bCs/>
                <w:color w:val="auto"/>
                <w:szCs w:val="21"/>
                <w:highlight w:val="none"/>
              </w:rPr>
              <w:t xml:space="preserve">为保障工程质量和安全，企业管理费报价不得低于省建设行政主管部门颁发的施工费用定额和相关取费计价文件规定的对应专业工程企业管理费弹性费率下限乘以 </w:t>
            </w:r>
            <w:r>
              <w:rPr>
                <w:rFonts w:hint="eastAsia" w:ascii="宋体" w:hAnsi="宋体" w:cs="宋体"/>
                <w:bCs/>
                <w:color w:val="auto"/>
                <w:szCs w:val="21"/>
                <w:highlight w:val="none"/>
                <w:lang w:val="en-US" w:eastAsia="zh-CN"/>
              </w:rPr>
              <w:t>20%</w:t>
            </w:r>
            <w:r>
              <w:rPr>
                <w:rFonts w:hint="eastAsia" w:ascii="宋体" w:hAnsi="宋体" w:cs="宋体"/>
                <w:bCs/>
                <w:color w:val="auto"/>
                <w:szCs w:val="21"/>
                <w:highlight w:val="none"/>
              </w:rPr>
              <w:t>的计算值</w:t>
            </w:r>
            <w:r>
              <w:rPr>
                <w:rFonts w:hint="eastAsia" w:ascii="宋体" w:hAnsi="宋体" w:cs="宋体"/>
                <w:bCs/>
                <w:color w:val="auto"/>
                <w:szCs w:val="21"/>
                <w:highlight w:val="none"/>
                <w:lang w:val="en-US" w:eastAsia="zh-CN"/>
              </w:rPr>
              <w:t>,具体如下：</w:t>
            </w:r>
          </w:p>
          <w:p w14:paraId="06C82940">
            <w:pPr>
              <w:keepNext w:val="0"/>
              <w:keepLines w:val="0"/>
              <w:pageBreakBefore w:val="0"/>
              <w:widowControl w:val="0"/>
              <w:numPr>
                <w:ilvl w:val="0"/>
                <w:numId w:val="0"/>
              </w:numPr>
              <w:kinsoku/>
              <w:wordWrap/>
              <w:overflowPunct/>
              <w:topLinePunct w:val="0"/>
              <w:bidi w:val="0"/>
              <w:adjustRightInd w:val="0"/>
              <w:snapToGrid w:val="0"/>
              <w:spacing w:line="380" w:lineRule="exact"/>
              <w:ind w:firstLine="630" w:firstLineChars="300"/>
              <w:rPr>
                <w:rFonts w:hint="eastAsia" w:cs="Times New Roman"/>
                <w:snapToGrid w:val="0"/>
                <w:kern w:val="0"/>
                <w:sz w:val="21"/>
                <w:szCs w:val="22"/>
                <w:highlight w:val="none"/>
                <w:lang w:val="en-US" w:eastAsia="zh-CN" w:bidi="ar-SA"/>
              </w:rPr>
            </w:pPr>
            <w:r>
              <w:rPr>
                <w:rFonts w:hint="eastAsia"/>
                <w:lang w:val="en-US" w:eastAsia="zh-CN"/>
              </w:rPr>
              <w:t>单独装饰</w:t>
            </w:r>
            <w:r>
              <w:rPr>
                <w:rFonts w:hint="eastAsia" w:ascii="宋体" w:hAnsi="宋体" w:cs="宋体"/>
                <w:bCs/>
                <w:color w:val="auto"/>
                <w:szCs w:val="21"/>
                <w:highlight w:val="none"/>
                <w:lang w:val="en-US" w:eastAsia="zh-CN"/>
              </w:rPr>
              <w:t>工程</w:t>
            </w:r>
            <w:r>
              <w:rPr>
                <w:rFonts w:hint="eastAsia" w:cs="Times New Roman"/>
                <w:snapToGrid w:val="0"/>
                <w:kern w:val="0"/>
                <w:sz w:val="21"/>
                <w:szCs w:val="22"/>
                <w:highlight w:val="none"/>
                <w:lang w:val="en-US" w:eastAsia="zh-CN" w:bidi="ar-SA"/>
              </w:rPr>
              <w:t>：</w:t>
            </w:r>
            <w:r>
              <w:rPr>
                <w:rFonts w:hint="eastAsia" w:ascii="Calibri" w:hAnsi="Calibri" w:eastAsia="宋体" w:cs="Times New Roman"/>
                <w:snapToGrid w:val="0"/>
                <w:kern w:val="0"/>
                <w:sz w:val="21"/>
                <w:szCs w:val="22"/>
                <w:highlight w:val="none"/>
                <w:lang w:val="en-US" w:eastAsia="zh-CN" w:bidi="ar-SA"/>
              </w:rPr>
              <w:t>取费基数为“定额人工费+定额机械费”</w:t>
            </w:r>
            <w:r>
              <w:rPr>
                <w:rFonts w:hint="eastAsia" w:cs="Times New Roman"/>
                <w:snapToGrid w:val="0"/>
                <w:kern w:val="0"/>
                <w:sz w:val="21"/>
                <w:szCs w:val="22"/>
                <w:highlight w:val="none"/>
                <w:lang w:val="en-US" w:eastAsia="zh-CN" w:bidi="ar-SA"/>
              </w:rPr>
              <w:t>，</w:t>
            </w:r>
            <w:r>
              <w:rPr>
                <w:rFonts w:hint="eastAsia" w:ascii="Calibri" w:hAnsi="Calibri" w:eastAsia="宋体" w:cs="Times New Roman"/>
                <w:snapToGrid w:val="0"/>
                <w:kern w:val="0"/>
                <w:sz w:val="21"/>
                <w:szCs w:val="22"/>
                <w:highlight w:val="none"/>
                <w:lang w:val="en-US" w:eastAsia="zh-CN" w:bidi="ar-SA"/>
              </w:rPr>
              <w:t>具体费率为</w:t>
            </w:r>
            <w:r>
              <w:rPr>
                <w:rFonts w:hint="eastAsia" w:cs="Times New Roman"/>
                <w:snapToGrid w:val="0"/>
                <w:kern w:val="0"/>
                <w:sz w:val="21"/>
                <w:szCs w:val="22"/>
                <w:highlight w:val="none"/>
                <w:lang w:val="en-US" w:eastAsia="zh-CN" w:bidi="ar-SA"/>
              </w:rPr>
              <w:t>2.27%；</w:t>
            </w:r>
          </w:p>
          <w:p w14:paraId="37C665F5">
            <w:pPr>
              <w:keepNext w:val="0"/>
              <w:keepLines w:val="0"/>
              <w:pageBreakBefore w:val="0"/>
              <w:widowControl w:val="0"/>
              <w:numPr>
                <w:ilvl w:val="0"/>
                <w:numId w:val="0"/>
              </w:numPr>
              <w:kinsoku/>
              <w:wordWrap/>
              <w:overflowPunct/>
              <w:topLinePunct w:val="0"/>
              <w:bidi w:val="0"/>
              <w:adjustRightInd w:val="0"/>
              <w:snapToGrid w:val="0"/>
              <w:spacing w:line="380" w:lineRule="exact"/>
              <w:ind w:firstLine="630" w:firstLineChars="300"/>
              <w:rPr>
                <w:rFonts w:hint="eastAsia" w:ascii="Calibri" w:hAnsi="Calibri" w:eastAsia="宋体" w:cs="Times New Roman"/>
                <w:snapToGrid w:val="0"/>
                <w:kern w:val="0"/>
                <w:sz w:val="21"/>
                <w:szCs w:val="22"/>
                <w:lang w:val="en-US" w:eastAsia="zh-CN" w:bidi="ar-SA"/>
              </w:rPr>
            </w:pPr>
            <w:r>
              <w:rPr>
                <w:rFonts w:hint="eastAsia" w:cs="Times New Roman"/>
                <w:snapToGrid w:val="0"/>
                <w:kern w:val="0"/>
                <w:sz w:val="21"/>
                <w:szCs w:val="22"/>
                <w:highlight w:val="none"/>
                <w:lang w:val="en-US" w:eastAsia="zh-CN" w:bidi="ar-SA"/>
              </w:rPr>
              <w:t>安装工程：</w:t>
            </w:r>
            <w:r>
              <w:rPr>
                <w:rFonts w:hint="eastAsia" w:ascii="Calibri" w:hAnsi="Calibri" w:eastAsia="宋体" w:cs="Times New Roman"/>
                <w:snapToGrid w:val="0"/>
                <w:kern w:val="0"/>
                <w:sz w:val="21"/>
                <w:szCs w:val="22"/>
                <w:highlight w:val="none"/>
                <w:lang w:val="en-US" w:eastAsia="zh-CN" w:bidi="ar-SA"/>
              </w:rPr>
              <w:t>取费基数为“定额人工费+定额机械费”</w:t>
            </w:r>
            <w:r>
              <w:rPr>
                <w:rFonts w:hint="eastAsia" w:cs="Times New Roman"/>
                <w:snapToGrid w:val="0"/>
                <w:kern w:val="0"/>
                <w:sz w:val="21"/>
                <w:szCs w:val="22"/>
                <w:highlight w:val="none"/>
                <w:lang w:val="en-US" w:eastAsia="zh-CN" w:bidi="ar-SA"/>
              </w:rPr>
              <w:t>，</w:t>
            </w:r>
            <w:r>
              <w:rPr>
                <w:rFonts w:hint="eastAsia" w:ascii="Calibri" w:hAnsi="Calibri" w:eastAsia="宋体" w:cs="Times New Roman"/>
                <w:snapToGrid w:val="0"/>
                <w:kern w:val="0"/>
                <w:sz w:val="21"/>
                <w:szCs w:val="22"/>
                <w:highlight w:val="none"/>
                <w:lang w:val="en-US" w:eastAsia="zh-CN" w:bidi="ar-SA"/>
              </w:rPr>
              <w:t>具体费率为</w:t>
            </w:r>
            <w:r>
              <w:rPr>
                <w:rFonts w:hint="eastAsia" w:cs="Times New Roman"/>
                <w:snapToGrid w:val="0"/>
                <w:kern w:val="0"/>
                <w:sz w:val="21"/>
                <w:szCs w:val="22"/>
                <w:highlight w:val="none"/>
                <w:lang w:val="en-US" w:eastAsia="zh-CN" w:bidi="ar-SA"/>
              </w:rPr>
              <w:t>3.26%</w:t>
            </w:r>
            <w:r>
              <w:rPr>
                <w:rFonts w:hint="eastAsia" w:ascii="Calibri" w:hAnsi="Calibri" w:eastAsia="宋体" w:cs="Times New Roman"/>
                <w:snapToGrid w:val="0"/>
                <w:kern w:val="0"/>
                <w:sz w:val="21"/>
                <w:szCs w:val="22"/>
                <w:lang w:val="en-US" w:eastAsia="zh-CN" w:bidi="ar-SA"/>
              </w:rPr>
              <w:t>。</w:t>
            </w:r>
          </w:p>
          <w:p w14:paraId="0E8244B3">
            <w:pPr>
              <w:keepNext w:val="0"/>
              <w:keepLines w:val="0"/>
              <w:pageBreakBefore w:val="0"/>
              <w:widowControl w:val="0"/>
              <w:numPr>
                <w:ilvl w:val="0"/>
                <w:numId w:val="5"/>
              </w:numPr>
              <w:kinsoku/>
              <w:wordWrap/>
              <w:overflowPunct/>
              <w:topLinePunct w:val="0"/>
              <w:bidi w:val="0"/>
              <w:adjustRightInd w:val="0"/>
              <w:snapToGrid w:val="0"/>
              <w:spacing w:line="380" w:lineRule="exact"/>
              <w:ind w:left="0" w:leftChars="0" w:firstLine="420" w:firstLineChars="200"/>
              <w:rPr>
                <w:rFonts w:hint="eastAsia"/>
                <w:szCs w:val="22"/>
                <w:highlight w:val="none"/>
                <w:lang w:val="en-US" w:eastAsia="zh-CN"/>
              </w:rPr>
            </w:pPr>
            <w:r>
              <w:rPr>
                <w:rFonts w:hint="eastAsia"/>
                <w:szCs w:val="22"/>
                <w:highlight w:val="none"/>
              </w:rPr>
              <w:t>规费按照《浙江省建设工程计价规则（2018版）》及浙建建[2018]61号文规定</w:t>
            </w:r>
            <w:r>
              <w:rPr>
                <w:rFonts w:hint="eastAsia"/>
                <w:szCs w:val="22"/>
                <w:highlight w:val="none"/>
                <w:lang w:val="en-US" w:eastAsia="zh-CN"/>
              </w:rPr>
              <w:t>在规费政策平稳过渡期内不得低于标准费率的30%，具体如下：</w:t>
            </w:r>
          </w:p>
          <w:p w14:paraId="49FFE682">
            <w:pPr>
              <w:keepNext w:val="0"/>
              <w:keepLines w:val="0"/>
              <w:pageBreakBefore w:val="0"/>
              <w:widowControl w:val="0"/>
              <w:numPr>
                <w:ilvl w:val="0"/>
                <w:numId w:val="0"/>
              </w:numPr>
              <w:kinsoku/>
              <w:wordWrap/>
              <w:overflowPunct/>
              <w:topLinePunct w:val="0"/>
              <w:bidi w:val="0"/>
              <w:adjustRightInd w:val="0"/>
              <w:snapToGrid w:val="0"/>
              <w:spacing w:line="380" w:lineRule="exact"/>
              <w:ind w:leftChars="200" w:firstLine="210" w:firstLineChars="100"/>
              <w:rPr>
                <w:rFonts w:hint="eastAsia" w:eastAsia="宋体" w:cs="Times New Roman"/>
                <w:snapToGrid w:val="0"/>
                <w:kern w:val="0"/>
                <w:sz w:val="21"/>
                <w:szCs w:val="22"/>
                <w:highlight w:val="none"/>
                <w:lang w:val="en-US" w:eastAsia="zh-CN" w:bidi="ar-SA"/>
              </w:rPr>
            </w:pPr>
            <w:r>
              <w:rPr>
                <w:rFonts w:hint="eastAsia"/>
                <w:lang w:val="en-US" w:eastAsia="zh-CN"/>
              </w:rPr>
              <w:t>单独装饰</w:t>
            </w:r>
            <w:r>
              <w:rPr>
                <w:rFonts w:hint="eastAsia" w:ascii="宋体" w:hAnsi="宋体" w:cs="宋体"/>
                <w:bCs/>
                <w:color w:val="auto"/>
                <w:szCs w:val="21"/>
                <w:highlight w:val="none"/>
                <w:lang w:val="en-US" w:eastAsia="zh-CN"/>
              </w:rPr>
              <w:t>工程</w:t>
            </w:r>
            <w:r>
              <w:rPr>
                <w:rFonts w:hint="eastAsia" w:cs="Times New Roman"/>
                <w:snapToGrid w:val="0"/>
                <w:kern w:val="0"/>
                <w:sz w:val="21"/>
                <w:szCs w:val="22"/>
                <w:highlight w:val="none"/>
                <w:lang w:val="en-US" w:eastAsia="zh-CN" w:bidi="ar-SA"/>
              </w:rPr>
              <w:t>：</w:t>
            </w:r>
            <w:r>
              <w:rPr>
                <w:rFonts w:hint="eastAsia"/>
                <w:szCs w:val="22"/>
                <w:highlight w:val="none"/>
                <w:lang w:val="en-US" w:eastAsia="zh-CN"/>
              </w:rPr>
              <w:t>取费基数为“人工费+机械费”，具体</w:t>
            </w:r>
            <w:r>
              <w:rPr>
                <w:rFonts w:hint="eastAsia" w:ascii="Calibri" w:hAnsi="Calibri" w:eastAsia="宋体" w:cs="Times New Roman"/>
                <w:snapToGrid w:val="0"/>
                <w:kern w:val="0"/>
                <w:sz w:val="21"/>
                <w:szCs w:val="22"/>
                <w:highlight w:val="none"/>
                <w:lang w:val="en-US" w:eastAsia="zh-CN" w:bidi="ar-SA"/>
              </w:rPr>
              <w:t>最低费率为</w:t>
            </w:r>
            <w:r>
              <w:rPr>
                <w:rFonts w:hint="eastAsia" w:cs="Times New Roman"/>
                <w:snapToGrid w:val="0"/>
                <w:kern w:val="0"/>
                <w:sz w:val="21"/>
                <w:szCs w:val="22"/>
                <w:highlight w:val="none"/>
                <w:lang w:val="en-US" w:eastAsia="zh-CN" w:bidi="ar-SA"/>
              </w:rPr>
              <w:t>8.38</w:t>
            </w:r>
            <w:r>
              <w:rPr>
                <w:rFonts w:hint="eastAsia" w:ascii="Calibri" w:hAnsi="Calibri" w:eastAsia="宋体" w:cs="Times New Roman"/>
                <w:snapToGrid w:val="0"/>
                <w:kern w:val="0"/>
                <w:sz w:val="21"/>
                <w:szCs w:val="22"/>
                <w:highlight w:val="none"/>
                <w:lang w:val="en-US" w:eastAsia="zh-CN" w:bidi="ar-SA"/>
              </w:rPr>
              <w:t>%</w:t>
            </w:r>
            <w:r>
              <w:rPr>
                <w:rFonts w:hint="eastAsia" w:eastAsia="宋体" w:cs="Times New Roman"/>
                <w:snapToGrid w:val="0"/>
                <w:kern w:val="0"/>
                <w:sz w:val="21"/>
                <w:szCs w:val="22"/>
                <w:highlight w:val="none"/>
                <w:lang w:val="en-US" w:eastAsia="zh-CN" w:bidi="ar-SA"/>
              </w:rPr>
              <w:t>；</w:t>
            </w:r>
          </w:p>
          <w:p w14:paraId="0747D637">
            <w:pPr>
              <w:keepNext w:val="0"/>
              <w:keepLines w:val="0"/>
              <w:pageBreakBefore w:val="0"/>
              <w:widowControl w:val="0"/>
              <w:numPr>
                <w:ilvl w:val="0"/>
                <w:numId w:val="0"/>
              </w:numPr>
              <w:kinsoku/>
              <w:wordWrap/>
              <w:overflowPunct/>
              <w:topLinePunct w:val="0"/>
              <w:bidi w:val="0"/>
              <w:adjustRightInd w:val="0"/>
              <w:snapToGrid w:val="0"/>
              <w:spacing w:line="380" w:lineRule="exact"/>
              <w:ind w:leftChars="200" w:firstLine="210" w:firstLineChars="100"/>
              <w:rPr>
                <w:rFonts w:hint="eastAsia" w:ascii="Calibri" w:hAnsi="Calibri" w:eastAsia="宋体" w:cs="Times New Roman"/>
                <w:snapToGrid w:val="0"/>
                <w:kern w:val="0"/>
                <w:sz w:val="21"/>
                <w:szCs w:val="22"/>
                <w:lang w:val="en-US" w:eastAsia="zh-CN" w:bidi="ar-SA"/>
              </w:rPr>
            </w:pPr>
            <w:r>
              <w:rPr>
                <w:rFonts w:hint="eastAsia" w:eastAsia="宋体" w:cs="Times New Roman"/>
                <w:snapToGrid w:val="0"/>
                <w:kern w:val="0"/>
                <w:sz w:val="21"/>
                <w:szCs w:val="22"/>
                <w:highlight w:val="none"/>
                <w:lang w:val="en-US" w:eastAsia="zh-CN" w:bidi="ar-SA"/>
              </w:rPr>
              <w:t>安装工程：</w:t>
            </w:r>
            <w:r>
              <w:rPr>
                <w:rFonts w:hint="eastAsia"/>
                <w:szCs w:val="22"/>
                <w:highlight w:val="none"/>
                <w:lang w:val="en-US" w:eastAsia="zh-CN"/>
              </w:rPr>
              <w:t>取费基数为“人工费+机械费”，具体</w:t>
            </w:r>
            <w:r>
              <w:rPr>
                <w:rFonts w:hint="eastAsia" w:ascii="Calibri" w:hAnsi="Calibri" w:eastAsia="宋体" w:cs="Times New Roman"/>
                <w:snapToGrid w:val="0"/>
                <w:kern w:val="0"/>
                <w:sz w:val="21"/>
                <w:szCs w:val="22"/>
                <w:highlight w:val="none"/>
                <w:lang w:val="en-US" w:eastAsia="zh-CN" w:bidi="ar-SA"/>
              </w:rPr>
              <w:t>最低费率为</w:t>
            </w:r>
            <w:r>
              <w:rPr>
                <w:rFonts w:hint="eastAsia" w:cs="Times New Roman"/>
                <w:snapToGrid w:val="0"/>
                <w:kern w:val="0"/>
                <w:sz w:val="21"/>
                <w:szCs w:val="22"/>
                <w:highlight w:val="none"/>
                <w:lang w:val="en-US" w:eastAsia="zh-CN" w:bidi="ar-SA"/>
              </w:rPr>
              <w:t>9.19</w:t>
            </w:r>
            <w:r>
              <w:rPr>
                <w:rFonts w:hint="eastAsia" w:ascii="Calibri" w:hAnsi="Calibri" w:eastAsia="宋体" w:cs="Times New Roman"/>
                <w:snapToGrid w:val="0"/>
                <w:kern w:val="0"/>
                <w:sz w:val="21"/>
                <w:szCs w:val="22"/>
                <w:highlight w:val="none"/>
                <w:lang w:val="en-US" w:eastAsia="zh-CN" w:bidi="ar-SA"/>
              </w:rPr>
              <w:t>%</w:t>
            </w:r>
            <w:r>
              <w:rPr>
                <w:rFonts w:hint="eastAsia" w:ascii="Calibri" w:hAnsi="Calibri" w:eastAsia="宋体" w:cs="Times New Roman"/>
                <w:snapToGrid w:val="0"/>
                <w:kern w:val="0"/>
                <w:sz w:val="21"/>
                <w:szCs w:val="22"/>
                <w:lang w:val="en-US" w:eastAsia="zh-CN" w:bidi="ar-SA"/>
              </w:rPr>
              <w:t>。</w:t>
            </w:r>
          </w:p>
          <w:p w14:paraId="63C652A9">
            <w:pPr>
              <w:keepNext w:val="0"/>
              <w:keepLines w:val="0"/>
              <w:pageBreakBefore w:val="0"/>
              <w:widowControl w:val="0"/>
              <w:numPr>
                <w:ilvl w:val="0"/>
                <w:numId w:val="5"/>
              </w:numPr>
              <w:kinsoku/>
              <w:wordWrap/>
              <w:overflowPunct/>
              <w:topLinePunct w:val="0"/>
              <w:bidi w:val="0"/>
              <w:adjustRightInd w:val="0"/>
              <w:snapToGrid w:val="0"/>
              <w:spacing w:line="380" w:lineRule="exact"/>
              <w:ind w:left="0" w:leftChars="0" w:firstLine="420" w:firstLineChars="200"/>
              <w:rPr>
                <w:rFonts w:hint="default" w:cs="Times New Roman"/>
                <w:szCs w:val="22"/>
                <w:highlight w:val="none"/>
                <w:lang w:val="en-US" w:eastAsia="zh-CN"/>
              </w:rPr>
            </w:pPr>
            <w:r>
              <w:rPr>
                <w:rFonts w:hint="eastAsia" w:ascii="Calibri" w:hAnsi="Calibri" w:eastAsia="宋体" w:cs="Times New Roman"/>
                <w:snapToGrid w:val="0"/>
                <w:kern w:val="0"/>
                <w:sz w:val="21"/>
                <w:szCs w:val="22"/>
                <w:lang w:val="en-US" w:eastAsia="zh-CN" w:bidi="ar-SA"/>
              </w:rPr>
              <w:t>税金按照浙建建发[2019]92号文件规定计取，费用不得竞争，具体费率为9.00%。</w:t>
            </w:r>
          </w:p>
          <w:p w14:paraId="3CD8CE93">
            <w:pPr>
              <w:keepNext w:val="0"/>
              <w:keepLines w:val="0"/>
              <w:pageBreakBefore w:val="0"/>
              <w:widowControl w:val="0"/>
              <w:numPr>
                <w:ilvl w:val="0"/>
                <w:numId w:val="5"/>
              </w:numPr>
              <w:kinsoku/>
              <w:wordWrap/>
              <w:overflowPunct/>
              <w:topLinePunct w:val="0"/>
              <w:bidi w:val="0"/>
              <w:adjustRightInd w:val="0"/>
              <w:snapToGrid w:val="0"/>
              <w:spacing w:line="380" w:lineRule="exact"/>
              <w:ind w:left="0" w:leftChars="0" w:firstLine="420" w:firstLineChars="200"/>
              <w:rPr>
                <w:rFonts w:hint="default" w:cs="Times New Roman"/>
                <w:szCs w:val="22"/>
                <w:highlight w:val="none"/>
                <w:lang w:val="en-US" w:eastAsia="zh-CN"/>
              </w:rPr>
            </w:pPr>
            <w:r>
              <w:rPr>
                <w:rFonts w:hint="eastAsia" w:cs="Times New Roman"/>
                <w:szCs w:val="22"/>
                <w:highlight w:val="none"/>
                <w:lang w:val="en-US" w:eastAsia="zh-CN"/>
              </w:rPr>
              <w:t>安全生产责任险费用按照杭建招标造价中心[2021]84号文《关于明确杭州市建筑施工领域安全生产责任保险费用计取的通知》规定的费率计入至管理费中。</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0"/>
              <w:gridCol w:w="3410"/>
            </w:tblGrid>
            <w:tr w14:paraId="26F7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0B63D855">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工程造价</w:t>
                  </w:r>
                </w:p>
              </w:tc>
              <w:tc>
                <w:tcPr>
                  <w:tcW w:w="3410" w:type="dxa"/>
                </w:tcPr>
                <w:p w14:paraId="1F8E5813">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lang w:val="en-US" w:eastAsia="zh-CN"/>
                    </w:rPr>
                    <w:t>安责险差额费率（%）</w:t>
                  </w:r>
                </w:p>
              </w:tc>
            </w:tr>
            <w:tr w14:paraId="430D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00D29B99">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3亿以上</w:t>
                  </w:r>
                </w:p>
              </w:tc>
              <w:tc>
                <w:tcPr>
                  <w:tcW w:w="3410" w:type="dxa"/>
                </w:tcPr>
                <w:p w14:paraId="40A98EF2">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0-0.25</w:t>
                  </w:r>
                </w:p>
              </w:tc>
            </w:tr>
            <w:tr w14:paraId="2EB3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78B2E33B">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1亿~3亿（含3亿）</w:t>
                  </w:r>
                </w:p>
              </w:tc>
              <w:tc>
                <w:tcPr>
                  <w:tcW w:w="3410" w:type="dxa"/>
                </w:tcPr>
                <w:p w14:paraId="370BF084">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0-0.29</w:t>
                  </w:r>
                </w:p>
              </w:tc>
            </w:tr>
            <w:tr w14:paraId="471B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5FD9E662">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3000万~1亿（含1亿）</w:t>
                  </w:r>
                </w:p>
              </w:tc>
              <w:tc>
                <w:tcPr>
                  <w:tcW w:w="3410" w:type="dxa"/>
                </w:tcPr>
                <w:p w14:paraId="779554C8">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0-0.36</w:t>
                  </w:r>
                </w:p>
              </w:tc>
            </w:tr>
            <w:tr w14:paraId="4D87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68F203CB">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500万~3000万（含3000万）</w:t>
                  </w:r>
                </w:p>
              </w:tc>
              <w:tc>
                <w:tcPr>
                  <w:tcW w:w="3410" w:type="dxa"/>
                </w:tcPr>
                <w:p w14:paraId="58D5616C">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0-0.42</w:t>
                  </w:r>
                </w:p>
              </w:tc>
            </w:tr>
            <w:tr w14:paraId="5FAF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3410" w:type="dxa"/>
                </w:tcPr>
                <w:p w14:paraId="255D1158">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500万以下（含500万）</w:t>
                  </w:r>
                </w:p>
              </w:tc>
              <w:tc>
                <w:tcPr>
                  <w:tcW w:w="3410" w:type="dxa"/>
                </w:tcPr>
                <w:p w14:paraId="76BA342E">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0-0.66</w:t>
                  </w:r>
                </w:p>
              </w:tc>
            </w:tr>
          </w:tbl>
          <w:p w14:paraId="692B1099">
            <w:pPr>
              <w:keepNext w:val="0"/>
              <w:keepLines w:val="0"/>
              <w:pageBreakBefore w:val="0"/>
              <w:widowControl w:val="0"/>
              <w:numPr>
                <w:ilvl w:val="0"/>
                <w:numId w:val="5"/>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其余施工组织措施费（“标化工地增加费”除外）费率按照《浙江省建设工程计价规则（2018版）》规定可参考相应施工取费费率由投标人自主确定。</w:t>
            </w:r>
          </w:p>
          <w:p w14:paraId="6B997B5D">
            <w:pPr>
              <w:pStyle w:val="3"/>
              <w:numPr>
                <w:ilvl w:val="0"/>
                <w:numId w:val="5"/>
              </w:numPr>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暂列金：本项目无暂列金。</w:t>
            </w:r>
          </w:p>
          <w:p w14:paraId="3BFCBE96">
            <w:pPr>
              <w:keepNext w:val="0"/>
              <w:keepLines w:val="0"/>
              <w:pageBreakBefore w:val="0"/>
              <w:widowControl w:val="0"/>
              <w:numPr>
                <w:ilvl w:val="0"/>
                <w:numId w:val="4"/>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清单编制说明：</w:t>
            </w:r>
          </w:p>
          <w:p w14:paraId="59CF6133">
            <w:pPr>
              <w:keepNext w:val="0"/>
              <w:keepLines w:val="0"/>
              <w:pageBreakBefore w:val="0"/>
              <w:widowControl w:val="0"/>
              <w:kinsoku/>
              <w:wordWrap/>
              <w:overflowPunct/>
              <w:topLinePunct w:val="0"/>
              <w:autoSpaceDE w:val="0"/>
              <w:autoSpaceDN w:val="0"/>
              <w:bidi w:val="0"/>
              <w:adjustRightInd w:val="0"/>
              <w:snapToGrid w:val="0"/>
              <w:spacing w:line="380" w:lineRule="exact"/>
              <w:ind w:left="420" w:leftChars="200"/>
              <w:jc w:val="left"/>
              <w:textAlignment w:val="baseline"/>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（一）通用部分：</w:t>
            </w:r>
          </w:p>
          <w:p w14:paraId="39467E42">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（1）部分项工程量清单中的工程量是按实物净量计算，一切损耗均应在投标报价的综合单价中考虑；</w:t>
            </w:r>
          </w:p>
          <w:p w14:paraId="60B69715">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（2）本工程量清单报价均应充分考虑交叉施工的影响，并计入报价；</w:t>
            </w:r>
          </w:p>
          <w:p w14:paraId="05E50FD7">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（3）本工程量清单报价应包含施工用水用电的全部费用，并计入报价；</w:t>
            </w:r>
          </w:p>
          <w:p w14:paraId="0D018252">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（4）投标人在填写工程量清单的每一项综合单价和合价时均应结合</w:t>
            </w:r>
            <w:r>
              <w:rPr>
                <w:rFonts w:hint="eastAsia" w:cs="Times New Roman"/>
                <w:snapToGrid w:val="0"/>
                <w:kern w:val="0"/>
                <w:sz w:val="21"/>
                <w:szCs w:val="22"/>
                <w:lang w:val="en-US" w:eastAsia="zh-CN" w:bidi="ar-SA"/>
              </w:rPr>
              <w:t>招标</w:t>
            </w:r>
            <w:r>
              <w:rPr>
                <w:rFonts w:hint="eastAsia" w:ascii="Calibri" w:hAnsi="Calibri" w:eastAsia="宋体" w:cs="Times New Roman"/>
                <w:snapToGrid w:val="0"/>
                <w:kern w:val="0"/>
                <w:sz w:val="21"/>
                <w:szCs w:val="22"/>
                <w:lang w:val="en-US" w:eastAsia="zh-CN" w:bidi="ar-SA"/>
              </w:rPr>
              <w:t>文件、技术规范、设计施工图纸和现场勘察情况，谨慎仔细地进行报价；</w:t>
            </w:r>
          </w:p>
          <w:p w14:paraId="3EB5F779">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（5）本工程中所有技术措施费和组织措施费投标单位应结合踏勘现场在投标报价时综合考虑计入报价；</w:t>
            </w:r>
          </w:p>
          <w:p w14:paraId="1B469EE6">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（6）清单中涉及到有关标准图集的项目，投标时综合单价应包含标准图集做法中所有工程内容；</w:t>
            </w:r>
          </w:p>
          <w:p w14:paraId="4721E66E">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（7）工程施工时，中标人对周边建筑物、城市道路、树木、构筑物、电力设施、地下管线及各类成品等自行采取保护措施，并做好安全围护措施；</w:t>
            </w:r>
          </w:p>
          <w:p w14:paraId="2F34F579">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（8）工程施工时，招标人不一定能保证24小时连续供电，由此有可能增加的有关费用（如自备发电机等），由投标人自行考虑；</w:t>
            </w:r>
          </w:p>
          <w:p w14:paraId="6497035B">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9）投标人应充分考虑施工过程中可能发生的水平运输、垂直运输、临时安防消防、临时设施租用、赶工措施及分项工程修改造成的小范围窝工、工程用电紧张、材料采购困难等因素，其相关费用列入措施项目费用中，招标人不另行支付；</w:t>
            </w:r>
          </w:p>
          <w:p w14:paraId="55EEB0A3">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（10）投标人认为如需采取加快施工进度措施的，则将加快施工进度措施费用计入措施项目费，中标后不作调整；</w:t>
            </w:r>
          </w:p>
          <w:p w14:paraId="23E354C2">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（11）承包人的施工组织设计中应充分考虑施工期间的安全问题、施工干扰问题、确定施工组织方案等，制定详细的保证措施并在施工中进行实施，由此发生的一切费用均计入投标报价中，招标人不另行支付；</w:t>
            </w:r>
          </w:p>
          <w:p w14:paraId="7335A501">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12）投标单位在投标报价时应结合图纸综合考虑投标报价，清单项目特征未能对各节点详图进行完全性描述的必须按施工图或施工图注明图集进行报价，并在综合单价中考虑施工中的各种损耗和需要增加的工程量，否则视为已计入相应项目综合单价中，中标后将不调整综合单价；</w:t>
            </w:r>
          </w:p>
          <w:p w14:paraId="34AA0CF6">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（13）所有材料及设备必须符合设计及招标人要求，对有特殊要求的在报价中充分考虑；</w:t>
            </w:r>
          </w:p>
          <w:p w14:paraId="68345C9A">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（14）清单以项为单位的项目（除暂定价），均为包干价，竣工结算一律不调整；</w:t>
            </w:r>
          </w:p>
          <w:p w14:paraId="1F4F1E20">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（15）所有工程内容应满足设计和规范要求；</w:t>
            </w:r>
          </w:p>
          <w:p w14:paraId="1D4B5FA3">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（16）投标单位认为需要填报的其他技术措施施工费，投标单位可根据工程及施工组织设计情况自行补充填报相应费用，技术措施费一次性包干，竣工结算不调整。</w:t>
            </w:r>
          </w:p>
          <w:p w14:paraId="4FE3C317">
            <w:pPr>
              <w:keepNext w:val="0"/>
              <w:keepLines w:val="0"/>
              <w:pageBreakBefore w:val="0"/>
              <w:widowControl w:val="0"/>
              <w:kinsoku/>
              <w:wordWrap/>
              <w:overflowPunct/>
              <w:topLinePunct w:val="0"/>
              <w:bidi w:val="0"/>
              <w:adjustRightInd w:val="0"/>
              <w:snapToGrid w:val="0"/>
              <w:spacing w:line="380" w:lineRule="exact"/>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（二）相关专业部分</w:t>
            </w:r>
          </w:p>
          <w:p w14:paraId="60BBBB1F">
            <w:pPr>
              <w:keepNext w:val="0"/>
              <w:keepLines w:val="0"/>
              <w:pageBreakBefore w:val="0"/>
              <w:widowControl w:val="0"/>
              <w:kinsoku/>
              <w:wordWrap/>
              <w:overflowPunct/>
              <w:topLinePunct w:val="0"/>
              <w:bidi w:val="0"/>
              <w:adjustRightInd w:val="0"/>
              <w:snapToGrid w:val="0"/>
              <w:spacing w:line="380" w:lineRule="exact"/>
              <w:ind w:firstLine="420"/>
              <w:rPr>
                <w:rFonts w:hint="eastAsia" w:cs="Times New Roman"/>
                <w:b/>
                <w:bCs/>
                <w:snapToGrid w:val="0"/>
                <w:kern w:val="0"/>
                <w:sz w:val="21"/>
                <w:szCs w:val="22"/>
                <w:lang w:val="en-US" w:eastAsia="zh-CN" w:bidi="ar-SA"/>
              </w:rPr>
            </w:pPr>
            <w:r>
              <w:rPr>
                <w:rFonts w:hint="eastAsia" w:cs="Times New Roman"/>
                <w:b/>
                <w:bCs/>
                <w:snapToGrid w:val="0"/>
                <w:kern w:val="0"/>
                <w:sz w:val="21"/>
                <w:szCs w:val="22"/>
                <w:lang w:val="en-US" w:eastAsia="zh-CN" w:bidi="ar-SA"/>
              </w:rPr>
              <w:t>装饰部分：</w:t>
            </w:r>
          </w:p>
          <w:p w14:paraId="5196EF0A">
            <w:pPr>
              <w:keepNext w:val="0"/>
              <w:keepLines w:val="0"/>
              <w:pageBreakBefore w:val="0"/>
              <w:widowControl w:val="0"/>
              <w:numPr>
                <w:ilvl w:val="0"/>
                <w:numId w:val="6"/>
              </w:numPr>
              <w:kinsoku/>
              <w:wordWrap/>
              <w:overflowPunct/>
              <w:topLinePunct w:val="0"/>
              <w:bidi w:val="0"/>
              <w:adjustRightInd w:val="0"/>
              <w:snapToGrid w:val="0"/>
              <w:spacing w:line="380" w:lineRule="exact"/>
              <w:ind w:firstLine="420"/>
              <w:rPr>
                <w:rFonts w:hint="eastAsia" w:cs="Times New Roman"/>
                <w:snapToGrid w:val="0"/>
                <w:kern w:val="0"/>
                <w:sz w:val="21"/>
                <w:szCs w:val="22"/>
                <w:lang w:val="en-US" w:eastAsia="zh-CN" w:bidi="ar-SA"/>
              </w:rPr>
            </w:pPr>
            <w:r>
              <w:rPr>
                <w:rFonts w:hint="eastAsia" w:cs="Times New Roman"/>
                <w:snapToGrid w:val="0"/>
                <w:kern w:val="0"/>
                <w:sz w:val="21"/>
                <w:szCs w:val="22"/>
                <w:lang w:val="en-US" w:eastAsia="zh-CN" w:bidi="ar-SA"/>
              </w:rPr>
              <w:t>蹲坑抬高做法为：陶粒垫高150高，80高C20混凝土找平，上面普通地砖</w:t>
            </w:r>
            <w:bookmarkStart w:id="0" w:name="_GoBack"/>
            <w:bookmarkEnd w:id="0"/>
            <w:r>
              <w:rPr>
                <w:rFonts w:hint="eastAsia" w:cs="Times New Roman"/>
                <w:snapToGrid w:val="0"/>
                <w:kern w:val="0"/>
                <w:sz w:val="21"/>
                <w:szCs w:val="22"/>
                <w:lang w:val="en-US" w:eastAsia="zh-CN" w:bidi="ar-SA"/>
              </w:rPr>
              <w:t>；</w:t>
            </w:r>
          </w:p>
          <w:p w14:paraId="3ECE5213">
            <w:pPr>
              <w:keepNext w:val="0"/>
              <w:keepLines w:val="0"/>
              <w:pageBreakBefore w:val="0"/>
              <w:widowControl w:val="0"/>
              <w:numPr>
                <w:ilvl w:val="0"/>
                <w:numId w:val="6"/>
              </w:numPr>
              <w:kinsoku/>
              <w:wordWrap/>
              <w:overflowPunct/>
              <w:topLinePunct w:val="0"/>
              <w:bidi w:val="0"/>
              <w:adjustRightInd w:val="0"/>
              <w:snapToGrid w:val="0"/>
              <w:spacing w:line="380" w:lineRule="exact"/>
              <w:ind w:firstLine="420"/>
              <w:rPr>
                <w:rFonts w:hint="default" w:cs="Times New Roman"/>
                <w:snapToGrid w:val="0"/>
                <w:kern w:val="0"/>
                <w:sz w:val="21"/>
                <w:szCs w:val="22"/>
                <w:lang w:val="en-US" w:eastAsia="zh-CN" w:bidi="ar-SA"/>
              </w:rPr>
            </w:pPr>
            <w:r>
              <w:rPr>
                <w:rFonts w:hint="eastAsia" w:cs="Times New Roman"/>
                <w:snapToGrid w:val="0"/>
                <w:kern w:val="0"/>
                <w:sz w:val="21"/>
                <w:szCs w:val="22"/>
                <w:lang w:val="en-US" w:eastAsia="zh-CN" w:bidi="ar-SA"/>
              </w:rPr>
              <w:t>D楼卫生间图示门洞处做不锈钢门套；</w:t>
            </w:r>
          </w:p>
          <w:p w14:paraId="6436FA4C">
            <w:pPr>
              <w:keepNext w:val="0"/>
              <w:keepLines w:val="0"/>
              <w:pageBreakBefore w:val="0"/>
              <w:widowControl w:val="0"/>
              <w:numPr>
                <w:ilvl w:val="0"/>
                <w:numId w:val="0"/>
              </w:numPr>
              <w:kinsoku/>
              <w:wordWrap/>
              <w:overflowPunct/>
              <w:topLinePunct w:val="0"/>
              <w:bidi w:val="0"/>
              <w:adjustRightInd w:val="0"/>
              <w:snapToGrid w:val="0"/>
              <w:spacing w:line="380" w:lineRule="exact"/>
              <w:rPr>
                <w:rFonts w:hint="default" w:cs="Times New Roman"/>
                <w:snapToGrid w:val="0"/>
                <w:kern w:val="0"/>
                <w:sz w:val="21"/>
                <w:szCs w:val="22"/>
                <w:lang w:val="en-US" w:eastAsia="zh-CN" w:bidi="ar-SA"/>
              </w:rPr>
            </w:pPr>
          </w:p>
          <w:p w14:paraId="229CB6B7">
            <w:pPr>
              <w:keepNext w:val="0"/>
              <w:keepLines w:val="0"/>
              <w:pageBreakBefore w:val="0"/>
              <w:widowControl w:val="0"/>
              <w:numPr>
                <w:ilvl w:val="0"/>
                <w:numId w:val="6"/>
              </w:numPr>
              <w:kinsoku/>
              <w:wordWrap/>
              <w:overflowPunct/>
              <w:topLinePunct w:val="0"/>
              <w:bidi w:val="0"/>
              <w:adjustRightInd w:val="0"/>
              <w:snapToGrid w:val="0"/>
              <w:spacing w:line="380" w:lineRule="exact"/>
              <w:ind w:left="0" w:leftChars="0" w:firstLine="420" w:firstLineChars="0"/>
              <w:rPr>
                <w:rFonts w:hint="eastAsia" w:cs="Times New Roman"/>
                <w:snapToGrid w:val="0"/>
                <w:kern w:val="0"/>
                <w:sz w:val="21"/>
                <w:szCs w:val="22"/>
                <w:lang w:val="en-US" w:eastAsia="zh-CN" w:bidi="ar-SA"/>
              </w:rPr>
            </w:pPr>
            <w:r>
              <w:drawing>
                <wp:anchor distT="0" distB="0" distL="114300" distR="114300" simplePos="0" relativeHeight="251659264" behindDoc="0" locked="0" layoutInCell="1" allowOverlap="1">
                  <wp:simplePos x="0" y="0"/>
                  <wp:positionH relativeFrom="column">
                    <wp:posOffset>200025</wp:posOffset>
                  </wp:positionH>
                  <wp:positionV relativeFrom="paragraph">
                    <wp:posOffset>45085</wp:posOffset>
                  </wp:positionV>
                  <wp:extent cx="5273040" cy="2523490"/>
                  <wp:effectExtent l="0" t="0" r="0" b="635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3040" cy="2523490"/>
                          </a:xfrm>
                          <a:prstGeom prst="rect">
                            <a:avLst/>
                          </a:prstGeom>
                          <a:noFill/>
                          <a:ln>
                            <a:noFill/>
                          </a:ln>
                        </pic:spPr>
                      </pic:pic>
                    </a:graphicData>
                  </a:graphic>
                </wp:anchor>
              </w:drawing>
            </w:r>
            <w:r>
              <w:rPr>
                <w:rFonts w:hint="eastAsia" w:cs="Times New Roman"/>
                <w:snapToGrid w:val="0"/>
                <w:kern w:val="0"/>
                <w:sz w:val="21"/>
                <w:szCs w:val="22"/>
                <w:lang w:val="en-US" w:eastAsia="zh-CN" w:bidi="ar-SA"/>
              </w:rPr>
              <w:t>构造柱、导墙（200mm高，配筋参图一）、圈梁（参图一）做法参照以下做法计入；</w:t>
            </w:r>
          </w:p>
          <w:p w14:paraId="579CF945">
            <w:pPr>
              <w:keepNext w:val="0"/>
              <w:keepLines w:val="0"/>
              <w:pageBreakBefore w:val="0"/>
              <w:widowControl w:val="0"/>
              <w:numPr>
                <w:ilvl w:val="0"/>
                <w:numId w:val="0"/>
              </w:numPr>
              <w:kinsoku/>
              <w:wordWrap/>
              <w:overflowPunct/>
              <w:topLinePunct w:val="0"/>
              <w:bidi w:val="0"/>
              <w:adjustRightInd w:val="0"/>
              <w:snapToGrid w:val="0"/>
              <w:spacing w:line="380" w:lineRule="exact"/>
              <w:ind w:left="420" w:leftChars="0"/>
              <w:rPr>
                <w:rFonts w:hint="default" w:cs="Times New Roman"/>
                <w:snapToGrid w:val="0"/>
                <w:kern w:val="0"/>
                <w:sz w:val="21"/>
                <w:szCs w:val="22"/>
                <w:lang w:val="en-US" w:eastAsia="zh-CN" w:bidi="ar-SA"/>
              </w:rPr>
            </w:pPr>
            <w:r>
              <w:rPr>
                <w:rFonts w:hint="default" w:eastAsia="宋体"/>
                <w:lang w:val="en-US" w:eastAsia="zh-CN"/>
              </w:rPr>
              <w:drawing>
                <wp:anchor distT="0" distB="0" distL="114300" distR="114300" simplePos="0" relativeHeight="251661312" behindDoc="0" locked="0" layoutInCell="1" allowOverlap="1">
                  <wp:simplePos x="0" y="0"/>
                  <wp:positionH relativeFrom="column">
                    <wp:posOffset>270510</wp:posOffset>
                  </wp:positionH>
                  <wp:positionV relativeFrom="paragraph">
                    <wp:posOffset>72390</wp:posOffset>
                  </wp:positionV>
                  <wp:extent cx="3972560" cy="2619375"/>
                  <wp:effectExtent l="0" t="0" r="5080" b="1905"/>
                  <wp:wrapTopAndBottom/>
                  <wp:docPr id="3" name="图片 3" descr="1751360342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51360342726"/>
                          <pic:cNvPicPr>
                            <a:picLocks noChangeAspect="1"/>
                          </pic:cNvPicPr>
                        </pic:nvPicPr>
                        <pic:blipFill>
                          <a:blip r:embed="rId5"/>
                          <a:stretch>
                            <a:fillRect/>
                          </a:stretch>
                        </pic:blipFill>
                        <pic:spPr>
                          <a:xfrm>
                            <a:off x="0" y="0"/>
                            <a:ext cx="3972560" cy="2619375"/>
                          </a:xfrm>
                          <a:prstGeom prst="rect">
                            <a:avLst/>
                          </a:prstGeom>
                          <a:noFill/>
                          <a:ln>
                            <a:noFill/>
                          </a:ln>
                        </pic:spPr>
                      </pic:pic>
                    </a:graphicData>
                  </a:graphic>
                </wp:anchor>
              </w:drawing>
            </w:r>
          </w:p>
          <w:p w14:paraId="04D5C640">
            <w:pPr>
              <w:keepNext w:val="0"/>
              <w:keepLines w:val="0"/>
              <w:pageBreakBefore w:val="0"/>
              <w:widowControl w:val="0"/>
              <w:numPr>
                <w:ilvl w:val="0"/>
                <w:numId w:val="0"/>
              </w:numPr>
              <w:kinsoku/>
              <w:wordWrap/>
              <w:overflowPunct/>
              <w:topLinePunct w:val="0"/>
              <w:bidi w:val="0"/>
              <w:adjustRightInd w:val="0"/>
              <w:snapToGrid w:val="0"/>
              <w:spacing w:line="380" w:lineRule="exact"/>
              <w:ind w:left="420" w:leftChars="0"/>
              <w:rPr>
                <w:rFonts w:hint="default" w:cs="Times New Roman"/>
                <w:snapToGrid w:val="0"/>
                <w:kern w:val="0"/>
                <w:sz w:val="21"/>
                <w:szCs w:val="22"/>
                <w:lang w:val="en-US" w:eastAsia="zh-CN" w:bidi="ar-SA"/>
              </w:rPr>
            </w:pPr>
          </w:p>
          <w:p w14:paraId="0C9E4C41">
            <w:pPr>
              <w:keepNext w:val="0"/>
              <w:keepLines w:val="0"/>
              <w:pageBreakBefore w:val="0"/>
              <w:widowControl w:val="0"/>
              <w:numPr>
                <w:ilvl w:val="0"/>
                <w:numId w:val="0"/>
              </w:numPr>
              <w:kinsoku/>
              <w:wordWrap/>
              <w:overflowPunct/>
              <w:topLinePunct w:val="0"/>
              <w:bidi w:val="0"/>
              <w:adjustRightInd w:val="0"/>
              <w:snapToGrid w:val="0"/>
              <w:spacing w:line="380" w:lineRule="exact"/>
              <w:ind w:left="420" w:leftChars="0"/>
              <w:rPr>
                <w:rFonts w:hint="default" w:cs="Times New Roman"/>
                <w:snapToGrid w:val="0"/>
                <w:kern w:val="0"/>
                <w:sz w:val="21"/>
                <w:szCs w:val="22"/>
                <w:lang w:val="en-US" w:eastAsia="zh-CN" w:bidi="ar-SA"/>
              </w:rPr>
            </w:pPr>
          </w:p>
          <w:p w14:paraId="79456DE5">
            <w:pPr>
              <w:keepNext w:val="0"/>
              <w:keepLines w:val="0"/>
              <w:pageBreakBefore w:val="0"/>
              <w:widowControl w:val="0"/>
              <w:numPr>
                <w:ilvl w:val="0"/>
                <w:numId w:val="0"/>
              </w:numPr>
              <w:kinsoku/>
              <w:wordWrap/>
              <w:overflowPunct/>
              <w:topLinePunct w:val="0"/>
              <w:bidi w:val="0"/>
              <w:adjustRightInd w:val="0"/>
              <w:snapToGrid w:val="0"/>
              <w:spacing w:line="380" w:lineRule="exact"/>
              <w:ind w:left="420" w:leftChars="0"/>
              <w:rPr>
                <w:rFonts w:hint="default" w:cs="Times New Roman"/>
                <w:snapToGrid w:val="0"/>
                <w:kern w:val="0"/>
                <w:sz w:val="21"/>
                <w:szCs w:val="22"/>
                <w:lang w:val="en-US" w:eastAsia="zh-CN" w:bidi="ar-SA"/>
              </w:rPr>
            </w:pPr>
          </w:p>
          <w:p w14:paraId="7D34F0D6">
            <w:pPr>
              <w:keepNext w:val="0"/>
              <w:keepLines w:val="0"/>
              <w:pageBreakBefore w:val="0"/>
              <w:widowControl w:val="0"/>
              <w:numPr>
                <w:ilvl w:val="0"/>
                <w:numId w:val="0"/>
              </w:numPr>
              <w:kinsoku/>
              <w:wordWrap/>
              <w:overflowPunct/>
              <w:topLinePunct w:val="0"/>
              <w:bidi w:val="0"/>
              <w:adjustRightInd w:val="0"/>
              <w:snapToGrid w:val="0"/>
              <w:spacing w:line="380" w:lineRule="exact"/>
              <w:ind w:left="420" w:leftChars="0"/>
              <w:rPr>
                <w:rFonts w:hint="default" w:cs="Times New Roman"/>
                <w:snapToGrid w:val="0"/>
                <w:kern w:val="0"/>
                <w:sz w:val="21"/>
                <w:szCs w:val="22"/>
                <w:lang w:val="en-US" w:eastAsia="zh-CN" w:bidi="ar-SA"/>
              </w:rPr>
            </w:pPr>
          </w:p>
          <w:p w14:paraId="6EB2F5BF">
            <w:pPr>
              <w:keepNext w:val="0"/>
              <w:keepLines w:val="0"/>
              <w:pageBreakBefore w:val="0"/>
              <w:widowControl w:val="0"/>
              <w:numPr>
                <w:ilvl w:val="0"/>
                <w:numId w:val="0"/>
              </w:numPr>
              <w:kinsoku/>
              <w:wordWrap/>
              <w:overflowPunct/>
              <w:topLinePunct w:val="0"/>
              <w:bidi w:val="0"/>
              <w:adjustRightInd w:val="0"/>
              <w:snapToGrid w:val="0"/>
              <w:spacing w:line="380" w:lineRule="exact"/>
              <w:ind w:left="420" w:leftChars="0"/>
              <w:rPr>
                <w:rFonts w:hint="default" w:cs="Times New Roman"/>
                <w:snapToGrid w:val="0"/>
                <w:kern w:val="0"/>
                <w:sz w:val="21"/>
                <w:szCs w:val="22"/>
                <w:lang w:val="en-US" w:eastAsia="zh-CN" w:bidi="ar-SA"/>
              </w:rPr>
            </w:pPr>
            <w:r>
              <w:rPr>
                <w:rFonts w:hint="default" w:eastAsia="宋体"/>
                <w:lang w:val="en-US" w:eastAsia="zh-CN"/>
              </w:rPr>
              <w:drawing>
                <wp:anchor distT="0" distB="0" distL="114300" distR="114300" simplePos="0" relativeHeight="251660288" behindDoc="0" locked="0" layoutInCell="1" allowOverlap="1">
                  <wp:simplePos x="0" y="0"/>
                  <wp:positionH relativeFrom="column">
                    <wp:posOffset>370840</wp:posOffset>
                  </wp:positionH>
                  <wp:positionV relativeFrom="paragraph">
                    <wp:posOffset>186690</wp:posOffset>
                  </wp:positionV>
                  <wp:extent cx="2268855" cy="3329305"/>
                  <wp:effectExtent l="0" t="0" r="1905" b="8255"/>
                  <wp:wrapTopAndBottom/>
                  <wp:docPr id="2" name="图片 2" descr="175136036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51360367630"/>
                          <pic:cNvPicPr>
                            <a:picLocks noChangeAspect="1"/>
                          </pic:cNvPicPr>
                        </pic:nvPicPr>
                        <pic:blipFill>
                          <a:blip r:embed="rId6"/>
                          <a:stretch>
                            <a:fillRect/>
                          </a:stretch>
                        </pic:blipFill>
                        <pic:spPr>
                          <a:xfrm>
                            <a:off x="0" y="0"/>
                            <a:ext cx="2268855" cy="3329305"/>
                          </a:xfrm>
                          <a:prstGeom prst="rect">
                            <a:avLst/>
                          </a:prstGeom>
                          <a:noFill/>
                          <a:ln>
                            <a:noFill/>
                          </a:ln>
                        </pic:spPr>
                      </pic:pic>
                    </a:graphicData>
                  </a:graphic>
                </wp:anchor>
              </w:drawing>
            </w:r>
            <w:r>
              <w:rPr>
                <w:rFonts w:hint="eastAsia" w:cs="Times New Roman"/>
                <w:snapToGrid w:val="0"/>
                <w:kern w:val="0"/>
                <w:sz w:val="21"/>
                <w:szCs w:val="22"/>
                <w:lang w:val="en-US" w:eastAsia="zh-CN" w:bidi="ar-SA"/>
              </w:rPr>
              <w:t>4、门槛石基层做法同地砖做法；</w:t>
            </w:r>
          </w:p>
          <w:p w14:paraId="4EE2C8B3">
            <w:pPr>
              <w:keepNext w:val="0"/>
              <w:keepLines w:val="0"/>
              <w:pageBreakBefore w:val="0"/>
              <w:widowControl w:val="0"/>
              <w:numPr>
                <w:ilvl w:val="0"/>
                <w:numId w:val="0"/>
              </w:numPr>
              <w:kinsoku/>
              <w:wordWrap/>
              <w:overflowPunct/>
              <w:topLinePunct w:val="0"/>
              <w:bidi w:val="0"/>
              <w:adjustRightInd w:val="0"/>
              <w:snapToGrid w:val="0"/>
              <w:spacing w:line="380" w:lineRule="exact"/>
              <w:ind w:left="420" w:leftChars="0"/>
              <w:rPr>
                <w:rFonts w:hint="default" w:cs="Times New Roman"/>
                <w:snapToGrid w:val="0"/>
                <w:kern w:val="0"/>
                <w:sz w:val="21"/>
                <w:szCs w:val="22"/>
                <w:lang w:val="en-US" w:eastAsia="zh-CN" w:bidi="ar-SA"/>
              </w:rPr>
            </w:pPr>
          </w:p>
          <w:p w14:paraId="2F3C9EDE">
            <w:pPr>
              <w:widowControl/>
              <w:ind w:firstLine="422" w:firstLineChars="200"/>
              <w:jc w:val="left"/>
              <w:rPr>
                <w:rFonts w:hint="default" w:cs="Times New Roman"/>
                <w:b/>
                <w:bCs/>
                <w:snapToGrid w:val="0"/>
                <w:kern w:val="0"/>
                <w:sz w:val="21"/>
                <w:szCs w:val="22"/>
                <w:lang w:val="en-US" w:eastAsia="zh-CN" w:bidi="ar-SA"/>
              </w:rPr>
            </w:pPr>
            <w:r>
              <w:rPr>
                <w:rFonts w:hint="eastAsia" w:cs="Times New Roman"/>
                <w:b/>
                <w:bCs/>
                <w:snapToGrid w:val="0"/>
                <w:kern w:val="0"/>
                <w:sz w:val="21"/>
                <w:szCs w:val="22"/>
                <w:lang w:val="en-US" w:eastAsia="zh-CN" w:bidi="ar-SA"/>
              </w:rPr>
              <w:t>安装部分：</w:t>
            </w:r>
          </w:p>
          <w:p w14:paraId="26915946">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eastAsia" w:cs="Times New Roman"/>
                <w:snapToGrid w:val="0"/>
                <w:kern w:val="0"/>
                <w:sz w:val="21"/>
                <w:szCs w:val="22"/>
                <w:lang w:val="en-US" w:eastAsia="zh-CN" w:bidi="ar-SA"/>
              </w:rPr>
              <w:t>1、</w:t>
            </w:r>
            <w:r>
              <w:rPr>
                <w:rFonts w:hint="default" w:ascii="Calibri" w:hAnsi="Calibri" w:eastAsia="宋体" w:cs="Times New Roman"/>
                <w:snapToGrid w:val="0"/>
                <w:kern w:val="0"/>
                <w:sz w:val="21"/>
                <w:szCs w:val="22"/>
                <w:lang w:val="en-US" w:eastAsia="zh-CN" w:bidi="ar-SA"/>
              </w:rPr>
              <w:t>根据设计回复，配电箱进户电缆电力电缆WDZA-YJY-5*10均按暂估量30米计入，按实结算；</w:t>
            </w:r>
          </w:p>
          <w:p w14:paraId="6971657B">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eastAsia" w:cs="Times New Roman"/>
                <w:snapToGrid w:val="0"/>
                <w:kern w:val="0"/>
                <w:sz w:val="21"/>
                <w:szCs w:val="22"/>
                <w:lang w:val="en-US" w:eastAsia="zh-CN" w:bidi="ar-SA"/>
              </w:rPr>
              <w:t>2、</w:t>
            </w:r>
            <w:r>
              <w:rPr>
                <w:rFonts w:hint="default" w:ascii="Calibri" w:hAnsi="Calibri" w:eastAsia="宋体" w:cs="Times New Roman"/>
                <w:snapToGrid w:val="0"/>
                <w:kern w:val="0"/>
                <w:sz w:val="21"/>
                <w:szCs w:val="22"/>
                <w:lang w:val="en-US" w:eastAsia="zh-CN" w:bidi="ar-SA"/>
              </w:rPr>
              <w:t>根据设计回复，热水管道不考虑保温层；</w:t>
            </w:r>
          </w:p>
          <w:p w14:paraId="0100F035">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eastAsia" w:cs="Times New Roman"/>
                <w:snapToGrid w:val="0"/>
                <w:kern w:val="0"/>
                <w:sz w:val="21"/>
                <w:szCs w:val="22"/>
                <w:lang w:val="en-US" w:eastAsia="zh-CN" w:bidi="ar-SA"/>
              </w:rPr>
              <w:t>3、</w:t>
            </w:r>
            <w:r>
              <w:rPr>
                <w:rFonts w:hint="default" w:ascii="Calibri" w:hAnsi="Calibri" w:eastAsia="宋体" w:cs="Times New Roman"/>
                <w:snapToGrid w:val="0"/>
                <w:kern w:val="0"/>
                <w:sz w:val="21"/>
                <w:szCs w:val="22"/>
                <w:lang w:val="en-US" w:eastAsia="zh-CN" w:bidi="ar-SA"/>
              </w:rPr>
              <w:t>开水机、小厨宝未计入，业主单独采购；</w:t>
            </w:r>
          </w:p>
          <w:p w14:paraId="1361A495">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eastAsia" w:cs="Times New Roman"/>
                <w:snapToGrid w:val="0"/>
                <w:kern w:val="0"/>
                <w:sz w:val="21"/>
                <w:szCs w:val="22"/>
                <w:lang w:val="en-US" w:eastAsia="zh-CN" w:bidi="ar-SA"/>
              </w:rPr>
              <w:t>4、</w:t>
            </w:r>
            <w:r>
              <w:rPr>
                <w:rFonts w:hint="default" w:ascii="Calibri" w:hAnsi="Calibri" w:eastAsia="宋体" w:cs="Times New Roman"/>
                <w:snapToGrid w:val="0"/>
                <w:kern w:val="0"/>
                <w:sz w:val="21"/>
                <w:szCs w:val="22"/>
                <w:lang w:val="en-US" w:eastAsia="zh-CN" w:bidi="ar-SA"/>
              </w:rPr>
              <w:t>安装部分拆除统一考虑在建筑工程内。</w:t>
            </w:r>
          </w:p>
          <w:p w14:paraId="76113567">
            <w:pPr>
              <w:widowControl/>
              <w:ind w:firstLine="420" w:firstLineChars="200"/>
              <w:jc w:val="left"/>
              <w:rPr>
                <w:rFonts w:hint="default" w:ascii="Calibri" w:hAnsi="Calibri" w:eastAsia="宋体" w:cs="Times New Roman"/>
                <w:snapToGrid w:val="0"/>
                <w:kern w:val="0"/>
                <w:sz w:val="21"/>
                <w:szCs w:val="22"/>
                <w:lang w:val="en-US" w:eastAsia="zh-CN" w:bidi="ar-SA"/>
              </w:rPr>
            </w:pPr>
          </w:p>
        </w:tc>
      </w:tr>
    </w:tbl>
    <w:p w14:paraId="761EE408"/>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S?o｡ﾀ?">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5F169"/>
    <w:multiLevelType w:val="singleLevel"/>
    <w:tmpl w:val="D725F169"/>
    <w:lvl w:ilvl="0" w:tentative="0">
      <w:start w:val="1"/>
      <w:numFmt w:val="chineseCounting"/>
      <w:suff w:val="nothing"/>
      <w:lvlText w:val="%1、"/>
      <w:lvlJc w:val="left"/>
      <w:pPr>
        <w:ind w:left="0" w:firstLine="420"/>
      </w:pPr>
      <w:rPr>
        <w:rFonts w:hint="eastAsia"/>
      </w:rPr>
    </w:lvl>
  </w:abstractNum>
  <w:abstractNum w:abstractNumId="1">
    <w:nsid w:val="DB35B2D1"/>
    <w:multiLevelType w:val="singleLevel"/>
    <w:tmpl w:val="DB35B2D1"/>
    <w:lvl w:ilvl="0" w:tentative="0">
      <w:start w:val="1"/>
      <w:numFmt w:val="decimal"/>
      <w:suff w:val="nothing"/>
      <w:lvlText w:val="%1．"/>
      <w:lvlJc w:val="left"/>
      <w:pPr>
        <w:ind w:left="0" w:firstLine="400"/>
      </w:pPr>
      <w:rPr>
        <w:rFonts w:hint="default"/>
      </w:rPr>
    </w:lvl>
  </w:abstractNum>
  <w:abstractNum w:abstractNumId="2">
    <w:nsid w:val="2CF205A3"/>
    <w:multiLevelType w:val="singleLevel"/>
    <w:tmpl w:val="2CF205A3"/>
    <w:lvl w:ilvl="0" w:tentative="0">
      <w:start w:val="1"/>
      <w:numFmt w:val="decimal"/>
      <w:lvlText w:val="%1."/>
      <w:lvlJc w:val="left"/>
      <w:pPr>
        <w:tabs>
          <w:tab w:val="left" w:pos="312"/>
        </w:tabs>
      </w:pPr>
    </w:lvl>
  </w:abstractNum>
  <w:abstractNum w:abstractNumId="3">
    <w:nsid w:val="59369486"/>
    <w:multiLevelType w:val="singleLevel"/>
    <w:tmpl w:val="59369486"/>
    <w:lvl w:ilvl="0" w:tentative="0">
      <w:start w:val="1"/>
      <w:numFmt w:val="decimal"/>
      <w:suff w:val="nothing"/>
      <w:lvlText w:val="%1．"/>
      <w:lvlJc w:val="left"/>
      <w:pPr>
        <w:ind w:left="0" w:firstLine="400"/>
      </w:pPr>
      <w:rPr>
        <w:rFonts w:hint="default"/>
      </w:rPr>
    </w:lvl>
  </w:abstractNum>
  <w:abstractNum w:abstractNumId="4">
    <w:nsid w:val="6730BF21"/>
    <w:multiLevelType w:val="singleLevel"/>
    <w:tmpl w:val="6730BF21"/>
    <w:lvl w:ilvl="0" w:tentative="0">
      <w:start w:val="1"/>
      <w:numFmt w:val="decimal"/>
      <w:suff w:val="nothing"/>
      <w:lvlText w:val="%1、"/>
      <w:lvlJc w:val="left"/>
    </w:lvl>
  </w:abstractNum>
  <w:abstractNum w:abstractNumId="5">
    <w:nsid w:val="68B6A08C"/>
    <w:multiLevelType w:val="singleLevel"/>
    <w:tmpl w:val="68B6A08C"/>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jOGE5Y2U2OTE5NDQzODA4Y2Y0MDRkNjBhZTYxYTUifQ=="/>
    <w:docVar w:name="KSO_WPS_MARK_KEY" w:val="92fce3cf-0044-4dca-b84b-898b5059ef11"/>
  </w:docVars>
  <w:rsids>
    <w:rsidRoot w:val="76CC569C"/>
    <w:rsid w:val="01810363"/>
    <w:rsid w:val="01986091"/>
    <w:rsid w:val="01B57E57"/>
    <w:rsid w:val="02955E7A"/>
    <w:rsid w:val="031642C5"/>
    <w:rsid w:val="037D58CD"/>
    <w:rsid w:val="074B04EF"/>
    <w:rsid w:val="0759373F"/>
    <w:rsid w:val="07644F3C"/>
    <w:rsid w:val="0830753B"/>
    <w:rsid w:val="093913A0"/>
    <w:rsid w:val="0AAE6E86"/>
    <w:rsid w:val="0AFD29F5"/>
    <w:rsid w:val="0CE17A41"/>
    <w:rsid w:val="0D5736A1"/>
    <w:rsid w:val="0DA77092"/>
    <w:rsid w:val="0EB249B8"/>
    <w:rsid w:val="0F5707D8"/>
    <w:rsid w:val="0FD10363"/>
    <w:rsid w:val="12A95654"/>
    <w:rsid w:val="12D45830"/>
    <w:rsid w:val="12F32C12"/>
    <w:rsid w:val="12FC53D7"/>
    <w:rsid w:val="13264706"/>
    <w:rsid w:val="132941E0"/>
    <w:rsid w:val="1442403F"/>
    <w:rsid w:val="147719DB"/>
    <w:rsid w:val="157867C3"/>
    <w:rsid w:val="15972072"/>
    <w:rsid w:val="166B24EE"/>
    <w:rsid w:val="17DB07D7"/>
    <w:rsid w:val="17FE14AC"/>
    <w:rsid w:val="18E90EA3"/>
    <w:rsid w:val="18FE0606"/>
    <w:rsid w:val="1C5030B9"/>
    <w:rsid w:val="1D0B3A3A"/>
    <w:rsid w:val="1EB56737"/>
    <w:rsid w:val="1FC85AE5"/>
    <w:rsid w:val="20444C93"/>
    <w:rsid w:val="20DF3086"/>
    <w:rsid w:val="20F156C0"/>
    <w:rsid w:val="22207C9A"/>
    <w:rsid w:val="224B5682"/>
    <w:rsid w:val="22A479D8"/>
    <w:rsid w:val="25B11133"/>
    <w:rsid w:val="25C81D4C"/>
    <w:rsid w:val="268F44BF"/>
    <w:rsid w:val="274F2A9B"/>
    <w:rsid w:val="2A8514D2"/>
    <w:rsid w:val="2AE63FF8"/>
    <w:rsid w:val="2B820347"/>
    <w:rsid w:val="2CB723F5"/>
    <w:rsid w:val="2CE55330"/>
    <w:rsid w:val="2E395CCF"/>
    <w:rsid w:val="2F7D715C"/>
    <w:rsid w:val="2FBA267D"/>
    <w:rsid w:val="313E365B"/>
    <w:rsid w:val="329506CF"/>
    <w:rsid w:val="33F21003"/>
    <w:rsid w:val="34415BFF"/>
    <w:rsid w:val="37B818AD"/>
    <w:rsid w:val="37D02597"/>
    <w:rsid w:val="385B29A2"/>
    <w:rsid w:val="390D58FC"/>
    <w:rsid w:val="3A2A648F"/>
    <w:rsid w:val="3B1823BB"/>
    <w:rsid w:val="3BF5749A"/>
    <w:rsid w:val="3DAD1384"/>
    <w:rsid w:val="3DC20893"/>
    <w:rsid w:val="3EBE6DBA"/>
    <w:rsid w:val="40F13397"/>
    <w:rsid w:val="41626377"/>
    <w:rsid w:val="421254FD"/>
    <w:rsid w:val="431A46EB"/>
    <w:rsid w:val="43EA29F0"/>
    <w:rsid w:val="44A837F1"/>
    <w:rsid w:val="453646D2"/>
    <w:rsid w:val="45450464"/>
    <w:rsid w:val="45F70381"/>
    <w:rsid w:val="460263B8"/>
    <w:rsid w:val="467961A5"/>
    <w:rsid w:val="47860ADE"/>
    <w:rsid w:val="484238B5"/>
    <w:rsid w:val="4A1477BE"/>
    <w:rsid w:val="4A69097E"/>
    <w:rsid w:val="4B49763E"/>
    <w:rsid w:val="4C077E3F"/>
    <w:rsid w:val="4C56319A"/>
    <w:rsid w:val="4D397FB7"/>
    <w:rsid w:val="4DA957DB"/>
    <w:rsid w:val="4E6629BC"/>
    <w:rsid w:val="4E676ACC"/>
    <w:rsid w:val="4EA64DC2"/>
    <w:rsid w:val="4F3159C1"/>
    <w:rsid w:val="504D41CA"/>
    <w:rsid w:val="50EE6383"/>
    <w:rsid w:val="52656CAA"/>
    <w:rsid w:val="526E44CC"/>
    <w:rsid w:val="5307727C"/>
    <w:rsid w:val="531C2106"/>
    <w:rsid w:val="53B67B7C"/>
    <w:rsid w:val="53DC1CEC"/>
    <w:rsid w:val="54F1628F"/>
    <w:rsid w:val="557D5D37"/>
    <w:rsid w:val="560F0224"/>
    <w:rsid w:val="567C3220"/>
    <w:rsid w:val="56F20776"/>
    <w:rsid w:val="580A274E"/>
    <w:rsid w:val="5A8C776F"/>
    <w:rsid w:val="5AB3152E"/>
    <w:rsid w:val="5AF30A1D"/>
    <w:rsid w:val="5B342429"/>
    <w:rsid w:val="5C5D0C4B"/>
    <w:rsid w:val="5CAC5D0F"/>
    <w:rsid w:val="5CD91959"/>
    <w:rsid w:val="5EB97B17"/>
    <w:rsid w:val="5F750A04"/>
    <w:rsid w:val="5FC114D9"/>
    <w:rsid w:val="5FF74B11"/>
    <w:rsid w:val="61060383"/>
    <w:rsid w:val="61B678C3"/>
    <w:rsid w:val="62191737"/>
    <w:rsid w:val="621B14AB"/>
    <w:rsid w:val="63674DAF"/>
    <w:rsid w:val="63FD1C01"/>
    <w:rsid w:val="64060A28"/>
    <w:rsid w:val="656452AC"/>
    <w:rsid w:val="66A01F9C"/>
    <w:rsid w:val="67391D10"/>
    <w:rsid w:val="68A5073B"/>
    <w:rsid w:val="69D476AC"/>
    <w:rsid w:val="6A197561"/>
    <w:rsid w:val="6A6008B3"/>
    <w:rsid w:val="6B7B1AB7"/>
    <w:rsid w:val="6CD71CD6"/>
    <w:rsid w:val="6D06095C"/>
    <w:rsid w:val="6D0B27B0"/>
    <w:rsid w:val="6DFE058E"/>
    <w:rsid w:val="6E27742E"/>
    <w:rsid w:val="6E394DFF"/>
    <w:rsid w:val="6F7524C5"/>
    <w:rsid w:val="700218F8"/>
    <w:rsid w:val="706E3357"/>
    <w:rsid w:val="74494CB6"/>
    <w:rsid w:val="759F5555"/>
    <w:rsid w:val="75FD46C6"/>
    <w:rsid w:val="766D3498"/>
    <w:rsid w:val="76CC569C"/>
    <w:rsid w:val="77743FCA"/>
    <w:rsid w:val="77C96382"/>
    <w:rsid w:val="79B51612"/>
    <w:rsid w:val="79ED63CE"/>
    <w:rsid w:val="7A1814D8"/>
    <w:rsid w:val="7BAC2D3A"/>
    <w:rsid w:val="7BEA1679"/>
    <w:rsid w:val="7C2B2093"/>
    <w:rsid w:val="7D4D015E"/>
    <w:rsid w:val="7D8A5789"/>
    <w:rsid w:val="7DA82161"/>
    <w:rsid w:val="7DF5480B"/>
    <w:rsid w:val="7E133D25"/>
    <w:rsid w:val="7E78717A"/>
    <w:rsid w:val="7F4E4C54"/>
    <w:rsid w:val="7F8F1222"/>
    <w:rsid w:val="7FDD5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napToGrid w:val="0"/>
      <w:sz w:val="21"/>
      <w:lang w:val="en-US" w:eastAsia="zh-CN" w:bidi="ar-SA"/>
    </w:rPr>
  </w:style>
  <w:style w:type="paragraph" w:styleId="2">
    <w:name w:val="heading 1"/>
    <w:basedOn w:val="1"/>
    <w:next w:val="1"/>
    <w:qFormat/>
    <w:uiPriority w:val="0"/>
    <w:pPr>
      <w:keepNext/>
      <w:keepLines/>
      <w:adjustRightInd w:val="0"/>
      <w:spacing w:before="340" w:beforeLines="0" w:beforeAutospacing="0" w:after="330" w:afterLines="0" w:afterAutospacing="0" w:line="360" w:lineRule="auto"/>
      <w:jc w:val="center"/>
      <w:outlineLvl w:val="0"/>
    </w:pPr>
    <w:rPr>
      <w:rFonts w:eastAsia="黑体"/>
      <w:b/>
      <w:kern w:val="44"/>
      <w:sz w:val="3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jc w:val="both"/>
    </w:pPr>
    <w:rPr>
      <w:rFonts w:ascii="Times New Roman" w:hAnsi="Times New Roman" w:eastAsia="宋体" w:cs="Times New Roman"/>
      <w:kern w:val="2"/>
      <w:sz w:val="28"/>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1"/>
    <w:next w:val="1"/>
    <w:qFormat/>
    <w:uiPriority w:val="0"/>
    <w:pPr>
      <w:ind w:firstLine="42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paragraph" w:customStyle="1" w:styleId="10">
    <w:name w:val="内文正文"/>
    <w:basedOn w:val="1"/>
    <w:qFormat/>
    <w:uiPriority w:val="0"/>
    <w:pPr>
      <w:widowControl/>
      <w:autoSpaceDE w:val="0"/>
      <w:autoSpaceDN w:val="0"/>
      <w:spacing w:line="400" w:lineRule="exact"/>
      <w:ind w:firstLine="200" w:firstLineChars="200"/>
      <w:textAlignment w:val="bottom"/>
    </w:pPr>
    <w:rPr>
      <w:rFonts w:ascii="宋体" w:hAnsi="???|CS?o｡ﾀ?" w:cs="宋体"/>
      <w:kern w:val="0"/>
      <w:szCs w:val="21"/>
    </w:rPr>
  </w:style>
  <w:style w:type="character" w:customStyle="1" w:styleId="11">
    <w:name w:val="font01"/>
    <w:basedOn w:val="8"/>
    <w:qFormat/>
    <w:uiPriority w:val="0"/>
    <w:rPr>
      <w:rFonts w:hint="eastAsia" w:ascii="宋体" w:hAnsi="宋体" w:eastAsia="宋体" w:cs="宋体"/>
      <w:color w:val="000000"/>
      <w:sz w:val="18"/>
      <w:szCs w:val="18"/>
      <w:u w:val="none"/>
    </w:rPr>
  </w:style>
  <w:style w:type="character" w:customStyle="1" w:styleId="12">
    <w:name w:val="font11"/>
    <w:basedOn w:val="8"/>
    <w:qFormat/>
    <w:uiPriority w:val="0"/>
    <w:rPr>
      <w:rFonts w:ascii="Calibri" w:hAnsi="Calibri" w:cs="Calibri"/>
      <w:color w:val="000000"/>
      <w:sz w:val="21"/>
      <w:szCs w:val="21"/>
      <w:u w:val="none"/>
    </w:rPr>
  </w:style>
  <w:style w:type="character" w:customStyle="1" w:styleId="13">
    <w:name w:val="font21"/>
    <w:basedOn w:val="8"/>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2415</Words>
  <Characters>2619</Characters>
  <Lines>0</Lines>
  <Paragraphs>0</Paragraphs>
  <TotalTime>2</TotalTime>
  <ScaleCrop>false</ScaleCrop>
  <LinksUpToDate>false</LinksUpToDate>
  <CharactersWithSpaces>2620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2019-10-12T07:53:00Z</dcterms:created>
  <dc:creator>张彦波</dc:creator>
  <cp:lastModifiedBy>额。。。</cp:lastModifiedBy>
  <dcterms:modified xsi:type="dcterms:W3CDTF">2025-07-04T01:24:09Z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02A33E823CF743C4B1645C4C59254F84</vt:lpwstr>
  </property>
  <property fmtid="{D5CDD505-2E9C-101B-9397-08002B2CF9AE}" pid="4" name="KSOTemplateDocerSaveRecord">
    <vt:lpwstr>eyJoZGlkIjoiMDRjOGE5Y2U2OTE5NDQzODA4Y2Y0MDRkNjBhZTYxYTUiLCJ1c2VySWQiOiI0NjA4MTEyNjcifQ==</vt:lpwstr>
  </property>
</Properties>
</file>