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6268B">
      <w:pPr>
        <w:tabs>
          <w:tab w:val="left" w:pos="0"/>
        </w:tabs>
        <w:autoSpaceDE w:val="0"/>
        <w:autoSpaceDN w:val="0"/>
        <w:adjustRightInd w:val="0"/>
        <w:spacing w:line="400" w:lineRule="exact"/>
        <w:jc w:val="center"/>
        <w:rPr>
          <w:rFonts w:hint="eastAsia" w:ascii="黑体" w:eastAsia="黑体" w:cs="黑体"/>
          <w:color w:val="auto"/>
          <w:sz w:val="32"/>
          <w:szCs w:val="32"/>
          <w:highlight w:val="none"/>
          <w:lang w:val="zh-CN"/>
        </w:rPr>
      </w:pPr>
    </w:p>
    <w:p w14:paraId="6F89AD5A">
      <w:pPr>
        <w:tabs>
          <w:tab w:val="left" w:pos="0"/>
        </w:tabs>
        <w:autoSpaceDE w:val="0"/>
        <w:autoSpaceDN w:val="0"/>
        <w:adjustRightInd w:val="0"/>
        <w:spacing w:line="400" w:lineRule="exact"/>
        <w:jc w:val="center"/>
        <w:rPr>
          <w:rFonts w:hint="eastAsia" w:ascii="黑体" w:eastAsia="黑体" w:cs="黑体"/>
          <w:color w:val="auto"/>
          <w:sz w:val="32"/>
          <w:szCs w:val="32"/>
          <w:highlight w:val="none"/>
          <w:lang w:val="zh-CN"/>
        </w:rPr>
      </w:pPr>
      <w:r>
        <w:rPr>
          <w:rFonts w:hint="eastAsia" w:ascii="黑体" w:eastAsia="黑体" w:cs="黑体"/>
          <w:color w:val="auto"/>
          <w:sz w:val="32"/>
          <w:szCs w:val="32"/>
          <w:highlight w:val="none"/>
          <w:lang w:val="zh-CN"/>
        </w:rPr>
        <w:t>工程量清单编制说明</w:t>
      </w:r>
    </w:p>
    <w:p w14:paraId="37579A13">
      <w:pPr>
        <w:tabs>
          <w:tab w:val="left" w:pos="0"/>
        </w:tabs>
        <w:autoSpaceDE w:val="0"/>
        <w:autoSpaceDN w:val="0"/>
        <w:adjustRightInd w:val="0"/>
        <w:spacing w:line="400" w:lineRule="exact"/>
        <w:jc w:val="left"/>
        <w:rPr>
          <w:rFonts w:hint="eastAsia" w:ascii="宋体" w:hAnsi="宋体" w:eastAsia="宋体" w:cs="宋体"/>
          <w:color w:val="auto"/>
          <w:szCs w:val="22"/>
          <w:highlight w:val="none"/>
          <w:lang w:val="en-US" w:eastAsia="zh-CN"/>
        </w:rPr>
      </w:pPr>
      <w:r>
        <w:rPr>
          <w:rFonts w:hint="eastAsia" w:ascii="宋体" w:hAnsi="宋体" w:cs="宋体"/>
          <w:color w:val="auto"/>
          <w:szCs w:val="21"/>
          <w:highlight w:val="none"/>
          <w:lang w:val="zh-CN"/>
        </w:rPr>
        <w:t>工程名称：</w:t>
      </w:r>
      <w:r>
        <w:rPr>
          <w:rFonts w:hint="eastAsia" w:asciiTheme="minorEastAsia" w:hAnsiTheme="minorEastAsia" w:eastAsiaTheme="minorEastAsia" w:cstheme="minorEastAsia"/>
          <w:szCs w:val="22"/>
          <w:lang w:val="en-US" w:eastAsia="zh-CN"/>
        </w:rPr>
        <w:t>浙江财经大学外交官进校园展厅改造项目</w:t>
      </w:r>
    </w:p>
    <w:tbl>
      <w:tblPr>
        <w:tblStyle w:val="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5CF3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9514" w:type="dxa"/>
            <w:vAlign w:val="top"/>
          </w:tcPr>
          <w:p w14:paraId="29E6D695">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工程概况：</w:t>
            </w:r>
          </w:p>
          <w:p w14:paraId="01EEA262">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本项目为</w:t>
            </w:r>
            <w:r>
              <w:rPr>
                <w:rFonts w:hint="eastAsia" w:asciiTheme="minorEastAsia" w:hAnsiTheme="minorEastAsia" w:eastAsiaTheme="minorEastAsia" w:cstheme="minorEastAsia"/>
                <w:szCs w:val="22"/>
                <w:lang w:val="en-US" w:eastAsia="zh-CN"/>
              </w:rPr>
              <w:t>浙江财经大学外交官进校园展厅改造项目</w:t>
            </w:r>
            <w:r>
              <w:rPr>
                <w:rFonts w:hint="eastAsia" w:ascii="Calibri" w:hAnsi="Calibri" w:eastAsia="宋体" w:cs="Times New Roman"/>
                <w:snapToGrid w:val="0"/>
                <w:kern w:val="0"/>
                <w:sz w:val="21"/>
                <w:szCs w:val="22"/>
                <w:lang w:val="en-US" w:eastAsia="zh-CN" w:bidi="ar-SA"/>
              </w:rPr>
              <w:t>，工程地址位于</w:t>
            </w:r>
            <w:r>
              <w:rPr>
                <w:rFonts w:hint="eastAsia"/>
                <w:szCs w:val="22"/>
                <w:highlight w:val="none"/>
                <w:lang w:val="en-US" w:eastAsia="zh-CN"/>
              </w:rPr>
              <w:t>浙江省杭州市</w:t>
            </w:r>
            <w:r>
              <w:rPr>
                <w:rFonts w:hint="eastAsia" w:ascii="Calibri" w:hAnsi="Calibri" w:eastAsia="宋体" w:cs="Times New Roman"/>
                <w:snapToGrid w:val="0"/>
                <w:kern w:val="0"/>
                <w:sz w:val="21"/>
                <w:szCs w:val="22"/>
                <w:lang w:val="en-US" w:eastAsia="zh-CN" w:bidi="ar-SA"/>
              </w:rPr>
              <w:t>。</w:t>
            </w:r>
          </w:p>
          <w:p w14:paraId="5BED69FA">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编制依据：</w:t>
            </w:r>
          </w:p>
          <w:p w14:paraId="67CFA63E">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施工图。</w:t>
            </w:r>
          </w:p>
          <w:p w14:paraId="2912B70C">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szCs w:val="22"/>
                <w:lang w:val="en-US" w:eastAsia="zh-CN"/>
              </w:rPr>
              <w:t>《建设工程工程量清单计价规范（GB50500-2013）》、《房屋建筑与装饰工程工程量计算规范（GB50854-2013）》、《通用安装工程工程量计算规范（GB50856-2013）》、《浙江省房屋建筑与装饰工程预算定额（2018版）》、《浙江省通用安装工程预算定额（2018版）》、《浙江省建设工程计价规则（2018版）》以及相应解释和勘误等资料</w:t>
            </w:r>
            <w:r>
              <w:rPr>
                <w:rFonts w:hint="eastAsia" w:ascii="Calibri" w:hAnsi="Calibri" w:eastAsia="宋体" w:cs="Times New Roman"/>
                <w:snapToGrid w:val="0"/>
                <w:kern w:val="0"/>
                <w:sz w:val="21"/>
                <w:szCs w:val="22"/>
                <w:lang w:val="en-US" w:eastAsia="zh-CN" w:bidi="ar-SA"/>
              </w:rPr>
              <w:t>。</w:t>
            </w:r>
          </w:p>
          <w:p w14:paraId="52762EC5">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与本工程有关的标准（包括标准图集）、规范、技术资料解释等。</w:t>
            </w:r>
          </w:p>
          <w:p w14:paraId="03F3CD02">
            <w:pPr>
              <w:keepNext w:val="0"/>
              <w:keepLines w:val="0"/>
              <w:pageBreakBefore w:val="0"/>
              <w:widowControl w:val="0"/>
              <w:numPr>
                <w:ilvl w:val="0"/>
                <w:numId w:val="2"/>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业主提供的相关资料、会议纪要、与业主和设计的往来函件</w:t>
            </w:r>
            <w:r>
              <w:rPr>
                <w:rFonts w:hint="eastAsia" w:cs="Times New Roman"/>
                <w:snapToGrid w:val="0"/>
                <w:kern w:val="0"/>
                <w:sz w:val="21"/>
                <w:szCs w:val="22"/>
                <w:lang w:val="en-US" w:eastAsia="zh-CN" w:bidi="ar-SA"/>
              </w:rPr>
              <w:t>、招标文件</w:t>
            </w:r>
            <w:r>
              <w:rPr>
                <w:rFonts w:hint="eastAsia" w:ascii="Calibri" w:hAnsi="Calibri" w:eastAsia="宋体" w:cs="Times New Roman"/>
                <w:snapToGrid w:val="0"/>
                <w:kern w:val="0"/>
                <w:sz w:val="21"/>
                <w:szCs w:val="22"/>
                <w:lang w:val="en-US" w:eastAsia="zh-CN" w:bidi="ar-SA"/>
              </w:rPr>
              <w:t>等。</w:t>
            </w:r>
          </w:p>
          <w:p w14:paraId="26D4FABF">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编制范围：</w:t>
            </w:r>
          </w:p>
          <w:p w14:paraId="36E0BA32">
            <w:pPr>
              <w:tabs>
                <w:tab w:val="left" w:pos="0"/>
              </w:tabs>
              <w:autoSpaceDE w:val="0"/>
              <w:autoSpaceDN w:val="0"/>
              <w:adjustRightInd w:val="0"/>
              <w:spacing w:line="400" w:lineRule="exact"/>
              <w:ind w:firstLine="420" w:firstLineChars="200"/>
              <w:jc w:val="left"/>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本清单编制范围为：</w:t>
            </w:r>
            <w:r>
              <w:rPr>
                <w:rFonts w:hint="eastAsia" w:asciiTheme="minorEastAsia" w:hAnsiTheme="minorEastAsia" w:eastAsiaTheme="minorEastAsia" w:cstheme="minorEastAsia"/>
                <w:szCs w:val="22"/>
                <w:lang w:val="en-US" w:eastAsia="zh-CN"/>
              </w:rPr>
              <w:t>浙江财经大学外交官进校园展厅改造项目的装饰装修</w:t>
            </w:r>
            <w:r>
              <w:rPr>
                <w:rFonts w:hint="eastAsia" w:asciiTheme="minorEastAsia" w:hAnsiTheme="minorEastAsia" w:eastAsiaTheme="minorEastAsia" w:cstheme="minorEastAsia"/>
                <w:snapToGrid w:val="0"/>
                <w:kern w:val="0"/>
                <w:sz w:val="21"/>
                <w:szCs w:val="22"/>
                <w:lang w:val="en-US" w:eastAsia="zh-CN" w:bidi="ar-SA"/>
              </w:rPr>
              <w:t>工程、电气工程等内容</w:t>
            </w:r>
            <w:r>
              <w:rPr>
                <w:rFonts w:hint="eastAsia" w:ascii="Calibri" w:hAnsi="Calibri" w:eastAsia="宋体" w:cs="Times New Roman"/>
                <w:snapToGrid w:val="0"/>
                <w:kern w:val="0"/>
                <w:sz w:val="21"/>
                <w:szCs w:val="22"/>
                <w:lang w:val="en-US" w:eastAsia="zh-CN" w:bidi="ar-SA"/>
              </w:rPr>
              <w:t>。</w:t>
            </w:r>
          </w:p>
          <w:p w14:paraId="2BE24BD5">
            <w:pPr>
              <w:keepNext w:val="0"/>
              <w:keepLines w:val="0"/>
              <w:pageBreakBefore w:val="0"/>
              <w:widowControl w:val="0"/>
              <w:numPr>
                <w:ilvl w:val="0"/>
                <w:numId w:val="3"/>
              </w:numPr>
              <w:kinsoku/>
              <w:wordWrap/>
              <w:overflowPunct/>
              <w:topLinePunct w:val="0"/>
              <w:bidi w:val="0"/>
              <w:adjustRightInd w:val="0"/>
              <w:snapToGrid w:val="0"/>
              <w:spacing w:line="380" w:lineRule="exact"/>
              <w:ind w:leftChars="200"/>
              <w:rPr>
                <w:rFonts w:hint="default"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具体工作内容以工程量清单项目为准。</w:t>
            </w:r>
          </w:p>
          <w:p w14:paraId="4B3A39F2">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工程质量、工期、材料、施工等要求：（详见</w:t>
            </w:r>
            <w:r>
              <w:rPr>
                <w:rFonts w:hint="eastAsia" w:cs="Times New Roman"/>
                <w:snapToGrid w:val="0"/>
                <w:kern w:val="0"/>
                <w:sz w:val="21"/>
                <w:szCs w:val="22"/>
                <w:lang w:val="en-US" w:eastAsia="zh-CN" w:bidi="ar-SA"/>
              </w:rPr>
              <w:t>招标</w:t>
            </w:r>
            <w:r>
              <w:rPr>
                <w:rFonts w:hint="eastAsia" w:ascii="Calibri" w:hAnsi="Calibri" w:eastAsia="宋体" w:cs="Times New Roman"/>
                <w:snapToGrid w:val="0"/>
                <w:kern w:val="0"/>
                <w:sz w:val="21"/>
                <w:szCs w:val="22"/>
                <w:lang w:val="en-US" w:eastAsia="zh-CN" w:bidi="ar-SA"/>
              </w:rPr>
              <w:t>文件）</w:t>
            </w:r>
          </w:p>
          <w:p w14:paraId="64652391">
            <w:pPr>
              <w:keepNext w:val="0"/>
              <w:keepLines w:val="0"/>
              <w:pageBreakBefore w:val="0"/>
              <w:widowControl w:val="0"/>
              <w:numPr>
                <w:ilvl w:val="0"/>
                <w:numId w:val="1"/>
              </w:numPr>
              <w:kinsoku/>
              <w:wordWrap/>
              <w:overflowPunct/>
              <w:topLinePunct w:val="0"/>
              <w:bidi w:val="0"/>
              <w:adjustRightInd w:val="0"/>
              <w:snapToGrid w:val="0"/>
              <w:spacing w:line="380" w:lineRule="exact"/>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其他说明的事项：</w:t>
            </w:r>
          </w:p>
          <w:p w14:paraId="1D7ACA5F">
            <w:pPr>
              <w:keepNext w:val="0"/>
              <w:keepLines w:val="0"/>
              <w:pageBreakBefore w:val="0"/>
              <w:widowControl w:val="0"/>
              <w:numPr>
                <w:ilvl w:val="0"/>
                <w:numId w:val="4"/>
              </w:numPr>
              <w:kinsoku/>
              <w:wordWrap/>
              <w:overflowPunct/>
              <w:topLinePunct w:val="0"/>
              <w:bidi w:val="0"/>
              <w:adjustRightInd w:val="0"/>
              <w:snapToGrid w:val="0"/>
              <w:spacing w:line="380" w:lineRule="exact"/>
              <w:ind w:left="0" w:leftChars="0" w:firstLine="420" w:firstLineChars="200"/>
              <w:rPr>
                <w:rFonts w:hint="default" w:ascii="Calibri" w:hAnsi="Calibri" w:eastAsia="宋体" w:cs="Times New Roman"/>
                <w:snapToGrid w:val="0"/>
                <w:kern w:val="0"/>
                <w:sz w:val="21"/>
                <w:szCs w:val="22"/>
                <w:highlight w:val="none"/>
                <w:lang w:val="en-US" w:eastAsia="zh-CN" w:bidi="ar-SA"/>
              </w:rPr>
            </w:pPr>
            <w:r>
              <w:rPr>
                <w:rFonts w:hint="eastAsia" w:ascii="Calibri" w:hAnsi="Calibri" w:eastAsia="宋体" w:cs="Times New Roman"/>
                <w:snapToGrid w:val="0"/>
                <w:kern w:val="0"/>
                <w:sz w:val="21"/>
                <w:szCs w:val="22"/>
                <w:highlight w:val="none"/>
                <w:lang w:val="en-US" w:eastAsia="zh-CN" w:bidi="ar-SA"/>
              </w:rPr>
              <w:t>取费及报价说明</w:t>
            </w:r>
          </w:p>
          <w:p w14:paraId="684BD687">
            <w:pPr>
              <w:keepNext w:val="0"/>
              <w:keepLines w:val="0"/>
              <w:pageBreakBefore w:val="0"/>
              <w:widowControl w:val="0"/>
              <w:numPr>
                <w:ilvl w:val="0"/>
                <w:numId w:val="5"/>
              </w:numPr>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highlight w:val="none"/>
                <w:lang w:val="en-US" w:eastAsia="zh-CN" w:bidi="ar-SA"/>
              </w:rPr>
            </w:pPr>
            <w:r>
              <w:rPr>
                <w:rFonts w:hint="eastAsia"/>
                <w:highlight w:val="none"/>
                <w:lang w:val="en-US" w:eastAsia="zh-CN"/>
              </w:rPr>
              <w:t>安全文明施工费用必须充分保证。投标单位应根据《关于建筑业实施营改增后浙江省建设工程计价规则调整的通知》（建建发[2016]144号）、</w:t>
            </w:r>
            <w:r>
              <w:rPr>
                <w:rFonts w:hint="eastAsia"/>
                <w:szCs w:val="22"/>
                <w:highlight w:val="none"/>
                <w:lang w:val="en-US" w:eastAsia="zh-CN"/>
              </w:rPr>
              <w:t>《省建设厅关于调整建设工程安全文明施工费的通知》（浙建建发[2022]37号）、</w:t>
            </w:r>
            <w:r>
              <w:rPr>
                <w:rFonts w:hint="eastAsia"/>
                <w:highlight w:val="none"/>
                <w:lang w:val="en-US" w:eastAsia="zh-CN"/>
              </w:rPr>
              <w:t>《关于发布营改增后浙江省建设工程施工取费费率的通知》（浙建站定[2016]23号）及《浙江省建设工程计价规则》（2018版）施工取费的相关规定，投标报价不得低于相应基准费率的90%（即施工取费费率的下限）计取，具体如下：</w:t>
            </w:r>
          </w:p>
          <w:p w14:paraId="4E34A810">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color w:val="auto"/>
                <w:highlight w:val="none"/>
                <w:lang w:val="en-US" w:eastAsia="zh-CN"/>
              </w:rPr>
            </w:pPr>
            <w:r>
              <w:rPr>
                <w:rFonts w:hint="eastAsia"/>
                <w:lang w:val="en-US" w:eastAsia="zh-CN"/>
              </w:rPr>
              <w:t>单独装饰</w:t>
            </w:r>
            <w:r>
              <w:rPr>
                <w:rFonts w:hint="eastAsia" w:ascii="Calibri" w:hAnsi="Calibri" w:eastAsia="宋体" w:cs="Times New Roman"/>
                <w:snapToGrid w:val="0"/>
                <w:kern w:val="0"/>
                <w:sz w:val="21"/>
                <w:szCs w:val="22"/>
                <w:lang w:val="en-US" w:eastAsia="zh-CN" w:bidi="ar-SA"/>
              </w:rPr>
              <w:t>工程</w:t>
            </w:r>
            <w:r>
              <w:rPr>
                <w:rFonts w:hint="eastAsia" w:cs="Times New Roman"/>
                <w:snapToGrid w:val="0"/>
                <w:kern w:val="0"/>
                <w:sz w:val="21"/>
                <w:szCs w:val="22"/>
                <w:lang w:val="en-US" w:eastAsia="zh-CN" w:bidi="ar-SA"/>
              </w:rPr>
              <w:t>：</w:t>
            </w:r>
            <w:r>
              <w:rPr>
                <w:rFonts w:hint="eastAsia" w:ascii="Calibri" w:hAnsi="Calibri" w:eastAsia="宋体" w:cs="Times New Roman"/>
                <w:snapToGrid w:val="0"/>
                <w:kern w:val="0"/>
                <w:sz w:val="21"/>
                <w:szCs w:val="22"/>
                <w:lang w:val="en-US" w:eastAsia="zh-CN" w:bidi="ar-SA"/>
              </w:rPr>
              <w:t>取费基数为“定额人工费+定额机械费”，具体费率为</w:t>
            </w:r>
            <w:r>
              <w:rPr>
                <w:rFonts w:hint="eastAsia"/>
                <w:color w:val="auto"/>
                <w:highlight w:val="none"/>
                <w:lang w:val="en-US" w:eastAsia="zh-CN"/>
              </w:rPr>
              <w:t>5.91%；</w:t>
            </w:r>
          </w:p>
          <w:p w14:paraId="18869DA4">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ascii="Calibri" w:hAnsi="Calibri" w:eastAsia="宋体" w:cs="Times New Roman"/>
                <w:snapToGrid w:val="0"/>
                <w:kern w:val="0"/>
                <w:sz w:val="21"/>
                <w:szCs w:val="22"/>
                <w:highlight w:val="none"/>
                <w:lang w:val="en-US" w:eastAsia="zh-CN" w:bidi="ar-SA"/>
              </w:rPr>
            </w:pPr>
            <w:r>
              <w:rPr>
                <w:rFonts w:hint="eastAsia"/>
                <w:color w:val="auto"/>
                <w:highlight w:val="none"/>
                <w:lang w:val="en-US" w:eastAsia="zh-CN"/>
              </w:rPr>
              <w:t>安装工程：</w:t>
            </w:r>
            <w:r>
              <w:rPr>
                <w:rFonts w:hint="eastAsia" w:ascii="Calibri" w:hAnsi="Calibri" w:eastAsia="宋体" w:cs="Times New Roman"/>
                <w:snapToGrid w:val="0"/>
                <w:kern w:val="0"/>
                <w:sz w:val="21"/>
                <w:szCs w:val="22"/>
                <w:lang w:val="en-US" w:eastAsia="zh-CN" w:bidi="ar-SA"/>
              </w:rPr>
              <w:t>取费基数为“定额人工费+定额机械费”，具体费率为</w:t>
            </w:r>
            <w:r>
              <w:rPr>
                <w:rFonts w:hint="eastAsia"/>
                <w:color w:val="auto"/>
                <w:highlight w:val="none"/>
                <w:lang w:val="en-US" w:eastAsia="zh-CN"/>
              </w:rPr>
              <w:t>7.35%</w:t>
            </w:r>
            <w:r>
              <w:rPr>
                <w:rFonts w:hint="eastAsia" w:ascii="Calibri" w:hAnsi="Calibri" w:eastAsia="宋体" w:cs="Times New Roman"/>
                <w:snapToGrid w:val="0"/>
                <w:kern w:val="0"/>
                <w:sz w:val="21"/>
                <w:szCs w:val="22"/>
                <w:highlight w:val="none"/>
                <w:lang w:val="en-US" w:eastAsia="zh-CN" w:bidi="ar-SA"/>
              </w:rPr>
              <w:t>。</w:t>
            </w:r>
          </w:p>
          <w:p w14:paraId="0425D0B6">
            <w:pPr>
              <w:keepNext w:val="0"/>
              <w:keepLines w:val="0"/>
              <w:pageBreakBefore w:val="0"/>
              <w:widowControl w:val="0"/>
              <w:numPr>
                <w:ilvl w:val="0"/>
                <w:numId w:val="5"/>
              </w:numPr>
              <w:kinsoku/>
              <w:wordWrap/>
              <w:overflowPunct/>
              <w:topLinePunct w:val="0"/>
              <w:bidi w:val="0"/>
              <w:adjustRightInd w:val="0"/>
              <w:snapToGrid w:val="0"/>
              <w:spacing w:line="380" w:lineRule="exact"/>
              <w:ind w:firstLine="420" w:firstLineChars="200"/>
              <w:rPr>
                <w:rFonts w:hint="eastAsia"/>
                <w:szCs w:val="22"/>
                <w:highlight w:val="none"/>
              </w:rPr>
            </w:pPr>
            <w:r>
              <w:rPr>
                <w:rFonts w:hint="eastAsia"/>
                <w:szCs w:val="22"/>
                <w:highlight w:val="none"/>
              </w:rPr>
              <w:t>企业管理费（包括施工企业现场监控以及施工企业对建筑以及材料、构件和建筑安装物进行一般鉴定、检查所发生的检验试验费等相关费用）</w:t>
            </w:r>
            <w:r>
              <w:rPr>
                <w:rFonts w:hint="eastAsia"/>
                <w:szCs w:val="22"/>
                <w:highlight w:val="none"/>
                <w:lang w:val="en-US" w:eastAsia="zh-CN"/>
              </w:rPr>
              <w:t>及</w:t>
            </w:r>
            <w:r>
              <w:rPr>
                <w:rFonts w:hint="eastAsia"/>
                <w:szCs w:val="22"/>
                <w:highlight w:val="none"/>
              </w:rPr>
              <w:t>利润的费率按照《浙江省建设工程计价规则（2018版）》规定</w:t>
            </w:r>
            <w:r>
              <w:rPr>
                <w:rFonts w:hint="eastAsia"/>
                <w:szCs w:val="22"/>
                <w:highlight w:val="none"/>
                <w:lang w:val="en-US" w:eastAsia="zh-CN"/>
              </w:rPr>
              <w:t>可参考相应施工取费费率由企业自主确定，取费基数为定额项目中的“人工费+机械费”。</w:t>
            </w:r>
            <w:r>
              <w:rPr>
                <w:rFonts w:hint="eastAsia" w:ascii="宋体" w:hAnsi="宋体" w:cs="宋体"/>
                <w:bCs/>
                <w:color w:val="auto"/>
                <w:szCs w:val="21"/>
                <w:highlight w:val="none"/>
              </w:rPr>
              <w:t xml:space="preserve">为保障工程质量和安全，企业管理费报价不得低于省建设行政主管部门颁发的施工费用定额和相关取费计价文件规定的对应专业工程企业管理费弹性费率下限乘以 </w:t>
            </w:r>
            <w:r>
              <w:rPr>
                <w:rFonts w:hint="eastAsia" w:ascii="宋体" w:hAnsi="宋体" w:cs="宋体"/>
                <w:bCs/>
                <w:color w:val="auto"/>
                <w:szCs w:val="21"/>
                <w:highlight w:val="none"/>
                <w:lang w:val="en-US" w:eastAsia="zh-CN"/>
              </w:rPr>
              <w:t>20%</w:t>
            </w:r>
            <w:r>
              <w:rPr>
                <w:rFonts w:hint="eastAsia" w:ascii="宋体" w:hAnsi="宋体" w:cs="宋体"/>
                <w:bCs/>
                <w:color w:val="auto"/>
                <w:szCs w:val="21"/>
                <w:highlight w:val="none"/>
              </w:rPr>
              <w:t>的计算值</w:t>
            </w:r>
            <w:r>
              <w:rPr>
                <w:rFonts w:hint="eastAsia" w:ascii="宋体" w:hAnsi="宋体" w:cs="宋体"/>
                <w:bCs/>
                <w:color w:val="auto"/>
                <w:szCs w:val="21"/>
                <w:highlight w:val="none"/>
                <w:lang w:val="en-US" w:eastAsia="zh-CN"/>
              </w:rPr>
              <w:t>,具体如下：</w:t>
            </w:r>
          </w:p>
          <w:p w14:paraId="06C82940">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cs="Times New Roman"/>
                <w:snapToGrid w:val="0"/>
                <w:kern w:val="0"/>
                <w:sz w:val="21"/>
                <w:szCs w:val="22"/>
                <w:highlight w:val="none"/>
                <w:lang w:val="en-US" w:eastAsia="zh-CN" w:bidi="ar-SA"/>
              </w:rPr>
            </w:pPr>
            <w:r>
              <w:rPr>
                <w:rFonts w:hint="eastAsia"/>
                <w:lang w:val="en-US" w:eastAsia="zh-CN"/>
              </w:rPr>
              <w:t>单独装饰</w:t>
            </w:r>
            <w:r>
              <w:rPr>
                <w:rFonts w:hint="eastAsia" w:ascii="宋体" w:hAnsi="宋体" w:cs="宋体"/>
                <w:bCs/>
                <w:color w:val="auto"/>
                <w:szCs w:val="21"/>
                <w:highlight w:val="none"/>
                <w:lang w:val="en-US" w:eastAsia="zh-CN"/>
              </w:rPr>
              <w:t>工程</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取费基数为“定额人工费+定额机械费”</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具体费率为</w:t>
            </w:r>
            <w:r>
              <w:rPr>
                <w:rFonts w:hint="eastAsia" w:cs="Times New Roman"/>
                <w:snapToGrid w:val="0"/>
                <w:kern w:val="0"/>
                <w:sz w:val="21"/>
                <w:szCs w:val="22"/>
                <w:highlight w:val="none"/>
                <w:lang w:val="en-US" w:eastAsia="zh-CN" w:bidi="ar-SA"/>
              </w:rPr>
              <w:t>2.27%；</w:t>
            </w:r>
          </w:p>
          <w:p w14:paraId="37C665F5">
            <w:pPr>
              <w:keepNext w:val="0"/>
              <w:keepLines w:val="0"/>
              <w:pageBreakBefore w:val="0"/>
              <w:widowControl w:val="0"/>
              <w:numPr>
                <w:ilvl w:val="0"/>
                <w:numId w:val="0"/>
              </w:numPr>
              <w:kinsoku/>
              <w:wordWrap/>
              <w:overflowPunct/>
              <w:topLinePunct w:val="0"/>
              <w:bidi w:val="0"/>
              <w:adjustRightInd w:val="0"/>
              <w:snapToGrid w:val="0"/>
              <w:spacing w:line="380" w:lineRule="exact"/>
              <w:ind w:firstLine="630" w:firstLineChars="300"/>
              <w:rPr>
                <w:rFonts w:hint="eastAsia" w:ascii="Calibri" w:hAnsi="Calibri" w:eastAsia="宋体" w:cs="Times New Roman"/>
                <w:snapToGrid w:val="0"/>
                <w:kern w:val="0"/>
                <w:sz w:val="21"/>
                <w:szCs w:val="22"/>
                <w:lang w:val="en-US" w:eastAsia="zh-CN" w:bidi="ar-SA"/>
              </w:rPr>
            </w:pPr>
            <w:r>
              <w:rPr>
                <w:rFonts w:hint="eastAsia" w:cs="Times New Roman"/>
                <w:snapToGrid w:val="0"/>
                <w:kern w:val="0"/>
                <w:sz w:val="21"/>
                <w:szCs w:val="22"/>
                <w:highlight w:val="none"/>
                <w:lang w:val="en-US" w:eastAsia="zh-CN" w:bidi="ar-SA"/>
              </w:rPr>
              <w:t>安装工程：</w:t>
            </w:r>
            <w:r>
              <w:rPr>
                <w:rFonts w:hint="eastAsia" w:ascii="Calibri" w:hAnsi="Calibri" w:eastAsia="宋体" w:cs="Times New Roman"/>
                <w:snapToGrid w:val="0"/>
                <w:kern w:val="0"/>
                <w:sz w:val="21"/>
                <w:szCs w:val="22"/>
                <w:highlight w:val="none"/>
                <w:lang w:val="en-US" w:eastAsia="zh-CN" w:bidi="ar-SA"/>
              </w:rPr>
              <w:t>取费基数为“定额人工费+定额机械费”</w:t>
            </w:r>
            <w:r>
              <w:rPr>
                <w:rFonts w:hint="eastAsia"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highlight w:val="none"/>
                <w:lang w:val="en-US" w:eastAsia="zh-CN" w:bidi="ar-SA"/>
              </w:rPr>
              <w:t>具体费率为</w:t>
            </w:r>
            <w:r>
              <w:rPr>
                <w:rFonts w:hint="eastAsia" w:cs="Times New Roman"/>
                <w:snapToGrid w:val="0"/>
                <w:kern w:val="0"/>
                <w:sz w:val="21"/>
                <w:szCs w:val="22"/>
                <w:highlight w:val="none"/>
                <w:lang w:val="en-US" w:eastAsia="zh-CN" w:bidi="ar-SA"/>
              </w:rPr>
              <w:t>3.26%</w:t>
            </w:r>
            <w:r>
              <w:rPr>
                <w:rFonts w:hint="eastAsia" w:ascii="Calibri" w:hAnsi="Calibri" w:eastAsia="宋体" w:cs="Times New Roman"/>
                <w:snapToGrid w:val="0"/>
                <w:kern w:val="0"/>
                <w:sz w:val="21"/>
                <w:szCs w:val="22"/>
                <w:lang w:val="en-US" w:eastAsia="zh-CN" w:bidi="ar-SA"/>
              </w:rPr>
              <w:t>。</w:t>
            </w:r>
          </w:p>
          <w:p w14:paraId="0E8244B3">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eastAsia"/>
                <w:szCs w:val="22"/>
                <w:highlight w:val="none"/>
                <w:lang w:val="en-US" w:eastAsia="zh-CN"/>
              </w:rPr>
            </w:pPr>
            <w:r>
              <w:rPr>
                <w:rFonts w:hint="eastAsia"/>
                <w:szCs w:val="22"/>
                <w:highlight w:val="none"/>
              </w:rPr>
              <w:t>规费按照《浙江省建设工程计价规则（2018版）》及浙建建[2018]61号文规定</w:t>
            </w:r>
            <w:r>
              <w:rPr>
                <w:rFonts w:hint="eastAsia"/>
                <w:szCs w:val="22"/>
                <w:highlight w:val="none"/>
                <w:lang w:val="en-US" w:eastAsia="zh-CN"/>
              </w:rPr>
              <w:t>在规费政策平稳过渡期内不得低于标准费率的30%，具体如下：</w:t>
            </w:r>
          </w:p>
          <w:p w14:paraId="49FFE682">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firstLine="210" w:firstLineChars="100"/>
              <w:rPr>
                <w:rFonts w:hint="eastAsia" w:eastAsia="宋体" w:cs="Times New Roman"/>
                <w:snapToGrid w:val="0"/>
                <w:kern w:val="0"/>
                <w:sz w:val="21"/>
                <w:szCs w:val="22"/>
                <w:highlight w:val="none"/>
                <w:lang w:val="en-US" w:eastAsia="zh-CN" w:bidi="ar-SA"/>
              </w:rPr>
            </w:pPr>
            <w:r>
              <w:rPr>
                <w:rFonts w:hint="eastAsia"/>
                <w:lang w:val="en-US" w:eastAsia="zh-CN"/>
              </w:rPr>
              <w:t>单独装饰</w:t>
            </w:r>
            <w:r>
              <w:rPr>
                <w:rFonts w:hint="eastAsia" w:ascii="宋体" w:hAnsi="宋体" w:cs="宋体"/>
                <w:bCs/>
                <w:color w:val="auto"/>
                <w:szCs w:val="21"/>
                <w:highlight w:val="none"/>
                <w:lang w:val="en-US" w:eastAsia="zh-CN"/>
              </w:rPr>
              <w:t>工程</w:t>
            </w:r>
            <w:r>
              <w:rPr>
                <w:rFonts w:hint="eastAsia" w:cs="Times New Roman"/>
                <w:snapToGrid w:val="0"/>
                <w:kern w:val="0"/>
                <w:sz w:val="21"/>
                <w:szCs w:val="22"/>
                <w:highlight w:val="none"/>
                <w:lang w:val="en-US" w:eastAsia="zh-CN" w:bidi="ar-SA"/>
              </w:rPr>
              <w:t>：</w:t>
            </w:r>
            <w:r>
              <w:rPr>
                <w:rFonts w:hint="eastAsia"/>
                <w:szCs w:val="22"/>
                <w:highlight w:val="none"/>
                <w:lang w:val="en-US" w:eastAsia="zh-CN"/>
              </w:rPr>
              <w:t>取费基数为“人工费+机械费”，具体</w:t>
            </w:r>
            <w:r>
              <w:rPr>
                <w:rFonts w:hint="eastAsia" w:ascii="Calibri" w:hAnsi="Calibri" w:eastAsia="宋体" w:cs="Times New Roman"/>
                <w:snapToGrid w:val="0"/>
                <w:kern w:val="0"/>
                <w:sz w:val="21"/>
                <w:szCs w:val="22"/>
                <w:highlight w:val="none"/>
                <w:lang w:val="en-US" w:eastAsia="zh-CN" w:bidi="ar-SA"/>
              </w:rPr>
              <w:t>最低费率为</w:t>
            </w:r>
            <w:r>
              <w:rPr>
                <w:rFonts w:hint="eastAsia" w:cs="Times New Roman"/>
                <w:snapToGrid w:val="0"/>
                <w:kern w:val="0"/>
                <w:sz w:val="21"/>
                <w:szCs w:val="22"/>
                <w:highlight w:val="none"/>
                <w:lang w:val="en-US" w:eastAsia="zh-CN" w:bidi="ar-SA"/>
              </w:rPr>
              <w:t>8.38</w:t>
            </w:r>
            <w:r>
              <w:rPr>
                <w:rFonts w:hint="eastAsia" w:ascii="Calibri" w:hAnsi="Calibri" w:eastAsia="宋体" w:cs="Times New Roman"/>
                <w:snapToGrid w:val="0"/>
                <w:kern w:val="0"/>
                <w:sz w:val="21"/>
                <w:szCs w:val="22"/>
                <w:highlight w:val="none"/>
                <w:lang w:val="en-US" w:eastAsia="zh-CN" w:bidi="ar-SA"/>
              </w:rPr>
              <w:t>%</w:t>
            </w:r>
            <w:r>
              <w:rPr>
                <w:rFonts w:hint="eastAsia" w:eastAsia="宋体" w:cs="Times New Roman"/>
                <w:snapToGrid w:val="0"/>
                <w:kern w:val="0"/>
                <w:sz w:val="21"/>
                <w:szCs w:val="22"/>
                <w:highlight w:val="none"/>
                <w:lang w:val="en-US" w:eastAsia="zh-CN" w:bidi="ar-SA"/>
              </w:rPr>
              <w:t>；</w:t>
            </w:r>
          </w:p>
          <w:p w14:paraId="0747D637">
            <w:pPr>
              <w:keepNext w:val="0"/>
              <w:keepLines w:val="0"/>
              <w:pageBreakBefore w:val="0"/>
              <w:widowControl w:val="0"/>
              <w:numPr>
                <w:ilvl w:val="0"/>
                <w:numId w:val="0"/>
              </w:numPr>
              <w:kinsoku/>
              <w:wordWrap/>
              <w:overflowPunct/>
              <w:topLinePunct w:val="0"/>
              <w:bidi w:val="0"/>
              <w:adjustRightInd w:val="0"/>
              <w:snapToGrid w:val="0"/>
              <w:spacing w:line="380" w:lineRule="exact"/>
              <w:ind w:leftChars="200" w:firstLine="210" w:firstLineChars="100"/>
              <w:rPr>
                <w:rFonts w:hint="eastAsia" w:ascii="Calibri" w:hAnsi="Calibri" w:eastAsia="宋体" w:cs="Times New Roman"/>
                <w:snapToGrid w:val="0"/>
                <w:kern w:val="0"/>
                <w:sz w:val="21"/>
                <w:szCs w:val="22"/>
                <w:lang w:val="en-US" w:eastAsia="zh-CN" w:bidi="ar-SA"/>
              </w:rPr>
            </w:pPr>
            <w:r>
              <w:rPr>
                <w:rFonts w:hint="eastAsia" w:eastAsia="宋体" w:cs="Times New Roman"/>
                <w:snapToGrid w:val="0"/>
                <w:kern w:val="0"/>
                <w:sz w:val="21"/>
                <w:szCs w:val="22"/>
                <w:highlight w:val="none"/>
                <w:lang w:val="en-US" w:eastAsia="zh-CN" w:bidi="ar-SA"/>
              </w:rPr>
              <w:t>安装工程：</w:t>
            </w:r>
            <w:r>
              <w:rPr>
                <w:rFonts w:hint="eastAsia"/>
                <w:szCs w:val="22"/>
                <w:highlight w:val="none"/>
                <w:lang w:val="en-US" w:eastAsia="zh-CN"/>
              </w:rPr>
              <w:t>取费基数为“人工费+机械费”，具体</w:t>
            </w:r>
            <w:r>
              <w:rPr>
                <w:rFonts w:hint="eastAsia" w:ascii="Calibri" w:hAnsi="Calibri" w:eastAsia="宋体" w:cs="Times New Roman"/>
                <w:snapToGrid w:val="0"/>
                <w:kern w:val="0"/>
                <w:sz w:val="21"/>
                <w:szCs w:val="22"/>
                <w:highlight w:val="none"/>
                <w:lang w:val="en-US" w:eastAsia="zh-CN" w:bidi="ar-SA"/>
              </w:rPr>
              <w:t>最低费率为</w:t>
            </w:r>
            <w:r>
              <w:rPr>
                <w:rFonts w:hint="eastAsia" w:cs="Times New Roman"/>
                <w:snapToGrid w:val="0"/>
                <w:kern w:val="0"/>
                <w:sz w:val="21"/>
                <w:szCs w:val="22"/>
                <w:highlight w:val="none"/>
                <w:lang w:val="en-US" w:eastAsia="zh-CN" w:bidi="ar-SA"/>
              </w:rPr>
              <w:t>9.19</w:t>
            </w:r>
            <w:r>
              <w:rPr>
                <w:rFonts w:hint="eastAsia" w:ascii="Calibri" w:hAnsi="Calibri" w:eastAsia="宋体" w:cs="Times New Roman"/>
                <w:snapToGrid w:val="0"/>
                <w:kern w:val="0"/>
                <w:sz w:val="21"/>
                <w:szCs w:val="22"/>
                <w:highlight w:val="none"/>
                <w:lang w:val="en-US" w:eastAsia="zh-CN" w:bidi="ar-SA"/>
              </w:rPr>
              <w:t>%</w:t>
            </w:r>
            <w:r>
              <w:rPr>
                <w:rFonts w:hint="eastAsia" w:ascii="Calibri" w:hAnsi="Calibri" w:eastAsia="宋体" w:cs="Times New Roman"/>
                <w:snapToGrid w:val="0"/>
                <w:kern w:val="0"/>
                <w:sz w:val="21"/>
                <w:szCs w:val="22"/>
                <w:lang w:val="en-US" w:eastAsia="zh-CN" w:bidi="ar-SA"/>
              </w:rPr>
              <w:t>。</w:t>
            </w:r>
          </w:p>
          <w:p w14:paraId="63C652A9">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default" w:cs="Times New Roman"/>
                <w:szCs w:val="22"/>
                <w:highlight w:val="none"/>
                <w:lang w:val="en-US" w:eastAsia="zh-CN"/>
              </w:rPr>
            </w:pPr>
            <w:r>
              <w:rPr>
                <w:rFonts w:hint="eastAsia" w:ascii="Calibri" w:hAnsi="Calibri" w:eastAsia="宋体" w:cs="Times New Roman"/>
                <w:snapToGrid w:val="0"/>
                <w:kern w:val="0"/>
                <w:sz w:val="21"/>
                <w:szCs w:val="22"/>
                <w:lang w:val="en-US" w:eastAsia="zh-CN" w:bidi="ar-SA"/>
              </w:rPr>
              <w:t>税金按照浙建建发[2019]92号文件规定计取，费用不得竞争，具体费率为9.00%。</w:t>
            </w:r>
          </w:p>
          <w:p w14:paraId="65465222">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default" w:cs="Times New Roman"/>
                <w:szCs w:val="22"/>
                <w:highlight w:val="none"/>
                <w:lang w:val="en-US" w:eastAsia="zh-CN"/>
              </w:rPr>
            </w:pPr>
            <w:r>
              <w:rPr>
                <w:rFonts w:hint="eastAsia" w:cs="Times New Roman"/>
                <w:szCs w:val="22"/>
                <w:highlight w:val="none"/>
                <w:lang w:val="en-US" w:eastAsia="zh-CN"/>
              </w:rPr>
              <w:t>安全生产责任险费用按照杭建招标造价中心[2021]84号文《关于明确杭州市建筑施工领域安全生产责任保险费用计取的通知》</w:t>
            </w:r>
            <w:r>
              <w:rPr>
                <w:rFonts w:hint="eastAsia"/>
                <w:szCs w:val="22"/>
                <w:highlight w:val="none"/>
                <w:lang w:val="en-US" w:eastAsia="zh-CN"/>
              </w:rPr>
              <w:t>规定投标人在投标报价时，应该结合实际和企业信用状况将安责险列入企业管理费中进行自主报价。</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0"/>
              <w:gridCol w:w="3410"/>
            </w:tblGrid>
            <w:tr w14:paraId="26F7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0B63D855">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工程造价</w:t>
                  </w:r>
                </w:p>
              </w:tc>
              <w:tc>
                <w:tcPr>
                  <w:tcW w:w="3410" w:type="dxa"/>
                </w:tcPr>
                <w:p w14:paraId="1F8E5813">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lang w:val="en-US" w:eastAsia="zh-CN"/>
                    </w:rPr>
                    <w:t>安责险差额费率（%）</w:t>
                  </w:r>
                </w:p>
              </w:tc>
            </w:tr>
            <w:tr w14:paraId="430D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00D29B99">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3亿以上</w:t>
                  </w:r>
                </w:p>
              </w:tc>
              <w:tc>
                <w:tcPr>
                  <w:tcW w:w="3410" w:type="dxa"/>
                </w:tcPr>
                <w:p w14:paraId="40A98EF2">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0-0.25</w:t>
                  </w:r>
                </w:p>
              </w:tc>
            </w:tr>
            <w:tr w14:paraId="2EB3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78B2E33B">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1亿~3亿（含3亿）</w:t>
                  </w:r>
                </w:p>
              </w:tc>
              <w:tc>
                <w:tcPr>
                  <w:tcW w:w="3410" w:type="dxa"/>
                </w:tcPr>
                <w:p w14:paraId="370BF084">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0-0.29</w:t>
                  </w:r>
                </w:p>
              </w:tc>
            </w:tr>
            <w:tr w14:paraId="471B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5FD9E662">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3000万~1亿（含1亿）</w:t>
                  </w:r>
                </w:p>
              </w:tc>
              <w:tc>
                <w:tcPr>
                  <w:tcW w:w="3410" w:type="dxa"/>
                </w:tcPr>
                <w:p w14:paraId="779554C8">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0-0.36</w:t>
                  </w:r>
                </w:p>
              </w:tc>
            </w:tr>
            <w:tr w14:paraId="4D87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10" w:type="dxa"/>
                </w:tcPr>
                <w:p w14:paraId="68F203CB">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500万~3000万（含3000万）</w:t>
                  </w:r>
                </w:p>
              </w:tc>
              <w:tc>
                <w:tcPr>
                  <w:tcW w:w="3410" w:type="dxa"/>
                </w:tcPr>
                <w:p w14:paraId="58D5616C">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0-0.42</w:t>
                  </w:r>
                </w:p>
              </w:tc>
            </w:tr>
            <w:tr w14:paraId="5FAF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410" w:type="dxa"/>
                </w:tcPr>
                <w:p w14:paraId="255D1158">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500万以下（含500万）</w:t>
                  </w:r>
                </w:p>
              </w:tc>
              <w:tc>
                <w:tcPr>
                  <w:tcW w:w="3410" w:type="dxa"/>
                </w:tcPr>
                <w:p w14:paraId="76BA342E">
                  <w:pPr>
                    <w:pStyle w:val="3"/>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0-0.66</w:t>
                  </w:r>
                </w:p>
              </w:tc>
            </w:tr>
          </w:tbl>
          <w:p w14:paraId="692B1099">
            <w:pPr>
              <w:keepNext w:val="0"/>
              <w:keepLines w:val="0"/>
              <w:pageBreakBefore w:val="0"/>
              <w:widowControl w:val="0"/>
              <w:numPr>
                <w:ilvl w:val="0"/>
                <w:numId w:val="5"/>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其余施工组织措施费（“标化工地增加费”除外）费率按照《浙江省建设工程计价规则（2018版）》规定可参考相应施工取费费率由投标人自主确定。</w:t>
            </w:r>
          </w:p>
          <w:p w14:paraId="6B997B5D">
            <w:pPr>
              <w:pStyle w:val="3"/>
              <w:numPr>
                <w:ilvl w:val="0"/>
                <w:numId w:val="5"/>
              </w:numPr>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暂列金：本项目无暂列金。</w:t>
            </w:r>
          </w:p>
          <w:p w14:paraId="3BFCBE96">
            <w:pPr>
              <w:keepNext w:val="0"/>
              <w:keepLines w:val="0"/>
              <w:pageBreakBefore w:val="0"/>
              <w:widowControl w:val="0"/>
              <w:numPr>
                <w:ilvl w:val="0"/>
                <w:numId w:val="4"/>
              </w:numPr>
              <w:kinsoku/>
              <w:wordWrap/>
              <w:overflowPunct/>
              <w:topLinePunct w:val="0"/>
              <w:bidi w:val="0"/>
              <w:adjustRightInd w:val="0"/>
              <w:snapToGrid w:val="0"/>
              <w:spacing w:line="380" w:lineRule="exact"/>
              <w:ind w:left="0" w:leftChars="0"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清单编制说明：</w:t>
            </w:r>
            <w:bookmarkStart w:id="0" w:name="_GoBack"/>
            <w:bookmarkEnd w:id="0"/>
          </w:p>
          <w:p w14:paraId="59CF6133">
            <w:pPr>
              <w:keepNext w:val="0"/>
              <w:keepLines w:val="0"/>
              <w:pageBreakBefore w:val="0"/>
              <w:widowControl w:val="0"/>
              <w:kinsoku/>
              <w:wordWrap/>
              <w:overflowPunct/>
              <w:topLinePunct w:val="0"/>
              <w:autoSpaceDE w:val="0"/>
              <w:autoSpaceDN w:val="0"/>
              <w:bidi w:val="0"/>
              <w:adjustRightInd w:val="0"/>
              <w:snapToGrid w:val="0"/>
              <w:spacing w:line="380" w:lineRule="exact"/>
              <w:ind w:left="420" w:leftChars="200"/>
              <w:jc w:val="left"/>
              <w:textAlignment w:val="baseline"/>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（一）通用部分：</w:t>
            </w:r>
          </w:p>
          <w:p w14:paraId="39467E4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（1）部分项工程量清单中的工程量是按实物净量计算，一切损耗均应在投标报价的综合单价中考虑；</w:t>
            </w:r>
          </w:p>
          <w:p w14:paraId="60B69715">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（2）本工程量清单报价均应充分考虑交叉施工的影响，并计入报价；</w:t>
            </w:r>
          </w:p>
          <w:p w14:paraId="05E50FD7">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（3）本工程量清单报价应包含施工用水用电的全部费用，并计入报价；</w:t>
            </w:r>
          </w:p>
          <w:p w14:paraId="0D01825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（4）投标人在填写工程量清单的每一项综合单价和合价时均应结合</w:t>
            </w:r>
            <w:r>
              <w:rPr>
                <w:rFonts w:hint="eastAsia" w:cs="Times New Roman"/>
                <w:snapToGrid w:val="0"/>
                <w:kern w:val="0"/>
                <w:sz w:val="21"/>
                <w:szCs w:val="22"/>
                <w:lang w:val="en-US" w:eastAsia="zh-CN" w:bidi="ar-SA"/>
              </w:rPr>
              <w:t>招标</w:t>
            </w:r>
            <w:r>
              <w:rPr>
                <w:rFonts w:hint="eastAsia" w:ascii="Calibri" w:hAnsi="Calibri" w:eastAsia="宋体" w:cs="Times New Roman"/>
                <w:snapToGrid w:val="0"/>
                <w:kern w:val="0"/>
                <w:sz w:val="21"/>
                <w:szCs w:val="22"/>
                <w:lang w:val="en-US" w:eastAsia="zh-CN" w:bidi="ar-SA"/>
              </w:rPr>
              <w:t>文件、技术规范、设计施工图纸和现场勘察情况，谨慎仔细地进行报价；</w:t>
            </w:r>
          </w:p>
          <w:p w14:paraId="3EB5F779">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（5）本工程中所有技术措施费和组织措施费投标单位应结合踏勘现场在投标报价时综合考虑计入报价；</w:t>
            </w:r>
          </w:p>
          <w:p w14:paraId="1B469EE6">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（6）清单中涉及到有关标准图集的项目，投标时综合单价应包含标准图集做法中所有工程内容；</w:t>
            </w:r>
          </w:p>
          <w:p w14:paraId="4721E66E">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（7）工程施工时，中标人对周边建筑物、城市道路、树木、构筑物、电力设施、地下管线及各类成品等自行采取保护措施，并做好安全围护措施；</w:t>
            </w:r>
          </w:p>
          <w:p w14:paraId="2F34F579">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（8）工程施工时，招标人不一定能保证24小时连续供电，由此有可能增加的有关费用（如自备发电机等），由投标人自行考虑；</w:t>
            </w:r>
          </w:p>
          <w:p w14:paraId="6497035B">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9）投标人应充分考虑施工过程中可能发生的水平运输、垂直运输、临时安防消防、临时设施租用、赶工措施及分项工程修改造成的小范围窝工、工程用电紧张、材料采购困难等因素，其相关费用列入措施项目费用中，招标人不另行支付；</w:t>
            </w:r>
          </w:p>
          <w:p w14:paraId="55EEB0A3">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（10）投标人认为如需采取加快施工进度措施的，则将加快施工进度措施费用计入措施项目费，中标后不作调整；</w:t>
            </w:r>
          </w:p>
          <w:p w14:paraId="23E354C2">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（11）承包人的施工组织设计中应充分考虑施工期间的安全问题、施工干扰问题、确定施工组织方案等，制定详细的保证措施并在施工中进行实施，由此发生的一切费用均计入投标报价中，招标人不另行支付；</w:t>
            </w:r>
          </w:p>
          <w:p w14:paraId="7335A501">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12）投标单位在投标报价时应结合图纸综合考虑投标报价，清单项目特征未能对各节点详图进行完全性描述的必须按施工图或施工图注明图集进行报价，并在综合单价中考虑施工中的各种损耗和需要增加的工程量，否则视为已计入相应项目综合单价中，中标后将不调整综合单价；</w:t>
            </w:r>
          </w:p>
          <w:p w14:paraId="34AA0CF6">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（13）所有材料及设备必须符合设计及招标人要求，对有特殊要求的在报价中充分考虑；</w:t>
            </w:r>
          </w:p>
          <w:p w14:paraId="68345C9A">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（14）清单以项为单位的项目（除暂定价），均为包干价，竣工结算一律不调整；</w:t>
            </w:r>
          </w:p>
          <w:p w14:paraId="1F4F1E20">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（15）所有工程内容应满足设计和规范要求；</w:t>
            </w:r>
          </w:p>
          <w:p w14:paraId="1D4B5FA3">
            <w:pPr>
              <w:keepNext w:val="0"/>
              <w:keepLines w:val="0"/>
              <w:pageBreakBefore w:val="0"/>
              <w:widowControl w:val="0"/>
              <w:kinsoku/>
              <w:wordWrap/>
              <w:overflowPunct/>
              <w:topLinePunct w:val="0"/>
              <w:bidi w:val="0"/>
              <w:adjustRightInd w:val="0"/>
              <w:snapToGrid w:val="0"/>
              <w:spacing w:line="380" w:lineRule="exact"/>
              <w:ind w:firstLine="420" w:firstLineChars="200"/>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（16）投标单位认为需要填报的其他技术措施施工费，投标单位可根据工程及施工组织设计情况自行补充填报相应费用，技术措施费一次性包干，竣工结算不调整。</w:t>
            </w:r>
          </w:p>
          <w:p w14:paraId="4FE3C317">
            <w:pPr>
              <w:keepNext w:val="0"/>
              <w:keepLines w:val="0"/>
              <w:pageBreakBefore w:val="0"/>
              <w:widowControl w:val="0"/>
              <w:kinsoku/>
              <w:wordWrap/>
              <w:overflowPunct/>
              <w:topLinePunct w:val="0"/>
              <w:bidi w:val="0"/>
              <w:adjustRightInd w:val="0"/>
              <w:snapToGrid w:val="0"/>
              <w:spacing w:line="380" w:lineRule="exact"/>
              <w:rPr>
                <w:rFonts w:hint="eastAsia" w:ascii="Calibri" w:hAnsi="Calibri" w:eastAsia="宋体" w:cs="Times New Roman"/>
                <w:snapToGrid w:val="0"/>
                <w:kern w:val="0"/>
                <w:sz w:val="21"/>
                <w:szCs w:val="22"/>
                <w:lang w:val="en-US" w:eastAsia="zh-CN" w:bidi="ar-SA"/>
              </w:rPr>
            </w:pPr>
            <w:r>
              <w:rPr>
                <w:rFonts w:hint="eastAsia" w:ascii="Calibri" w:hAnsi="Calibri" w:eastAsia="宋体" w:cs="Times New Roman"/>
                <w:snapToGrid w:val="0"/>
                <w:kern w:val="0"/>
                <w:sz w:val="21"/>
                <w:szCs w:val="22"/>
                <w:lang w:val="en-US" w:eastAsia="zh-CN" w:bidi="ar-SA"/>
              </w:rPr>
              <w:t>（二）相关专业部分</w:t>
            </w:r>
          </w:p>
          <w:p w14:paraId="78B3B4C6">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1、新增墙体为轻钢龙骨隔墙，内衬9厘板+10mm石膏板，面层为乳胶漆；</w:t>
            </w:r>
          </w:p>
          <w:p w14:paraId="0A6794F4">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2、原地面修复按照10%计入；</w:t>
            </w:r>
          </w:p>
          <w:p w14:paraId="7730F2C0">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3、铝方通、灯膜吊顶增加原顶面涂料；</w:t>
            </w:r>
          </w:p>
          <w:p w14:paraId="0C5139A5">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4、本次改造不涉及楼梯间；</w:t>
            </w:r>
          </w:p>
          <w:p w14:paraId="67577148">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5、墙面乳胶漆按照腻子2遍，乳胶漆2遍计入；</w:t>
            </w:r>
          </w:p>
          <w:p w14:paraId="00BD04E7">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6、灯膜吊顶，铝框架按照30*100mm计入；</w:t>
            </w:r>
          </w:p>
          <w:p w14:paraId="7C9DE7F5">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default" w:ascii="Calibri" w:hAnsi="Calibri" w:eastAsia="宋体" w:cs="Times New Roman"/>
                <w:snapToGrid w:val="0"/>
                <w:kern w:val="0"/>
                <w:sz w:val="21"/>
                <w:szCs w:val="22"/>
                <w:lang w:val="en-US" w:eastAsia="zh-CN" w:bidi="ar-SA"/>
              </w:rPr>
              <w:t>7、自习室耐力板按照17块、8mm厚计入；</w:t>
            </w:r>
          </w:p>
          <w:p w14:paraId="72A48FAD">
            <w:pPr>
              <w:widowControl/>
              <w:ind w:firstLine="420" w:firstLineChars="200"/>
              <w:jc w:val="left"/>
              <w:rPr>
                <w:rFonts w:hint="default" w:ascii="Calibri" w:hAnsi="Calibri" w:eastAsia="宋体" w:cs="Times New Roman"/>
                <w:snapToGrid w:val="0"/>
                <w:kern w:val="0"/>
                <w:sz w:val="21"/>
                <w:szCs w:val="22"/>
                <w:lang w:val="en-US" w:eastAsia="zh-CN" w:bidi="ar-SA"/>
              </w:rPr>
            </w:pPr>
          </w:p>
          <w:p w14:paraId="72C17BCF">
            <w:pPr>
              <w:numPr>
                <w:ilvl w:val="0"/>
                <w:numId w:val="1"/>
              </w:numPr>
              <w:ind w:left="0" w:leftChars="0" w:firstLine="0" w:firstLineChars="0"/>
              <w:rPr>
                <w:rFonts w:hint="eastAsia" w:ascii="Calibri" w:hAnsi="Calibri" w:eastAsia="宋体" w:cs="Times New Roman"/>
                <w:snapToGrid w:val="0"/>
                <w:kern w:val="0"/>
                <w:sz w:val="21"/>
                <w:szCs w:val="22"/>
                <w:lang w:val="en-US" w:eastAsia="zh-CN" w:bidi="ar-SA"/>
              </w:rPr>
            </w:pPr>
            <w:r>
              <w:rPr>
                <w:rFonts w:hint="eastAsia" w:asciiTheme="minorEastAsia" w:hAnsiTheme="minorEastAsia" w:eastAsiaTheme="minorEastAsia" w:cstheme="minorEastAsia"/>
                <w:snapToGrid w:val="0"/>
                <w:kern w:val="0"/>
                <w:sz w:val="21"/>
                <w:szCs w:val="22"/>
                <w:lang w:val="en-US" w:eastAsia="zh-CN" w:bidi="ar-SA"/>
              </w:rPr>
              <w:t>主要材料品牌要求</w:t>
            </w:r>
            <w:r>
              <w:rPr>
                <w:rFonts w:hint="eastAsia" w:ascii="Calibri" w:hAnsi="Calibri" w:eastAsia="宋体" w:cs="Times New Roman"/>
                <w:snapToGrid w:val="0"/>
                <w:kern w:val="0"/>
                <w:sz w:val="21"/>
                <w:szCs w:val="22"/>
                <w:lang w:val="en-US" w:eastAsia="zh-CN" w:bidi="ar-SA"/>
              </w:rPr>
              <w:t>：</w:t>
            </w:r>
          </w:p>
          <w:p w14:paraId="0676EC53">
            <w:pPr>
              <w:widowControl/>
              <w:ind w:firstLine="420" w:firstLineChars="200"/>
              <w:jc w:val="left"/>
              <w:rPr>
                <w:rFonts w:hint="default" w:ascii="Calibri" w:hAnsi="Calibri" w:eastAsia="宋体" w:cs="Times New Roman"/>
                <w:snapToGrid w:val="0"/>
                <w:kern w:val="0"/>
                <w:sz w:val="21"/>
                <w:szCs w:val="22"/>
                <w:lang w:val="en-US" w:eastAsia="zh-CN" w:bidi="ar-SA"/>
              </w:rPr>
            </w:pPr>
            <w:r>
              <w:rPr>
                <w:rFonts w:hint="eastAsia" w:cs="Times New Roman"/>
                <w:snapToGrid w:val="0"/>
                <w:kern w:val="0"/>
                <w:sz w:val="21"/>
                <w:szCs w:val="22"/>
                <w:lang w:val="en-US" w:eastAsia="zh-CN" w:bidi="ar-SA"/>
              </w:rPr>
              <w:t>具体详见招标文件。</w:t>
            </w:r>
          </w:p>
        </w:tc>
      </w:tr>
    </w:tbl>
    <w:p w14:paraId="761EE408"/>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S?o｡ﾀ?">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5F169"/>
    <w:multiLevelType w:val="singleLevel"/>
    <w:tmpl w:val="D725F169"/>
    <w:lvl w:ilvl="0" w:tentative="0">
      <w:start w:val="1"/>
      <w:numFmt w:val="chineseCounting"/>
      <w:suff w:val="nothing"/>
      <w:lvlText w:val="%1、"/>
      <w:lvlJc w:val="left"/>
      <w:pPr>
        <w:ind w:left="0" w:firstLine="420"/>
      </w:pPr>
      <w:rPr>
        <w:rFonts w:hint="eastAsia"/>
      </w:rPr>
    </w:lvl>
  </w:abstractNum>
  <w:abstractNum w:abstractNumId="1">
    <w:nsid w:val="DB35B2D1"/>
    <w:multiLevelType w:val="singleLevel"/>
    <w:tmpl w:val="DB35B2D1"/>
    <w:lvl w:ilvl="0" w:tentative="0">
      <w:start w:val="1"/>
      <w:numFmt w:val="decimal"/>
      <w:suff w:val="nothing"/>
      <w:lvlText w:val="%1．"/>
      <w:lvlJc w:val="left"/>
      <w:pPr>
        <w:ind w:left="0" w:firstLine="400"/>
      </w:pPr>
      <w:rPr>
        <w:rFonts w:hint="default"/>
      </w:rPr>
    </w:lvl>
  </w:abstractNum>
  <w:abstractNum w:abstractNumId="2">
    <w:nsid w:val="2CF205A3"/>
    <w:multiLevelType w:val="singleLevel"/>
    <w:tmpl w:val="2CF205A3"/>
    <w:lvl w:ilvl="0" w:tentative="0">
      <w:start w:val="1"/>
      <w:numFmt w:val="decimal"/>
      <w:lvlText w:val="%1."/>
      <w:lvlJc w:val="left"/>
      <w:pPr>
        <w:tabs>
          <w:tab w:val="left" w:pos="312"/>
        </w:tabs>
      </w:pPr>
    </w:lvl>
  </w:abstractNum>
  <w:abstractNum w:abstractNumId="3">
    <w:nsid w:val="59369486"/>
    <w:multiLevelType w:val="singleLevel"/>
    <w:tmpl w:val="59369486"/>
    <w:lvl w:ilvl="0" w:tentative="0">
      <w:start w:val="1"/>
      <w:numFmt w:val="decimal"/>
      <w:suff w:val="nothing"/>
      <w:lvlText w:val="%1．"/>
      <w:lvlJc w:val="left"/>
      <w:pPr>
        <w:ind w:left="0" w:firstLine="400"/>
      </w:pPr>
      <w:rPr>
        <w:rFonts w:hint="default"/>
      </w:rPr>
    </w:lvl>
  </w:abstractNum>
  <w:abstractNum w:abstractNumId="4">
    <w:nsid w:val="68B6A08C"/>
    <w:multiLevelType w:val="singleLevel"/>
    <w:tmpl w:val="68B6A08C"/>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jOGE5Y2U2OTE5NDQzODA4Y2Y0MDRkNjBhZTYxYTUifQ=="/>
    <w:docVar w:name="KSO_WPS_MARK_KEY" w:val="92fce3cf-0044-4dca-b84b-898b5059ef11"/>
  </w:docVars>
  <w:rsids>
    <w:rsidRoot w:val="76CC569C"/>
    <w:rsid w:val="01810363"/>
    <w:rsid w:val="01B57E57"/>
    <w:rsid w:val="02955E7A"/>
    <w:rsid w:val="031642C5"/>
    <w:rsid w:val="037D58CD"/>
    <w:rsid w:val="074B04EF"/>
    <w:rsid w:val="0759373F"/>
    <w:rsid w:val="07644F3C"/>
    <w:rsid w:val="0830753B"/>
    <w:rsid w:val="093913A0"/>
    <w:rsid w:val="0AAE6E86"/>
    <w:rsid w:val="0AFD29F5"/>
    <w:rsid w:val="0CE17A41"/>
    <w:rsid w:val="0D5736A1"/>
    <w:rsid w:val="0DA77092"/>
    <w:rsid w:val="0EB249B8"/>
    <w:rsid w:val="0F5707D8"/>
    <w:rsid w:val="0FD10363"/>
    <w:rsid w:val="12A95654"/>
    <w:rsid w:val="12D45830"/>
    <w:rsid w:val="12F32C12"/>
    <w:rsid w:val="12FC53D7"/>
    <w:rsid w:val="13264706"/>
    <w:rsid w:val="132941E0"/>
    <w:rsid w:val="1442403F"/>
    <w:rsid w:val="147719DB"/>
    <w:rsid w:val="157867C3"/>
    <w:rsid w:val="15972072"/>
    <w:rsid w:val="166B24EE"/>
    <w:rsid w:val="17DB07D7"/>
    <w:rsid w:val="17FE14AC"/>
    <w:rsid w:val="18E90EA3"/>
    <w:rsid w:val="18FE0606"/>
    <w:rsid w:val="1C5030B9"/>
    <w:rsid w:val="1D0B3A3A"/>
    <w:rsid w:val="1EB56737"/>
    <w:rsid w:val="1FC85AE5"/>
    <w:rsid w:val="20444C93"/>
    <w:rsid w:val="20DF3086"/>
    <w:rsid w:val="20F156C0"/>
    <w:rsid w:val="22207C9A"/>
    <w:rsid w:val="224B5682"/>
    <w:rsid w:val="22A479D8"/>
    <w:rsid w:val="25B11133"/>
    <w:rsid w:val="25C81D4C"/>
    <w:rsid w:val="268F44BF"/>
    <w:rsid w:val="274F2A9B"/>
    <w:rsid w:val="2A8514D2"/>
    <w:rsid w:val="2AE63FF8"/>
    <w:rsid w:val="2B820347"/>
    <w:rsid w:val="2CB723F5"/>
    <w:rsid w:val="2CE55330"/>
    <w:rsid w:val="2E395CCF"/>
    <w:rsid w:val="2F7D715C"/>
    <w:rsid w:val="2FBA267D"/>
    <w:rsid w:val="30A02ACC"/>
    <w:rsid w:val="313E365B"/>
    <w:rsid w:val="329506CF"/>
    <w:rsid w:val="33F21003"/>
    <w:rsid w:val="34415BFF"/>
    <w:rsid w:val="37D02597"/>
    <w:rsid w:val="385B29A2"/>
    <w:rsid w:val="390D58FC"/>
    <w:rsid w:val="3A2A648F"/>
    <w:rsid w:val="3B1823BB"/>
    <w:rsid w:val="3BF5749A"/>
    <w:rsid w:val="3DAD1384"/>
    <w:rsid w:val="3DC20893"/>
    <w:rsid w:val="3EBE6DBA"/>
    <w:rsid w:val="40F13397"/>
    <w:rsid w:val="41626377"/>
    <w:rsid w:val="421254FD"/>
    <w:rsid w:val="431A46EB"/>
    <w:rsid w:val="43EA29F0"/>
    <w:rsid w:val="44A837F1"/>
    <w:rsid w:val="453646D2"/>
    <w:rsid w:val="45450464"/>
    <w:rsid w:val="45F70381"/>
    <w:rsid w:val="460263B8"/>
    <w:rsid w:val="467961A5"/>
    <w:rsid w:val="47860ADE"/>
    <w:rsid w:val="484238B5"/>
    <w:rsid w:val="4A1477BE"/>
    <w:rsid w:val="4A69097E"/>
    <w:rsid w:val="4B49763E"/>
    <w:rsid w:val="4C077E3F"/>
    <w:rsid w:val="4C56319A"/>
    <w:rsid w:val="4D397FB7"/>
    <w:rsid w:val="4DA957DB"/>
    <w:rsid w:val="4E6629BC"/>
    <w:rsid w:val="4E676ACC"/>
    <w:rsid w:val="4EA64DC2"/>
    <w:rsid w:val="4F3159C1"/>
    <w:rsid w:val="504D41CA"/>
    <w:rsid w:val="50EE6383"/>
    <w:rsid w:val="52656CAA"/>
    <w:rsid w:val="526E44CC"/>
    <w:rsid w:val="5307727C"/>
    <w:rsid w:val="531C2106"/>
    <w:rsid w:val="53B67B7C"/>
    <w:rsid w:val="53DC1CEC"/>
    <w:rsid w:val="54F1628F"/>
    <w:rsid w:val="557D5D37"/>
    <w:rsid w:val="560F0224"/>
    <w:rsid w:val="567C3220"/>
    <w:rsid w:val="56F20776"/>
    <w:rsid w:val="580A274E"/>
    <w:rsid w:val="5A8C776F"/>
    <w:rsid w:val="5AB3152E"/>
    <w:rsid w:val="5AF30A1D"/>
    <w:rsid w:val="5B342429"/>
    <w:rsid w:val="5C5D0C4B"/>
    <w:rsid w:val="5CAC5D0F"/>
    <w:rsid w:val="5CD91959"/>
    <w:rsid w:val="5EB97B17"/>
    <w:rsid w:val="5F750A04"/>
    <w:rsid w:val="5FC114D9"/>
    <w:rsid w:val="5FF74B11"/>
    <w:rsid w:val="61060383"/>
    <w:rsid w:val="61B678C3"/>
    <w:rsid w:val="62191737"/>
    <w:rsid w:val="621B14AB"/>
    <w:rsid w:val="63674DAF"/>
    <w:rsid w:val="63FD1C01"/>
    <w:rsid w:val="64060A28"/>
    <w:rsid w:val="656452AC"/>
    <w:rsid w:val="66A01F9C"/>
    <w:rsid w:val="67391D10"/>
    <w:rsid w:val="68A5073B"/>
    <w:rsid w:val="69D476AC"/>
    <w:rsid w:val="6A197561"/>
    <w:rsid w:val="6A6008B3"/>
    <w:rsid w:val="6B7B1AB7"/>
    <w:rsid w:val="6CD71CD6"/>
    <w:rsid w:val="6D06095C"/>
    <w:rsid w:val="6D0B27B0"/>
    <w:rsid w:val="6DFE058E"/>
    <w:rsid w:val="6E27742E"/>
    <w:rsid w:val="6E394DFF"/>
    <w:rsid w:val="6F7524C5"/>
    <w:rsid w:val="700218F8"/>
    <w:rsid w:val="706E3357"/>
    <w:rsid w:val="759F5555"/>
    <w:rsid w:val="75FD46C6"/>
    <w:rsid w:val="766D3498"/>
    <w:rsid w:val="76CC569C"/>
    <w:rsid w:val="77743FCA"/>
    <w:rsid w:val="77C96382"/>
    <w:rsid w:val="7948127A"/>
    <w:rsid w:val="79B51612"/>
    <w:rsid w:val="79ED63CE"/>
    <w:rsid w:val="7A1814D8"/>
    <w:rsid w:val="7BAC2D3A"/>
    <w:rsid w:val="7BEA1679"/>
    <w:rsid w:val="7C2B2093"/>
    <w:rsid w:val="7D4D015E"/>
    <w:rsid w:val="7D8A5789"/>
    <w:rsid w:val="7DA82161"/>
    <w:rsid w:val="7DF5480B"/>
    <w:rsid w:val="7E133D25"/>
    <w:rsid w:val="7E78717A"/>
    <w:rsid w:val="7F4E4C54"/>
    <w:rsid w:val="7F8F1222"/>
    <w:rsid w:val="7FDD5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napToGrid w:val="0"/>
      <w:sz w:val="21"/>
      <w:lang w:val="en-US" w:eastAsia="zh-CN" w:bidi="ar-SA"/>
    </w:rPr>
  </w:style>
  <w:style w:type="paragraph" w:styleId="2">
    <w:name w:val="heading 1"/>
    <w:basedOn w:val="1"/>
    <w:next w:val="1"/>
    <w:qFormat/>
    <w:uiPriority w:val="0"/>
    <w:pPr>
      <w:keepNext/>
      <w:keepLines/>
      <w:adjustRightInd w:val="0"/>
      <w:spacing w:before="340" w:beforeLines="0" w:beforeAutospacing="0" w:after="330" w:afterLines="0" w:afterAutospacing="0" w:line="360" w:lineRule="auto"/>
      <w:jc w:val="center"/>
      <w:outlineLvl w:val="0"/>
    </w:pPr>
    <w:rPr>
      <w:rFonts w:eastAsia="黑体"/>
      <w:b/>
      <w:kern w:val="44"/>
      <w:sz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jc w:val="both"/>
    </w:pPr>
    <w:rPr>
      <w:rFonts w:ascii="Times New Roman" w:hAnsi="Times New Roman" w:eastAsia="宋体" w:cs="Times New Roman"/>
      <w:kern w:val="2"/>
      <w:sz w:val="28"/>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1"/>
    <w:next w:val="1"/>
    <w:qFormat/>
    <w:uiPriority w:val="0"/>
    <w:pPr>
      <w:ind w:firstLine="42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paragraph" w:customStyle="1" w:styleId="10">
    <w:name w:val="内文正文"/>
    <w:basedOn w:val="1"/>
    <w:qFormat/>
    <w:uiPriority w:val="0"/>
    <w:pPr>
      <w:widowControl/>
      <w:autoSpaceDE w:val="0"/>
      <w:autoSpaceDN w:val="0"/>
      <w:spacing w:line="400" w:lineRule="exact"/>
      <w:ind w:firstLine="200" w:firstLineChars="200"/>
      <w:textAlignment w:val="bottom"/>
    </w:pPr>
    <w:rPr>
      <w:rFonts w:ascii="宋体" w:hAnsi="???|CS?o｡ﾀ?" w:cs="宋体"/>
      <w:kern w:val="0"/>
      <w:szCs w:val="21"/>
    </w:rPr>
  </w:style>
  <w:style w:type="character" w:customStyle="1" w:styleId="11">
    <w:name w:val="font01"/>
    <w:basedOn w:val="8"/>
    <w:qFormat/>
    <w:uiPriority w:val="0"/>
    <w:rPr>
      <w:rFonts w:hint="eastAsia" w:ascii="宋体" w:hAnsi="宋体" w:eastAsia="宋体" w:cs="宋体"/>
      <w:color w:val="000000"/>
      <w:sz w:val="18"/>
      <w:szCs w:val="18"/>
      <w:u w:val="none"/>
    </w:rPr>
  </w:style>
  <w:style w:type="character" w:customStyle="1" w:styleId="12">
    <w:name w:val="font11"/>
    <w:basedOn w:val="8"/>
    <w:qFormat/>
    <w:uiPriority w:val="0"/>
    <w:rPr>
      <w:rFonts w:ascii="Calibri" w:hAnsi="Calibri" w:cs="Calibri"/>
      <w:color w:val="000000"/>
      <w:sz w:val="21"/>
      <w:szCs w:val="21"/>
      <w:u w:val="none"/>
    </w:rPr>
  </w:style>
  <w:style w:type="character" w:customStyle="1" w:styleId="13">
    <w:name w:val="font21"/>
    <w:basedOn w:val="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2241</Words>
  <Characters>2425</Characters>
  <Lines>0</Lines>
  <Paragraphs>0</Paragraphs>
  <TotalTime>0</TotalTime>
  <ScaleCrop>false</ScaleCrop>
  <LinksUpToDate>false</LinksUpToDate>
  <CharactersWithSpaces>2426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2019-10-12T07:53:00Z</dcterms:created>
  <dc:creator>张彦波</dc:creator>
  <cp:lastModifiedBy>额。。。</cp:lastModifiedBy>
  <dcterms:modified xsi:type="dcterms:W3CDTF">2025-06-17T08:06:09Z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02A33E823CF743C4B1645C4C59254F84</vt:lpwstr>
  </property>
  <property fmtid="{D5CDD505-2E9C-101B-9397-08002B2CF9AE}" pid="4" name="KSOTemplateDocerSaveRecord">
    <vt:lpwstr>eyJoZGlkIjoiMDRjOGE5Y2U2OTE5NDQzODA4Y2Y0MDRkNjBhZTYxYTUiLCJ1c2VySWQiOiI0NjA4MTEyNjcifQ==</vt:lpwstr>
  </property>
</Properties>
</file>