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C2707">
      <w:pPr>
        <w:wordWrap w:val="0"/>
        <w:snapToGrid w:val="0"/>
        <w:spacing w:beforeLines="0" w:afterLines="0" w:line="360" w:lineRule="auto"/>
        <w:jc w:val="center"/>
        <w:rPr>
          <w:rFonts w:ascii="仿宋" w:hAnsi="仿宋" w:eastAsia="仿宋" w:cs="仿宋"/>
          <w:b/>
          <w:color w:val="auto"/>
          <w:sz w:val="24"/>
          <w:highlight w:val="none"/>
        </w:rPr>
      </w:pPr>
    </w:p>
    <w:p w14:paraId="75030395">
      <w:pPr>
        <w:wordWrap w:val="0"/>
        <w:snapToGrid w:val="0"/>
        <w:spacing w:beforeLines="0" w:afterLines="0" w:line="360" w:lineRule="auto"/>
        <w:jc w:val="center"/>
        <w:rPr>
          <w:rFonts w:ascii="仿宋" w:hAnsi="仿宋" w:eastAsia="仿宋" w:cs="仿宋"/>
          <w:b/>
          <w:color w:val="auto"/>
          <w:sz w:val="24"/>
          <w:highlight w:val="none"/>
        </w:rPr>
      </w:pPr>
    </w:p>
    <w:p w14:paraId="3218A9BB">
      <w:pPr>
        <w:wordWrap w:val="0"/>
        <w:adjustRightInd/>
        <w:snapToGrid w:val="0"/>
        <w:spacing w:beforeLines="0" w:afterLines="0" w:line="360" w:lineRule="auto"/>
        <w:jc w:val="center"/>
        <w:rPr>
          <w:rFonts w:ascii="仿宋" w:hAnsi="仿宋" w:eastAsia="仿宋" w:cs="仿宋"/>
          <w:b/>
          <w:color w:val="auto"/>
          <w:sz w:val="44"/>
          <w:szCs w:val="44"/>
          <w:highlight w:val="none"/>
        </w:rPr>
      </w:pPr>
    </w:p>
    <w:p w14:paraId="7CEF3C0C">
      <w:pPr>
        <w:wordWrap w:val="0"/>
        <w:snapToGrid w:val="0"/>
        <w:spacing w:beforeLines="0" w:afterLines="0" w:line="360" w:lineRule="auto"/>
        <w:jc w:val="center"/>
        <w:rPr>
          <w:rFonts w:ascii="仿宋" w:hAnsi="仿宋" w:eastAsia="仿宋" w:cs="仿宋"/>
          <w:b/>
          <w:color w:val="auto"/>
          <w:sz w:val="44"/>
          <w:szCs w:val="44"/>
          <w:highlight w:val="none"/>
        </w:rPr>
      </w:pPr>
    </w:p>
    <w:p w14:paraId="53A91261">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2025年度天水街道企退自管小组文体活动的执行单位采购项目</w:t>
      </w:r>
    </w:p>
    <w:p w14:paraId="7F808CB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C8D920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F4C79A8">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ZHDL2025-TSJD-</w:t>
      </w:r>
      <w:r>
        <w:rPr>
          <w:rFonts w:hint="eastAsia" w:ascii="仿宋" w:hAnsi="仿宋" w:eastAsia="仿宋" w:cs="仿宋"/>
          <w:color w:val="auto"/>
          <w:sz w:val="30"/>
          <w:szCs w:val="30"/>
          <w:highlight w:val="none"/>
          <w:lang w:val="en-US" w:eastAsia="zh-CN"/>
        </w:rPr>
        <w:t>03</w:t>
      </w: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BC8996A">
      <w:pPr>
        <w:spacing w:line="360" w:lineRule="auto"/>
        <w:jc w:val="center"/>
        <w:rPr>
          <w:rFonts w:hint="eastAsia" w:ascii="仿宋" w:hAnsi="仿宋" w:eastAsia="仿宋" w:cs="仿宋"/>
          <w:b/>
          <w:color w:val="auto"/>
          <w:sz w:val="44"/>
          <w:szCs w:val="44"/>
          <w:highlight w:val="none"/>
        </w:rPr>
      </w:pP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1FEBC43C">
      <w:pPr>
        <w:snapToGrid w:val="0"/>
        <w:spacing w:line="360" w:lineRule="auto"/>
        <w:jc w:val="center"/>
        <w:rPr>
          <w:rFonts w:hint="eastAsia" w:ascii="仿宋" w:hAnsi="仿宋" w:eastAsia="仿宋" w:cs="仿宋"/>
          <w:color w:val="auto"/>
          <w:sz w:val="32"/>
          <w:szCs w:val="32"/>
          <w:highlight w:val="none"/>
          <w:lang w:eastAsia="zh-CN"/>
        </w:rPr>
      </w:pPr>
    </w:p>
    <w:p w14:paraId="48366948">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杭州市拱墅区人民政府天水街道办事处</w:t>
      </w:r>
    </w:p>
    <w:p w14:paraId="289DCB78">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浙江正淏招标代理有限公司</w:t>
      </w:r>
    </w:p>
    <w:p w14:paraId="59BEA59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14:paraId="328E5C42">
      <w:pPr>
        <w:pStyle w:val="80"/>
        <w:rPr>
          <w:rFonts w:hint="eastAsia"/>
          <w:color w:val="auto"/>
          <w:highlight w:val="none"/>
        </w:rPr>
      </w:pPr>
    </w:p>
    <w:p w14:paraId="3177DF59">
      <w:pPr>
        <w:wordWrap w:val="0"/>
        <w:snapToGrid w:val="0"/>
        <w:spacing w:beforeLines="0" w:afterLines="0" w:line="360" w:lineRule="auto"/>
        <w:jc w:val="center"/>
        <w:rPr>
          <w:rFonts w:ascii="仿宋" w:hAnsi="仿宋" w:eastAsia="仿宋" w:cs="仿宋"/>
          <w:color w:val="auto"/>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14:paraId="1997796D">
      <w:pPr>
        <w:pStyle w:val="59"/>
        <w:snapToGrid w:val="0"/>
        <w:spacing w:beforeLines="0" w:afterLines="0" w:line="360" w:lineRule="auto"/>
        <w:rPr>
          <w:rFonts w:ascii="仿宋" w:hAnsi="仿宋" w:eastAsia="仿宋" w:cs="仿宋"/>
          <w:color w:val="auto"/>
          <w:highlight w:val="none"/>
        </w:rPr>
      </w:pPr>
    </w:p>
    <w:p w14:paraId="1D0BBD00">
      <w:pPr>
        <w:wordWrap w:val="0"/>
        <w:snapToGrid w:val="0"/>
        <w:spacing w:beforeLines="0" w:afterLines="0" w:line="360" w:lineRule="auto"/>
        <w:ind w:firstLine="1103" w:firstLineChars="229"/>
        <w:rPr>
          <w:rFonts w:ascii="仿宋" w:hAnsi="仿宋" w:eastAsia="仿宋" w:cs="仿宋"/>
          <w:b/>
          <w:color w:val="auto"/>
          <w:sz w:val="48"/>
          <w:szCs w:val="48"/>
          <w:highlight w:val="none"/>
        </w:rPr>
      </w:pPr>
      <w:bookmarkStart w:id="0" w:name="_Hlt91233176"/>
      <w:bookmarkEnd w:id="0"/>
      <w:bookmarkStart w:id="1" w:name="_Toc91899869"/>
      <w:r>
        <w:rPr>
          <w:rFonts w:hint="eastAsia" w:ascii="仿宋" w:hAnsi="仿宋" w:eastAsia="仿宋" w:cs="仿宋"/>
          <w:b/>
          <w:color w:val="auto"/>
          <w:sz w:val="48"/>
          <w:szCs w:val="48"/>
          <w:highlight w:val="none"/>
        </w:rPr>
        <w:t xml:space="preserve"> </w:t>
      </w:r>
    </w:p>
    <w:p w14:paraId="3A81E8E2">
      <w:pPr>
        <w:wordWrap w:val="0"/>
        <w:snapToGrid w:val="0"/>
        <w:spacing w:beforeLines="0" w:afterLines="0"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0EB320C0">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7D4BBC">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"_Toc30254"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_Toc30254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B29614">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"_Toc8370"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_Toc8370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627165">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"_Toc27989"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_Toc27989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CA90AB">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"_Toc30437"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C92E5D">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_Toc9348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6542567">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"_Toc19751"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_Toc19751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4424678">
      <w:pPr>
        <w:pStyle w:val="43"/>
        <w:tabs>
          <w:tab w:val="right" w:leader="dot" w:pos="9071"/>
        </w:tabs>
        <w:snapToGrid w:val="0"/>
        <w:spacing w:beforeLines="0" w:afterLines="0" w:line="360" w:lineRule="auto"/>
        <w:rPr>
          <w:rFonts w:ascii="仿宋" w:hAnsi="仿宋" w:eastAsia="仿宋" w:cs="仿宋"/>
          <w:color w:val="auto"/>
          <w:highlight w:val="none"/>
        </w:rPr>
      </w:pPr>
    </w:p>
    <w:p w14:paraId="4800B7C5">
      <w:pPr>
        <w:wordWrap w:val="0"/>
        <w:snapToGrid w:val="0"/>
        <w:spacing w:beforeLines="0" w:afterLines="0" w:line="360" w:lineRule="auto"/>
        <w:ind w:firstLine="641" w:firstLineChars="229"/>
        <w:rPr>
          <w:rFonts w:ascii="仿宋" w:hAnsi="仿宋" w:eastAsia="仿宋" w:cs="仿宋"/>
          <w:color w:val="auto"/>
          <w:sz w:val="24"/>
          <w:highlight w:val="none"/>
        </w:rPr>
      </w:pPr>
      <w:r>
        <w:rPr>
          <w:rFonts w:hint="eastAsia" w:ascii="仿宋" w:hAnsi="仿宋" w:eastAsia="仿宋" w:cs="仿宋"/>
          <w:color w:val="auto"/>
          <w:sz w:val="28"/>
          <w:szCs w:val="28"/>
          <w:highlight w:val="none"/>
        </w:rPr>
        <w:fldChar w:fldCharType="end"/>
      </w:r>
    </w:p>
    <w:p w14:paraId="2E483928">
      <w:pPr>
        <w:wordWrap w:val="0"/>
        <w:snapToGrid w:val="0"/>
        <w:spacing w:beforeLines="0" w:afterLines="0" w:line="360" w:lineRule="auto"/>
        <w:rPr>
          <w:rFonts w:ascii="仿宋" w:hAnsi="仿宋" w:eastAsia="仿宋" w:cs="仿宋"/>
          <w:color w:val="auto"/>
          <w:sz w:val="24"/>
          <w:highlight w:val="none"/>
        </w:rPr>
      </w:pPr>
    </w:p>
    <w:bookmarkEnd w:id="1"/>
    <w:p w14:paraId="41E3E229">
      <w:pPr>
        <w:wordWrap w:val="0"/>
        <w:adjustRightInd/>
        <w:snapToGrid w:val="0"/>
        <w:spacing w:beforeLines="0" w:afterLines="0" w:line="360" w:lineRule="auto"/>
        <w:jc w:val="center"/>
        <w:outlineLvl w:val="0"/>
        <w:rPr>
          <w:rFonts w:ascii="仿宋" w:hAnsi="仿宋" w:eastAsia="仿宋" w:cs="仿宋"/>
          <w:b/>
          <w:color w:val="auto"/>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2" w:name="_Hlt74729822"/>
      <w:bookmarkEnd w:id="2"/>
      <w:bookmarkStart w:id="3" w:name="_Hlt74707423"/>
      <w:bookmarkEnd w:id="3"/>
      <w:bookmarkStart w:id="4" w:name="_Hlt74728647"/>
      <w:bookmarkEnd w:id="4"/>
      <w:bookmarkStart w:id="5" w:name="_Hlt74649545"/>
      <w:bookmarkEnd w:id="5"/>
      <w:bookmarkStart w:id="6" w:name="_Toc14735"/>
      <w:bookmarkStart w:id="7" w:name="_Toc12153"/>
      <w:bookmarkStart w:id="8" w:name="_Toc597"/>
      <w:bookmarkStart w:id="9" w:name="_Toc22995"/>
      <w:bookmarkStart w:id="10" w:name="_Toc18065"/>
      <w:bookmarkStart w:id="11" w:name="_Toc31815"/>
      <w:bookmarkStart w:id="12" w:name="_Toc20857"/>
      <w:bookmarkStart w:id="13" w:name="第二部分"/>
      <w:bookmarkStart w:id="14" w:name="_Toc91899870"/>
      <w:bookmarkStart w:id="15" w:name="_Toc91899871"/>
    </w:p>
    <w:p w14:paraId="7799A736">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bookmarkEnd w:id="6"/>
      <w:bookmarkEnd w:id="7"/>
      <w:bookmarkEnd w:id="8"/>
      <w:bookmarkEnd w:id="9"/>
      <w:bookmarkEnd w:id="10"/>
      <w:bookmarkEnd w:id="11"/>
      <w:bookmarkEnd w:id="12"/>
    </w:p>
    <w:p w14:paraId="7A5582B7">
      <w:pPr>
        <w:pBdr>
          <w:top w:val="single" w:color="auto" w:sz="8" w:space="1"/>
          <w:left w:val="single" w:color="auto" w:sz="8" w:space="4"/>
          <w:bottom w:val="single" w:color="auto" w:sz="8" w:space="1"/>
          <w:right w:val="single" w:color="auto" w:sz="8"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2D2BADF">
      <w:pPr>
        <w:pBdr>
          <w:top w:val="single" w:color="auto" w:sz="8" w:space="1"/>
          <w:left w:val="single" w:color="auto" w:sz="8" w:space="4"/>
          <w:bottom w:val="single" w:color="auto" w:sz="8" w:space="1"/>
          <w:right w:val="single" w:color="auto" w:sz="8" w:space="4"/>
        </w:pBdr>
        <w:wordWrap w:val="0"/>
        <w:overflowPunct w:val="0"/>
        <w:autoSpaceDE w:val="0"/>
        <w:autoSpaceDN w:val="0"/>
        <w:spacing w:line="360" w:lineRule="auto"/>
        <w:ind w:firstLine="482" w:firstLineChars="200"/>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single"/>
          <w:lang w:eastAsia="zh-CN"/>
        </w:rPr>
        <w:t>2025年度天水街道企退自管小组文体活动的执行单位采购项目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Style w:val="77"/>
          <w:rFonts w:hint="eastAsia" w:ascii="仿宋" w:hAnsi="仿宋" w:eastAsia="仿宋" w:cs="仿宋"/>
          <w:snapToGrid/>
          <w:color w:val="auto"/>
          <w:kern w:val="2"/>
          <w:sz w:val="24"/>
          <w:szCs w:val="24"/>
          <w:highlight w:val="none"/>
          <w:lang w:eastAsia="zh-CN"/>
        </w:rPr>
        <w:t>2025年</w:t>
      </w:r>
      <w:r>
        <w:rPr>
          <w:rStyle w:val="77"/>
          <w:rFonts w:hint="eastAsia" w:ascii="仿宋" w:hAnsi="仿宋" w:eastAsia="仿宋" w:cs="仿宋"/>
          <w:b/>
          <w:bCs/>
          <w:snapToGrid/>
          <w:color w:val="auto"/>
          <w:kern w:val="2"/>
          <w:sz w:val="24"/>
          <w:szCs w:val="24"/>
          <w:highlight w:val="none"/>
          <w:lang w:val="en-US" w:eastAsia="zh-CN"/>
        </w:rPr>
        <w:t>7</w:t>
      </w:r>
      <w:r>
        <w:rPr>
          <w:rStyle w:val="77"/>
          <w:rFonts w:hint="eastAsia" w:ascii="仿宋" w:hAnsi="仿宋" w:eastAsia="仿宋" w:cs="仿宋"/>
          <w:b/>
          <w:bCs/>
          <w:snapToGrid/>
          <w:color w:val="auto"/>
          <w:kern w:val="2"/>
          <w:sz w:val="24"/>
          <w:szCs w:val="24"/>
          <w:highlight w:val="none"/>
        </w:rPr>
        <w:t>月</w:t>
      </w:r>
      <w:r>
        <w:rPr>
          <w:rStyle w:val="77"/>
          <w:rFonts w:hint="eastAsia" w:ascii="仿宋" w:hAnsi="仿宋" w:eastAsia="仿宋" w:cs="仿宋"/>
          <w:b/>
          <w:bCs/>
          <w:snapToGrid/>
          <w:color w:val="auto"/>
          <w:kern w:val="2"/>
          <w:sz w:val="24"/>
          <w:szCs w:val="24"/>
          <w:highlight w:val="none"/>
          <w:lang w:val="en-US" w:eastAsia="zh-CN"/>
        </w:rPr>
        <w:t>30</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09</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00</w:t>
      </w:r>
      <w:r>
        <w:rPr>
          <w:rStyle w:val="77"/>
          <w:rFonts w:hint="eastAsia" w:ascii="仿宋" w:hAnsi="仿宋" w:eastAsia="仿宋" w:cs="仿宋"/>
          <w:b/>
          <w:bCs/>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03C7440B">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22FB0255">
      <w:pPr>
        <w:keepNext w:val="0"/>
        <w:keepLines w:val="0"/>
        <w:pageBreakBefore w:val="0"/>
        <w:kinsoku/>
        <w:wordWrap w:val="0"/>
        <w:overflowPunct/>
        <w:topLinePunct w:val="0"/>
        <w:bidi w:val="0"/>
        <w:snapToGrid w:val="0"/>
        <w:spacing w:beforeLines="0" w:afterLines="0" w:line="360" w:lineRule="auto"/>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ZHDL2025-TSJD-03</w:t>
      </w:r>
    </w:p>
    <w:p w14:paraId="110151F0">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6" w:name="_Hlk91669529"/>
      <w:r>
        <w:rPr>
          <w:rFonts w:hint="eastAsia" w:ascii="仿宋" w:hAnsi="仿宋" w:eastAsia="仿宋" w:cs="仿宋"/>
          <w:b/>
          <w:color w:val="auto"/>
          <w:sz w:val="24"/>
          <w:highlight w:val="none"/>
          <w:lang w:eastAsia="zh-CN"/>
        </w:rPr>
        <w:t>2025年度天水街道企退自管小组文体活动的执行单位采购项目</w:t>
      </w:r>
    </w:p>
    <w:bookmarkEnd w:id="16"/>
    <w:p w14:paraId="014808A1">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1313000</w:t>
      </w:r>
    </w:p>
    <w:p w14:paraId="116E9D3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1313000</w:t>
      </w:r>
    </w:p>
    <w:p w14:paraId="694DD78B">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2025年度天水街道企退自管小组文体活动的执行单位采购项目</w:t>
      </w:r>
      <w:r>
        <w:rPr>
          <w:rFonts w:hint="eastAsia" w:ascii="仿宋" w:hAnsi="仿宋" w:eastAsia="仿宋" w:cs="仿宋"/>
          <w:color w:val="auto"/>
          <w:sz w:val="24"/>
          <w:highlight w:val="none"/>
          <w:lang w:val="en-US" w:eastAsia="zh-CN"/>
        </w:rPr>
        <w:t>承办服务</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具体以招标文件“第三部分 采购需求”为准，供应商可点击本公告下方“浏览采购文件”查看采购需求。</w:t>
      </w:r>
    </w:p>
    <w:p w14:paraId="143F41C8">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合同履约期限：</w:t>
      </w:r>
      <w:r>
        <w:rPr>
          <w:rFonts w:hint="eastAsia" w:ascii="仿宋" w:hAnsi="仿宋" w:eastAsia="仿宋" w:cs="仿宋"/>
          <w:b w:val="0"/>
          <w:bCs/>
          <w:color w:val="auto"/>
          <w:sz w:val="24"/>
          <w:highlight w:val="none"/>
          <w:lang w:val="en-US" w:eastAsia="zh-CN"/>
        </w:rPr>
        <w:t>自合同签订生效之日起至辖区所有企业退休人员文体活动</w:t>
      </w:r>
      <w:r>
        <w:rPr>
          <w:rFonts w:hint="eastAsia" w:ascii="仿宋" w:hAnsi="仿宋" w:eastAsia="仿宋" w:cs="仿宋"/>
          <w:b w:val="0"/>
          <w:bCs/>
          <w:color w:val="auto"/>
          <w:sz w:val="24"/>
          <w:highlight w:val="none"/>
          <w:lang w:eastAsia="zh-CN"/>
        </w:rPr>
        <w:t>服务</w:t>
      </w:r>
      <w:r>
        <w:rPr>
          <w:rFonts w:hint="eastAsia" w:ascii="仿宋" w:hAnsi="仿宋" w:eastAsia="仿宋" w:cs="仿宋"/>
          <w:b w:val="0"/>
          <w:bCs/>
          <w:color w:val="auto"/>
          <w:sz w:val="24"/>
          <w:highlight w:val="none"/>
          <w:lang w:val="en-US" w:eastAsia="zh-CN"/>
        </w:rPr>
        <w:t>结束止</w:t>
      </w:r>
      <w:r>
        <w:rPr>
          <w:rFonts w:hint="eastAsia" w:ascii="仿宋" w:hAnsi="仿宋" w:eastAsia="仿宋" w:cs="仿宋"/>
          <w:b w:val="0"/>
          <w:bCs/>
          <w:color w:val="auto"/>
          <w:sz w:val="24"/>
          <w:highlight w:val="none"/>
          <w:lang w:eastAsia="zh-CN"/>
        </w:rPr>
        <w:t>。</w:t>
      </w:r>
    </w:p>
    <w:p w14:paraId="376F4C84">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14:paraId="47BF2AA4">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87233FA">
      <w:pPr>
        <w:keepNext w:val="0"/>
        <w:keepLines w:val="0"/>
        <w:pageBreakBefore w:val="0"/>
        <w:kinsoku/>
        <w:wordWrap w:val="0"/>
        <w:overflowPunct/>
        <w:topLinePunct w:val="0"/>
        <w:bidi w:val="0"/>
        <w:snapToGrid w:val="0"/>
        <w:spacing w:beforeLines="0" w:afterLines="0" w:line="360" w:lineRule="auto"/>
        <w:ind w:firstLine="48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D7A371">
      <w:pPr>
        <w:keepNext w:val="0"/>
        <w:keepLines w:val="0"/>
        <w:pageBreakBefore w:val="0"/>
        <w:tabs>
          <w:tab w:val="left" w:pos="432"/>
        </w:tabs>
        <w:kinsoku/>
        <w:overflowPunct/>
        <w:topLinePunct w:val="0"/>
        <w:bidi w:val="0"/>
        <w:snapToGrid w:val="0"/>
        <w:spacing w:beforeLines="0" w:afterLines="0" w:line="360" w:lineRule="auto"/>
        <w:ind w:left="0" w:firstLine="480" w:firstLineChars="200"/>
        <w:textAlignment w:val="auto"/>
        <w:outlineLvl w:val="9"/>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若联合体参加投标的，联合体成员均应满足资格要求，联合体成员不多于2个，项目负责人由牵头人派遣，并</w:t>
      </w:r>
      <w:r>
        <w:rPr>
          <w:rFonts w:hint="eastAsia" w:ascii="仿宋" w:hAnsi="仿宋" w:eastAsia="仿宋" w:cs="仿宋"/>
          <w:snapToGrid w:val="0"/>
          <w:color w:val="auto"/>
          <w:kern w:val="28"/>
          <w:sz w:val="24"/>
          <w:szCs w:val="20"/>
          <w:highlight w:val="none"/>
        </w:rPr>
        <w:t>提供联合协议。</w:t>
      </w:r>
    </w:p>
    <w:p w14:paraId="4697BF4F">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2AA7AA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107348D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A1B69A6">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14:paraId="03048BAB">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服务全部由符合政策要求的小微企业承接，提供中小企业声明函；</w:t>
      </w:r>
    </w:p>
    <w:p w14:paraId="5BEA8EA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w:t>
      </w:r>
      <w:r>
        <w:rPr>
          <w:rFonts w:hint="eastAsia" w:ascii="仿宋" w:hAnsi="仿宋" w:eastAsia="仿宋" w:cs="仿宋"/>
          <w:color w:val="auto"/>
          <w:spacing w:val="8"/>
          <w:kern w:val="0"/>
          <w:sz w:val="24"/>
          <w:highlight w:val="none"/>
          <w:lang w:eastAsia="zh-CN"/>
        </w:rPr>
        <w:t>供的</w:t>
      </w:r>
      <w:r>
        <w:rPr>
          <w:rFonts w:hint="eastAsia" w:ascii="仿宋" w:hAnsi="仿宋" w:eastAsia="仿宋" w:cs="仿宋"/>
          <w:color w:val="auto"/>
          <w:spacing w:val="8"/>
          <w:kern w:val="0"/>
          <w:sz w:val="24"/>
          <w:highlight w:val="none"/>
        </w:rPr>
        <w:t>所有标的均由小微企业承接，视同符合了资格条件，无需再与其他小微企业组成联合体参加政府采购活动，无需提供联合协议</w:t>
      </w:r>
      <w:r>
        <w:rPr>
          <w:rFonts w:hint="eastAsia" w:ascii="仿宋" w:hAnsi="仿宋" w:eastAsia="仿宋" w:cs="仿宋"/>
          <w:color w:val="auto"/>
          <w:sz w:val="24"/>
          <w:highlight w:val="none"/>
        </w:rPr>
        <w:t>；</w:t>
      </w:r>
    </w:p>
    <w:p w14:paraId="0DF883CF">
      <w:pPr>
        <w:pStyle w:val="2"/>
        <w:rPr>
          <w:color w:val="auto"/>
          <w:highlight w:val="none"/>
        </w:rPr>
      </w:pPr>
    </w:p>
    <w:p w14:paraId="5B62C56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w:t>
      </w:r>
      <w:r>
        <w:rPr>
          <w:rFonts w:hint="eastAsia" w:ascii="仿宋" w:hAnsi="仿宋" w:eastAsia="仿宋" w:cs="仿宋"/>
          <w:color w:val="auto"/>
          <w:sz w:val="24"/>
          <w:highlight w:val="none"/>
          <w:lang w:eastAsia="zh-CN"/>
        </w:rPr>
        <w:t>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w:t>
      </w:r>
      <w:r>
        <w:rPr>
          <w:rFonts w:hint="eastAsia" w:ascii="仿宋" w:hAnsi="仿宋" w:eastAsia="仿宋" w:cs="仿宋"/>
          <w:color w:val="auto"/>
          <w:spacing w:val="8"/>
          <w:kern w:val="0"/>
          <w:sz w:val="24"/>
          <w:highlight w:val="none"/>
          <w:lang w:eastAsia="zh-CN"/>
        </w:rPr>
        <w:t>供的</w:t>
      </w:r>
      <w:r>
        <w:rPr>
          <w:rFonts w:hint="eastAsia" w:ascii="仿宋" w:hAnsi="仿宋" w:eastAsia="仿宋" w:cs="仿宋"/>
          <w:color w:val="auto"/>
          <w:spacing w:val="8"/>
          <w:kern w:val="0"/>
          <w:sz w:val="24"/>
          <w:highlight w:val="none"/>
        </w:rPr>
        <w:t>所有标的均由中小企业承接，视同符合了资格条件，无需再向中小企业分包，无需提供分包意向协议。</w:t>
      </w:r>
    </w:p>
    <w:p w14:paraId="730F579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4.本项目的特定资格要求：无。</w:t>
      </w:r>
    </w:p>
    <w:p w14:paraId="57870490">
      <w:pPr>
        <w:keepNext w:val="0"/>
        <w:keepLines w:val="0"/>
        <w:pageBreakBefore w:val="0"/>
        <w:numPr>
          <w:ilvl w:val="255"/>
          <w:numId w:val="0"/>
        </w:numPr>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DC0CA4">
      <w:pPr>
        <w:keepNext w:val="0"/>
        <w:keepLines w:val="0"/>
        <w:pageBreakBefore w:val="0"/>
        <w:widowControl/>
        <w:kinsoku/>
        <w:wordWrap w:val="0"/>
        <w:overflowPunct/>
        <w:topLinePunct w:val="0"/>
        <w:bidi w:val="0"/>
        <w:adjustRightInd/>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A868C11">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投标截止时间</w:t>
      </w:r>
      <w:r>
        <w:rPr>
          <w:rFonts w:hint="eastAsia" w:ascii="仿宋" w:hAnsi="仿宋" w:eastAsia="仿宋" w:cs="仿宋"/>
          <w:color w:val="auto"/>
          <w:sz w:val="24"/>
          <w:highlight w:val="none"/>
        </w:rPr>
        <w:t>（北京时间，线上获取法定节假日均可，线下获取文件法定节假日除外）</w:t>
      </w:r>
    </w:p>
    <w:p w14:paraId="0E70DF7F">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9AB4401">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A820F3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AB98BD3">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5B7D82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7251F7D">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AB6D5FE">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14:paraId="6CD70193">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54F51C2">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42B2241D">
      <w:pPr>
        <w:keepNext w:val="0"/>
        <w:keepLines w:val="0"/>
        <w:pageBreakBefore w:val="0"/>
        <w:kinsoku/>
        <w:wordWrap w:val="0"/>
        <w:overflowPunct/>
        <w:topLinePunct w:val="0"/>
        <w:bidi w:val="0"/>
        <w:snapToGrid w:val="0"/>
        <w:spacing w:beforeLines="0" w:afterLines="0" w:line="360" w:lineRule="auto"/>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"https://zfcg.czt.zj.gov.cn/site/detail?parentId=600007&amp;articleId=nNX%2BO8Xt%2FG%2FjZpV67Eau1g%3D%3D"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highlight w:val="none"/>
        </w:rPr>
        <w:t>https://zfcg.czt.zj.gov.cn/site/detail?parentId=600007&amp;articleId=nNX%2BO8Xt%2FG%2FjZpV67Eau1g%3D%3D</w:t>
      </w:r>
      <w:r>
        <w:rPr>
          <w:rFonts w:hint="eastAsia" w:ascii="仿宋" w:hAnsi="仿宋" w:eastAsia="仿宋" w:cs="仿宋"/>
          <w:color w:val="auto"/>
          <w:highlight w:val="none"/>
        </w:rPr>
        <w:fldChar w:fldCharType="end"/>
      </w:r>
    </w:p>
    <w:p w14:paraId="3B501325">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32F75DD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EE8CC68">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250B936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））、《浙江省财政厅关于进一步加大政府采购支持中小企业力度助力扎实稳住经济的通知》 （浙财采监</w:t>
      </w:r>
      <w:r>
        <w:rPr>
          <w:rFonts w:hint="eastAsia" w:ascii="仿宋" w:hAnsi="仿宋" w:eastAsia="仿宋" w:cs="仿宋"/>
          <w:color w:val="auto"/>
          <w:sz w:val="24"/>
          <w:highlight w:val="none"/>
          <w:lang w:eastAsia="zh-CN"/>
        </w:rPr>
        <w:t>〔2022〕8号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647B2105">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2B03A5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B686C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EC52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导入投标文件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标书关联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标书检查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电子签名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490B479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AE9ABE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⑩具体操作指南：详见政采云平台“服务中心-帮助文档-项目采购-操作流程-电子招投标-政府采购项目电子交易管理操作指南-供应商”。（3）招标文件公告期限与招标公告的公告期限一致。</w:t>
      </w:r>
    </w:p>
    <w:p w14:paraId="31113F76">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50DDD069">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C0F6B39">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eastAsia="zh-CN"/>
        </w:rPr>
        <w:t>杭州市拱墅区人民政府天水街道办事处</w:t>
      </w:r>
    </w:p>
    <w:p w14:paraId="6634D95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w:t>
      </w:r>
      <w:r>
        <w:rPr>
          <w:rFonts w:hint="eastAsia" w:ascii="仿宋" w:hAnsi="仿宋" w:eastAsia="仿宋" w:cs="仿宋"/>
          <w:color w:val="auto"/>
          <w:sz w:val="24"/>
          <w:highlight w:val="none"/>
          <w:lang w:val="zh-TW" w:eastAsia="zh-CN"/>
        </w:rPr>
        <w:t>拱墅区天元巷25号</w:t>
      </w:r>
    </w:p>
    <w:p w14:paraId="5E70259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项目联系人（询问）：李女士</w:t>
      </w:r>
    </w:p>
    <w:p w14:paraId="5C296CA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项目联系方式（询问）：0571-88362395</w:t>
      </w:r>
      <w:r>
        <w:rPr>
          <w:rFonts w:hint="eastAsia" w:ascii="仿宋" w:hAnsi="仿宋" w:eastAsia="仿宋" w:cs="仿宋"/>
          <w:color w:val="auto"/>
          <w:sz w:val="24"/>
          <w:highlight w:val="none"/>
          <w:lang w:val="en-US" w:eastAsia="zh-CN"/>
        </w:rPr>
        <w:t xml:space="preserve"> </w:t>
      </w:r>
    </w:p>
    <w:p w14:paraId="2476E8D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杨先生</w:t>
      </w:r>
    </w:p>
    <w:p w14:paraId="73C826C2">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质疑联系方式：0571-85176339</w:t>
      </w:r>
      <w:r>
        <w:rPr>
          <w:rFonts w:hint="eastAsia" w:ascii="仿宋" w:hAnsi="仿宋" w:eastAsia="仿宋" w:cs="仿宋"/>
          <w:color w:val="auto"/>
          <w:sz w:val="24"/>
          <w:highlight w:val="none"/>
          <w:lang w:val="en-US" w:eastAsia="zh-CN"/>
        </w:rPr>
        <w:t xml:space="preserve"> </w:t>
      </w:r>
    </w:p>
    <w:p w14:paraId="7CBBD1B9">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49AD0F7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名称：</w:t>
      </w:r>
      <w:r>
        <w:rPr>
          <w:rFonts w:hint="eastAsia" w:ascii="仿宋" w:hAnsi="仿宋" w:eastAsia="仿宋" w:cs="仿宋"/>
          <w:color w:val="auto"/>
          <w:sz w:val="24"/>
          <w:highlight w:val="none"/>
          <w:lang w:val="zh-TW" w:eastAsia="zh-CN"/>
        </w:rPr>
        <w:t>浙江正淏招标代理有限公司</w:t>
      </w:r>
    </w:p>
    <w:p w14:paraId="375CAE6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名    称：</w:t>
      </w:r>
      <w:r>
        <w:rPr>
          <w:rFonts w:hint="eastAsia" w:ascii="仿宋" w:hAnsi="仿宋" w:eastAsia="仿宋" w:cs="仿宋"/>
          <w:bCs/>
          <w:color w:val="auto"/>
          <w:sz w:val="24"/>
          <w:highlight w:val="none"/>
          <w:lang w:eastAsia="zh-CN"/>
        </w:rPr>
        <w:t>浙江正淏招标代理有限公司</w:t>
      </w:r>
    </w:p>
    <w:p w14:paraId="13B96FE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    址：</w:t>
      </w:r>
      <w:r>
        <w:rPr>
          <w:rFonts w:hint="eastAsia" w:ascii="仿宋" w:hAnsi="仿宋" w:eastAsia="仿宋" w:cs="仿宋"/>
          <w:bCs/>
          <w:color w:val="auto"/>
          <w:sz w:val="24"/>
          <w:highlight w:val="none"/>
          <w:lang w:val="zh-CN"/>
        </w:rPr>
        <w:t>浙江省杭州市拱墅区</w:t>
      </w:r>
      <w:r>
        <w:rPr>
          <w:rFonts w:hint="eastAsia" w:ascii="仿宋" w:hAnsi="仿宋" w:eastAsia="仿宋" w:cs="仿宋"/>
          <w:bCs/>
          <w:color w:val="auto"/>
          <w:sz w:val="24"/>
          <w:highlight w:val="none"/>
          <w:lang w:val="en-US" w:eastAsia="zh-CN"/>
        </w:rPr>
        <w:t>文晖路108号</w:t>
      </w:r>
    </w:p>
    <w:p w14:paraId="4C880FD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传    真： /</w:t>
      </w:r>
    </w:p>
    <w:p w14:paraId="3EFB64D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项目联系人（询问）：</w:t>
      </w:r>
      <w:r>
        <w:rPr>
          <w:rFonts w:hint="eastAsia" w:ascii="仿宋" w:hAnsi="仿宋" w:eastAsia="仿宋" w:cs="仿宋"/>
          <w:bCs/>
          <w:color w:val="auto"/>
          <w:sz w:val="24"/>
          <w:highlight w:val="none"/>
          <w:lang w:val="en-US" w:eastAsia="zh-CN"/>
        </w:rPr>
        <w:t>魏工、吴工</w:t>
      </w:r>
    </w:p>
    <w:p w14:paraId="64CFADA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w:t>
      </w:r>
      <w:r>
        <w:rPr>
          <w:rFonts w:hint="eastAsia" w:ascii="仿宋" w:hAnsi="仿宋" w:eastAsia="仿宋" w:cs="仿宋"/>
          <w:bCs/>
          <w:color w:val="auto"/>
          <w:sz w:val="24"/>
          <w:highlight w:val="none"/>
        </w:rPr>
        <w:t>目联系方式（询问）：</w:t>
      </w:r>
      <w:r>
        <w:rPr>
          <w:rFonts w:hint="eastAsia" w:ascii="仿宋" w:hAnsi="仿宋" w:eastAsia="仿宋" w:cs="仿宋"/>
          <w:bCs/>
          <w:color w:val="auto"/>
          <w:sz w:val="24"/>
          <w:highlight w:val="none"/>
          <w:lang w:val="en-US" w:eastAsia="zh-CN"/>
        </w:rPr>
        <w:t>18868114708</w:t>
      </w:r>
    </w:p>
    <w:p w14:paraId="0E5DDF0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质疑联系人：</w:t>
      </w:r>
      <w:r>
        <w:rPr>
          <w:rFonts w:hint="eastAsia" w:ascii="仿宋" w:hAnsi="仿宋" w:eastAsia="仿宋" w:cs="仿宋"/>
          <w:bCs/>
          <w:color w:val="auto"/>
          <w:sz w:val="24"/>
          <w:highlight w:val="none"/>
          <w:lang w:val="en-US" w:eastAsia="zh-CN"/>
        </w:rPr>
        <w:t>许工</w:t>
      </w:r>
      <w:r>
        <w:rPr>
          <w:rFonts w:hint="eastAsia" w:ascii="仿宋" w:hAnsi="仿宋" w:eastAsia="仿宋" w:cs="仿宋"/>
          <w:bCs/>
          <w:color w:val="auto"/>
          <w:sz w:val="24"/>
          <w:highlight w:val="none"/>
        </w:rPr>
        <w:t xml:space="preserve">  </w:t>
      </w:r>
    </w:p>
    <w:p w14:paraId="0B979EA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质疑联系方式：</w:t>
      </w:r>
      <w:r>
        <w:rPr>
          <w:rFonts w:hint="eastAsia" w:ascii="仿宋" w:hAnsi="仿宋" w:eastAsia="仿宋" w:cs="仿宋"/>
          <w:bCs/>
          <w:color w:val="auto"/>
          <w:sz w:val="24"/>
          <w:highlight w:val="none"/>
          <w:lang w:val="en-US" w:eastAsia="zh-CN"/>
        </w:rPr>
        <w:t>0571-86096831</w:t>
      </w:r>
    </w:p>
    <w:p w14:paraId="4FEE678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54851F68">
      <w:pPr>
        <w:keepNext w:val="0"/>
        <w:keepLines w:val="0"/>
        <w:pageBreakBefore w:val="0"/>
        <w:kinsoku/>
        <w:wordWrap w:val="0"/>
        <w:overflowPunct/>
        <w:topLinePunct w:val="0"/>
        <w:bidi w:val="0"/>
        <w:snapToGrid w:val="0"/>
        <w:spacing w:beforeLines="0" w:afterLines="0" w:line="360" w:lineRule="auto"/>
        <w:ind w:left="479" w:leftChars="228"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i w:val="0"/>
          <w:iCs w:val="0"/>
          <w:caps w:val="0"/>
          <w:color w:val="auto"/>
          <w:spacing w:val="0"/>
          <w:sz w:val="24"/>
          <w:szCs w:val="24"/>
          <w:highlight w:val="none"/>
        </w:rPr>
        <w:t>杭州市</w:t>
      </w:r>
      <w:r>
        <w:rPr>
          <w:rFonts w:hint="eastAsia" w:ascii="仿宋" w:hAnsi="仿宋" w:eastAsia="仿宋" w:cs="仿宋"/>
          <w:i w:val="0"/>
          <w:iCs w:val="0"/>
          <w:caps w:val="0"/>
          <w:color w:val="auto"/>
          <w:spacing w:val="0"/>
          <w:sz w:val="24"/>
          <w:szCs w:val="24"/>
          <w:highlight w:val="none"/>
          <w:lang w:val="en-US" w:eastAsia="zh-CN"/>
        </w:rPr>
        <w:t>拱墅</w:t>
      </w:r>
      <w:r>
        <w:rPr>
          <w:rFonts w:hint="eastAsia" w:ascii="仿宋" w:hAnsi="仿宋" w:eastAsia="仿宋" w:cs="仿宋"/>
          <w:i w:val="0"/>
          <w:iCs w:val="0"/>
          <w:caps w:val="0"/>
          <w:color w:val="auto"/>
          <w:spacing w:val="0"/>
          <w:sz w:val="24"/>
          <w:szCs w:val="24"/>
          <w:highlight w:val="none"/>
        </w:rPr>
        <w:t>区财政局、浙江省政府采购行政裁决服务中心（杭州）</w:t>
      </w:r>
    </w:p>
    <w:p w14:paraId="4A42D15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zh-CN"/>
        </w:rPr>
        <w:t>杭州市上城区清泰街549号城建综合大楼11楼（快递仅限ems或顺丰）</w:t>
      </w:r>
    </w:p>
    <w:p w14:paraId="26F7559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联系人：朱女士/王女士</w:t>
      </w:r>
    </w:p>
    <w:p w14:paraId="2D5CC21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监督投诉电话：0571-87227671,0571-87800218</w:t>
      </w:r>
    </w:p>
    <w:p w14:paraId="0B5A0A2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，点击右侧咨询小采，获取采小蜜智能服务管家帮助，或拨打政采云服务热线95763获取热线服务帮助。</w:t>
      </w:r>
    </w:p>
    <w:p w14:paraId="287FC9C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sectPr>
          <w:footerReference r:id="rId8" w:type="default"/>
          <w:pgSz w:w="11905" w:h="16838"/>
          <w:pgMar w:top="652" w:right="1417" w:bottom="680" w:left="1417" w:header="539" w:footer="425" w:gutter="0"/>
          <w:pgNumType w:fmt="decimal" w:start="1"/>
          <w:cols w:space="0" w:num="1"/>
          <w:docGrid w:linePitch="312" w:charSpace="0"/>
        </w:sectPr>
      </w:pPr>
      <w:r>
        <w:rPr>
          <w:rFonts w:hint="eastAsia" w:ascii="仿宋" w:hAnsi="仿宋" w:eastAsia="仿宋" w:cs="仿宋"/>
          <w:color w:val="auto"/>
          <w:sz w:val="24"/>
          <w:highlight w:val="none"/>
        </w:rPr>
        <w:t>CA问题联系电话（人工）：汇信CA 400-888-4636；天谷CA 400-087-8198。</w:t>
      </w:r>
    </w:p>
    <w:p w14:paraId="6DFDB711">
      <w:pPr>
        <w:pStyle w:val="3"/>
        <w:bidi w:val="0"/>
        <w:rPr>
          <w:rFonts w:ascii="仿宋" w:hAnsi="仿宋" w:eastAsia="仿宋" w:cs="仿宋"/>
          <w:b/>
          <w:color w:val="auto"/>
          <w:sz w:val="32"/>
          <w:szCs w:val="20"/>
          <w:highlight w:val="none"/>
        </w:rPr>
      </w:pPr>
      <w:bookmarkStart w:id="17" w:name="_Toc24964"/>
      <w:bookmarkStart w:id="18" w:name="_Toc25593"/>
      <w:bookmarkStart w:id="19" w:name="_Toc27972"/>
      <w:bookmarkStart w:id="20" w:name="_Toc30254"/>
      <w:bookmarkStart w:id="21" w:name="_Toc29805"/>
      <w:bookmarkStart w:id="22" w:name="_Toc26106"/>
      <w:bookmarkStart w:id="23" w:name="_Toc24511"/>
      <w:r>
        <w:rPr>
          <w:rFonts w:hint="eastAsia" w:ascii="仿宋" w:hAnsi="仿宋" w:eastAsia="仿宋" w:cs="仿宋"/>
          <w:b/>
          <w:color w:val="auto"/>
          <w:sz w:val="36"/>
          <w:szCs w:val="20"/>
          <w:highlight w:val="none"/>
        </w:rPr>
        <w:t>第二部分</w:t>
      </w:r>
      <w:bookmarkEnd w:id="13"/>
      <w:r>
        <w:rPr>
          <w:rFonts w:hint="eastAsia" w:ascii="仿宋" w:hAnsi="仿宋" w:eastAsia="仿宋" w:cs="仿宋"/>
          <w:b/>
          <w:color w:val="auto"/>
          <w:sz w:val="36"/>
          <w:szCs w:val="20"/>
          <w:highlight w:val="none"/>
        </w:rPr>
        <w:t xml:space="preserve"> 投标人须知</w:t>
      </w:r>
      <w:bookmarkEnd w:id="14"/>
      <w:bookmarkEnd w:id="17"/>
      <w:bookmarkEnd w:id="18"/>
      <w:bookmarkEnd w:id="19"/>
      <w:bookmarkEnd w:id="20"/>
      <w:bookmarkEnd w:id="21"/>
      <w:bookmarkEnd w:id="22"/>
      <w:bookmarkEnd w:id="23"/>
      <w:r>
        <w:rPr>
          <w:rFonts w:hint="eastAsia" w:ascii="仿宋" w:hAnsi="仿宋" w:eastAsia="仿宋" w:cs="仿宋"/>
          <w:b/>
          <w:color w:val="auto"/>
          <w:sz w:val="32"/>
          <w:szCs w:val="20"/>
          <w:highlight w:val="none"/>
        </w:rPr>
        <w:t>前附表</w:t>
      </w:r>
    </w:p>
    <w:tbl>
      <w:tblPr>
        <w:tblStyle w:val="63"/>
        <w:tblW w:w="86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16"/>
      </w:tblGrid>
      <w:tr w14:paraId="6E0BB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EEB3E4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B473A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16" w:type="dxa"/>
            <w:tcBorders>
              <w:top w:val="single" w:color="000000" w:sz="8" w:space="0"/>
              <w:left w:val="single" w:color="000000" w:sz="2" w:space="0"/>
              <w:bottom w:val="single" w:color="000000" w:sz="8" w:space="0"/>
              <w:right w:val="single" w:color="000000" w:sz="8" w:space="0"/>
            </w:tcBorders>
            <w:vAlign w:val="center"/>
          </w:tcPr>
          <w:p w14:paraId="70C166D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0BAA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AAF409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9547B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16" w:type="dxa"/>
            <w:tcBorders>
              <w:top w:val="single" w:color="000000" w:sz="8" w:space="0"/>
              <w:left w:val="single" w:color="000000" w:sz="2" w:space="0"/>
              <w:bottom w:val="single" w:color="000000" w:sz="8" w:space="0"/>
              <w:right w:val="single" w:color="000000" w:sz="8" w:space="0"/>
            </w:tcBorders>
            <w:vAlign w:val="center"/>
          </w:tcPr>
          <w:p w14:paraId="78C7FC7A">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31F0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D9DA08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C8551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16" w:type="dxa"/>
            <w:tcBorders>
              <w:top w:val="single" w:color="000000" w:sz="8" w:space="0"/>
              <w:left w:val="single" w:color="000000" w:sz="2" w:space="0"/>
              <w:bottom w:val="single" w:color="000000" w:sz="8" w:space="0"/>
              <w:right w:val="single" w:color="000000" w:sz="8" w:space="0"/>
            </w:tcBorders>
            <w:vAlign w:val="center"/>
          </w:tcPr>
          <w:p w14:paraId="7DF2084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2025年度天水街道企退自管小组文体活动的执行单位采购项目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 </w:t>
            </w:r>
            <w:r>
              <w:rPr>
                <w:rFonts w:hint="eastAsia" w:ascii="仿宋" w:hAnsi="仿宋" w:eastAsia="仿宋" w:cs="仿宋"/>
                <w:color w:val="auto"/>
                <w:kern w:val="0"/>
                <w:sz w:val="24"/>
                <w:highlight w:val="none"/>
              </w:rPr>
              <w:t>行业；</w:t>
            </w:r>
          </w:p>
          <w:p w14:paraId="26F94B7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其他未列明行业</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从业人员300人以下的为中小微型企业。其中，从业人员100人及以上的为中型企业；从业人员10人及以上的为小型企业；从业人员10人以下的为微型企业。</w:t>
            </w:r>
          </w:p>
        </w:tc>
      </w:tr>
      <w:tr w14:paraId="4F095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DDA71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61225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4E64071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216" w:type="dxa"/>
            <w:tcBorders>
              <w:top w:val="single" w:color="000000" w:sz="8" w:space="0"/>
              <w:left w:val="single" w:color="000000" w:sz="2" w:space="0"/>
              <w:bottom w:val="single" w:color="000000" w:sz="8" w:space="0"/>
              <w:right w:val="single" w:color="000000" w:sz="8" w:space="0"/>
            </w:tcBorders>
            <w:vAlign w:val="center"/>
          </w:tcPr>
          <w:p w14:paraId="1175FE4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7BBAF24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7AC0ED8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4095E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2816F8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9E6C40">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16" w:type="dxa"/>
            <w:tcBorders>
              <w:top w:val="single" w:color="000000" w:sz="8" w:space="0"/>
              <w:left w:val="single" w:color="000000" w:sz="2" w:space="0"/>
              <w:bottom w:val="single" w:color="000000" w:sz="8" w:space="0"/>
              <w:right w:val="single" w:color="000000" w:sz="8" w:space="0"/>
            </w:tcBorders>
            <w:vAlign w:val="center"/>
          </w:tcPr>
          <w:p w14:paraId="70130452">
            <w:pPr>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A同意将非主体、非关键性的工作分包。</w:t>
            </w:r>
          </w:p>
          <w:p w14:paraId="400BBBED">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sdt>
              <w:sdtPr>
                <w:rPr>
                  <w:rFonts w:hint="eastAsia" w:ascii="仿宋" w:hAnsi="仿宋" w:eastAsia="仿宋" w:cs="仿宋"/>
                  <w:color w:val="auto"/>
                  <w:sz w:val="24"/>
                  <w:highlight w:val="none"/>
                </w:rPr>
                <w:id w:val="1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sz w:val="24"/>
                <w:highlight w:val="none"/>
              </w:rPr>
              <w:t xml:space="preserve"> B不同意分包。</w:t>
            </w:r>
          </w:p>
          <w:p w14:paraId="7BFDF89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val="0"/>
                <w:bCs w:val="0"/>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eastAsia" w:ascii="仿宋" w:hAnsi="仿宋" w:eastAsia="仿宋" w:cs="仿宋"/>
                <w:b w:val="0"/>
                <w:bCs w:val="0"/>
                <w:color w:val="auto"/>
                <w:sz w:val="24"/>
                <w:highlight w:val="none"/>
                <w:lang w:val="en-US" w:eastAsia="zh-CN"/>
              </w:rPr>
              <w:t>☑本</w:t>
            </w:r>
            <w:r>
              <w:rPr>
                <w:rFonts w:hint="eastAsia" w:ascii="仿宋" w:hAnsi="仿宋" w:eastAsia="仿宋" w:cs="仿宋"/>
                <w:b w:val="0"/>
                <w:bCs w:val="0"/>
                <w:color w:val="auto"/>
                <w:sz w:val="24"/>
                <w:highlight w:val="none"/>
              </w:rPr>
              <w:t>项目专门面向</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企业采购，分包单位必须为</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w:t>
            </w:r>
          </w:p>
        </w:tc>
      </w:tr>
      <w:tr w14:paraId="5093D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4734D2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44EB7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16" w:type="dxa"/>
            <w:tcBorders>
              <w:top w:val="single" w:color="000000" w:sz="8" w:space="0"/>
              <w:left w:val="single" w:color="000000" w:sz="2" w:space="0"/>
              <w:bottom w:val="single" w:color="000000" w:sz="8" w:space="0"/>
              <w:right w:val="single" w:color="000000" w:sz="8" w:space="0"/>
            </w:tcBorders>
            <w:vAlign w:val="center"/>
          </w:tcPr>
          <w:p w14:paraId="66EB204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7649337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0DA71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0D04D4B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3CCF0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16" w:type="dxa"/>
            <w:tcBorders>
              <w:top w:val="single" w:color="000000" w:sz="8" w:space="0"/>
              <w:left w:val="single" w:color="000000" w:sz="2" w:space="0"/>
              <w:bottom w:val="single" w:color="000000" w:sz="8" w:space="0"/>
              <w:right w:val="single" w:color="000000" w:sz="8" w:space="0"/>
            </w:tcBorders>
            <w:vAlign w:val="center"/>
          </w:tcPr>
          <w:p w14:paraId="16D6FB4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8D52A4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107A4D6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7CCAAFB">
            <w:pPr>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72E4F58">
            <w:pPr>
              <w:pStyle w:val="2"/>
              <w:rPr>
                <w:color w:val="auto"/>
                <w:highlight w:val="none"/>
              </w:rPr>
            </w:pPr>
          </w:p>
          <w:p w14:paraId="7B3BFF4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F478B3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240449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34F35A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D444C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67F5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31043DD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CCDB2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216" w:type="dxa"/>
            <w:tcBorders>
              <w:top w:val="single" w:color="000000" w:sz="8" w:space="0"/>
              <w:left w:val="single" w:color="000000" w:sz="2" w:space="0"/>
              <w:bottom w:val="single" w:color="000000" w:sz="8" w:space="0"/>
              <w:right w:val="single" w:color="000000" w:sz="8" w:space="0"/>
            </w:tcBorders>
            <w:vAlign w:val="center"/>
          </w:tcPr>
          <w:p w14:paraId="448656F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1EE41A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418AD6F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2</w:t>
            </w:r>
            <w:r>
              <w:rPr>
                <w:rFonts w:hint="eastAsia" w:ascii="仿宋" w:hAnsi="仿宋" w:eastAsia="仿宋" w:cs="仿宋"/>
                <w:color w:val="auto"/>
                <w:kern w:val="0"/>
                <w:sz w:val="24"/>
                <w:highlight w:val="none"/>
              </w:rPr>
              <w:t>人。讲解演示结束后按要求解答评标委员会提问。</w:t>
            </w:r>
          </w:p>
          <w:p w14:paraId="49120EE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4B907E1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3440B7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706C64C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w:t>
            </w:r>
            <w:r>
              <w:rPr>
                <w:rFonts w:hint="eastAsia" w:ascii="仿宋" w:hAnsi="仿宋" w:eastAsia="仿宋" w:cs="仿宋"/>
                <w:color w:val="auto"/>
                <w:kern w:val="0"/>
                <w:sz w:val="24"/>
                <w:highlight w:val="none"/>
                <w:lang w:eastAsia="zh-CN"/>
              </w:rPr>
              <w:t>则</w:t>
            </w:r>
            <w:r>
              <w:rPr>
                <w:rFonts w:hint="eastAsia" w:ascii="仿宋" w:hAnsi="仿宋" w:eastAsia="仿宋" w:cs="仿宋"/>
                <w:color w:val="auto"/>
                <w:kern w:val="0"/>
                <w:sz w:val="24"/>
                <w:highlight w:val="none"/>
              </w:rPr>
              <w:t>视为未提交。</w:t>
            </w:r>
          </w:p>
          <w:p w14:paraId="59F5EC8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1F0351F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2C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14:paraId="7F8BC20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14:paraId="0A6CC85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46EC2D3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624348A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0F53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rPr>
        <w:tc>
          <w:tcPr>
            <w:tcW w:w="629" w:type="dxa"/>
            <w:vMerge w:val="continue"/>
            <w:tcBorders>
              <w:left w:val="single" w:color="000000" w:sz="8" w:space="0"/>
              <w:bottom w:val="single" w:color="auto" w:sz="4" w:space="0"/>
              <w:right w:val="single" w:color="000000" w:sz="2" w:space="0"/>
            </w:tcBorders>
            <w:vAlign w:val="center"/>
          </w:tcPr>
          <w:p w14:paraId="608E872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0419B2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353D699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2A13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BA49DA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310D9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节能产品、环境标志产品（服务项目不适用）</w:t>
            </w:r>
          </w:p>
        </w:tc>
        <w:tc>
          <w:tcPr>
            <w:tcW w:w="6216" w:type="dxa"/>
            <w:tcBorders>
              <w:top w:val="single" w:color="000000" w:sz="8" w:space="0"/>
              <w:left w:val="single" w:color="000000" w:sz="2" w:space="0"/>
              <w:bottom w:val="single" w:color="000000" w:sz="8" w:space="0"/>
              <w:right w:val="single" w:color="000000" w:sz="8" w:space="0"/>
            </w:tcBorders>
            <w:vAlign w:val="center"/>
          </w:tcPr>
          <w:p w14:paraId="2EE4CCC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5625D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54F7F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A27C8C">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16" w:type="dxa"/>
            <w:tcBorders>
              <w:top w:val="single" w:color="000000" w:sz="8" w:space="0"/>
              <w:left w:val="single" w:color="000000" w:sz="2" w:space="0"/>
              <w:bottom w:val="single" w:color="000000" w:sz="8" w:space="0"/>
              <w:right w:val="single" w:color="000000" w:sz="8" w:space="0"/>
            </w:tcBorders>
            <w:vAlign w:val="center"/>
          </w:tcPr>
          <w:p w14:paraId="54C2C1C6">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）有关本项目实施所需的所有费用（包括但不限于:人工费、场地费、物料费、交通费、保险费、企业管理费、利润、税金等）均计入报价。投标文件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lang w:val="zh-CN"/>
              </w:rPr>
              <w:t>投标文件中价格全部采用人民币报价。采购文件未列明，而投标人认为必需的费用也需列入报价。</w:t>
            </w:r>
            <w:r>
              <w:rPr>
                <w:rFonts w:hint="eastAsia" w:ascii="仿宋" w:hAnsi="仿宋" w:eastAsia="仿宋" w:cs="仿宋"/>
                <w:color w:val="auto"/>
                <w:kern w:val="0"/>
                <w:sz w:val="24"/>
                <w:highlight w:val="none"/>
                <w:lang w:val="zh-CN"/>
              </w:rPr>
              <w:t>其中，</w:t>
            </w:r>
            <w:r>
              <w:rPr>
                <w:rFonts w:hint="eastAsia" w:ascii="仿宋" w:hAnsi="仿宋" w:eastAsia="仿宋" w:cs="仿宋"/>
                <w:color w:val="auto"/>
                <w:sz w:val="24"/>
                <w:highlight w:val="none"/>
              </w:rPr>
              <w:t>人员工资不得低于杭州市人民政府规定的最低工资标准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并充分考虑最低工资调整因素；落实职工劳保福利待遇，并按时缴纳社会保险费（养老保险、医疗保险、失业保险、工伤保险和生育保险）；</w:t>
            </w:r>
            <w:r>
              <w:rPr>
                <w:rFonts w:hint="eastAsia" w:ascii="仿宋" w:hAnsi="仿宋" w:eastAsia="仿宋" w:cs="仿宋"/>
                <w:color w:val="auto"/>
                <w:kern w:val="0"/>
                <w:sz w:val="24"/>
                <w:highlight w:val="none"/>
                <w:lang w:val="zh-CN"/>
              </w:rPr>
              <w:t>员工加班费支付符合《中华人民共和国劳动法》规定</w:t>
            </w:r>
            <w:r>
              <w:rPr>
                <w:rFonts w:hint="eastAsia" w:ascii="仿宋" w:hAnsi="仿宋" w:eastAsia="仿宋" w:cs="仿宋"/>
                <w:color w:val="auto"/>
                <w:sz w:val="24"/>
                <w:highlight w:val="none"/>
              </w:rPr>
              <w:t>。</w:t>
            </w:r>
          </w:p>
          <w:p w14:paraId="4216244F">
            <w:pPr>
              <w:keepNext w:val="0"/>
              <w:keepLines w:val="0"/>
              <w:pageBreakBefore w:val="0"/>
              <w:widowControl/>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1FD6DD50">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E73B4A9">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3D978153">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70629740">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3557D1A9">
            <w:pPr>
              <w:keepNext w:val="0"/>
              <w:keepLines w:val="0"/>
              <w:pageBreakBefore w:val="0"/>
              <w:kinsoku/>
              <w:wordWrap w:val="0"/>
              <w:overflowPunct/>
              <w:topLinePunct w:val="0"/>
              <w:bidi w:val="0"/>
              <w:adjustRightInd w:val="0"/>
              <w:snapToGrid w:val="0"/>
              <w:spacing w:beforeLines="0" w:afterLines="0" w:line="360" w:lineRule="auto"/>
              <w:ind w:leftChars="2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6E87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536033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D18EB9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163537B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216" w:type="dxa"/>
            <w:tcBorders>
              <w:top w:val="single" w:color="000000" w:sz="8" w:space="0"/>
              <w:left w:val="single" w:color="000000" w:sz="2" w:space="0"/>
              <w:bottom w:val="single" w:color="000000" w:sz="8" w:space="0"/>
              <w:right w:val="single" w:color="000000" w:sz="8" w:space="0"/>
            </w:tcBorders>
            <w:vAlign w:val="center"/>
          </w:tcPr>
          <w:p w14:paraId="652E103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590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C97A17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8E6A6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49A4163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216" w:type="dxa"/>
            <w:tcBorders>
              <w:top w:val="single" w:color="000000" w:sz="8" w:space="0"/>
              <w:left w:val="single" w:color="000000" w:sz="2" w:space="0"/>
              <w:bottom w:val="single" w:color="000000" w:sz="8" w:space="0"/>
              <w:right w:val="single" w:color="000000" w:sz="8" w:space="0"/>
            </w:tcBorders>
            <w:vAlign w:val="center"/>
          </w:tcPr>
          <w:p w14:paraId="1573BF7D">
            <w:pPr>
              <w:pStyle w:val="33"/>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投标人如提交备份投标文件的，请</w:t>
            </w:r>
            <w:r>
              <w:rPr>
                <w:rFonts w:hint="eastAsia" w:ascii="仿宋" w:hAnsi="仿宋" w:eastAsia="仿宋" w:cs="仿宋"/>
                <w:color w:val="auto"/>
                <w:kern w:val="28"/>
                <w:sz w:val="24"/>
                <w:szCs w:val="24"/>
                <w:highlight w:val="none"/>
                <w:lang w:val="en-US" w:eastAsia="zh-CN"/>
              </w:rPr>
              <w:t>将</w:t>
            </w:r>
            <w:r>
              <w:rPr>
                <w:rFonts w:hint="eastAsia" w:ascii="仿宋" w:hAnsi="仿宋" w:eastAsia="仿宋" w:cs="仿宋"/>
                <w:color w:val="auto"/>
                <w:kern w:val="28"/>
                <w:sz w:val="24"/>
                <w:szCs w:val="24"/>
                <w:highlight w:val="none"/>
              </w:rPr>
              <w:t>备份投标文件（政采云客户端生成的“bfbs”格式文件）以邮件形式发送至邮箱zjzhenghaozb@163.com，邮件主题为“项目名称+备份文件”</w:t>
            </w:r>
            <w:r>
              <w:rPr>
                <w:rFonts w:hint="eastAsia" w:ascii="仿宋" w:hAnsi="仿宋" w:eastAsia="仿宋" w:cs="仿宋"/>
                <w:color w:val="auto"/>
                <w:kern w:val="28"/>
                <w:sz w:val="24"/>
                <w:szCs w:val="24"/>
                <w:highlight w:val="none"/>
                <w:lang w:eastAsia="zh-CN"/>
              </w:rPr>
              <w:t>。</w:t>
            </w:r>
          </w:p>
          <w:p w14:paraId="50DD7CF5">
            <w:pPr>
              <w:pStyle w:val="33"/>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28"/>
                <w:sz w:val="24"/>
                <w:szCs w:val="24"/>
                <w:highlight w:val="none"/>
              </w:rPr>
            </w:pPr>
            <w:r>
              <w:rPr>
                <w:rFonts w:hint="eastAsia" w:ascii="仿宋" w:hAnsi="仿宋" w:eastAsia="仿宋" w:cs="仿宋"/>
                <w:b/>
                <w:bCs/>
                <w:color w:val="auto"/>
                <w:sz w:val="24"/>
                <w:szCs w:val="24"/>
                <w:highlight w:val="none"/>
              </w:rPr>
              <w:t>采购人、采购代理机构不强制或变相强制投标人提交备份投标文件。</w:t>
            </w:r>
          </w:p>
        </w:tc>
      </w:tr>
      <w:tr w14:paraId="15572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414EB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656F07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代理费</w:t>
            </w:r>
          </w:p>
        </w:tc>
        <w:tc>
          <w:tcPr>
            <w:tcW w:w="6216" w:type="dxa"/>
            <w:tcBorders>
              <w:top w:val="single" w:color="000000" w:sz="8" w:space="0"/>
              <w:left w:val="single" w:color="000000" w:sz="2" w:space="0"/>
              <w:bottom w:val="single" w:color="000000" w:sz="8" w:space="0"/>
              <w:right w:val="single" w:color="000000" w:sz="8" w:space="0"/>
            </w:tcBorders>
            <w:vAlign w:val="center"/>
          </w:tcPr>
          <w:p w14:paraId="527E83EC">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1.本项目的采购代理费由中标人支付。计费标准：以预算金额为计费基准，按差额定率累进制计算,具体标准为：参</w:t>
            </w:r>
            <w:r>
              <w:rPr>
                <w:rFonts w:hint="eastAsia" w:ascii="仿宋" w:hAnsi="仿宋" w:eastAsia="仿宋" w:cs="仿宋"/>
                <w:color w:val="auto"/>
                <w:sz w:val="24"/>
                <w:szCs w:val="24"/>
                <w:highlight w:val="none"/>
              </w:rPr>
              <w:t>照《招标代理服务收费管理暂行办法》（计价格</w:t>
            </w:r>
            <w:r>
              <w:rPr>
                <w:rFonts w:hint="eastAsia" w:ascii="仿宋" w:hAnsi="仿宋" w:eastAsia="仿宋" w:cs="仿宋"/>
                <w:color w:val="auto"/>
                <w:sz w:val="24"/>
                <w:szCs w:val="24"/>
                <w:highlight w:val="none"/>
                <w:lang w:eastAsia="zh-CN"/>
              </w:rPr>
              <w:t>〔2002〕1980号</w:t>
            </w:r>
            <w:r>
              <w:rPr>
                <w:rFonts w:hint="eastAsia" w:ascii="仿宋" w:hAnsi="仿宋" w:eastAsia="仿宋" w:cs="仿宋"/>
                <w:color w:val="auto"/>
                <w:sz w:val="24"/>
                <w:szCs w:val="24"/>
                <w:highlight w:val="none"/>
              </w:rPr>
              <w:t>）文件收费标准</w:t>
            </w:r>
            <w:r>
              <w:rPr>
                <w:rFonts w:hint="eastAsia" w:ascii="仿宋" w:hAnsi="仿宋" w:eastAsia="仿宋" w:cs="仿宋"/>
                <w:color w:val="auto"/>
                <w:sz w:val="24"/>
                <w:szCs w:val="24"/>
                <w:highlight w:val="none"/>
                <w:lang w:val="en-US" w:eastAsia="zh-CN"/>
              </w:rPr>
              <w:t>八折</w:t>
            </w:r>
            <w:r>
              <w:rPr>
                <w:rFonts w:hint="eastAsia" w:ascii="仿宋" w:hAnsi="仿宋" w:eastAsia="仿宋" w:cs="仿宋"/>
                <w:color w:val="auto"/>
                <w:sz w:val="24"/>
                <w:szCs w:val="24"/>
                <w:highlight w:val="none"/>
              </w:rPr>
              <w:t>计取。结算方式及时间为：在领取中标通知书时由中标人一次性向采购代理机构付清。(开户名：浙江正淏招标代理有限公司,开户银行：中国农业银行杭州科技城支行</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账号：19036401040031211</w:t>
            </w:r>
            <w:r>
              <w:rPr>
                <w:rFonts w:hint="eastAsia" w:ascii="仿宋" w:hAnsi="仿宋" w:eastAsia="仿宋" w:cs="仿宋"/>
                <w:color w:val="auto"/>
                <w:sz w:val="24"/>
                <w:szCs w:val="24"/>
                <w:highlight w:val="none"/>
                <w:lang w:val="zh-CN"/>
              </w:rPr>
              <w:t>)</w:t>
            </w:r>
          </w:p>
          <w:p w14:paraId="0C319365">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val="0"/>
                <w:bCs w:val="0"/>
                <w:color w:val="auto"/>
                <w:sz w:val="24"/>
                <w:szCs w:val="24"/>
                <w:highlight w:val="none"/>
              </w:rPr>
              <w:t>由于中标供应商原因导致重新采购的，应当承担支付代理费和专家评审费等费用在内的赔偿责任。</w:t>
            </w:r>
          </w:p>
        </w:tc>
      </w:tr>
      <w:bookmarkEnd w:id="15"/>
    </w:tbl>
    <w:p w14:paraId="1C162734">
      <w:pPr>
        <w:wordWrap w:val="0"/>
        <w:snapToGrid w:val="0"/>
        <w:spacing w:beforeLines="0" w:afterLines="0" w:line="360" w:lineRule="auto"/>
        <w:rPr>
          <w:rFonts w:ascii="仿宋" w:hAnsi="仿宋" w:eastAsia="仿宋" w:cs="仿宋"/>
          <w:b/>
          <w:color w:val="auto"/>
          <w:sz w:val="32"/>
          <w:szCs w:val="20"/>
          <w:highlight w:val="none"/>
        </w:rPr>
      </w:pPr>
      <w:bookmarkStart w:id="24" w:name="第三部分"/>
      <w:bookmarkStart w:id="25" w:name="_Toc164416483"/>
      <w:r>
        <w:rPr>
          <w:rFonts w:hint="eastAsia" w:ascii="仿宋" w:hAnsi="仿宋" w:eastAsia="仿宋" w:cs="仿宋"/>
          <w:b/>
          <w:color w:val="auto"/>
          <w:sz w:val="32"/>
          <w:szCs w:val="20"/>
          <w:highlight w:val="none"/>
        </w:rPr>
        <w:br w:type="page"/>
      </w:r>
    </w:p>
    <w:p w14:paraId="1F815286">
      <w:pPr>
        <w:pStyle w:val="4"/>
        <w:bidi w:val="0"/>
      </w:pPr>
      <w:r>
        <w:rPr>
          <w:rFonts w:hint="eastAsia"/>
        </w:rPr>
        <w:t>一、总则</w:t>
      </w:r>
    </w:p>
    <w:p w14:paraId="30AB3043">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16013FD">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w:t>
      </w:r>
      <w:r>
        <w:rPr>
          <w:rFonts w:hint="eastAsia" w:ascii="仿宋" w:hAnsi="仿宋" w:eastAsia="仿宋" w:cs="仿宋"/>
          <w:color w:val="auto"/>
          <w:sz w:val="24"/>
          <w:highlight w:val="none"/>
          <w:lang w:eastAsia="zh-CN"/>
        </w:rPr>
        <w:t>法律法规</w:t>
      </w:r>
      <w:r>
        <w:rPr>
          <w:rFonts w:hint="eastAsia" w:ascii="仿宋" w:hAnsi="仿宋" w:eastAsia="仿宋" w:cs="仿宋"/>
          <w:color w:val="auto"/>
          <w:sz w:val="24"/>
          <w:highlight w:val="none"/>
        </w:rPr>
        <w:t>另有规定的，从其规定）。</w:t>
      </w:r>
    </w:p>
    <w:p w14:paraId="0BF7FE61">
      <w:pPr>
        <w:keepNext w:val="0"/>
        <w:keepLines w:val="0"/>
        <w:pageBreakBefore w:val="0"/>
        <w:widowControl w:val="0"/>
        <w:numPr>
          <w:ilvl w:val="0"/>
          <w:numId w:val="1"/>
        </w:numPr>
        <w:kinsoku/>
        <w:wordWrap w:val="0"/>
        <w:overflowPunct/>
        <w:topLinePunct w:val="0"/>
        <w:autoSpaceDE/>
        <w:autoSpaceDN/>
        <w:bidi w:val="0"/>
        <w:adjustRightInd/>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71D34E17">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2E69350">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A24E026">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3AB7CDE">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C80B3C5">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B61782">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EC7C516">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21370038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457BCAD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6908EC1">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630E22F0">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F9CFD2E">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14:paraId="04E10AF5">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0DB14AB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w:t>
      </w:r>
      <w:r>
        <w:rPr>
          <w:rFonts w:hint="eastAsia" w:ascii="仿宋" w:hAnsi="仿宋" w:eastAsia="仿宋" w:cs="仿宋"/>
          <w:color w:val="auto"/>
          <w:sz w:val="24"/>
          <w:highlight w:val="none"/>
          <w:lang w:eastAsia="zh-CN"/>
        </w:rPr>
        <w:t>供的</w:t>
      </w:r>
      <w:r>
        <w:rPr>
          <w:rFonts w:hint="eastAsia" w:ascii="仿宋" w:hAnsi="仿宋" w:eastAsia="仿宋" w:cs="仿宋"/>
          <w:color w:val="auto"/>
          <w:sz w:val="24"/>
          <w:highlight w:val="none"/>
        </w:rPr>
        <w:t>产品及相关快递服务的具体包装要求要参考《商品包装政府采购需求标准（试行）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10F2C74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9F27B3">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4E9D3B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87A64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157FF02">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1EF888">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2471C45A">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F33DCE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6%（本项目具体扣除比例详见“评审办法”）的扣除，用扣除后的价格参加评审。组成联合体或者接受分包的小微企业与联合体内其他企业、分包企业之间存在直接控股、管理关系的，不享受价格扣除优惠政策。</w:t>
      </w:r>
    </w:p>
    <w:p w14:paraId="4AE612E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1C6B93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w:t>
      </w:r>
      <w:r>
        <w:rPr>
          <w:rFonts w:hint="eastAsia" w:ascii="仿宋" w:hAnsi="仿宋" w:eastAsia="仿宋" w:cs="仿宋"/>
          <w:color w:val="auto"/>
          <w:sz w:val="24"/>
          <w:highlight w:val="none"/>
          <w:lang w:eastAsia="zh-CN"/>
        </w:rPr>
        <w:t>〔2014〕68号</w:t>
      </w:r>
      <w:r>
        <w:rPr>
          <w:rFonts w:hint="eastAsia" w:ascii="仿宋" w:hAnsi="仿宋" w:eastAsia="仿宋" w:cs="仿宋"/>
          <w:color w:val="auto"/>
          <w:sz w:val="24"/>
          <w:highlight w:val="none"/>
        </w:rPr>
        <w:t>）规定的监狱企业并提供由省级以上监狱管理局、戒毒管理局（含新疆生产建设兵团）出具的属于监狱企业证明文件的，视同为小型、微型企业。</w:t>
      </w:r>
    </w:p>
    <w:p w14:paraId="2EFD102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1E52281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22DD03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124B27B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5D3C2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93F616">
      <w:pPr>
        <w:keepNext w:val="0"/>
        <w:keepLines w:val="0"/>
        <w:pageBreakBefore w:val="0"/>
        <w:widowControl w:val="0"/>
        <w:kinsoku/>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22BB25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4.询问、质疑、投诉、补偿救济</w:t>
      </w:r>
    </w:p>
    <w:p w14:paraId="0145ACAC">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C51D72">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6AF3E22B">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5339F7">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2014F533">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8AE3A95">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378506">
      <w:pPr>
        <w:pStyle w:val="16"/>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6AB77A85">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D299D40">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67C7CC05">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60F6CCA">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7DC18D4D">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401730D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025AA6E4">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4D8ED00B">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4DBFF0A0">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7C5A7711">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86BF254">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14:paraId="1416F167">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3.4对同一采购程序环节的质疑，供应商须在法定质疑期内一次性提出。</w:t>
      </w:r>
    </w:p>
    <w:p w14:paraId="2E5EF7D1">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4EB11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3.6询问或者质疑事项可能影响采购结果的，采购人应当暂停签订合同，已经签订合同的，应当中止履行合同。</w:t>
      </w:r>
    </w:p>
    <w:p w14:paraId="45B7D8B0">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供应商投诉</w:t>
      </w:r>
    </w:p>
    <w:p w14:paraId="7805F4B8">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429D776">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14:paraId="1048BEC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4.4.3供应商投诉应当有明确的请求和必要的证明材料。</w:t>
      </w:r>
    </w:p>
    <w:p w14:paraId="3FDAF5F3">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4.4.4 以联合体形式参加政府采购活动的，其投诉应当由组成联合体的所有供应商共同提出。</w:t>
      </w:r>
    </w:p>
    <w:p w14:paraId="24966248">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color w:val="auto"/>
          <w:sz w:val="24"/>
          <w:highlight w:val="none"/>
          <w:lang w:val="zh-CN"/>
        </w:rPr>
        <w:t>杭州市上城区清泰街549号城建综合大楼11楼（快递仅限ems或顺丰）</w:t>
      </w:r>
      <w:r>
        <w:rPr>
          <w:rFonts w:hint="eastAsia" w:ascii="仿宋" w:hAnsi="仿宋" w:eastAsia="仿宋" w:cs="仿宋"/>
          <w:color w:val="auto"/>
          <w:sz w:val="24"/>
          <w:highlight w:val="none"/>
        </w:rPr>
        <w:t>，收件人：朱女士、王女士，电话：</w:t>
      </w:r>
      <w:r>
        <w:rPr>
          <w:rFonts w:hint="eastAsia" w:ascii="仿宋" w:hAnsi="仿宋" w:eastAsia="仿宋" w:cs="仿宋"/>
          <w:color w:val="auto"/>
          <w:sz w:val="24"/>
          <w:highlight w:val="none"/>
          <w:lang w:val="zh-CN"/>
        </w:rPr>
        <w:t>0571-87227671,0571-87800218</w:t>
      </w:r>
      <w:r>
        <w:rPr>
          <w:rFonts w:hint="eastAsia" w:ascii="仿宋" w:hAnsi="仿宋" w:eastAsia="仿宋" w:cs="仿宋"/>
          <w:color w:val="auto"/>
          <w:sz w:val="24"/>
          <w:highlight w:val="none"/>
        </w:rPr>
        <w:t>。</w:t>
      </w:r>
    </w:p>
    <w:p w14:paraId="705E2D8C">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投诉书范本及制作说明详见附件3。</w:t>
      </w:r>
    </w:p>
    <w:p w14:paraId="01C4A701">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1A237D0">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370937EB">
      <w:pPr>
        <w:pStyle w:val="133"/>
        <w:keepNext w:val="0"/>
        <w:keepLines w:val="0"/>
        <w:pageBreakBefore w:val="0"/>
        <w:kinsoku/>
        <w:wordWrap w:val="0"/>
        <w:overflowPunct/>
        <w:topLinePunct w:val="0"/>
        <w:bidi w:val="0"/>
        <w:snapToGrid w:val="0"/>
        <w:spacing w:before="0" w:beforeLines="0" w:afterLines="0"/>
        <w:ind w:firstLine="360"/>
        <w:textAlignment w:val="auto"/>
        <w:rPr>
          <w:rFonts w:ascii="仿宋" w:hAnsi="仿宋" w:eastAsia="仿宋" w:cs="仿宋"/>
          <w:color w:val="auto"/>
          <w:sz w:val="18"/>
          <w:szCs w:val="18"/>
          <w:highlight w:val="none"/>
        </w:rPr>
      </w:pPr>
    </w:p>
    <w:p w14:paraId="00B10AB7">
      <w:pPr>
        <w:pStyle w:val="4"/>
        <w:bidi w:val="0"/>
      </w:pPr>
      <w:r>
        <w:rPr>
          <w:rFonts w:hint="eastAsia"/>
        </w:rPr>
        <w:t>二、招标文件的构成、澄清、修改</w:t>
      </w:r>
    </w:p>
    <w:p w14:paraId="5C6E8601">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8E363CD">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DD3D93A">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43C265D">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3D00AE7">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C8A5F9C">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75CE6CC">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91E6CA6">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4432C3D">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F5FB894">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A30AC57">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w:t>
      </w:r>
      <w:r>
        <w:rPr>
          <w:rFonts w:hint="eastAsia" w:ascii="仿宋" w:hAnsi="仿宋" w:eastAsia="仿宋" w:cs="仿宋"/>
          <w:color w:val="auto"/>
          <w:highlight w:val="none"/>
          <w:u w:val="single"/>
        </w:rPr>
        <w:t>政采云线上询问方式</w:t>
      </w:r>
      <w:r>
        <w:rPr>
          <w:rFonts w:hint="eastAsia" w:ascii="仿宋" w:hAnsi="仿宋" w:eastAsia="仿宋" w:cs="仿宋"/>
          <w:color w:val="auto"/>
          <w:highlight w:val="none"/>
        </w:rPr>
        <w:t>向采购代理机构提出。</w:t>
      </w:r>
    </w:p>
    <w:p w14:paraId="70DB9D00">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 w:val="18"/>
          <w:szCs w:val="18"/>
          <w:highlight w:val="none"/>
          <w:lang w:val="en-US"/>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09C736">
      <w:pPr>
        <w:pStyle w:val="4"/>
        <w:bidi w:val="0"/>
      </w:pPr>
      <w:r>
        <w:rPr>
          <w:rFonts w:hint="eastAsia"/>
        </w:rPr>
        <w:br w:type="textWrapping"/>
      </w:r>
      <w:r>
        <w:rPr>
          <w:rFonts w:hint="eastAsia"/>
        </w:rPr>
        <w:t>三、投标</w:t>
      </w:r>
    </w:p>
    <w:p w14:paraId="42FE6B95">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6C86C2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9366B94">
      <w:pPr>
        <w:pStyle w:val="33"/>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38BAB654">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B3DA26C">
      <w:pPr>
        <w:pStyle w:val="33"/>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01E619CD">
      <w:pPr>
        <w:pStyle w:val="16"/>
        <w:keepNext w:val="0"/>
        <w:keepLines w:val="0"/>
        <w:pageBreakBefore w:val="0"/>
        <w:kinsoku/>
        <w:wordWrap w:val="0"/>
        <w:overflowPunct/>
        <w:topLinePunct w:val="0"/>
        <w:bidi w:val="0"/>
        <w:snapToGrid w:val="0"/>
        <w:spacing w:beforeLines="0" w:afterLines="0" w:line="360" w:lineRule="auto"/>
        <w:ind w:firstLine="470" w:firstLineChars="196"/>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3D8883A">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06B6A61">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AD755ED">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A64912E">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900264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w:t>
      </w:r>
    </w:p>
    <w:p w14:paraId="11B057C6">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11.1.2符合参加政府采购活动应当具备的一般条件承诺函；</w:t>
      </w:r>
    </w:p>
    <w:p w14:paraId="103C6855">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154A050E">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14:paraId="1189A347">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如有）</w:t>
      </w:r>
      <w:r>
        <w:rPr>
          <w:rFonts w:hint="eastAsia" w:ascii="仿宋" w:hAnsi="仿宋" w:eastAsia="仿宋" w:cs="仿宋"/>
          <w:color w:val="auto"/>
          <w:sz w:val="24"/>
          <w:highlight w:val="none"/>
        </w:rPr>
        <w:t>。</w:t>
      </w:r>
    </w:p>
    <w:p w14:paraId="1DEE7D22">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D39B73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36FEF8C">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11.2.2授权委托书或法定代表人（单位负责人）身份证明；</w:t>
      </w:r>
    </w:p>
    <w:p w14:paraId="4DA8461A">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5FCD6B74">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C79EA18">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8B8A0A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0C433C0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FDF978C">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8935613">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11.3.2报价情况说明（如供应商报价低于最高限价50%的，应当提交本文档，详细阐述不影响服务质量或者诚信履约的具体原因）；</w:t>
      </w:r>
    </w:p>
    <w:p w14:paraId="32280A93">
      <w:pPr>
        <w:keepNext w:val="0"/>
        <w:keepLines w:val="0"/>
        <w:pageBreakBefore w:val="0"/>
        <w:kinsoku/>
        <w:wordWrap w:val="0"/>
        <w:overflowPunct/>
        <w:topLinePunct w:val="0"/>
        <w:bidi w:val="0"/>
        <w:adjustRightInd/>
        <w:snapToGrid w:val="0"/>
        <w:spacing w:beforeLines="0" w:afterLines="0" w:line="360" w:lineRule="auto"/>
        <w:ind w:left="0" w:leftChars="0" w:firstLine="960" w:firstLineChars="4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w:t>
      </w:r>
      <w:r>
        <w:rPr>
          <w:rFonts w:hint="eastAsia" w:ascii="仿宋" w:hAnsi="仿宋" w:eastAsia="仿宋" w:cs="仿宋"/>
          <w:color w:val="auto"/>
          <w:sz w:val="24"/>
          <w:highlight w:val="none"/>
          <w:lang w:eastAsia="zh-CN"/>
        </w:rPr>
        <w:t>享受价格</w:t>
      </w:r>
      <w:r>
        <w:rPr>
          <w:rFonts w:hint="eastAsia" w:ascii="仿宋" w:hAnsi="仿宋" w:eastAsia="仿宋" w:cs="仿宋"/>
          <w:color w:val="auto"/>
          <w:sz w:val="24"/>
          <w:highlight w:val="none"/>
        </w:rPr>
        <w:t>扣除优惠政策）</w:t>
      </w:r>
      <w:r>
        <w:rPr>
          <w:rFonts w:hint="eastAsia" w:ascii="仿宋" w:hAnsi="仿宋" w:eastAsia="仿宋" w:cs="仿宋"/>
          <w:color w:val="auto"/>
          <w:sz w:val="24"/>
          <w:highlight w:val="none"/>
          <w:lang w:eastAsia="zh-CN"/>
        </w:rPr>
        <w:t>；</w:t>
      </w:r>
    </w:p>
    <w:p w14:paraId="37F0171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供应商针对报价需要说明的其他文件和说明（格式自拟）。</w:t>
      </w:r>
    </w:p>
    <w:p w14:paraId="072AB9BF">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AC0624D">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outlineLvl w:val="9"/>
        <w:rPr>
          <w:rFonts w:ascii="仿宋" w:hAnsi="仿宋" w:eastAsia="仿宋" w:cs="仿宋"/>
          <w:b/>
          <w:color w:val="auto"/>
          <w:sz w:val="24"/>
          <w:szCs w:val="21"/>
          <w:highlight w:val="none"/>
        </w:rPr>
      </w:pPr>
      <w:r>
        <w:rPr>
          <w:rFonts w:hint="eastAsia" w:ascii="仿宋" w:hAnsi="仿宋" w:eastAsia="仿宋" w:cs="仿宋"/>
          <w:b/>
          <w:color w:val="auto"/>
          <w:sz w:val="24"/>
          <w:highlight w:val="none"/>
        </w:rPr>
        <w:t>供应商应对响应文件中材料的真实性、合法性负责。投标人提供虚假材料投标的，投标无效。</w:t>
      </w:r>
    </w:p>
    <w:p w14:paraId="5A8FCDE7">
      <w:pPr>
        <w:pStyle w:val="133"/>
        <w:keepNext w:val="0"/>
        <w:keepLines w:val="0"/>
        <w:pageBreakBefore w:val="0"/>
        <w:widowControl w:val="0"/>
        <w:numPr>
          <w:ilvl w:val="0"/>
          <w:numId w:val="3"/>
        </w:numPr>
        <w:kinsoku/>
        <w:wordWrap w:val="0"/>
        <w:overflowPunct/>
        <w:topLinePunct w:val="0"/>
        <w:autoSpaceDE/>
        <w:autoSpaceDN/>
        <w:bidi w:val="0"/>
        <w:adjustRightInd w:val="0"/>
        <w:snapToGrid w:val="0"/>
        <w:spacing w:before="0" w:beforeLines="0" w:afterLines="0"/>
        <w:ind w:firstLine="0" w:firstLineChars="0"/>
        <w:textAlignment w:val="auto"/>
        <w:outlineLvl w:val="9"/>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14:paraId="7BB766E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FC3CB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84E721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45AB671">
      <w:pPr>
        <w:keepNext w:val="0"/>
        <w:keepLines w:val="0"/>
        <w:pageBreakBefore w:val="0"/>
        <w:numPr>
          <w:ilvl w:val="0"/>
          <w:numId w:val="3"/>
        </w:numPr>
        <w:kinsoku/>
        <w:wordWrap w:val="0"/>
        <w:overflowPunct/>
        <w:topLinePunct w:val="0"/>
        <w:bidi w:val="0"/>
        <w:snapToGrid w:val="0"/>
        <w:spacing w:beforeLines="0" w:afterLines="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0893D83">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4F8E1A0">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EC238B">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86D547B">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88B5D8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E60864">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E97CB5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30D4B67">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D6A448F">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4B487DE6">
      <w:pPr>
        <w:pStyle w:val="33"/>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w:t>
      </w:r>
      <w:r>
        <w:rPr>
          <w:rFonts w:hint="eastAsia" w:ascii="仿宋" w:hAnsi="仿宋" w:eastAsia="仿宋" w:cs="仿宋"/>
          <w:color w:val="auto"/>
          <w:sz w:val="24"/>
          <w:szCs w:val="24"/>
          <w:highlight w:val="none"/>
          <w:lang w:val="en-US" w:eastAsia="zh-CN"/>
        </w:rPr>
        <w:t>按前附表要求</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非强制要求，投标人自行考虑）。</w:t>
      </w:r>
    </w:p>
    <w:p w14:paraId="250AA8BE">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bCs/>
          <w:color w:val="auto"/>
          <w:sz w:val="24"/>
          <w:szCs w:val="24"/>
          <w:highlight w:val="none"/>
        </w:rPr>
        <w:t>。</w:t>
      </w:r>
    </w:p>
    <w:p w14:paraId="6EA5117D">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15.3电子备份投标文件发生泄露或延期送达等情况的，由投标人自行负责。</w:t>
      </w:r>
    </w:p>
    <w:p w14:paraId="4236B719">
      <w:pPr>
        <w:pStyle w:val="33"/>
        <w:keepNext w:val="0"/>
        <w:keepLines w:val="0"/>
        <w:pageBreakBefore w:val="0"/>
        <w:kinsoku/>
        <w:wordWrap w:val="0"/>
        <w:overflowPunct/>
        <w:topLinePunct w:val="0"/>
        <w:bidi w:val="0"/>
        <w:snapToGrid w:val="0"/>
        <w:spacing w:beforeLines="0" w:afterLines="0" w:line="360" w:lineRule="auto"/>
        <w:ind w:firstLine="479" w:firstLineChars="199"/>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投标人仅提交备份投标文件，未在电子交易平台传输递交投标文件的，投标无效。</w:t>
      </w:r>
    </w:p>
    <w:p w14:paraId="57C03578">
      <w:pPr>
        <w:pStyle w:val="133"/>
        <w:keepNext w:val="0"/>
        <w:keepLines w:val="0"/>
        <w:pageBreakBefore w:val="0"/>
        <w:numPr>
          <w:ilvl w:val="0"/>
          <w:numId w:val="4"/>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E954413">
      <w:pPr>
        <w:pStyle w:val="25"/>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56F253D7">
      <w:pPr>
        <w:pStyle w:val="133"/>
        <w:keepNext w:val="0"/>
        <w:keepLines w:val="0"/>
        <w:pageBreakBefore w:val="0"/>
        <w:numPr>
          <w:ilvl w:val="0"/>
          <w:numId w:val="4"/>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DE24C23">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81B4062">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B322D85">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2CF2A34">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highlight w:val="none"/>
        </w:rPr>
      </w:pPr>
    </w:p>
    <w:p w14:paraId="758967E2">
      <w:pPr>
        <w:pStyle w:val="4"/>
        <w:bidi w:val="0"/>
      </w:pPr>
      <w:r>
        <w:rPr>
          <w:rFonts w:hint="eastAsia"/>
        </w:rPr>
        <w:t>四、开标、资格审查与信用信息查询</w:t>
      </w:r>
    </w:p>
    <w:p w14:paraId="781A0663">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75BA16C7">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EB765A2">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175B99B">
      <w:pPr>
        <w:pStyle w:val="559"/>
        <w:keepNext w:val="0"/>
        <w:keepLines w:val="0"/>
        <w:pageBreakBefore w:val="0"/>
        <w:kinsoku/>
        <w:wordWrap w:val="0"/>
        <w:overflowPunct/>
        <w:topLinePunct w:val="0"/>
        <w:bidi w:val="0"/>
        <w:snapToGrid w:val="0"/>
        <w:spacing w:before="0" w:beforeLines="0" w:afterLines="0" w:line="360" w:lineRule="auto"/>
        <w:ind w:left="0" w:firstLine="240" w:firstLineChars="100"/>
        <w:contextualSpacing/>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4894FEB">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报价技术商务同时开（先唱标）。</w:t>
      </w:r>
    </w:p>
    <w:p w14:paraId="24D99145">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2622446F">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4BBE517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1D5BC548">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78929E6">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6CDB41C7">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719D8F05">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51A1D82">
      <w:pPr>
        <w:pStyle w:val="133"/>
        <w:keepNext w:val="0"/>
        <w:keepLines w:val="0"/>
        <w:pageBreakBefore w:val="0"/>
        <w:numPr>
          <w:ilvl w:val="0"/>
          <w:numId w:val="5"/>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427DDC5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F7C380F">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92220F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1988113">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1E6C28D">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highlight w:val="none"/>
        </w:rPr>
      </w:pPr>
    </w:p>
    <w:p w14:paraId="4C5F7673">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highlight w:val="none"/>
        </w:rPr>
      </w:pPr>
    </w:p>
    <w:p w14:paraId="19985FA8">
      <w:pPr>
        <w:pStyle w:val="4"/>
        <w:bidi w:val="0"/>
      </w:pPr>
      <w:r>
        <w:rPr>
          <w:rFonts w:hint="eastAsia"/>
        </w:rPr>
        <w:t>五、评标</w:t>
      </w:r>
    </w:p>
    <w:p w14:paraId="1B453C85">
      <w:pPr>
        <w:keepNext w:val="0"/>
        <w:keepLines w:val="0"/>
        <w:pageBreakBefore w:val="0"/>
        <w:kinsoku/>
        <w:wordWrap w:val="0"/>
        <w:overflowPunct/>
        <w:topLinePunct w:val="0"/>
        <w:bidi w:val="0"/>
        <w:snapToGrid w:val="0"/>
        <w:spacing w:beforeLines="0" w:afterLines="0" w:line="360" w:lineRule="auto"/>
        <w:ind w:firstLine="241" w:firstLineChars="100"/>
        <w:textAlignment w:val="auto"/>
        <w:rPr>
          <w:rFonts w:hint="eastAsia" w:ascii="仿宋" w:hAnsi="仿宋" w:eastAsia="仿宋" w:cs="仿宋"/>
          <w:b/>
          <w:color w:val="auto"/>
          <w:sz w:val="24"/>
          <w:highlight w:val="none"/>
        </w:rPr>
      </w:pPr>
      <w:bookmarkStart w:id="26"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93F40A9">
      <w:pPr>
        <w:pStyle w:val="2"/>
        <w:rPr>
          <w:color w:val="auto"/>
          <w:highlight w:val="none"/>
        </w:rPr>
      </w:pPr>
    </w:p>
    <w:p w14:paraId="3A7A1B0D">
      <w:pPr>
        <w:pStyle w:val="4"/>
        <w:bidi w:val="0"/>
      </w:pPr>
      <w:r>
        <w:rPr>
          <w:rFonts w:hint="eastAsia"/>
        </w:rPr>
        <w:t>六、定 标</w:t>
      </w:r>
    </w:p>
    <w:p w14:paraId="4163756B">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1FEADC4A">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14:paraId="617DBD07">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szCs w:val="24"/>
          <w:highlight w:val="none"/>
        </w:rPr>
      </w:pPr>
    </w:p>
    <w:p w14:paraId="70DFC1A8">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0AF128D">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7610443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F93216E">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23.3公告期限为1个工作日。</w:t>
      </w:r>
    </w:p>
    <w:p w14:paraId="3E52235F">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24.由于中标供应商原因导致重新采购的，应当承担支付代理费和专家评审费等费用在内的赔偿责任。</w:t>
      </w:r>
    </w:p>
    <w:p w14:paraId="05F49193">
      <w:pPr>
        <w:pStyle w:val="4"/>
        <w:bidi w:val="0"/>
      </w:pPr>
      <w:r>
        <w:rPr>
          <w:rFonts w:hint="eastAsia"/>
        </w:rPr>
        <w:br w:type="textWrapping"/>
      </w:r>
      <w:r>
        <w:rPr>
          <w:rFonts w:hint="eastAsia"/>
        </w:rPr>
        <w:t>七、合同授予</w:t>
      </w:r>
    </w:p>
    <w:p w14:paraId="38AB40E4">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125331DA">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26. 合同的签订</w:t>
      </w:r>
    </w:p>
    <w:p w14:paraId="6B12F85C">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26.1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2F6B99">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4A28993">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kern w:val="0"/>
          <w:highlight w:val="none"/>
          <w:lang w:val="zh-CN"/>
        </w:rPr>
      </w:pPr>
    </w:p>
    <w:p w14:paraId="4D3ECE7B">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2E1AB763">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26.4中标供应商拒绝与采购人签订合同的，采购人可以按照评标报告推荐的中标候选人名单排序，确定下一候选人为中标供应商，也可以重新开展政府采购活动。</w:t>
      </w:r>
    </w:p>
    <w:p w14:paraId="11FE0DE4">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1C186F8E">
      <w:pPr>
        <w:pStyle w:val="25"/>
        <w:keepNext w:val="0"/>
        <w:keepLines w:val="0"/>
        <w:pageBreakBefore w:val="0"/>
        <w:numPr>
          <w:ilvl w:val="0"/>
          <w:numId w:val="6"/>
        </w:numPr>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履约保证金</w:t>
      </w:r>
    </w:p>
    <w:p w14:paraId="3E4A8A3D">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20DCDD4">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EFD818">
      <w:pPr>
        <w:keepNext w:val="0"/>
        <w:keepLines w:val="0"/>
        <w:pageBreakBefore w:val="0"/>
        <w:numPr>
          <w:ilvl w:val="0"/>
          <w:numId w:val="6"/>
        </w:numPr>
        <w:tabs>
          <w:tab w:val="left" w:pos="0"/>
        </w:tabs>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6E7D732A">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EC075A6">
      <w:pPr>
        <w:pStyle w:val="4"/>
        <w:bidi w:val="0"/>
      </w:pPr>
      <w:r>
        <w:rPr>
          <w:rFonts w:hint="eastAsia"/>
        </w:rPr>
        <w:br w:type="textWrapping"/>
      </w:r>
      <w:r>
        <w:rPr>
          <w:rFonts w:hint="eastAsia"/>
        </w:rPr>
        <w:t>八、电子交易活动的中止</w:t>
      </w:r>
    </w:p>
    <w:p w14:paraId="03E18EE9">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9.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A8511B8">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29.1电子交易平台发生故障而无法登录访问的； </w:t>
      </w:r>
    </w:p>
    <w:p w14:paraId="37CE51B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29.2电子交易平台应用或数据库出现错误，不能进行正常操作的；</w:t>
      </w:r>
    </w:p>
    <w:p w14:paraId="7483D7AC">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29.3电子交易平台发现严重安全漏洞，有潜在泄密危险的；</w:t>
      </w:r>
    </w:p>
    <w:p w14:paraId="11D9FDE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29.4病毒发作导致不能进行正常操作的； </w:t>
      </w:r>
    </w:p>
    <w:p w14:paraId="7A827763">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29.5其他无法保证电子交易的公平、公正和安全的情况。</w:t>
      </w:r>
    </w:p>
    <w:p w14:paraId="4A2696CA">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66A0137A">
      <w:pPr>
        <w:pStyle w:val="4"/>
        <w:bidi w:val="0"/>
      </w:pPr>
      <w:r>
        <w:rPr>
          <w:rFonts w:hint="eastAsia"/>
        </w:rPr>
        <w:br w:type="textWrapping"/>
      </w:r>
      <w:r>
        <w:rPr>
          <w:rFonts w:hint="eastAsia"/>
        </w:rPr>
        <w:t>九、验收</w:t>
      </w:r>
    </w:p>
    <w:p w14:paraId="604A320A">
      <w:pPr>
        <w:pStyle w:val="25"/>
        <w:keepNext w:val="0"/>
        <w:keepLines w:val="0"/>
        <w:pageBreakBefore w:val="0"/>
        <w:kinsoku/>
        <w:wordWrap w:val="0"/>
        <w:overflowPunct/>
        <w:topLinePunct w:val="0"/>
        <w:bidi w:val="0"/>
        <w:snapToGrid w:val="0"/>
        <w:spacing w:beforeLines="0" w:afterLines="0" w:line="360" w:lineRule="auto"/>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31. 验收</w:t>
      </w:r>
    </w:p>
    <w:p w14:paraId="587CA37E">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3BC46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53064ACD">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6FDE1C">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759739">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27" w:name="_Toc24016"/>
      <w:bookmarkStart w:id="28" w:name="_Toc13322"/>
      <w:bookmarkStart w:id="29" w:name="_Toc83886025"/>
      <w:bookmarkStart w:id="30" w:name="_Toc15084"/>
      <w:bookmarkStart w:id="31" w:name="_Toc27148"/>
    </w:p>
    <w:bookmarkEnd w:id="27"/>
    <w:bookmarkEnd w:id="28"/>
    <w:bookmarkEnd w:id="29"/>
    <w:bookmarkEnd w:id="30"/>
    <w:bookmarkEnd w:id="31"/>
    <w:p w14:paraId="58246F50">
      <w:pPr>
        <w:tabs>
          <w:tab w:val="left" w:pos="0"/>
        </w:tabs>
        <w:snapToGrid w:val="0"/>
        <w:spacing w:beforeLines="0" w:afterLines="0" w:line="360" w:lineRule="auto"/>
        <w:ind w:firstLine="360" w:firstLineChars="200"/>
        <w:rPr>
          <w:rFonts w:ascii="仿宋" w:hAnsi="仿宋" w:eastAsia="仿宋" w:cs="仿宋"/>
          <w:color w:val="auto"/>
          <w:sz w:val="18"/>
          <w:szCs w:val="18"/>
          <w:highlight w:val="none"/>
        </w:rPr>
      </w:pPr>
    </w:p>
    <w:bookmarkEnd w:id="26"/>
    <w:p w14:paraId="6010AD6A">
      <w:pPr>
        <w:tabs>
          <w:tab w:val="left" w:pos="0"/>
        </w:tabs>
        <w:wordWrap w:val="0"/>
        <w:snapToGrid w:val="0"/>
        <w:spacing w:beforeLines="0" w:afterLines="0" w:line="360" w:lineRule="auto"/>
        <w:ind w:firstLine="480"/>
        <w:rPr>
          <w:rFonts w:ascii="仿宋" w:hAnsi="仿宋" w:eastAsia="仿宋" w:cs="仿宋"/>
          <w:color w:val="auto"/>
          <w:kern w:val="0"/>
          <w:sz w:val="24"/>
          <w:highlight w:val="none"/>
        </w:rPr>
        <w:sectPr>
          <w:pgSz w:w="11905" w:h="16838"/>
          <w:pgMar w:top="652" w:right="1417" w:bottom="680" w:left="1417" w:header="567" w:footer="283" w:gutter="0"/>
          <w:pgNumType w:fmt="decimal"/>
          <w:cols w:space="0" w:num="1"/>
          <w:titlePg/>
          <w:docGrid w:linePitch="312" w:charSpace="0"/>
        </w:sectPr>
      </w:pPr>
      <w:bookmarkStart w:id="32" w:name="_Hlt68057669"/>
      <w:bookmarkEnd w:id="32"/>
      <w:bookmarkStart w:id="33" w:name="_Hlt74729768"/>
      <w:bookmarkEnd w:id="33"/>
      <w:bookmarkStart w:id="34" w:name="_Hlt68072990"/>
      <w:bookmarkEnd w:id="34"/>
      <w:bookmarkStart w:id="35" w:name="_Hlt75236101"/>
      <w:bookmarkEnd w:id="35"/>
      <w:bookmarkStart w:id="36" w:name="_Hlt75236011"/>
      <w:bookmarkEnd w:id="36"/>
      <w:bookmarkStart w:id="37" w:name="_Hlt68072998"/>
      <w:bookmarkEnd w:id="37"/>
      <w:bookmarkStart w:id="38" w:name="_Hlt68403820"/>
      <w:bookmarkEnd w:id="38"/>
      <w:bookmarkStart w:id="39" w:name="_Hlt74730295"/>
      <w:bookmarkEnd w:id="39"/>
      <w:bookmarkStart w:id="40" w:name="_Hlt68073093"/>
      <w:bookmarkEnd w:id="40"/>
      <w:bookmarkStart w:id="41" w:name="_Hlt74707468"/>
      <w:bookmarkEnd w:id="41"/>
      <w:bookmarkStart w:id="42" w:name="_Hlt74714665"/>
      <w:bookmarkEnd w:id="42"/>
      <w:bookmarkStart w:id="43" w:name="_Hlt75236290"/>
      <w:bookmarkEnd w:id="43"/>
    </w:p>
    <w:bookmarkEnd w:id="24"/>
    <w:bookmarkEnd w:id="25"/>
    <w:p w14:paraId="448D93A1">
      <w:pPr>
        <w:pStyle w:val="3"/>
        <w:bidi w:val="0"/>
      </w:pPr>
      <w:bookmarkStart w:id="44" w:name="_Toc135"/>
      <w:bookmarkStart w:id="45" w:name="_Toc377"/>
      <w:bookmarkStart w:id="46" w:name="_Toc16672"/>
      <w:bookmarkStart w:id="47" w:name="_Toc23290"/>
      <w:bookmarkStart w:id="48" w:name="_Toc17637"/>
      <w:bookmarkStart w:id="49" w:name="_Toc10476"/>
      <w:bookmarkStart w:id="50" w:name="_Toc8370"/>
      <w:bookmarkStart w:id="51" w:name="第四部分"/>
      <w:r>
        <w:rPr>
          <w:rFonts w:hint="eastAsia"/>
        </w:rPr>
        <w:t>第三部分 采购需求</w:t>
      </w:r>
      <w:bookmarkEnd w:id="44"/>
      <w:bookmarkEnd w:id="45"/>
      <w:bookmarkEnd w:id="46"/>
      <w:bookmarkEnd w:id="47"/>
      <w:bookmarkEnd w:id="48"/>
      <w:bookmarkEnd w:id="49"/>
      <w:bookmarkEnd w:id="50"/>
    </w:p>
    <w:p w14:paraId="3E002BC1">
      <w:pPr>
        <w:pStyle w:val="5"/>
        <w:bidi w:val="0"/>
        <w:rPr>
          <w:rFonts w:hint="eastAsia"/>
          <w:lang w:val="en-US" w:eastAsia="zh-CN"/>
        </w:rPr>
      </w:pPr>
      <w:bookmarkStart w:id="52" w:name="bookmark4"/>
      <w:bookmarkStart w:id="53" w:name="_Toc17094"/>
      <w:bookmarkStart w:id="54" w:name="_Toc23824"/>
      <w:bookmarkStart w:id="55" w:name="_Toc5794"/>
      <w:bookmarkStart w:id="56" w:name="_Toc169952210"/>
      <w:bookmarkStart w:id="57" w:name="_Toc22598"/>
      <w:bookmarkStart w:id="58" w:name="_Toc12173"/>
      <w:bookmarkStart w:id="59" w:name="_Toc6657"/>
      <w:bookmarkStart w:id="60" w:name="_Toc28895"/>
      <w:bookmarkStart w:id="61" w:name="_Toc24799"/>
      <w:r>
        <w:rPr>
          <w:rFonts w:hint="eastAsia"/>
          <w:lang w:val="en-US" w:eastAsia="zh-CN"/>
        </w:rPr>
        <w:t>一、项目概况</w:t>
      </w:r>
    </w:p>
    <w:p w14:paraId="5B452087">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为规范天水街道企退自管小组文体活动的组织工作，推行天水街道纳入社会化管理企业退休人员文娱健身活动组织的管理制度化，保证活动服务质量，提高管理工作效益，促进廉政建设，依据《中华人民共和国政府采购法》《中华人民共和国政府采购法实施条例》等有关规定，结合天水街道实际情况，现就2025年度天水街道企退自管小组文体活动的执行单位进行公开招标。</w:t>
      </w:r>
    </w:p>
    <w:p w14:paraId="4A96790C">
      <w:pPr>
        <w:pStyle w:val="5"/>
        <w:bidi w:val="0"/>
        <w:rPr>
          <w:rFonts w:hint="eastAsia"/>
          <w:lang w:val="en-US" w:eastAsia="zh-CN"/>
        </w:rPr>
      </w:pPr>
      <w:r>
        <w:rPr>
          <w:rFonts w:hint="eastAsia"/>
          <w:lang w:val="en-US" w:eastAsia="zh-CN"/>
        </w:rPr>
        <w:t>二、采购内容</w:t>
      </w:r>
    </w:p>
    <w:p w14:paraId="5D72AC28">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供应商负责提供2025年天水街道纳入社会化管理企业退休人员</w:t>
      </w:r>
      <w:r>
        <w:rPr>
          <w:rFonts w:hint="eastAsia" w:ascii="仿宋" w:hAnsi="仿宋" w:eastAsia="仿宋" w:cs="仿宋"/>
          <w:i w:val="0"/>
          <w:iCs w:val="0"/>
          <w:caps w:val="0"/>
          <w:color w:val="auto"/>
          <w:spacing w:val="0"/>
          <w:kern w:val="0"/>
          <w:sz w:val="24"/>
          <w:szCs w:val="24"/>
          <w:highlight w:val="none"/>
          <w:lang w:val="en-US" w:eastAsia="zh-CN" w:bidi="ar-SA"/>
        </w:rPr>
        <w:t>自管小组文体</w:t>
      </w:r>
      <w:r>
        <w:rPr>
          <w:rFonts w:hint="eastAsia" w:ascii="仿宋" w:hAnsi="仿宋" w:eastAsia="仿宋" w:cs="仿宋"/>
          <w:b w:val="0"/>
          <w:bCs w:val="0"/>
          <w:color w:val="auto"/>
          <w:kern w:val="0"/>
          <w:sz w:val="24"/>
          <w:szCs w:val="24"/>
          <w:highlight w:val="none"/>
          <w:lang w:val="en-US" w:eastAsia="zh-CN" w:bidi="ar-SA"/>
        </w:rPr>
        <w:t>活动（包含外出参观游览）的承办服务，具体包括活动策划、组织、执行。</w:t>
      </w:r>
    </w:p>
    <w:p w14:paraId="681DF293">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1.活动对象：</w:t>
      </w:r>
      <w:r>
        <w:rPr>
          <w:rFonts w:hint="eastAsia" w:ascii="仿宋" w:hAnsi="仿宋" w:eastAsia="仿宋" w:cs="仿宋"/>
          <w:b w:val="0"/>
          <w:bCs w:val="0"/>
          <w:color w:val="auto"/>
          <w:kern w:val="0"/>
          <w:sz w:val="24"/>
          <w:szCs w:val="24"/>
          <w:highlight w:val="none"/>
          <w:lang w:val="en-US" w:eastAsia="zh-CN" w:bidi="ar-SA"/>
        </w:rPr>
        <w:t>天水街道</w:t>
      </w:r>
      <w:r>
        <w:rPr>
          <w:rFonts w:hint="eastAsia" w:ascii="仿宋" w:hAnsi="仿宋" w:eastAsia="仿宋" w:cs="仿宋"/>
          <w:color w:val="auto"/>
          <w:kern w:val="0"/>
          <w:sz w:val="24"/>
          <w:szCs w:val="24"/>
          <w:highlight w:val="none"/>
          <w:lang w:val="en-US" w:eastAsia="zh-CN" w:bidi="ar-SA"/>
        </w:rPr>
        <w:t>纳入社会化管理的企业退休人员</w:t>
      </w:r>
    </w:p>
    <w:p w14:paraId="56F1BA97">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2.活动人数：约10100人，由采购人提供具体人员名单</w:t>
      </w:r>
    </w:p>
    <w:p w14:paraId="0F28FEDC">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3.活动特点：适合企业退休人员年龄段的活动形式。</w:t>
      </w:r>
    </w:p>
    <w:p w14:paraId="27CBDE73">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▲4.个人经费标准：130元/人次。每人每年参加1次；不得发放现金或购物卡等代金卡（券），对75周岁以上及因客观原因不能参加活动的退休人员，可以组织慰问，发放慰问品。</w:t>
      </w:r>
    </w:p>
    <w:bookmarkEnd w:id="52"/>
    <w:p w14:paraId="4A32DBF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val="0"/>
          <w:color w:val="auto"/>
          <w:kern w:val="0"/>
          <w:sz w:val="24"/>
          <w:szCs w:val="24"/>
          <w:highlight w:val="none"/>
          <w:lang w:val="en-US" w:eastAsia="zh-CN" w:bidi="ar-SA"/>
        </w:rPr>
        <w:t>4.服务期：</w:t>
      </w:r>
      <w:r>
        <w:rPr>
          <w:rFonts w:hint="eastAsia" w:ascii="仿宋" w:hAnsi="仿宋" w:eastAsia="仿宋" w:cs="仿宋"/>
          <w:b w:val="0"/>
          <w:bCs/>
          <w:color w:val="auto"/>
          <w:sz w:val="24"/>
          <w:highlight w:val="none"/>
          <w:lang w:val="en-US" w:eastAsia="zh-CN"/>
        </w:rPr>
        <w:t>自合同签订生效之日起至辖区所有符合条件的企业退休人员文体活动</w:t>
      </w:r>
      <w:r>
        <w:rPr>
          <w:rFonts w:hint="eastAsia" w:ascii="仿宋" w:hAnsi="仿宋" w:eastAsia="仿宋" w:cs="仿宋"/>
          <w:b w:val="0"/>
          <w:bCs/>
          <w:color w:val="auto"/>
          <w:sz w:val="24"/>
          <w:highlight w:val="none"/>
          <w:lang w:eastAsia="zh-CN"/>
        </w:rPr>
        <w:t>服务</w:t>
      </w:r>
      <w:r>
        <w:rPr>
          <w:rFonts w:hint="eastAsia" w:ascii="仿宋" w:hAnsi="仿宋" w:eastAsia="仿宋" w:cs="仿宋"/>
          <w:b w:val="0"/>
          <w:bCs/>
          <w:color w:val="auto"/>
          <w:sz w:val="24"/>
          <w:highlight w:val="none"/>
          <w:lang w:val="en-US" w:eastAsia="zh-CN"/>
        </w:rPr>
        <w:t>结束止</w:t>
      </w:r>
      <w:r>
        <w:rPr>
          <w:rFonts w:hint="eastAsia" w:ascii="仿宋" w:hAnsi="仿宋" w:eastAsia="仿宋" w:cs="仿宋"/>
          <w:b w:val="0"/>
          <w:bCs/>
          <w:color w:val="auto"/>
          <w:sz w:val="24"/>
          <w:highlight w:val="none"/>
          <w:lang w:eastAsia="zh-CN"/>
        </w:rPr>
        <w:t>。</w:t>
      </w:r>
    </w:p>
    <w:p w14:paraId="7461855F">
      <w:pPr>
        <w:pStyle w:val="5"/>
        <w:bidi w:val="0"/>
        <w:rPr>
          <w:rFonts w:hint="eastAsia"/>
          <w:lang w:val="en-US" w:eastAsia="zh-CN"/>
        </w:rPr>
      </w:pPr>
      <w:r>
        <w:rPr>
          <w:rFonts w:hint="eastAsia"/>
          <w:lang w:val="en-US" w:eastAsia="zh-CN"/>
        </w:rPr>
        <w:t>三、服务要求</w:t>
      </w:r>
    </w:p>
    <w:p w14:paraId="5091CD5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1.基本要求</w:t>
      </w:r>
    </w:p>
    <w:p w14:paraId="00C1A8AF">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1.1文体活动应以小型、多样、就近和安全为原则，结合天水街道辖区内企业退休人员年龄实际情况，拟定计划、征求意见、组织实施。</w:t>
      </w:r>
    </w:p>
    <w:p w14:paraId="730BF9FA">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1.2供应商应设有相对独立的服务热线电话和服务质量投诉电话，指定专人负责本项目的服务工作。</w:t>
      </w:r>
    </w:p>
    <w:p w14:paraId="5C31A03C">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w:t>
      </w:r>
      <w:r>
        <w:rPr>
          <w:rFonts w:hint="eastAsia" w:ascii="仿宋" w:hAnsi="仿宋" w:eastAsia="仿宋" w:cs="仿宋"/>
          <w:color w:val="auto"/>
          <w:kern w:val="0"/>
          <w:sz w:val="24"/>
          <w:szCs w:val="24"/>
          <w:highlight w:val="none"/>
          <w:lang w:val="en-US" w:eastAsia="zh-CN" w:bidi="ar-SA"/>
        </w:rPr>
        <w:t>供应商提供的活动策划及其他相关各项资料，使用前须交采购人认可，认可后的实施方案供应商方可执行。</w:t>
      </w:r>
    </w:p>
    <w:p w14:paraId="1D54FCA4">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2.活动形式要求</w:t>
      </w:r>
    </w:p>
    <w:p w14:paraId="1F2043D3">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2.1一次性活动：可适当整合资源，不接受现金、实物及有价证券的活动形式。</w:t>
      </w:r>
    </w:p>
    <w:p w14:paraId="3E0E3621">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2.2活动种类多样、可操作性强。供应商在投标文件中提供详细的多种类活动方案，供企退人员进行选择。活动不得变相售卖任何产品，不得进行违法违规活动。</w:t>
      </w:r>
    </w:p>
    <w:p w14:paraId="45C4F43B">
      <w:pP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br w:type="page"/>
      </w:r>
    </w:p>
    <w:p w14:paraId="76811A4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2.3辖区内上门慰问活动（针对不便外出人员）：使用上门慰问的形式必须向采购人提供有效的照片影像资料及签名台账，供应商实施上门慰问活动时不得外包第三方单位落实。</w:t>
      </w:r>
    </w:p>
    <w:p w14:paraId="66ED4EDE">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2.4活动组织方式：小型活动，包括但不限于外出参观游览，区内文娱健身活动。</w:t>
      </w:r>
    </w:p>
    <w:p w14:paraId="026C33FC">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2.5企退人员活动时间：按照街道确定的活动方案，由企退人员自由选择，原则上截止时间为2025年11月30日。</w:t>
      </w:r>
    </w:p>
    <w:p w14:paraId="21AE3426">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3.供应商应为服务对象购买老年短期意外险。在活动期间，供应商负责安全防护，切实做好项目的服务工作。</w:t>
      </w:r>
    </w:p>
    <w:p w14:paraId="243108E2">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4.服务目标及质量：满意度达95%及以上，安全事故“0”发生。 </w:t>
      </w:r>
    </w:p>
    <w:p w14:paraId="46195513">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5.供应商应承诺及保证自身对参加活动人员名单和个人信息不外泄。</w:t>
      </w:r>
    </w:p>
    <w:p w14:paraId="77BF5EAB">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US" w:eastAsia="zh-CN" w:bidi="ar-SA"/>
        </w:rPr>
        <w:t>应急要求</w:t>
      </w:r>
    </w:p>
    <w:p w14:paraId="21413D43">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6.1供应商须制定</w:t>
      </w:r>
      <w:r>
        <w:rPr>
          <w:rFonts w:hint="eastAsia" w:ascii="仿宋" w:hAnsi="仿宋" w:eastAsia="仿宋" w:cs="仿宋"/>
          <w:b w:val="0"/>
          <w:bCs w:val="0"/>
          <w:color w:val="auto"/>
          <w:kern w:val="0"/>
          <w:sz w:val="24"/>
          <w:szCs w:val="24"/>
          <w:highlight w:val="none"/>
          <w:lang w:val="en-US" w:eastAsia="zh-CN" w:bidi="ar-SA"/>
        </w:rPr>
        <w:t>对应的应急预案（</w:t>
      </w:r>
      <w:r>
        <w:rPr>
          <w:rFonts w:hint="eastAsia" w:ascii="仿宋" w:hAnsi="仿宋" w:eastAsia="仿宋" w:cs="仿宋"/>
          <w:color w:val="auto"/>
          <w:kern w:val="0"/>
          <w:sz w:val="24"/>
          <w:szCs w:val="24"/>
          <w:highlight w:val="none"/>
          <w:lang w:val="en-US" w:eastAsia="zh-CN" w:bidi="ar-SA"/>
        </w:rPr>
        <w:t>包括传达机制、人员调配、责任分工等，</w:t>
      </w:r>
      <w:r>
        <w:rPr>
          <w:rFonts w:hint="eastAsia" w:ascii="仿宋" w:hAnsi="仿宋" w:eastAsia="仿宋" w:cs="仿宋"/>
          <w:b w:val="0"/>
          <w:bCs w:val="0"/>
          <w:color w:val="auto"/>
          <w:kern w:val="0"/>
          <w:sz w:val="24"/>
          <w:szCs w:val="24"/>
          <w:highlight w:val="none"/>
          <w:lang w:val="en-US" w:eastAsia="zh-CN" w:bidi="ar-SA"/>
        </w:rPr>
        <w:t>活动期间需安排专业人员保障）和应急措施。</w:t>
      </w:r>
    </w:p>
    <w:p w14:paraId="63FD0B65">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6.2项目实施过程中，当发生重大险情或安全事故，或有重大任务、活动时，能够及时处理并向采购人报告，最大限度避免或减少损失。</w:t>
      </w:r>
    </w:p>
    <w:p w14:paraId="4D1D943B">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7.规章制度</w:t>
      </w:r>
    </w:p>
    <w:p w14:paraId="463DCF1E">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7.1供应商须具备完整可行的规章制度，</w:t>
      </w:r>
      <w:r>
        <w:rPr>
          <w:rFonts w:hint="eastAsia" w:ascii="仿宋" w:hAnsi="仿宋" w:eastAsia="仿宋" w:cs="仿宋"/>
          <w:color w:val="auto"/>
          <w:kern w:val="0"/>
          <w:sz w:val="24"/>
          <w:highlight w:val="none"/>
          <w:lang w:val="en-US" w:eastAsia="zh-CN"/>
        </w:rPr>
        <w:t>包括但不限于</w:t>
      </w:r>
      <w:r>
        <w:rPr>
          <w:rFonts w:hint="eastAsia" w:ascii="仿宋" w:hAnsi="仿宋" w:eastAsia="仿宋" w:cs="仿宋"/>
          <w:color w:val="auto"/>
          <w:kern w:val="0"/>
          <w:sz w:val="24"/>
          <w:highlight w:val="none"/>
          <w:lang w:eastAsia="zh-CN"/>
        </w:rPr>
        <w:t>各项工作制度、岗位责任制度、管理运作制度、考核管理制度及标准、</w:t>
      </w:r>
      <w:r>
        <w:rPr>
          <w:rFonts w:hint="eastAsia" w:ascii="仿宋" w:hAnsi="仿宋" w:eastAsia="仿宋" w:cs="仿宋"/>
          <w:color w:val="auto"/>
          <w:kern w:val="0"/>
          <w:sz w:val="24"/>
          <w:highlight w:val="none"/>
          <w:lang w:val="en-US" w:eastAsia="zh-CN"/>
        </w:rPr>
        <w:t>服务满意度回访制度</w:t>
      </w:r>
      <w:r>
        <w:rPr>
          <w:rFonts w:hint="eastAsia" w:ascii="仿宋" w:hAnsi="仿宋" w:eastAsia="仿宋" w:cs="仿宋"/>
          <w:color w:val="auto"/>
          <w:kern w:val="0"/>
          <w:sz w:val="24"/>
          <w:highlight w:val="none"/>
          <w:lang w:eastAsia="zh-CN"/>
        </w:rPr>
        <w:t>等，</w:t>
      </w:r>
      <w:r>
        <w:rPr>
          <w:rFonts w:hint="eastAsia" w:ascii="仿宋" w:hAnsi="仿宋" w:eastAsia="仿宋" w:cs="仿宋"/>
          <w:color w:val="auto"/>
          <w:kern w:val="0"/>
          <w:sz w:val="24"/>
          <w:szCs w:val="24"/>
          <w:highlight w:val="none"/>
          <w:lang w:val="en-US" w:eastAsia="zh-CN" w:bidi="ar-SA"/>
        </w:rPr>
        <w:t>保障项目的高效实施。</w:t>
      </w:r>
    </w:p>
    <w:p w14:paraId="42895FD7">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7.2供应商应做好本项目的所有档案、数据管理工作。</w:t>
      </w:r>
    </w:p>
    <w:p w14:paraId="14EFEBCD">
      <w:pPr>
        <w:pStyle w:val="5"/>
        <w:bidi w:val="0"/>
        <w:rPr>
          <w:rFonts w:hint="eastAsia"/>
          <w:lang w:val="en-US" w:eastAsia="zh-CN"/>
        </w:rPr>
      </w:pPr>
      <w:r>
        <w:rPr>
          <w:rFonts w:hint="eastAsia"/>
          <w:lang w:val="en-US" w:eastAsia="zh-CN"/>
        </w:rPr>
        <w:t>四、项目组人员要求</w:t>
      </w:r>
    </w:p>
    <w:p w14:paraId="5266C8B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组要求设置项目负责人1人，策划专业人员不少于2人，活动组织、执行人员不少于10人。投标文件中提供拟派项目组人员配备方案，方案应包含拟派项目组团队组织架构、岗位设置与人员配置计划和整体安排。</w:t>
      </w:r>
    </w:p>
    <w:p w14:paraId="3D3D7D31">
      <w:pPr>
        <w:pStyle w:val="5"/>
        <w:bidi w:val="0"/>
        <w:rPr>
          <w:rFonts w:hint="eastAsia"/>
          <w:lang w:val="en-US" w:eastAsia="zh-CN"/>
        </w:rPr>
      </w:pPr>
      <w:r>
        <w:rPr>
          <w:rFonts w:hint="eastAsia"/>
          <w:lang w:val="en-US" w:eastAsia="zh-CN"/>
        </w:rPr>
        <w:t>五、文娱健身活动安排要求</w:t>
      </w:r>
    </w:p>
    <w:p w14:paraId="3172855F">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.1制定文娱健身活动开展的工作程序和步骤、活动过程中的管理和协调方法、相关服务保障措施。</w:t>
      </w:r>
    </w:p>
    <w:p w14:paraId="64F580B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.2文娱健身活动方案：活动种类多样、可操作性强。供应商在响应文件中需提供不少于5种详细的多种类活动方案（包括但不限于活动类型、组织方式、活动时间、参加人数等）供采购人选择。</w:t>
      </w:r>
    </w:p>
    <w:p w14:paraId="42D678BF">
      <w:pPr>
        <w:pStyle w:val="2"/>
        <w:rPr>
          <w:rFonts w:hint="eastAsia" w:ascii="仿宋" w:hAnsi="仿宋" w:eastAsia="仿宋" w:cs="宋体"/>
          <w:snapToGrid w:val="0"/>
          <w:color w:val="auto"/>
          <w:kern w:val="0"/>
          <w:sz w:val="24"/>
          <w:highlight w:val="none"/>
          <w:lang w:val="en-US"/>
        </w:rPr>
      </w:pPr>
    </w:p>
    <w:p w14:paraId="3B7AE510">
      <w:pPr>
        <w:pStyle w:val="2"/>
        <w:rPr>
          <w:rFonts w:hint="eastAsia" w:ascii="仿宋" w:hAnsi="仿宋" w:eastAsia="仿宋" w:cs="宋体"/>
          <w:snapToGrid w:val="0"/>
          <w:color w:val="auto"/>
          <w:kern w:val="0"/>
          <w:sz w:val="24"/>
          <w:highlight w:val="none"/>
          <w:lang w:val="en-US"/>
        </w:rPr>
      </w:pPr>
    </w:p>
    <w:p w14:paraId="48B32EB5">
      <w:pPr>
        <w:pStyle w:val="2"/>
        <w:rPr>
          <w:rFonts w:hint="eastAsia" w:ascii="仿宋" w:hAnsi="仿宋" w:eastAsia="仿宋" w:cs="宋体"/>
          <w:snapToGrid w:val="0"/>
          <w:color w:val="auto"/>
          <w:kern w:val="0"/>
          <w:sz w:val="24"/>
          <w:highlight w:val="none"/>
          <w:lang w:val="en-US"/>
        </w:rPr>
      </w:pPr>
    </w:p>
    <w:p w14:paraId="7C870CB0">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.3活动场地及设施设备：文娱健身活动须安排在街道辖区场地组织，开展活动前，供应商应落实活动场地、确保活动场地的安全可靠，并报采购人确认。活动所需的配套设施设备应符合活动要求。</w:t>
      </w:r>
    </w:p>
    <w:p w14:paraId="287979E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.4企退人员组织安排：供应商对活动开展过程中（包括报名、活动签到、活动结束人员统计）制定详细的活动人员组织安排方案。</w:t>
      </w:r>
    </w:p>
    <w:p w14:paraId="4394F49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.5供应商须为活动的组织方，委托第三方机构组织活动将不予接受。</w:t>
      </w:r>
    </w:p>
    <w:p w14:paraId="1884F778">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.6活动策划需体现活动宣传标语内容，活动结束后为采购人提供活动宣传素材。</w:t>
      </w:r>
    </w:p>
    <w:p w14:paraId="04A60AC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.7活动组织方式：企退人员自行至目的地。</w:t>
      </w:r>
    </w:p>
    <w:p w14:paraId="42294AB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.8企退人员活动时间：自由选择。</w:t>
      </w:r>
    </w:p>
    <w:p w14:paraId="7DA311EF">
      <w:pPr>
        <w:pStyle w:val="5"/>
        <w:bidi w:val="0"/>
        <w:rPr>
          <w:rFonts w:hint="eastAsia"/>
          <w:lang w:val="en-US" w:eastAsia="zh-CN"/>
        </w:rPr>
      </w:pPr>
      <w:r>
        <w:rPr>
          <w:rFonts w:hint="eastAsia"/>
          <w:lang w:val="en-US" w:eastAsia="zh-CN"/>
        </w:rPr>
        <w:t>六、参观游览的活动安排要求</w:t>
      </w:r>
    </w:p>
    <w:p w14:paraId="3283025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.1制定游览活动开展的工作程序和步骤、活动过程中的管理和协调方法、相关服务保障措施。</w:t>
      </w:r>
    </w:p>
    <w:p w14:paraId="4336E7AF">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2一般上午就近集中出发，中午集中就餐，下午结束后返回出发点，具体线路与景点由供应商按照街道退休职工现况以及以往类似活动经验给出方案，在响应文件中明确，活动全程不允许进行任何形式的商业推广产品促销。</w:t>
      </w:r>
    </w:p>
    <w:p w14:paraId="6F5F3167">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.3提供不少于5条外出参观游览方案，具体线路、景点由供应商自行设计，需详细说明线路，标明点与点的行程距离、地理位置及所耗交通时间与景点参观时长；</w:t>
      </w:r>
    </w:p>
    <w:p w14:paraId="4E8EADA9">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.4交通：全程空调旅游车接送。</w:t>
      </w:r>
    </w:p>
    <w:p w14:paraId="125807B7">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eastAsia="zh-CN"/>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.5车辆配备情况：供应商</w:t>
      </w:r>
      <w:r>
        <w:rPr>
          <w:rFonts w:hint="eastAsia" w:ascii="仿宋" w:hAnsi="仿宋" w:eastAsia="仿宋" w:cs="宋体"/>
          <w:snapToGrid w:val="0"/>
          <w:color w:val="auto"/>
          <w:kern w:val="0"/>
          <w:sz w:val="24"/>
          <w:highlight w:val="none"/>
          <w:lang w:val="en-US" w:eastAsia="zh-CN"/>
        </w:rPr>
        <w:t>提供的</w:t>
      </w:r>
      <w:r>
        <w:rPr>
          <w:rFonts w:hint="eastAsia" w:ascii="仿宋" w:hAnsi="仿宋" w:eastAsia="仿宋" w:cs="宋体"/>
          <w:snapToGrid w:val="0"/>
          <w:color w:val="auto"/>
          <w:kern w:val="0"/>
          <w:sz w:val="24"/>
          <w:highlight w:val="none"/>
          <w:lang w:val="en-US"/>
        </w:rPr>
        <w:t>车辆需配备冷暖空调、车内摄像监控装置</w:t>
      </w:r>
      <w:r>
        <w:rPr>
          <w:rFonts w:hint="eastAsia" w:ascii="仿宋" w:hAnsi="仿宋" w:eastAsia="仿宋" w:cs="宋体"/>
          <w:snapToGrid w:val="0"/>
          <w:color w:val="auto"/>
          <w:kern w:val="0"/>
          <w:sz w:val="24"/>
          <w:highlight w:val="none"/>
          <w:lang w:val="en-US" w:eastAsia="zh-CN"/>
        </w:rPr>
        <w:t>等</w:t>
      </w:r>
      <w:r>
        <w:rPr>
          <w:rFonts w:hint="eastAsia" w:ascii="仿宋" w:hAnsi="仿宋" w:eastAsia="仿宋" w:cs="宋体"/>
          <w:snapToGrid w:val="0"/>
          <w:color w:val="auto"/>
          <w:kern w:val="0"/>
          <w:sz w:val="24"/>
          <w:highlight w:val="none"/>
          <w:lang w:val="en-US"/>
        </w:rPr>
        <w:t>；行驶里程不超过6万公里。</w:t>
      </w:r>
      <w:r>
        <w:rPr>
          <w:rFonts w:hint="eastAsia" w:ascii="仿宋" w:hAnsi="仿宋" w:eastAsia="仿宋" w:cs="宋体"/>
          <w:snapToGrid w:val="0"/>
          <w:color w:val="auto"/>
          <w:kern w:val="0"/>
          <w:sz w:val="24"/>
          <w:highlight w:val="none"/>
          <w:lang w:val="en-US" w:eastAsia="zh-CN"/>
        </w:rPr>
        <w:t xml:space="preserve"> </w:t>
      </w:r>
    </w:p>
    <w:p w14:paraId="6AA4687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.6门票：包含。如因出行人员身体不适等原因未进入景区的,结算时须退还相应实际门市票价。</w:t>
      </w:r>
    </w:p>
    <w:p w14:paraId="3F014EA6">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.7用餐：一般10人一桌，午餐一餐，不应低于</w:t>
      </w: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0元/人标准</w:t>
      </w:r>
      <w:r>
        <w:rPr>
          <w:rFonts w:hint="eastAsia" w:ascii="仿宋" w:hAnsi="仿宋" w:eastAsia="仿宋" w:cs="宋体"/>
          <w:snapToGrid w:val="0"/>
          <w:color w:val="auto"/>
          <w:kern w:val="0"/>
          <w:sz w:val="24"/>
          <w:highlight w:val="none"/>
          <w:lang w:val="en-US" w:eastAsia="zh-CN"/>
        </w:rPr>
        <w:t>（</w:t>
      </w:r>
      <w:r>
        <w:rPr>
          <w:rFonts w:hint="eastAsia" w:ascii="仿宋" w:hAnsi="仿宋" w:eastAsia="仿宋" w:cs="宋体"/>
          <w:snapToGrid w:val="0"/>
          <w:color w:val="auto"/>
          <w:kern w:val="0"/>
          <w:sz w:val="24"/>
          <w:highlight w:val="none"/>
          <w:lang w:val="en-US"/>
        </w:rPr>
        <w:t>在</w:t>
      </w:r>
      <w:r>
        <w:rPr>
          <w:rFonts w:hint="eastAsia" w:ascii="仿宋" w:hAnsi="仿宋" w:eastAsia="仿宋" w:cs="宋体"/>
          <w:snapToGrid w:val="0"/>
          <w:color w:val="auto"/>
          <w:kern w:val="0"/>
          <w:sz w:val="24"/>
          <w:highlight w:val="none"/>
          <w:lang w:val="en-US" w:eastAsia="zh-CN"/>
        </w:rPr>
        <w:t>投标</w:t>
      </w:r>
      <w:r>
        <w:rPr>
          <w:rFonts w:hint="eastAsia" w:ascii="仿宋" w:hAnsi="仿宋" w:eastAsia="仿宋" w:cs="宋体"/>
          <w:snapToGrid w:val="0"/>
          <w:color w:val="auto"/>
          <w:kern w:val="0"/>
          <w:sz w:val="24"/>
          <w:highlight w:val="none"/>
          <w:lang w:val="en-US"/>
        </w:rPr>
        <w:t>文件中明确菜单</w:t>
      </w:r>
      <w:r>
        <w:rPr>
          <w:rFonts w:hint="eastAsia" w:ascii="仿宋" w:hAnsi="仿宋" w:eastAsia="仿宋" w:cs="宋体"/>
          <w:snapToGrid w:val="0"/>
          <w:color w:val="auto"/>
          <w:kern w:val="0"/>
          <w:sz w:val="24"/>
          <w:highlight w:val="none"/>
          <w:lang w:val="en-US" w:eastAsia="zh-CN"/>
        </w:rPr>
        <w:t>）</w:t>
      </w:r>
      <w:r>
        <w:rPr>
          <w:rFonts w:hint="eastAsia" w:ascii="仿宋" w:hAnsi="仿宋" w:eastAsia="仿宋" w:cs="宋体"/>
          <w:snapToGrid w:val="0"/>
          <w:color w:val="auto"/>
          <w:kern w:val="0"/>
          <w:sz w:val="24"/>
          <w:highlight w:val="none"/>
          <w:lang w:val="en-US"/>
        </w:rPr>
        <w:t xml:space="preserve">，供应商需提供合适餐厅，菜肴和口味适合老年人，保证食品卫生及质量，适配各出行方案线路。 </w:t>
      </w:r>
      <w:r>
        <w:rPr>
          <w:rFonts w:hint="eastAsia" w:ascii="仿宋" w:hAnsi="仿宋" w:eastAsia="仿宋" w:cs="宋体"/>
          <w:snapToGrid w:val="0"/>
          <w:color w:val="auto"/>
          <w:kern w:val="0"/>
          <w:sz w:val="24"/>
          <w:highlight w:val="none"/>
          <w:lang w:val="en-US"/>
        </w:rPr>
        <w:cr/>
      </w:r>
      <w:r>
        <w:rPr>
          <w:rFonts w:hint="eastAsia" w:ascii="仿宋" w:hAnsi="仿宋" w:eastAsia="仿宋" w:cs="宋体"/>
          <w:snapToGrid w:val="0"/>
          <w:color w:val="auto"/>
          <w:kern w:val="0"/>
          <w:sz w:val="24"/>
          <w:highlight w:val="none"/>
          <w:lang w:val="en-US"/>
        </w:rPr>
        <w:t xml:space="preserve">    </w:t>
      </w: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.8导游：具有导游资格证，并且有2年以上带团经验，导游全程陪同讲解。</w:t>
      </w:r>
    </w:p>
    <w:p w14:paraId="41D2EE3B">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.9驾驶员：驾驶员具备5年以上驾驶经验，服务态度好、技术好，确保行程安全，驾驶员服务期间要求统一着装。</w:t>
      </w:r>
    </w:p>
    <w:p w14:paraId="7D52A45E">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.10购物：全程不进购物点，无需要自费的景点或活动。</w:t>
      </w:r>
    </w:p>
    <w:p w14:paraId="3E092D33">
      <w:pPr>
        <w:snapToGrid w:val="0"/>
        <w:spacing w:line="480" w:lineRule="exact"/>
        <w:ind w:firstLine="480"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.11保障：车上应确保每人至少1瓶500ml矿泉水/纯净水。</w:t>
      </w:r>
    </w:p>
    <w:p w14:paraId="6DA7B678">
      <w:pPr>
        <w:pStyle w:val="5"/>
        <w:bidi w:val="0"/>
        <w:rPr>
          <w:rFonts w:hint="default"/>
          <w:lang w:val="en-US" w:eastAsia="zh-CN"/>
        </w:rPr>
      </w:pPr>
      <w:r>
        <w:rPr>
          <w:rFonts w:hint="eastAsia"/>
          <w:lang w:val="en-US" w:eastAsia="zh-CN"/>
        </w:rPr>
        <w:t>七、商务需求</w:t>
      </w:r>
    </w:p>
    <w:p w14:paraId="41303728">
      <w:pPr>
        <w:pStyle w:val="62"/>
        <w:keepNext w:val="0"/>
        <w:keepLines w:val="0"/>
        <w:pageBreakBefore w:val="0"/>
        <w:widowControl w:val="0"/>
        <w:kinsoku/>
        <w:wordWrap/>
        <w:overflowPunct/>
        <w:topLinePunct w:val="0"/>
        <w:bidi w:val="0"/>
        <w:snapToGrid w:val="0"/>
        <w:spacing w:beforeLines="0" w:after="0" w:afterLines="0" w:line="360" w:lineRule="auto"/>
        <w:ind w:left="0" w:leftChars="0" w:firstLine="464"/>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（一）报价要求：</w:t>
      </w:r>
      <w:r>
        <w:rPr>
          <w:rFonts w:hint="eastAsia" w:ascii="仿宋" w:hAnsi="仿宋" w:eastAsia="仿宋" w:cs="仿宋"/>
          <w:color w:val="auto"/>
          <w:sz w:val="24"/>
          <w:szCs w:val="24"/>
          <w:highlight w:val="none"/>
          <w:lang w:val="en-US" w:eastAsia="zh-CN"/>
        </w:rPr>
        <w:t>详见须知前附表。本项目报价不竞争。</w:t>
      </w:r>
    </w:p>
    <w:p w14:paraId="39967338">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highlight w:val="none"/>
        </w:rPr>
        <w:t>▲（二）</w:t>
      </w:r>
      <w:r>
        <w:rPr>
          <w:rFonts w:hint="eastAsia" w:ascii="仿宋" w:hAnsi="仿宋" w:eastAsia="仿宋" w:cs="仿宋"/>
          <w:b w:val="0"/>
          <w:bCs w:val="0"/>
          <w:color w:val="auto"/>
          <w:sz w:val="24"/>
          <w:szCs w:val="24"/>
          <w:highlight w:val="none"/>
          <w:lang w:val="en-US" w:eastAsia="zh-CN"/>
        </w:rPr>
        <w:t>付款方式</w:t>
      </w:r>
    </w:p>
    <w:p w14:paraId="19F573C5">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合同签订后</w:t>
      </w:r>
      <w:r>
        <w:rPr>
          <w:rFonts w:hint="eastAsia" w:ascii="仿宋" w:hAnsi="仿宋" w:eastAsia="仿宋" w:cs="仿宋"/>
          <w:color w:val="auto"/>
          <w:sz w:val="24"/>
          <w:highlight w:val="none"/>
          <w:lang w:val="en-US" w:eastAsia="zh-CN"/>
        </w:rPr>
        <w:t>中标人</w:t>
      </w:r>
      <w:r>
        <w:rPr>
          <w:rFonts w:hint="default" w:ascii="仿宋" w:hAnsi="仿宋" w:eastAsia="仿宋" w:cs="仿宋"/>
          <w:color w:val="auto"/>
          <w:sz w:val="24"/>
          <w:highlight w:val="none"/>
          <w:lang w:val="en-US" w:eastAsia="zh-CN"/>
        </w:rPr>
        <w:t>按规定启动项目</w:t>
      </w:r>
      <w:r>
        <w:rPr>
          <w:rFonts w:hint="eastAsia" w:ascii="仿宋" w:hAnsi="仿宋" w:eastAsia="仿宋" w:cs="仿宋"/>
          <w:color w:val="auto"/>
          <w:sz w:val="24"/>
          <w:highlight w:val="none"/>
          <w:lang w:val="en-US" w:eastAsia="zh-CN"/>
        </w:rPr>
        <w:t>，</w:t>
      </w:r>
      <w:r>
        <w:rPr>
          <w:rFonts w:hint="default" w:ascii="仿宋" w:hAnsi="仿宋" w:eastAsia="仿宋" w:cs="仿宋"/>
          <w:color w:val="auto"/>
          <w:sz w:val="24"/>
          <w:highlight w:val="none"/>
          <w:lang w:val="en-US" w:eastAsia="zh-CN"/>
        </w:rPr>
        <w:t>服务至2025年9月30日后的20个工作日内支付合同价的40%；合同服务期结束、履约验收通过后，根据参加活动实际人数支付剩余款项，但结算总价上限不得超过预算金额。付款前</w:t>
      </w:r>
      <w:r>
        <w:rPr>
          <w:rFonts w:hint="eastAsia" w:ascii="仿宋" w:hAnsi="仿宋" w:eastAsia="仿宋" w:cs="仿宋"/>
          <w:color w:val="auto"/>
          <w:sz w:val="24"/>
          <w:highlight w:val="none"/>
          <w:lang w:val="en-US" w:eastAsia="zh-CN"/>
        </w:rPr>
        <w:t>中标人</w:t>
      </w:r>
      <w:r>
        <w:rPr>
          <w:rFonts w:hint="default" w:ascii="仿宋" w:hAnsi="仿宋" w:eastAsia="仿宋" w:cs="仿宋"/>
          <w:color w:val="auto"/>
          <w:sz w:val="24"/>
          <w:highlight w:val="none"/>
          <w:lang w:val="en-US" w:eastAsia="zh-CN"/>
        </w:rPr>
        <w:t>需开具增值税发票。</w:t>
      </w:r>
    </w:p>
    <w:p w14:paraId="6931BFF6">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（三）履约保证金(本项目不设置）</w:t>
      </w:r>
    </w:p>
    <w:p w14:paraId="14F12677">
      <w:pPr>
        <w:pStyle w:val="5"/>
        <w:bidi w:val="0"/>
        <w:rPr>
          <w:rFonts w:hint="default"/>
          <w:lang w:val="en-US" w:eastAsia="zh-CN"/>
        </w:rPr>
      </w:pPr>
      <w:r>
        <w:rPr>
          <w:rFonts w:hint="eastAsia"/>
          <w:lang w:val="en-US" w:eastAsia="zh-CN"/>
        </w:rPr>
        <w:t>八、验收</w:t>
      </w:r>
    </w:p>
    <w:p w14:paraId="440545BF">
      <w:pPr>
        <w:pStyle w:val="24"/>
        <w:ind w:firstLine="240" w:firstLineChars="100"/>
        <w:outlineLvl w:val="9"/>
        <w:rPr>
          <w:rFonts w:ascii="仿宋" w:hAnsi="仿宋" w:eastAsia="仿宋" w:cs="宋体"/>
          <w:b w:val="0"/>
          <w:bCs/>
          <w:color w:val="auto"/>
          <w:szCs w:val="24"/>
          <w:highlight w:val="none"/>
          <w:lang w:val="en-US"/>
        </w:rPr>
      </w:pPr>
      <w:r>
        <w:rPr>
          <w:rFonts w:hint="eastAsia" w:ascii="仿宋" w:hAnsi="仿宋" w:eastAsia="仿宋" w:cs="宋体"/>
          <w:b w:val="0"/>
          <w:bCs/>
          <w:color w:val="auto"/>
          <w:szCs w:val="24"/>
          <w:highlight w:val="none"/>
          <w:lang w:val="en-US" w:eastAsia="zh-CN"/>
        </w:rPr>
        <w:t>1.</w:t>
      </w:r>
      <w:r>
        <w:rPr>
          <w:rFonts w:hint="eastAsia" w:ascii="仿宋" w:hAnsi="仿宋" w:eastAsia="仿宋" w:cs="宋体"/>
          <w:b w:val="0"/>
          <w:bCs/>
          <w:color w:val="auto"/>
          <w:szCs w:val="24"/>
          <w:highlight w:val="none"/>
          <w:lang w:val="en-US"/>
        </w:rPr>
        <w:t>验收标准</w:t>
      </w:r>
    </w:p>
    <w:p w14:paraId="63991670">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1）满足所有采购需求及投标文件承诺；</w:t>
      </w:r>
    </w:p>
    <w:p w14:paraId="20F2C12D">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2）拟投服务团队管理人员全部到位，与响应文件人员信息清单一致（经采购人同意更换的除外）；</w:t>
      </w:r>
    </w:p>
    <w:p w14:paraId="3FEAF26E">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3）项目验收资料齐全；</w:t>
      </w:r>
    </w:p>
    <w:p w14:paraId="37A448B7">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2.履约验收内容</w:t>
      </w:r>
    </w:p>
    <w:p w14:paraId="0A8C3BBD">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1）技术履约内容</w:t>
      </w:r>
    </w:p>
    <w:p w14:paraId="112A09BC">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①满足所有采购需求及响应文件承诺；</w:t>
      </w:r>
    </w:p>
    <w:p w14:paraId="400E4765">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②拟投服务团队管理人员全部到位，与响应文件人员信息清单一致（经采购人同意更换的除外）；</w:t>
      </w:r>
    </w:p>
    <w:p w14:paraId="0CFC6B25">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2）商务履约内容</w:t>
      </w:r>
    </w:p>
    <w:p w14:paraId="1E255613">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中标人服务成果未通过采购人验收，采购人有权要求中标人进行整改，相关费用（包括但不限于重新组织验收等费用）由中标人承担；如中标人未在采购人要求的期限内整改或整改后仍不合格或已经无法整改的，采购人有权要求中标人承担相应的违约责任。</w:t>
      </w:r>
    </w:p>
    <w:p w14:paraId="7472D86F">
      <w:pPr>
        <w:pStyle w:val="5"/>
        <w:bidi w:val="0"/>
        <w:rPr>
          <w:rFonts w:hint="default"/>
          <w:lang w:val="en-US" w:eastAsia="zh-CN"/>
        </w:rPr>
      </w:pPr>
      <w:r>
        <w:rPr>
          <w:rFonts w:hint="eastAsia"/>
          <w:lang w:val="en-US" w:eastAsia="zh-CN"/>
        </w:rPr>
        <w:t>九、违约</w:t>
      </w:r>
    </w:p>
    <w:p w14:paraId="5F268612">
      <w:pPr>
        <w:tabs>
          <w:tab w:val="left" w:pos="0"/>
        </w:tabs>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自行承担，采购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在被服务的企退人员索赔时不承担任何责任。</w:t>
      </w:r>
    </w:p>
    <w:p w14:paraId="60400531">
      <w:pPr>
        <w:pStyle w:val="2"/>
        <w:rPr>
          <w:rFonts w:hint="eastAsia"/>
          <w:color w:val="auto"/>
          <w:highlight w:val="none"/>
        </w:rPr>
      </w:pPr>
      <w:r>
        <w:rPr>
          <w:rFonts w:hint="eastAsia" w:ascii="仿宋" w:hAnsi="仿宋" w:eastAsia="仿宋" w:cs="仿宋"/>
          <w:color w:val="auto"/>
          <w:kern w:val="0"/>
          <w:sz w:val="24"/>
          <w:highlight w:val="none"/>
          <w:lang w:val="en-US" w:eastAsia="zh-CN"/>
        </w:rPr>
        <w:t>合同履行期间若接到来信来电等投诉经查实，每次扣500元。若被新闻媒体曝光经查实，每次扣3000元，累计2次曝光的采购人有权单方面终止合同，中标人须承担由此产生的相关责任与损失。</w:t>
      </w:r>
    </w:p>
    <w:p w14:paraId="49CA5191">
      <w:pPr>
        <w:pStyle w:val="62"/>
        <w:numPr>
          <w:ilvl w:val="255"/>
          <w:numId w:val="0"/>
        </w:numPr>
        <w:snapToGrid w:val="0"/>
        <w:spacing w:beforeLines="0" w:after="0" w:afterLines="0" w:line="360" w:lineRule="auto"/>
        <w:ind w:left="0" w:leftChars="0" w:firstLine="480" w:firstLineChars="200"/>
        <w:rPr>
          <w:rFonts w:hint="eastAsia" w:ascii="仿宋" w:hAnsi="仿宋" w:eastAsia="仿宋" w:cs="仿宋"/>
          <w:color w:val="auto"/>
          <w:sz w:val="24"/>
          <w:highlight w:val="none"/>
          <w:lang w:val="en-US" w:eastAsia="zh-CN"/>
        </w:rPr>
      </w:pPr>
    </w:p>
    <w:p w14:paraId="4F2D6566">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p>
    <w:bookmarkEnd w:id="53"/>
    <w:bookmarkEnd w:id="54"/>
    <w:bookmarkEnd w:id="55"/>
    <w:bookmarkEnd w:id="56"/>
    <w:p w14:paraId="5D9A2B4F">
      <w:pPr>
        <w:wordWrap w:val="0"/>
        <w:snapToGrid w:val="0"/>
        <w:spacing w:beforeLines="0" w:afterLines="0" w:line="360" w:lineRule="auto"/>
        <w:ind w:firstLine="480" w:firstLineChars="200"/>
        <w:rPr>
          <w:rFonts w:ascii="仿宋" w:hAnsi="仿宋" w:eastAsia="仿宋" w:cs="仿宋"/>
          <w:color w:val="auto"/>
          <w:sz w:val="24"/>
          <w:highlight w:val="none"/>
        </w:rPr>
      </w:pPr>
    </w:p>
    <w:p w14:paraId="062F9A71">
      <w:pPr>
        <w:wordWrap w:val="0"/>
        <w:snapToGrid w:val="0"/>
        <w:spacing w:beforeLines="0" w:afterLines="0" w:line="360" w:lineRule="auto"/>
        <w:jc w:val="center"/>
        <w:outlineLvl w:val="0"/>
        <w:rPr>
          <w:rFonts w:ascii="仿宋" w:hAnsi="仿宋" w:eastAsia="仿宋" w:cs="仿宋"/>
          <w:b/>
          <w:color w:val="auto"/>
          <w:sz w:val="36"/>
          <w:szCs w:val="36"/>
          <w:highlight w:val="none"/>
        </w:rPr>
        <w:sectPr>
          <w:footerReference r:id="rId11" w:type="first"/>
          <w:headerReference r:id="rId9" w:type="default"/>
          <w:footerReference r:id="rId10" w:type="default"/>
          <w:pgSz w:w="11905" w:h="16838"/>
          <w:pgMar w:top="652" w:right="1417" w:bottom="680" w:left="1417" w:header="539" w:footer="425" w:gutter="0"/>
          <w:pgNumType w:fmt="decimal"/>
          <w:cols w:space="0" w:num="1"/>
          <w:titlePg/>
        </w:sectPr>
      </w:pPr>
      <w:bookmarkStart w:id="62" w:name="_Toc27989"/>
      <w:bookmarkStart w:id="63" w:name="_Toc14411"/>
    </w:p>
    <w:p w14:paraId="121F62E0">
      <w:pPr>
        <w:pStyle w:val="3"/>
        <w:bidi w:val="0"/>
      </w:pPr>
      <w:r>
        <w:rPr>
          <w:rFonts w:hint="eastAsia"/>
        </w:rPr>
        <w:t xml:space="preserve">第四部分 </w:t>
      </w:r>
      <w:bookmarkStart w:id="64" w:name="_Toc184308065"/>
      <w:bookmarkEnd w:id="64"/>
      <w:bookmarkStart w:id="65" w:name="_Toc184313243"/>
      <w:bookmarkEnd w:id="65"/>
      <w:bookmarkStart w:id="66" w:name="_Toc184308088"/>
      <w:bookmarkEnd w:id="66"/>
      <w:bookmarkStart w:id="67" w:name="_Toc184313244"/>
      <w:bookmarkEnd w:id="67"/>
      <w:bookmarkStart w:id="68" w:name="_Toc184314422"/>
      <w:bookmarkEnd w:id="68"/>
      <w:bookmarkStart w:id="69" w:name="_Toc184314464"/>
      <w:bookmarkEnd w:id="69"/>
      <w:bookmarkStart w:id="70" w:name="_Toc184314471"/>
      <w:bookmarkEnd w:id="70"/>
      <w:bookmarkStart w:id="71" w:name="_Toc184312137"/>
      <w:bookmarkEnd w:id="71"/>
      <w:bookmarkStart w:id="72" w:name="_Toc184308037"/>
      <w:bookmarkEnd w:id="72"/>
      <w:bookmarkStart w:id="73" w:name="_Toc184310325"/>
      <w:bookmarkEnd w:id="73"/>
      <w:bookmarkStart w:id="74" w:name="_Toc184312068"/>
      <w:bookmarkEnd w:id="74"/>
      <w:bookmarkStart w:id="75" w:name="_Toc184314458"/>
      <w:bookmarkEnd w:id="75"/>
      <w:bookmarkStart w:id="76" w:name="_Toc184312109"/>
      <w:bookmarkEnd w:id="76"/>
      <w:bookmarkStart w:id="77" w:name="_Toc184308103"/>
      <w:bookmarkEnd w:id="77"/>
      <w:bookmarkStart w:id="78" w:name="_Toc184310341"/>
      <w:bookmarkEnd w:id="78"/>
      <w:bookmarkStart w:id="79" w:name="_Toc184312118"/>
      <w:bookmarkEnd w:id="79"/>
      <w:bookmarkStart w:id="80" w:name="_Toc184308075"/>
      <w:bookmarkEnd w:id="80"/>
      <w:bookmarkStart w:id="81" w:name="_Toc184310321"/>
      <w:bookmarkEnd w:id="81"/>
      <w:bookmarkStart w:id="82" w:name="_Toc184312084"/>
      <w:bookmarkEnd w:id="82"/>
      <w:bookmarkStart w:id="83" w:name="_Toc184310326"/>
      <w:bookmarkEnd w:id="83"/>
      <w:bookmarkStart w:id="84" w:name="_Toc184312115"/>
      <w:bookmarkEnd w:id="84"/>
      <w:bookmarkStart w:id="85" w:name="_Toc184313293"/>
      <w:bookmarkEnd w:id="85"/>
      <w:bookmarkStart w:id="86" w:name="_Toc184310300"/>
      <w:bookmarkEnd w:id="86"/>
      <w:bookmarkStart w:id="87" w:name="_Toc184312069"/>
      <w:bookmarkEnd w:id="87"/>
      <w:bookmarkStart w:id="88" w:name="_Toc184312074"/>
      <w:bookmarkEnd w:id="88"/>
      <w:bookmarkStart w:id="89" w:name="_Toc184314428"/>
      <w:bookmarkEnd w:id="89"/>
      <w:bookmarkStart w:id="90" w:name="_Toc184313287"/>
      <w:bookmarkEnd w:id="90"/>
      <w:bookmarkStart w:id="91" w:name="_Toc184310340"/>
      <w:bookmarkEnd w:id="91"/>
      <w:bookmarkStart w:id="92" w:name="_Toc184314440"/>
      <w:bookmarkEnd w:id="92"/>
      <w:bookmarkStart w:id="93" w:name="_Toc184313290"/>
      <w:bookmarkEnd w:id="93"/>
      <w:bookmarkStart w:id="94" w:name="_Toc184312080"/>
      <w:bookmarkEnd w:id="94"/>
      <w:bookmarkStart w:id="95" w:name="_Toc184310311"/>
      <w:bookmarkEnd w:id="95"/>
      <w:bookmarkStart w:id="96" w:name="_Toc184314413"/>
      <w:bookmarkEnd w:id="96"/>
      <w:bookmarkStart w:id="97" w:name="_Toc184308064"/>
      <w:bookmarkEnd w:id="97"/>
      <w:bookmarkStart w:id="98" w:name="_Toc184314442"/>
      <w:bookmarkEnd w:id="98"/>
      <w:bookmarkStart w:id="99" w:name="_Toc184310298"/>
      <w:bookmarkEnd w:id="99"/>
      <w:bookmarkStart w:id="100" w:name="_Toc184313264"/>
      <w:bookmarkEnd w:id="100"/>
      <w:bookmarkStart w:id="101" w:name="_Toc184312130"/>
      <w:bookmarkEnd w:id="101"/>
      <w:bookmarkStart w:id="102" w:name="_Toc184314472"/>
      <w:bookmarkEnd w:id="102"/>
      <w:bookmarkStart w:id="103" w:name="_Toc184312076"/>
      <w:bookmarkEnd w:id="103"/>
      <w:bookmarkStart w:id="104" w:name="_Toc184312103"/>
      <w:bookmarkEnd w:id="104"/>
      <w:bookmarkStart w:id="105" w:name="_Toc184310310"/>
      <w:bookmarkEnd w:id="105"/>
      <w:bookmarkStart w:id="106" w:name="_Toc184310330"/>
      <w:bookmarkEnd w:id="106"/>
      <w:bookmarkStart w:id="107" w:name="_Toc184308107"/>
      <w:bookmarkEnd w:id="107"/>
      <w:bookmarkStart w:id="108" w:name="_Toc184312139"/>
      <w:bookmarkEnd w:id="108"/>
      <w:bookmarkStart w:id="109" w:name="_Toc184308098"/>
      <w:bookmarkEnd w:id="109"/>
      <w:bookmarkStart w:id="110" w:name="_Toc184313278"/>
      <w:bookmarkEnd w:id="110"/>
      <w:bookmarkStart w:id="111" w:name="_Toc184312089"/>
      <w:bookmarkEnd w:id="111"/>
      <w:bookmarkStart w:id="112" w:name="_Toc184313281"/>
      <w:bookmarkEnd w:id="112"/>
      <w:bookmarkStart w:id="113" w:name="_Toc184308058"/>
      <w:bookmarkEnd w:id="113"/>
      <w:bookmarkStart w:id="114" w:name="_Toc184313299"/>
      <w:bookmarkEnd w:id="114"/>
      <w:bookmarkStart w:id="115" w:name="_Toc184310272"/>
      <w:bookmarkEnd w:id="115"/>
      <w:bookmarkStart w:id="116" w:name="_Toc184314481"/>
      <w:bookmarkEnd w:id="116"/>
      <w:bookmarkStart w:id="117" w:name="_Toc184308038"/>
      <w:bookmarkEnd w:id="117"/>
      <w:bookmarkStart w:id="118" w:name="_Toc184313275"/>
      <w:bookmarkEnd w:id="118"/>
      <w:bookmarkStart w:id="119" w:name="_Toc184312095"/>
      <w:bookmarkEnd w:id="119"/>
      <w:bookmarkStart w:id="120" w:name="_Toc184313296"/>
      <w:bookmarkEnd w:id="120"/>
      <w:bookmarkStart w:id="121" w:name="_Toc184312077"/>
      <w:bookmarkEnd w:id="121"/>
      <w:bookmarkStart w:id="122" w:name="_Toc184314426"/>
      <w:bookmarkEnd w:id="122"/>
      <w:bookmarkStart w:id="123" w:name="_Toc184308100"/>
      <w:bookmarkEnd w:id="123"/>
      <w:bookmarkStart w:id="124" w:name="_Toc184308084"/>
      <w:bookmarkEnd w:id="124"/>
      <w:bookmarkStart w:id="125" w:name="_Toc184313253"/>
      <w:bookmarkEnd w:id="125"/>
      <w:bookmarkStart w:id="126" w:name="_Toc184308068"/>
      <w:bookmarkEnd w:id="126"/>
      <w:bookmarkStart w:id="127" w:name="_Toc184312125"/>
      <w:bookmarkEnd w:id="127"/>
      <w:bookmarkStart w:id="128" w:name="_Toc184313295"/>
      <w:bookmarkEnd w:id="128"/>
      <w:bookmarkStart w:id="129" w:name="_Toc184308073"/>
      <w:bookmarkEnd w:id="129"/>
      <w:bookmarkStart w:id="130" w:name="_Toc184314436"/>
      <w:bookmarkEnd w:id="130"/>
      <w:bookmarkStart w:id="131" w:name="_Toc184310307"/>
      <w:bookmarkEnd w:id="131"/>
      <w:bookmarkStart w:id="132" w:name="_Toc184313302"/>
      <w:bookmarkEnd w:id="132"/>
      <w:bookmarkStart w:id="133" w:name="_Toc184308072"/>
      <w:bookmarkEnd w:id="133"/>
      <w:bookmarkStart w:id="134" w:name="_Toc184312132"/>
      <w:bookmarkEnd w:id="134"/>
      <w:bookmarkStart w:id="135" w:name="_Toc184312119"/>
      <w:bookmarkEnd w:id="135"/>
      <w:bookmarkStart w:id="136" w:name="_Toc184313258"/>
      <w:bookmarkEnd w:id="136"/>
      <w:bookmarkStart w:id="137" w:name="_Toc184313246"/>
      <w:bookmarkEnd w:id="137"/>
      <w:bookmarkStart w:id="138" w:name="_Toc184310317"/>
      <w:bookmarkEnd w:id="138"/>
      <w:bookmarkStart w:id="139" w:name="_Toc184310303"/>
      <w:bookmarkEnd w:id="139"/>
      <w:bookmarkStart w:id="140" w:name="_Toc184314445"/>
      <w:bookmarkEnd w:id="140"/>
      <w:bookmarkStart w:id="141" w:name="_Toc184308055"/>
      <w:bookmarkEnd w:id="141"/>
      <w:bookmarkStart w:id="142" w:name="_Toc184312073"/>
      <w:bookmarkEnd w:id="142"/>
      <w:bookmarkStart w:id="143" w:name="_Toc184314433"/>
      <w:bookmarkEnd w:id="143"/>
      <w:bookmarkStart w:id="144" w:name="_Toc184312082"/>
      <w:bookmarkEnd w:id="144"/>
      <w:bookmarkStart w:id="145" w:name="_Toc184310301"/>
      <w:bookmarkEnd w:id="145"/>
      <w:bookmarkStart w:id="146" w:name="_Toc184310275"/>
      <w:bookmarkEnd w:id="146"/>
      <w:bookmarkStart w:id="147" w:name="_Toc184314482"/>
      <w:bookmarkEnd w:id="147"/>
      <w:bookmarkStart w:id="148" w:name="_Toc184314441"/>
      <w:bookmarkEnd w:id="148"/>
      <w:bookmarkStart w:id="149" w:name="_Toc184308056"/>
      <w:bookmarkEnd w:id="149"/>
      <w:bookmarkStart w:id="150" w:name="_Toc184314431"/>
      <w:bookmarkEnd w:id="150"/>
      <w:bookmarkStart w:id="151" w:name="_Toc184313255"/>
      <w:bookmarkEnd w:id="151"/>
      <w:bookmarkStart w:id="152" w:name="_Toc184308067"/>
      <w:bookmarkEnd w:id="152"/>
      <w:bookmarkStart w:id="153" w:name="_Toc184310293"/>
      <w:bookmarkEnd w:id="153"/>
      <w:bookmarkStart w:id="154" w:name="_Toc184314421"/>
      <w:bookmarkEnd w:id="154"/>
      <w:bookmarkStart w:id="155" w:name="_Toc184312096"/>
      <w:bookmarkEnd w:id="155"/>
      <w:bookmarkStart w:id="156" w:name="_Toc184314446"/>
      <w:bookmarkEnd w:id="156"/>
      <w:bookmarkStart w:id="157" w:name="_Toc184313294"/>
      <w:bookmarkEnd w:id="157"/>
      <w:bookmarkStart w:id="158" w:name="_Toc184312085"/>
      <w:bookmarkEnd w:id="158"/>
      <w:bookmarkStart w:id="159" w:name="_Toc184310279"/>
      <w:bookmarkEnd w:id="159"/>
      <w:bookmarkStart w:id="160" w:name="_Toc184308039"/>
      <w:bookmarkEnd w:id="160"/>
      <w:bookmarkStart w:id="161" w:name="_Toc184308093"/>
      <w:bookmarkEnd w:id="161"/>
      <w:bookmarkStart w:id="162" w:name="_Toc184312098"/>
      <w:bookmarkEnd w:id="162"/>
      <w:bookmarkStart w:id="163" w:name="_Toc184308057"/>
      <w:bookmarkEnd w:id="163"/>
      <w:bookmarkStart w:id="164" w:name="_Toc184313279"/>
      <w:bookmarkEnd w:id="164"/>
      <w:bookmarkStart w:id="165" w:name="_Toc184313247"/>
      <w:bookmarkEnd w:id="165"/>
      <w:bookmarkStart w:id="166" w:name="_Toc184308045"/>
      <w:bookmarkEnd w:id="166"/>
      <w:bookmarkStart w:id="167" w:name="_Toc184308069"/>
      <w:bookmarkEnd w:id="167"/>
      <w:bookmarkStart w:id="168" w:name="_Toc184314412"/>
      <w:bookmarkEnd w:id="168"/>
      <w:bookmarkStart w:id="169" w:name="_Toc184310296"/>
      <w:bookmarkEnd w:id="169"/>
      <w:bookmarkStart w:id="170" w:name="_Toc184308085"/>
      <w:bookmarkEnd w:id="170"/>
      <w:bookmarkStart w:id="171" w:name="_Toc184312110"/>
      <w:bookmarkEnd w:id="171"/>
      <w:bookmarkStart w:id="172" w:name="_Toc184308047"/>
      <w:bookmarkEnd w:id="172"/>
      <w:bookmarkStart w:id="173" w:name="_Toc184313284"/>
      <w:bookmarkEnd w:id="173"/>
      <w:bookmarkStart w:id="174" w:name="_Toc184310292"/>
      <w:bookmarkEnd w:id="174"/>
      <w:bookmarkStart w:id="175" w:name="_Toc184314453"/>
      <w:bookmarkEnd w:id="175"/>
      <w:bookmarkStart w:id="176" w:name="_Toc184313271"/>
      <w:bookmarkEnd w:id="176"/>
      <w:bookmarkStart w:id="177" w:name="_Toc184312087"/>
      <w:bookmarkEnd w:id="177"/>
      <w:bookmarkStart w:id="178" w:name="_Toc184313297"/>
      <w:bookmarkEnd w:id="178"/>
      <w:bookmarkStart w:id="179" w:name="_Toc184308079"/>
      <w:bookmarkEnd w:id="179"/>
      <w:bookmarkStart w:id="180" w:name="_Toc184310297"/>
      <w:bookmarkEnd w:id="180"/>
      <w:bookmarkStart w:id="181" w:name="_Toc184314439"/>
      <w:bookmarkEnd w:id="181"/>
      <w:bookmarkStart w:id="182" w:name="_Toc184310331"/>
      <w:bookmarkEnd w:id="182"/>
      <w:bookmarkStart w:id="183" w:name="_Toc184312086"/>
      <w:bookmarkEnd w:id="183"/>
      <w:bookmarkStart w:id="184" w:name="_Toc184312097"/>
      <w:bookmarkEnd w:id="184"/>
      <w:bookmarkStart w:id="185" w:name="_Toc184310289"/>
      <w:bookmarkEnd w:id="185"/>
      <w:bookmarkStart w:id="186" w:name="_Toc184310278"/>
      <w:bookmarkEnd w:id="186"/>
      <w:bookmarkStart w:id="187" w:name="_Toc184312104"/>
      <w:bookmarkEnd w:id="187"/>
      <w:bookmarkStart w:id="188" w:name="_Toc184308082"/>
      <w:bookmarkEnd w:id="188"/>
      <w:bookmarkStart w:id="189" w:name="_Toc184312131"/>
      <w:bookmarkEnd w:id="189"/>
      <w:bookmarkStart w:id="190" w:name="_Toc184314467"/>
      <w:bookmarkEnd w:id="190"/>
      <w:bookmarkStart w:id="191" w:name="_Toc184308101"/>
      <w:bookmarkEnd w:id="191"/>
      <w:bookmarkStart w:id="192" w:name="_Toc184308052"/>
      <w:bookmarkEnd w:id="192"/>
      <w:bookmarkStart w:id="193" w:name="_Toc184314423"/>
      <w:bookmarkEnd w:id="193"/>
      <w:bookmarkStart w:id="194" w:name="_Toc184314437"/>
      <w:bookmarkEnd w:id="194"/>
      <w:bookmarkStart w:id="195" w:name="_Toc184314477"/>
      <w:bookmarkEnd w:id="195"/>
      <w:bookmarkStart w:id="196" w:name="_Toc184314459"/>
      <w:bookmarkEnd w:id="196"/>
      <w:bookmarkStart w:id="197" w:name="_Toc184312071"/>
      <w:bookmarkEnd w:id="197"/>
      <w:bookmarkStart w:id="198" w:name="_Toc184313265"/>
      <w:bookmarkEnd w:id="198"/>
      <w:bookmarkStart w:id="199" w:name="_Toc184308071"/>
      <w:bookmarkEnd w:id="199"/>
      <w:bookmarkStart w:id="200" w:name="_Toc184310329"/>
      <w:bookmarkEnd w:id="200"/>
      <w:bookmarkStart w:id="201" w:name="_Toc184314449"/>
      <w:bookmarkEnd w:id="201"/>
      <w:bookmarkStart w:id="202" w:name="_Toc184310318"/>
      <w:bookmarkEnd w:id="202"/>
      <w:bookmarkStart w:id="203" w:name="_Toc184310282"/>
      <w:bookmarkEnd w:id="203"/>
      <w:bookmarkStart w:id="204" w:name="_Toc184308044"/>
      <w:bookmarkEnd w:id="204"/>
      <w:bookmarkStart w:id="205" w:name="_Toc184310315"/>
      <w:bookmarkEnd w:id="205"/>
      <w:bookmarkStart w:id="206" w:name="_Toc184308086"/>
      <w:bookmarkEnd w:id="206"/>
      <w:bookmarkStart w:id="207" w:name="_Toc184312081"/>
      <w:bookmarkEnd w:id="207"/>
      <w:bookmarkStart w:id="208" w:name="_Toc184312114"/>
      <w:bookmarkEnd w:id="208"/>
      <w:bookmarkStart w:id="209" w:name="_Toc184310280"/>
      <w:bookmarkEnd w:id="209"/>
      <w:bookmarkStart w:id="210" w:name="_Toc184312127"/>
      <w:bookmarkEnd w:id="210"/>
      <w:bookmarkStart w:id="211" w:name="_Toc184312136"/>
      <w:bookmarkEnd w:id="211"/>
      <w:bookmarkStart w:id="212" w:name="_Toc184308036"/>
      <w:bookmarkEnd w:id="212"/>
      <w:bookmarkStart w:id="213" w:name="_Toc184312079"/>
      <w:bookmarkEnd w:id="213"/>
      <w:bookmarkStart w:id="214" w:name="_Toc184314452"/>
      <w:bookmarkEnd w:id="214"/>
      <w:bookmarkStart w:id="215" w:name="_Toc184308080"/>
      <w:bookmarkEnd w:id="215"/>
      <w:bookmarkStart w:id="216" w:name="_Toc184313280"/>
      <w:bookmarkEnd w:id="216"/>
      <w:bookmarkStart w:id="217" w:name="_Toc184308046"/>
      <w:bookmarkEnd w:id="217"/>
      <w:bookmarkStart w:id="218" w:name="_Toc184308070"/>
      <w:bookmarkEnd w:id="218"/>
      <w:bookmarkStart w:id="219" w:name="_Toc184313288"/>
      <w:bookmarkEnd w:id="219"/>
      <w:bookmarkStart w:id="220" w:name="_Toc184314434"/>
      <w:bookmarkEnd w:id="220"/>
      <w:bookmarkStart w:id="221" w:name="_Toc184313285"/>
      <w:bookmarkEnd w:id="221"/>
      <w:bookmarkStart w:id="222" w:name="_Toc184310287"/>
      <w:bookmarkEnd w:id="222"/>
      <w:bookmarkStart w:id="223" w:name="_Toc184313262"/>
      <w:bookmarkEnd w:id="223"/>
      <w:bookmarkStart w:id="224" w:name="_Toc184314478"/>
      <w:bookmarkEnd w:id="224"/>
      <w:bookmarkStart w:id="225" w:name="_Toc184308060"/>
      <w:bookmarkEnd w:id="225"/>
      <w:bookmarkStart w:id="226" w:name="_Toc184314466"/>
      <w:bookmarkEnd w:id="226"/>
      <w:bookmarkStart w:id="227" w:name="_Toc184312124"/>
      <w:bookmarkEnd w:id="227"/>
      <w:bookmarkStart w:id="228" w:name="_Toc184314480"/>
      <w:bookmarkEnd w:id="228"/>
      <w:bookmarkStart w:id="229" w:name="_Toc184313261"/>
      <w:bookmarkEnd w:id="229"/>
      <w:bookmarkStart w:id="230" w:name="_Toc184312078"/>
      <w:bookmarkEnd w:id="230"/>
      <w:bookmarkStart w:id="231" w:name="_Toc184308096"/>
      <w:bookmarkEnd w:id="231"/>
      <w:bookmarkStart w:id="232" w:name="_Toc184310319"/>
      <w:bookmarkEnd w:id="232"/>
      <w:bookmarkStart w:id="233" w:name="_Toc184310324"/>
      <w:bookmarkEnd w:id="233"/>
      <w:bookmarkStart w:id="234" w:name="_Toc184314432"/>
      <w:bookmarkEnd w:id="234"/>
      <w:bookmarkStart w:id="235" w:name="_Toc184308087"/>
      <w:bookmarkEnd w:id="235"/>
      <w:bookmarkStart w:id="236" w:name="_Toc184310342"/>
      <w:bookmarkEnd w:id="236"/>
      <w:bookmarkStart w:id="237" w:name="_Toc184313270"/>
      <w:bookmarkEnd w:id="237"/>
      <w:bookmarkStart w:id="238" w:name="_Toc184310294"/>
      <w:bookmarkEnd w:id="238"/>
      <w:bookmarkStart w:id="239" w:name="_Toc184310295"/>
      <w:bookmarkEnd w:id="239"/>
      <w:bookmarkStart w:id="240" w:name="_Toc184312113"/>
      <w:bookmarkEnd w:id="240"/>
      <w:bookmarkStart w:id="241" w:name="_Toc184308097"/>
      <w:bookmarkEnd w:id="241"/>
      <w:bookmarkStart w:id="242" w:name="_Toc184312126"/>
      <w:bookmarkEnd w:id="242"/>
      <w:bookmarkStart w:id="243" w:name="_Toc184312099"/>
      <w:bookmarkEnd w:id="243"/>
      <w:bookmarkStart w:id="244" w:name="_Toc184312116"/>
      <w:bookmarkEnd w:id="244"/>
      <w:bookmarkStart w:id="245" w:name="_Toc184313276"/>
      <w:bookmarkEnd w:id="245"/>
      <w:bookmarkStart w:id="246" w:name="_Toc184308095"/>
      <w:bookmarkEnd w:id="246"/>
      <w:bookmarkStart w:id="247" w:name="_Toc184308077"/>
      <w:bookmarkEnd w:id="247"/>
      <w:bookmarkStart w:id="248" w:name="_Toc184313238"/>
      <w:bookmarkEnd w:id="248"/>
      <w:bookmarkStart w:id="249" w:name="_Toc184308105"/>
      <w:bookmarkEnd w:id="249"/>
      <w:bookmarkStart w:id="250" w:name="_Toc184308054"/>
      <w:bookmarkEnd w:id="250"/>
      <w:bookmarkStart w:id="251" w:name="_Toc184314424"/>
      <w:bookmarkEnd w:id="251"/>
      <w:bookmarkStart w:id="252" w:name="_Toc184313307"/>
      <w:bookmarkEnd w:id="252"/>
      <w:bookmarkStart w:id="253" w:name="_Toc184314461"/>
      <w:bookmarkEnd w:id="253"/>
      <w:bookmarkStart w:id="254" w:name="_Toc184308042"/>
      <w:bookmarkEnd w:id="254"/>
      <w:bookmarkStart w:id="255" w:name="_Toc184310276"/>
      <w:bookmarkEnd w:id="255"/>
      <w:bookmarkStart w:id="256" w:name="_Toc184310337"/>
      <w:bookmarkEnd w:id="256"/>
      <w:bookmarkStart w:id="257" w:name="_Toc184313259"/>
      <w:bookmarkEnd w:id="257"/>
      <w:bookmarkStart w:id="258" w:name="_Toc184312091"/>
      <w:bookmarkEnd w:id="258"/>
      <w:bookmarkStart w:id="259" w:name="_Toc184308063"/>
      <w:bookmarkEnd w:id="259"/>
      <w:bookmarkStart w:id="260" w:name="_Toc184312105"/>
      <w:bookmarkEnd w:id="260"/>
      <w:bookmarkStart w:id="261" w:name="_Toc184312070"/>
      <w:bookmarkEnd w:id="261"/>
      <w:bookmarkStart w:id="262" w:name="_Toc184312093"/>
      <w:bookmarkEnd w:id="262"/>
      <w:bookmarkStart w:id="263" w:name="_Toc184310290"/>
      <w:bookmarkEnd w:id="263"/>
      <w:bookmarkStart w:id="264" w:name="_Toc184314463"/>
      <w:bookmarkEnd w:id="264"/>
      <w:bookmarkStart w:id="265" w:name="_Toc184313310"/>
      <w:bookmarkEnd w:id="265"/>
      <w:bookmarkStart w:id="266" w:name="_Toc184314425"/>
      <w:bookmarkEnd w:id="266"/>
      <w:bookmarkStart w:id="267" w:name="_Toc184312117"/>
      <w:bookmarkEnd w:id="267"/>
      <w:bookmarkStart w:id="268" w:name="_Toc184310344"/>
      <w:bookmarkEnd w:id="268"/>
      <w:bookmarkStart w:id="269" w:name="_Toc184312101"/>
      <w:bookmarkEnd w:id="269"/>
      <w:bookmarkStart w:id="270" w:name="_Toc184313256"/>
      <w:bookmarkEnd w:id="270"/>
      <w:bookmarkStart w:id="271" w:name="_Toc184310335"/>
      <w:bookmarkEnd w:id="271"/>
      <w:bookmarkStart w:id="272" w:name="_Toc184312102"/>
      <w:bookmarkEnd w:id="272"/>
      <w:bookmarkStart w:id="273" w:name="_Toc184310343"/>
      <w:bookmarkEnd w:id="273"/>
      <w:bookmarkStart w:id="274" w:name="_Toc184310284"/>
      <w:bookmarkEnd w:id="274"/>
      <w:bookmarkStart w:id="275" w:name="_Toc184313306"/>
      <w:bookmarkEnd w:id="275"/>
      <w:bookmarkStart w:id="276" w:name="_Toc184312092"/>
      <w:bookmarkEnd w:id="276"/>
      <w:bookmarkStart w:id="277" w:name="_Toc184313254"/>
      <w:bookmarkEnd w:id="277"/>
      <w:bookmarkStart w:id="278" w:name="_Toc184313301"/>
      <w:bookmarkEnd w:id="278"/>
      <w:bookmarkStart w:id="279" w:name="_Toc184314417"/>
      <w:bookmarkEnd w:id="279"/>
      <w:bookmarkStart w:id="280" w:name="_Toc184310332"/>
      <w:bookmarkEnd w:id="280"/>
      <w:bookmarkStart w:id="281" w:name="_Toc184308074"/>
      <w:bookmarkEnd w:id="281"/>
      <w:bookmarkStart w:id="282" w:name="_Toc184313266"/>
      <w:bookmarkEnd w:id="282"/>
      <w:bookmarkStart w:id="283" w:name="_Toc184313249"/>
      <w:bookmarkEnd w:id="283"/>
      <w:bookmarkStart w:id="284" w:name="_Toc184313308"/>
      <w:bookmarkEnd w:id="284"/>
      <w:bookmarkStart w:id="285" w:name="_Toc184308090"/>
      <w:bookmarkEnd w:id="285"/>
      <w:bookmarkStart w:id="286" w:name="_Toc184310274"/>
      <w:bookmarkEnd w:id="286"/>
      <w:bookmarkStart w:id="287" w:name="_Toc184313242"/>
      <w:bookmarkEnd w:id="287"/>
      <w:bookmarkStart w:id="288" w:name="_Toc184308091"/>
      <w:bookmarkEnd w:id="288"/>
      <w:bookmarkStart w:id="289" w:name="_Toc184310291"/>
      <w:bookmarkEnd w:id="289"/>
      <w:bookmarkStart w:id="290" w:name="_Toc184310312"/>
      <w:bookmarkEnd w:id="290"/>
      <w:bookmarkStart w:id="291" w:name="_Toc184310328"/>
      <w:bookmarkEnd w:id="291"/>
      <w:bookmarkStart w:id="292" w:name="_Toc184308041"/>
      <w:bookmarkEnd w:id="292"/>
      <w:bookmarkStart w:id="293" w:name="_Toc184314411"/>
      <w:bookmarkEnd w:id="293"/>
      <w:bookmarkStart w:id="294" w:name="_Toc184313251"/>
      <w:bookmarkEnd w:id="294"/>
      <w:bookmarkStart w:id="295" w:name="_Toc184308053"/>
      <w:bookmarkEnd w:id="295"/>
      <w:bookmarkStart w:id="296" w:name="_Toc184312135"/>
      <w:bookmarkEnd w:id="296"/>
      <w:bookmarkStart w:id="297" w:name="_Toc184313300"/>
      <w:bookmarkEnd w:id="297"/>
      <w:bookmarkStart w:id="298" w:name="_Toc184310299"/>
      <w:bookmarkEnd w:id="298"/>
      <w:bookmarkStart w:id="299" w:name="_Toc184314475"/>
      <w:bookmarkEnd w:id="299"/>
      <w:bookmarkStart w:id="300" w:name="_Toc184314416"/>
      <w:bookmarkEnd w:id="300"/>
      <w:bookmarkStart w:id="301" w:name="_Toc184310285"/>
      <w:bookmarkEnd w:id="301"/>
      <w:bookmarkStart w:id="302" w:name="_Toc184314474"/>
      <w:bookmarkEnd w:id="302"/>
      <w:bookmarkStart w:id="303" w:name="_Toc184314465"/>
      <w:bookmarkEnd w:id="303"/>
      <w:bookmarkStart w:id="304" w:name="_Toc184310314"/>
      <w:bookmarkEnd w:id="304"/>
      <w:bookmarkStart w:id="305" w:name="_Toc184313263"/>
      <w:bookmarkEnd w:id="305"/>
      <w:bookmarkStart w:id="306" w:name="_Toc184314420"/>
      <w:bookmarkEnd w:id="306"/>
      <w:bookmarkStart w:id="307" w:name="_Toc184313272"/>
      <w:bookmarkEnd w:id="307"/>
      <w:bookmarkStart w:id="308" w:name="_Toc184314460"/>
      <w:bookmarkEnd w:id="308"/>
      <w:bookmarkStart w:id="309" w:name="_Toc184310323"/>
      <w:bookmarkEnd w:id="309"/>
      <w:bookmarkStart w:id="310" w:name="_Toc184314429"/>
      <w:bookmarkEnd w:id="310"/>
      <w:bookmarkStart w:id="311" w:name="_Toc184313248"/>
      <w:bookmarkEnd w:id="311"/>
      <w:bookmarkStart w:id="312" w:name="_Toc184308094"/>
      <w:bookmarkEnd w:id="312"/>
      <w:bookmarkStart w:id="313" w:name="_Toc184310320"/>
      <w:bookmarkEnd w:id="313"/>
      <w:bookmarkStart w:id="314" w:name="_Toc184312106"/>
      <w:bookmarkEnd w:id="314"/>
      <w:bookmarkStart w:id="315" w:name="_Toc184308104"/>
      <w:bookmarkEnd w:id="315"/>
      <w:bookmarkStart w:id="316" w:name="_Toc184313257"/>
      <w:bookmarkEnd w:id="316"/>
      <w:bookmarkStart w:id="317" w:name="_Toc184313252"/>
      <w:bookmarkEnd w:id="317"/>
      <w:bookmarkStart w:id="318" w:name="_Toc184314430"/>
      <w:bookmarkEnd w:id="318"/>
      <w:bookmarkStart w:id="319" w:name="_Toc184313286"/>
      <w:bookmarkEnd w:id="319"/>
      <w:bookmarkStart w:id="320" w:name="_Toc184312121"/>
      <w:bookmarkEnd w:id="320"/>
      <w:bookmarkStart w:id="321" w:name="_Toc184308062"/>
      <w:bookmarkEnd w:id="321"/>
      <w:bookmarkStart w:id="322" w:name="_Toc184310308"/>
      <w:bookmarkEnd w:id="322"/>
      <w:bookmarkStart w:id="323" w:name="_Toc184313298"/>
      <w:bookmarkEnd w:id="323"/>
      <w:bookmarkStart w:id="324" w:name="_Toc184310286"/>
      <w:bookmarkEnd w:id="324"/>
      <w:bookmarkStart w:id="325" w:name="_Toc184308066"/>
      <w:bookmarkEnd w:id="325"/>
      <w:bookmarkStart w:id="326" w:name="_Toc184313268"/>
      <w:bookmarkEnd w:id="326"/>
      <w:bookmarkStart w:id="327" w:name="_Toc184313283"/>
      <w:bookmarkEnd w:id="327"/>
      <w:bookmarkStart w:id="328" w:name="_Toc184313277"/>
      <w:bookmarkEnd w:id="328"/>
      <w:bookmarkStart w:id="329" w:name="_Toc184313273"/>
      <w:bookmarkEnd w:id="329"/>
      <w:bookmarkStart w:id="330" w:name="_Toc184313289"/>
      <w:bookmarkEnd w:id="330"/>
      <w:bookmarkStart w:id="331" w:name="_Toc184310288"/>
      <w:bookmarkEnd w:id="331"/>
      <w:bookmarkStart w:id="332" w:name="_Toc184310313"/>
      <w:bookmarkEnd w:id="332"/>
      <w:bookmarkStart w:id="333" w:name="_Toc184313309"/>
      <w:bookmarkEnd w:id="333"/>
      <w:bookmarkStart w:id="334" w:name="_Toc184312128"/>
      <w:bookmarkEnd w:id="334"/>
      <w:bookmarkStart w:id="335" w:name="_Toc184310339"/>
      <w:bookmarkEnd w:id="335"/>
      <w:bookmarkStart w:id="336" w:name="_Toc184314457"/>
      <w:bookmarkEnd w:id="336"/>
      <w:bookmarkStart w:id="337" w:name="_Toc184308081"/>
      <w:bookmarkEnd w:id="337"/>
      <w:bookmarkStart w:id="338" w:name="_Toc184308092"/>
      <w:bookmarkEnd w:id="338"/>
      <w:bookmarkStart w:id="339" w:name="_Toc184308050"/>
      <w:bookmarkEnd w:id="339"/>
      <w:bookmarkStart w:id="340" w:name="_Toc184314454"/>
      <w:bookmarkEnd w:id="340"/>
      <w:bookmarkStart w:id="341" w:name="_Toc184314419"/>
      <w:bookmarkEnd w:id="341"/>
      <w:bookmarkStart w:id="342" w:name="_Toc184313291"/>
      <w:bookmarkEnd w:id="342"/>
      <w:bookmarkStart w:id="343" w:name="_Toc184308078"/>
      <w:bookmarkEnd w:id="343"/>
      <w:bookmarkStart w:id="344" w:name="_Toc184314473"/>
      <w:bookmarkEnd w:id="344"/>
      <w:bookmarkStart w:id="345" w:name="_Toc184313305"/>
      <w:bookmarkEnd w:id="345"/>
      <w:bookmarkStart w:id="346" w:name="_Toc184313260"/>
      <w:bookmarkEnd w:id="346"/>
      <w:bookmarkStart w:id="347" w:name="_Toc184308061"/>
      <w:bookmarkEnd w:id="347"/>
      <w:bookmarkStart w:id="348" w:name="_Toc184312075"/>
      <w:bookmarkEnd w:id="348"/>
      <w:bookmarkStart w:id="349" w:name="_Toc184310281"/>
      <w:bookmarkEnd w:id="349"/>
      <w:bookmarkStart w:id="350" w:name="_Toc184312138"/>
      <w:bookmarkEnd w:id="350"/>
      <w:bookmarkStart w:id="351" w:name="_Toc184314455"/>
      <w:bookmarkEnd w:id="351"/>
      <w:bookmarkStart w:id="352" w:name="_Toc184310338"/>
      <w:bookmarkEnd w:id="352"/>
      <w:bookmarkStart w:id="353" w:name="_Toc184310277"/>
      <w:bookmarkEnd w:id="353"/>
      <w:bookmarkStart w:id="354" w:name="_Toc184308089"/>
      <w:bookmarkEnd w:id="354"/>
      <w:bookmarkStart w:id="355" w:name="_Toc184310336"/>
      <w:bookmarkEnd w:id="355"/>
      <w:bookmarkStart w:id="356" w:name="_Toc184312100"/>
      <w:bookmarkEnd w:id="356"/>
      <w:bookmarkStart w:id="357" w:name="_Toc184312123"/>
      <w:bookmarkEnd w:id="357"/>
      <w:bookmarkStart w:id="358" w:name="_Toc184313267"/>
      <w:bookmarkEnd w:id="358"/>
      <w:bookmarkStart w:id="359" w:name="_Toc184314468"/>
      <w:bookmarkEnd w:id="359"/>
      <w:bookmarkStart w:id="360" w:name="_Toc184312083"/>
      <w:bookmarkEnd w:id="360"/>
      <w:bookmarkStart w:id="361" w:name="_Toc184308043"/>
      <w:bookmarkEnd w:id="361"/>
      <w:bookmarkStart w:id="362" w:name="_Toc184314414"/>
      <w:bookmarkEnd w:id="362"/>
      <w:bookmarkStart w:id="363" w:name="_Toc184313304"/>
      <w:bookmarkEnd w:id="363"/>
      <w:bookmarkStart w:id="364" w:name="_Toc184312133"/>
      <w:bookmarkEnd w:id="364"/>
      <w:bookmarkStart w:id="365" w:name="_Toc184312072"/>
      <w:bookmarkEnd w:id="365"/>
      <w:bookmarkStart w:id="366" w:name="_Toc184308051"/>
      <w:bookmarkEnd w:id="366"/>
      <w:bookmarkStart w:id="367" w:name="_Toc184312111"/>
      <w:bookmarkEnd w:id="367"/>
      <w:bookmarkStart w:id="368" w:name="_Toc184308076"/>
      <w:bookmarkEnd w:id="368"/>
      <w:bookmarkStart w:id="369" w:name="_Toc184313269"/>
      <w:bookmarkEnd w:id="369"/>
      <w:bookmarkStart w:id="370" w:name="_Toc184308040"/>
      <w:bookmarkEnd w:id="370"/>
      <w:bookmarkStart w:id="371" w:name="_Toc184310333"/>
      <w:bookmarkEnd w:id="371"/>
      <w:bookmarkStart w:id="372" w:name="_Toc184308106"/>
      <w:bookmarkEnd w:id="372"/>
      <w:bookmarkStart w:id="373" w:name="_Toc184312090"/>
      <w:bookmarkEnd w:id="373"/>
      <w:bookmarkStart w:id="374" w:name="_Toc184308108"/>
      <w:bookmarkEnd w:id="374"/>
      <w:bookmarkStart w:id="375" w:name="_Toc184310334"/>
      <w:bookmarkEnd w:id="375"/>
      <w:bookmarkStart w:id="376" w:name="_Toc184308099"/>
      <w:bookmarkEnd w:id="376"/>
      <w:bookmarkStart w:id="377" w:name="_Toc184314456"/>
      <w:bookmarkEnd w:id="377"/>
      <w:bookmarkStart w:id="378" w:name="_Toc184314444"/>
      <w:bookmarkEnd w:id="378"/>
      <w:bookmarkStart w:id="379" w:name="_Toc184314410"/>
      <w:bookmarkEnd w:id="379"/>
      <w:bookmarkStart w:id="380" w:name="_Toc184313292"/>
      <w:bookmarkEnd w:id="380"/>
      <w:bookmarkStart w:id="381" w:name="_Toc184313241"/>
      <w:bookmarkEnd w:id="381"/>
      <w:bookmarkStart w:id="382" w:name="_Toc184308083"/>
      <w:bookmarkEnd w:id="382"/>
      <w:bookmarkStart w:id="383" w:name="_Toc184313303"/>
      <w:bookmarkEnd w:id="383"/>
      <w:bookmarkStart w:id="384" w:name="_Toc184314476"/>
      <w:bookmarkEnd w:id="384"/>
      <w:bookmarkStart w:id="385" w:name="_Toc184314418"/>
      <w:bookmarkEnd w:id="385"/>
      <w:bookmarkStart w:id="386" w:name="_Toc184310302"/>
      <w:bookmarkEnd w:id="386"/>
      <w:bookmarkStart w:id="387" w:name="_Toc184310316"/>
      <w:bookmarkEnd w:id="387"/>
      <w:bookmarkStart w:id="388" w:name="_Toc184313282"/>
      <w:bookmarkEnd w:id="388"/>
      <w:bookmarkStart w:id="389" w:name="_Toc184314438"/>
      <w:bookmarkEnd w:id="389"/>
      <w:bookmarkStart w:id="390" w:name="_Toc184314415"/>
      <w:bookmarkEnd w:id="390"/>
      <w:bookmarkStart w:id="391" w:name="_Toc184313239"/>
      <w:bookmarkEnd w:id="391"/>
      <w:bookmarkStart w:id="392" w:name="_Toc184310327"/>
      <w:bookmarkEnd w:id="392"/>
      <w:bookmarkStart w:id="393" w:name="_Toc184308102"/>
      <w:bookmarkEnd w:id="393"/>
      <w:bookmarkStart w:id="394" w:name="_Toc184310304"/>
      <w:bookmarkEnd w:id="394"/>
      <w:bookmarkStart w:id="395" w:name="_Toc184312122"/>
      <w:bookmarkEnd w:id="395"/>
      <w:bookmarkStart w:id="396" w:name="_Toc184312067"/>
      <w:bookmarkEnd w:id="396"/>
      <w:bookmarkStart w:id="397" w:name="_Toc184314462"/>
      <w:bookmarkEnd w:id="397"/>
      <w:bookmarkStart w:id="398" w:name="_Toc184312094"/>
      <w:bookmarkEnd w:id="398"/>
      <w:bookmarkStart w:id="399" w:name="_Toc184312134"/>
      <w:bookmarkEnd w:id="399"/>
      <w:bookmarkStart w:id="400" w:name="_Toc184310283"/>
      <w:bookmarkEnd w:id="400"/>
      <w:bookmarkStart w:id="401" w:name="_Toc184310305"/>
      <w:bookmarkEnd w:id="401"/>
      <w:bookmarkStart w:id="402" w:name="_Toc184314470"/>
      <w:bookmarkEnd w:id="402"/>
      <w:bookmarkStart w:id="403" w:name="_Toc184310309"/>
      <w:bookmarkEnd w:id="403"/>
      <w:bookmarkStart w:id="404" w:name="_Toc184314447"/>
      <w:bookmarkEnd w:id="404"/>
      <w:bookmarkStart w:id="405" w:name="_Toc184314450"/>
      <w:bookmarkEnd w:id="405"/>
      <w:bookmarkStart w:id="406" w:name="_Toc184310306"/>
      <w:bookmarkEnd w:id="406"/>
      <w:bookmarkStart w:id="407" w:name="_Toc184313250"/>
      <w:bookmarkEnd w:id="407"/>
      <w:bookmarkStart w:id="408" w:name="_Toc184314427"/>
      <w:bookmarkEnd w:id="408"/>
      <w:bookmarkStart w:id="409" w:name="_Toc184314435"/>
      <w:bookmarkEnd w:id="409"/>
      <w:bookmarkStart w:id="410" w:name="_Toc184310273"/>
      <w:bookmarkEnd w:id="410"/>
      <w:bookmarkStart w:id="411" w:name="_Toc184314469"/>
      <w:bookmarkEnd w:id="411"/>
      <w:bookmarkStart w:id="412" w:name="_Toc184312107"/>
      <w:bookmarkEnd w:id="412"/>
      <w:bookmarkStart w:id="413" w:name="_Toc184314479"/>
      <w:bookmarkEnd w:id="413"/>
      <w:bookmarkStart w:id="414" w:name="_Toc184314448"/>
      <w:bookmarkEnd w:id="414"/>
      <w:bookmarkStart w:id="415" w:name="_Toc184308048"/>
      <w:bookmarkEnd w:id="415"/>
      <w:bookmarkStart w:id="416" w:name="_Toc184313245"/>
      <w:bookmarkEnd w:id="416"/>
      <w:bookmarkStart w:id="417" w:name="_Toc184312108"/>
      <w:bookmarkEnd w:id="417"/>
      <w:bookmarkStart w:id="418" w:name="_Toc184312120"/>
      <w:bookmarkEnd w:id="418"/>
      <w:bookmarkStart w:id="419" w:name="_Toc184312088"/>
      <w:bookmarkEnd w:id="419"/>
      <w:bookmarkStart w:id="420" w:name="_Toc184313240"/>
      <w:bookmarkEnd w:id="420"/>
      <w:bookmarkStart w:id="421" w:name="_Toc184314451"/>
      <w:bookmarkEnd w:id="421"/>
      <w:bookmarkStart w:id="422" w:name="_Toc184314443"/>
      <w:bookmarkEnd w:id="422"/>
      <w:bookmarkStart w:id="423" w:name="_Toc184308049"/>
      <w:bookmarkEnd w:id="423"/>
      <w:bookmarkStart w:id="424" w:name="_Toc184312112"/>
      <w:bookmarkEnd w:id="424"/>
      <w:bookmarkStart w:id="425" w:name="_Toc184308059"/>
      <w:bookmarkEnd w:id="425"/>
      <w:bookmarkStart w:id="426" w:name="_Toc184312129"/>
      <w:bookmarkEnd w:id="426"/>
      <w:bookmarkStart w:id="427" w:name="_Toc184313274"/>
      <w:bookmarkEnd w:id="427"/>
      <w:bookmarkStart w:id="428" w:name="_Toc184310322"/>
      <w:bookmarkEnd w:id="428"/>
      <w:r>
        <w:rPr>
          <w:rFonts w:hint="eastAsia"/>
        </w:rPr>
        <w:t>评标办法</w:t>
      </w:r>
      <w:bookmarkEnd w:id="57"/>
      <w:bookmarkEnd w:id="58"/>
      <w:bookmarkEnd w:id="59"/>
      <w:bookmarkEnd w:id="60"/>
      <w:bookmarkEnd w:id="61"/>
      <w:bookmarkEnd w:id="62"/>
      <w:bookmarkEnd w:id="63"/>
    </w:p>
    <w:p w14:paraId="13656FEB">
      <w:pPr>
        <w:pStyle w:val="4"/>
        <w:bidi w:val="0"/>
      </w:pPr>
      <w:r>
        <w:rPr>
          <w:rFonts w:hint="eastAsia"/>
        </w:rPr>
        <w:t>评标办法前附表</w:t>
      </w:r>
    </w:p>
    <w:tbl>
      <w:tblPr>
        <w:tblStyle w:val="63"/>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4900"/>
        <w:gridCol w:w="770"/>
        <w:gridCol w:w="1182"/>
        <w:gridCol w:w="1295"/>
      </w:tblGrid>
      <w:tr w14:paraId="23B0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59" w:type="dxa"/>
            <w:vAlign w:val="center"/>
          </w:tcPr>
          <w:p w14:paraId="2EB1A536">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Style w:val="79"/>
                <w:rFonts w:ascii="仿宋" w:hAnsi="仿宋" w:eastAsia="仿宋" w:cs="仿宋"/>
                <w:bCs/>
                <w:color w:val="auto"/>
                <w:sz w:val="21"/>
                <w:szCs w:val="21"/>
                <w:highlight w:val="none"/>
              </w:rPr>
            </w:pPr>
            <w:r>
              <w:rPr>
                <w:rStyle w:val="79"/>
                <w:rFonts w:hint="eastAsia" w:ascii="仿宋" w:hAnsi="仿宋" w:eastAsia="仿宋" w:cs="仿宋"/>
                <w:b w:val="0"/>
                <w:bCs/>
                <w:color w:val="auto"/>
                <w:sz w:val="21"/>
                <w:szCs w:val="21"/>
                <w:highlight w:val="none"/>
              </w:rPr>
              <w:t>序号</w:t>
            </w:r>
          </w:p>
        </w:tc>
        <w:tc>
          <w:tcPr>
            <w:tcW w:w="4900" w:type="dxa"/>
            <w:vAlign w:val="center"/>
          </w:tcPr>
          <w:p w14:paraId="3A1EC61D">
            <w:pPr>
              <w:keepNext w:val="0"/>
              <w:keepLines w:val="0"/>
              <w:pageBreakBefore w:val="0"/>
              <w:kinsoku/>
              <w:wordWrap w:val="0"/>
              <w:overflowPunct/>
              <w:topLinePunct w:val="0"/>
              <w:autoSpaceDE w:val="0"/>
              <w:autoSpaceDN w:val="0"/>
              <w:bidi w:val="0"/>
              <w:adjustRightInd w:val="0"/>
              <w:snapToGrid w:val="0"/>
              <w:spacing w:beforeLines="0" w:afterLines="0" w:line="360" w:lineRule="auto"/>
              <w:ind w:firstLine="420" w:firstLineChars="200"/>
              <w:jc w:val="center"/>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评标标准</w:t>
            </w:r>
          </w:p>
        </w:tc>
        <w:tc>
          <w:tcPr>
            <w:tcW w:w="770" w:type="dxa"/>
            <w:vAlign w:val="center"/>
          </w:tcPr>
          <w:p w14:paraId="5DEB0032">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权重</w:t>
            </w:r>
          </w:p>
        </w:tc>
        <w:tc>
          <w:tcPr>
            <w:tcW w:w="1182" w:type="dxa"/>
            <w:vAlign w:val="center"/>
          </w:tcPr>
          <w:p w14:paraId="649B9714">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295" w:type="dxa"/>
            <w:vAlign w:val="center"/>
          </w:tcPr>
          <w:p w14:paraId="5BA96D9B">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246B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59" w:type="dxa"/>
            <w:vAlign w:val="center"/>
          </w:tcPr>
          <w:p w14:paraId="32A2FAAE">
            <w:pPr>
              <w:wordWrap w:val="0"/>
              <w:autoSpaceDE w:val="0"/>
              <w:autoSpaceDN w:val="0"/>
              <w:snapToGrid w:val="0"/>
              <w:spacing w:beforeLines="0" w:afterLines="0" w:line="360" w:lineRule="auto"/>
              <w:jc w:val="center"/>
              <w:rPr>
                <w:rStyle w:val="79"/>
                <w:rFonts w:ascii="仿宋" w:hAnsi="仿宋" w:eastAsia="仿宋" w:cs="仿宋"/>
                <w:bCs/>
                <w:color w:val="auto"/>
                <w:sz w:val="21"/>
                <w:szCs w:val="21"/>
                <w:highlight w:val="none"/>
              </w:rPr>
            </w:pPr>
            <w:r>
              <w:rPr>
                <w:rStyle w:val="79"/>
                <w:rFonts w:hint="eastAsia" w:ascii="仿宋" w:hAnsi="仿宋" w:eastAsia="仿宋" w:cs="仿宋"/>
                <w:bCs/>
                <w:color w:val="auto"/>
                <w:sz w:val="21"/>
                <w:szCs w:val="21"/>
                <w:highlight w:val="none"/>
              </w:rPr>
              <w:t>1</w:t>
            </w:r>
          </w:p>
        </w:tc>
        <w:tc>
          <w:tcPr>
            <w:tcW w:w="4900" w:type="dxa"/>
            <w:vAlign w:val="center"/>
          </w:tcPr>
          <w:p w14:paraId="2B226599">
            <w:pPr>
              <w:wordWrap w:val="0"/>
              <w:autoSpaceDE w:val="0"/>
              <w:autoSpaceDN w:val="0"/>
              <w:snapToGrid w:val="0"/>
              <w:spacing w:beforeLines="0" w:afterLines="0" w:line="360" w:lineRule="auto"/>
              <w:jc w:val="both"/>
              <w:rPr>
                <w:rStyle w:val="79"/>
                <w:rFonts w:ascii="仿宋" w:hAnsi="仿宋" w:eastAsia="仿宋" w:cs="仿宋"/>
                <w:bCs/>
                <w:color w:val="auto"/>
                <w:sz w:val="21"/>
                <w:szCs w:val="21"/>
                <w:highlight w:val="none"/>
              </w:rPr>
            </w:pPr>
            <w:r>
              <w:rPr>
                <w:rStyle w:val="79"/>
                <w:rFonts w:hint="eastAsia" w:ascii="仿宋" w:hAnsi="仿宋" w:eastAsia="仿宋" w:cs="仿宋"/>
                <w:bCs/>
                <w:color w:val="auto"/>
                <w:kern w:val="0"/>
                <w:sz w:val="21"/>
                <w:szCs w:val="21"/>
                <w:highlight w:val="none"/>
              </w:rPr>
              <w:t>管理体系认证</w:t>
            </w:r>
            <w:r>
              <w:rPr>
                <w:rStyle w:val="79"/>
                <w:rFonts w:hint="eastAsia" w:ascii="仿宋" w:hAnsi="仿宋" w:eastAsia="仿宋" w:cs="仿宋"/>
                <w:bCs/>
                <w:color w:val="auto"/>
                <w:kern w:val="0"/>
                <w:sz w:val="21"/>
                <w:szCs w:val="21"/>
                <w:highlight w:val="none"/>
                <w:lang w:eastAsia="zh-CN"/>
              </w:rPr>
              <w:t>：</w:t>
            </w:r>
            <w:r>
              <w:rPr>
                <w:rStyle w:val="79"/>
                <w:rFonts w:hint="eastAsia" w:ascii="仿宋" w:hAnsi="仿宋" w:eastAsia="仿宋" w:cs="仿宋"/>
                <w:bCs/>
                <w:color w:val="auto"/>
                <w:sz w:val="21"/>
                <w:szCs w:val="21"/>
                <w:highlight w:val="none"/>
                <w:lang w:eastAsia="zh-CN"/>
              </w:rPr>
              <w:t>供应商（</w:t>
            </w:r>
            <w:r>
              <w:rPr>
                <w:rStyle w:val="79"/>
                <w:rFonts w:hint="eastAsia" w:ascii="仿宋" w:hAnsi="仿宋" w:eastAsia="仿宋" w:cs="仿宋"/>
                <w:bCs/>
                <w:color w:val="auto"/>
                <w:sz w:val="21"/>
                <w:szCs w:val="21"/>
                <w:highlight w:val="none"/>
                <w:lang w:val="en-US" w:eastAsia="zh-CN"/>
              </w:rPr>
              <w:t>联合体参加的指牵头人</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具有有效的质量管理体系认证证书</w:t>
            </w:r>
            <w:r>
              <w:rPr>
                <w:rStyle w:val="79"/>
                <w:rFonts w:hint="eastAsia" w:ascii="仿宋" w:hAnsi="仿宋" w:eastAsia="仿宋" w:cs="仿宋"/>
                <w:bCs/>
                <w:color w:val="auto"/>
                <w:sz w:val="21"/>
                <w:szCs w:val="21"/>
                <w:highlight w:val="none"/>
                <w:lang w:eastAsia="zh-CN"/>
              </w:rPr>
              <w:t>的</w:t>
            </w:r>
            <w:r>
              <w:rPr>
                <w:rStyle w:val="79"/>
                <w:rFonts w:hint="eastAsia" w:ascii="仿宋" w:hAnsi="仿宋" w:eastAsia="仿宋" w:cs="仿宋"/>
                <w:bCs/>
                <w:color w:val="auto"/>
                <w:sz w:val="21"/>
                <w:szCs w:val="21"/>
                <w:highlight w:val="none"/>
              </w:rPr>
              <w:t>得</w:t>
            </w:r>
            <w:r>
              <w:rPr>
                <w:rStyle w:val="79"/>
                <w:rFonts w:hint="eastAsia" w:ascii="仿宋" w:hAnsi="仿宋" w:eastAsia="仿宋" w:cs="仿宋"/>
                <w:bCs/>
                <w:color w:val="auto"/>
                <w:sz w:val="21"/>
                <w:szCs w:val="21"/>
                <w:highlight w:val="none"/>
                <w:lang w:val="en-US" w:eastAsia="zh-CN"/>
              </w:rPr>
              <w:t>2</w:t>
            </w:r>
            <w:r>
              <w:rPr>
                <w:rStyle w:val="79"/>
                <w:rFonts w:hint="eastAsia" w:ascii="仿宋" w:hAnsi="仿宋" w:eastAsia="仿宋" w:cs="仿宋"/>
                <w:bCs/>
                <w:color w:val="auto"/>
                <w:sz w:val="21"/>
                <w:szCs w:val="21"/>
                <w:highlight w:val="none"/>
              </w:rPr>
              <w:t>分。（</w:t>
            </w:r>
            <w:r>
              <w:rPr>
                <w:rStyle w:val="79"/>
                <w:rFonts w:hint="eastAsia" w:ascii="仿宋" w:hAnsi="仿宋" w:eastAsia="仿宋" w:cs="仿宋"/>
                <w:bCs/>
                <w:color w:val="auto"/>
                <w:sz w:val="21"/>
                <w:szCs w:val="21"/>
                <w:highlight w:val="none"/>
                <w:lang w:val="en-US" w:eastAsia="zh-CN"/>
              </w:rPr>
              <w:t>证明材料</w:t>
            </w:r>
            <w:r>
              <w:rPr>
                <w:rStyle w:val="79"/>
                <w:rFonts w:hint="eastAsia" w:ascii="仿宋" w:hAnsi="仿宋" w:eastAsia="仿宋" w:cs="仿宋"/>
                <w:bCs/>
                <w:color w:val="auto"/>
                <w:sz w:val="21"/>
                <w:szCs w:val="21"/>
                <w:highlight w:val="none"/>
              </w:rPr>
              <w:t>提供证书及</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国家认证认可监督管理委员会</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网站（http://www.cnca.gov.cn）查询截图）。</w:t>
            </w:r>
          </w:p>
        </w:tc>
        <w:tc>
          <w:tcPr>
            <w:tcW w:w="770" w:type="dxa"/>
            <w:vAlign w:val="center"/>
          </w:tcPr>
          <w:p w14:paraId="43F9934E">
            <w:pPr>
              <w:wordWrap w:val="0"/>
              <w:autoSpaceDE w:val="0"/>
              <w:autoSpaceDN w:val="0"/>
              <w:snapToGrid w:val="0"/>
              <w:spacing w:beforeLines="0" w:afterLines="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182" w:type="dxa"/>
            <w:vAlign w:val="center"/>
          </w:tcPr>
          <w:p w14:paraId="42DCF42C">
            <w:pPr>
              <w:wordWrap w:val="0"/>
              <w:autoSpaceDE w:val="0"/>
              <w:autoSpaceDN w:val="0"/>
              <w:snapToGrid w:val="0"/>
              <w:spacing w:beforeLines="0" w:afterLines="0" w:line="360" w:lineRule="auto"/>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295" w:type="dxa"/>
            <w:vAlign w:val="center"/>
          </w:tcPr>
          <w:p w14:paraId="7F5E4ED6">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05F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59" w:type="dxa"/>
            <w:vAlign w:val="center"/>
          </w:tcPr>
          <w:p w14:paraId="3604D119">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2</w:t>
            </w:r>
          </w:p>
        </w:tc>
        <w:tc>
          <w:tcPr>
            <w:tcW w:w="4900" w:type="dxa"/>
            <w:vAlign w:val="center"/>
          </w:tcPr>
          <w:p w14:paraId="15F9D0B2">
            <w:pPr>
              <w:wordWrap w:val="0"/>
              <w:snapToGrid w:val="0"/>
              <w:spacing w:beforeLines="0" w:afterLines="0" w:line="360" w:lineRule="auto"/>
              <w:rPr>
                <w:rStyle w:val="79"/>
                <w:rFonts w:hint="eastAsia"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①增值(特色)服务方案及各项服务的承诺:根据投标人提供的(特色)服务方案是否具有实际意义且可行进行评分(评分范围：1.5、1、0.5、0)</w:t>
            </w:r>
          </w:p>
          <w:p w14:paraId="0466946F">
            <w:pPr>
              <w:wordWrap w:val="0"/>
              <w:snapToGrid w:val="0"/>
              <w:spacing w:beforeLines="0" w:afterLines="0" w:line="360" w:lineRule="auto"/>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②根据投标人提供的各项服务的承诺是否满足完全贴合采购需求进行评分(评分范围：1.5、1、0.5、0)</w:t>
            </w:r>
          </w:p>
        </w:tc>
        <w:tc>
          <w:tcPr>
            <w:tcW w:w="770" w:type="dxa"/>
            <w:vAlign w:val="center"/>
          </w:tcPr>
          <w:p w14:paraId="6904C644">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1182" w:type="dxa"/>
            <w:vAlign w:val="center"/>
          </w:tcPr>
          <w:p w14:paraId="05D7C8A3">
            <w:pPr>
              <w:wordWrap w:val="0"/>
              <w:autoSpaceDE w:val="0"/>
              <w:autoSpaceDN w:val="0"/>
              <w:snapToGrid w:val="0"/>
              <w:spacing w:beforeLines="0" w:afterLines="0" w:line="360" w:lineRule="auto"/>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w:t>
            </w:r>
            <w:r>
              <w:rPr>
                <w:rFonts w:hint="eastAsia" w:ascii="仿宋" w:hAnsi="仿宋" w:eastAsia="仿宋" w:cs="仿宋"/>
                <w:bCs/>
                <w:color w:val="auto"/>
                <w:sz w:val="21"/>
                <w:szCs w:val="21"/>
                <w:highlight w:val="none"/>
              </w:rPr>
              <w:t>观分</w:t>
            </w:r>
          </w:p>
        </w:tc>
        <w:tc>
          <w:tcPr>
            <w:tcW w:w="1295" w:type="dxa"/>
            <w:vAlign w:val="center"/>
          </w:tcPr>
          <w:p w14:paraId="650B19D7">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11A7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14:paraId="41D674AF">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eastAsia="zh-CN"/>
              </w:rPr>
            </w:pPr>
            <w:r>
              <w:rPr>
                <w:rStyle w:val="79"/>
                <w:rFonts w:hint="eastAsia" w:ascii="仿宋" w:hAnsi="仿宋" w:eastAsia="仿宋" w:cs="仿宋"/>
                <w:bCs/>
                <w:color w:val="auto"/>
                <w:sz w:val="21"/>
                <w:szCs w:val="21"/>
                <w:highlight w:val="none"/>
                <w:lang w:val="en-US" w:eastAsia="zh-CN"/>
              </w:rPr>
              <w:t>3</w:t>
            </w:r>
          </w:p>
        </w:tc>
        <w:tc>
          <w:tcPr>
            <w:tcW w:w="4900" w:type="dxa"/>
            <w:vAlign w:val="center"/>
          </w:tcPr>
          <w:p w14:paraId="4F3EB7C3">
            <w:pPr>
              <w:wordWrap w:val="0"/>
              <w:autoSpaceDE w:val="0"/>
              <w:autoSpaceDN w:val="0"/>
              <w:snapToGrid w:val="0"/>
              <w:spacing w:beforeLines="0" w:afterLines="0" w:line="360" w:lineRule="auto"/>
              <w:jc w:val="both"/>
              <w:rPr>
                <w:rFonts w:ascii="仿宋" w:hAnsi="仿宋" w:eastAsia="仿宋" w:cs="仿宋"/>
                <w:color w:val="auto"/>
                <w:kern w:val="0"/>
                <w:sz w:val="21"/>
                <w:szCs w:val="21"/>
                <w:highlight w:val="none"/>
                <w:lang w:val="zh-CN"/>
              </w:rPr>
            </w:pPr>
            <w:r>
              <w:rPr>
                <w:rStyle w:val="79"/>
                <w:rFonts w:hint="eastAsia" w:ascii="仿宋" w:hAnsi="仿宋" w:eastAsia="仿宋" w:cs="仿宋"/>
                <w:bCs/>
                <w:color w:val="auto"/>
                <w:sz w:val="21"/>
                <w:szCs w:val="21"/>
                <w:highlight w:val="none"/>
              </w:rPr>
              <w:t>企业</w:t>
            </w:r>
            <w:r>
              <w:rPr>
                <w:rStyle w:val="79"/>
                <w:rFonts w:hint="eastAsia" w:ascii="仿宋" w:hAnsi="仿宋" w:eastAsia="仿宋" w:cs="仿宋"/>
                <w:bCs/>
                <w:color w:val="auto"/>
                <w:sz w:val="21"/>
                <w:szCs w:val="21"/>
                <w:highlight w:val="none"/>
                <w:lang w:val="en-US" w:eastAsia="zh-CN"/>
              </w:rPr>
              <w:t>类似</w:t>
            </w:r>
            <w:r>
              <w:rPr>
                <w:rStyle w:val="79"/>
                <w:rFonts w:hint="eastAsia" w:ascii="仿宋" w:hAnsi="仿宋" w:eastAsia="仿宋" w:cs="仿宋"/>
                <w:bCs/>
                <w:color w:val="auto"/>
                <w:sz w:val="21"/>
                <w:szCs w:val="21"/>
                <w:highlight w:val="none"/>
              </w:rPr>
              <w:t>业绩</w:t>
            </w:r>
            <w:r>
              <w:rPr>
                <w:rStyle w:val="79"/>
                <w:rFonts w:hint="eastAsia" w:ascii="仿宋" w:hAnsi="仿宋" w:eastAsia="仿宋" w:cs="仿宋"/>
                <w:bCs/>
                <w:color w:val="auto"/>
                <w:sz w:val="21"/>
                <w:szCs w:val="21"/>
                <w:highlight w:val="none"/>
                <w:lang w:eastAsia="zh-CN"/>
              </w:rPr>
              <w:t>：</w:t>
            </w:r>
            <w:r>
              <w:rPr>
                <w:rFonts w:hint="eastAsia" w:ascii="仿宋" w:hAnsi="仿宋" w:eastAsia="仿宋" w:cs="仿宋"/>
                <w:color w:val="auto"/>
                <w:kern w:val="0"/>
                <w:sz w:val="21"/>
                <w:szCs w:val="21"/>
                <w:highlight w:val="none"/>
                <w:lang w:val="zh-CN"/>
              </w:rPr>
              <w:t>供应商</w:t>
            </w:r>
            <w:r>
              <w:rPr>
                <w:rFonts w:hint="eastAsia" w:ascii="仿宋" w:hAnsi="仿宋" w:eastAsia="仿宋" w:cs="仿宋"/>
                <w:color w:val="auto"/>
                <w:kern w:val="0"/>
                <w:sz w:val="21"/>
                <w:szCs w:val="21"/>
                <w:highlight w:val="none"/>
                <w:lang w:val="en-US" w:eastAsia="zh-CN"/>
              </w:rPr>
              <w:t>具有类似</w:t>
            </w:r>
            <w:r>
              <w:rPr>
                <w:rFonts w:ascii="仿宋" w:hAnsi="仿宋" w:eastAsia="仿宋" w:cs="仿宋"/>
                <w:color w:val="auto"/>
                <w:kern w:val="0"/>
                <w:sz w:val="21"/>
                <w:szCs w:val="21"/>
                <w:highlight w:val="none"/>
                <w:lang w:val="zh-CN"/>
              </w:rPr>
              <w:t>企业退休人员</w:t>
            </w:r>
            <w:r>
              <w:rPr>
                <w:rFonts w:hint="eastAsia" w:ascii="仿宋" w:hAnsi="仿宋" w:eastAsia="仿宋" w:cs="仿宋"/>
                <w:color w:val="auto"/>
                <w:kern w:val="0"/>
                <w:sz w:val="21"/>
                <w:szCs w:val="21"/>
                <w:highlight w:val="none"/>
                <w:lang w:val="en-US" w:eastAsia="zh-CN"/>
              </w:rPr>
              <w:t>文体</w:t>
            </w:r>
            <w:r>
              <w:rPr>
                <w:rFonts w:ascii="仿宋" w:hAnsi="仿宋" w:eastAsia="仿宋" w:cs="仿宋"/>
                <w:color w:val="auto"/>
                <w:kern w:val="0"/>
                <w:sz w:val="21"/>
                <w:szCs w:val="21"/>
                <w:highlight w:val="none"/>
                <w:lang w:val="zh-CN"/>
              </w:rPr>
              <w:t>活动</w:t>
            </w:r>
            <w:r>
              <w:rPr>
                <w:rFonts w:hint="eastAsia" w:ascii="仿宋" w:hAnsi="仿宋" w:eastAsia="仿宋" w:cs="仿宋"/>
                <w:color w:val="auto"/>
                <w:kern w:val="0"/>
                <w:sz w:val="21"/>
                <w:szCs w:val="21"/>
                <w:highlight w:val="none"/>
                <w:lang w:val="en-US" w:eastAsia="zh-CN"/>
              </w:rPr>
              <w:t>承办服务</w:t>
            </w:r>
            <w:r>
              <w:rPr>
                <w:rFonts w:ascii="仿宋" w:hAnsi="仿宋" w:eastAsia="仿宋" w:cs="仿宋"/>
                <w:color w:val="auto"/>
                <w:kern w:val="0"/>
                <w:sz w:val="21"/>
                <w:szCs w:val="21"/>
                <w:highlight w:val="none"/>
                <w:lang w:val="zh-CN"/>
              </w:rPr>
              <w:t>业绩</w:t>
            </w:r>
            <w:r>
              <w:rPr>
                <w:rFonts w:hint="eastAsia" w:ascii="仿宋" w:hAnsi="仿宋" w:eastAsia="仿宋" w:cs="仿宋"/>
                <w:color w:val="auto"/>
                <w:kern w:val="0"/>
                <w:sz w:val="21"/>
                <w:szCs w:val="21"/>
                <w:highlight w:val="none"/>
                <w:lang w:val="en-US" w:eastAsia="zh-CN"/>
              </w:rPr>
              <w:t>的，</w:t>
            </w:r>
            <w:r>
              <w:rPr>
                <w:rFonts w:ascii="仿宋" w:hAnsi="仿宋" w:eastAsia="仿宋" w:cs="仿宋"/>
                <w:color w:val="auto"/>
                <w:kern w:val="0"/>
                <w:sz w:val="21"/>
                <w:szCs w:val="21"/>
                <w:highlight w:val="none"/>
                <w:lang w:val="zh-CN"/>
              </w:rPr>
              <w:t>每</w:t>
            </w:r>
            <w:r>
              <w:rPr>
                <w:rFonts w:hint="eastAsia" w:ascii="仿宋" w:hAnsi="仿宋" w:eastAsia="仿宋" w:cs="仿宋"/>
                <w:color w:val="auto"/>
                <w:kern w:val="0"/>
                <w:sz w:val="21"/>
                <w:szCs w:val="21"/>
                <w:highlight w:val="none"/>
                <w:lang w:val="en-US" w:eastAsia="zh-CN"/>
              </w:rPr>
              <w:t>具有1例的，得1</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最高得4</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w:t>
            </w:r>
            <w:r>
              <w:rPr>
                <w:rFonts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rPr>
              <w:t>证明材料提供合同，联合体</w:t>
            </w:r>
            <w:r>
              <w:rPr>
                <w:rFonts w:hint="eastAsia" w:ascii="仿宋" w:hAnsi="仿宋" w:eastAsia="仿宋" w:cs="仿宋"/>
                <w:color w:val="auto"/>
                <w:kern w:val="0"/>
                <w:sz w:val="21"/>
                <w:szCs w:val="21"/>
                <w:highlight w:val="none"/>
                <w:lang w:val="en-US" w:eastAsia="zh-CN"/>
              </w:rPr>
              <w:t>参加</w:t>
            </w:r>
            <w:r>
              <w:rPr>
                <w:rFonts w:hint="eastAsia" w:ascii="仿宋" w:hAnsi="仿宋" w:eastAsia="仿宋" w:cs="仿宋"/>
                <w:color w:val="auto"/>
                <w:kern w:val="0"/>
                <w:sz w:val="21"/>
                <w:szCs w:val="21"/>
                <w:highlight w:val="none"/>
                <w:lang w:val="zh-CN"/>
              </w:rPr>
              <w:t>的，业绩数量以提供材料较少的一方为准</w:t>
            </w:r>
            <w:r>
              <w:rPr>
                <w:rFonts w:ascii="仿宋" w:hAnsi="仿宋" w:eastAsia="仿宋" w:cs="仿宋"/>
                <w:color w:val="auto"/>
                <w:kern w:val="0"/>
                <w:sz w:val="21"/>
                <w:szCs w:val="21"/>
                <w:highlight w:val="none"/>
                <w:lang w:val="zh-CN"/>
              </w:rPr>
              <w:t>）</w:t>
            </w:r>
          </w:p>
        </w:tc>
        <w:tc>
          <w:tcPr>
            <w:tcW w:w="770" w:type="dxa"/>
            <w:vAlign w:val="center"/>
          </w:tcPr>
          <w:p w14:paraId="3D408F04">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182" w:type="dxa"/>
            <w:vAlign w:val="center"/>
          </w:tcPr>
          <w:p w14:paraId="21B88679">
            <w:pPr>
              <w:wordWrap w:val="0"/>
              <w:autoSpaceDE w:val="0"/>
              <w:autoSpaceDN w:val="0"/>
              <w:snapToGrid w:val="0"/>
              <w:spacing w:beforeLines="0" w:afterLines="0" w:line="360" w:lineRule="auto"/>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295" w:type="dxa"/>
            <w:vAlign w:val="center"/>
          </w:tcPr>
          <w:p w14:paraId="789E33E0">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75B9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9" w:type="dxa"/>
            <w:vAlign w:val="center"/>
          </w:tcPr>
          <w:p w14:paraId="07B756C3">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eastAsia="zh-CN"/>
              </w:rPr>
            </w:pPr>
            <w:r>
              <w:rPr>
                <w:rStyle w:val="79"/>
                <w:rFonts w:hint="eastAsia" w:ascii="仿宋" w:hAnsi="仿宋" w:eastAsia="仿宋" w:cs="仿宋"/>
                <w:bCs/>
                <w:color w:val="auto"/>
                <w:sz w:val="21"/>
                <w:szCs w:val="21"/>
                <w:highlight w:val="none"/>
                <w:lang w:val="en-US" w:eastAsia="zh-CN"/>
              </w:rPr>
              <w:t>4</w:t>
            </w:r>
          </w:p>
        </w:tc>
        <w:tc>
          <w:tcPr>
            <w:tcW w:w="4900" w:type="dxa"/>
            <w:vAlign w:val="center"/>
          </w:tcPr>
          <w:p w14:paraId="40AF9B0A">
            <w:pPr>
              <w:widowControl/>
              <w:snapToGrid w:val="0"/>
              <w:spacing w:beforeLines="0" w:afterLines="0"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文娱健身活动活动方案</w:t>
            </w:r>
            <w:r>
              <w:rPr>
                <w:rFonts w:hint="eastAsia" w:ascii="仿宋" w:hAnsi="仿宋" w:eastAsia="仿宋" w:cs="仿宋"/>
                <w:color w:val="auto"/>
                <w:sz w:val="21"/>
                <w:szCs w:val="21"/>
                <w:highlight w:val="none"/>
                <w:lang w:eastAsia="zh-CN"/>
              </w:rPr>
              <w:t>：</w:t>
            </w:r>
          </w:p>
          <w:p w14:paraId="70F28578">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lang w:eastAsia="zh-CN"/>
              </w:rPr>
              <w:t>文娱健身活动方案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合理、</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w:t>
            </w:r>
            <w:r>
              <w:rPr>
                <w:rFonts w:hint="eastAsia" w:ascii="仿宋" w:hAnsi="仿宋" w:eastAsia="仿宋" w:cs="仿宋"/>
                <w:color w:val="auto"/>
                <w:sz w:val="21"/>
                <w:szCs w:val="21"/>
                <w:highlight w:val="none"/>
                <w:lang w:val="en-US" w:eastAsia="zh-CN"/>
              </w:rPr>
              <w:t>是否符合小型、多样、就近、安全原则</w:t>
            </w:r>
            <w:r>
              <w:rPr>
                <w:rFonts w:hint="eastAsia" w:ascii="仿宋" w:hAnsi="仿宋" w:eastAsia="仿宋" w:cs="仿宋"/>
                <w:color w:val="auto"/>
                <w:sz w:val="21"/>
                <w:szCs w:val="21"/>
                <w:highlight w:val="none"/>
                <w:lang w:eastAsia="zh-CN"/>
              </w:rPr>
              <w:t>进行打分：（</w:t>
            </w:r>
            <w:r>
              <w:rPr>
                <w:rFonts w:hint="eastAsia" w:ascii="仿宋" w:hAnsi="仿宋" w:eastAsia="仿宋" w:cs="仿宋"/>
                <w:color w:val="auto"/>
                <w:sz w:val="21"/>
                <w:szCs w:val="21"/>
                <w:highlight w:val="none"/>
                <w:lang w:val="en-US" w:eastAsia="zh-CN"/>
              </w:rPr>
              <w:t>评分范围：8、7、6、5、4、3、2、1、0）</w:t>
            </w:r>
          </w:p>
          <w:p w14:paraId="43ED4D2C">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eastAsia="zh-CN"/>
              </w:rPr>
              <w:t>提供的各类活动的场地、设施设备、</w:t>
            </w:r>
            <w:r>
              <w:rPr>
                <w:rFonts w:hint="eastAsia" w:ascii="仿宋" w:hAnsi="仿宋" w:eastAsia="仿宋" w:cs="仿宋"/>
                <w:color w:val="auto"/>
                <w:sz w:val="21"/>
                <w:szCs w:val="21"/>
                <w:highlight w:val="none"/>
                <w:lang w:val="en-US" w:eastAsia="zh-CN"/>
              </w:rPr>
              <w:t>实施</w:t>
            </w:r>
            <w:r>
              <w:rPr>
                <w:rFonts w:hint="eastAsia" w:ascii="仿宋" w:hAnsi="仿宋" w:eastAsia="仿宋" w:cs="仿宋"/>
                <w:color w:val="auto"/>
                <w:sz w:val="21"/>
                <w:szCs w:val="21"/>
                <w:highlight w:val="none"/>
                <w:lang w:eastAsia="zh-CN"/>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全面合理且可操作性强，</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与采购需求完全相适应进行打分；（</w:t>
            </w:r>
            <w:r>
              <w:rPr>
                <w:rFonts w:hint="eastAsia" w:ascii="仿宋" w:hAnsi="仿宋" w:eastAsia="仿宋" w:cs="仿宋"/>
                <w:color w:val="auto"/>
                <w:sz w:val="21"/>
                <w:szCs w:val="21"/>
                <w:highlight w:val="none"/>
                <w:lang w:val="en-US" w:eastAsia="zh-CN"/>
              </w:rPr>
              <w:t>评分范围：5、4、3、2、1、0）</w:t>
            </w:r>
          </w:p>
          <w:p w14:paraId="1E7A5D53">
            <w:pPr>
              <w:pStyle w:val="4"/>
              <w:tabs>
                <w:tab w:val="clear" w:pos="432"/>
              </w:tabs>
              <w:ind w:left="0" w:leftChars="0"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③活动策划、宣传标语内容，及为采购人提供活动宣传素材的方案是否合理、完善进行打分。（评分范围</w:t>
            </w:r>
            <w:r>
              <w:rPr>
                <w:rFonts w:hint="eastAsia" w:ascii="仿宋" w:eastAsia="仿宋" w:cs="仿宋"/>
                <w:b w:val="0"/>
                <w:bCs w:val="0"/>
                <w:color w:val="auto"/>
                <w:kern w:val="2"/>
                <w:sz w:val="21"/>
                <w:szCs w:val="21"/>
                <w:highlight w:val="none"/>
                <w:lang w:val="en-US" w:eastAsia="zh-CN" w:bidi="ar-SA"/>
              </w:rPr>
              <w:t>：3、</w:t>
            </w:r>
            <w:r>
              <w:rPr>
                <w:rFonts w:hint="eastAsia" w:ascii="仿宋" w:hAnsi="仿宋" w:eastAsia="仿宋" w:cs="仿宋"/>
                <w:b w:val="0"/>
                <w:bCs w:val="0"/>
                <w:color w:val="auto"/>
                <w:kern w:val="2"/>
                <w:sz w:val="21"/>
                <w:szCs w:val="21"/>
                <w:highlight w:val="none"/>
                <w:lang w:val="en-US" w:eastAsia="zh-CN" w:bidi="ar-SA"/>
              </w:rPr>
              <w:t>2、1、0）</w:t>
            </w:r>
          </w:p>
          <w:p w14:paraId="4A2E5914">
            <w:pPr>
              <w:rPr>
                <w:rFonts w:hint="default"/>
                <w:color w:val="auto"/>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④提供的上门慰问方案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完全</w:t>
            </w:r>
            <w:r>
              <w:rPr>
                <w:rFonts w:hint="eastAsia" w:ascii="仿宋" w:hAnsi="仿宋" w:eastAsia="仿宋" w:cs="仿宋"/>
                <w:color w:val="auto"/>
                <w:sz w:val="21"/>
                <w:szCs w:val="21"/>
                <w:highlight w:val="none"/>
                <w:lang w:val="en-US" w:eastAsia="zh-CN"/>
              </w:rPr>
              <w:t>符合</w:t>
            </w:r>
            <w:r>
              <w:rPr>
                <w:rFonts w:hint="eastAsia" w:ascii="仿宋" w:hAnsi="仿宋" w:eastAsia="仿宋" w:cs="仿宋"/>
                <w:color w:val="auto"/>
                <w:sz w:val="21"/>
                <w:szCs w:val="21"/>
                <w:highlight w:val="none"/>
                <w:lang w:eastAsia="zh-CN"/>
              </w:rPr>
              <w:t>采购需求</w:t>
            </w:r>
            <w:r>
              <w:rPr>
                <w:rFonts w:hint="eastAsia" w:ascii="仿宋" w:hAnsi="仿宋" w:eastAsia="仿宋" w:cs="仿宋"/>
                <w:color w:val="auto"/>
                <w:sz w:val="21"/>
                <w:szCs w:val="21"/>
                <w:highlight w:val="none"/>
                <w:lang w:val="en-US" w:eastAsia="zh-CN"/>
              </w:rPr>
              <w:t>进行评分</w:t>
            </w:r>
            <w:r>
              <w:rPr>
                <w:rFonts w:hint="eastAsia" w:ascii="仿宋" w:hAnsi="仿宋" w:eastAsia="仿宋" w:cs="仿宋"/>
                <w:b w:val="0"/>
                <w:bCs w:val="0"/>
                <w:color w:val="auto"/>
                <w:kern w:val="2"/>
                <w:sz w:val="21"/>
                <w:szCs w:val="21"/>
                <w:highlight w:val="none"/>
                <w:lang w:val="en-US" w:eastAsia="zh-CN" w:bidi="ar-SA"/>
              </w:rPr>
              <w:t>。（评分范围：4、3、2、1、0）</w:t>
            </w:r>
          </w:p>
        </w:tc>
        <w:tc>
          <w:tcPr>
            <w:tcW w:w="770" w:type="dxa"/>
            <w:vAlign w:val="center"/>
          </w:tcPr>
          <w:p w14:paraId="14BFDD2B">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20</w:t>
            </w:r>
          </w:p>
        </w:tc>
        <w:tc>
          <w:tcPr>
            <w:tcW w:w="1182" w:type="dxa"/>
            <w:vAlign w:val="center"/>
          </w:tcPr>
          <w:p w14:paraId="68EAF555">
            <w:pPr>
              <w:wordWrap w:val="0"/>
              <w:autoSpaceDE w:val="0"/>
              <w:autoSpaceDN w:val="0"/>
              <w:snapToGrid w:val="0"/>
              <w:spacing w:beforeLines="0" w:afterLines="0" w:line="360" w:lineRule="auto"/>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295" w:type="dxa"/>
            <w:vAlign w:val="center"/>
          </w:tcPr>
          <w:p w14:paraId="0C86ED5A">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56DE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59" w:type="dxa"/>
            <w:vAlign w:val="center"/>
          </w:tcPr>
          <w:p w14:paraId="31FE5B0A">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5</w:t>
            </w:r>
          </w:p>
        </w:tc>
        <w:tc>
          <w:tcPr>
            <w:tcW w:w="4900" w:type="dxa"/>
            <w:vAlign w:val="center"/>
          </w:tcPr>
          <w:p w14:paraId="7C4B6DBE">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外出参观游览活动方案：</w:t>
            </w:r>
          </w:p>
          <w:p w14:paraId="0E52A481">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①外出游览策划方案是否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b w:val="0"/>
                <w:bCs w:val="0"/>
                <w:color w:val="auto"/>
                <w:kern w:val="2"/>
                <w:sz w:val="21"/>
                <w:szCs w:val="21"/>
                <w:highlight w:val="none"/>
                <w:lang w:val="en-US" w:eastAsia="zh-CN" w:bidi="ar-SA"/>
              </w:rPr>
              <w:t>具有特色且突出主题，是否种类丰富进行评分：（评分范围：2、1、0）</w:t>
            </w:r>
          </w:p>
          <w:p w14:paraId="79F60248">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②配备的导游数量是否充足、是否具备相关资格证书，是否具有类似项目服务经验进行评分；（评分范围：3、2、1、0）提供相关证明材料</w:t>
            </w:r>
          </w:p>
          <w:p w14:paraId="3D506ED4">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③配备的驾驶员是否具备5年以上驾驶经验，满足的得2分,不满足不得分，提供驾驶员驾驶证并加盖公章。</w:t>
            </w:r>
          </w:p>
          <w:p w14:paraId="78A4531A">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④外出游览车辆的配备情况，数量是否充足，车况是否良好（包括但不限于行驶年限是否3年以内，是否配备冷暖空调、定位设备、车内摄像监控装置等）（评分范围：2、1、0）</w:t>
            </w:r>
          </w:p>
          <w:p w14:paraId="1583F1F3">
            <w:pPr>
              <w:pStyle w:val="4"/>
              <w:tabs>
                <w:tab w:val="left" w:pos="0"/>
                <w:tab w:val="clear" w:pos="432"/>
              </w:tabs>
              <w:ind w:left="-1" w:leftChars="0" w:firstLine="0" w:firstLineChars="0"/>
              <w:rPr>
                <w:rFonts w:hint="default" w:ascii="仿宋" w:hAnsi="仿宋" w:eastAsia="仿宋" w:cs="仿宋"/>
                <w:b w:val="0"/>
                <w:bCs w:val="0"/>
                <w:color w:val="auto"/>
                <w:kern w:val="2"/>
                <w:sz w:val="21"/>
                <w:szCs w:val="21"/>
                <w:highlight w:val="none"/>
                <w:lang w:val="en-US" w:eastAsia="zh-CN" w:bidi="ar-SA"/>
              </w:rPr>
            </w:pPr>
            <w:r>
              <w:rPr>
                <w:rFonts w:hint="default" w:ascii="仿宋" w:hAnsi="仿宋" w:eastAsia="仿宋" w:cs="仿宋"/>
                <w:b w:val="0"/>
                <w:bCs w:val="0"/>
                <w:color w:val="auto"/>
                <w:kern w:val="2"/>
                <w:sz w:val="21"/>
                <w:szCs w:val="21"/>
                <w:highlight w:val="none"/>
                <w:lang w:val="en-US" w:eastAsia="zh-CN" w:bidi="ar-SA"/>
              </w:rPr>
              <w:t>⑤外出游览餐饮安排情况：提供的餐饮服务方案是否科学、合理进行评分（评分范围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eastAsia="仿宋" w:cs="仿宋"/>
                <w:b w:val="0"/>
                <w:bCs w:val="0"/>
                <w:color w:val="auto"/>
                <w:kern w:val="2"/>
                <w:sz w:val="21"/>
                <w:szCs w:val="21"/>
                <w:highlight w:val="none"/>
                <w:lang w:val="en-US" w:eastAsia="zh-CN" w:bidi="ar-SA"/>
              </w:rPr>
              <w:t>5、</w:t>
            </w:r>
            <w:r>
              <w:rPr>
                <w:rFonts w:hint="default" w:ascii="仿宋" w:hAnsi="仿宋" w:eastAsia="仿宋" w:cs="仿宋"/>
                <w:b w:val="0"/>
                <w:bCs w:val="0"/>
                <w:color w:val="auto"/>
                <w:kern w:val="2"/>
                <w:sz w:val="21"/>
                <w:szCs w:val="21"/>
                <w:highlight w:val="none"/>
                <w:lang w:val="en-US" w:eastAsia="zh-CN" w:bidi="ar-SA"/>
              </w:rPr>
              <w:t>4、3、2、1、0）</w:t>
            </w:r>
          </w:p>
        </w:tc>
        <w:tc>
          <w:tcPr>
            <w:tcW w:w="770" w:type="dxa"/>
            <w:shd w:val="clear" w:color="auto" w:fill="auto"/>
            <w:vAlign w:val="center"/>
          </w:tcPr>
          <w:p w14:paraId="3AC364D8">
            <w:pPr>
              <w:autoSpaceDE w:val="0"/>
              <w:autoSpaceDN w:val="0"/>
              <w:snapToGrid w:val="0"/>
              <w:spacing w:beforeLines="0" w:afterLines="0"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14</w:t>
            </w:r>
          </w:p>
        </w:tc>
        <w:tc>
          <w:tcPr>
            <w:tcW w:w="1182" w:type="dxa"/>
            <w:shd w:val="clear" w:color="auto" w:fill="auto"/>
            <w:vAlign w:val="center"/>
          </w:tcPr>
          <w:p w14:paraId="43B5718B">
            <w:pPr>
              <w:wordWrap w:val="0"/>
              <w:autoSpaceDE w:val="0"/>
              <w:autoSpaceDN w:val="0"/>
              <w:snapToGrid w:val="0"/>
              <w:spacing w:beforeLines="0" w:afterLines="0"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主、客观分</w:t>
            </w:r>
          </w:p>
        </w:tc>
        <w:tc>
          <w:tcPr>
            <w:tcW w:w="1295" w:type="dxa"/>
            <w:vAlign w:val="center"/>
          </w:tcPr>
          <w:p w14:paraId="32CAD44B">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6A0A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9" w:type="dxa"/>
            <w:vAlign w:val="center"/>
          </w:tcPr>
          <w:p w14:paraId="7C87317A">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6</w:t>
            </w:r>
          </w:p>
        </w:tc>
        <w:tc>
          <w:tcPr>
            <w:tcW w:w="4900" w:type="dxa"/>
            <w:vAlign w:val="center"/>
          </w:tcPr>
          <w:p w14:paraId="5206740A">
            <w:pPr>
              <w:tabs>
                <w:tab w:val="left" w:pos="1199"/>
              </w:tabs>
              <w:autoSpaceDE w:val="0"/>
              <w:autoSpaceDN w:val="0"/>
              <w:snapToGrid w:val="0"/>
              <w:spacing w:beforeLines="0" w:afterLines="0" w:line="360" w:lineRule="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活动开展的工作程序和步骤：根据供应商提供的活动开展的工作程序和步骤等方面进行评分。工作程序和步骤是否合理，是否适用性强；（评分范围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eastAsia="zh-CN"/>
              </w:rPr>
              <w:t>4、3、2、1、0）</w:t>
            </w:r>
          </w:p>
        </w:tc>
        <w:tc>
          <w:tcPr>
            <w:tcW w:w="770" w:type="dxa"/>
            <w:vAlign w:val="center"/>
          </w:tcPr>
          <w:p w14:paraId="214C9EAE">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182" w:type="dxa"/>
            <w:vAlign w:val="center"/>
          </w:tcPr>
          <w:p w14:paraId="50B2ED89">
            <w:pPr>
              <w:wordWrap w:val="0"/>
              <w:autoSpaceDE w:val="0"/>
              <w:autoSpaceDN w:val="0"/>
              <w:snapToGrid w:val="0"/>
              <w:spacing w:beforeLines="0" w:afterLines="0" w:line="360" w:lineRule="auto"/>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295" w:type="dxa"/>
            <w:vAlign w:val="center"/>
          </w:tcPr>
          <w:p w14:paraId="7A062E62">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7EA4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9" w:type="dxa"/>
            <w:vAlign w:val="center"/>
          </w:tcPr>
          <w:p w14:paraId="179CDDFE">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7</w:t>
            </w:r>
          </w:p>
        </w:tc>
        <w:tc>
          <w:tcPr>
            <w:tcW w:w="4900" w:type="dxa"/>
            <w:vAlign w:val="center"/>
          </w:tcPr>
          <w:p w14:paraId="38B406B2">
            <w:pPr>
              <w:widowControl/>
              <w:snapToGrid w:val="0"/>
              <w:spacing w:beforeLines="0" w:afterLines="0" w:line="360" w:lineRule="auto"/>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活动过程中的管理和协调方法：根据供应商提供的活动过程中的管理和协调方法的合理性和适用管理和协调方法合理性进行评分。方案是否全面合理且可操作性强，与采购需求是否完全相适应；（评分范围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kern w:val="0"/>
                <w:sz w:val="21"/>
                <w:szCs w:val="21"/>
                <w:highlight w:val="none"/>
                <w:lang w:val="en-US" w:eastAsia="zh-CN" w:bidi="ar-SA"/>
              </w:rPr>
              <w:t>5、4、3、2、1、0）</w:t>
            </w:r>
          </w:p>
        </w:tc>
        <w:tc>
          <w:tcPr>
            <w:tcW w:w="770" w:type="dxa"/>
            <w:vAlign w:val="center"/>
          </w:tcPr>
          <w:p w14:paraId="6BBAD95E">
            <w:pPr>
              <w:autoSpaceDE w:val="0"/>
              <w:autoSpaceDN w:val="0"/>
              <w:snapToGrid w:val="0"/>
              <w:spacing w:beforeLines="0" w:afterLines="0"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182" w:type="dxa"/>
            <w:vAlign w:val="center"/>
          </w:tcPr>
          <w:p w14:paraId="67C0550B">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295" w:type="dxa"/>
            <w:vAlign w:val="center"/>
          </w:tcPr>
          <w:p w14:paraId="3269FF92">
            <w:pPr>
              <w:wordWrap w:val="0"/>
              <w:snapToGrid w:val="0"/>
              <w:spacing w:beforeLines="0" w:afterLines="0" w:line="360" w:lineRule="auto"/>
              <w:rPr>
                <w:rFonts w:ascii="仿宋" w:hAnsi="仿宋" w:eastAsia="仿宋" w:cs="仿宋"/>
                <w:color w:val="auto"/>
                <w:sz w:val="21"/>
                <w:szCs w:val="21"/>
                <w:highlight w:val="none"/>
              </w:rPr>
            </w:pPr>
          </w:p>
        </w:tc>
      </w:tr>
      <w:tr w14:paraId="49EC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9" w:type="dxa"/>
            <w:vAlign w:val="center"/>
          </w:tcPr>
          <w:p w14:paraId="4399E0EA">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4900" w:type="dxa"/>
            <w:vAlign w:val="center"/>
          </w:tcPr>
          <w:p w14:paraId="73763A60">
            <w:pPr>
              <w:pStyle w:val="58"/>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安全保障措施：根据供应商的安全</w:t>
            </w:r>
            <w:r>
              <w:rPr>
                <w:rFonts w:hint="eastAsia" w:ascii="仿宋" w:hAnsi="仿宋" w:eastAsia="仿宋" w:cs="仿宋"/>
                <w:color w:val="auto"/>
                <w:sz w:val="21"/>
                <w:szCs w:val="21"/>
                <w:highlight w:val="none"/>
                <w:lang w:eastAsia="zh-CN"/>
              </w:rPr>
              <w:t>保障</w:t>
            </w:r>
            <w:r>
              <w:rPr>
                <w:rFonts w:hint="eastAsia" w:ascii="仿宋" w:hAnsi="仿宋" w:eastAsia="仿宋" w:cs="仿宋"/>
                <w:color w:val="auto"/>
                <w:sz w:val="21"/>
                <w:szCs w:val="21"/>
                <w:highlight w:val="none"/>
              </w:rPr>
              <w:t>方案、应急预案，对活动</w:t>
            </w:r>
            <w:r>
              <w:rPr>
                <w:rFonts w:hint="eastAsia" w:ascii="仿宋" w:hAnsi="仿宋" w:eastAsia="仿宋" w:cs="仿宋"/>
                <w:color w:val="auto"/>
                <w:sz w:val="21"/>
                <w:szCs w:val="21"/>
                <w:highlight w:val="none"/>
                <w:lang w:eastAsia="zh-CN"/>
              </w:rPr>
              <w:t>中</w:t>
            </w:r>
            <w:r>
              <w:rPr>
                <w:rFonts w:hint="eastAsia" w:ascii="仿宋" w:hAnsi="仿宋" w:eastAsia="仿宋" w:cs="仿宋"/>
                <w:color w:val="auto"/>
                <w:sz w:val="21"/>
                <w:szCs w:val="21"/>
                <w:highlight w:val="none"/>
              </w:rPr>
              <w:t>出现的突发情况进行分析及提出合理的应对措施方案进行打分。</w:t>
            </w:r>
          </w:p>
          <w:p w14:paraId="120FB68C">
            <w:pPr>
              <w:pStyle w:val="58"/>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全面合理且可操作性强，与采购需求</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完全相适应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6、5、4、3、2、1、0）</w:t>
            </w:r>
          </w:p>
        </w:tc>
        <w:tc>
          <w:tcPr>
            <w:tcW w:w="770" w:type="dxa"/>
            <w:vAlign w:val="center"/>
          </w:tcPr>
          <w:p w14:paraId="38D2FB0C">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182" w:type="dxa"/>
            <w:vAlign w:val="center"/>
          </w:tcPr>
          <w:p w14:paraId="6578C461">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295" w:type="dxa"/>
            <w:vAlign w:val="center"/>
          </w:tcPr>
          <w:p w14:paraId="694ADF7A">
            <w:pPr>
              <w:wordWrap w:val="0"/>
              <w:snapToGrid w:val="0"/>
              <w:spacing w:beforeLines="0" w:afterLines="0" w:line="360" w:lineRule="auto"/>
              <w:rPr>
                <w:rFonts w:ascii="仿宋" w:hAnsi="仿宋" w:eastAsia="仿宋" w:cs="仿宋"/>
                <w:color w:val="auto"/>
                <w:sz w:val="21"/>
                <w:szCs w:val="21"/>
                <w:highlight w:val="none"/>
              </w:rPr>
            </w:pPr>
          </w:p>
        </w:tc>
      </w:tr>
      <w:tr w14:paraId="3568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9" w:type="dxa"/>
            <w:vAlign w:val="center"/>
          </w:tcPr>
          <w:p w14:paraId="3CC68B44">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9</w:t>
            </w:r>
          </w:p>
        </w:tc>
        <w:tc>
          <w:tcPr>
            <w:tcW w:w="4900" w:type="dxa"/>
            <w:vAlign w:val="center"/>
          </w:tcPr>
          <w:p w14:paraId="478777FE">
            <w:pPr>
              <w:pStyle w:val="972"/>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保密措施：根据供应商提供的对参加活动人员名单和个人信息的保密措施和方案的针对性、可行性进行打分。</w:t>
            </w:r>
          </w:p>
          <w:p w14:paraId="5A1E4703">
            <w:pPr>
              <w:pStyle w:val="972"/>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措施及方案是否完善、针对性强（评分范围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bidi="ar-SA"/>
              </w:rPr>
              <w:t>4、3、2、1、0）</w:t>
            </w:r>
          </w:p>
        </w:tc>
        <w:tc>
          <w:tcPr>
            <w:tcW w:w="770" w:type="dxa"/>
            <w:vAlign w:val="center"/>
          </w:tcPr>
          <w:p w14:paraId="4F3BABE2">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182" w:type="dxa"/>
            <w:vAlign w:val="center"/>
          </w:tcPr>
          <w:p w14:paraId="271F13C9">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295" w:type="dxa"/>
            <w:vAlign w:val="center"/>
          </w:tcPr>
          <w:p w14:paraId="2814D267">
            <w:pPr>
              <w:wordWrap w:val="0"/>
              <w:snapToGrid w:val="0"/>
              <w:spacing w:beforeLines="0" w:afterLines="0" w:line="360" w:lineRule="auto"/>
              <w:rPr>
                <w:rFonts w:ascii="仿宋" w:hAnsi="仿宋" w:eastAsia="仿宋" w:cs="仿宋"/>
                <w:color w:val="auto"/>
                <w:sz w:val="21"/>
                <w:szCs w:val="21"/>
                <w:highlight w:val="none"/>
              </w:rPr>
            </w:pPr>
          </w:p>
        </w:tc>
      </w:tr>
      <w:tr w14:paraId="35F0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9" w:type="dxa"/>
            <w:vAlign w:val="center"/>
          </w:tcPr>
          <w:p w14:paraId="37516757">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4900" w:type="dxa"/>
            <w:vAlign w:val="center"/>
          </w:tcPr>
          <w:p w14:paraId="28164EB3">
            <w:pPr>
              <w:pStyle w:val="972"/>
              <w:wordWrap w:val="0"/>
              <w:snapToGrid w:val="0"/>
              <w:spacing w:beforeLines="0" w:afterLines="0"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动态数据：①投标人具有适用本项目所有活动参与人员实时动态数据管理的智能服务管理系统的或承诺中标后向采购人提供参与人员实时动态数据管理的智能服务管理系统的得2分，未提供或未承诺不得分。</w:t>
            </w:r>
            <w:r>
              <w:rPr>
                <w:rFonts w:hint="eastAsia" w:ascii="仿宋" w:hAnsi="仿宋" w:eastAsia="仿宋" w:cs="仿宋"/>
                <w:color w:val="auto"/>
                <w:sz w:val="21"/>
                <w:szCs w:val="21"/>
                <w:highlight w:val="none"/>
                <w:lang w:val="en-US" w:eastAsia="zh-CN" w:bidi="ar-SA"/>
              </w:rPr>
              <w:t>（评分范围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bidi="ar-SA"/>
              </w:rPr>
              <w:t>2、1、0）</w:t>
            </w:r>
          </w:p>
          <w:p w14:paraId="6C842298">
            <w:pPr>
              <w:pStyle w:val="972"/>
              <w:wordWrap w:val="0"/>
              <w:snapToGrid w:val="0"/>
              <w:spacing w:beforeLines="0" w:afterLines="0" w:line="360" w:lineRule="auto"/>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②承诺提供实施现场影像资料的，得1分，不承诺不得分。（投标文件中提供承诺书）</w:t>
            </w:r>
          </w:p>
        </w:tc>
        <w:tc>
          <w:tcPr>
            <w:tcW w:w="770" w:type="dxa"/>
            <w:vAlign w:val="center"/>
          </w:tcPr>
          <w:p w14:paraId="0EF6C551">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3</w:t>
            </w:r>
          </w:p>
        </w:tc>
        <w:tc>
          <w:tcPr>
            <w:tcW w:w="1182" w:type="dxa"/>
            <w:vAlign w:val="center"/>
          </w:tcPr>
          <w:p w14:paraId="24814483">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主、客观分</w:t>
            </w:r>
          </w:p>
        </w:tc>
        <w:tc>
          <w:tcPr>
            <w:tcW w:w="1295" w:type="dxa"/>
            <w:vAlign w:val="center"/>
          </w:tcPr>
          <w:p w14:paraId="6C71ECB7">
            <w:pPr>
              <w:wordWrap w:val="0"/>
              <w:snapToGrid w:val="0"/>
              <w:spacing w:beforeLines="0" w:afterLines="0" w:line="360" w:lineRule="auto"/>
              <w:rPr>
                <w:rFonts w:ascii="仿宋" w:hAnsi="仿宋" w:eastAsia="仿宋" w:cs="仿宋"/>
                <w:color w:val="auto"/>
                <w:sz w:val="21"/>
                <w:szCs w:val="21"/>
                <w:highlight w:val="none"/>
              </w:rPr>
            </w:pPr>
          </w:p>
        </w:tc>
      </w:tr>
      <w:tr w14:paraId="1054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59" w:type="dxa"/>
            <w:vAlign w:val="center"/>
          </w:tcPr>
          <w:p w14:paraId="66256B39">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4900" w:type="dxa"/>
            <w:vAlign w:val="center"/>
          </w:tcPr>
          <w:p w14:paraId="42C71B0D">
            <w:pPr>
              <w:pStyle w:val="972"/>
              <w:wordWrap w:val="0"/>
              <w:snapToGrid w:val="0"/>
              <w:spacing w:beforeLines="0" w:afterLines="0" w:line="360" w:lineRule="auto"/>
              <w:rPr>
                <w:rFonts w:hint="eastAsia" w:ascii="仿宋" w:hAnsi="仿宋" w:eastAsia="仿宋" w:cs="仿宋"/>
                <w:color w:val="auto"/>
                <w:kern w:val="2"/>
                <w:sz w:val="21"/>
                <w:szCs w:val="21"/>
                <w:highlight w:val="none"/>
                <w:lang w:val="en-US" w:eastAsia="zh-CN" w:bidi="zh-TW"/>
              </w:rPr>
            </w:pPr>
            <w:r>
              <w:rPr>
                <w:rFonts w:hint="eastAsia" w:ascii="仿宋" w:hAnsi="仿宋" w:eastAsia="仿宋" w:cs="仿宋"/>
                <w:color w:val="auto"/>
                <w:kern w:val="2"/>
                <w:sz w:val="21"/>
                <w:szCs w:val="21"/>
                <w:highlight w:val="none"/>
                <w:lang w:val="en-US" w:eastAsia="zh-CN" w:bidi="zh-TW"/>
              </w:rPr>
              <w:t>投诉处理方案：针对活动中可能发生投诉的风险点的分析及应对处理措施是否科学、合理、针对性强、措施是否到位进行评分。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6、5、4、3、2、1、0）</w:t>
            </w:r>
          </w:p>
        </w:tc>
        <w:tc>
          <w:tcPr>
            <w:tcW w:w="770" w:type="dxa"/>
            <w:vAlign w:val="center"/>
          </w:tcPr>
          <w:p w14:paraId="75BF637C">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6</w:t>
            </w:r>
          </w:p>
        </w:tc>
        <w:tc>
          <w:tcPr>
            <w:tcW w:w="1182" w:type="dxa"/>
            <w:vAlign w:val="center"/>
          </w:tcPr>
          <w:p w14:paraId="1298B831">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295" w:type="dxa"/>
            <w:vAlign w:val="center"/>
          </w:tcPr>
          <w:p w14:paraId="631651CA">
            <w:pPr>
              <w:wordWrap w:val="0"/>
              <w:snapToGrid w:val="0"/>
              <w:spacing w:beforeLines="0" w:afterLines="0" w:line="360" w:lineRule="auto"/>
              <w:rPr>
                <w:rFonts w:ascii="仿宋" w:hAnsi="仿宋" w:eastAsia="仿宋" w:cs="仿宋"/>
                <w:color w:val="auto"/>
                <w:sz w:val="21"/>
                <w:szCs w:val="21"/>
                <w:highlight w:val="none"/>
              </w:rPr>
            </w:pPr>
          </w:p>
        </w:tc>
      </w:tr>
      <w:tr w14:paraId="3541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59" w:type="dxa"/>
            <w:vAlign w:val="center"/>
          </w:tcPr>
          <w:p w14:paraId="4A1D7371">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4900" w:type="dxa"/>
            <w:vAlign w:val="center"/>
          </w:tcPr>
          <w:p w14:paraId="40C20D08">
            <w:pPr>
              <w:pStyle w:val="58"/>
              <w:snapToGrid w:val="0"/>
              <w:spacing w:before="0" w:beforeLines="0" w:beforeAutospacing="0" w:after="0" w:afterLines="0" w:afterAutospacing="0" w:line="360" w:lineRule="auto"/>
              <w:rPr>
                <w:rStyle w:val="79"/>
                <w:rFonts w:hint="eastAsia" w:ascii="仿宋" w:hAnsi="仿宋" w:eastAsia="仿宋" w:cs="仿宋"/>
                <w:bCs/>
                <w:color w:val="auto"/>
                <w:sz w:val="21"/>
                <w:szCs w:val="21"/>
                <w:highlight w:val="none"/>
                <w:lang w:val="en-US" w:eastAsia="zh-CN"/>
              </w:rPr>
            </w:pPr>
            <w:r>
              <w:rPr>
                <w:rStyle w:val="79"/>
                <w:rFonts w:ascii="仿宋" w:hAnsi="仿宋" w:eastAsia="仿宋" w:cs="仿宋"/>
                <w:bCs/>
                <w:color w:val="auto"/>
                <w:sz w:val="21"/>
                <w:szCs w:val="21"/>
                <w:highlight w:val="none"/>
              </w:rPr>
              <w:t>保险</w:t>
            </w:r>
            <w:r>
              <w:rPr>
                <w:rStyle w:val="79"/>
                <w:rFonts w:hint="eastAsia" w:ascii="仿宋" w:hAnsi="仿宋" w:eastAsia="仿宋" w:cs="仿宋"/>
                <w:bCs/>
                <w:color w:val="auto"/>
                <w:sz w:val="21"/>
                <w:szCs w:val="21"/>
                <w:highlight w:val="none"/>
                <w:lang w:eastAsia="zh-CN"/>
              </w:rPr>
              <w:t>：</w:t>
            </w:r>
            <w:r>
              <w:rPr>
                <w:rFonts w:hint="eastAsia" w:ascii="仿宋" w:hAnsi="仿宋" w:eastAsia="仿宋" w:cs="仿宋"/>
                <w:color w:val="auto"/>
                <w:sz w:val="21"/>
                <w:szCs w:val="21"/>
                <w:highlight w:val="none"/>
                <w:lang w:val="en-US" w:eastAsia="zh-CN"/>
              </w:rPr>
              <w:t>①</w:t>
            </w:r>
            <w:r>
              <w:rPr>
                <w:rStyle w:val="79"/>
                <w:rFonts w:hint="eastAsia" w:ascii="仿宋" w:hAnsi="仿宋" w:eastAsia="仿宋" w:cs="仿宋"/>
                <w:bCs/>
                <w:color w:val="auto"/>
                <w:sz w:val="21"/>
                <w:szCs w:val="21"/>
                <w:highlight w:val="none"/>
                <w:lang w:val="en-US" w:eastAsia="zh-CN"/>
              </w:rPr>
              <w:t>根据提供的险种包括但不限于老年短期意外险包含意外伤害身故和残疾、意外伤害医疗、意外住院津贴、意外住院垫付服务等，是否涵盖全面进行评分。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3、2、1、0）</w:t>
            </w:r>
          </w:p>
          <w:p w14:paraId="2993C398">
            <w:pPr>
              <w:pStyle w:val="972"/>
              <w:wordWrap w:val="0"/>
              <w:snapToGrid w:val="0"/>
              <w:spacing w:beforeLines="0" w:afterLines="0" w:line="360" w:lineRule="auto"/>
              <w:rPr>
                <w:rFonts w:hint="eastAsia" w:ascii="仿宋" w:hAnsi="仿宋" w:eastAsia="仿宋" w:cs="仿宋"/>
                <w:color w:val="auto"/>
                <w:sz w:val="21"/>
                <w:szCs w:val="21"/>
                <w:highlight w:val="none"/>
                <w:lang w:val="en-US" w:eastAsia="zh-CN" w:bidi="ar-SA"/>
              </w:rPr>
            </w:pPr>
            <w:r>
              <w:rPr>
                <w:rStyle w:val="79"/>
                <w:rFonts w:hint="eastAsia" w:ascii="仿宋" w:hAnsi="仿宋" w:eastAsia="仿宋" w:cs="仿宋"/>
                <w:bCs/>
                <w:color w:val="auto"/>
                <w:sz w:val="21"/>
                <w:szCs w:val="21"/>
                <w:highlight w:val="none"/>
                <w:lang w:val="en-US" w:eastAsia="zh-CN"/>
              </w:rPr>
              <w:t>②</w:t>
            </w:r>
            <w:bookmarkStart w:id="429" w:name="_Toc7623"/>
            <w:r>
              <w:rPr>
                <w:rFonts w:hint="eastAsia" w:ascii="仿宋" w:hAnsi="仿宋" w:eastAsia="仿宋" w:cs="仿宋"/>
                <w:color w:val="auto"/>
                <w:sz w:val="21"/>
                <w:szCs w:val="21"/>
                <w:highlight w:val="none"/>
              </w:rPr>
              <w:t>供应商的企业责任保险保额达到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000万的得3分，</w:t>
            </w:r>
            <w:r>
              <w:rPr>
                <w:rFonts w:hint="eastAsia" w:ascii="仿宋" w:hAnsi="仿宋" w:eastAsia="仿宋" w:cs="仿宋"/>
                <w:color w:val="auto"/>
                <w:sz w:val="21"/>
                <w:szCs w:val="21"/>
                <w:highlight w:val="none"/>
                <w:lang w:val="en-US" w:eastAsia="zh-CN"/>
              </w:rPr>
              <w:t>达到</w:t>
            </w:r>
            <w:r>
              <w:rPr>
                <w:rFonts w:hint="eastAsia" w:ascii="仿宋" w:hAnsi="仿宋" w:eastAsia="仿宋" w:cs="仿宋"/>
                <w:color w:val="auto"/>
                <w:sz w:val="21"/>
                <w:szCs w:val="21"/>
                <w:highlight w:val="none"/>
              </w:rPr>
              <w:t>1000万的得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1000万</w:t>
            </w:r>
            <w:r>
              <w:rPr>
                <w:rFonts w:hint="eastAsia" w:ascii="仿宋" w:hAnsi="仿宋" w:eastAsia="仿宋" w:cs="仿宋"/>
                <w:color w:val="auto"/>
                <w:sz w:val="21"/>
                <w:szCs w:val="21"/>
                <w:highlight w:val="none"/>
              </w:rPr>
              <w:t>以下的不得分（提供保单复印件加盖公章）；</w:t>
            </w:r>
            <w:bookmarkEnd w:id="429"/>
          </w:p>
        </w:tc>
        <w:tc>
          <w:tcPr>
            <w:tcW w:w="770" w:type="dxa"/>
            <w:shd w:val="clear" w:color="auto" w:fill="auto"/>
            <w:vAlign w:val="center"/>
          </w:tcPr>
          <w:p w14:paraId="31BDEE8C">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6</w:t>
            </w:r>
          </w:p>
        </w:tc>
        <w:tc>
          <w:tcPr>
            <w:tcW w:w="1182" w:type="dxa"/>
            <w:shd w:val="clear" w:color="auto" w:fill="auto"/>
            <w:vAlign w:val="center"/>
          </w:tcPr>
          <w:p w14:paraId="23626A43">
            <w:pPr>
              <w:wordWrap w:val="0"/>
              <w:snapToGrid w:val="0"/>
              <w:spacing w:beforeLines="0" w:afterLines="0" w:line="360" w:lineRule="auto"/>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主、客观分</w:t>
            </w:r>
          </w:p>
        </w:tc>
        <w:tc>
          <w:tcPr>
            <w:tcW w:w="1295" w:type="dxa"/>
            <w:vAlign w:val="center"/>
          </w:tcPr>
          <w:p w14:paraId="47C61614">
            <w:pPr>
              <w:wordWrap w:val="0"/>
              <w:snapToGrid w:val="0"/>
              <w:spacing w:beforeLines="0" w:afterLines="0" w:line="360" w:lineRule="auto"/>
              <w:rPr>
                <w:rFonts w:ascii="仿宋" w:hAnsi="仿宋" w:eastAsia="仿宋" w:cs="仿宋"/>
                <w:color w:val="auto"/>
                <w:sz w:val="21"/>
                <w:szCs w:val="21"/>
                <w:highlight w:val="none"/>
              </w:rPr>
            </w:pPr>
          </w:p>
        </w:tc>
      </w:tr>
      <w:tr w14:paraId="1315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59" w:type="dxa"/>
            <w:vAlign w:val="center"/>
          </w:tcPr>
          <w:p w14:paraId="11BE64B8">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4900" w:type="dxa"/>
            <w:vAlign w:val="center"/>
          </w:tcPr>
          <w:p w14:paraId="3BADEE32">
            <w:pPr>
              <w:pStyle w:val="972"/>
              <w:wordWrap w:val="0"/>
              <w:snapToGrid w:val="0"/>
              <w:spacing w:beforeLines="0" w:afterLines="0"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管理规章制度情况：针对本项目拟设立的各项管理规章制度</w:t>
            </w: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lang w:val="en-US"/>
              </w:rPr>
              <w:t>各项公众制度</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val="en-US"/>
              </w:rPr>
              <w:t>岗位责任制度</w:t>
            </w: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sz w:val="21"/>
                <w:szCs w:val="21"/>
                <w:highlight w:val="none"/>
                <w:lang w:val="en-US"/>
              </w:rPr>
              <w:t>管理运作制度</w:t>
            </w:r>
            <w:r>
              <w:rPr>
                <w:rFonts w:hint="eastAsia" w:ascii="仿宋" w:hAnsi="仿宋" w:eastAsia="仿宋" w:cs="仿宋"/>
                <w:color w:val="auto"/>
                <w:sz w:val="21"/>
                <w:szCs w:val="21"/>
                <w:highlight w:val="none"/>
                <w:lang w:val="en-US" w:eastAsia="zh-CN"/>
              </w:rPr>
              <w:t>；④</w:t>
            </w:r>
            <w:r>
              <w:rPr>
                <w:rFonts w:hint="eastAsia" w:ascii="仿宋" w:hAnsi="仿宋" w:eastAsia="仿宋" w:cs="仿宋"/>
                <w:color w:val="auto"/>
                <w:sz w:val="21"/>
                <w:szCs w:val="21"/>
                <w:highlight w:val="none"/>
                <w:lang w:val="en-US"/>
              </w:rPr>
              <w:t>考核管理制度及标准等</w:t>
            </w:r>
            <w:r>
              <w:rPr>
                <w:rFonts w:hint="eastAsia" w:ascii="仿宋" w:hAnsi="仿宋" w:eastAsia="仿宋" w:cs="仿宋"/>
                <w:color w:val="auto"/>
                <w:sz w:val="21"/>
                <w:szCs w:val="21"/>
                <w:highlight w:val="none"/>
                <w:lang w:val="en-US" w:eastAsia="zh-CN"/>
              </w:rPr>
              <w:t>；⑤</w:t>
            </w:r>
            <w:r>
              <w:rPr>
                <w:rFonts w:hint="eastAsia" w:ascii="仿宋" w:hAnsi="仿宋" w:eastAsia="仿宋" w:cs="仿宋"/>
                <w:color w:val="auto"/>
                <w:sz w:val="21"/>
                <w:szCs w:val="21"/>
                <w:highlight w:val="none"/>
                <w:lang w:val="en-US"/>
              </w:rPr>
              <w:t>项目服务满意度回访制度</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以上5项方案</w:t>
            </w:r>
            <w:r>
              <w:rPr>
                <w:rFonts w:hint="eastAsia" w:ascii="仿宋" w:hAnsi="仿宋" w:eastAsia="仿宋" w:cs="仿宋"/>
                <w:color w:val="auto"/>
                <w:sz w:val="21"/>
                <w:szCs w:val="21"/>
                <w:highlight w:val="none"/>
                <w:lang w:val="en-US" w:eastAsia="zh-CN"/>
              </w:rPr>
              <w:t>每项</w:t>
            </w:r>
            <w:r>
              <w:rPr>
                <w:rFonts w:hint="eastAsia" w:ascii="仿宋" w:hAnsi="仿宋" w:eastAsia="仿宋" w:cs="仿宋"/>
                <w:color w:val="auto"/>
                <w:sz w:val="21"/>
                <w:szCs w:val="21"/>
                <w:highlight w:val="none"/>
                <w:lang w:val="en-US"/>
              </w:rPr>
              <w:t>是否符合</w:t>
            </w:r>
            <w:r>
              <w:rPr>
                <w:rFonts w:hint="eastAsia" w:ascii="仿宋" w:hAnsi="仿宋" w:eastAsia="仿宋" w:cs="仿宋"/>
                <w:color w:val="auto"/>
                <w:sz w:val="21"/>
                <w:szCs w:val="21"/>
                <w:highlight w:val="none"/>
                <w:lang w:val="en-US" w:eastAsia="zh-CN"/>
              </w:rPr>
              <w:t>采购需求</w:t>
            </w:r>
            <w:r>
              <w:rPr>
                <w:rFonts w:hint="eastAsia" w:ascii="仿宋" w:hAnsi="仿宋" w:eastAsia="仿宋" w:cs="仿宋"/>
                <w:color w:val="auto"/>
                <w:sz w:val="21"/>
                <w:szCs w:val="21"/>
                <w:highlight w:val="none"/>
                <w:lang w:val="en-US"/>
              </w:rPr>
              <w:t>、完善、全面、</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lang w:val="en-US"/>
              </w:rPr>
              <w:t>针对</w:t>
            </w:r>
            <w:r>
              <w:rPr>
                <w:rFonts w:hint="eastAsia" w:ascii="仿宋" w:hAnsi="仿宋" w:eastAsia="仿宋" w:cs="仿宋"/>
                <w:color w:val="auto"/>
                <w:sz w:val="21"/>
                <w:szCs w:val="21"/>
                <w:highlight w:val="none"/>
                <w:lang w:val="en-US" w:eastAsia="zh-CN"/>
              </w:rPr>
              <w:t>性且</w:t>
            </w:r>
            <w:r>
              <w:rPr>
                <w:rFonts w:hint="eastAsia" w:ascii="仿宋" w:hAnsi="仿宋" w:eastAsia="仿宋" w:cs="仿宋"/>
                <w:color w:val="auto"/>
                <w:sz w:val="21"/>
                <w:szCs w:val="21"/>
                <w:highlight w:val="none"/>
                <w:lang w:val="en-US"/>
              </w:rPr>
              <w:t>可行分别进行评分，</w:t>
            </w:r>
            <w:r>
              <w:rPr>
                <w:rFonts w:hint="eastAsia" w:ascii="仿宋" w:hAnsi="仿宋" w:eastAsia="仿宋" w:cs="仿宋"/>
                <w:color w:val="auto"/>
                <w:sz w:val="21"/>
                <w:szCs w:val="21"/>
                <w:highlight w:val="none"/>
                <w:lang w:val="en-US" w:eastAsia="zh-CN"/>
              </w:rPr>
              <w:t>（每项评分范围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2、1、0</w:t>
            </w:r>
            <w:r>
              <w:rPr>
                <w:rFonts w:hint="eastAsia" w:ascii="仿宋" w:hAnsi="仿宋" w:eastAsia="仿宋" w:cs="仿宋"/>
                <w:color w:val="auto"/>
                <w:sz w:val="21"/>
                <w:szCs w:val="21"/>
                <w:highlight w:val="none"/>
                <w:lang w:eastAsia="zh-CN"/>
              </w:rPr>
              <w:t>）</w:t>
            </w:r>
          </w:p>
        </w:tc>
        <w:tc>
          <w:tcPr>
            <w:tcW w:w="770" w:type="dxa"/>
            <w:vAlign w:val="center"/>
          </w:tcPr>
          <w:p w14:paraId="04161042">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c>
          <w:tcPr>
            <w:tcW w:w="1182" w:type="dxa"/>
            <w:vAlign w:val="center"/>
          </w:tcPr>
          <w:p w14:paraId="46B1BF39">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295" w:type="dxa"/>
            <w:vAlign w:val="center"/>
          </w:tcPr>
          <w:p w14:paraId="75E8A87C">
            <w:pPr>
              <w:wordWrap w:val="0"/>
              <w:snapToGrid w:val="0"/>
              <w:spacing w:beforeLines="0" w:afterLines="0" w:line="360" w:lineRule="auto"/>
              <w:rPr>
                <w:rFonts w:ascii="仿宋" w:hAnsi="仿宋" w:eastAsia="仿宋" w:cs="仿宋"/>
                <w:color w:val="auto"/>
                <w:sz w:val="21"/>
                <w:szCs w:val="21"/>
                <w:highlight w:val="none"/>
              </w:rPr>
            </w:pPr>
          </w:p>
        </w:tc>
      </w:tr>
      <w:tr w14:paraId="7623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59" w:type="dxa"/>
            <w:vAlign w:val="center"/>
          </w:tcPr>
          <w:p w14:paraId="346B3151">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14</w:t>
            </w:r>
          </w:p>
        </w:tc>
        <w:tc>
          <w:tcPr>
            <w:tcW w:w="4900" w:type="dxa"/>
            <w:shd w:val="clear" w:color="auto" w:fill="auto"/>
            <w:vAlign w:val="center"/>
          </w:tcPr>
          <w:p w14:paraId="5CED85F8">
            <w:pPr>
              <w:wordWrap w:val="0"/>
              <w:snapToGrid w:val="0"/>
              <w:spacing w:beforeLines="0" w:afterLines="0" w:line="360" w:lineRule="auto"/>
              <w:rPr>
                <w:rFonts w:hint="eastAsia" w:ascii="Times New Roman" w:hAnsi="Times New Roman" w:eastAsia="仿宋" w:cs="Lucida Sans"/>
                <w:color w:val="auto"/>
                <w:kern w:val="2"/>
                <w:sz w:val="24"/>
                <w:szCs w:val="24"/>
                <w:highlight w:val="none"/>
                <w:lang w:val="en-US" w:eastAsia="zh-CN" w:bidi="ar-SA"/>
              </w:rPr>
            </w:pPr>
            <w:r>
              <w:rPr>
                <w:rFonts w:hint="eastAsia" w:ascii="仿宋" w:hAnsi="仿宋" w:eastAsia="仿宋" w:cs="仿宋"/>
                <w:color w:val="auto"/>
                <w:highlight w:val="none"/>
                <w:lang w:val="en-US" w:eastAsia="zh-CN"/>
              </w:rPr>
              <w:t>①项目负责人：是否具备专业素质、从业时间、类似项目经验，是否具有调动各项资源的能力进行评分</w:t>
            </w:r>
            <w:r>
              <w:rPr>
                <w:rFonts w:hint="eastAsia" w:ascii="仿宋" w:hAnsi="仿宋" w:eastAsia="仿宋" w:cs="仿宋"/>
                <w:color w:val="auto"/>
                <w:highlight w:val="none"/>
              </w:rPr>
              <w:t>（提供人员简历及与评分有关的证明材料及近3个月有效社保缴纳证明）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4、3、2、1、0）</w:t>
            </w:r>
          </w:p>
        </w:tc>
        <w:tc>
          <w:tcPr>
            <w:tcW w:w="770" w:type="dxa"/>
            <w:shd w:val="clear" w:color="auto" w:fill="auto"/>
            <w:vAlign w:val="center"/>
          </w:tcPr>
          <w:p w14:paraId="0EFF8A17">
            <w:pPr>
              <w:wordWrap w:val="0"/>
              <w:snapToGrid w:val="0"/>
              <w:spacing w:beforeLines="0" w:afterLines="0"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c>
          <w:tcPr>
            <w:tcW w:w="1182" w:type="dxa"/>
            <w:shd w:val="clear" w:color="auto" w:fill="auto"/>
            <w:vAlign w:val="center"/>
          </w:tcPr>
          <w:p w14:paraId="58F9CCE2">
            <w:pPr>
              <w:wordWrap w:val="0"/>
              <w:snapToGrid w:val="0"/>
              <w:spacing w:beforeLines="0" w:afterLines="0" w:line="360" w:lineRule="auto"/>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1295" w:type="dxa"/>
            <w:vAlign w:val="center"/>
          </w:tcPr>
          <w:p w14:paraId="1B56AE92">
            <w:pPr>
              <w:wordWrap w:val="0"/>
              <w:snapToGrid w:val="0"/>
              <w:spacing w:beforeLines="0" w:afterLines="0" w:line="360" w:lineRule="auto"/>
              <w:rPr>
                <w:rFonts w:ascii="仿宋" w:hAnsi="仿宋" w:eastAsia="仿宋" w:cs="仿宋"/>
                <w:color w:val="auto"/>
                <w:sz w:val="21"/>
                <w:szCs w:val="21"/>
                <w:highlight w:val="none"/>
              </w:rPr>
            </w:pPr>
          </w:p>
        </w:tc>
      </w:tr>
      <w:tr w14:paraId="5900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59" w:type="dxa"/>
            <w:vAlign w:val="center"/>
          </w:tcPr>
          <w:p w14:paraId="3E8672AC">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4900" w:type="dxa"/>
            <w:vAlign w:val="center"/>
          </w:tcPr>
          <w:p w14:paraId="23435E27">
            <w:pPr>
              <w:wordWrap w:val="0"/>
              <w:snapToGrid w:val="0"/>
              <w:spacing w:beforeLines="0" w:afterLines="0"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拟投入本项目</w:t>
            </w:r>
            <w:r>
              <w:rPr>
                <w:rFonts w:hint="eastAsia" w:ascii="仿宋" w:hAnsi="仿宋" w:eastAsia="仿宋" w:cs="仿宋"/>
                <w:color w:val="auto"/>
                <w:szCs w:val="21"/>
                <w:highlight w:val="none"/>
                <w:lang w:val="zh-CN"/>
              </w:rPr>
              <w:t>服务团队成员情况：</w:t>
            </w:r>
          </w:p>
          <w:p w14:paraId="11C0895A">
            <w:pPr>
              <w:wordWrap w:val="0"/>
              <w:snapToGrid w:val="0"/>
              <w:spacing w:beforeLines="0" w:afterLines="0" w:line="360" w:lineRule="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①</w:t>
            </w:r>
            <w:r>
              <w:rPr>
                <w:rFonts w:hint="eastAsia" w:ascii="仿宋" w:hAnsi="仿宋" w:eastAsia="仿宋" w:cs="仿宋"/>
                <w:color w:val="auto"/>
                <w:szCs w:val="21"/>
                <w:highlight w:val="none"/>
                <w:lang w:val="zh-CN"/>
              </w:rPr>
              <w:t>服务团队人</w:t>
            </w:r>
            <w:r>
              <w:rPr>
                <w:rFonts w:hint="eastAsia" w:ascii="仿宋" w:hAnsi="仿宋" w:eastAsia="仿宋" w:cs="仿宋"/>
                <w:color w:val="auto"/>
                <w:szCs w:val="21"/>
                <w:highlight w:val="none"/>
                <w:lang w:val="en-US" w:eastAsia="zh-CN"/>
              </w:rPr>
              <w:t>员是否充足</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与项目相关各专业人员配备情况</w:t>
            </w:r>
            <w:r>
              <w:rPr>
                <w:rFonts w:hint="eastAsia" w:ascii="仿宋" w:hAnsi="仿宋" w:eastAsia="仿宋" w:cs="仿宋"/>
                <w:color w:val="auto"/>
                <w:szCs w:val="21"/>
                <w:highlight w:val="none"/>
                <w:lang w:val="zh-CN"/>
              </w:rPr>
              <w:t>，在团队中的职责、技术能力、从事类似服务项目经验等情况，</w:t>
            </w:r>
            <w:r>
              <w:rPr>
                <w:rFonts w:hint="eastAsia" w:ascii="仿宋" w:hAnsi="仿宋" w:eastAsia="仿宋" w:cs="仿宋"/>
                <w:color w:val="auto"/>
                <w:szCs w:val="21"/>
                <w:highlight w:val="none"/>
                <w:lang w:val="en-US" w:eastAsia="zh-CN"/>
              </w:rPr>
              <w:t>进行评分</w:t>
            </w:r>
            <w:r>
              <w:rPr>
                <w:color w:val="auto"/>
                <w:spacing w:val="5"/>
                <w:sz w:val="20"/>
                <w:szCs w:val="20"/>
                <w:highlight w:val="none"/>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4、3、2、1、0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人员需提供本单位近三个月社保缴纳证明。</w:t>
            </w:r>
          </w:p>
          <w:p w14:paraId="2033AEA5">
            <w:pPr>
              <w:wordWrap w:val="0"/>
              <w:snapToGrid w:val="0"/>
              <w:spacing w:beforeLines="0" w:afterLines="0" w:line="360" w:lineRule="auto"/>
              <w:rPr>
                <w:rFonts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lang w:val="en-US" w:eastAsia="zh-CN" w:bidi="ar-SA"/>
              </w:rPr>
              <w:t>②保障团队情况（包括但不限于医师、护理相关专业背景、红十字救护员、安全生产负责人证等）（提供相关证明材料、与具备合法医疗资质机构签订的合作协议等）</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4、3、2、1、0</w:t>
            </w:r>
            <w:r>
              <w:rPr>
                <w:rFonts w:hint="eastAsia" w:ascii="仿宋" w:hAnsi="仿宋" w:eastAsia="仿宋" w:cs="仿宋"/>
                <w:color w:val="auto"/>
                <w:sz w:val="21"/>
                <w:szCs w:val="21"/>
                <w:highlight w:val="none"/>
                <w:lang w:eastAsia="zh-CN"/>
              </w:rPr>
              <w:t>）</w:t>
            </w:r>
          </w:p>
        </w:tc>
        <w:tc>
          <w:tcPr>
            <w:tcW w:w="770" w:type="dxa"/>
            <w:vAlign w:val="center"/>
          </w:tcPr>
          <w:p w14:paraId="0E8EDFF6">
            <w:pPr>
              <w:wordWrap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1182" w:type="dxa"/>
            <w:vAlign w:val="center"/>
          </w:tcPr>
          <w:p w14:paraId="3711E001">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295" w:type="dxa"/>
            <w:vAlign w:val="center"/>
          </w:tcPr>
          <w:p w14:paraId="2BC3D902">
            <w:pPr>
              <w:wordWrap w:val="0"/>
              <w:snapToGrid w:val="0"/>
              <w:spacing w:beforeLines="0" w:afterLines="0" w:line="360" w:lineRule="auto"/>
              <w:rPr>
                <w:rFonts w:ascii="仿宋" w:hAnsi="仿宋" w:eastAsia="仿宋" w:cs="仿宋"/>
                <w:color w:val="auto"/>
                <w:sz w:val="21"/>
                <w:szCs w:val="21"/>
                <w:highlight w:val="none"/>
              </w:rPr>
            </w:pPr>
          </w:p>
        </w:tc>
      </w:tr>
      <w:tr w14:paraId="0AB4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9" w:type="dxa"/>
            <w:vAlign w:val="center"/>
          </w:tcPr>
          <w:p w14:paraId="53BAB5EF">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16</w:t>
            </w:r>
          </w:p>
        </w:tc>
        <w:tc>
          <w:tcPr>
            <w:tcW w:w="8147" w:type="dxa"/>
            <w:gridSpan w:val="4"/>
            <w:vAlign w:val="center"/>
          </w:tcPr>
          <w:p w14:paraId="4AAC97E7">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根据相关政策要求，本项目采用统一定价标准，130元/人次，价格不列为评审因素。</w:t>
            </w:r>
          </w:p>
        </w:tc>
      </w:tr>
    </w:tbl>
    <w:p w14:paraId="2794D3D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color w:val="auto"/>
          <w:sz w:val="21"/>
          <w:szCs w:val="21"/>
          <w:highlight w:val="none"/>
          <w:lang w:val="en-US" w:eastAsia="zh-CN"/>
        </w:rPr>
      </w:pPr>
    </w:p>
    <w:p w14:paraId="246FA749">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*备注：投标人编制投标文件（商务技术文件部分）时，建议按此目录（序号和内容）提供评标标准相应的商务技术资料。</w:t>
      </w:r>
    </w:p>
    <w:p w14:paraId="0CC4F4F0">
      <w:pPr>
        <w:pStyle w:val="4"/>
        <w:bidi w:val="0"/>
        <w:jc w:val="left"/>
      </w:pPr>
      <w:r>
        <w:rPr>
          <w:rFonts w:hint="eastAsia"/>
        </w:rPr>
        <w:t>1.评标方法</w:t>
      </w:r>
    </w:p>
    <w:p w14:paraId="7C5094A6">
      <w:pPr>
        <w:wordWrap w:val="0"/>
        <w:adjustRightInd/>
        <w:snapToGrid w:val="0"/>
        <w:spacing w:beforeLines="0" w:afterLines="0"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22841CF">
      <w:pPr>
        <w:pStyle w:val="4"/>
        <w:bidi w:val="0"/>
        <w:jc w:val="left"/>
      </w:pPr>
      <w:r>
        <w:rPr>
          <w:rFonts w:hint="eastAsia"/>
        </w:rPr>
        <w:t>2.评标标准</w:t>
      </w:r>
    </w:p>
    <w:p w14:paraId="61E7B65E">
      <w:pPr>
        <w:wordWrap w:val="0"/>
        <w:snapToGrid w:val="0"/>
        <w:spacing w:beforeLines="0" w:afterLines="0"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14:paraId="3DAB40BB">
      <w:pPr>
        <w:pStyle w:val="4"/>
        <w:bidi w:val="0"/>
        <w:jc w:val="left"/>
        <w:rPr>
          <w:rFonts w:hint="eastAsia"/>
        </w:rPr>
      </w:pPr>
      <w:r>
        <w:rPr>
          <w:rFonts w:hint="eastAsia"/>
        </w:rPr>
        <w:t>3.评标程序</w:t>
      </w:r>
    </w:p>
    <w:p w14:paraId="51C682BF">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E18D011">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E0B3515">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1D6CA61">
      <w:pPr>
        <w:wordWrap w:val="0"/>
        <w:snapToGrid w:val="0"/>
        <w:spacing w:beforeLines="0" w:afterLines="0"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609B327">
      <w:pPr>
        <w:pStyle w:val="133"/>
        <w:wordWrap w:val="0"/>
        <w:snapToGrid w:val="0"/>
        <w:spacing w:before="0" w:beforeLines="0" w:afterLines="0" w:line="360" w:lineRule="auto"/>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14:paraId="099AD5ED">
      <w:pPr>
        <w:pStyle w:val="133"/>
        <w:wordWrap w:val="0"/>
        <w:snapToGrid w:val="0"/>
        <w:spacing w:before="0" w:beforeLines="0" w:afterLines="0" w:line="360" w:lineRule="auto"/>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14:paraId="0C5A7395">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.1投标文件中开标一览表(报价表)内容与投标文件中相应内容不一致的，以开标一览表(报价表)为准;</w:t>
      </w:r>
      <w:r>
        <w:rPr>
          <w:rFonts w:hint="eastAsia" w:ascii="仿宋" w:hAnsi="仿宋" w:eastAsia="仿宋" w:cs="仿宋"/>
          <w:color w:val="auto"/>
          <w:kern w:val="0"/>
          <w:szCs w:val="24"/>
          <w:highlight w:val="none"/>
        </w:rPr>
        <w:t>但开标一览表(报价表)存在明显单位、文字错误的，则澄清、说明、补正；</w:t>
      </w:r>
    </w:p>
    <w:p w14:paraId="05FD8D73">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rPr>
        <w:t>但大写有明显单位、文字错误外的除外;</w:t>
      </w:r>
    </w:p>
    <w:p w14:paraId="1364FA75">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.3单价金额小数点或者百分比有明显错位的，以开标一览表的总价为准，并修改单价;</w:t>
      </w:r>
    </w:p>
    <w:p w14:paraId="748F5106">
      <w:pPr>
        <w:rPr>
          <w:rFonts w:ascii="仿宋" w:hAnsi="仿宋" w:eastAsia="仿宋" w:cs="仿宋"/>
          <w:color w:val="auto"/>
          <w:kern w:val="0"/>
          <w:szCs w:val="24"/>
          <w:highlight w:val="none"/>
        </w:rPr>
      </w:pPr>
      <w:r>
        <w:rPr>
          <w:rFonts w:ascii="仿宋" w:hAnsi="仿宋" w:eastAsia="仿宋" w:cs="仿宋"/>
          <w:color w:val="auto"/>
          <w:kern w:val="0"/>
          <w:szCs w:val="24"/>
          <w:highlight w:val="none"/>
        </w:rPr>
        <w:br w:type="page"/>
      </w:r>
    </w:p>
    <w:p w14:paraId="12C5DD0D">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.4总价金额与按单价汇总金额不一致的，以单价金额计算结果为准。</w:t>
      </w:r>
    </w:p>
    <w:p w14:paraId="6568A6A3">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同时出现两种以上不一致的，按照3.4.</w:t>
      </w:r>
      <w:r>
        <w:rPr>
          <w:rFonts w:hint="eastAsia" w:ascii="仿宋" w:hAnsi="仿宋" w:eastAsia="仿宋" w:cs="仿宋"/>
          <w:color w:val="auto"/>
          <w:kern w:val="0"/>
          <w:szCs w:val="24"/>
          <w:highlight w:val="none"/>
        </w:rPr>
        <w:t>2规定的顺序修正。修正后的报价按照财政部第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6211949E">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3投标文件出现不是唯一的、有选择性投标报价的，投标无效。</w:t>
      </w:r>
    </w:p>
    <w:p w14:paraId="40F55671">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4投标报价超过招标文件中规定的预算金额或者最高限价的，投标无效。</w:t>
      </w:r>
    </w:p>
    <w:p w14:paraId="014C113C">
      <w:pPr>
        <w:pStyle w:val="133"/>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3.4.</w:t>
      </w:r>
      <w:r>
        <w:rPr>
          <w:rFonts w:hint="eastAsia" w:ascii="仿宋" w:hAnsi="仿宋" w:eastAsia="仿宋" w:cs="仿宋"/>
          <w:b/>
          <w:bCs/>
          <w:color w:val="auto"/>
          <w:kern w:val="0"/>
          <w:szCs w:val="24"/>
          <w:highlight w:val="none"/>
        </w:rPr>
        <w:t>5评标委员会认为投标人的报价明显低于其他通过符合性审</w:t>
      </w:r>
      <w:r>
        <w:rPr>
          <w:rFonts w:hint="eastAsia" w:ascii="仿宋" w:hAnsi="仿宋" w:eastAsia="仿宋" w:cs="仿宋"/>
          <w:b/>
          <w:bCs/>
          <w:color w:val="auto"/>
          <w:kern w:val="0"/>
          <w:szCs w:val="24"/>
          <w:highlight w:val="none"/>
          <w:lang w:eastAsia="zh-CN"/>
        </w:rPr>
        <w:t>查的</w:t>
      </w:r>
      <w:r>
        <w:rPr>
          <w:rFonts w:hint="eastAsia" w:ascii="仿宋" w:hAnsi="仿宋" w:eastAsia="仿宋" w:cs="仿宋"/>
          <w:b/>
          <w:bCs/>
          <w:color w:val="auto"/>
          <w:kern w:val="0"/>
          <w:szCs w:val="24"/>
          <w:highlight w:val="none"/>
        </w:rPr>
        <w:t>投标人的报价，有可能影响产品质量或者不能诚信履约的，应当要求其在合理的时间内提供书面说明，必要时提交相关证明材料</w:t>
      </w:r>
      <w:r>
        <w:rPr>
          <w:rFonts w:ascii="仿宋" w:hAnsi="仿宋" w:eastAsia="仿宋" w:cs="仿宋"/>
          <w:b/>
          <w:bCs/>
          <w:color w:val="auto"/>
          <w:kern w:val="0"/>
          <w:szCs w:val="24"/>
          <w:highlight w:val="none"/>
        </w:rPr>
        <w:t>;投标人不能证明其报价合理性的，评标委员会应当将其作为无效投标处理。</w:t>
      </w:r>
    </w:p>
    <w:p w14:paraId="5440797D">
      <w:pPr>
        <w:pStyle w:val="133"/>
        <w:wordWrap w:val="0"/>
        <w:snapToGrid w:val="0"/>
        <w:spacing w:before="0" w:beforeLines="0" w:afterLines="0" w:line="360" w:lineRule="auto"/>
        <w:ind w:firstLine="480"/>
        <w:rPr>
          <w:rFonts w:ascii="仿宋" w:hAnsi="仿宋" w:eastAsia="仿宋" w:cs="仿宋"/>
          <w:b/>
          <w:bCs/>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color w:val="auto"/>
          <w:kern w:val="0"/>
          <w:szCs w:val="24"/>
          <w:highlight w:val="none"/>
        </w:rPr>
        <w:t>的扣除，用扣除后的价格参与评审。</w:t>
      </w:r>
      <w:r>
        <w:rPr>
          <w:rFonts w:ascii="仿宋" w:hAnsi="仿宋" w:eastAsia="仿宋" w:cs="仿宋"/>
          <w:b/>
          <w:bCs/>
          <w:color w:val="auto"/>
          <w:kern w:val="0"/>
          <w:szCs w:val="24"/>
          <w:highlight w:val="none"/>
        </w:rPr>
        <w:t>接受大中型企业与小</w:t>
      </w:r>
      <w:r>
        <w:rPr>
          <w:rFonts w:hint="eastAsia" w:ascii="仿宋" w:hAnsi="仿宋" w:eastAsia="仿宋" w:cs="仿宋"/>
          <w:b/>
          <w:bCs/>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b/>
          <w:bCs/>
          <w:color w:val="auto"/>
          <w:kern w:val="0"/>
          <w:szCs w:val="24"/>
          <w:highlight w:val="none"/>
        </w:rPr>
        <w:t>的扣除，用扣除后的价格参加评审。</w:t>
      </w:r>
    </w:p>
    <w:p w14:paraId="145B2398">
      <w:pPr>
        <w:pStyle w:val="133"/>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组成联合体或者接受分包的小</w:t>
      </w:r>
      <w:r>
        <w:rPr>
          <w:rFonts w:hint="eastAsia" w:ascii="仿宋" w:hAnsi="仿宋" w:eastAsia="仿宋" w:cs="仿宋"/>
          <w:b/>
          <w:bCs/>
          <w:color w:val="auto"/>
          <w:kern w:val="0"/>
          <w:szCs w:val="24"/>
          <w:highlight w:val="none"/>
        </w:rPr>
        <w:t>微企业与联合体内其他企业、分包企业之间存在直接控股、管理关系的，不享受价格扣除优惠政策。</w:t>
      </w:r>
    </w:p>
    <w:p w14:paraId="52339518">
      <w:pPr>
        <w:wordWrap w:val="0"/>
        <w:snapToGrid w:val="0"/>
        <w:spacing w:beforeLines="0" w:afterLines="0"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b w:val="0"/>
          <w:bCs/>
          <w:color w:val="auto"/>
          <w:kern w:val="0"/>
          <w:sz w:val="24"/>
          <w:highlight w:val="none"/>
        </w:rPr>
        <w:t>采用综合评分法的，评标结果按评审后得分由高到低顺序排列。</w:t>
      </w:r>
      <w:r>
        <w:rPr>
          <w:rFonts w:hint="eastAsia" w:ascii="仿宋" w:hAnsi="仿宋" w:eastAsia="仿宋" w:cs="仿宋"/>
          <w:b w:val="0"/>
          <w:bCs/>
          <w:color w:val="auto"/>
          <w:kern w:val="0"/>
          <w:sz w:val="24"/>
          <w:highlight w:val="none"/>
          <w:lang w:val="en-US" w:eastAsia="zh-CN"/>
        </w:rPr>
        <w:t>如果</w:t>
      </w:r>
      <w:r>
        <w:rPr>
          <w:rFonts w:hint="eastAsia" w:ascii="仿宋" w:hAnsi="仿宋" w:eastAsia="仿宋" w:cs="仿宋"/>
          <w:b w:val="0"/>
          <w:bCs/>
          <w:color w:val="auto"/>
          <w:kern w:val="0"/>
          <w:sz w:val="24"/>
          <w:highlight w:val="none"/>
          <w:lang w:val="en" w:eastAsia="zh-CN"/>
        </w:rPr>
        <w:t>得分相同，</w:t>
      </w:r>
      <w:r>
        <w:rPr>
          <w:rFonts w:hint="eastAsia" w:ascii="仿宋" w:hAnsi="仿宋" w:eastAsia="仿宋" w:cs="仿宋"/>
          <w:b w:val="0"/>
          <w:bCs/>
          <w:color w:val="auto"/>
          <w:kern w:val="0"/>
          <w:sz w:val="24"/>
          <w:highlight w:val="none"/>
          <w:lang w:val="en-US" w:eastAsia="zh-CN"/>
        </w:rPr>
        <w:t>则抽签决定。</w:t>
      </w:r>
      <w:r>
        <w:rPr>
          <w:rFonts w:hint="eastAsia" w:ascii="仿宋" w:hAnsi="仿宋" w:eastAsia="仿宋" w:cs="仿宋"/>
          <w:b/>
          <w:bCs/>
          <w:color w:val="auto"/>
          <w:kern w:val="0"/>
          <w:sz w:val="24"/>
          <w:highlight w:val="none"/>
        </w:rPr>
        <w:t>本项目推荐1名中标候选人。</w:t>
      </w:r>
    </w:p>
    <w:p w14:paraId="1314E08C">
      <w:pPr>
        <w:wordWrap w:val="0"/>
        <w:snapToGrid w:val="0"/>
        <w:spacing w:beforeLines="0" w:afterLines="0"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b/>
          <w:bCs/>
          <w:color w:val="auto"/>
          <w:kern w:val="0"/>
          <w:sz w:val="24"/>
          <w:highlight w:val="none"/>
        </w:rPr>
        <w:t>（本项目不适用）</w:t>
      </w:r>
    </w:p>
    <w:p w14:paraId="668E904E">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1B6EB5">
      <w:pPr>
        <w:pStyle w:val="4"/>
        <w:bidi w:val="0"/>
        <w:jc w:val="left"/>
        <w:rPr>
          <w:rFonts w:hint="eastAsia"/>
        </w:rPr>
      </w:pPr>
      <w:r>
        <w:rPr>
          <w:rFonts w:hint="eastAsia"/>
          <w:lang w:val="en-US" w:eastAsia="zh-CN"/>
        </w:rPr>
        <w:t>4</w:t>
      </w:r>
      <w:r>
        <w:rPr>
          <w:rFonts w:hint="eastAsia"/>
        </w:rPr>
        <w:t>.评标中的其他事项</w:t>
      </w:r>
    </w:p>
    <w:p w14:paraId="7D8AA920">
      <w:pPr>
        <w:pStyle w:val="133"/>
        <w:wordWrap w:val="0"/>
        <w:snapToGrid w:val="0"/>
        <w:spacing w:before="0" w:beforeLines="0" w:afterLines="0" w:line="360" w:lineRule="auto"/>
        <w:ind w:firstLine="472" w:firstLineChars="196"/>
        <w:outlineLvl w:val="9"/>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920768">
      <w:pPr>
        <w:pStyle w:val="25"/>
        <w:wordWrap w:val="0"/>
        <w:snapToGrid w:val="0"/>
        <w:spacing w:beforeLines="0" w:afterLines="0" w:line="360" w:lineRule="auto"/>
        <w:ind w:left="954" w:leftChars="226" w:hanging="479" w:firstLineChars="0"/>
        <w:outlineLvl w:val="9"/>
        <w:rPr>
          <w:rFonts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14:paraId="42E02D81">
      <w:pPr>
        <w:pStyle w:val="25"/>
        <w:spacing w:line="360" w:lineRule="auto"/>
        <w:ind w:left="954" w:leftChars="226" w:hanging="479"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有下列情形之一的，投标无效：</w:t>
      </w:r>
    </w:p>
    <w:p w14:paraId="24633CF0">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w:t>
      </w:r>
      <w:r>
        <w:rPr>
          <w:rFonts w:hint="eastAsia" w:ascii="仿宋" w:hAnsi="仿宋" w:eastAsia="仿宋" w:cs="仿宋"/>
          <w:b/>
          <w:bCs/>
          <w:color w:val="auto"/>
          <w:kern w:val="0"/>
          <w:sz w:val="24"/>
          <w:szCs w:val="24"/>
          <w:highlight w:val="none"/>
          <w:u w:val="single"/>
        </w:rPr>
        <w:t>投标人不具备采购文件中规定的资格要求的（投标人未提供有效的资格文件的，视为投标人不具备采购文件中规定的资格要求）；</w:t>
      </w:r>
    </w:p>
    <w:p w14:paraId="025B0AA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w:t>
      </w:r>
      <w:r>
        <w:rPr>
          <w:rFonts w:hint="eastAsia" w:ascii="仿宋" w:hAnsi="仿宋" w:eastAsia="仿宋" w:cs="仿宋"/>
          <w:b/>
          <w:bCs/>
          <w:color w:val="auto"/>
          <w:kern w:val="0"/>
          <w:sz w:val="24"/>
          <w:szCs w:val="24"/>
          <w:highlight w:val="none"/>
          <w:u w:val="single"/>
        </w:rPr>
        <w:t>投标文件未按照采购文件要求签署、盖章的</w:t>
      </w:r>
      <w:r>
        <w:rPr>
          <w:rFonts w:hint="eastAsia" w:ascii="仿宋" w:hAnsi="仿宋" w:eastAsia="仿宋" w:cs="仿宋"/>
          <w:color w:val="auto"/>
          <w:kern w:val="0"/>
          <w:sz w:val="24"/>
          <w:szCs w:val="24"/>
          <w:highlight w:val="none"/>
        </w:rPr>
        <w:t>；</w:t>
      </w:r>
    </w:p>
    <w:p w14:paraId="201EA5F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w:t>
      </w:r>
      <w:r>
        <w:rPr>
          <w:rFonts w:hint="eastAsia" w:ascii="仿宋" w:hAnsi="仿宋" w:eastAsia="仿宋" w:cs="仿宋"/>
          <w:b/>
          <w:bCs/>
          <w:color w:val="auto"/>
          <w:kern w:val="0"/>
          <w:sz w:val="24"/>
          <w:szCs w:val="24"/>
          <w:highlight w:val="none"/>
          <w:u w:val="single"/>
        </w:rPr>
        <w:t>采购人拟采购的产品属于政府强制采购的节能产品品目清单范围的，投标人相应的投标产品未获得国家确定的认证机构出具的、处于有效期之内的节能产品认证证书的</w:t>
      </w:r>
      <w:r>
        <w:rPr>
          <w:rFonts w:hint="eastAsia" w:ascii="仿宋" w:hAnsi="仿宋" w:eastAsia="仿宋" w:cs="仿宋"/>
          <w:color w:val="auto"/>
          <w:kern w:val="0"/>
          <w:sz w:val="24"/>
          <w:szCs w:val="24"/>
          <w:highlight w:val="none"/>
        </w:rPr>
        <w:t>；</w:t>
      </w:r>
    </w:p>
    <w:p w14:paraId="27ADB5E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w:t>
      </w:r>
      <w:r>
        <w:rPr>
          <w:rFonts w:hint="eastAsia" w:ascii="仿宋" w:hAnsi="仿宋" w:eastAsia="仿宋" w:cs="仿宋"/>
          <w:b/>
          <w:bCs/>
          <w:color w:val="auto"/>
          <w:kern w:val="0"/>
          <w:sz w:val="24"/>
          <w:szCs w:val="24"/>
          <w:highlight w:val="none"/>
          <w:u w:val="single"/>
        </w:rPr>
        <w:t>投标文件含有采购人不能接受的附加条件的</w:t>
      </w:r>
      <w:r>
        <w:rPr>
          <w:rFonts w:hint="eastAsia" w:ascii="仿宋" w:hAnsi="仿宋" w:eastAsia="仿宋" w:cs="仿宋"/>
          <w:color w:val="auto"/>
          <w:kern w:val="0"/>
          <w:sz w:val="24"/>
          <w:szCs w:val="24"/>
          <w:highlight w:val="none"/>
        </w:rPr>
        <w:t>；</w:t>
      </w:r>
    </w:p>
    <w:p w14:paraId="05FF4B5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w:t>
      </w:r>
      <w:r>
        <w:rPr>
          <w:rFonts w:hint="eastAsia" w:ascii="仿宋" w:hAnsi="仿宋" w:eastAsia="仿宋" w:cs="仿宋"/>
          <w:b/>
          <w:bCs/>
          <w:color w:val="auto"/>
          <w:kern w:val="0"/>
          <w:sz w:val="24"/>
          <w:szCs w:val="24"/>
          <w:highlight w:val="none"/>
          <w:u w:val="single"/>
        </w:rPr>
        <w:t>投标文件中承诺的投标有效期少于采购文件中载明的投标有效期的</w:t>
      </w:r>
      <w:r>
        <w:rPr>
          <w:rFonts w:hint="eastAsia" w:ascii="仿宋" w:hAnsi="仿宋" w:eastAsia="仿宋" w:cs="仿宋"/>
          <w:color w:val="auto"/>
          <w:kern w:val="0"/>
          <w:sz w:val="24"/>
          <w:szCs w:val="24"/>
          <w:highlight w:val="none"/>
        </w:rPr>
        <w:t>；</w:t>
      </w:r>
    </w:p>
    <w:p w14:paraId="6B46DA1F">
      <w:pPr>
        <w:snapToGrid w:val="0"/>
        <w:spacing w:line="360" w:lineRule="auto"/>
        <w:ind w:firstLine="120" w:firstLineChars="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w:t>
      </w:r>
      <w:r>
        <w:rPr>
          <w:rFonts w:hint="eastAsia" w:ascii="仿宋" w:hAnsi="仿宋" w:eastAsia="仿宋" w:cs="仿宋"/>
          <w:b/>
          <w:bCs/>
          <w:color w:val="auto"/>
          <w:kern w:val="0"/>
          <w:sz w:val="24"/>
          <w:szCs w:val="24"/>
          <w:highlight w:val="none"/>
          <w:u w:val="single"/>
        </w:rPr>
        <w:t>投标文件出现不是唯一的、有选择性投标报价的</w:t>
      </w:r>
      <w:r>
        <w:rPr>
          <w:rFonts w:hint="eastAsia" w:ascii="仿宋" w:hAnsi="仿宋" w:eastAsia="仿宋" w:cs="仿宋"/>
          <w:color w:val="auto"/>
          <w:kern w:val="0"/>
          <w:sz w:val="24"/>
          <w:szCs w:val="24"/>
          <w:highlight w:val="none"/>
        </w:rPr>
        <w:t>;</w:t>
      </w:r>
    </w:p>
    <w:p w14:paraId="4184E11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w:t>
      </w:r>
      <w:r>
        <w:rPr>
          <w:rFonts w:hint="eastAsia" w:ascii="仿宋" w:hAnsi="仿宋" w:eastAsia="仿宋" w:cs="仿宋"/>
          <w:b/>
          <w:bCs/>
          <w:color w:val="auto"/>
          <w:kern w:val="0"/>
          <w:sz w:val="24"/>
          <w:szCs w:val="24"/>
          <w:highlight w:val="none"/>
          <w:u w:val="single"/>
        </w:rPr>
        <w:t>投标报价超过采购文件中规定的预算金额或者最高限价的</w:t>
      </w:r>
      <w:r>
        <w:rPr>
          <w:rFonts w:hint="eastAsia" w:ascii="仿宋" w:hAnsi="仿宋" w:eastAsia="仿宋" w:cs="仿宋"/>
          <w:color w:val="auto"/>
          <w:kern w:val="0"/>
          <w:sz w:val="24"/>
          <w:szCs w:val="24"/>
          <w:highlight w:val="none"/>
        </w:rPr>
        <w:t>;</w:t>
      </w:r>
    </w:p>
    <w:p w14:paraId="0C17929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w:t>
      </w:r>
      <w:r>
        <w:rPr>
          <w:rFonts w:hint="eastAsia" w:ascii="仿宋" w:hAnsi="仿宋" w:eastAsia="仿宋" w:cs="仿宋"/>
          <w:b/>
          <w:bCs/>
          <w:color w:val="auto"/>
          <w:kern w:val="0"/>
          <w:sz w:val="24"/>
          <w:szCs w:val="24"/>
          <w:highlight w:val="none"/>
          <w:u w:val="singl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rPr>
        <w:t>;</w:t>
      </w:r>
    </w:p>
    <w:p w14:paraId="09770DF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w:t>
      </w:r>
      <w:r>
        <w:rPr>
          <w:rFonts w:hint="eastAsia" w:ascii="仿宋" w:hAnsi="仿宋" w:eastAsia="仿宋" w:cs="仿宋"/>
          <w:b/>
          <w:bCs/>
          <w:color w:val="auto"/>
          <w:kern w:val="0"/>
          <w:sz w:val="24"/>
          <w:szCs w:val="24"/>
          <w:highlight w:val="none"/>
          <w:u w:val="single"/>
        </w:rPr>
        <w:t>投标人对根据修正原则修正后的报价不确认的</w:t>
      </w:r>
      <w:r>
        <w:rPr>
          <w:rFonts w:hint="eastAsia" w:ascii="仿宋" w:hAnsi="仿宋" w:eastAsia="仿宋" w:cs="仿宋"/>
          <w:color w:val="auto"/>
          <w:kern w:val="0"/>
          <w:sz w:val="24"/>
          <w:szCs w:val="24"/>
          <w:highlight w:val="none"/>
        </w:rPr>
        <w:t>；</w:t>
      </w:r>
    </w:p>
    <w:p w14:paraId="3EB0B2D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w:t>
      </w:r>
      <w:r>
        <w:rPr>
          <w:rFonts w:hint="eastAsia" w:ascii="仿宋" w:hAnsi="仿宋" w:eastAsia="仿宋" w:cs="仿宋"/>
          <w:b/>
          <w:bCs/>
          <w:color w:val="auto"/>
          <w:kern w:val="0"/>
          <w:sz w:val="24"/>
          <w:szCs w:val="24"/>
          <w:highlight w:val="none"/>
          <w:u w:val="single"/>
        </w:rPr>
        <w:t>投标人提供虚假材料投标的</w:t>
      </w:r>
      <w:r>
        <w:rPr>
          <w:rFonts w:hint="eastAsia" w:ascii="仿宋" w:hAnsi="仿宋" w:eastAsia="仿宋" w:cs="仿宋"/>
          <w:color w:val="auto"/>
          <w:kern w:val="0"/>
          <w:sz w:val="24"/>
          <w:szCs w:val="24"/>
          <w:highlight w:val="none"/>
        </w:rPr>
        <w:t>；</w:t>
      </w:r>
    </w:p>
    <w:p w14:paraId="3C9BA4BF">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w:t>
      </w:r>
      <w:r>
        <w:rPr>
          <w:rFonts w:hint="eastAsia" w:ascii="仿宋" w:hAnsi="仿宋" w:eastAsia="仿宋" w:cs="仿宋"/>
          <w:b/>
          <w:bCs/>
          <w:color w:val="auto"/>
          <w:kern w:val="0"/>
          <w:sz w:val="24"/>
          <w:szCs w:val="24"/>
          <w:highlight w:val="none"/>
          <w:u w:val="single"/>
        </w:rPr>
        <w:t>投标人有恶意串通、妨碍其他投标人的竞争行为、损害采购人或者其他投标人的合法权益情形的</w:t>
      </w:r>
      <w:r>
        <w:rPr>
          <w:rFonts w:hint="eastAsia" w:ascii="仿宋" w:hAnsi="仿宋" w:eastAsia="仿宋" w:cs="仿宋"/>
          <w:color w:val="auto"/>
          <w:kern w:val="0"/>
          <w:sz w:val="24"/>
          <w:szCs w:val="24"/>
          <w:highlight w:val="none"/>
        </w:rPr>
        <w:t>；</w:t>
      </w:r>
    </w:p>
    <w:p w14:paraId="2CABECA6">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4.2.12</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913B60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4.2.13</w:t>
      </w:r>
      <w:r>
        <w:rPr>
          <w:rFonts w:hint="eastAsia" w:ascii="仿宋" w:hAnsi="仿宋" w:eastAsia="仿宋" w:cs="仿宋"/>
          <w:b/>
          <w:bCs/>
          <w:color w:val="auto"/>
          <w:kern w:val="0"/>
          <w:sz w:val="24"/>
          <w:szCs w:val="24"/>
          <w:highlight w:val="none"/>
          <w:u w:val="single"/>
        </w:rPr>
        <w:t>投标人仅提交备份投标文件，未在电子交易平台传输递交投标文件的，投标无效</w:t>
      </w:r>
      <w:r>
        <w:rPr>
          <w:rFonts w:hint="eastAsia" w:ascii="仿宋" w:hAnsi="仿宋" w:eastAsia="仿宋" w:cs="仿宋"/>
          <w:color w:val="auto"/>
          <w:kern w:val="0"/>
          <w:sz w:val="24"/>
          <w:szCs w:val="24"/>
          <w:highlight w:val="none"/>
        </w:rPr>
        <w:t>；</w:t>
      </w:r>
    </w:p>
    <w:p w14:paraId="112F110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4.2.14 </w:t>
      </w:r>
      <w:r>
        <w:rPr>
          <w:rFonts w:hint="eastAsia" w:ascii="仿宋" w:hAnsi="仿宋" w:eastAsia="仿宋" w:cs="仿宋"/>
          <w:b/>
          <w:bCs/>
          <w:color w:val="auto"/>
          <w:kern w:val="0"/>
          <w:sz w:val="24"/>
          <w:szCs w:val="24"/>
          <w:highlight w:val="none"/>
          <w:u w:val="single"/>
        </w:rPr>
        <w:t>投标文件不满足采购文件的</w:t>
      </w:r>
      <w:r>
        <w:rPr>
          <w:rFonts w:hint="eastAsia" w:ascii="仿宋" w:hAnsi="仿宋" w:eastAsia="仿宋" w:cs="仿宋"/>
          <w:b/>
          <w:bCs/>
          <w:color w:val="auto"/>
          <w:kern w:val="0"/>
          <w:sz w:val="24"/>
          <w:szCs w:val="24"/>
          <w:highlight w:val="none"/>
          <w:u w:val="single"/>
          <w:lang w:eastAsia="zh-CN"/>
        </w:rPr>
        <w:t>其他</w:t>
      </w:r>
      <w:r>
        <w:rPr>
          <w:rFonts w:hint="eastAsia" w:ascii="仿宋" w:hAnsi="仿宋" w:eastAsia="仿宋" w:cs="仿宋"/>
          <w:b/>
          <w:bCs/>
          <w:color w:val="auto"/>
          <w:kern w:val="0"/>
          <w:sz w:val="24"/>
          <w:szCs w:val="24"/>
          <w:highlight w:val="none"/>
          <w:u w:val="single"/>
        </w:rPr>
        <w:t>实质性要求的</w:t>
      </w:r>
      <w:r>
        <w:rPr>
          <w:rFonts w:hint="eastAsia" w:ascii="仿宋" w:hAnsi="仿宋" w:eastAsia="仿宋" w:cs="仿宋"/>
          <w:color w:val="auto"/>
          <w:kern w:val="0"/>
          <w:sz w:val="24"/>
          <w:szCs w:val="24"/>
          <w:highlight w:val="none"/>
        </w:rPr>
        <w:t>；</w:t>
      </w:r>
    </w:p>
    <w:p w14:paraId="1E972A0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4.2.15</w:t>
      </w:r>
      <w:r>
        <w:rPr>
          <w:rFonts w:hint="eastAsia" w:ascii="仿宋" w:hAnsi="仿宋" w:eastAsia="仿宋" w:cs="仿宋"/>
          <w:color w:val="auto"/>
          <w:kern w:val="0"/>
          <w:sz w:val="24"/>
          <w:szCs w:val="24"/>
          <w:highlight w:val="none"/>
          <w:lang w:eastAsia="zh-CN"/>
        </w:rPr>
        <w:t>法律法规</w:t>
      </w:r>
      <w:r>
        <w:rPr>
          <w:rFonts w:hint="eastAsia" w:ascii="仿宋" w:hAnsi="仿宋" w:eastAsia="仿宋" w:cs="仿宋"/>
          <w:b/>
          <w:bCs/>
          <w:color w:val="auto"/>
          <w:kern w:val="0"/>
          <w:sz w:val="24"/>
          <w:szCs w:val="24"/>
          <w:highlight w:val="none"/>
          <w:u w:val="single"/>
        </w:rPr>
        <w:t>、规章（适用本市的）及省级以上规范性文件（适用本市的）规定的其他无效情形</w:t>
      </w:r>
      <w:r>
        <w:rPr>
          <w:rFonts w:hint="eastAsia" w:ascii="仿宋" w:hAnsi="仿宋" w:eastAsia="仿宋" w:cs="仿宋"/>
          <w:color w:val="auto"/>
          <w:kern w:val="0"/>
          <w:sz w:val="24"/>
          <w:szCs w:val="24"/>
          <w:highlight w:val="none"/>
        </w:rPr>
        <w:t>。</w:t>
      </w:r>
    </w:p>
    <w:bookmarkEnd w:id="51"/>
    <w:p w14:paraId="7BE239DB">
      <w:pPr>
        <w:pStyle w:val="25"/>
        <w:spacing w:line="360" w:lineRule="auto"/>
        <w:ind w:left="954" w:leftChars="226" w:hanging="479" w:firstLineChars="0"/>
        <w:outlineLvl w:val="9"/>
        <w:rPr>
          <w:rFonts w:hint="eastAsia" w:ascii="仿宋" w:hAnsi="仿宋" w:eastAsia="仿宋" w:cs="仿宋"/>
          <w:b/>
          <w:color w:val="auto"/>
          <w:sz w:val="24"/>
          <w:szCs w:val="24"/>
          <w:highlight w:val="none"/>
        </w:rPr>
      </w:pPr>
      <w:bookmarkStart w:id="430" w:name="第五部分"/>
      <w:bookmarkStart w:id="431" w:name="_Toc86217003"/>
      <w:r>
        <w:rPr>
          <w:rFonts w:hint="eastAsia" w:ascii="仿宋" w:hAnsi="仿宋" w:eastAsia="仿宋" w:cs="仿宋"/>
          <w:b/>
          <w:color w:val="auto"/>
          <w:sz w:val="24"/>
          <w:szCs w:val="24"/>
          <w:highlight w:val="none"/>
        </w:rPr>
        <w:t>4.3废标。</w:t>
      </w:r>
    </w:p>
    <w:p w14:paraId="7CE3FC1F">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b/>
          <w:bCs/>
          <w:color w:val="auto"/>
          <w:sz w:val="24"/>
          <w:szCs w:val="24"/>
          <w:highlight w:val="none"/>
        </w:rPr>
        <w:t>中华人民共和国</w:t>
      </w:r>
      <w:r>
        <w:rPr>
          <w:rFonts w:hint="eastAsia" w:ascii="仿宋" w:hAnsi="仿宋" w:eastAsia="仿宋" w:cs="仿宋"/>
          <w:color w:val="auto"/>
          <w:sz w:val="24"/>
          <w:szCs w:val="24"/>
          <w:highlight w:val="none"/>
        </w:rPr>
        <w:t>政府采购法》第三十六条之规定，在采购中，出现下列情形之一的，应予废标：</w:t>
      </w:r>
    </w:p>
    <w:p w14:paraId="62F9C5C0">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.1符合专业条件的供应商或者对采购文件作实质响应的供应商不足3家的；</w:t>
      </w:r>
    </w:p>
    <w:p w14:paraId="49E56CF2">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2出现影响采购公正的违法、违规行为的；</w:t>
      </w:r>
    </w:p>
    <w:p w14:paraId="6F1370D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.3投标人的报价均超过了采购预算，采购人不能支付的；</w:t>
      </w:r>
    </w:p>
    <w:p w14:paraId="145AFFEB">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4因重大变故，采购任务取消的。</w:t>
      </w:r>
    </w:p>
    <w:p w14:paraId="3105414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废标后，采购人、采购代理机构应当将废标理由通知所有投标人。</w:t>
      </w:r>
    </w:p>
    <w:p w14:paraId="388F4E48">
      <w:pPr>
        <w:pStyle w:val="25"/>
        <w:spacing w:line="360" w:lineRule="auto"/>
        <w:ind w:left="954" w:leftChars="226" w:hanging="479" w:firstLineChars="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4.4修改采购文件，重新组织采购活动。</w:t>
      </w:r>
    </w:p>
    <w:p w14:paraId="6E06CE38">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EF5118F">
      <w:pPr>
        <w:pStyle w:val="25"/>
        <w:spacing w:line="360" w:lineRule="auto"/>
        <w:ind w:left="954" w:leftChars="226" w:hanging="479" w:firstLineChars="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4.5重新</w:t>
      </w:r>
      <w:r>
        <w:rPr>
          <w:rFonts w:hint="eastAsia" w:ascii="仿宋" w:hAnsi="仿宋" w:eastAsia="仿宋" w:cs="仿宋"/>
          <w:b/>
          <w:color w:val="auto"/>
          <w:sz w:val="24"/>
          <w:szCs w:val="24"/>
          <w:highlight w:val="none"/>
        </w:rPr>
        <w:t>开展</w:t>
      </w:r>
      <w:r>
        <w:rPr>
          <w:rFonts w:hint="eastAsia" w:ascii="仿宋" w:hAnsi="仿宋" w:eastAsia="仿宋" w:cs="仿宋"/>
          <w:b/>
          <w:color w:val="auto"/>
          <w:kern w:val="0"/>
          <w:sz w:val="24"/>
          <w:szCs w:val="24"/>
          <w:highlight w:val="none"/>
        </w:rPr>
        <w:t>采购。</w:t>
      </w:r>
    </w:p>
    <w:p w14:paraId="000A4C00">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74949F28">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的，终止本次政府采购活动，重新开展政府采购活动。</w:t>
      </w:r>
    </w:p>
    <w:p w14:paraId="56CF02E9">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.2已确定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但尚未签订政府采购合同的，中标结果无效，从合格的中标候选人中另行确定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3E9E59B0">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.3政府采购合同已签订但尚未履行的，撤销合同，从合格的中标候选人中另行确定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5C7C4B6A">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.4政府采购合同已经履行，给采购人、供应商造成损失的，由责任人承担赔偿责任。</w:t>
      </w:r>
    </w:p>
    <w:p w14:paraId="39764D08">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.4规定处理。</w:t>
      </w:r>
    </w:p>
    <w:p w14:paraId="1B1633BA">
      <w:pPr>
        <w:pStyle w:val="25"/>
        <w:spacing w:line="360" w:lineRule="auto"/>
        <w:ind w:firstLine="42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 评审特殊情况处理（如有）</w:t>
      </w:r>
    </w:p>
    <w:p w14:paraId="19264A2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4.6.1评标结果修改</w:t>
      </w:r>
    </w:p>
    <w:p w14:paraId="2F778B9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评审报告签署前，评审结果经复核发现存在以下情形之一的，评标委员会将当场修改评审结果，并在评审报告中记载：</w:t>
      </w:r>
    </w:p>
    <w:p w14:paraId="2D76D041">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69BAD3B5">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6D7C3464">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7F47537F">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5DE3DD78">
      <w:pPr>
        <w:spacing w:line="360" w:lineRule="auto"/>
        <w:ind w:firstLine="426" w:firstLineChars="177"/>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除上述情形外，任何人不得修改评标结果。</w:t>
      </w:r>
    </w:p>
    <w:p w14:paraId="2632B63C">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4.6.2重新评审</w:t>
      </w:r>
    </w:p>
    <w:p w14:paraId="12ED0A9F">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评审报告签署后，采购人或者采购代理机构发现存在下列情形之一的，将组织原评标委员会进行重新评审，重新评审改变评标结果的，将书面报告同级财政监督管理部门：</w:t>
      </w:r>
    </w:p>
    <w:p w14:paraId="52E23C46">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531FD672">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32FD332C">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65C53E02">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351AB5CF">
      <w:pPr>
        <w:pStyle w:val="25"/>
        <w:spacing w:line="360" w:lineRule="auto"/>
        <w:ind w:firstLine="422"/>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 串通投标的认定</w:t>
      </w:r>
    </w:p>
    <w:p w14:paraId="2BEBF033">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4.7.1在评审过程中发现以下情形，被视为串通投标的：</w:t>
      </w:r>
    </w:p>
    <w:p w14:paraId="687DAF0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（1）不同投标人的投标文件由同一单位或个人编制；</w:t>
      </w:r>
    </w:p>
    <w:p w14:paraId="04AFE8B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（2）不同投标人委托同一单位或个人办理投标事宜；</w:t>
      </w:r>
    </w:p>
    <w:p w14:paraId="635B01D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（3）不同投标人的投标文件载明的项目管理成员或联系人员为同一人；</w:t>
      </w:r>
    </w:p>
    <w:p w14:paraId="7632AA5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（4）不同投标人的投标文件异常一致或者投标报价呈规律性差异；</w:t>
      </w:r>
    </w:p>
    <w:p w14:paraId="71DBF1E6">
      <w:pPr>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A818C45">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0AB52E29">
      <w:pPr>
        <w:pStyle w:val="25"/>
        <w:spacing w:line="360" w:lineRule="auto"/>
        <w:ind w:firstLine="422"/>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4.8 投标人违法等重大事项的处理</w:t>
      </w:r>
    </w:p>
    <w:p w14:paraId="656C8AFB">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投标人有下列情形之一的，投标无效且将《投标文件</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询标记录》等报同级政府采购监管部门或有关职能部门查处：</w:t>
      </w:r>
    </w:p>
    <w:p w14:paraId="2D5D9DB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（1）未如实提供债权债务、重大违法记录、利害关系等信息，影响或者可能影响中标结果的；</w:t>
      </w:r>
    </w:p>
    <w:p w14:paraId="1E83817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（2）不遵循公平竞争原则、恶意串通、妨碍其他投标人的竞争、损害采购人或其他投标人合法权益的；</w:t>
      </w:r>
    </w:p>
    <w:p w14:paraId="1F7A0DA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（3）政府采购活动中存在违法行为的；</w:t>
      </w:r>
    </w:p>
    <w:p w14:paraId="15EB6BA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（4）其他严重干扰招投标秩序的行为的。</w:t>
      </w:r>
    </w:p>
    <w:p w14:paraId="7B9D4344">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12B96A79">
      <w:pPr>
        <w:pStyle w:val="25"/>
        <w:spacing w:line="360" w:lineRule="auto"/>
        <w:ind w:firstLine="422"/>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4.9 评审中合格投标人不足法定数量的处理</w:t>
      </w:r>
    </w:p>
    <w:p w14:paraId="330F445D">
      <w:pPr>
        <w:pStyle w:val="725"/>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公开招标的采购项目，在评审过程中，若某个标项的有效投标人不足三家的，除采购任务取消情形外，采购人可选择以下方式之一处理：</w:t>
      </w:r>
    </w:p>
    <w:p w14:paraId="1CD330E9">
      <w:pPr>
        <w:pStyle w:val="725"/>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（1）将本项</w:t>
      </w:r>
      <w:r>
        <w:rPr>
          <w:rFonts w:hint="eastAsia" w:ascii="仿宋" w:hAnsi="仿宋" w:eastAsia="仿宋" w:cs="仿宋"/>
          <w:color w:val="auto"/>
          <w:sz w:val="24"/>
          <w:szCs w:val="24"/>
          <w:highlight w:val="none"/>
          <w:lang w:val="en-US" w:eastAsia="zh-CN"/>
        </w:rPr>
        <w:t>目</w:t>
      </w:r>
      <w:r>
        <w:rPr>
          <w:rFonts w:hint="eastAsia" w:ascii="仿宋" w:hAnsi="仿宋" w:eastAsia="仿宋" w:cs="仿宋"/>
          <w:color w:val="auto"/>
          <w:sz w:val="24"/>
          <w:szCs w:val="24"/>
          <w:highlight w:val="none"/>
        </w:rPr>
        <w:t>作废标处理，重新组织采购；</w:t>
      </w:r>
    </w:p>
    <w:p w14:paraId="0ED23F3A">
      <w:pPr>
        <w:tabs>
          <w:tab w:val="left" w:pos="1792"/>
        </w:tabs>
        <w:wordWrap w:val="0"/>
        <w:snapToGrid w:val="0"/>
        <w:spacing w:beforeLines="0" w:afterLines="0"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（2）按同级政府采购监督管理部门的审批意见采用其他采购方式组织采购。</w:t>
      </w:r>
      <w:r>
        <w:rPr>
          <w:rFonts w:hint="eastAsia" w:ascii="仿宋" w:hAnsi="仿宋" w:eastAsia="仿宋" w:cs="仿宋"/>
          <w:b/>
          <w:color w:val="auto"/>
          <w:sz w:val="24"/>
          <w:szCs w:val="24"/>
          <w:highlight w:val="none"/>
        </w:rPr>
        <w:tab/>
      </w:r>
    </w:p>
    <w:p w14:paraId="20826663">
      <w:pPr>
        <w:wordWrap w:val="0"/>
        <w:snapToGrid w:val="0"/>
        <w:spacing w:beforeLines="0" w:afterLines="0" w:line="360" w:lineRule="auto"/>
        <w:ind w:firstLine="1807" w:firstLineChars="500"/>
        <w:outlineLvl w:val="9"/>
        <w:rPr>
          <w:rFonts w:ascii="仿宋" w:hAnsi="仿宋" w:eastAsia="仿宋" w:cs="仿宋"/>
          <w:b/>
          <w:color w:val="auto"/>
          <w:sz w:val="36"/>
          <w:szCs w:val="36"/>
          <w:highlight w:val="none"/>
        </w:rPr>
      </w:pPr>
      <w:bookmarkStart w:id="432" w:name="_Toc28629"/>
      <w:bookmarkStart w:id="433" w:name="_Toc22290"/>
      <w:bookmarkStart w:id="434" w:name="_Toc12903"/>
    </w:p>
    <w:p w14:paraId="59230706">
      <w:pPr>
        <w:rPr>
          <w:rFonts w:hint="eastAsia" w:ascii="仿宋" w:hAnsi="仿宋" w:eastAsia="仿宋" w:cs="仿宋"/>
          <w:b/>
          <w:color w:val="auto"/>
          <w:sz w:val="36"/>
          <w:szCs w:val="36"/>
          <w:highlight w:val="none"/>
        </w:rPr>
      </w:pPr>
      <w:bookmarkStart w:id="435" w:name="_Toc8068"/>
      <w:bookmarkStart w:id="436" w:name="_Toc30437"/>
      <w:bookmarkStart w:id="437" w:name="_Toc3651"/>
      <w:bookmarkStart w:id="438" w:name="_Toc12722"/>
      <w:r>
        <w:rPr>
          <w:rFonts w:hint="eastAsia" w:ascii="仿宋" w:hAnsi="仿宋" w:eastAsia="仿宋" w:cs="仿宋"/>
          <w:b/>
          <w:color w:val="auto"/>
          <w:sz w:val="36"/>
          <w:szCs w:val="36"/>
          <w:highlight w:val="none"/>
        </w:rPr>
        <w:br w:type="page"/>
      </w:r>
    </w:p>
    <w:p w14:paraId="0FF76EB5">
      <w:pPr>
        <w:pStyle w:val="3"/>
        <w:numPr>
          <w:ilvl w:val="0"/>
          <w:numId w:val="7"/>
        </w:numPr>
        <w:bidi w:val="0"/>
        <w:rPr>
          <w:rFonts w:hint="eastAsia"/>
        </w:rPr>
      </w:pPr>
      <w:r>
        <w:rPr>
          <w:rFonts w:hint="eastAsia"/>
        </w:rPr>
        <w:t>拟签订的合同文本</w:t>
      </w:r>
      <w:bookmarkEnd w:id="432"/>
      <w:bookmarkEnd w:id="433"/>
      <w:bookmarkEnd w:id="434"/>
      <w:bookmarkEnd w:id="435"/>
      <w:bookmarkEnd w:id="436"/>
      <w:bookmarkEnd w:id="437"/>
      <w:bookmarkEnd w:id="438"/>
    </w:p>
    <w:p w14:paraId="1D8F0205">
      <w:pPr>
        <w:wordWrap w:val="0"/>
        <w:snapToGrid w:val="0"/>
        <w:spacing w:beforeLines="0" w:afterLines="0" w:line="360" w:lineRule="auto"/>
        <w:rPr>
          <w:rFonts w:ascii="仿宋" w:hAnsi="仿宋" w:eastAsia="仿宋" w:cs="仿宋"/>
          <w:color w:val="auto"/>
          <w:sz w:val="24"/>
          <w:highlight w:val="none"/>
        </w:rPr>
      </w:pPr>
    </w:p>
    <w:p w14:paraId="59C67B8C">
      <w:pPr>
        <w:pStyle w:val="4"/>
        <w:bidi w:val="0"/>
        <w:rPr>
          <w:rFonts w:hint="eastAsia"/>
        </w:rPr>
      </w:pPr>
      <w:r>
        <w:rPr>
          <w:rFonts w:hint="eastAsia"/>
        </w:rPr>
        <w:t>第</w:t>
      </w:r>
      <w:r>
        <w:rPr>
          <w:rFonts w:hint="eastAsia"/>
          <w:lang w:val="en-US" w:eastAsia="zh-CN"/>
        </w:rPr>
        <w:t>一</w:t>
      </w:r>
      <w:r>
        <w:rPr>
          <w:rFonts w:hint="eastAsia"/>
        </w:rPr>
        <w:t>部分</w:t>
      </w:r>
      <w:r>
        <w:rPr>
          <w:rFonts w:hint="eastAsia"/>
          <w:lang w:val="en-US" w:eastAsia="zh-CN"/>
        </w:rPr>
        <w:t xml:space="preserve"> </w:t>
      </w:r>
      <w:r>
        <w:rPr>
          <w:rFonts w:hint="eastAsia"/>
        </w:rPr>
        <w:t>合同文本</w:t>
      </w:r>
    </w:p>
    <w:p w14:paraId="22E42416">
      <w:pPr>
        <w:wordWrap w:val="0"/>
        <w:snapToGrid w:val="0"/>
        <w:spacing w:beforeLines="0" w:afterLines="0" w:line="360" w:lineRule="auto"/>
        <w:rPr>
          <w:rFonts w:ascii="仿宋" w:hAnsi="仿宋" w:eastAsia="仿宋" w:cs="仿宋"/>
          <w:color w:val="auto"/>
          <w:sz w:val="24"/>
          <w:highlight w:val="none"/>
        </w:rPr>
      </w:pPr>
    </w:p>
    <w:p w14:paraId="19EBBD6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6E7BC93">
      <w:pPr>
        <w:wordWrap w:val="0"/>
        <w:snapToGrid w:val="0"/>
        <w:spacing w:beforeLines="0" w:afterLines="0" w:line="360" w:lineRule="auto"/>
        <w:jc w:val="center"/>
        <w:rPr>
          <w:rFonts w:ascii="仿宋" w:hAnsi="仿宋" w:eastAsia="仿宋" w:cs="仿宋"/>
          <w:b/>
          <w:color w:val="auto"/>
          <w:sz w:val="24"/>
          <w:highlight w:val="none"/>
        </w:rPr>
      </w:pPr>
    </w:p>
    <w:p w14:paraId="6BA45AC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09820CE8">
      <w:pPr>
        <w:wordWrap w:val="0"/>
        <w:snapToGrid w:val="0"/>
        <w:spacing w:beforeLines="0" w:afterLines="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（服务类） </w:t>
      </w:r>
    </w:p>
    <w:p w14:paraId="7480C26A">
      <w:pPr>
        <w:pStyle w:val="703"/>
        <w:wordWrap w:val="0"/>
        <w:spacing w:beforeLines="0" w:after="0" w:afterLines="0"/>
        <w:ind w:left="0" w:leftChars="0" w:firstLine="0" w:firstLineChars="0"/>
        <w:jc w:val="center"/>
        <w:rPr>
          <w:rFonts w:ascii="仿宋" w:hAnsi="仿宋" w:eastAsia="仿宋" w:cs="仿宋"/>
          <w:b/>
          <w:color w:val="auto"/>
          <w:sz w:val="32"/>
          <w:szCs w:val="32"/>
          <w:highlight w:val="none"/>
        </w:rPr>
      </w:pPr>
    </w:p>
    <w:p w14:paraId="220177C3">
      <w:pPr>
        <w:pStyle w:val="703"/>
        <w:wordWrap w:val="0"/>
        <w:spacing w:beforeLines="0" w:after="0" w:afterLines="0"/>
        <w:rPr>
          <w:rFonts w:ascii="仿宋" w:hAnsi="仿宋" w:eastAsia="仿宋" w:cs="仿宋"/>
          <w:color w:val="auto"/>
          <w:szCs w:val="24"/>
          <w:highlight w:val="none"/>
        </w:rPr>
      </w:pPr>
    </w:p>
    <w:p w14:paraId="2EBDF81B">
      <w:pPr>
        <w:pStyle w:val="703"/>
        <w:wordWrap w:val="0"/>
        <w:spacing w:beforeLines="0" w:after="0" w:afterLines="0"/>
        <w:rPr>
          <w:rFonts w:ascii="仿宋" w:hAnsi="仿宋" w:eastAsia="仿宋" w:cs="仿宋"/>
          <w:color w:val="auto"/>
          <w:szCs w:val="24"/>
          <w:highlight w:val="none"/>
        </w:rPr>
      </w:pPr>
    </w:p>
    <w:p w14:paraId="0FB82F66">
      <w:pPr>
        <w:pStyle w:val="25"/>
        <w:snapToGrid w:val="0"/>
        <w:spacing w:beforeLines="0" w:afterLines="0" w:line="360" w:lineRule="auto"/>
        <w:rPr>
          <w:rFonts w:ascii="仿宋" w:hAnsi="仿宋" w:eastAsia="仿宋" w:cs="仿宋"/>
          <w:color w:val="auto"/>
          <w:highlight w:val="none"/>
        </w:rPr>
      </w:pPr>
    </w:p>
    <w:p w14:paraId="3A2FB9B7">
      <w:pPr>
        <w:pStyle w:val="16"/>
        <w:spacing w:beforeLines="0" w:afterLines="0" w:line="360" w:lineRule="auto"/>
        <w:rPr>
          <w:rFonts w:ascii="仿宋" w:hAnsi="仿宋" w:eastAsia="仿宋" w:cs="仿宋"/>
          <w:color w:val="auto"/>
          <w:highlight w:val="none"/>
        </w:rPr>
      </w:pPr>
    </w:p>
    <w:p w14:paraId="6322C049">
      <w:pPr>
        <w:wordWrap w:val="0"/>
        <w:snapToGrid w:val="0"/>
        <w:spacing w:before="0" w:beforeLines="0" w:afterLines="0" w:line="360" w:lineRule="auto"/>
        <w:rPr>
          <w:rFonts w:ascii="仿宋" w:hAnsi="仿宋" w:eastAsia="仿宋" w:cs="仿宋"/>
          <w:color w:val="auto"/>
          <w:sz w:val="24"/>
          <w:highlight w:val="none"/>
        </w:rPr>
      </w:pPr>
    </w:p>
    <w:p w14:paraId="1D9CF766">
      <w:pPr>
        <w:wordWrap w:val="0"/>
        <w:snapToGrid w:val="0"/>
        <w:spacing w:beforeLines="0" w:afterLines="0"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2025年度天水街道企退自管小组文体活动的执行单位采购项目</w:t>
      </w:r>
    </w:p>
    <w:p w14:paraId="45A79D95">
      <w:pPr>
        <w:wordWrap w:val="0"/>
        <w:snapToGrid w:val="0"/>
        <w:spacing w:beforeLines="0" w:afterLines="0" w:line="360" w:lineRule="auto"/>
        <w:rPr>
          <w:rFonts w:ascii="仿宋" w:hAnsi="仿宋" w:eastAsia="仿宋" w:cs="仿宋"/>
          <w:color w:val="auto"/>
          <w:sz w:val="28"/>
          <w:szCs w:val="28"/>
          <w:highlight w:val="none"/>
        </w:rPr>
      </w:pPr>
    </w:p>
    <w:p w14:paraId="2BE90547">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p>
    <w:p w14:paraId="57989641">
      <w:pPr>
        <w:wordWrap w:val="0"/>
        <w:snapToGrid w:val="0"/>
        <w:spacing w:beforeLines="0" w:afterLines="0" w:line="360" w:lineRule="auto"/>
        <w:rPr>
          <w:rFonts w:ascii="仿宋" w:hAnsi="仿宋" w:eastAsia="仿宋" w:cs="仿宋"/>
          <w:color w:val="auto"/>
          <w:sz w:val="28"/>
          <w:szCs w:val="28"/>
          <w:highlight w:val="none"/>
        </w:rPr>
      </w:pPr>
    </w:p>
    <w:p w14:paraId="39038629">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0BCFDFBE">
      <w:pPr>
        <w:wordWrap w:val="0"/>
        <w:snapToGrid w:val="0"/>
        <w:spacing w:beforeLines="0" w:afterLines="0" w:line="360" w:lineRule="auto"/>
        <w:rPr>
          <w:rFonts w:ascii="仿宋" w:hAnsi="仿宋" w:eastAsia="仿宋" w:cs="仿宋"/>
          <w:color w:val="auto"/>
          <w:sz w:val="28"/>
          <w:szCs w:val="28"/>
          <w:highlight w:val="none"/>
        </w:rPr>
      </w:pPr>
    </w:p>
    <w:p w14:paraId="4D170FF3">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73BE5133">
      <w:pPr>
        <w:wordWrap w:val="0"/>
        <w:snapToGrid w:val="0"/>
        <w:spacing w:beforeLines="0" w:afterLines="0" w:line="360" w:lineRule="auto"/>
        <w:rPr>
          <w:rFonts w:ascii="仿宋" w:hAnsi="仿宋" w:eastAsia="仿宋" w:cs="仿宋"/>
          <w:color w:val="auto"/>
          <w:sz w:val="28"/>
          <w:szCs w:val="28"/>
          <w:highlight w:val="none"/>
        </w:rPr>
      </w:pPr>
    </w:p>
    <w:p w14:paraId="6B3A9BB1">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918EA18">
      <w:pPr>
        <w:widowControl/>
        <w:wordWrap w:val="0"/>
        <w:snapToGrid w:val="0"/>
        <w:spacing w:beforeLines="0" w:afterLines="0" w:line="360" w:lineRule="auto"/>
        <w:jc w:val="left"/>
        <w:rPr>
          <w:rFonts w:ascii="仿宋" w:hAnsi="仿宋" w:eastAsia="仿宋" w:cs="仿宋"/>
          <w:color w:val="auto"/>
          <w:kern w:val="0"/>
          <w:sz w:val="28"/>
          <w:szCs w:val="28"/>
          <w:highlight w:val="none"/>
        </w:rPr>
        <w:sectPr>
          <w:footerReference r:id="rId13" w:type="first"/>
          <w:footerReference r:id="rId12" w:type="default"/>
          <w:pgSz w:w="11905" w:h="16838"/>
          <w:pgMar w:top="652" w:right="1417" w:bottom="680" w:left="1417" w:header="539" w:footer="425" w:gutter="0"/>
          <w:pgNumType w:fmt="decimal"/>
          <w:cols w:space="0" w:num="1"/>
          <w:titlePg/>
        </w:sectPr>
      </w:pPr>
    </w:p>
    <w:p w14:paraId="6FB50DD3">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杭州市拱墅区人民政府天水街道办事处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方式对</w:t>
      </w:r>
      <w:r>
        <w:rPr>
          <w:rFonts w:hint="eastAsia" w:ascii="仿宋" w:hAnsi="仿宋" w:eastAsia="仿宋" w:cs="仿宋"/>
          <w:color w:val="auto"/>
          <w:sz w:val="24"/>
          <w:highlight w:val="none"/>
          <w:u w:val="single"/>
          <w:lang w:eastAsia="zh-CN"/>
        </w:rPr>
        <w:t>2025年度天水街道企退自管小组文体活动的执行单位采购项目</w:t>
      </w:r>
      <w:r>
        <w:rPr>
          <w:rFonts w:hint="eastAsia" w:ascii="仿宋" w:hAnsi="仿宋" w:eastAsia="仿宋" w:cs="仿宋"/>
          <w:color w:val="auto"/>
          <w:sz w:val="24"/>
          <w:highlight w:val="none"/>
        </w:rPr>
        <w:t>进行了公开招标采购。</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14:paraId="1376E6B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杭州市拱墅区人民政府天水街道办事处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74A8022A">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68E6CDA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w:t>
      </w:r>
      <w:r>
        <w:rPr>
          <w:rFonts w:hint="eastAsia" w:ascii="仿宋" w:hAnsi="仿宋" w:eastAsia="仿宋" w:cs="仿宋"/>
          <w:color w:val="auto"/>
          <w:sz w:val="24"/>
          <w:highlight w:val="none"/>
          <w:lang w:eastAsia="zh-CN"/>
        </w:rPr>
        <w:t>份文件</w:t>
      </w:r>
      <w:r>
        <w:rPr>
          <w:rFonts w:hint="eastAsia" w:ascii="仿宋" w:hAnsi="仿宋" w:eastAsia="仿宋" w:cs="仿宋"/>
          <w:color w:val="auto"/>
          <w:sz w:val="24"/>
          <w:highlight w:val="none"/>
        </w:rPr>
        <w:t>的优先适用顺序如下：</w:t>
      </w:r>
    </w:p>
    <w:p w14:paraId="5CFE126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0B87AD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5570F9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4BC320A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481F4D1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2FDA2BF">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39" w:name="_Toc27126"/>
      <w:bookmarkStart w:id="440" w:name="_Toc24300"/>
      <w:bookmarkStart w:id="441" w:name="_Toc21295"/>
      <w:r>
        <w:rPr>
          <w:rFonts w:hint="eastAsia" w:ascii="仿宋" w:hAnsi="仿宋" w:eastAsia="仿宋" w:cs="仿宋"/>
          <w:b/>
          <w:color w:val="auto"/>
          <w:sz w:val="24"/>
          <w:highlight w:val="none"/>
        </w:rPr>
        <w:t xml:space="preserve">1.2 </w:t>
      </w:r>
      <w:bookmarkEnd w:id="439"/>
      <w:bookmarkEnd w:id="440"/>
      <w:bookmarkEnd w:id="441"/>
      <w:r>
        <w:rPr>
          <w:rFonts w:hint="eastAsia" w:ascii="仿宋" w:hAnsi="仿宋" w:eastAsia="仿宋" w:cs="仿宋"/>
          <w:b/>
          <w:color w:val="auto"/>
          <w:sz w:val="24"/>
          <w:highlight w:val="none"/>
        </w:rPr>
        <w:t>标的</w:t>
      </w:r>
    </w:p>
    <w:p w14:paraId="766A828C">
      <w:pPr>
        <w:keepNext w:val="0"/>
        <w:keepLines w:val="0"/>
        <w:pageBreakBefore w:val="0"/>
        <w:numPr>
          <w:ilvl w:val="-1"/>
          <w:numId w:val="0"/>
        </w:numPr>
        <w:kinsoku/>
        <w:wordWrap/>
        <w:overflowPunct/>
        <w:topLinePunct w:val="0"/>
        <w:autoSpaceDE/>
        <w:autoSpaceDN/>
        <w:bidi w:val="0"/>
        <w:snapToGrid w:val="0"/>
        <w:spacing w:beforeLines="0" w:afterLines="0" w:line="360" w:lineRule="auto"/>
        <w:ind w:firstLine="482" w:firstLineChars="200"/>
        <w:textAlignment w:val="auto"/>
        <w:outlineLvl w:val="9"/>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1.2.1服务内容</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根据采购需求、投标文件响应填写）</w:t>
      </w:r>
    </w:p>
    <w:p w14:paraId="1C21DECE">
      <w:pPr>
        <w:keepNext w:val="0"/>
        <w:keepLines w:val="0"/>
        <w:pageBreakBefore w:val="0"/>
        <w:numPr>
          <w:ilvl w:val="255"/>
          <w:numId w:val="0"/>
        </w:numPr>
        <w:kinsoku/>
        <w:wordWrap/>
        <w:overflowPunct/>
        <w:topLinePunct w:val="0"/>
        <w:autoSpaceDE/>
        <w:autoSpaceDN/>
        <w:bidi w:val="0"/>
        <w:snapToGrid w:val="0"/>
        <w:spacing w:beforeLines="0" w:afterLines="0" w:line="360" w:lineRule="auto"/>
        <w:ind w:firstLine="482" w:firstLineChars="200"/>
        <w:jc w:val="left"/>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rPr>
        <w:t>1.2.2</w:t>
      </w: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标准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满意度达95%及以上，安全事故“0”发生。</w:t>
      </w:r>
    </w:p>
    <w:p w14:paraId="22DE3D66">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1.2.3 技术保障：</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按投标文件承诺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C7FD3F">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详见合同附件（合同签订时附后）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5BB76D7">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74A32EEF">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EF6B46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总</w:t>
      </w:r>
      <w:r>
        <w:rPr>
          <w:rFonts w:hint="eastAsia" w:ascii="仿宋" w:hAnsi="仿宋" w:eastAsia="仿宋" w:cs="仿宋"/>
          <w:color w:val="auto"/>
          <w:sz w:val="24"/>
          <w:highlight w:val="none"/>
        </w:rPr>
        <w:t>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元人民币）。具体分项价格</w:t>
      </w:r>
      <w:r>
        <w:rPr>
          <w:rFonts w:hint="eastAsia" w:ascii="仿宋" w:hAnsi="仿宋" w:eastAsia="仿宋" w:cs="仿宋"/>
          <w:color w:val="auto"/>
          <w:sz w:val="24"/>
          <w:highlight w:val="none"/>
          <w:lang w:eastAsia="zh-CN"/>
        </w:rPr>
        <w:t>见</w:t>
      </w:r>
      <w:r>
        <w:rPr>
          <w:rFonts w:hint="eastAsia" w:ascii="仿宋" w:hAnsi="仿宋" w:eastAsia="仿宋" w:cs="仿宋"/>
          <w:color w:val="auto"/>
          <w:sz w:val="24"/>
          <w:highlight w:val="none"/>
        </w:rPr>
        <w:t>附件。</w:t>
      </w:r>
    </w:p>
    <w:p w14:paraId="7B633C02">
      <w:pPr>
        <w:keepNext w:val="0"/>
        <w:keepLines w:val="0"/>
        <w:pageBreakBefore w:val="0"/>
        <w:kinsoku/>
        <w:wordWrap/>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130元/人次  </w:t>
      </w: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合同专用条款</w:t>
      </w:r>
      <w:r>
        <w:rPr>
          <w:rFonts w:hint="eastAsia" w:ascii="仿宋" w:hAnsi="仿宋" w:eastAsia="仿宋" w:cs="仿宋"/>
          <w:bCs/>
          <w:color w:val="auto"/>
          <w:sz w:val="24"/>
          <w:highlight w:val="none"/>
        </w:rPr>
        <w:t>。单价合同，在合同履行期间内，根据实际完成的工作量据实结算，但结算总价上限不得超过预算金额</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u w:val="single"/>
          <w:lang w:val="en-US" w:eastAsia="zh-CN"/>
        </w:rPr>
        <w:t>1313000</w:t>
      </w:r>
      <w:r>
        <w:rPr>
          <w:rFonts w:hint="eastAsia" w:ascii="仿宋" w:hAnsi="仿宋" w:eastAsia="仿宋" w:cs="仿宋"/>
          <w:bCs/>
          <w:color w:val="auto"/>
          <w:sz w:val="24"/>
          <w:highlight w:val="none"/>
        </w:rPr>
        <w:t>元（大写：</w:t>
      </w:r>
      <w:r>
        <w:rPr>
          <w:rFonts w:hint="eastAsia" w:ascii="仿宋" w:hAnsi="仿宋" w:eastAsia="仿宋" w:cs="仿宋"/>
          <w:bCs/>
          <w:color w:val="auto"/>
          <w:sz w:val="24"/>
          <w:highlight w:val="none"/>
          <w:u w:val="single"/>
          <w:lang w:val="en-US" w:eastAsia="zh-CN"/>
        </w:rPr>
        <w:t>壹佰叁拾壹万叁仟</w:t>
      </w:r>
      <w:r>
        <w:rPr>
          <w:rFonts w:hint="eastAsia" w:ascii="仿宋" w:hAnsi="仿宋" w:eastAsia="仿宋" w:cs="仿宋"/>
          <w:bCs/>
          <w:color w:val="auto"/>
          <w:sz w:val="24"/>
          <w:highlight w:val="none"/>
        </w:rPr>
        <w:t>元人民币）</w:t>
      </w:r>
      <w:r>
        <w:rPr>
          <w:rFonts w:hint="eastAsia" w:ascii="仿宋" w:hAnsi="仿宋" w:eastAsia="仿宋" w:cs="仿宋"/>
          <w:color w:val="auto"/>
          <w:sz w:val="24"/>
          <w:highlight w:val="none"/>
        </w:rPr>
        <w:t>。</w:t>
      </w:r>
    </w:p>
    <w:p w14:paraId="0B916447">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       </w:t>
      </w:r>
      <w:r>
        <w:rPr>
          <w:rFonts w:hint="eastAsia" w:ascii="仿宋" w:hAnsi="仿宋" w:eastAsia="仿宋" w:cs="仿宋"/>
          <w:b w:val="0"/>
          <w:bCs w:val="0"/>
          <w:color w:val="auto"/>
          <w:sz w:val="24"/>
          <w:highlight w:val="none"/>
        </w:rPr>
        <w:t>。</w:t>
      </w:r>
    </w:p>
    <w:p w14:paraId="41B75C06">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color w:val="auto"/>
          <w:highlight w:val="none"/>
        </w:rPr>
      </w:pPr>
      <w:bookmarkStart w:id="442" w:name="_Toc22618"/>
      <w:bookmarkStart w:id="443" w:name="_Toc10340"/>
      <w:bookmarkStart w:id="444" w:name="_Toc1814"/>
      <w:bookmarkStart w:id="445" w:name="_Toc26916"/>
      <w:bookmarkStart w:id="446" w:name="_Toc3654"/>
      <w:bookmarkStart w:id="447" w:name="_Toc14993"/>
      <w:bookmarkStart w:id="448" w:name="_Toc30158"/>
      <w:bookmarkStart w:id="449" w:name="_Toc30506"/>
      <w:r>
        <w:rPr>
          <w:rFonts w:hint="eastAsia" w:ascii="仿宋" w:hAnsi="仿宋" w:eastAsia="仿宋" w:cs="仿宋"/>
          <w:b/>
          <w:color w:val="auto"/>
          <w:highlight w:val="none"/>
        </w:rPr>
        <w:t>1.4履约保证金</w:t>
      </w:r>
    </w:p>
    <w:p w14:paraId="66540204">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rPr>
        <w:t>（是/否）需要支付履约保证金。若需要支付履约保证金的，则：</w:t>
      </w:r>
    </w:p>
    <w:p w14:paraId="1F2BC5F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450" w:name="_Toc10654"/>
      <w:bookmarkStart w:id="451" w:name="_Toc23432"/>
      <w:bookmarkStart w:id="452" w:name="_Toc10150"/>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b/>
          <w:bCs/>
          <w:color w:val="auto"/>
          <w:kern w:val="0"/>
          <w:sz w:val="24"/>
          <w:highlight w:val="none"/>
          <w:u w:val="single"/>
          <w:lang w:val="en-US" w:eastAsia="zh-CN"/>
        </w:rPr>
        <w:t>/</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w:t>
      </w:r>
      <w:bookmarkEnd w:id="450"/>
      <w:bookmarkEnd w:id="451"/>
      <w:bookmarkEnd w:id="452"/>
    </w:p>
    <w:p w14:paraId="676D376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453" w:name="_Toc29534"/>
      <w:bookmarkStart w:id="454" w:name="_Toc6717"/>
      <w:bookmarkStart w:id="455" w:name="_Toc8714"/>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53"/>
      <w:bookmarkEnd w:id="454"/>
      <w:bookmarkEnd w:id="455"/>
    </w:p>
    <w:p w14:paraId="6F6DAC24">
      <w:pPr>
        <w:keepNext w:val="0"/>
        <w:keepLines w:val="0"/>
        <w:pageBreakBefore w:val="0"/>
        <w:tabs>
          <w:tab w:val="left" w:pos="0"/>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79127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456" w:name="_Toc22822"/>
      <w:bookmarkStart w:id="457" w:name="_Toc6865"/>
      <w:bookmarkStart w:id="458" w:name="_Toc9602"/>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val="en-US" w:eastAsia="zh-CN"/>
        </w:rPr>
        <w:t>10</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56"/>
      <w:bookmarkEnd w:id="457"/>
      <w:bookmarkEnd w:id="458"/>
    </w:p>
    <w:p w14:paraId="49CE3759">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59" w:name="_Toc30339"/>
      <w:bookmarkStart w:id="460" w:name="_Toc13676"/>
      <w:bookmarkStart w:id="461" w:name="_Toc8649"/>
      <w:r>
        <w:rPr>
          <w:rFonts w:hint="eastAsia" w:ascii="仿宋" w:hAnsi="仿宋" w:eastAsia="仿宋" w:cs="仿宋"/>
          <w:b/>
          <w:color w:val="auto"/>
          <w:sz w:val="24"/>
          <w:highlight w:val="none"/>
        </w:rPr>
        <w:t>1.5</w:t>
      </w:r>
      <w:bookmarkEnd w:id="442"/>
      <w:bookmarkEnd w:id="443"/>
      <w:bookmarkEnd w:id="444"/>
      <w:r>
        <w:rPr>
          <w:rFonts w:hint="eastAsia" w:ascii="仿宋" w:hAnsi="仿宋" w:eastAsia="仿宋" w:cs="仿宋"/>
          <w:b/>
          <w:color w:val="auto"/>
          <w:sz w:val="24"/>
          <w:highlight w:val="none"/>
        </w:rPr>
        <w:t>预付款</w:t>
      </w:r>
      <w:bookmarkEnd w:id="459"/>
      <w:bookmarkEnd w:id="460"/>
      <w:bookmarkEnd w:id="461"/>
    </w:p>
    <w:p w14:paraId="4A52D3E4">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6307D8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5CC7FC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73689E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2B5CD3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4C40D82E">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64C58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bookmarkStart w:id="462" w:name="_Toc13230"/>
      <w:bookmarkStart w:id="463" w:name="_Toc15644"/>
      <w:bookmarkStart w:id="464" w:name="_Toc2062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62"/>
      <w:bookmarkEnd w:id="463"/>
      <w:bookmarkEnd w:id="464"/>
    </w:p>
    <w:p w14:paraId="59971C3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65" w:name="_Toc32135"/>
      <w:bookmarkStart w:id="466" w:name="_Toc3031"/>
      <w:bookmarkStart w:id="467" w:name="_Toc15195"/>
      <w:r>
        <w:rPr>
          <w:rFonts w:hint="eastAsia" w:ascii="仿宋" w:hAnsi="仿宋" w:eastAsia="仿宋" w:cs="仿宋"/>
          <w:b/>
          <w:color w:val="auto"/>
          <w:sz w:val="24"/>
          <w:highlight w:val="none"/>
        </w:rPr>
        <w:t>1.7 履行期限、地点和方式</w:t>
      </w:r>
      <w:bookmarkEnd w:id="465"/>
      <w:bookmarkEnd w:id="466"/>
      <w:bookmarkEnd w:id="467"/>
    </w:p>
    <w:p w14:paraId="5C2B0350">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A1964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CFF1B7">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83A8B9">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u w:val="single"/>
        </w:rPr>
      </w:pPr>
      <w:bookmarkStart w:id="468" w:name="_Toc23902"/>
      <w:bookmarkStart w:id="469" w:name="_Toc13446"/>
      <w:bookmarkStart w:id="470" w:name="_Toc31802"/>
      <w:r>
        <w:rPr>
          <w:rFonts w:hint="eastAsia" w:ascii="仿宋" w:hAnsi="仿宋" w:eastAsia="仿宋" w:cs="仿宋"/>
          <w:b/>
          <w:color w:val="auto"/>
          <w:sz w:val="24"/>
          <w:highlight w:val="none"/>
        </w:rPr>
        <w:t>1.8违约责任</w:t>
      </w:r>
      <w:bookmarkEnd w:id="468"/>
      <w:bookmarkEnd w:id="469"/>
      <w:bookmarkEnd w:id="470"/>
    </w:p>
    <w:p w14:paraId="4284521B">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E5E67EB">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D3F89A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12D660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BDA98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456EFD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271BD7A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81DE1D1">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71" w:name="_Toc198"/>
      <w:bookmarkStart w:id="472" w:name="_Toc28375"/>
      <w:bookmarkStart w:id="473" w:name="_Toc16021"/>
      <w:bookmarkStart w:id="474" w:name="_Toc7349"/>
      <w:bookmarkStart w:id="475" w:name="_Toc15583"/>
      <w:bookmarkStart w:id="476" w:name="_Toc4927"/>
      <w:r>
        <w:rPr>
          <w:rFonts w:hint="eastAsia" w:ascii="仿宋" w:hAnsi="仿宋" w:eastAsia="仿宋" w:cs="仿宋"/>
          <w:b/>
          <w:color w:val="auto"/>
          <w:sz w:val="24"/>
          <w:highlight w:val="none"/>
        </w:rPr>
        <w:t>1.9合同争议的解决</w:t>
      </w:r>
      <w:bookmarkEnd w:id="471"/>
      <w:bookmarkEnd w:id="472"/>
      <w:bookmarkEnd w:id="473"/>
      <w:bookmarkEnd w:id="474"/>
      <w:bookmarkEnd w:id="475"/>
      <w:bookmarkEnd w:id="476"/>
    </w:p>
    <w:p w14:paraId="09C4E8D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E9D386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C64C0F5">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957C8A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77" w:name="_Toc15322"/>
      <w:bookmarkStart w:id="478" w:name="_Toc7245"/>
      <w:bookmarkStart w:id="479" w:name="_Toc14116"/>
      <w:bookmarkStart w:id="480" w:name="_Toc11173"/>
      <w:bookmarkStart w:id="481" w:name="_Toc2411"/>
      <w:r>
        <w:rPr>
          <w:rFonts w:hint="eastAsia" w:ascii="仿宋" w:hAnsi="仿宋" w:eastAsia="仿宋" w:cs="仿宋"/>
          <w:b/>
          <w:color w:val="auto"/>
          <w:sz w:val="24"/>
          <w:highlight w:val="none"/>
        </w:rPr>
        <w:t>2.0 合同生效</w:t>
      </w:r>
      <w:bookmarkEnd w:id="477"/>
      <w:bookmarkEnd w:id="478"/>
      <w:bookmarkEnd w:id="479"/>
      <w:bookmarkEnd w:id="480"/>
      <w:bookmarkEnd w:id="481"/>
    </w:p>
    <w:p w14:paraId="734216E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3D58B655">
      <w:pPr>
        <w:snapToGrid w:val="0"/>
        <w:spacing w:beforeLines="0" w:afterLines="0" w:line="360" w:lineRule="auto"/>
        <w:rPr>
          <w:rFonts w:ascii="仿宋" w:hAnsi="仿宋" w:eastAsia="仿宋" w:cs="仿宋"/>
          <w:b/>
          <w:color w:val="auto"/>
          <w:sz w:val="24"/>
          <w:highlight w:val="none"/>
          <w:lang w:val="zh-CN"/>
        </w:rPr>
      </w:pPr>
    </w:p>
    <w:p w14:paraId="6439E1D7">
      <w:pPr>
        <w:autoSpaceDE w:val="0"/>
        <w:autoSpaceDN w:val="0"/>
        <w:snapToGrid w:val="0"/>
        <w:spacing w:beforeLines="0" w:afterLines="0" w:line="360" w:lineRule="auto"/>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6C39F7C">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5BBCCDA">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p>
    <w:p w14:paraId="15C74B73">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C9E591E">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F53C545">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009E757">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A9EA9D3">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FA51B62">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37D6C64">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DE233B7">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3D4BF92">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9F4200B">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83AA0AD">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2D53F5B">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939EB9D">
      <w:pPr>
        <w:widowControl/>
        <w:adjustRightInd/>
        <w:snapToGrid w:val="0"/>
        <w:spacing w:beforeLines="0" w:afterLines="0" w:line="360" w:lineRule="auto"/>
        <w:ind w:firstLine="422" w:firstLineChars="200"/>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26A2E1E6">
      <w:pPr>
        <w:pStyle w:val="4"/>
        <w:bidi w:val="0"/>
      </w:pPr>
      <w:r>
        <w:rPr>
          <w:rFonts w:hint="eastAsia"/>
        </w:rPr>
        <w:t>第二部分 合同一般条款</w:t>
      </w:r>
    </w:p>
    <w:p w14:paraId="145CE015">
      <w:pPr>
        <w:snapToGrid w:val="0"/>
        <w:spacing w:beforeLines="0" w:afterLines="0" w:line="360" w:lineRule="auto"/>
        <w:ind w:firstLine="482" w:firstLineChars="200"/>
        <w:rPr>
          <w:rFonts w:ascii="仿宋" w:hAnsi="仿宋" w:eastAsia="仿宋" w:cs="仿宋"/>
          <w:b/>
          <w:color w:val="auto"/>
          <w:sz w:val="24"/>
          <w:highlight w:val="none"/>
        </w:rPr>
      </w:pPr>
      <w:bookmarkStart w:id="482" w:name="_Toc9265"/>
      <w:bookmarkStart w:id="483" w:name="_Toc29070"/>
      <w:r>
        <w:rPr>
          <w:rFonts w:hint="eastAsia" w:ascii="仿宋" w:hAnsi="仿宋" w:eastAsia="仿宋" w:cs="仿宋"/>
          <w:b/>
          <w:color w:val="auto"/>
          <w:sz w:val="24"/>
          <w:highlight w:val="none"/>
        </w:rPr>
        <w:t>2.1 定义</w:t>
      </w:r>
      <w:bookmarkEnd w:id="482"/>
      <w:bookmarkEnd w:id="483"/>
    </w:p>
    <w:p w14:paraId="54234E7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9C9258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1A119C5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6C0FA54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6D997FC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62EE5D29">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78A2ADD">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E83891F">
      <w:pPr>
        <w:snapToGrid w:val="0"/>
        <w:spacing w:beforeLines="0" w:afterLines="0" w:line="360" w:lineRule="auto"/>
        <w:ind w:firstLine="482" w:firstLineChars="200"/>
        <w:rPr>
          <w:rFonts w:ascii="仿宋" w:hAnsi="仿宋" w:eastAsia="仿宋" w:cs="仿宋"/>
          <w:b/>
          <w:color w:val="auto"/>
          <w:sz w:val="24"/>
          <w:highlight w:val="none"/>
        </w:rPr>
      </w:pPr>
      <w:bookmarkStart w:id="484" w:name="_Toc18441"/>
      <w:bookmarkStart w:id="485" w:name="_Toc25348"/>
      <w:r>
        <w:rPr>
          <w:rFonts w:hint="eastAsia" w:ascii="仿宋" w:hAnsi="仿宋" w:eastAsia="仿宋" w:cs="仿宋"/>
          <w:b/>
          <w:color w:val="auto"/>
          <w:sz w:val="24"/>
          <w:highlight w:val="none"/>
        </w:rPr>
        <w:t>2.2 技术规范</w:t>
      </w:r>
      <w:bookmarkEnd w:id="484"/>
      <w:bookmarkEnd w:id="485"/>
    </w:p>
    <w:p w14:paraId="39ECD5B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EABD7D">
      <w:pPr>
        <w:snapToGrid w:val="0"/>
        <w:spacing w:beforeLines="0" w:afterLines="0" w:line="360" w:lineRule="auto"/>
        <w:ind w:firstLine="482" w:firstLineChars="200"/>
        <w:rPr>
          <w:rFonts w:ascii="仿宋" w:hAnsi="仿宋" w:eastAsia="仿宋" w:cs="仿宋"/>
          <w:b/>
          <w:color w:val="auto"/>
          <w:sz w:val="24"/>
          <w:highlight w:val="none"/>
        </w:rPr>
      </w:pPr>
      <w:bookmarkStart w:id="486" w:name="_Toc13042"/>
      <w:bookmarkStart w:id="487" w:name="_Toc31737"/>
      <w:r>
        <w:rPr>
          <w:rFonts w:hint="eastAsia" w:ascii="仿宋" w:hAnsi="仿宋" w:eastAsia="仿宋" w:cs="仿宋"/>
          <w:b/>
          <w:color w:val="auto"/>
          <w:sz w:val="24"/>
          <w:highlight w:val="none"/>
        </w:rPr>
        <w:t>2.3 知识产权</w:t>
      </w:r>
      <w:bookmarkEnd w:id="486"/>
      <w:bookmarkEnd w:id="487"/>
    </w:p>
    <w:p w14:paraId="569F0C4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6EF1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822CB0">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786286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856E1F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3117599">
      <w:pPr>
        <w:snapToGrid w:val="0"/>
        <w:spacing w:beforeLines="0" w:afterLines="0" w:line="360" w:lineRule="auto"/>
        <w:ind w:firstLine="482" w:firstLineChars="200"/>
        <w:rPr>
          <w:rFonts w:ascii="仿宋" w:hAnsi="仿宋" w:eastAsia="仿宋" w:cs="仿宋"/>
          <w:b/>
          <w:color w:val="auto"/>
          <w:sz w:val="24"/>
          <w:highlight w:val="none"/>
        </w:rPr>
      </w:pPr>
      <w:bookmarkStart w:id="488" w:name="_Toc12391"/>
      <w:bookmarkStart w:id="489" w:name="_Toc8304"/>
      <w:r>
        <w:rPr>
          <w:rFonts w:hint="eastAsia" w:ascii="仿宋" w:hAnsi="仿宋" w:eastAsia="仿宋" w:cs="仿宋"/>
          <w:b/>
          <w:color w:val="auto"/>
          <w:sz w:val="24"/>
          <w:highlight w:val="none"/>
        </w:rPr>
        <w:t>2.5 结算方式和付款条件</w:t>
      </w:r>
      <w:bookmarkEnd w:id="488"/>
      <w:bookmarkEnd w:id="489"/>
    </w:p>
    <w:p w14:paraId="4065DD8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1555E8D">
      <w:pPr>
        <w:snapToGrid w:val="0"/>
        <w:spacing w:beforeLines="0" w:afterLines="0" w:line="360" w:lineRule="auto"/>
        <w:ind w:firstLine="482" w:firstLineChars="200"/>
        <w:rPr>
          <w:rFonts w:ascii="仿宋" w:hAnsi="仿宋" w:eastAsia="仿宋" w:cs="仿宋"/>
          <w:b/>
          <w:color w:val="auto"/>
          <w:sz w:val="24"/>
          <w:highlight w:val="none"/>
        </w:rPr>
      </w:pPr>
      <w:bookmarkStart w:id="490" w:name="_Toc22052"/>
      <w:bookmarkStart w:id="491" w:name="_Toc8639"/>
      <w:r>
        <w:rPr>
          <w:rFonts w:hint="eastAsia" w:ascii="仿宋" w:hAnsi="仿宋" w:eastAsia="仿宋" w:cs="仿宋"/>
          <w:b/>
          <w:color w:val="auto"/>
          <w:sz w:val="24"/>
          <w:highlight w:val="none"/>
        </w:rPr>
        <w:t>2.6 技术资料和保密义务</w:t>
      </w:r>
      <w:bookmarkEnd w:id="490"/>
      <w:bookmarkEnd w:id="491"/>
    </w:p>
    <w:p w14:paraId="4399C59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7AA53F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465424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50134B">
      <w:pPr>
        <w:snapToGrid w:val="0"/>
        <w:spacing w:beforeLines="0" w:afterLines="0" w:line="360" w:lineRule="auto"/>
        <w:ind w:firstLine="482" w:firstLineChars="200"/>
        <w:rPr>
          <w:rFonts w:ascii="仿宋" w:hAnsi="仿宋" w:eastAsia="仿宋" w:cs="仿宋"/>
          <w:b/>
          <w:color w:val="auto"/>
          <w:sz w:val="24"/>
          <w:highlight w:val="none"/>
        </w:rPr>
      </w:pPr>
      <w:bookmarkStart w:id="492" w:name="_Toc24562"/>
      <w:bookmarkStart w:id="493" w:name="_Toc15424"/>
      <w:r>
        <w:rPr>
          <w:rFonts w:hint="eastAsia" w:ascii="仿宋" w:hAnsi="仿宋" w:eastAsia="仿宋" w:cs="仿宋"/>
          <w:b/>
          <w:color w:val="auto"/>
          <w:sz w:val="24"/>
          <w:highlight w:val="none"/>
        </w:rPr>
        <w:t>2.7 质量保证</w:t>
      </w:r>
      <w:bookmarkEnd w:id="492"/>
      <w:bookmarkEnd w:id="493"/>
    </w:p>
    <w:p w14:paraId="4DF944A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0A8C2A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2381298">
      <w:pPr>
        <w:snapToGrid w:val="0"/>
        <w:spacing w:beforeLines="0" w:afterLines="0" w:line="360" w:lineRule="auto"/>
        <w:ind w:firstLine="482" w:firstLineChars="200"/>
        <w:rPr>
          <w:rFonts w:ascii="仿宋" w:hAnsi="仿宋" w:eastAsia="仿宋" w:cs="仿宋"/>
          <w:b/>
          <w:color w:val="auto"/>
          <w:sz w:val="24"/>
          <w:highlight w:val="none"/>
        </w:rPr>
      </w:pPr>
      <w:bookmarkStart w:id="494" w:name="_Toc24080"/>
      <w:bookmarkStart w:id="495" w:name="_Toc17722"/>
      <w:r>
        <w:rPr>
          <w:rFonts w:hint="eastAsia" w:ascii="仿宋" w:hAnsi="仿宋" w:eastAsia="仿宋" w:cs="仿宋"/>
          <w:b/>
          <w:color w:val="auto"/>
          <w:sz w:val="24"/>
          <w:highlight w:val="none"/>
        </w:rPr>
        <w:t>2.8 延迟履行</w:t>
      </w:r>
      <w:bookmarkEnd w:id="494"/>
      <w:bookmarkEnd w:id="495"/>
    </w:p>
    <w:p w14:paraId="3B4337A9">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E3C0F56">
      <w:pPr>
        <w:snapToGrid w:val="0"/>
        <w:spacing w:beforeLines="0" w:afterLines="0" w:line="360" w:lineRule="auto"/>
        <w:ind w:firstLine="482" w:firstLineChars="200"/>
        <w:rPr>
          <w:rFonts w:ascii="仿宋" w:hAnsi="仿宋" w:eastAsia="仿宋" w:cs="仿宋"/>
          <w:b/>
          <w:color w:val="auto"/>
          <w:sz w:val="24"/>
          <w:highlight w:val="none"/>
        </w:rPr>
      </w:pPr>
      <w:bookmarkStart w:id="496" w:name="_Toc17148"/>
      <w:bookmarkStart w:id="497" w:name="_Toc11742"/>
      <w:r>
        <w:rPr>
          <w:rFonts w:hint="eastAsia" w:ascii="仿宋" w:hAnsi="仿宋" w:eastAsia="仿宋" w:cs="仿宋"/>
          <w:b/>
          <w:color w:val="auto"/>
          <w:sz w:val="24"/>
          <w:highlight w:val="none"/>
        </w:rPr>
        <w:t>2.9 合同变更</w:t>
      </w:r>
      <w:bookmarkEnd w:id="496"/>
      <w:bookmarkEnd w:id="497"/>
    </w:p>
    <w:p w14:paraId="32CF69B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D4A0DF9">
      <w:pPr>
        <w:snapToGrid w:val="0"/>
        <w:spacing w:beforeLines="0" w:afterLines="0" w:line="360" w:lineRule="auto"/>
        <w:ind w:firstLine="482" w:firstLineChars="200"/>
        <w:rPr>
          <w:rFonts w:ascii="仿宋" w:hAnsi="仿宋" w:eastAsia="仿宋" w:cs="仿宋"/>
          <w:b/>
          <w:color w:val="auto"/>
          <w:sz w:val="24"/>
          <w:highlight w:val="none"/>
        </w:rPr>
      </w:pPr>
      <w:bookmarkStart w:id="498" w:name="_Toc17193"/>
      <w:bookmarkStart w:id="499" w:name="_Toc24533"/>
      <w:r>
        <w:rPr>
          <w:rFonts w:hint="eastAsia" w:ascii="仿宋" w:hAnsi="仿宋" w:eastAsia="仿宋" w:cs="仿宋"/>
          <w:b/>
          <w:color w:val="auto"/>
          <w:sz w:val="24"/>
          <w:highlight w:val="none"/>
        </w:rPr>
        <w:t>2.10 合同转让和分包</w:t>
      </w:r>
      <w:bookmarkEnd w:id="498"/>
      <w:bookmarkEnd w:id="499"/>
    </w:p>
    <w:p w14:paraId="53712F58">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50EBB3">
      <w:pPr>
        <w:snapToGrid w:val="0"/>
        <w:spacing w:beforeLines="0" w:afterLines="0" w:line="360" w:lineRule="auto"/>
        <w:ind w:firstLine="482" w:firstLineChars="200"/>
        <w:rPr>
          <w:rFonts w:ascii="仿宋" w:hAnsi="仿宋" w:eastAsia="仿宋" w:cs="仿宋"/>
          <w:b/>
          <w:color w:val="auto"/>
          <w:sz w:val="24"/>
          <w:highlight w:val="none"/>
        </w:rPr>
      </w:pPr>
      <w:bookmarkStart w:id="500" w:name="_Toc18393"/>
      <w:bookmarkStart w:id="501" w:name="_Toc10781"/>
      <w:r>
        <w:rPr>
          <w:rFonts w:hint="eastAsia" w:ascii="仿宋" w:hAnsi="仿宋" w:eastAsia="仿宋" w:cs="仿宋"/>
          <w:b/>
          <w:color w:val="auto"/>
          <w:sz w:val="24"/>
          <w:highlight w:val="none"/>
        </w:rPr>
        <w:t>2.11 不可抗力</w:t>
      </w:r>
      <w:bookmarkEnd w:id="500"/>
      <w:bookmarkEnd w:id="501"/>
    </w:p>
    <w:p w14:paraId="463BA7F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912161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A228AE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FE0801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299C462">
      <w:pPr>
        <w:snapToGrid w:val="0"/>
        <w:spacing w:beforeLines="0" w:afterLines="0" w:line="360" w:lineRule="auto"/>
        <w:ind w:firstLine="482" w:firstLineChars="200"/>
        <w:rPr>
          <w:rFonts w:ascii="仿宋" w:hAnsi="仿宋" w:eastAsia="仿宋" w:cs="仿宋"/>
          <w:b/>
          <w:color w:val="auto"/>
          <w:sz w:val="24"/>
          <w:highlight w:val="none"/>
        </w:rPr>
      </w:pPr>
      <w:bookmarkStart w:id="502" w:name="_Toc13317"/>
      <w:bookmarkStart w:id="503" w:name="_Toc32573"/>
      <w:r>
        <w:rPr>
          <w:rFonts w:hint="eastAsia" w:ascii="仿宋" w:hAnsi="仿宋" w:eastAsia="仿宋" w:cs="仿宋"/>
          <w:b/>
          <w:color w:val="auto"/>
          <w:sz w:val="24"/>
          <w:highlight w:val="none"/>
        </w:rPr>
        <w:t>2.12 税费</w:t>
      </w:r>
      <w:bookmarkEnd w:id="502"/>
      <w:bookmarkEnd w:id="503"/>
    </w:p>
    <w:p w14:paraId="6DE637B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4E6C263">
      <w:pPr>
        <w:snapToGrid w:val="0"/>
        <w:spacing w:beforeLines="0" w:afterLines="0" w:line="360" w:lineRule="auto"/>
        <w:ind w:firstLine="482" w:firstLineChars="200"/>
        <w:rPr>
          <w:rFonts w:ascii="仿宋" w:hAnsi="仿宋" w:eastAsia="仿宋" w:cs="仿宋"/>
          <w:b/>
          <w:color w:val="auto"/>
          <w:sz w:val="24"/>
          <w:highlight w:val="none"/>
        </w:rPr>
      </w:pPr>
      <w:bookmarkStart w:id="504" w:name="_Toc26875"/>
      <w:bookmarkStart w:id="505" w:name="_Toc24743"/>
      <w:r>
        <w:rPr>
          <w:rFonts w:hint="eastAsia" w:ascii="仿宋" w:hAnsi="仿宋" w:eastAsia="仿宋" w:cs="仿宋"/>
          <w:b/>
          <w:color w:val="auto"/>
          <w:sz w:val="24"/>
          <w:highlight w:val="none"/>
        </w:rPr>
        <w:t>2.13 乙方破产</w:t>
      </w:r>
      <w:bookmarkEnd w:id="504"/>
      <w:bookmarkEnd w:id="505"/>
    </w:p>
    <w:p w14:paraId="701D068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614F29">
      <w:pPr>
        <w:snapToGrid w:val="0"/>
        <w:spacing w:beforeLines="0" w:afterLines="0" w:line="360" w:lineRule="auto"/>
        <w:ind w:firstLine="482" w:firstLineChars="200"/>
        <w:rPr>
          <w:rFonts w:ascii="仿宋" w:hAnsi="仿宋" w:eastAsia="仿宋" w:cs="仿宋"/>
          <w:b/>
          <w:color w:val="auto"/>
          <w:sz w:val="24"/>
          <w:highlight w:val="none"/>
        </w:rPr>
      </w:pPr>
      <w:bookmarkStart w:id="506" w:name="_Toc25881"/>
      <w:bookmarkStart w:id="507" w:name="_Toc25595"/>
      <w:r>
        <w:rPr>
          <w:rFonts w:hint="eastAsia" w:ascii="仿宋" w:hAnsi="仿宋" w:eastAsia="仿宋" w:cs="仿宋"/>
          <w:b/>
          <w:color w:val="auto"/>
          <w:sz w:val="24"/>
          <w:highlight w:val="none"/>
        </w:rPr>
        <w:t>2.14 合同中止、终止</w:t>
      </w:r>
      <w:bookmarkEnd w:id="506"/>
      <w:bookmarkEnd w:id="507"/>
    </w:p>
    <w:p w14:paraId="371EF59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B5077D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42FC600">
      <w:pPr>
        <w:snapToGrid w:val="0"/>
        <w:spacing w:beforeLines="0" w:afterLines="0" w:line="360" w:lineRule="auto"/>
        <w:ind w:firstLine="482" w:firstLineChars="200"/>
        <w:rPr>
          <w:rFonts w:ascii="仿宋" w:hAnsi="仿宋" w:eastAsia="仿宋" w:cs="仿宋"/>
          <w:b/>
          <w:color w:val="auto"/>
          <w:sz w:val="24"/>
          <w:highlight w:val="none"/>
        </w:rPr>
      </w:pPr>
      <w:bookmarkStart w:id="508" w:name="_Toc18802"/>
      <w:bookmarkStart w:id="509" w:name="_Toc17783"/>
      <w:r>
        <w:rPr>
          <w:rFonts w:hint="eastAsia" w:ascii="仿宋" w:hAnsi="仿宋" w:eastAsia="仿宋" w:cs="仿宋"/>
          <w:b/>
          <w:color w:val="auto"/>
          <w:sz w:val="24"/>
          <w:highlight w:val="none"/>
        </w:rPr>
        <w:t>2.15 检验和验收</w:t>
      </w:r>
      <w:bookmarkEnd w:id="508"/>
      <w:bookmarkEnd w:id="509"/>
    </w:p>
    <w:p w14:paraId="552275B6">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BC3634">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7F0B1A">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BF87E78">
      <w:pPr>
        <w:snapToGrid w:val="0"/>
        <w:spacing w:beforeLines="0" w:afterLines="0" w:line="360" w:lineRule="auto"/>
        <w:ind w:firstLine="482" w:firstLineChars="200"/>
        <w:rPr>
          <w:rFonts w:ascii="仿宋" w:hAnsi="仿宋" w:eastAsia="仿宋" w:cs="仿宋"/>
          <w:b/>
          <w:color w:val="auto"/>
          <w:sz w:val="24"/>
          <w:highlight w:val="none"/>
        </w:rPr>
      </w:pPr>
      <w:bookmarkStart w:id="510" w:name="_Toc21819"/>
      <w:bookmarkStart w:id="511" w:name="_Toc30732"/>
      <w:r>
        <w:rPr>
          <w:rFonts w:hint="eastAsia" w:ascii="仿宋" w:hAnsi="仿宋" w:eastAsia="仿宋" w:cs="仿宋"/>
          <w:b/>
          <w:color w:val="auto"/>
          <w:sz w:val="24"/>
          <w:highlight w:val="none"/>
        </w:rPr>
        <w:t>2.16 通知和送达</w:t>
      </w:r>
      <w:bookmarkEnd w:id="510"/>
      <w:bookmarkEnd w:id="511"/>
    </w:p>
    <w:p w14:paraId="23B2EAD6">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2.16.1任何一方因履行合同而以合同第一部分尾部所列明的传真或电子邮件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A788AC1">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12374BF6">
      <w:pPr>
        <w:snapToGrid w:val="0"/>
        <w:spacing w:beforeLines="0" w:afterLines="0" w:line="360" w:lineRule="auto"/>
        <w:ind w:firstLine="482" w:firstLineChars="200"/>
        <w:rPr>
          <w:rFonts w:ascii="仿宋" w:hAnsi="仿宋" w:eastAsia="仿宋" w:cs="仿宋"/>
          <w:b/>
          <w:color w:val="auto"/>
          <w:sz w:val="24"/>
          <w:highlight w:val="none"/>
        </w:rPr>
      </w:pPr>
      <w:bookmarkStart w:id="512" w:name="_Toc32405"/>
      <w:bookmarkStart w:id="513" w:name="_Toc20193"/>
      <w:r>
        <w:rPr>
          <w:rFonts w:hint="eastAsia" w:ascii="仿宋" w:hAnsi="仿宋" w:eastAsia="仿宋" w:cs="仿宋"/>
          <w:b/>
          <w:color w:val="auto"/>
          <w:sz w:val="24"/>
          <w:highlight w:val="none"/>
        </w:rPr>
        <w:t>2.17 合同使用的文字和适用的法律</w:t>
      </w:r>
      <w:bookmarkEnd w:id="512"/>
      <w:bookmarkEnd w:id="513"/>
    </w:p>
    <w:p w14:paraId="766DF71D">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w:t>
      </w:r>
      <w:r>
        <w:rPr>
          <w:rFonts w:hint="eastAsia" w:ascii="仿宋" w:hAnsi="仿宋" w:eastAsia="仿宋" w:cs="仿宋"/>
          <w:color w:val="auto"/>
          <w:sz w:val="24"/>
          <w:highlight w:val="none"/>
          <w:lang w:eastAsia="zh-CN"/>
        </w:rPr>
        <w:t>书写</w:t>
      </w:r>
      <w:r>
        <w:rPr>
          <w:rFonts w:hint="eastAsia" w:ascii="仿宋" w:hAnsi="仿宋" w:eastAsia="仿宋" w:cs="仿宋"/>
          <w:color w:val="auto"/>
          <w:sz w:val="24"/>
          <w:highlight w:val="none"/>
        </w:rPr>
        <w:t>、变更和解释；</w:t>
      </w:r>
    </w:p>
    <w:p w14:paraId="65D2D66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306B2E5">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ascii="仿宋" w:hAnsi="仿宋" w:eastAsia="仿宋" w:cs="仿宋"/>
          <w:b/>
          <w:color w:val="auto"/>
          <w:sz w:val="24"/>
          <w:highlight w:val="none"/>
        </w:rPr>
      </w:pPr>
      <w:bookmarkStart w:id="514" w:name="_Toc18540"/>
      <w:bookmarkStart w:id="515" w:name="_Toc30599"/>
      <w:bookmarkStart w:id="516" w:name="_Toc30426"/>
      <w:bookmarkStart w:id="517" w:name="_Toc25493"/>
      <w:bookmarkStart w:id="518" w:name="_Toc4355"/>
      <w:bookmarkStart w:id="519" w:name="_Toc22266"/>
      <w:bookmarkStart w:id="520" w:name="_Toc27403"/>
      <w:bookmarkStart w:id="521" w:name="_Toc1492"/>
      <w:bookmarkStart w:id="522" w:name="_Toc27127"/>
      <w:bookmarkStart w:id="523" w:name="_Toc30096"/>
      <w:r>
        <w:rPr>
          <w:rFonts w:hint="eastAsia" w:ascii="仿宋" w:hAnsi="仿宋" w:eastAsia="仿宋" w:cs="仿宋"/>
          <w:b/>
          <w:color w:val="auto"/>
          <w:sz w:val="24"/>
          <w:highlight w:val="none"/>
        </w:rPr>
        <w:t>2.18 计量单位</w:t>
      </w:r>
      <w:bookmarkEnd w:id="514"/>
      <w:bookmarkEnd w:id="515"/>
      <w:bookmarkEnd w:id="516"/>
      <w:bookmarkEnd w:id="517"/>
      <w:bookmarkEnd w:id="518"/>
    </w:p>
    <w:p w14:paraId="4DB2356D">
      <w:pPr>
        <w:keepNext w:val="0"/>
        <w:keepLines w:val="0"/>
        <w:pageBreakBefore w:val="0"/>
        <w:kinsoku/>
        <w:overflowPunct/>
        <w:topLinePunct w:val="0"/>
        <w:bidi w:val="0"/>
        <w:snapToGrid w:val="0"/>
        <w:spacing w:beforeLines="0" w:afterLines="0" w:line="360" w:lineRule="auto"/>
        <w:ind w:left="0"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bookmarkEnd w:id="519"/>
    <w:bookmarkEnd w:id="520"/>
    <w:bookmarkEnd w:id="521"/>
    <w:bookmarkEnd w:id="522"/>
    <w:bookmarkEnd w:id="523"/>
    <w:p w14:paraId="57F8FC07">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E70C2E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45"/>
    <w:bookmarkEnd w:id="446"/>
    <w:bookmarkEnd w:id="447"/>
    <w:bookmarkEnd w:id="448"/>
    <w:bookmarkEnd w:id="449"/>
    <w:p w14:paraId="5DB46F9D">
      <w:pPr>
        <w:snapToGrid w:val="0"/>
        <w:spacing w:beforeLines="0" w:afterLines="0" w:line="360" w:lineRule="auto"/>
        <w:ind w:firstLine="480" w:firstLineChars="200"/>
        <w:rPr>
          <w:rFonts w:ascii="仿宋" w:hAnsi="仿宋" w:eastAsia="仿宋" w:cs="仿宋"/>
          <w:color w:val="auto"/>
          <w:sz w:val="24"/>
          <w:highlight w:val="none"/>
        </w:rPr>
      </w:pPr>
    </w:p>
    <w:p w14:paraId="50876016">
      <w:pPr>
        <w:pStyle w:val="4"/>
        <w:bidi w:val="0"/>
        <w:rPr>
          <w:rFonts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24" w:name="_Toc27408"/>
      <w:bookmarkStart w:id="525" w:name="_Toc15098"/>
      <w:bookmarkStart w:id="526" w:name="_Toc24383"/>
      <w:bookmarkStart w:id="527" w:name="_Toc2409"/>
      <w:bookmarkStart w:id="528" w:name="_Toc25021"/>
      <w:bookmarkStart w:id="529" w:name="_Toc25969"/>
      <w:r>
        <w:rPr>
          <w:rFonts w:hint="eastAsia" w:ascii="仿宋" w:hAnsi="仿宋" w:eastAsia="仿宋" w:cs="仿宋"/>
          <w:b/>
          <w:color w:val="auto"/>
          <w:sz w:val="32"/>
          <w:szCs w:val="32"/>
          <w:highlight w:val="none"/>
        </w:rPr>
        <w:t>第三部分 合同专用条款</w:t>
      </w:r>
      <w:bookmarkEnd w:id="524"/>
      <w:bookmarkEnd w:id="525"/>
      <w:bookmarkEnd w:id="526"/>
      <w:bookmarkEnd w:id="527"/>
      <w:bookmarkEnd w:id="528"/>
      <w:bookmarkEnd w:id="529"/>
    </w:p>
    <w:p w14:paraId="5AEDDB76">
      <w:pPr>
        <w:snapToGrid w:val="0"/>
        <w:spacing w:beforeLines="0" w:afterLines="0" w:line="360" w:lineRule="auto"/>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14:paraId="05AC3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748AFC3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90" w:type="dxa"/>
            <w:vAlign w:val="center"/>
          </w:tcPr>
          <w:p w14:paraId="7F399B5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32BB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5096FBA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val="0"/>
                <w:color w:val="auto"/>
                <w:sz w:val="24"/>
                <w:highlight w:val="none"/>
                <w:lang w:val="en-US" w:eastAsia="zh-CN"/>
              </w:rPr>
              <w:t>1.3.2</w:t>
            </w:r>
          </w:p>
        </w:tc>
        <w:tc>
          <w:tcPr>
            <w:tcW w:w="8290" w:type="dxa"/>
            <w:vAlign w:val="center"/>
          </w:tcPr>
          <w:p w14:paraId="570622D3">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both"/>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参加活动每人次数量计。</w:t>
            </w:r>
            <w:r>
              <w:rPr>
                <w:rFonts w:hint="eastAsia" w:ascii="仿宋" w:hAnsi="仿宋" w:eastAsia="仿宋" w:cs="仿宋"/>
                <w:bCs/>
                <w:color w:val="auto"/>
                <w:sz w:val="24"/>
                <w:highlight w:val="none"/>
                <w:u w:val="single"/>
              </w:rPr>
              <w:t xml:space="preserve"> </w:t>
            </w:r>
          </w:p>
        </w:tc>
      </w:tr>
      <w:tr w14:paraId="62C7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9AB1F2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290" w:type="dxa"/>
            <w:vAlign w:val="center"/>
          </w:tcPr>
          <w:p w14:paraId="79299D3D">
            <w:pPr>
              <w:keepNext w:val="0"/>
              <w:keepLines w:val="0"/>
              <w:pageBreakBefore w:val="0"/>
              <w:widowControl w:val="0"/>
              <w:kinsoku/>
              <w:wordWrap w:val="0"/>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26FC0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2A634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90" w:type="dxa"/>
            <w:vAlign w:val="center"/>
          </w:tcPr>
          <w:p w14:paraId="0C7348FB">
            <w:pPr>
              <w:pStyle w:val="968"/>
              <w:tabs>
                <w:tab w:val="left" w:pos="471"/>
              </w:tabs>
              <w:wordWrap/>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bidi="ar-SA"/>
              </w:rPr>
              <w:t>/</w:t>
            </w:r>
          </w:p>
        </w:tc>
      </w:tr>
      <w:tr w14:paraId="4903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1BCB8B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90" w:type="dxa"/>
            <w:vAlign w:val="center"/>
          </w:tcPr>
          <w:p w14:paraId="374E153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3670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A4F02B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90" w:type="dxa"/>
            <w:vAlign w:val="center"/>
          </w:tcPr>
          <w:p w14:paraId="72591D0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4CFA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B1D50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90" w:type="dxa"/>
            <w:vAlign w:val="center"/>
          </w:tcPr>
          <w:p w14:paraId="6D3ACB5F">
            <w:pPr>
              <w:pStyle w:val="968"/>
              <w:tabs>
                <w:tab w:val="left" w:pos="471"/>
              </w:tabs>
              <w:snapToGrid w:val="0"/>
              <w:spacing w:beforeLines="0" w:afterLines="0" w:line="360" w:lineRule="auto"/>
              <w:ind w:left="0" w:leftChars="0" w:firstLine="0" w:firstLineChars="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资金支付的方式、时间和条件：</w:t>
            </w:r>
            <w:r>
              <w:rPr>
                <w:rFonts w:hint="default" w:ascii="仿宋" w:hAnsi="仿宋" w:eastAsia="仿宋" w:cs="仿宋"/>
                <w:color w:val="auto"/>
                <w:sz w:val="24"/>
                <w:highlight w:val="none"/>
                <w:lang w:val="en-US" w:eastAsia="zh-CN"/>
              </w:rPr>
              <w:t>合同签订后</w:t>
            </w:r>
            <w:r>
              <w:rPr>
                <w:rFonts w:hint="eastAsia" w:ascii="仿宋" w:hAnsi="仿宋" w:eastAsia="仿宋" w:cs="仿宋"/>
                <w:color w:val="auto"/>
                <w:sz w:val="24"/>
                <w:highlight w:val="none"/>
                <w:lang w:val="en-US" w:eastAsia="zh-CN"/>
              </w:rPr>
              <w:t>乙方</w:t>
            </w:r>
            <w:r>
              <w:rPr>
                <w:rFonts w:hint="default" w:ascii="仿宋" w:hAnsi="仿宋" w:eastAsia="仿宋" w:cs="仿宋"/>
                <w:color w:val="auto"/>
                <w:sz w:val="24"/>
                <w:highlight w:val="none"/>
                <w:lang w:val="en-US" w:eastAsia="zh-CN"/>
              </w:rPr>
              <w:t>按规定启动项目</w:t>
            </w:r>
            <w:r>
              <w:rPr>
                <w:rFonts w:hint="eastAsia" w:ascii="仿宋" w:hAnsi="仿宋" w:eastAsia="仿宋" w:cs="仿宋"/>
                <w:color w:val="auto"/>
                <w:sz w:val="24"/>
                <w:highlight w:val="none"/>
                <w:lang w:val="en-US" w:eastAsia="zh-CN"/>
              </w:rPr>
              <w:t>，</w:t>
            </w:r>
            <w:r>
              <w:rPr>
                <w:rFonts w:hint="default" w:ascii="仿宋" w:hAnsi="仿宋" w:eastAsia="仿宋" w:cs="仿宋"/>
                <w:color w:val="auto"/>
                <w:sz w:val="24"/>
                <w:highlight w:val="none"/>
                <w:lang w:val="en-US" w:eastAsia="zh-CN"/>
              </w:rPr>
              <w:t>服务至2025年9月30日后的20个工作日内支付合同价的40%；合同服务期结束、履约验收通过后，根据参加活动实际人数支付剩余款项，但结算总价上限不得超过预算金额。付款前乙方需开具增值税发票。</w:t>
            </w:r>
          </w:p>
        </w:tc>
      </w:tr>
      <w:tr w14:paraId="4AFC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14CBC9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90" w:type="dxa"/>
            <w:vAlign w:val="center"/>
          </w:tcPr>
          <w:p w14:paraId="334E2B8A">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服务交付（实施）的时间（期限）</w:t>
            </w:r>
            <w:r>
              <w:rPr>
                <w:rFonts w:hint="eastAsia" w:ascii="仿宋" w:hAnsi="仿宋" w:eastAsia="仿宋" w:cs="仿宋"/>
                <w:color w:val="auto"/>
                <w:sz w:val="24"/>
                <w:highlight w:val="none"/>
                <w:lang w:eastAsia="zh-CN"/>
              </w:rPr>
              <w:t>：</w:t>
            </w:r>
            <w:r>
              <w:rPr>
                <w:rFonts w:hint="eastAsia" w:ascii="仿宋" w:hAnsi="仿宋" w:eastAsia="仿宋" w:cs="仿宋"/>
                <w:b w:val="0"/>
                <w:bCs/>
                <w:color w:val="auto"/>
                <w:sz w:val="24"/>
                <w:highlight w:val="none"/>
                <w:lang w:val="en-US" w:eastAsia="zh-CN"/>
              </w:rPr>
              <w:t>自合同签订生效之日起至辖区所有符合条件的企业退休人员文体活动</w:t>
            </w:r>
            <w:r>
              <w:rPr>
                <w:rFonts w:hint="eastAsia" w:ascii="仿宋" w:hAnsi="仿宋" w:eastAsia="仿宋" w:cs="仿宋"/>
                <w:b w:val="0"/>
                <w:bCs/>
                <w:color w:val="auto"/>
                <w:sz w:val="24"/>
                <w:highlight w:val="none"/>
                <w:lang w:eastAsia="zh-CN"/>
              </w:rPr>
              <w:t>服务</w:t>
            </w:r>
            <w:r>
              <w:rPr>
                <w:rFonts w:hint="eastAsia" w:ascii="仿宋" w:hAnsi="仿宋" w:eastAsia="仿宋" w:cs="仿宋"/>
                <w:b w:val="0"/>
                <w:bCs/>
                <w:color w:val="auto"/>
                <w:sz w:val="24"/>
                <w:highlight w:val="none"/>
                <w:lang w:val="en-US" w:eastAsia="zh-CN"/>
              </w:rPr>
              <w:t>结束止</w:t>
            </w:r>
            <w:r>
              <w:rPr>
                <w:rFonts w:hint="eastAsia" w:ascii="仿宋" w:hAnsi="仿宋" w:eastAsia="仿宋" w:cs="仿宋"/>
                <w:b w:val="0"/>
                <w:bCs/>
                <w:color w:val="auto"/>
                <w:sz w:val="24"/>
                <w:highlight w:val="none"/>
                <w:lang w:eastAsia="zh-CN"/>
              </w:rPr>
              <w:t>。</w:t>
            </w:r>
          </w:p>
        </w:tc>
      </w:tr>
      <w:tr w14:paraId="6F37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253660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90" w:type="dxa"/>
            <w:vAlign w:val="center"/>
          </w:tcPr>
          <w:p w14:paraId="6E75009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服务交付（实施）的地点（地域范围）：</w:t>
            </w:r>
            <w:r>
              <w:rPr>
                <w:rFonts w:hint="eastAsia" w:ascii="仿宋" w:hAnsi="仿宋" w:eastAsia="仿宋" w:cs="仿宋"/>
                <w:color w:val="auto"/>
                <w:sz w:val="24"/>
                <w:highlight w:val="none"/>
                <w:lang w:eastAsia="zh-CN"/>
              </w:rPr>
              <w:t>浙江省</w:t>
            </w:r>
            <w:r>
              <w:rPr>
                <w:rFonts w:ascii="仿宋" w:hAnsi="仿宋" w:eastAsia="仿宋" w:cs="仿宋"/>
                <w:color w:val="auto"/>
                <w:sz w:val="24"/>
                <w:highlight w:val="none"/>
              </w:rPr>
              <w:t>范围内</w:t>
            </w:r>
          </w:p>
        </w:tc>
      </w:tr>
      <w:tr w14:paraId="2C46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7296E9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290" w:type="dxa"/>
            <w:vAlign w:val="center"/>
          </w:tcPr>
          <w:p w14:paraId="3F92FDCE">
            <w:pPr>
              <w:pStyle w:val="968"/>
              <w:tabs>
                <w:tab w:val="left" w:pos="471"/>
              </w:tabs>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w:t>
            </w:r>
            <w:r>
              <w:rPr>
                <w:rFonts w:hint="eastAsia" w:ascii="仿宋" w:hAnsi="仿宋" w:eastAsia="仿宋" w:cs="仿宋"/>
                <w:color w:val="auto"/>
                <w:sz w:val="24"/>
                <w:highlight w:val="none"/>
                <w:lang w:val="en-US" w:eastAsia="zh-CN"/>
              </w:rPr>
              <w:t>企业退休人员参与文体活动，</w:t>
            </w:r>
            <w:r>
              <w:rPr>
                <w:rFonts w:hint="eastAsia" w:ascii="仿宋" w:hAnsi="仿宋" w:eastAsia="仿宋" w:cs="仿宋"/>
                <w:color w:val="auto"/>
                <w:kern w:val="0"/>
                <w:sz w:val="24"/>
                <w:szCs w:val="24"/>
                <w:highlight w:val="none"/>
                <w:lang w:val="en-US" w:eastAsia="zh-CN" w:bidi="ar-SA"/>
              </w:rPr>
              <w:t>每人每年参加1次；不得发放现金或购物卡等代金卡（券），对75周岁以上及因客观原因不能参加活动的退休人员，可以组织慰问，发放慰问品。</w:t>
            </w:r>
          </w:p>
        </w:tc>
      </w:tr>
      <w:tr w14:paraId="494A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3676A2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290" w:type="dxa"/>
            <w:vAlign w:val="center"/>
          </w:tcPr>
          <w:p w14:paraId="3E2280BE">
            <w:pPr>
              <w:keepNext w:val="0"/>
              <w:keepLines w:val="0"/>
              <w:pageBreakBefore w:val="0"/>
              <w:widowControl w:val="0"/>
              <w:kinsoku/>
              <w:overflowPunct/>
              <w:topLinePunct w:val="0"/>
              <w:autoSpaceDE/>
              <w:autoSpaceDN/>
              <w:bidi w:val="0"/>
              <w:adjustRightInd/>
              <w:snapToGrid w:val="0"/>
              <w:spacing w:beforeLines="0" w:afterLines="0" w:line="360" w:lineRule="auto"/>
              <w:ind w:right="0" w:rightChars="0" w:firstLine="0" w:firstLineChars="0"/>
              <w:textAlignment w:val="auto"/>
              <w:rPr>
                <w:color w:val="auto"/>
                <w:highlight w:val="none"/>
              </w:rPr>
            </w:pPr>
            <w:r>
              <w:rPr>
                <w:rFonts w:hint="eastAsia" w:ascii="仿宋" w:hAnsi="仿宋" w:eastAsia="仿宋" w:cs="仿宋"/>
                <w:color w:val="auto"/>
                <w:sz w:val="24"/>
                <w:highlight w:val="none"/>
              </w:rPr>
              <w:t>违约责任特殊约定：</w:t>
            </w:r>
            <w:r>
              <w:rPr>
                <w:rFonts w:hint="eastAsia" w:ascii="仿宋" w:hAnsi="仿宋" w:eastAsia="仿宋" w:cs="仿宋"/>
                <w:color w:val="auto"/>
                <w:sz w:val="24"/>
                <w:highlight w:val="none"/>
                <w:lang w:eastAsia="zh-CN"/>
              </w:rPr>
              <w:t>如</w:t>
            </w:r>
            <w:r>
              <w:rPr>
                <w:rFonts w:hint="eastAsia" w:ascii="仿宋" w:hAnsi="仿宋" w:eastAsia="仿宋" w:cs="仿宋"/>
                <w:color w:val="auto"/>
                <w:kern w:val="0"/>
                <w:sz w:val="24"/>
                <w:highlight w:val="none"/>
              </w:rPr>
              <w:t>因</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自行承担，</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在被服务的企退人员索赔时不承担任何责任。</w:t>
            </w:r>
            <w:r>
              <w:rPr>
                <w:rFonts w:hint="eastAsia" w:ascii="仿宋" w:hAnsi="仿宋" w:eastAsia="仿宋" w:cs="仿宋"/>
                <w:color w:val="auto"/>
                <w:kern w:val="0"/>
                <w:sz w:val="24"/>
                <w:highlight w:val="none"/>
                <w:lang w:val="en-US" w:eastAsia="zh-CN"/>
              </w:rPr>
              <w:t>合同履行期间若接到来信来电等投诉经查实，每次扣500元。若被新闻媒体曝光经查实，每次扣3000元，累计2次曝光的甲方有权单方面终止合同，乙方须承担由此产生的相关责任与损失。</w:t>
            </w:r>
          </w:p>
        </w:tc>
      </w:tr>
      <w:tr w14:paraId="436B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FA22038">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290" w:type="dxa"/>
            <w:vAlign w:val="center"/>
          </w:tcPr>
          <w:p w14:paraId="3451AA9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本项目选择以下第1.9.2 条款规定的方式解决</w:t>
            </w:r>
            <w:r>
              <w:rPr>
                <w:rFonts w:hint="eastAsia" w:ascii="仿宋" w:hAnsi="仿宋" w:eastAsia="仿宋" w:cs="仿宋"/>
                <w:bCs/>
                <w:color w:val="auto"/>
                <w:sz w:val="24"/>
                <w:highlight w:val="none"/>
                <w:lang w:eastAsia="zh-CN"/>
              </w:rPr>
              <w:t>。</w:t>
            </w:r>
          </w:p>
        </w:tc>
      </w:tr>
      <w:tr w14:paraId="736C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6EC259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290" w:type="dxa"/>
            <w:vAlign w:val="center"/>
          </w:tcPr>
          <w:p w14:paraId="0C75CF3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将争议提交杭州仲裁委员会依申请仲裁</w:t>
            </w:r>
            <w:r>
              <w:rPr>
                <w:rFonts w:hint="eastAsia" w:ascii="仿宋" w:hAnsi="仿宋" w:eastAsia="仿宋" w:cs="仿宋"/>
                <w:bCs/>
                <w:color w:val="auto"/>
                <w:sz w:val="24"/>
                <w:highlight w:val="none"/>
                <w:lang w:eastAsia="zh-CN"/>
              </w:rPr>
              <w:t>时</w:t>
            </w:r>
            <w:r>
              <w:rPr>
                <w:rFonts w:hint="eastAsia" w:ascii="仿宋" w:hAnsi="仿宋" w:eastAsia="仿宋" w:cs="仿宋"/>
                <w:bCs/>
                <w:color w:val="auto"/>
                <w:sz w:val="24"/>
                <w:highlight w:val="none"/>
              </w:rPr>
              <w:t>现行有效的仲裁规则裁决</w:t>
            </w:r>
            <w:r>
              <w:rPr>
                <w:rFonts w:hint="eastAsia" w:ascii="仿宋" w:hAnsi="仿宋" w:eastAsia="仿宋" w:cs="仿宋"/>
                <w:bCs/>
                <w:color w:val="auto"/>
                <w:sz w:val="24"/>
                <w:highlight w:val="none"/>
                <w:lang w:eastAsia="zh-CN"/>
              </w:rPr>
              <w:t>。</w:t>
            </w:r>
          </w:p>
        </w:tc>
      </w:tr>
      <w:tr w14:paraId="16B9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BDE86D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290" w:type="dxa"/>
            <w:vAlign w:val="center"/>
          </w:tcPr>
          <w:p w14:paraId="7B49AD7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7907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EC149F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90" w:type="dxa"/>
            <w:vAlign w:val="center"/>
          </w:tcPr>
          <w:p w14:paraId="48B883F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合同涉及技术成果的归属和收益的分成：成果归属甲方，无</w:t>
            </w:r>
            <w:r>
              <w:rPr>
                <w:rFonts w:hint="eastAsia" w:ascii="仿宋" w:hAnsi="仿宋" w:eastAsia="仿宋" w:cs="仿宋"/>
                <w:color w:val="auto"/>
                <w:sz w:val="24"/>
                <w:highlight w:val="none"/>
                <w:lang w:eastAsia="zh-CN"/>
              </w:rPr>
              <w:t>收益</w:t>
            </w:r>
            <w:r>
              <w:rPr>
                <w:rFonts w:hint="eastAsia" w:ascii="仿宋" w:hAnsi="仿宋" w:eastAsia="仿宋" w:cs="仿宋"/>
                <w:color w:val="auto"/>
                <w:sz w:val="24"/>
                <w:highlight w:val="none"/>
              </w:rPr>
              <w:t>分成。</w:t>
            </w:r>
          </w:p>
        </w:tc>
      </w:tr>
      <w:tr w14:paraId="1D331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7B36ED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90" w:type="dxa"/>
            <w:vAlign w:val="center"/>
          </w:tcPr>
          <w:p w14:paraId="793DB0B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详见1.6.2</w:t>
            </w:r>
            <w:r>
              <w:rPr>
                <w:rFonts w:hint="eastAsia" w:ascii="仿宋" w:hAnsi="仿宋" w:eastAsia="仿宋" w:cs="仿宋"/>
                <w:color w:val="auto"/>
                <w:sz w:val="24"/>
                <w:highlight w:val="none"/>
                <w:lang w:eastAsia="zh-CN"/>
              </w:rPr>
              <w:t>。</w:t>
            </w:r>
          </w:p>
        </w:tc>
      </w:tr>
      <w:tr w14:paraId="21D6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D92078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290" w:type="dxa"/>
            <w:vAlign w:val="center"/>
          </w:tcPr>
          <w:p w14:paraId="1C8CBAB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因不可抗力致使合同有变更必要的，双方当事人应在发生后</w:t>
            </w:r>
            <w:r>
              <w:rPr>
                <w:rFonts w:hint="eastAsia" w:ascii="仿宋" w:hAnsi="仿宋" w:eastAsia="仿宋" w:cs="仿宋"/>
                <w:color w:val="auto"/>
                <w:sz w:val="24"/>
                <w:highlight w:val="none"/>
                <w:lang w:val="en-US" w:eastAsia="zh-CN"/>
              </w:rPr>
              <w:t>15个工作日</w:t>
            </w:r>
            <w:r>
              <w:rPr>
                <w:rFonts w:hint="eastAsia" w:ascii="仿宋" w:hAnsi="仿宋" w:eastAsia="仿宋" w:cs="仿宋"/>
                <w:color w:val="auto"/>
                <w:sz w:val="24"/>
                <w:highlight w:val="none"/>
              </w:rPr>
              <w:t>内以书面形式变更合同</w:t>
            </w:r>
            <w:r>
              <w:rPr>
                <w:rFonts w:hint="eastAsia" w:ascii="仿宋" w:hAnsi="仿宋" w:eastAsia="仿宋" w:cs="仿宋"/>
                <w:color w:val="auto"/>
                <w:sz w:val="24"/>
                <w:highlight w:val="none"/>
                <w:lang w:eastAsia="zh-CN"/>
              </w:rPr>
              <w:t>。</w:t>
            </w:r>
          </w:p>
        </w:tc>
      </w:tr>
      <w:tr w14:paraId="0D861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26AA457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290" w:type="dxa"/>
            <w:vAlign w:val="center"/>
          </w:tcPr>
          <w:p w14:paraId="685F6FA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小时内以书面形式通知对方当事人，并在事故发生后</w:t>
            </w:r>
            <w:r>
              <w:rPr>
                <w:rFonts w:hint="eastAsia" w:ascii="仿宋" w:hAnsi="仿宋" w:eastAsia="仿宋" w:cs="仿宋"/>
                <w:color w:val="auto"/>
                <w:sz w:val="24"/>
                <w:highlight w:val="none"/>
                <w:lang w:val="en-US" w:eastAsia="zh-CN"/>
              </w:rPr>
              <w:t>10个工作日</w:t>
            </w:r>
            <w:r>
              <w:rPr>
                <w:rFonts w:hint="eastAsia" w:ascii="仿宋" w:hAnsi="仿宋" w:eastAsia="仿宋" w:cs="仿宋"/>
                <w:color w:val="auto"/>
                <w:sz w:val="24"/>
                <w:highlight w:val="none"/>
              </w:rPr>
              <w:t>内，将有关部门出具的证明文件送达对方当事人。如果不可抗力影响时间延续60天以上的，双方应通过友好协商在合理的时间内达成进一步履行合同的协议。</w:t>
            </w:r>
          </w:p>
        </w:tc>
      </w:tr>
      <w:tr w14:paraId="5F77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A1F2F2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290" w:type="dxa"/>
            <w:vAlign w:val="center"/>
          </w:tcPr>
          <w:p w14:paraId="7AB80656">
            <w:pPr>
              <w:keepNext w:val="0"/>
              <w:keepLines w:val="0"/>
              <w:pageBreakBefore w:val="0"/>
              <w:widowControl w:val="0"/>
              <w:numPr>
                <w:ilvl w:val="0"/>
                <w:numId w:val="0"/>
              </w:numPr>
              <w:kinsoku/>
              <w:overflowPunct/>
              <w:topLinePunct w:val="0"/>
              <w:autoSpaceDE/>
              <w:autoSpaceDN/>
              <w:bidi w:val="0"/>
              <w:snapToGrid w:val="0"/>
              <w:spacing w:beforeLines="0" w:afterLines="0" w:line="360" w:lineRule="auto"/>
              <w:ind w:right="0" w:rightChars="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服务报告要求：合同签订后，</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提供最终确定的活动方案报甲方确认。</w:t>
            </w:r>
          </w:p>
        </w:tc>
      </w:tr>
      <w:tr w14:paraId="3BFB3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645410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290" w:type="dxa"/>
            <w:vAlign w:val="center"/>
          </w:tcPr>
          <w:p w14:paraId="6C46397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检验和验收标准、程序等具体内容以及前述验收书的效力</w:t>
            </w:r>
            <w:r>
              <w:rPr>
                <w:rFonts w:hint="eastAsia" w:ascii="仿宋" w:hAnsi="仿宋" w:eastAsia="仿宋" w:cs="仿宋"/>
                <w:color w:val="auto"/>
                <w:sz w:val="24"/>
                <w:highlight w:val="none"/>
                <w:lang w:eastAsia="zh-CN"/>
              </w:rPr>
              <w:t>：</w:t>
            </w:r>
          </w:p>
          <w:p w14:paraId="627E2BA7">
            <w:pPr>
              <w:pStyle w:val="24"/>
              <w:outlineLvl w:val="1"/>
              <w:rPr>
                <w:rFonts w:ascii="仿宋" w:hAnsi="仿宋" w:eastAsia="仿宋" w:cs="宋体"/>
                <w:b w:val="0"/>
                <w:bCs/>
                <w:color w:val="auto"/>
                <w:szCs w:val="24"/>
                <w:highlight w:val="none"/>
                <w:lang w:val="en-US"/>
              </w:rPr>
            </w:pPr>
            <w:r>
              <w:rPr>
                <w:rFonts w:hint="eastAsia" w:ascii="仿宋" w:hAnsi="仿宋" w:eastAsia="仿宋" w:cs="宋体"/>
                <w:b w:val="0"/>
                <w:bCs/>
                <w:color w:val="auto"/>
                <w:szCs w:val="24"/>
                <w:highlight w:val="none"/>
                <w:lang w:val="en-US" w:eastAsia="zh-CN"/>
              </w:rPr>
              <w:t>1.</w:t>
            </w:r>
            <w:r>
              <w:rPr>
                <w:rFonts w:hint="eastAsia" w:ascii="仿宋" w:hAnsi="仿宋" w:eastAsia="仿宋" w:cs="宋体"/>
                <w:b w:val="0"/>
                <w:bCs/>
                <w:color w:val="auto"/>
                <w:szCs w:val="24"/>
                <w:highlight w:val="none"/>
                <w:lang w:val="en-US"/>
              </w:rPr>
              <w:t>验收标准</w:t>
            </w:r>
          </w:p>
          <w:p w14:paraId="4ABB3870">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1）满足所有采购需求及投标文件承诺；</w:t>
            </w:r>
          </w:p>
          <w:p w14:paraId="0BDE8CC6">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2）拟投服务团队管理人员全部到位，与响应文件人员信息清单一致（经甲方同意更换的除外）；</w:t>
            </w:r>
          </w:p>
          <w:p w14:paraId="44B8E6D3">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3）项目验收资料齐全；</w:t>
            </w:r>
          </w:p>
          <w:p w14:paraId="5E164B89">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2.履约验收内容</w:t>
            </w:r>
          </w:p>
          <w:p w14:paraId="7CB2A8A9">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1）技术履约内容</w:t>
            </w:r>
          </w:p>
          <w:p w14:paraId="39D3ED87">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①满足所有采购需求及响应文件承诺；</w:t>
            </w:r>
          </w:p>
          <w:p w14:paraId="278549FA">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②拟投服务团队管理人员全部到位，与响应文件人员信息清单一致（经甲方同意更换的除外）；</w:t>
            </w:r>
          </w:p>
          <w:p w14:paraId="7CD997F2">
            <w:pPr>
              <w:tabs>
                <w:tab w:val="left" w:pos="0"/>
              </w:tabs>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2）商务履约内容</w:t>
            </w:r>
          </w:p>
        </w:tc>
      </w:tr>
      <w:tr w14:paraId="5EA8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65E4460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290" w:type="dxa"/>
          </w:tcPr>
          <w:p w14:paraId="382B9CE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14:paraId="26D8926E">
      <w:pPr>
        <w:snapToGrid w:val="0"/>
        <w:spacing w:beforeLines="0" w:afterLines="0" w:line="360" w:lineRule="auto"/>
        <w:rPr>
          <w:rFonts w:ascii="仿宋" w:hAnsi="仿宋" w:eastAsia="仿宋" w:cs="仿宋"/>
          <w:color w:val="auto"/>
          <w:sz w:val="24"/>
          <w:highlight w:val="none"/>
        </w:rPr>
        <w:sectPr>
          <w:pgSz w:w="11905" w:h="16838"/>
          <w:pgMar w:top="652" w:right="1417" w:bottom="680" w:left="1417" w:header="539" w:footer="482" w:gutter="0"/>
          <w:pgNumType w:fmt="decimal"/>
          <w:cols w:space="0" w:num="1"/>
          <w:titlePg/>
          <w:docGrid w:linePitch="312" w:charSpace="0"/>
        </w:sectPr>
      </w:pPr>
      <w:r>
        <w:rPr>
          <w:rFonts w:hint="eastAsia" w:ascii="仿宋" w:hAnsi="仿宋" w:eastAsia="仿宋" w:cs="仿宋"/>
          <w:color w:val="auto"/>
          <w:sz w:val="24"/>
          <w:highlight w:val="none"/>
        </w:rPr>
        <w:br w:type="page"/>
      </w:r>
    </w:p>
    <w:p w14:paraId="0735B70C">
      <w:pPr>
        <w:pStyle w:val="3"/>
        <w:bidi w:val="0"/>
      </w:pPr>
      <w:bookmarkStart w:id="530" w:name="_Toc25525"/>
      <w:bookmarkStart w:id="531" w:name="_Toc3441"/>
      <w:bookmarkStart w:id="532" w:name="_Toc17376"/>
      <w:bookmarkStart w:id="533" w:name="_Toc9348"/>
      <w:bookmarkStart w:id="534" w:name="_Toc23526"/>
      <w:bookmarkStart w:id="535" w:name="_Toc2144"/>
      <w:bookmarkStart w:id="536" w:name="_Toc22489"/>
      <w:r>
        <w:rPr>
          <w:rFonts w:hint="eastAsia"/>
        </w:rPr>
        <w:t>第六部分</w:t>
      </w:r>
      <w:bookmarkEnd w:id="430"/>
      <w:r>
        <w:rPr>
          <w:rFonts w:hint="eastAsia"/>
        </w:rPr>
        <w:t xml:space="preserve"> </w:t>
      </w:r>
      <w:bookmarkEnd w:id="431"/>
      <w:r>
        <w:rPr>
          <w:rFonts w:hint="eastAsia"/>
        </w:rPr>
        <w:t>应提交的有关格式范例</w:t>
      </w:r>
      <w:bookmarkEnd w:id="530"/>
      <w:bookmarkEnd w:id="531"/>
      <w:bookmarkEnd w:id="532"/>
      <w:bookmarkEnd w:id="533"/>
      <w:bookmarkEnd w:id="534"/>
      <w:bookmarkEnd w:id="535"/>
      <w:bookmarkEnd w:id="536"/>
    </w:p>
    <w:p w14:paraId="0A727F59">
      <w:pPr>
        <w:wordWrap w:val="0"/>
        <w:snapToGrid w:val="0"/>
        <w:spacing w:beforeLines="0" w:afterLines="0" w:line="360" w:lineRule="auto"/>
        <w:jc w:val="center"/>
        <w:rPr>
          <w:rFonts w:ascii="仿宋" w:hAnsi="仿宋" w:eastAsia="仿宋" w:cs="仿宋"/>
          <w:b/>
          <w:color w:val="auto"/>
          <w:kern w:val="0"/>
          <w:sz w:val="36"/>
          <w:szCs w:val="36"/>
          <w:highlight w:val="none"/>
        </w:rPr>
      </w:pPr>
    </w:p>
    <w:p w14:paraId="4A3F8CD3">
      <w:pPr>
        <w:pStyle w:val="4"/>
        <w:bidi w:val="0"/>
        <w:rPr>
          <w:sz w:val="36"/>
          <w:szCs w:val="36"/>
        </w:rPr>
      </w:pPr>
      <w:r>
        <w:rPr>
          <w:rFonts w:hint="eastAsia"/>
          <w:sz w:val="36"/>
          <w:szCs w:val="36"/>
        </w:rPr>
        <w:t>资格文件部分</w:t>
      </w:r>
    </w:p>
    <w:p w14:paraId="59EA7597">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7E24B60">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p>
    <w:p w14:paraId="1F9E82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AE104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如有）</w:t>
      </w:r>
      <w:r>
        <w:rPr>
          <w:rFonts w:hint="eastAsia" w:ascii="仿宋" w:hAnsi="仿宋" w:eastAsia="仿宋" w:cs="仿宋"/>
          <w:color w:val="auto"/>
          <w:sz w:val="24"/>
          <w:highlight w:val="none"/>
        </w:rPr>
        <w:t>……………………………………………………（页码）</w:t>
      </w:r>
    </w:p>
    <w:p w14:paraId="7E7906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57B2F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如有）</w:t>
      </w:r>
      <w:r>
        <w:rPr>
          <w:rFonts w:hint="eastAsia" w:ascii="仿宋" w:hAnsi="仿宋" w:eastAsia="仿宋" w:cs="仿宋"/>
          <w:color w:val="auto"/>
          <w:sz w:val="24"/>
          <w:highlight w:val="none"/>
        </w:rPr>
        <w:t>……………………………………（页码）</w:t>
      </w:r>
    </w:p>
    <w:p w14:paraId="35CA10AA">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477EC7C5">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70801534">
      <w:pPr>
        <w:pStyle w:val="4"/>
        <w:bidi w:val="0"/>
        <w:rPr>
          <w:rFonts w:ascii="仿宋" w:hAnsi="仿宋" w:eastAsia="仿宋" w:cs="仿宋"/>
          <w:color w:val="auto"/>
          <w:szCs w:val="48"/>
          <w:highlight w:val="none"/>
        </w:rPr>
      </w:pPr>
      <w:r>
        <w:rPr>
          <w:rFonts w:hint="eastAsia" w:ascii="仿宋" w:hAnsi="仿宋" w:eastAsia="仿宋" w:cs="仿宋"/>
          <w:color w:val="auto"/>
          <w:kern w:val="0"/>
          <w:highlight w:val="none"/>
        </w:rPr>
        <w:br w:type="page"/>
      </w:r>
      <w:r>
        <w:rPr>
          <w:rFonts w:hint="eastAsia"/>
          <w:lang w:val="en-US" w:eastAsia="zh-CN"/>
        </w:rPr>
        <w:t>一</w:t>
      </w:r>
      <w:r>
        <w:rPr>
          <w:rFonts w:hint="eastAsia"/>
        </w:rPr>
        <w:t>、符合参加政府采购活动应当具备的一般条件承诺函</w:t>
      </w:r>
    </w:p>
    <w:p w14:paraId="3CDDCEAF">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杭州市拱墅区人民政府天水街道办事处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32835AC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2025年度天水街道企退自管小组文体活动的执行单位采购项目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ZHDL2025-TSJD-03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486CF318">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ED4D67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31B356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BF6B31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326C08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3BFC6D3">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66B16B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B0CB8B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AF644F2">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E2211D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3635524">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68D164D">
      <w:pPr>
        <w:wordWrap w:val="0"/>
        <w:snapToGrid w:val="0"/>
        <w:spacing w:beforeLines="0" w:afterLines="0" w:line="360" w:lineRule="auto"/>
        <w:ind w:firstLine="480" w:firstLineChars="200"/>
        <w:rPr>
          <w:rFonts w:ascii="仿宋" w:hAnsi="仿宋" w:eastAsia="仿宋" w:cs="仿宋"/>
          <w:color w:val="auto"/>
          <w:kern w:val="0"/>
          <w:sz w:val="24"/>
          <w:highlight w:val="none"/>
          <w:lang w:val="zh-CN"/>
        </w:rPr>
      </w:pPr>
    </w:p>
    <w:p w14:paraId="53B8745E">
      <w:pPr>
        <w:wordWrap w:val="0"/>
        <w:snapToGrid w:val="0"/>
        <w:spacing w:beforeLines="0" w:afterLines="0"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059DF81C">
      <w:pPr>
        <w:wordWrap w:val="0"/>
        <w:snapToGrid w:val="0"/>
        <w:spacing w:beforeLines="0" w:afterLines="0"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191DD4A0">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7540C02">
      <w:pPr>
        <w:wordWrap w:val="0"/>
        <w:snapToGrid w:val="0"/>
        <w:spacing w:beforeLines="0" w:afterLines="0" w:line="360" w:lineRule="auto"/>
        <w:ind w:right="480"/>
        <w:rPr>
          <w:rFonts w:ascii="仿宋" w:hAnsi="仿宋" w:eastAsia="仿宋" w:cs="仿宋"/>
          <w:color w:val="auto"/>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r>
        <w:rPr>
          <w:rFonts w:ascii="仿宋" w:hAnsi="仿宋" w:eastAsia="仿宋" w:cs="仿宋"/>
          <w:color w:val="auto"/>
          <w:highlight w:val="none"/>
        </w:rPr>
        <w:br w:type="page"/>
      </w:r>
    </w:p>
    <w:p w14:paraId="7589E922">
      <w:pPr>
        <w:pStyle w:val="4"/>
        <w:bidi w:val="0"/>
        <w:rPr>
          <w:rFonts w:hint="eastAsia"/>
        </w:rPr>
      </w:pPr>
      <w:r>
        <w:rPr>
          <w:rFonts w:hint="eastAsia"/>
          <w:lang w:val="en-US" w:eastAsia="zh-CN"/>
        </w:rPr>
        <w:t>二</w:t>
      </w:r>
      <w:r>
        <w:rPr>
          <w:rFonts w:hint="eastAsia"/>
        </w:rPr>
        <w:t>、联合协议（联合体参加的提供）</w:t>
      </w:r>
    </w:p>
    <w:p w14:paraId="6D3360A5">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p>
    <w:p w14:paraId="7400AED8">
      <w:pPr>
        <w:keepNext w:val="0"/>
        <w:keepLines w:val="0"/>
        <w:pageBreakBefore w:val="0"/>
        <w:widowControl/>
        <w:kinsoku/>
        <w:wordWrap w:val="0"/>
        <w:overflowPunct/>
        <w:topLinePunct w:val="0"/>
        <w:autoSpaceDE/>
        <w:autoSpaceDN/>
        <w:bidi w:val="0"/>
        <w:adjustRightInd w:val="0"/>
        <w:snapToGrid w:val="0"/>
        <w:spacing w:beforeLines="0" w:afterLines="0" w:line="360" w:lineRule="auto"/>
        <w:ind w:left="147" w:firstLine="482" w:firstLineChars="200"/>
        <w:textAlignment w:val="auto"/>
        <w:outlineLvl w:val="9"/>
        <w:rPr>
          <w:rFonts w:ascii="仿宋" w:hAnsi="仿宋" w:eastAsia="仿宋" w:cs="仿宋"/>
          <w:b/>
          <w:bCs/>
          <w:color w:val="auto"/>
          <w:sz w:val="24"/>
          <w:highlight w:val="none"/>
        </w:rPr>
        <w:sectPr>
          <w:headerReference r:id="rId14" w:type="default"/>
          <w:footerReference r:id="rId15" w:type="default"/>
          <w:pgSz w:w="11905" w:h="16838"/>
          <w:pgMar w:top="652" w:right="1417" w:bottom="680" w:left="1417" w:header="850" w:footer="850" w:gutter="0"/>
          <w:pgNumType w:fmt="decimal"/>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r>
        <w:rPr>
          <w:rFonts w:hint="eastAsia" w:ascii="仿宋" w:hAnsi="仿宋" w:eastAsia="仿宋" w:cs="仿宋"/>
          <w:b/>
          <w:bCs/>
          <w:color w:val="auto"/>
          <w:sz w:val="24"/>
          <w:highlight w:val="none"/>
          <w:lang w:eastAsia="zh-CN"/>
        </w:rPr>
        <w:t>]</w:t>
      </w:r>
    </w:p>
    <w:p w14:paraId="1631D854">
      <w:pPr>
        <w:pStyle w:val="4"/>
        <w:bidi w:val="0"/>
        <w:rPr>
          <w:rFonts w:hint="eastAsia"/>
        </w:rPr>
      </w:pPr>
      <w:r>
        <w:rPr>
          <w:rFonts w:hint="eastAsia"/>
          <w:lang w:val="en-US" w:eastAsia="zh-CN"/>
        </w:rPr>
        <w:t>三</w:t>
      </w:r>
      <w:r>
        <w:rPr>
          <w:rFonts w:hint="eastAsia"/>
        </w:rPr>
        <w:t>、满足政府采购政策资格要求证明材料</w:t>
      </w:r>
    </w:p>
    <w:p w14:paraId="6737D45B">
      <w:pPr>
        <w:wordWrap w:val="0"/>
        <w:snapToGrid w:val="0"/>
        <w:spacing w:before="0" w:beforeLines="0" w:after="0" w:afterLines="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A.本项目专门面向</w:t>
      </w:r>
      <w:r>
        <w:rPr>
          <w:rFonts w:hint="eastAsia" w:ascii="仿宋" w:hAnsi="仿宋" w:eastAsia="仿宋" w:cs="仿宋"/>
          <w:b/>
          <w:color w:val="auto"/>
          <w:sz w:val="24"/>
          <w:highlight w:val="none"/>
          <w:lang w:val="en-US" w:eastAsia="zh-CN"/>
        </w:rPr>
        <w:t>中小</w:t>
      </w:r>
      <w:r>
        <w:rPr>
          <w:rFonts w:hint="eastAsia" w:ascii="仿宋" w:hAnsi="仿宋" w:eastAsia="仿宋" w:cs="仿宋"/>
          <w:b/>
          <w:color w:val="auto"/>
          <w:sz w:val="24"/>
          <w:highlight w:val="none"/>
        </w:rPr>
        <w:t xml:space="preserve">企业，服务全部由符合政策要求的中小企业（或小微企业）承接的，提供相应的中小企业声明函（附件5）。 </w:t>
      </w:r>
    </w:p>
    <w:p w14:paraId="45D322FF">
      <w:pPr>
        <w:widowControl/>
        <w:wordWrap w:val="0"/>
        <w:snapToGrid w:val="0"/>
        <w:spacing w:beforeLines="0" w:afterLines="0" w:line="360" w:lineRule="auto"/>
        <w:ind w:firstLine="472" w:firstLineChars="196"/>
        <w:jc w:val="left"/>
        <w:rPr>
          <w:rFonts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要求以联合体形式参加的，提供联合协议（附件6）和中小企业声明函（附件5），联合协议中小微企业合同金额应当达到招标公告载明的比例；如果供应商本身提</w:t>
      </w:r>
      <w:r>
        <w:rPr>
          <w:rFonts w:hint="eastAsia" w:ascii="仿宋" w:hAnsi="仿宋" w:eastAsia="仿宋" w:cs="仿宋"/>
          <w:color w:val="auto"/>
          <w:sz w:val="24"/>
          <w:highlight w:val="none"/>
          <w:lang w:eastAsia="zh-CN"/>
        </w:rPr>
        <w:t>供的</w:t>
      </w:r>
      <w:r>
        <w:rPr>
          <w:rFonts w:hint="eastAsia" w:ascii="仿宋" w:hAnsi="仿宋" w:eastAsia="仿宋" w:cs="仿宋"/>
          <w:color w:val="auto"/>
          <w:sz w:val="24"/>
          <w:highlight w:val="none"/>
        </w:rPr>
        <w:t>所有标的均由小微企业承接的，视同符合了资格条件，无需再与其他小微企业组成联合体参加政府采购活动，无需提供联合协议。</w:t>
      </w:r>
    </w:p>
    <w:p w14:paraId="40660F74">
      <w:pPr>
        <w:wordWrap w:val="0"/>
        <w:snapToGrid w:val="0"/>
        <w:spacing w:beforeLines="0" w:afterLines="0"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w:t>
      </w:r>
      <w:r>
        <w:rPr>
          <w:rFonts w:hint="eastAsia" w:ascii="仿宋" w:hAnsi="仿宋" w:eastAsia="仿宋" w:cs="仿宋"/>
          <w:color w:val="auto"/>
          <w:sz w:val="24"/>
          <w:highlight w:val="none"/>
          <w:lang w:eastAsia="zh-CN"/>
        </w:rPr>
        <w:t>供的</w:t>
      </w:r>
      <w:r>
        <w:rPr>
          <w:rFonts w:hint="eastAsia" w:ascii="仿宋" w:hAnsi="仿宋" w:eastAsia="仿宋" w:cs="仿宋"/>
          <w:color w:val="auto"/>
          <w:sz w:val="24"/>
          <w:highlight w:val="none"/>
        </w:rPr>
        <w:t>所有标的均由中小企业承接，视同符合了资格条件，无需再向中小企业分包，无需提供分包意向协议。</w:t>
      </w:r>
    </w:p>
    <w:p w14:paraId="68D9ECF9">
      <w:pPr>
        <w:wordWrap w:val="0"/>
        <w:snapToGrid w:val="0"/>
        <w:spacing w:before="0" w:beforeLines="0" w:after="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480A79CA">
      <w:pPr>
        <w:widowControl/>
        <w:snapToGrid w:val="0"/>
        <w:spacing w:beforeLines="0" w:afterLines="0" w:line="360" w:lineRule="auto"/>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CC6966">
      <w:pPr>
        <w:pStyle w:val="4"/>
        <w:bidi w:val="0"/>
        <w:rPr>
          <w:rFonts w:hint="eastAsia"/>
        </w:rPr>
      </w:pPr>
      <w:r>
        <w:rPr>
          <w:rFonts w:hint="eastAsia"/>
          <w:lang w:val="en-US" w:eastAsia="zh-CN"/>
        </w:rPr>
        <w:t>四</w:t>
      </w:r>
      <w:r>
        <w:rPr>
          <w:rFonts w:hint="eastAsia"/>
        </w:rPr>
        <w:t>、满足本项目特定资格要求的证明材料</w:t>
      </w:r>
    </w:p>
    <w:p w14:paraId="29F5692F">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color w:val="auto"/>
          <w:sz w:val="24"/>
          <w:highlight w:val="none"/>
        </w:rPr>
        <w:t>根据招标公告本项目的特定资格要求提供相应的材料；未要求的，无需提供。</w:t>
      </w:r>
    </w:p>
    <w:p w14:paraId="56AFCA09">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6E0639A0">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190B1188">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br w:type="page"/>
      </w:r>
    </w:p>
    <w:p w14:paraId="1F0B4D89">
      <w:pPr>
        <w:pStyle w:val="4"/>
        <w:bidi w:val="0"/>
        <w:rPr>
          <w:sz w:val="36"/>
          <w:szCs w:val="36"/>
        </w:rPr>
      </w:pPr>
      <w:r>
        <w:rPr>
          <w:rFonts w:hint="eastAsia"/>
          <w:sz w:val="36"/>
          <w:szCs w:val="36"/>
        </w:rPr>
        <w:t>商务技术文件部分</w:t>
      </w:r>
    </w:p>
    <w:p w14:paraId="4ADB1C8A">
      <w:pPr>
        <w:wordWrap w:val="0"/>
        <w:snapToGrid w:val="0"/>
        <w:spacing w:beforeLines="0" w:afterLines="0" w:line="360" w:lineRule="auto"/>
        <w:jc w:val="center"/>
        <w:rPr>
          <w:rFonts w:ascii="仿宋" w:hAnsi="仿宋" w:eastAsia="仿宋" w:cs="仿宋"/>
          <w:b/>
          <w:color w:val="auto"/>
          <w:kern w:val="0"/>
          <w:sz w:val="24"/>
          <w:highlight w:val="none"/>
        </w:rPr>
      </w:pPr>
    </w:p>
    <w:p w14:paraId="072A680F">
      <w:pPr>
        <w:wordWrap w:val="0"/>
        <w:snapToGrid w:val="0"/>
        <w:spacing w:beforeLines="0" w:afterLines="0"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92F24FA">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35B4AD3C">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014ABA74">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E22A03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17F3449">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C71C807">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A8EF5B">
      <w:pPr>
        <w:pStyle w:val="4"/>
        <w:bidi w:val="0"/>
      </w:pPr>
      <w:r>
        <w:rPr>
          <w:rFonts w:hint="eastAsia"/>
        </w:rPr>
        <w:t>一、投标函</w:t>
      </w:r>
    </w:p>
    <w:p w14:paraId="04B2CC8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杭州市拱墅区人民政府天水街道办事处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658FEBAE">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2025年度天水街道企退自管小组文体活动的执行单位采购项目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val="en-US" w:eastAsia="zh-CN"/>
        </w:rPr>
        <w:t>ZHDL2025-TSJD-03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32CB56B6">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3C2D94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51D8538">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8A25304">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bookmarkStart w:id="537"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w:t>
      </w:r>
    </w:p>
    <w:p w14:paraId="15C76FBD">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4F0E5E47">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74968D13">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14:paraId="3281D7FB">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如有）</w:t>
      </w:r>
      <w:bookmarkStart w:id="631" w:name="_GoBack"/>
      <w:bookmarkEnd w:id="631"/>
      <w:r>
        <w:rPr>
          <w:rFonts w:hint="eastAsia" w:ascii="仿宋" w:hAnsi="仿宋" w:eastAsia="仿宋" w:cs="仿宋"/>
          <w:color w:val="auto"/>
          <w:sz w:val="24"/>
          <w:highlight w:val="none"/>
        </w:rPr>
        <w:t>。</w:t>
      </w:r>
    </w:p>
    <w:bookmarkEnd w:id="537"/>
    <w:p w14:paraId="6B7EA9E8">
      <w:pPr>
        <w:wordWrap w:val="0"/>
        <w:snapToGrid w:val="0"/>
        <w:spacing w:beforeLines="0" w:afterLines="0"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30A422E">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2094C39">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90770FD">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3DFB12FA">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F1CA134">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F1A6EA3">
      <w:pPr>
        <w:wordWrap w:val="0"/>
        <w:snapToGrid w:val="0"/>
        <w:spacing w:beforeLines="0" w:afterLines="0"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4E51D99D">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E36720E">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D958561">
      <w:pPr>
        <w:wordWrap w:val="0"/>
        <w:adjustRightInd/>
        <w:snapToGrid w:val="0"/>
        <w:spacing w:beforeLines="0" w:afterLines="0"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2.3.2报价情况说明（如供应商报价低于最高限价50%的，应当提交本文档，详细阐述不影响服务质量或者诚信履约的具体原因）；</w:t>
      </w:r>
    </w:p>
    <w:p w14:paraId="30DA1DFB">
      <w:pPr>
        <w:wordWrap w:val="0"/>
        <w:adjustRightInd/>
        <w:snapToGrid w:val="0"/>
        <w:spacing w:beforeLines="0" w:afterLines="0" w:line="360" w:lineRule="auto"/>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2.3.3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w:t>
      </w:r>
      <w:r>
        <w:rPr>
          <w:rFonts w:hint="eastAsia" w:ascii="仿宋" w:hAnsi="仿宋" w:eastAsia="仿宋" w:cs="仿宋"/>
          <w:color w:val="auto"/>
          <w:sz w:val="24"/>
          <w:highlight w:val="none"/>
          <w:lang w:eastAsia="zh-CN"/>
        </w:rPr>
        <w:t>享受价格</w:t>
      </w:r>
      <w:r>
        <w:rPr>
          <w:rFonts w:hint="eastAsia" w:ascii="仿宋" w:hAnsi="仿宋" w:eastAsia="仿宋" w:cs="仿宋"/>
          <w:color w:val="auto"/>
          <w:sz w:val="24"/>
          <w:highlight w:val="none"/>
        </w:rPr>
        <w:t>扣除优惠政策）</w:t>
      </w:r>
    </w:p>
    <w:p w14:paraId="404D9CA4">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供应商针对报价需要说明的其他文件和说明（格式自拟）。</w:t>
      </w:r>
    </w:p>
    <w:p w14:paraId="2966288D">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4A3FD9DC">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7EF5CD0">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AF4358D">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FF18D4F">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277D79C">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F16EF9B">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E5560C">
      <w:pPr>
        <w:wordWrap w:val="0"/>
        <w:snapToGrid w:val="0"/>
        <w:spacing w:beforeLines="0" w:afterLines="0" w:line="360" w:lineRule="auto"/>
        <w:ind w:firstLine="4320" w:firstLineChars="1800"/>
        <w:jc w:val="right"/>
        <w:rPr>
          <w:rFonts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0522FBAE">
      <w:pPr>
        <w:wordWrap w:val="0"/>
        <w:snapToGrid w:val="0"/>
        <w:spacing w:beforeLines="0" w:afterLines="0" w:line="360" w:lineRule="auto"/>
        <w:jc w:val="left"/>
        <w:outlineLvl w:val="2"/>
        <w:rPr>
          <w:rFonts w:ascii="仿宋" w:hAnsi="仿宋" w:eastAsia="仿宋" w:cs="仿宋"/>
          <w:b/>
          <w:color w:val="auto"/>
          <w:kern w:val="0"/>
          <w:sz w:val="32"/>
          <w:szCs w:val="32"/>
          <w:highlight w:val="none"/>
          <w:lang w:val="zh-CN"/>
        </w:rPr>
        <w:sectPr>
          <w:headerReference r:id="rId17" w:type="first"/>
          <w:footerReference r:id="rId19" w:type="first"/>
          <w:headerReference r:id="rId16" w:type="default"/>
          <w:footerReference r:id="rId18" w:type="default"/>
          <w:pgSz w:w="11905" w:h="16838"/>
          <w:pgMar w:top="652" w:right="1417" w:bottom="680" w:left="1417" w:header="539" w:footer="425" w:gutter="0"/>
          <w:pgNumType w:fmt="decimal"/>
          <w:cols w:space="0" w:num="1"/>
          <w:titlePg/>
          <w:docGrid w:linePitch="312" w:charSpace="0"/>
        </w:sectPr>
      </w:pPr>
    </w:p>
    <w:p w14:paraId="06B482FA">
      <w:pPr>
        <w:pStyle w:val="4"/>
        <w:bidi w:val="0"/>
        <w:rPr>
          <w:lang w:val="zh-CN"/>
        </w:rPr>
      </w:pPr>
      <w:r>
        <w:rPr>
          <w:rFonts w:hint="eastAsia"/>
          <w:lang w:val="zh-CN"/>
        </w:rPr>
        <w:t>二、授权委托书或法定代表人（单位负责人）身份证明</w:t>
      </w:r>
    </w:p>
    <w:p w14:paraId="410B0642">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A6AB3BB">
      <w:pPr>
        <w:wordWrap w:val="0"/>
        <w:snapToGrid w:val="0"/>
        <w:spacing w:beforeLines="0" w:afterLines="0" w:line="360" w:lineRule="auto"/>
        <w:ind w:firstLine="2872" w:firstLineChars="894"/>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0B072F1E">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75DF669C">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杭州市拱墅区人民政府天水街道办事处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06F4B637">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2025年度天水街道企退自管小组文体活动的执行单位采购项目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ZHDL2025-TSJD-03</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0FD37836">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4D7F372">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F444E5F">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4A74E2C1">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A714884">
      <w:pPr>
        <w:wordWrap w:val="0"/>
        <w:snapToGrid w:val="0"/>
        <w:spacing w:beforeLines="0" w:afterLines="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397634FC">
      <w:pPr>
        <w:wordWrap w:val="0"/>
        <w:snapToGrid w:val="0"/>
        <w:spacing w:beforeLines="0" w:afterLines="0" w:line="360" w:lineRule="auto"/>
        <w:rPr>
          <w:rFonts w:ascii="仿宋" w:hAnsi="仿宋" w:eastAsia="仿宋" w:cs="仿宋"/>
          <w:color w:val="auto"/>
          <w:sz w:val="22"/>
          <w:szCs w:val="22"/>
          <w:highlight w:val="none"/>
        </w:rPr>
      </w:pPr>
    </w:p>
    <w:p w14:paraId="18D54262">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31D01C79">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杭州市拱墅区人民政府天水街道办事处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3CD5D836">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2025年度天水街道企退自管小组文体活动的执行单位采购项目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ZHDL2025-TSJD-03</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080FAC8E">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251AA0">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11C47D">
      <w:pPr>
        <w:wordWrap w:val="0"/>
        <w:snapToGrid w:val="0"/>
        <w:spacing w:beforeLines="0" w:afterLines="0" w:line="360" w:lineRule="auto"/>
        <w:rPr>
          <w:rFonts w:ascii="仿宋" w:hAnsi="仿宋" w:eastAsia="仿宋" w:cs="仿宋"/>
          <w:color w:val="auto"/>
          <w:highlight w:val="none"/>
        </w:rPr>
      </w:pPr>
    </w:p>
    <w:p w14:paraId="1DFE44EB">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3DC60D28">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84EF947">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745CC310">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084A594D">
      <w:pPr>
        <w:wordWrap w:val="0"/>
        <w:snapToGrid w:val="0"/>
        <w:spacing w:beforeLines="0" w:afterLines="0" w:line="360" w:lineRule="auto"/>
        <w:rPr>
          <w:rFonts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3D680071">
      <w:pPr>
        <w:wordWrap w:val="0"/>
        <w:autoSpaceDE w:val="0"/>
        <w:autoSpaceDN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w:t>
      </w:r>
      <w:r>
        <w:rPr>
          <w:rFonts w:hint="eastAsia" w:ascii="仿宋" w:hAnsi="仿宋" w:eastAsia="仿宋" w:cs="仿宋"/>
          <w:b/>
          <w:color w:val="auto"/>
          <w:kern w:val="0"/>
          <w:sz w:val="32"/>
          <w:szCs w:val="32"/>
          <w:highlight w:val="none"/>
        </w:rPr>
        <w:t>或</w:t>
      </w:r>
      <w:r>
        <w:rPr>
          <w:rFonts w:hint="eastAsia" w:ascii="仿宋" w:hAnsi="仿宋" w:eastAsia="仿宋" w:cs="仿宋"/>
          <w:b/>
          <w:color w:val="auto"/>
          <w:kern w:val="0"/>
          <w:sz w:val="32"/>
          <w:szCs w:val="32"/>
          <w:highlight w:val="none"/>
          <w:lang w:val="zh-CN"/>
        </w:rPr>
        <w:t>单位负责人</w:t>
      </w:r>
      <w:r>
        <w:rPr>
          <w:rFonts w:hint="eastAsia" w:ascii="仿宋" w:hAnsi="仿宋" w:eastAsia="仿宋" w:cs="仿宋"/>
          <w:b/>
          <w:color w:val="auto"/>
          <w:sz w:val="30"/>
          <w:szCs w:val="30"/>
          <w:highlight w:val="none"/>
        </w:rPr>
        <w:t>的身份证明（适用于法定代表人或单位负责人本人代表投标人参加投标）</w:t>
      </w:r>
    </w:p>
    <w:p w14:paraId="7B71D83B">
      <w:pPr>
        <w:pStyle w:val="151"/>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ED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E921AA">
            <w:pPr>
              <w:pStyle w:val="151"/>
              <w:wordWrap w:val="0"/>
              <w:adjustRightInd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80F04B1">
            <w:pPr>
              <w:pStyle w:val="151"/>
              <w:wordWrap w:val="0"/>
              <w:adjustRightInd w:val="0"/>
              <w:snapToGrid w:val="0"/>
              <w:spacing w:beforeLines="0" w:afterLines="0" w:line="360" w:lineRule="auto"/>
              <w:rPr>
                <w:rFonts w:ascii="仿宋" w:hAnsi="仿宋" w:eastAsia="仿宋" w:cs="仿宋"/>
                <w:bCs/>
                <w:color w:val="auto"/>
                <w:sz w:val="24"/>
                <w:highlight w:val="none"/>
              </w:rPr>
            </w:pPr>
          </w:p>
        </w:tc>
      </w:tr>
    </w:tbl>
    <w:p w14:paraId="5758FA31">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05E3362">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677A7DE1">
      <w:pPr>
        <w:wordWrap w:val="0"/>
        <w:snapToGrid w:val="0"/>
        <w:spacing w:beforeLines="0" w:afterLines="0"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2202B28">
      <w:pPr>
        <w:wordWrap w:val="0"/>
        <w:snapToGrid w:val="0"/>
        <w:spacing w:beforeLines="0" w:afterLines="0" w:line="360" w:lineRule="auto"/>
        <w:jc w:val="center"/>
        <w:rPr>
          <w:rFonts w:ascii="仿宋" w:hAnsi="仿宋" w:eastAsia="仿宋" w:cs="仿宋"/>
          <w:b/>
          <w:color w:val="auto"/>
          <w:kern w:val="0"/>
          <w:sz w:val="32"/>
          <w:szCs w:val="32"/>
          <w:highlight w:val="none"/>
        </w:rPr>
      </w:pPr>
    </w:p>
    <w:p w14:paraId="7A916405">
      <w:pPr>
        <w:wordWrap w:val="0"/>
        <w:snapToGrid w:val="0"/>
        <w:spacing w:beforeLines="0" w:afterLines="0" w:line="360" w:lineRule="auto"/>
        <w:jc w:val="both"/>
        <w:rPr>
          <w:rFonts w:ascii="仿宋" w:hAnsi="仿宋" w:eastAsia="仿宋" w:cs="仿宋"/>
          <w:b/>
          <w:color w:val="auto"/>
          <w:kern w:val="0"/>
          <w:sz w:val="32"/>
          <w:szCs w:val="32"/>
          <w:highlight w:val="none"/>
        </w:rPr>
      </w:pPr>
    </w:p>
    <w:p w14:paraId="5807F7E5">
      <w:pPr>
        <w:wordWrap w:val="0"/>
        <w:snapToGrid w:val="0"/>
        <w:spacing w:beforeLines="0" w:afterLines="0" w:line="360" w:lineRule="auto"/>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br w:type="page"/>
      </w:r>
    </w:p>
    <w:p w14:paraId="080C8078">
      <w:pPr>
        <w:pStyle w:val="4"/>
        <w:bidi w:val="0"/>
      </w:pPr>
      <w:r>
        <w:rPr>
          <w:rFonts w:hint="eastAsia"/>
        </w:rPr>
        <w:t>三、分包意向协议</w:t>
      </w:r>
    </w:p>
    <w:p w14:paraId="7C622BD3">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本项目</w:t>
      </w:r>
      <w:r>
        <w:rPr>
          <w:rFonts w:hint="eastAsia" w:ascii="仿宋" w:hAnsi="仿宋" w:eastAsia="仿宋" w:cs="仿宋"/>
          <w:b/>
          <w:color w:val="auto"/>
          <w:sz w:val="24"/>
          <w:highlight w:val="none"/>
        </w:rPr>
        <w:t>同意将非主体、非关键性的工作分包</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中标后以分包方式履行合同的，另行提供分包意向协议（附件7）；</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color w:val="auto"/>
          <w:sz w:val="24"/>
          <w:highlight w:val="none"/>
          <w:lang w:eastAsia="zh-CN"/>
        </w:rPr>
        <w:t>]</w:t>
      </w:r>
    </w:p>
    <w:p w14:paraId="2727917E">
      <w:pPr>
        <w:pStyle w:val="62"/>
        <w:snapToGrid w:val="0"/>
        <w:spacing w:beforeLines="0" w:after="0" w:afterLines="0" w:line="360" w:lineRule="auto"/>
        <w:ind w:firstLine="420"/>
        <w:rPr>
          <w:rFonts w:ascii="仿宋" w:hAnsi="仿宋" w:eastAsia="仿宋" w:cs="仿宋"/>
          <w:color w:val="auto"/>
          <w:highlight w:val="none"/>
        </w:rPr>
      </w:pPr>
    </w:p>
    <w:p w14:paraId="72907A14">
      <w:pPr>
        <w:wordWrap w:val="0"/>
        <w:snapToGrid w:val="0"/>
        <w:spacing w:beforeLines="0" w:afterLines="0" w:line="360" w:lineRule="auto"/>
        <w:ind w:firstLine="480"/>
        <w:jc w:val="left"/>
        <w:rPr>
          <w:rFonts w:hint="eastAsia" w:ascii="仿宋" w:hAnsi="仿宋" w:eastAsia="仿宋" w:cs="仿宋"/>
          <w:b/>
          <w:bCs/>
          <w:color w:val="auto"/>
          <w:sz w:val="24"/>
          <w:highlight w:val="none"/>
        </w:rPr>
      </w:pPr>
      <w:bookmarkStart w:id="538" w:name="_Toc2615"/>
      <w:bookmarkStart w:id="539" w:name="_Toc22737"/>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r>
        <w:rPr>
          <w:rFonts w:hint="eastAsia" w:ascii="仿宋" w:hAnsi="仿宋" w:eastAsia="仿宋" w:cs="仿宋"/>
          <w:b/>
          <w:bCs/>
          <w:color w:val="auto"/>
          <w:sz w:val="24"/>
          <w:highlight w:val="none"/>
          <w:lang w:eastAsia="zh-CN"/>
        </w:rPr>
        <w:t>]</w:t>
      </w:r>
      <w:bookmarkEnd w:id="538"/>
      <w:bookmarkEnd w:id="539"/>
    </w:p>
    <w:p w14:paraId="1AED340F">
      <w:pPr>
        <w:wordWrap w:val="0"/>
        <w:snapToGrid w:val="0"/>
        <w:spacing w:beforeLines="0" w:afterLines="0" w:line="360" w:lineRule="auto"/>
        <w:rPr>
          <w:rFonts w:ascii="仿宋" w:hAnsi="仿宋" w:eastAsia="仿宋" w:cs="仿宋"/>
          <w:b/>
          <w:color w:val="auto"/>
          <w:kern w:val="0"/>
          <w:sz w:val="32"/>
          <w:szCs w:val="32"/>
          <w:highlight w:val="none"/>
        </w:rPr>
      </w:pPr>
    </w:p>
    <w:p w14:paraId="381BB6B9">
      <w:pPr>
        <w:wordWrap/>
        <w:snapToGrid w:val="0"/>
        <w:spacing w:beforeLines="0" w:afterLines="0" w:line="36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C00B381">
      <w:pPr>
        <w:pStyle w:val="4"/>
        <w:bidi w:val="0"/>
      </w:pPr>
      <w:r>
        <w:rPr>
          <w:rFonts w:hint="eastAsia"/>
        </w:rPr>
        <w:t>四、符合性审查资料</w:t>
      </w:r>
    </w:p>
    <w:p w14:paraId="1CC33D3C">
      <w:pPr>
        <w:wordWrap w:val="0"/>
        <w:snapToGrid w:val="0"/>
        <w:spacing w:beforeLines="0" w:afterLines="0" w:line="360" w:lineRule="auto"/>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53EC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C02A00">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2C56E41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28114DB3">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6891321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85EAE1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C9F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7A031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17BCB44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3FCCC2B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6C3CCF79">
            <w:pPr>
              <w:wordWrap w:val="0"/>
              <w:snapToGrid w:val="0"/>
              <w:spacing w:beforeLines="0" w:afterLines="0" w:line="360" w:lineRule="auto"/>
              <w:jc w:val="center"/>
              <w:rPr>
                <w:rFonts w:ascii="仿宋" w:hAnsi="仿宋" w:eastAsia="仿宋" w:cs="仿宋"/>
                <w:color w:val="auto"/>
                <w:sz w:val="24"/>
                <w:highlight w:val="none"/>
              </w:rPr>
            </w:pPr>
          </w:p>
          <w:p w14:paraId="621EBFBF">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3F8D781">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742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F126C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45C3F33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030C1280">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14:paraId="23D684DB">
            <w:pPr>
              <w:wordWrap w:val="0"/>
              <w:snapToGrid w:val="0"/>
              <w:spacing w:beforeLines="0" w:afterLines="0" w:line="360" w:lineRule="auto"/>
              <w:rPr>
                <w:rFonts w:ascii="仿宋" w:hAnsi="仿宋" w:eastAsia="仿宋" w:cs="仿宋"/>
                <w:color w:val="auto"/>
                <w:sz w:val="24"/>
                <w:highlight w:val="none"/>
                <w:u w:val="single"/>
              </w:rPr>
            </w:pPr>
          </w:p>
          <w:p w14:paraId="480694E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14:paraId="1052D355">
            <w:pPr>
              <w:wordWrap w:val="0"/>
              <w:snapToGrid w:val="0"/>
              <w:spacing w:beforeLines="0" w:afterLines="0" w:line="360" w:lineRule="auto"/>
              <w:jc w:val="center"/>
              <w:rPr>
                <w:rFonts w:ascii="仿宋" w:hAnsi="仿宋" w:eastAsia="仿宋" w:cs="仿宋"/>
                <w:color w:val="auto"/>
                <w:sz w:val="24"/>
                <w:highlight w:val="none"/>
              </w:rPr>
            </w:pPr>
          </w:p>
          <w:p w14:paraId="0104A555">
            <w:pPr>
              <w:wordWrap w:val="0"/>
              <w:snapToGrid w:val="0"/>
              <w:spacing w:beforeLines="0" w:afterLines="0" w:line="360" w:lineRule="auto"/>
              <w:jc w:val="center"/>
              <w:rPr>
                <w:rFonts w:ascii="仿宋" w:hAnsi="仿宋" w:eastAsia="仿宋" w:cs="仿宋"/>
                <w:color w:val="auto"/>
                <w:sz w:val="24"/>
                <w:highlight w:val="none"/>
              </w:rPr>
            </w:pPr>
          </w:p>
          <w:p w14:paraId="76A94F3D">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6264024">
            <w:pPr>
              <w:pStyle w:val="4"/>
              <w:keepNext w:val="0"/>
              <w:keepLines w:val="0"/>
              <w:wordWrap w:val="0"/>
              <w:snapToGrid w:val="0"/>
              <w:spacing w:beforeLines="0" w:afterLines="0"/>
              <w:jc w:val="center"/>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258A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EB488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44F5E51A">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43B873D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2B9CF0CC">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8D897E6">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E20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DC112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5C70C0F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实质性要求。</w:t>
            </w:r>
          </w:p>
        </w:tc>
        <w:tc>
          <w:tcPr>
            <w:tcW w:w="3329" w:type="dxa"/>
            <w:vAlign w:val="center"/>
          </w:tcPr>
          <w:p w14:paraId="0ED93FBA">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w:t>
            </w:r>
            <w:r>
              <w:rPr>
                <w:rFonts w:hint="eastAsia" w:ascii="仿宋" w:hAnsi="仿宋" w:eastAsia="仿宋" w:cs="仿宋"/>
                <w:color w:val="auto"/>
                <w:kern w:val="0"/>
                <w:sz w:val="24"/>
                <w:highlight w:val="none"/>
                <w:lang w:eastAsia="zh-CN"/>
              </w:rPr>
              <w:t>其他</w:t>
            </w:r>
            <w:r>
              <w:rPr>
                <w:rFonts w:hint="eastAsia" w:ascii="仿宋" w:hAnsi="仿宋" w:eastAsia="仿宋" w:cs="仿宋"/>
                <w:color w:val="auto"/>
                <w:kern w:val="0"/>
                <w:sz w:val="24"/>
                <w:highlight w:val="none"/>
              </w:rPr>
              <w:t>实质性要求相应的材料（“▲” 系指实质性要求条款，在商务技术偏离表中逐条填写响应情况）</w:t>
            </w:r>
          </w:p>
        </w:tc>
        <w:tc>
          <w:tcPr>
            <w:tcW w:w="1761" w:type="dxa"/>
          </w:tcPr>
          <w:p w14:paraId="41BF79DB">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2FBC472">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FD6AD8B">
      <w:pPr>
        <w:wordWrap w:val="0"/>
        <w:snapToGrid w:val="0"/>
        <w:spacing w:beforeLines="0" w:afterLines="0" w:line="360" w:lineRule="auto"/>
        <w:jc w:val="center"/>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31B6C01F">
      <w:pPr>
        <w:pStyle w:val="4"/>
        <w:bidi w:val="0"/>
      </w:pPr>
      <w:r>
        <w:rPr>
          <w:rFonts w:hint="eastAsia"/>
        </w:rPr>
        <w:t>五、评标标准相应的商务技术资料</w:t>
      </w:r>
    </w:p>
    <w:p w14:paraId="258C5161">
      <w:pPr>
        <w:pStyle w:val="33"/>
        <w:spacing w:line="360" w:lineRule="auto"/>
        <w:ind w:firstLine="35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按采购文件“第四章评标办法前附表”中评标标准相应的商务技术资信要求提供证明资料。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59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B8AE87">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4DF0B64">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91C75B5">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5D40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F1ACB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9FD0F58">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09EB0C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F0A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44A28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0CB3B2C7">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1FAA955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1D0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7C746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07FF49D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2049C403">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57A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774819">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1A30520D">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34F45277">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F81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B67A6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BB5BC16">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11709D2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629734B">
      <w:pPr>
        <w:pStyle w:val="82"/>
        <w:wordWrap w:val="0"/>
        <w:snapToGrid w:val="0"/>
        <w:spacing w:beforeLines="0" w:afterLines="0" w:line="360" w:lineRule="auto"/>
        <w:rPr>
          <w:rFonts w:ascii="仿宋" w:hAnsi="仿宋" w:eastAsia="仿宋" w:cs="仿宋"/>
          <w:color w:val="auto"/>
          <w:highlight w:val="none"/>
        </w:rPr>
      </w:pPr>
    </w:p>
    <w:p w14:paraId="41666D1D">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266907D7">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81A8AF4">
      <w:pPr>
        <w:wordWrap w:val="0"/>
        <w:snapToGrid w:val="0"/>
        <w:spacing w:beforeLines="0" w:afterLines="0" w:line="360" w:lineRule="auto"/>
        <w:jc w:val="right"/>
        <w:rPr>
          <w:rFonts w:ascii="仿宋" w:hAnsi="仿宋" w:eastAsia="仿宋" w:cs="仿宋"/>
          <w:b/>
          <w:color w:val="auto"/>
          <w:kern w:val="0"/>
          <w:sz w:val="32"/>
          <w:szCs w:val="32"/>
          <w:highlight w:val="none"/>
        </w:rPr>
      </w:pPr>
    </w:p>
    <w:p w14:paraId="1313BCB8">
      <w:pPr>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5F67E7">
      <w:pPr>
        <w:pStyle w:val="4"/>
        <w:bidi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39D9A72D">
      <w:pPr>
        <w:wordWrap w:val="0"/>
        <w:snapToGrid w:val="0"/>
        <w:spacing w:beforeLines="0" w:afterLines="0" w:line="360" w:lineRule="auto"/>
        <w:rPr>
          <w:rFonts w:ascii="仿宋" w:hAnsi="仿宋" w:eastAsia="仿宋" w:cs="仿宋"/>
          <w:color w:val="auto"/>
          <w:sz w:val="24"/>
          <w:highlight w:val="none"/>
        </w:rPr>
      </w:pPr>
    </w:p>
    <w:p w14:paraId="53AEABD9">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杭州市拱墅区人民政府天水街道办事处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15055827">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5FE3D8B">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D4C8FBE">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7D7E39D">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6DD9A97">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B4F711D">
      <w:pPr>
        <w:wordWrap w:val="0"/>
        <w:autoSpaceDE w:val="0"/>
        <w:autoSpaceDN w:val="0"/>
        <w:snapToGrid w:val="0"/>
        <w:spacing w:beforeLines="0" w:afterLines="0"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33ABB5B">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F4BE4B8">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96D05E2">
      <w:pPr>
        <w:wordWrap w:val="0"/>
        <w:autoSpaceDE w:val="0"/>
        <w:autoSpaceDN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2A6BA8EA">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1DF8CC8D">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2404B7DC">
      <w:pPr>
        <w:wordWrap w:val="0"/>
        <w:autoSpaceDE w:val="0"/>
        <w:autoSpaceDN w:val="0"/>
        <w:snapToGrid w:val="0"/>
        <w:spacing w:beforeLines="0" w:afterLines="0" w:line="360" w:lineRule="auto"/>
        <w:ind w:left="2"/>
        <w:jc w:val="right"/>
        <w:rPr>
          <w:rFonts w:ascii="仿宋" w:hAnsi="仿宋" w:eastAsia="仿宋" w:cs="仿宋"/>
          <w:color w:val="auto"/>
          <w:kern w:val="0"/>
          <w:sz w:val="24"/>
          <w:highlight w:val="none"/>
          <w:lang w:val="zh-CN"/>
        </w:rPr>
      </w:pPr>
    </w:p>
    <w:p w14:paraId="601B1285">
      <w:pPr>
        <w:autoSpaceDE w:val="0"/>
        <w:autoSpaceDN w:val="0"/>
        <w:snapToGrid w:val="0"/>
        <w:spacing w:beforeLines="0" w:afterLines="0" w:line="360" w:lineRule="auto"/>
        <w:ind w:right="1120"/>
        <w:jc w:val="righ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FFD3BF2">
      <w:pPr>
        <w:wordWrap w:val="0"/>
        <w:snapToGrid w:val="0"/>
        <w:spacing w:beforeLines="0" w:afterLines="0" w:line="360" w:lineRule="auto"/>
        <w:jc w:val="center"/>
        <w:rPr>
          <w:rFonts w:ascii="仿宋" w:hAnsi="仿宋" w:eastAsia="仿宋" w:cs="仿宋"/>
          <w:b/>
          <w:bCs/>
          <w:color w:val="auto"/>
          <w:sz w:val="24"/>
          <w:highlight w:val="none"/>
        </w:rPr>
      </w:pPr>
    </w:p>
    <w:p w14:paraId="3C4FCACE">
      <w:pPr>
        <w:wordWrap w:val="0"/>
        <w:snapToGrid w:val="0"/>
        <w:spacing w:beforeLines="0" w:afterLines="0" w:line="360" w:lineRule="auto"/>
        <w:jc w:val="center"/>
        <w:rPr>
          <w:rFonts w:ascii="仿宋" w:hAnsi="仿宋" w:eastAsia="仿宋" w:cs="仿宋"/>
          <w:b/>
          <w:bCs/>
          <w:color w:val="auto"/>
          <w:sz w:val="24"/>
          <w:highlight w:val="none"/>
        </w:rPr>
        <w:sectPr>
          <w:pgSz w:w="11905" w:h="16838"/>
          <w:pgMar w:top="652" w:right="1417" w:bottom="680" w:left="1417" w:header="539" w:footer="425" w:gutter="0"/>
          <w:pgNumType w:fmt="decimal"/>
          <w:cols w:space="0" w:num="1"/>
          <w:titlePg/>
          <w:docGrid w:linePitch="312" w:charSpace="0"/>
        </w:sectPr>
      </w:pPr>
    </w:p>
    <w:p w14:paraId="7E5A7997">
      <w:pPr>
        <w:wordWrap w:val="0"/>
        <w:snapToGrid w:val="0"/>
        <w:spacing w:beforeLines="0" w:afterLines="0" w:line="360" w:lineRule="auto"/>
        <w:jc w:val="center"/>
        <w:rPr>
          <w:rFonts w:ascii="仿宋" w:hAnsi="仿宋" w:eastAsia="仿宋" w:cs="仿宋"/>
          <w:b/>
          <w:color w:val="auto"/>
          <w:kern w:val="0"/>
          <w:sz w:val="36"/>
          <w:szCs w:val="36"/>
          <w:highlight w:val="none"/>
        </w:rPr>
      </w:pPr>
    </w:p>
    <w:p w14:paraId="68BE61B6">
      <w:pPr>
        <w:pStyle w:val="4"/>
        <w:bidi w:val="0"/>
        <w:rPr>
          <w:sz w:val="36"/>
          <w:szCs w:val="36"/>
        </w:rPr>
      </w:pPr>
      <w:r>
        <w:rPr>
          <w:rFonts w:hint="eastAsia"/>
          <w:sz w:val="36"/>
          <w:szCs w:val="36"/>
        </w:rPr>
        <w:t>报价文件部分</w:t>
      </w:r>
    </w:p>
    <w:p w14:paraId="3E57F966">
      <w:pPr>
        <w:wordWrap w:val="0"/>
        <w:snapToGrid w:val="0"/>
        <w:spacing w:beforeLines="0" w:afterLines="0"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02A709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ACF6BF7">
      <w:pPr>
        <w:numPr>
          <w:ilvl w:val="255"/>
          <w:numId w:val="0"/>
        </w:numPr>
        <w:adjustRightInd/>
        <w:snapToGrid w:val="0"/>
        <w:spacing w:beforeLines="0" w:afterLines="0" w:line="360" w:lineRule="auto"/>
        <w:jc w:val="left"/>
        <w:rPr>
          <w:rFonts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供应商针对报价需要说明的其他文件和说明………………………………（页码）</w:t>
      </w:r>
    </w:p>
    <w:p w14:paraId="13217258">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0986ED3">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73F7B8B">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4CD0969A">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53BA2E9">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920812B">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07E20DD">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52F743F">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69EA8007">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CE0F652">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73221A7">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5EE8078">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2101F66">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38656C54">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60BE41C">
      <w:pPr>
        <w:pStyle w:val="694"/>
        <w:keepNext w:val="0"/>
        <w:pageBreakBefore w:val="0"/>
        <w:tabs>
          <w:tab w:val="clear" w:pos="720"/>
        </w:tabs>
        <w:wordWrap w:val="0"/>
        <w:snapToGrid w:val="0"/>
        <w:spacing w:before="0" w:beforeLines="0" w:after="0" w:afterLines="0"/>
        <w:ind w:firstLine="643"/>
        <w:outlineLvl w:val="9"/>
        <w:rPr>
          <w:rFonts w:ascii="仿宋" w:hAnsi="仿宋" w:eastAsia="仿宋" w:cs="仿宋"/>
          <w:color w:val="auto"/>
          <w:kern w:val="2"/>
          <w:sz w:val="32"/>
          <w:szCs w:val="32"/>
          <w:highlight w:val="none"/>
        </w:rPr>
        <w:sectPr>
          <w:headerReference r:id="rId21" w:type="first"/>
          <w:footerReference r:id="rId23" w:type="first"/>
          <w:headerReference r:id="rId20" w:type="default"/>
          <w:footerReference r:id="rId22" w:type="default"/>
          <w:pgSz w:w="11905" w:h="16838"/>
          <w:pgMar w:top="652" w:right="1417" w:bottom="680" w:left="1417" w:header="539" w:footer="425" w:gutter="0"/>
          <w:pgNumType w:fmt="decimal"/>
          <w:cols w:space="0" w:num="1"/>
          <w:titlePg/>
          <w:docGrid w:linePitch="312" w:charSpace="0"/>
        </w:sectPr>
      </w:pPr>
    </w:p>
    <w:p w14:paraId="657D1CAB">
      <w:pPr>
        <w:pStyle w:val="4"/>
        <w:bidi w:val="0"/>
      </w:pPr>
      <w:bookmarkStart w:id="540" w:name="_Toc11634"/>
      <w:bookmarkStart w:id="541" w:name="_Toc23456"/>
      <w:bookmarkStart w:id="542" w:name="_Toc10436"/>
      <w:bookmarkStart w:id="543" w:name="_Toc8787"/>
      <w:bookmarkStart w:id="544" w:name="_Toc14192"/>
      <w:bookmarkStart w:id="545" w:name="_Toc7330"/>
      <w:bookmarkStart w:id="546" w:name="_Toc4763"/>
      <w:bookmarkStart w:id="547" w:name="_Toc22252"/>
      <w:bookmarkStart w:id="548" w:name="_Toc4192"/>
      <w:r>
        <w:rPr>
          <w:rFonts w:hint="eastAsia"/>
        </w:rPr>
        <w:t>一、开标一览表（报价表）</w:t>
      </w:r>
      <w:bookmarkEnd w:id="540"/>
      <w:bookmarkEnd w:id="541"/>
      <w:bookmarkEnd w:id="542"/>
      <w:bookmarkEnd w:id="543"/>
      <w:bookmarkEnd w:id="544"/>
      <w:bookmarkEnd w:id="545"/>
      <w:bookmarkEnd w:id="546"/>
      <w:bookmarkEnd w:id="547"/>
      <w:bookmarkEnd w:id="548"/>
    </w:p>
    <w:p w14:paraId="5F05D71E">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杭州市拱墅区人民政府天水街道办事处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2A12FF50">
      <w:pPr>
        <w:wordWrap w:val="0"/>
        <w:snapToGrid w:val="0"/>
        <w:spacing w:beforeLines="0" w:afterLines="0"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14:paraId="5A087CC0">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如你方接受本次投标，我方承诺按照如下开标一览表（报价表）的价格完成</w:t>
      </w:r>
      <w:r>
        <w:rPr>
          <w:rFonts w:hint="eastAsia" w:ascii="仿宋" w:hAnsi="仿宋" w:eastAsia="仿宋" w:cs="仿宋"/>
          <w:color w:val="auto"/>
          <w:kern w:val="0"/>
          <w:sz w:val="24"/>
          <w:highlight w:val="none"/>
          <w:u w:val="single"/>
          <w:lang w:val="zh-CN"/>
        </w:rPr>
        <w:t>2025年度天水街道企退自管小组文体活动的执行单位采购项目【</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编号：ZHDL2025-TSJD-03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F364000">
      <w:pPr>
        <w:wordWrap w:val="0"/>
        <w:snapToGrid w:val="0"/>
        <w:spacing w:beforeLines="0" w:afterLines="0"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97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161"/>
        <w:gridCol w:w="846"/>
        <w:gridCol w:w="1403"/>
        <w:gridCol w:w="1136"/>
        <w:gridCol w:w="1136"/>
      </w:tblGrid>
      <w:tr w14:paraId="0580B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6545B1E8">
            <w:pPr>
              <w:pStyle w:val="341"/>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0791986A">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标段名称</w:t>
            </w:r>
          </w:p>
        </w:tc>
        <w:tc>
          <w:tcPr>
            <w:tcW w:w="1161" w:type="dxa"/>
            <w:vAlign w:val="center"/>
          </w:tcPr>
          <w:p w14:paraId="76C0909F">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数量</w:t>
            </w:r>
          </w:p>
        </w:tc>
        <w:tc>
          <w:tcPr>
            <w:tcW w:w="846" w:type="dxa"/>
            <w:vAlign w:val="center"/>
          </w:tcPr>
          <w:p w14:paraId="269EBF29">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单位</w:t>
            </w:r>
          </w:p>
        </w:tc>
        <w:tc>
          <w:tcPr>
            <w:tcW w:w="1403" w:type="dxa"/>
            <w:vAlign w:val="center"/>
          </w:tcPr>
          <w:p w14:paraId="368E06C0">
            <w:pPr>
              <w:pStyle w:val="341"/>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1C81F1AE">
            <w:pPr>
              <w:pStyle w:val="341"/>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136" w:type="dxa"/>
            <w:vAlign w:val="center"/>
          </w:tcPr>
          <w:p w14:paraId="14F4D9BE">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5505EA1B">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367F8074">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63DE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0B435AD2">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vAlign w:val="center"/>
          </w:tcPr>
          <w:p w14:paraId="5BC6ECF5">
            <w:pPr>
              <w:pStyle w:val="341"/>
              <w:snapToGrid w:val="0"/>
              <w:spacing w:before="0" w:beforeLines="0" w:after="0" w:afterLines="0" w:line="360" w:lineRule="auto"/>
              <w:ind w:left="202" w:right="146" w:hanging="53"/>
              <w:jc w:val="center"/>
              <w:rPr>
                <w:rFonts w:hint="eastAsia" w:ascii="仿宋" w:hAnsi="仿宋" w:eastAsia="仿宋" w:cs="仿宋"/>
                <w:color w:val="auto"/>
                <w:highlight w:val="none"/>
                <w:u w:val="single"/>
                <w:lang w:val="zh-CN"/>
              </w:rPr>
            </w:pPr>
            <w:r>
              <w:rPr>
                <w:rFonts w:hint="eastAsia" w:ascii="仿宋" w:hAnsi="仿宋" w:eastAsia="仿宋" w:cs="仿宋"/>
                <w:color w:val="auto"/>
                <w:kern w:val="0"/>
                <w:sz w:val="24"/>
                <w:highlight w:val="none"/>
                <w:u w:val="single"/>
                <w:lang w:val="zh-CN"/>
              </w:rPr>
              <w:t>2025年度天水街道企退自管小组文体活动的执行单位采购项目</w:t>
            </w:r>
          </w:p>
        </w:tc>
        <w:tc>
          <w:tcPr>
            <w:tcW w:w="1161" w:type="dxa"/>
            <w:vAlign w:val="center"/>
          </w:tcPr>
          <w:p w14:paraId="1E01466F">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w:t>
            </w:r>
          </w:p>
        </w:tc>
        <w:tc>
          <w:tcPr>
            <w:tcW w:w="846" w:type="dxa"/>
            <w:vAlign w:val="center"/>
          </w:tcPr>
          <w:p w14:paraId="28E9C2D8">
            <w:pPr>
              <w:pStyle w:val="341"/>
              <w:snapToGrid w:val="0"/>
              <w:spacing w:before="0" w:beforeLines="0" w:after="0" w:afterLines="0" w:line="360" w:lineRule="auto"/>
              <w:ind w:firstLine="0" w:firstLineChars="0"/>
              <w:jc w:val="center"/>
              <w:rPr>
                <w:rFonts w:hint="eastAsia" w:ascii="仿宋" w:hAnsi="仿宋" w:eastAsia="仿宋" w:cs="仿宋"/>
                <w:color w:val="auto"/>
                <w:highlight w:val="none"/>
                <w:u w:val="single"/>
                <w:lang w:val="zh-CN" w:eastAsia="zh-CN"/>
              </w:rPr>
            </w:pPr>
            <w:r>
              <w:rPr>
                <w:rFonts w:hint="eastAsia" w:ascii="仿宋" w:hAnsi="仿宋" w:eastAsia="仿宋" w:cs="仿宋"/>
                <w:color w:val="auto"/>
                <w:highlight w:val="none"/>
                <w:u w:val="single"/>
                <w:lang w:val="zh-CN" w:eastAsia="zh-CN"/>
              </w:rPr>
              <w:t>项</w:t>
            </w:r>
          </w:p>
        </w:tc>
        <w:tc>
          <w:tcPr>
            <w:tcW w:w="1403" w:type="dxa"/>
            <w:vAlign w:val="center"/>
          </w:tcPr>
          <w:p w14:paraId="6045017E">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130</w:t>
            </w:r>
          </w:p>
        </w:tc>
        <w:tc>
          <w:tcPr>
            <w:tcW w:w="1136" w:type="dxa"/>
            <w:vAlign w:val="center"/>
          </w:tcPr>
          <w:p w14:paraId="7D74C853">
            <w:pPr>
              <w:snapToGrid w:val="0"/>
              <w:spacing w:before="0" w:beforeLines="0" w:afterLines="0" w:line="360" w:lineRule="auto"/>
              <w:ind w:left="0" w:firstLine="0" w:firstLineChars="0"/>
              <w:jc w:val="center"/>
              <w:rPr>
                <w:rFonts w:hint="default" w:ascii="仿宋" w:hAnsi="仿宋" w:eastAsia="仿宋" w:cs="仿宋"/>
                <w:color w:val="auto"/>
                <w:kern w:val="0"/>
                <w:sz w:val="24"/>
                <w:szCs w:val="24"/>
                <w:highlight w:val="none"/>
                <w:u w:val="single"/>
                <w:lang w:val="en-US"/>
              </w:rPr>
            </w:pPr>
            <w:r>
              <w:rPr>
                <w:rFonts w:hint="eastAsia" w:ascii="仿宋" w:hAnsi="仿宋" w:eastAsia="仿宋" w:cs="仿宋"/>
                <w:b w:val="0"/>
                <w:bCs w:val="0"/>
                <w:color w:val="auto"/>
                <w:kern w:val="0"/>
                <w:sz w:val="24"/>
                <w:szCs w:val="24"/>
                <w:highlight w:val="none"/>
                <w:u w:val="single"/>
                <w:lang w:val="en-US" w:eastAsia="zh-CN" w:bidi="ar-SA"/>
              </w:rPr>
              <w:t>10100</w:t>
            </w:r>
          </w:p>
        </w:tc>
        <w:tc>
          <w:tcPr>
            <w:tcW w:w="1136" w:type="dxa"/>
            <w:vAlign w:val="center"/>
          </w:tcPr>
          <w:p w14:paraId="3C638E47">
            <w:pPr>
              <w:snapToGrid w:val="0"/>
              <w:spacing w:before="0" w:beforeLines="0" w:afterLines="0" w:line="360" w:lineRule="auto"/>
              <w:ind w:left="0"/>
              <w:jc w:val="center"/>
              <w:outlineLvl w:val="9"/>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color w:val="auto"/>
                <w:kern w:val="0"/>
                <w:sz w:val="24"/>
                <w:szCs w:val="24"/>
                <w:highlight w:val="none"/>
                <w:u w:val="single"/>
                <w:lang w:val="en-US" w:eastAsia="zh-CN"/>
              </w:rPr>
              <w:t>1313000</w:t>
            </w:r>
          </w:p>
        </w:tc>
      </w:tr>
      <w:tr w14:paraId="39FB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4C4ECEE6">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4546" w:type="dxa"/>
            <w:gridSpan w:val="4"/>
            <w:vAlign w:val="top"/>
          </w:tcPr>
          <w:p w14:paraId="71D529D3">
            <w:pPr>
              <w:pStyle w:val="341"/>
              <w:snapToGrid w:val="0"/>
              <w:spacing w:before="0" w:beforeLines="0" w:after="0" w:afterLines="0" w:line="360" w:lineRule="auto"/>
              <w:ind w:left="118"/>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en-US" w:eastAsia="zh-CN"/>
              </w:rPr>
              <w:t>1313000</w:t>
            </w:r>
          </w:p>
          <w:p w14:paraId="42320392">
            <w:pPr>
              <w:pStyle w:val="341"/>
              <w:snapToGrid w:val="0"/>
              <w:spacing w:before="0" w:beforeLines="0" w:after="0" w:afterLines="0" w:line="360" w:lineRule="auto"/>
              <w:ind w:left="115"/>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zh-CN" w:eastAsia="zh-CN"/>
              </w:rPr>
              <w:t>壹佰叁拾壹万</w:t>
            </w:r>
            <w:r>
              <w:rPr>
                <w:rFonts w:hint="eastAsia" w:ascii="仿宋" w:hAnsi="仿宋" w:eastAsia="仿宋" w:cs="仿宋"/>
                <w:color w:val="auto"/>
                <w:spacing w:val="0"/>
                <w:highlight w:val="none"/>
                <w:u w:val="single"/>
                <w:lang w:val="en-US" w:eastAsia="zh-CN"/>
              </w:rPr>
              <w:t>叁</w:t>
            </w:r>
            <w:r>
              <w:rPr>
                <w:rFonts w:hint="eastAsia" w:ascii="仿宋" w:hAnsi="仿宋" w:eastAsia="仿宋" w:cs="仿宋"/>
                <w:color w:val="auto"/>
                <w:spacing w:val="0"/>
                <w:highlight w:val="none"/>
                <w:u w:val="single"/>
                <w:lang w:val="zh-CN" w:eastAsia="zh-CN"/>
              </w:rPr>
              <w:t>仟元</w:t>
            </w:r>
            <w:r>
              <w:rPr>
                <w:rFonts w:hint="eastAsia" w:ascii="仿宋" w:hAnsi="仿宋" w:eastAsia="仿宋" w:cs="仿宋"/>
                <w:color w:val="auto"/>
                <w:spacing w:val="0"/>
                <w:highlight w:val="none"/>
                <w:u w:val="single"/>
                <w:lang w:val="en-US" w:eastAsia="zh-CN"/>
              </w:rPr>
              <w:t>整</w:t>
            </w:r>
          </w:p>
        </w:tc>
        <w:tc>
          <w:tcPr>
            <w:tcW w:w="1136" w:type="dxa"/>
            <w:vAlign w:val="top"/>
          </w:tcPr>
          <w:p w14:paraId="557216B6">
            <w:pPr>
              <w:pStyle w:val="341"/>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备注：最终按实际人数结算</w:t>
            </w:r>
          </w:p>
        </w:tc>
      </w:tr>
    </w:tbl>
    <w:p w14:paraId="780D812E">
      <w:pPr>
        <w:wordWrap w:val="0"/>
        <w:snapToGrid w:val="0"/>
        <w:spacing w:beforeLines="0" w:afterLines="0" w:line="360" w:lineRule="auto"/>
        <w:ind w:left="48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FEBA8CA">
      <w:pPr>
        <w:wordWrap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投标人需按本表格式填写，格式、已列内容不得自行更改。若投标人根据以上列明的采购内容需对</w:t>
      </w:r>
      <w:r>
        <w:rPr>
          <w:rFonts w:hint="eastAsia" w:ascii="仿宋" w:hAnsi="仿宋" w:eastAsia="仿宋" w:cs="仿宋"/>
          <w:color w:val="auto"/>
          <w:kern w:val="0"/>
          <w:sz w:val="24"/>
          <w:highlight w:val="none"/>
        </w:rPr>
        <w:t>人力物力成本、企业管理费、利润、税金等</w:t>
      </w:r>
      <w:r>
        <w:rPr>
          <w:rFonts w:hint="eastAsia" w:ascii="仿宋" w:hAnsi="仿宋" w:eastAsia="仿宋" w:cs="仿宋"/>
          <w:color w:val="auto"/>
          <w:kern w:val="0"/>
          <w:sz w:val="24"/>
          <w:highlight w:val="none"/>
          <w:lang w:val="zh-CN"/>
        </w:rPr>
        <w:t>进行分项明细报价，请另行以附件形式提供，格式自拟。</w:t>
      </w:r>
    </w:p>
    <w:p w14:paraId="5C6050C6">
      <w:pPr>
        <w:pStyle w:val="62"/>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37F506AB">
      <w:pPr>
        <w:pStyle w:val="62"/>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3D05A4E8">
      <w:pPr>
        <w:pStyle w:val="4"/>
        <w:bidi w:val="0"/>
        <w:rPr>
          <w:rFonts w:hint="eastAsia" w:ascii="仿宋" w:hAnsi="仿宋" w:eastAsia="仿宋" w:cs="仿宋"/>
          <w:color w:val="auto"/>
          <w:kern w:val="2"/>
          <w:sz w:val="32"/>
          <w:szCs w:val="32"/>
          <w:highlight w:val="none"/>
        </w:rPr>
        <w:sectPr>
          <w:footerReference r:id="rId27" w:type="first"/>
          <w:headerReference r:id="rId24" w:type="default"/>
          <w:footerReference r:id="rId25" w:type="default"/>
          <w:footerReference r:id="rId26" w:type="even"/>
          <w:pgSz w:w="11905" w:h="16838"/>
          <w:pgMar w:top="652" w:right="1417" w:bottom="680" w:left="1417" w:header="539" w:footer="425" w:gutter="0"/>
          <w:pgNumType w:fmt="decimal"/>
          <w:cols w:space="0" w:num="1"/>
          <w:titlePg/>
          <w:docGrid w:linePitch="312" w:charSpace="0"/>
        </w:sectPr>
      </w:pPr>
      <w:bookmarkStart w:id="549" w:name="_Toc15901"/>
      <w:bookmarkStart w:id="550" w:name="_Toc16669"/>
      <w:bookmarkStart w:id="551" w:name="_Toc29327"/>
      <w:bookmarkStart w:id="552" w:name="_Toc16528"/>
      <w:bookmarkStart w:id="553" w:name="_Toc26887"/>
      <w:bookmarkStart w:id="554" w:name="_Toc24377"/>
      <w:bookmarkStart w:id="555" w:name="_Toc16525"/>
      <w:bookmarkStart w:id="556" w:name="_Toc10965"/>
      <w:bookmarkStart w:id="557" w:name="_Toc19744"/>
    </w:p>
    <w:p w14:paraId="54E465D4">
      <w:pPr>
        <w:pStyle w:val="4"/>
        <w:bidi w:val="0"/>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49"/>
      <w:bookmarkEnd w:id="550"/>
      <w:bookmarkEnd w:id="551"/>
      <w:bookmarkEnd w:id="552"/>
      <w:bookmarkEnd w:id="553"/>
      <w:bookmarkEnd w:id="554"/>
      <w:bookmarkEnd w:id="555"/>
      <w:bookmarkEnd w:id="556"/>
      <w:bookmarkEnd w:id="557"/>
    </w:p>
    <w:p w14:paraId="15798827">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7A27F5E3">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r>
        <w:rPr>
          <w:rFonts w:hint="eastAsia" w:ascii="仿宋" w:hAnsi="仿宋" w:eastAsia="仿宋" w:cs="仿宋"/>
          <w:b/>
          <w:color w:val="auto"/>
          <w:sz w:val="24"/>
          <w:highlight w:val="none"/>
          <w:lang w:eastAsia="zh-CN"/>
        </w:rPr>
        <w:t>]</w:t>
      </w:r>
    </w:p>
    <w:p w14:paraId="5641D468">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229FD7DF">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r>
        <w:rPr>
          <w:rFonts w:hint="eastAsia" w:ascii="仿宋" w:hAnsi="仿宋" w:eastAsia="仿宋" w:cs="仿宋"/>
          <w:b/>
          <w:color w:val="auto"/>
          <w:sz w:val="24"/>
          <w:highlight w:val="none"/>
          <w:lang w:eastAsia="zh-CN"/>
        </w:rPr>
        <w:t>]</w:t>
      </w:r>
    </w:p>
    <w:p w14:paraId="4B0403DF">
      <w:pPr>
        <w:wordWrap w:val="0"/>
        <w:snapToGrid w:val="0"/>
        <w:spacing w:beforeLines="0" w:afterLines="0" w:line="360" w:lineRule="auto"/>
        <w:ind w:right="420" w:firstLine="2409" w:firstLineChars="1000"/>
        <w:rPr>
          <w:rFonts w:ascii="仿宋" w:hAnsi="仿宋" w:eastAsia="仿宋" w:cs="仿宋"/>
          <w:b/>
          <w:color w:val="auto"/>
          <w:kern w:val="0"/>
          <w:sz w:val="24"/>
          <w:highlight w:val="none"/>
        </w:rPr>
      </w:pPr>
    </w:p>
    <w:p w14:paraId="55977CE7">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w:t>
      </w:r>
      <w:r>
        <w:rPr>
          <w:rFonts w:hint="eastAsia" w:ascii="仿宋" w:hAnsi="仿宋" w:eastAsia="仿宋" w:cs="仿宋"/>
          <w:b/>
          <w:color w:val="auto"/>
          <w:sz w:val="24"/>
          <w:highlight w:val="none"/>
          <w:lang w:eastAsia="zh-CN"/>
        </w:rPr>
        <w:t>供的</w:t>
      </w:r>
      <w:r>
        <w:rPr>
          <w:rFonts w:hint="eastAsia" w:ascii="仿宋" w:hAnsi="仿宋" w:eastAsia="仿宋" w:cs="仿宋"/>
          <w:b/>
          <w:color w:val="auto"/>
          <w:sz w:val="24"/>
          <w:highlight w:val="none"/>
        </w:rPr>
        <w:t>所有标的均由小微企业承接的，视同符合了资格条件，无需再与其他小微企业组成联合体参加政府采购活动，无需提供联合协议</w:t>
      </w:r>
      <w:r>
        <w:rPr>
          <w:rFonts w:hint="eastAsia" w:ascii="仿宋" w:hAnsi="仿宋" w:eastAsia="仿宋" w:cs="仿宋"/>
          <w:b/>
          <w:color w:val="auto"/>
          <w:sz w:val="24"/>
          <w:highlight w:val="none"/>
          <w:lang w:eastAsia="zh-CN"/>
        </w:rPr>
        <w:t>]</w:t>
      </w:r>
    </w:p>
    <w:p w14:paraId="0FE00884">
      <w:pPr>
        <w:widowControl/>
        <w:wordWrap w:val="0"/>
        <w:snapToGrid w:val="0"/>
        <w:spacing w:beforeLines="0" w:afterLines="0" w:line="360" w:lineRule="auto"/>
        <w:ind w:firstLine="120" w:firstLineChars="50"/>
        <w:rPr>
          <w:rFonts w:ascii="仿宋" w:hAnsi="仿宋" w:eastAsia="仿宋" w:cs="仿宋"/>
          <w:b/>
          <w:color w:val="auto"/>
          <w:sz w:val="24"/>
          <w:highlight w:val="none"/>
        </w:rPr>
      </w:pPr>
    </w:p>
    <w:p w14:paraId="6D229227">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w:t>
      </w:r>
      <w:r>
        <w:rPr>
          <w:rFonts w:hint="eastAsia" w:ascii="仿宋" w:hAnsi="仿宋" w:eastAsia="仿宋" w:cs="仿宋"/>
          <w:b/>
          <w:color w:val="auto"/>
          <w:sz w:val="24"/>
          <w:highlight w:val="none"/>
          <w:lang w:eastAsia="zh-CN"/>
        </w:rPr>
        <w:t>供的</w:t>
      </w:r>
      <w:r>
        <w:rPr>
          <w:rFonts w:hint="eastAsia" w:ascii="仿宋" w:hAnsi="仿宋" w:eastAsia="仿宋" w:cs="仿宋"/>
          <w:b/>
          <w:color w:val="auto"/>
          <w:sz w:val="24"/>
          <w:highlight w:val="none"/>
        </w:rPr>
        <w:t>所有标的均由中小企业承接，视同符合了资格条件，无需再向中小企业分包，无需提供分包意向协议</w:t>
      </w:r>
      <w:r>
        <w:rPr>
          <w:rFonts w:hint="eastAsia" w:ascii="仿宋" w:hAnsi="仿宋" w:eastAsia="仿宋" w:cs="仿宋"/>
          <w:b/>
          <w:color w:val="auto"/>
          <w:sz w:val="24"/>
          <w:highlight w:val="none"/>
          <w:lang w:eastAsia="zh-CN"/>
        </w:rPr>
        <w:t>]</w:t>
      </w:r>
    </w:p>
    <w:p w14:paraId="4DF0704C">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535068EA">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3F237CC7">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6654A347">
      <w:pPr>
        <w:pStyle w:val="4"/>
        <w:keepNext w:val="0"/>
        <w:keepLines w:val="0"/>
        <w:widowControl/>
        <w:wordWrap w:val="0"/>
        <w:snapToGrid w:val="0"/>
        <w:spacing w:before="0" w:beforeLines="0" w:beforeAutospacing="0" w:after="0" w:afterLines="0" w:afterAutospacing="0" w:line="360" w:lineRule="auto"/>
        <w:rPr>
          <w:rFonts w:ascii="仿宋" w:hAnsi="仿宋" w:eastAsia="仿宋" w:cs="仿宋"/>
          <w:color w:val="auto"/>
          <w:highlight w:val="none"/>
        </w:rPr>
        <w:sectPr>
          <w:pgSz w:w="11905" w:h="16838"/>
          <w:pgMar w:top="652" w:right="1417" w:bottom="680" w:left="1417" w:header="539" w:footer="425" w:gutter="0"/>
          <w:pgNumType w:fmt="decimal"/>
          <w:cols w:space="0" w:num="1"/>
          <w:titlePg/>
          <w:docGrid w:linePitch="312" w:charSpace="0"/>
        </w:sectPr>
      </w:pPr>
      <w:bookmarkStart w:id="558" w:name="_Toc29548"/>
      <w:bookmarkStart w:id="559" w:name="_Toc19385"/>
      <w:bookmarkStart w:id="560" w:name="_Toc11681"/>
      <w:bookmarkStart w:id="561" w:name="_Toc18247"/>
      <w:bookmarkStart w:id="562" w:name="_Toc21803"/>
      <w:bookmarkStart w:id="563" w:name="_Toc465665161"/>
    </w:p>
    <w:p w14:paraId="280A3FA7">
      <w:pPr>
        <w:pStyle w:val="3"/>
        <w:bidi w:val="0"/>
        <w:jc w:val="center"/>
      </w:pPr>
      <w:bookmarkStart w:id="564" w:name="_Toc19751"/>
      <w:bookmarkStart w:id="565" w:name="_Toc1812"/>
      <w:r>
        <w:rPr>
          <w:rFonts w:hint="eastAsia"/>
        </w:rPr>
        <w:t>附件</w:t>
      </w:r>
      <w:bookmarkEnd w:id="558"/>
      <w:bookmarkEnd w:id="559"/>
      <w:bookmarkEnd w:id="560"/>
      <w:bookmarkEnd w:id="561"/>
      <w:bookmarkEnd w:id="562"/>
      <w:bookmarkEnd w:id="563"/>
      <w:bookmarkEnd w:id="564"/>
      <w:bookmarkEnd w:id="565"/>
    </w:p>
    <w:p w14:paraId="18165C63">
      <w:pPr>
        <w:pStyle w:val="4"/>
        <w:bidi w:val="0"/>
        <w:jc w:val="left"/>
      </w:pPr>
      <w:bookmarkStart w:id="566" w:name="_Toc25826"/>
      <w:bookmarkStart w:id="567" w:name="_Toc7886"/>
      <w:bookmarkStart w:id="568" w:name="_Toc14817"/>
      <w:bookmarkStart w:id="569" w:name="_Toc24540"/>
      <w:bookmarkStart w:id="570" w:name="_Toc19435"/>
      <w:bookmarkStart w:id="571" w:name="_Toc31021"/>
      <w:bookmarkStart w:id="572" w:name="_Toc7995"/>
      <w:bookmarkStart w:id="573" w:name="_Toc4640"/>
      <w:bookmarkStart w:id="574" w:name="_Toc9886"/>
      <w:r>
        <w:rPr>
          <w:rFonts w:hint="eastAsia"/>
        </w:rPr>
        <w:t>附件1：</w:t>
      </w:r>
      <w:bookmarkEnd w:id="566"/>
      <w:bookmarkEnd w:id="567"/>
      <w:bookmarkEnd w:id="568"/>
      <w:bookmarkEnd w:id="569"/>
      <w:bookmarkEnd w:id="570"/>
      <w:bookmarkEnd w:id="571"/>
      <w:bookmarkEnd w:id="572"/>
      <w:bookmarkEnd w:id="573"/>
      <w:bookmarkEnd w:id="574"/>
      <w:bookmarkStart w:id="575" w:name="OLE_LINK13"/>
      <w:bookmarkStart w:id="576" w:name="OLE_LINK14"/>
      <w:r>
        <w:rPr>
          <w:rFonts w:hint="eastAsia"/>
        </w:rPr>
        <w:t>残疾人福利性单位声明函</w:t>
      </w:r>
    </w:p>
    <w:bookmarkEnd w:id="575"/>
    <w:bookmarkEnd w:id="576"/>
    <w:p w14:paraId="52BBF69C">
      <w:pPr>
        <w:wordWrap w:val="0"/>
        <w:snapToGrid w:val="0"/>
        <w:spacing w:beforeLines="0" w:afterLines="0" w:line="360" w:lineRule="auto"/>
        <w:rPr>
          <w:rFonts w:ascii="仿宋" w:hAnsi="仿宋" w:eastAsia="仿宋" w:cs="仿宋"/>
          <w:b/>
          <w:color w:val="auto"/>
          <w:spacing w:val="6"/>
          <w:sz w:val="30"/>
          <w:szCs w:val="30"/>
          <w:highlight w:val="none"/>
        </w:rPr>
      </w:pPr>
    </w:p>
    <w:p w14:paraId="752850F6">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〔2017〕141号</w:t>
      </w:r>
      <w:r>
        <w:rPr>
          <w:rFonts w:hint="eastAsia" w:ascii="仿宋" w:hAnsi="仿宋" w:eastAsia="仿宋" w:cs="仿宋"/>
          <w:color w:val="auto"/>
          <w:sz w:val="24"/>
          <w:highlight w:val="none"/>
        </w:rPr>
        <w:t>）的规定，本单位为符合条件的残疾人福利性单位，且本单位参加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杭州市拱墅区人民政府天水街道办事处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单位的   </w:t>
      </w:r>
      <w:r>
        <w:rPr>
          <w:rFonts w:hint="eastAsia" w:ascii="仿宋" w:hAnsi="仿宋" w:eastAsia="仿宋" w:cs="仿宋"/>
          <w:color w:val="auto"/>
          <w:sz w:val="24"/>
          <w:highlight w:val="none"/>
          <w:lang w:eastAsia="zh-CN"/>
        </w:rPr>
        <w:t>2025年度天水街道企退自管小组文体活动的执行单位采购项目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ZHDL2025-TSJD-03</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14:paraId="1F94224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9BABAB5">
      <w:pPr>
        <w:wordWrap w:val="0"/>
        <w:snapToGrid w:val="0"/>
        <w:spacing w:beforeLines="0" w:afterLines="0" w:line="360" w:lineRule="auto"/>
        <w:ind w:firstLine="480" w:firstLineChars="200"/>
        <w:rPr>
          <w:rFonts w:ascii="仿宋" w:hAnsi="仿宋" w:eastAsia="仿宋" w:cs="仿宋"/>
          <w:color w:val="auto"/>
          <w:sz w:val="24"/>
          <w:highlight w:val="none"/>
        </w:rPr>
      </w:pPr>
    </w:p>
    <w:p w14:paraId="5B6FD45C">
      <w:pPr>
        <w:wordWrap w:val="0"/>
        <w:snapToGrid w:val="0"/>
        <w:spacing w:beforeLines="0" w:afterLines="0" w:line="360" w:lineRule="auto"/>
        <w:ind w:firstLine="480" w:firstLineChars="200"/>
        <w:rPr>
          <w:rFonts w:ascii="仿宋" w:hAnsi="仿宋" w:eastAsia="仿宋" w:cs="仿宋"/>
          <w:color w:val="auto"/>
          <w:sz w:val="24"/>
          <w:highlight w:val="none"/>
        </w:rPr>
      </w:pPr>
    </w:p>
    <w:p w14:paraId="1B8CAEA9">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2021C75">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0A48ED2">
      <w:pPr>
        <w:wordWrap w:val="0"/>
        <w:snapToGrid w:val="0"/>
        <w:spacing w:beforeLines="0" w:afterLines="0" w:line="360" w:lineRule="auto"/>
        <w:ind w:firstLine="480" w:firstLineChars="200"/>
        <w:rPr>
          <w:rFonts w:ascii="仿宋" w:hAnsi="仿宋" w:eastAsia="仿宋" w:cs="仿宋"/>
          <w:color w:val="auto"/>
          <w:sz w:val="24"/>
          <w:highlight w:val="none"/>
        </w:rPr>
      </w:pPr>
    </w:p>
    <w:p w14:paraId="53E12ECB">
      <w:pPr>
        <w:wordWrap w:val="0"/>
        <w:snapToGrid w:val="0"/>
        <w:spacing w:beforeLines="0" w:afterLines="0" w:line="360" w:lineRule="auto"/>
        <w:ind w:firstLine="420" w:firstLineChars="200"/>
        <w:rPr>
          <w:rFonts w:ascii="仿宋" w:hAnsi="仿宋" w:eastAsia="仿宋" w:cs="仿宋"/>
          <w:color w:val="auto"/>
          <w:highlight w:val="none"/>
        </w:rPr>
      </w:pPr>
    </w:p>
    <w:p w14:paraId="33BFE135">
      <w:pPr>
        <w:wordWrap w:val="0"/>
        <w:snapToGrid w:val="0"/>
        <w:spacing w:beforeLines="0" w:afterLines="0" w:line="360" w:lineRule="auto"/>
        <w:ind w:firstLine="420" w:firstLineChars="200"/>
        <w:rPr>
          <w:rFonts w:ascii="仿宋" w:hAnsi="仿宋" w:eastAsia="仿宋" w:cs="仿宋"/>
          <w:color w:val="auto"/>
          <w:highlight w:val="none"/>
        </w:rPr>
      </w:pPr>
    </w:p>
    <w:p w14:paraId="3A398661">
      <w:pPr>
        <w:wordWrap w:val="0"/>
        <w:snapToGrid w:val="0"/>
        <w:spacing w:beforeLines="0" w:afterLines="0" w:line="360" w:lineRule="auto"/>
        <w:ind w:firstLine="420" w:firstLineChars="200"/>
        <w:rPr>
          <w:rFonts w:ascii="仿宋" w:hAnsi="仿宋" w:eastAsia="仿宋" w:cs="仿宋"/>
          <w:color w:val="auto"/>
          <w:highlight w:val="none"/>
        </w:rPr>
      </w:pPr>
    </w:p>
    <w:p w14:paraId="76782DDB">
      <w:pPr>
        <w:wordWrap w:val="0"/>
        <w:snapToGrid w:val="0"/>
        <w:spacing w:beforeLines="0" w:afterLines="0" w:line="360" w:lineRule="auto"/>
        <w:ind w:firstLine="420" w:firstLineChars="200"/>
        <w:rPr>
          <w:rFonts w:ascii="仿宋" w:hAnsi="仿宋" w:eastAsia="仿宋" w:cs="仿宋"/>
          <w:color w:val="auto"/>
          <w:highlight w:val="none"/>
        </w:rPr>
      </w:pPr>
    </w:p>
    <w:p w14:paraId="3ECAB041">
      <w:pPr>
        <w:wordWrap w:val="0"/>
        <w:snapToGrid w:val="0"/>
        <w:spacing w:beforeLines="0" w:afterLines="0" w:line="360" w:lineRule="auto"/>
        <w:rPr>
          <w:rFonts w:ascii="仿宋" w:hAnsi="仿宋" w:eastAsia="仿宋" w:cs="仿宋"/>
          <w:b/>
          <w:color w:val="auto"/>
          <w:sz w:val="24"/>
          <w:highlight w:val="none"/>
        </w:rPr>
      </w:pPr>
    </w:p>
    <w:p w14:paraId="1E20633C">
      <w:pPr>
        <w:wordWrap w:val="0"/>
        <w:snapToGrid w:val="0"/>
        <w:spacing w:beforeLines="0" w:afterLines="0" w:line="360" w:lineRule="auto"/>
        <w:rPr>
          <w:rFonts w:ascii="仿宋" w:hAnsi="仿宋" w:eastAsia="仿宋" w:cs="仿宋"/>
          <w:b/>
          <w:color w:val="auto"/>
          <w:sz w:val="24"/>
          <w:highlight w:val="none"/>
        </w:rPr>
      </w:pPr>
    </w:p>
    <w:p w14:paraId="2F92E3F4">
      <w:pPr>
        <w:wordWrap w:val="0"/>
        <w:snapToGrid w:val="0"/>
        <w:spacing w:beforeLines="0" w:afterLines="0" w:line="360" w:lineRule="auto"/>
        <w:rPr>
          <w:rFonts w:ascii="仿宋" w:hAnsi="仿宋" w:eastAsia="仿宋" w:cs="仿宋"/>
          <w:b/>
          <w:color w:val="auto"/>
          <w:sz w:val="24"/>
          <w:highlight w:val="none"/>
        </w:rPr>
      </w:pPr>
    </w:p>
    <w:p w14:paraId="70A13DBF">
      <w:pPr>
        <w:wordWrap w:val="0"/>
        <w:snapToGrid w:val="0"/>
        <w:spacing w:beforeLines="0" w:afterLines="0" w:line="360" w:lineRule="auto"/>
        <w:rPr>
          <w:rFonts w:ascii="仿宋" w:hAnsi="仿宋" w:eastAsia="仿宋" w:cs="仿宋"/>
          <w:b/>
          <w:color w:val="auto"/>
          <w:sz w:val="24"/>
          <w:highlight w:val="none"/>
        </w:rPr>
      </w:pPr>
    </w:p>
    <w:p w14:paraId="2E832D5F">
      <w:pPr>
        <w:wordWrap w:val="0"/>
        <w:snapToGrid w:val="0"/>
        <w:spacing w:beforeLines="0" w:afterLines="0" w:line="360" w:lineRule="auto"/>
        <w:rPr>
          <w:rFonts w:ascii="仿宋" w:hAnsi="仿宋" w:eastAsia="仿宋" w:cs="仿宋"/>
          <w:b/>
          <w:color w:val="auto"/>
          <w:sz w:val="24"/>
          <w:highlight w:val="none"/>
        </w:rPr>
      </w:pPr>
    </w:p>
    <w:p w14:paraId="450CBF47">
      <w:pPr>
        <w:wordWrap w:val="0"/>
        <w:snapToGrid w:val="0"/>
        <w:spacing w:beforeLines="0" w:afterLines="0" w:line="360" w:lineRule="auto"/>
        <w:rPr>
          <w:rFonts w:ascii="仿宋" w:hAnsi="仿宋" w:eastAsia="仿宋" w:cs="仿宋"/>
          <w:b/>
          <w:color w:val="auto"/>
          <w:sz w:val="24"/>
          <w:highlight w:val="none"/>
        </w:rPr>
      </w:pPr>
    </w:p>
    <w:p w14:paraId="0298E643">
      <w:pPr>
        <w:wordWrap w:val="0"/>
        <w:snapToGrid w:val="0"/>
        <w:spacing w:beforeLines="0" w:afterLines="0" w:line="360" w:lineRule="auto"/>
        <w:rPr>
          <w:rFonts w:ascii="仿宋" w:hAnsi="仿宋" w:eastAsia="仿宋" w:cs="仿宋"/>
          <w:b/>
          <w:color w:val="auto"/>
          <w:sz w:val="24"/>
          <w:highlight w:val="none"/>
        </w:rPr>
      </w:pPr>
    </w:p>
    <w:p w14:paraId="7E7444F1">
      <w:pPr>
        <w:wordWrap w:val="0"/>
        <w:snapToGrid w:val="0"/>
        <w:spacing w:beforeLines="0" w:afterLines="0" w:line="360" w:lineRule="auto"/>
        <w:rPr>
          <w:rFonts w:ascii="仿宋" w:hAnsi="仿宋" w:eastAsia="仿宋" w:cs="仿宋"/>
          <w:b/>
          <w:color w:val="auto"/>
          <w:sz w:val="24"/>
          <w:highlight w:val="none"/>
        </w:rPr>
      </w:pPr>
    </w:p>
    <w:p w14:paraId="25156CF1">
      <w:pPr>
        <w:wordWrap w:val="0"/>
        <w:snapToGrid w:val="0"/>
        <w:spacing w:beforeLines="0" w:afterLines="0" w:line="360" w:lineRule="auto"/>
        <w:rPr>
          <w:rFonts w:ascii="仿宋" w:hAnsi="仿宋" w:eastAsia="仿宋" w:cs="仿宋"/>
          <w:b/>
          <w:color w:val="auto"/>
          <w:sz w:val="24"/>
          <w:highlight w:val="none"/>
        </w:rPr>
      </w:pPr>
    </w:p>
    <w:p w14:paraId="255174BA">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AE6250A">
      <w:pPr>
        <w:pStyle w:val="4"/>
        <w:bidi w:val="0"/>
        <w:jc w:val="left"/>
      </w:pPr>
      <w:bookmarkStart w:id="577" w:name="_Toc10405"/>
      <w:bookmarkStart w:id="578" w:name="_Toc16744"/>
      <w:bookmarkStart w:id="579" w:name="_Toc25285"/>
      <w:bookmarkStart w:id="580" w:name="_Toc19664"/>
      <w:bookmarkStart w:id="581" w:name="_Toc3891"/>
      <w:bookmarkStart w:id="582" w:name="_Toc21976"/>
      <w:bookmarkStart w:id="583" w:name="_Toc16946"/>
      <w:bookmarkStart w:id="584" w:name="_Toc22640"/>
      <w:bookmarkStart w:id="585" w:name="_Toc10890"/>
      <w:r>
        <w:rPr>
          <w:rFonts w:hint="eastAsia"/>
        </w:rPr>
        <w:t>附件2：质疑函范本及制作说明</w:t>
      </w:r>
      <w:bookmarkEnd w:id="577"/>
      <w:bookmarkEnd w:id="578"/>
      <w:bookmarkEnd w:id="579"/>
      <w:bookmarkEnd w:id="580"/>
      <w:bookmarkEnd w:id="581"/>
      <w:bookmarkEnd w:id="582"/>
      <w:bookmarkEnd w:id="583"/>
      <w:bookmarkEnd w:id="584"/>
      <w:bookmarkEnd w:id="585"/>
    </w:p>
    <w:p w14:paraId="5DFB4DC6">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E501426">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06D6922">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3BE573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AA1C70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51F0829">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286E63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A5B653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5647311">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50CC7F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5C9F00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BE065C6">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F0BCAD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5890A1A">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4F7688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87F655F">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86AAB9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28FEA78">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6CDA840">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88EEE01">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0F2FD82">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02DA823">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E58628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2FD649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542CF8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4BD487F">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B71FD40">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067529">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390111">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3E0E83F">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2278032">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90B14E6">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6.质疑供应商为法人或者其他组织的，质疑函应由法定代表人、主要负责人，或者其授权代表签字或者盖章，并加盖公章。</w:t>
      </w:r>
    </w:p>
    <w:p w14:paraId="34BA19C1">
      <w:pPr>
        <w:widowControl/>
        <w:wordWrap w:val="0"/>
        <w:snapToGrid w:val="0"/>
        <w:spacing w:beforeLines="0" w:afterLines="0" w:line="360" w:lineRule="auto"/>
        <w:ind w:firstLine="600" w:firstLineChars="200"/>
        <w:jc w:val="left"/>
        <w:rPr>
          <w:rFonts w:ascii="仿宋" w:hAnsi="仿宋" w:eastAsia="仿宋" w:cs="仿宋"/>
          <w:color w:val="auto"/>
          <w:sz w:val="30"/>
          <w:szCs w:val="30"/>
          <w:highlight w:val="none"/>
        </w:rPr>
      </w:pPr>
    </w:p>
    <w:p w14:paraId="480761C7">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4BEE7303">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5667623E">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14A51E0C">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6C1921C0">
      <w:pPr>
        <w:wordWrap w:val="0"/>
        <w:snapToGrid w:val="0"/>
        <w:spacing w:beforeLines="0" w:afterLines="0" w:line="360" w:lineRule="auto"/>
        <w:jc w:val="left"/>
        <w:outlineLvl w:val="0"/>
        <w:rPr>
          <w:rFonts w:hint="eastAsia" w:ascii="仿宋" w:hAnsi="仿宋" w:eastAsia="仿宋" w:cs="仿宋"/>
          <w:b/>
          <w:color w:val="auto"/>
          <w:spacing w:val="6"/>
          <w:sz w:val="32"/>
          <w:szCs w:val="32"/>
          <w:highlight w:val="none"/>
        </w:rPr>
        <w:sectPr>
          <w:pgSz w:w="11905" w:h="16838"/>
          <w:pgMar w:top="652" w:right="1417" w:bottom="680" w:left="1417" w:header="539" w:footer="425" w:gutter="0"/>
          <w:pgNumType w:fmt="decimal"/>
          <w:cols w:space="0" w:num="1"/>
          <w:titlePg/>
          <w:docGrid w:linePitch="312" w:charSpace="0"/>
        </w:sectPr>
      </w:pPr>
      <w:bookmarkStart w:id="586" w:name="_Toc1796"/>
      <w:bookmarkStart w:id="587" w:name="_Toc19370"/>
      <w:bookmarkStart w:id="588" w:name="_Toc5259"/>
      <w:bookmarkStart w:id="589" w:name="_Toc15183"/>
      <w:bookmarkStart w:id="590" w:name="_Toc13719"/>
      <w:bookmarkStart w:id="591" w:name="_Toc23740"/>
      <w:bookmarkStart w:id="592" w:name="_Toc26395"/>
      <w:bookmarkStart w:id="593" w:name="_Toc4759"/>
      <w:bookmarkStart w:id="594" w:name="_Toc14739"/>
    </w:p>
    <w:p w14:paraId="2BB86CE7">
      <w:pPr>
        <w:pStyle w:val="4"/>
        <w:bidi w:val="0"/>
        <w:jc w:val="left"/>
      </w:pPr>
      <w:r>
        <w:rPr>
          <w:rFonts w:hint="eastAsia"/>
        </w:rPr>
        <w:t>附件3：投诉书范本及制作说明</w:t>
      </w:r>
      <w:bookmarkEnd w:id="586"/>
      <w:bookmarkEnd w:id="587"/>
      <w:bookmarkEnd w:id="588"/>
      <w:bookmarkEnd w:id="589"/>
      <w:bookmarkEnd w:id="590"/>
      <w:bookmarkEnd w:id="591"/>
      <w:bookmarkEnd w:id="592"/>
      <w:bookmarkEnd w:id="593"/>
      <w:bookmarkEnd w:id="594"/>
    </w:p>
    <w:p w14:paraId="0AE6532C">
      <w:pPr>
        <w:wordWrap w:val="0"/>
        <w:snapToGrid w:val="0"/>
        <w:spacing w:beforeLines="0" w:afterLines="0" w:line="360" w:lineRule="auto"/>
        <w:jc w:val="center"/>
        <w:rPr>
          <w:rFonts w:ascii="仿宋" w:hAnsi="仿宋" w:eastAsia="仿宋" w:cs="仿宋"/>
          <w:b/>
          <w:color w:val="auto"/>
          <w:sz w:val="24"/>
          <w:highlight w:val="none"/>
        </w:rPr>
      </w:pPr>
    </w:p>
    <w:p w14:paraId="3D2F15AE">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3E7C327">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9F51C4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E4ACEC7">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B9BA3B">
      <w:pPr>
        <w:tabs>
          <w:tab w:val="left" w:pos="6510"/>
        </w:tabs>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BB12724">
      <w:pPr>
        <w:tabs>
          <w:tab w:val="left" w:pos="6510"/>
        </w:tabs>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2C50A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62D9C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E244F0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CE1E44">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AD3433">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13F62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A3C358F">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38224AC">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911DF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A26C57">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EC656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FE7A240">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9466E3D">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DE49855">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2E2159">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E365858">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7B800CE">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457617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7C58FDA">
      <w:pPr>
        <w:wordWrap w:val="0"/>
        <w:snapToGrid w:val="0"/>
        <w:spacing w:beforeLines="0" w:afterLines="0"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62F9A3D">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FAECA4">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4C4EB1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D20871E">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185582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B63C98A">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319D6BA">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05861B6">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F02949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446E15B">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9A3498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0BFE11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7E6160D">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3B3E1C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7165C78">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2B3FFEE2">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E80A113">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D1EF408">
      <w:pPr>
        <w:widowControl/>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0BAC267">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681D02A">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489EA5D">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D051E13">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EA08C8F">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9983736">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7.投诉人为法人或者其他组织的，投诉书应当由法定代表人、主要负责人，或者其授权代表签字或者盖章，并加盖公章。</w:t>
      </w:r>
    </w:p>
    <w:p w14:paraId="725D12E4">
      <w:pPr>
        <w:wordWrap w:val="0"/>
        <w:snapToGrid w:val="0"/>
        <w:spacing w:beforeLines="0" w:afterLines="0" w:line="360" w:lineRule="auto"/>
        <w:rPr>
          <w:rFonts w:ascii="仿宋" w:hAnsi="仿宋" w:eastAsia="仿宋" w:cs="仿宋"/>
          <w:b/>
          <w:color w:val="auto"/>
          <w:sz w:val="24"/>
          <w:highlight w:val="none"/>
        </w:rPr>
      </w:pPr>
    </w:p>
    <w:p w14:paraId="5C796733">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2C5AFEBD">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51523E01">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C8D5C85">
      <w:pPr>
        <w:pStyle w:val="4"/>
        <w:bidi w:val="0"/>
        <w:jc w:val="left"/>
        <w:rPr>
          <w:rFonts w:ascii="仿宋" w:hAnsi="仿宋" w:eastAsia="仿宋" w:cs="仿宋"/>
          <w:b/>
          <w:bCs/>
          <w:color w:val="auto"/>
          <w:sz w:val="32"/>
          <w:szCs w:val="32"/>
          <w:highlight w:val="none"/>
        </w:rPr>
      </w:pPr>
      <w:bookmarkStart w:id="595" w:name="_Toc30199"/>
      <w:bookmarkStart w:id="596" w:name="_Toc14277"/>
      <w:bookmarkStart w:id="597" w:name="_Toc19508"/>
      <w:bookmarkStart w:id="598" w:name="_Toc6620"/>
      <w:bookmarkStart w:id="599" w:name="_Toc31326"/>
      <w:bookmarkStart w:id="600" w:name="_Toc13943"/>
      <w:bookmarkStart w:id="601" w:name="_Toc28414"/>
      <w:bookmarkStart w:id="602" w:name="_Toc25068"/>
      <w:bookmarkStart w:id="603" w:name="_Toc1784"/>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595"/>
      <w:bookmarkEnd w:id="596"/>
      <w:bookmarkEnd w:id="597"/>
      <w:bookmarkEnd w:id="598"/>
      <w:bookmarkEnd w:id="599"/>
      <w:bookmarkEnd w:id="600"/>
      <w:bookmarkEnd w:id="601"/>
      <w:bookmarkEnd w:id="602"/>
      <w:bookmarkEnd w:id="603"/>
    </w:p>
    <w:p w14:paraId="3BE7DAB9">
      <w:pPr>
        <w:wordWrap w:val="0"/>
        <w:snapToGrid w:val="0"/>
        <w:spacing w:beforeLines="0" w:afterLines="0" w:line="360" w:lineRule="auto"/>
        <w:rPr>
          <w:rFonts w:ascii="仿宋" w:hAnsi="仿宋" w:eastAsia="仿宋" w:cs="仿宋"/>
          <w:color w:val="auto"/>
          <w:sz w:val="24"/>
          <w:highlight w:val="none"/>
          <w:u w:val="single"/>
        </w:rPr>
      </w:pPr>
    </w:p>
    <w:p w14:paraId="5FB7566F">
      <w:pPr>
        <w:wordWrap w:val="0"/>
        <w:snapToGrid w:val="0"/>
        <w:spacing w:beforeLines="0" w:afterLines="0" w:line="360" w:lineRule="auto"/>
        <w:rPr>
          <w:rFonts w:ascii="仿宋" w:hAnsi="仿宋" w:eastAsia="仿宋" w:cs="仿宋"/>
          <w:color w:val="auto"/>
          <w:sz w:val="24"/>
          <w:highlight w:val="none"/>
          <w:u w:val="single"/>
        </w:rPr>
      </w:pPr>
    </w:p>
    <w:p w14:paraId="13CC40B3">
      <w:pPr>
        <w:wordWrap w:val="0"/>
        <w:snapToGrid w:val="0"/>
        <w:spacing w:beforeLines="0" w:afterLines="0"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杭州市拱墅区人民政府天水街道办事处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p>
    <w:p w14:paraId="521C92E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2025年度天水街道企退自管小组文体活动的执行单位采购项目</w:t>
      </w:r>
      <w:r>
        <w:rPr>
          <w:rFonts w:hint="eastAsia" w:ascii="仿宋" w:hAnsi="仿宋" w:eastAsia="仿宋" w:cs="仿宋"/>
          <w:color w:val="auto"/>
          <w:sz w:val="24"/>
          <w:highlight w:val="none"/>
          <w:u w:val="single"/>
        </w:rPr>
        <w:t>【项目编号：】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67B1A08">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87A77A">
      <w:pPr>
        <w:wordWrap w:val="0"/>
        <w:snapToGrid w:val="0"/>
        <w:spacing w:beforeLines="0" w:afterLines="0" w:line="360" w:lineRule="auto"/>
        <w:ind w:firstLine="494"/>
        <w:rPr>
          <w:rFonts w:ascii="仿宋" w:hAnsi="仿宋" w:eastAsia="仿宋" w:cs="仿宋"/>
          <w:color w:val="auto"/>
          <w:sz w:val="24"/>
          <w:highlight w:val="none"/>
        </w:rPr>
      </w:pPr>
    </w:p>
    <w:p w14:paraId="0888CA46">
      <w:pPr>
        <w:wordWrap w:val="0"/>
        <w:snapToGrid w:val="0"/>
        <w:spacing w:beforeLines="0" w:afterLines="0" w:line="360" w:lineRule="auto"/>
        <w:ind w:firstLine="494"/>
        <w:rPr>
          <w:rFonts w:ascii="仿宋" w:hAnsi="仿宋" w:eastAsia="仿宋" w:cs="仿宋"/>
          <w:color w:val="auto"/>
          <w:sz w:val="24"/>
          <w:highlight w:val="none"/>
        </w:rPr>
      </w:pPr>
    </w:p>
    <w:p w14:paraId="0E925A34">
      <w:pPr>
        <w:wordWrap w:val="0"/>
        <w:snapToGrid w:val="0"/>
        <w:spacing w:beforeLines="0" w:afterLines="0" w:line="360" w:lineRule="auto"/>
        <w:ind w:firstLine="494"/>
        <w:rPr>
          <w:rFonts w:ascii="仿宋" w:hAnsi="仿宋" w:eastAsia="仿宋" w:cs="仿宋"/>
          <w:color w:val="auto"/>
          <w:sz w:val="24"/>
          <w:highlight w:val="none"/>
        </w:rPr>
      </w:pPr>
    </w:p>
    <w:p w14:paraId="3DE222DD">
      <w:pPr>
        <w:wordWrap w:val="0"/>
        <w:snapToGrid w:val="0"/>
        <w:spacing w:beforeLines="0" w:afterLines="0" w:line="360" w:lineRule="auto"/>
        <w:ind w:firstLine="494"/>
        <w:rPr>
          <w:rFonts w:ascii="仿宋" w:hAnsi="仿宋" w:eastAsia="仿宋" w:cs="仿宋"/>
          <w:color w:val="auto"/>
          <w:sz w:val="24"/>
          <w:highlight w:val="none"/>
        </w:rPr>
      </w:pPr>
    </w:p>
    <w:p w14:paraId="19C4EC5F">
      <w:pPr>
        <w:wordWrap w:val="0"/>
        <w:snapToGrid w:val="0"/>
        <w:spacing w:beforeLines="0" w:afterLines="0"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43C5748">
      <w:pPr>
        <w:wordWrap w:val="0"/>
        <w:snapToGrid w:val="0"/>
        <w:spacing w:beforeLines="0" w:afterLines="0" w:line="360" w:lineRule="auto"/>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6025D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D326586">
      <w:pPr>
        <w:wordWrap w:val="0"/>
        <w:snapToGrid w:val="0"/>
        <w:spacing w:beforeLines="0" w:afterLines="0"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A198CEA">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C903278">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C9B233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2D2EF64">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22F7F84">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DADC657">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9173E2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53C41E58">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64909731">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9B117FE">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46E22F6">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21FA42A">
      <w:pPr>
        <w:pStyle w:val="4"/>
        <w:bidi w:val="0"/>
        <w:jc w:val="left"/>
      </w:pPr>
      <w:bookmarkStart w:id="604" w:name="_Toc15498"/>
      <w:bookmarkStart w:id="605" w:name="_Toc16741"/>
      <w:bookmarkStart w:id="606" w:name="_Toc8013"/>
      <w:bookmarkStart w:id="607" w:name="_Toc25620"/>
      <w:bookmarkStart w:id="608" w:name="_Toc13984"/>
      <w:bookmarkStart w:id="609" w:name="_Toc15843"/>
      <w:bookmarkStart w:id="610" w:name="_Toc2500"/>
      <w:bookmarkStart w:id="611" w:name="_Toc19779"/>
      <w:bookmarkStart w:id="612" w:name="_Toc28870"/>
      <w:r>
        <w:rPr>
          <w:rFonts w:hint="eastAsia"/>
        </w:rPr>
        <w:t>附件6</w:t>
      </w:r>
      <w:bookmarkEnd w:id="604"/>
      <w:bookmarkEnd w:id="605"/>
      <w:bookmarkEnd w:id="606"/>
      <w:r>
        <w:rPr>
          <w:rFonts w:hint="eastAsia"/>
        </w:rPr>
        <w:t xml:space="preserve"> </w:t>
      </w:r>
      <w:bookmarkEnd w:id="607"/>
      <w:bookmarkEnd w:id="608"/>
      <w:bookmarkEnd w:id="609"/>
      <w:r>
        <w:rPr>
          <w:rFonts w:hint="eastAsia"/>
        </w:rPr>
        <w:t>联合协议</w:t>
      </w:r>
      <w:bookmarkEnd w:id="610"/>
      <w:bookmarkEnd w:id="611"/>
      <w:bookmarkEnd w:id="612"/>
    </w:p>
    <w:p w14:paraId="79180890">
      <w:pPr>
        <w:widowControl/>
        <w:wordWrap w:val="0"/>
        <w:snapToGrid w:val="0"/>
        <w:spacing w:beforeLines="0" w:afterLines="0" w:line="360" w:lineRule="auto"/>
        <w:ind w:firstLine="643" w:firstLineChars="20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7F3A7DA2">
      <w:pPr>
        <w:widowControl/>
        <w:wordWrap w:val="0"/>
        <w:snapToGrid w:val="0"/>
        <w:spacing w:beforeLines="0" w:afterLines="0" w:line="360" w:lineRule="auto"/>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11E5DF9">
      <w:pPr>
        <w:wordWrap w:val="0"/>
        <w:snapToGrid w:val="0"/>
        <w:spacing w:beforeLines="0" w:afterLines="0" w:line="360" w:lineRule="auto"/>
        <w:ind w:firstLine="578"/>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2025年度天水街道企退自管小组文体活动的执行单位采购项目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ZHDL2025-TSJD-03</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14:paraId="24B1A8EF">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A8D2A17">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3132189">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6357712C">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6280CE81">
      <w:pPr>
        <w:snapToGrid w:val="0"/>
        <w:spacing w:beforeLines="0" w:afterLines="0"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%（不得少于50%）。</w:t>
      </w:r>
    </w:p>
    <w:p w14:paraId="1579BF61">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A91B5CE">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14:paraId="2C7E4F8E">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8118E88">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0EDFC85">
      <w:pPr>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E7224BE">
      <w:pPr>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4、其他联合体双方约定的事项：</w:t>
      </w:r>
      <w:r>
        <w:rPr>
          <w:rFonts w:hint="eastAsia" w:ascii="仿宋" w:hAnsi="仿宋" w:eastAsia="仿宋" w:cs="仿宋"/>
          <w:color w:val="auto"/>
          <w:kern w:val="0"/>
          <w:sz w:val="24"/>
          <w:highlight w:val="none"/>
          <w:u w:val="single"/>
        </w:rPr>
        <w:t xml:space="preserve">                             </w:t>
      </w:r>
    </w:p>
    <w:p w14:paraId="63D8AC67">
      <w:pPr>
        <w:wordWrap w:val="0"/>
        <w:snapToGrid w:val="0"/>
        <w:spacing w:beforeLines="0" w:afterLines="0" w:line="360" w:lineRule="auto"/>
        <w:ind w:firstLine="578"/>
        <w:rPr>
          <w:rFonts w:ascii="仿宋" w:hAnsi="仿宋" w:eastAsia="仿宋" w:cs="仿宋"/>
          <w:color w:val="auto"/>
          <w:kern w:val="0"/>
          <w:sz w:val="24"/>
          <w:highlight w:val="none"/>
          <w:lang w:val="zh-CN"/>
        </w:rPr>
      </w:pPr>
    </w:p>
    <w:p w14:paraId="7FF6F1AF">
      <w:pPr>
        <w:wordWrap w:val="0"/>
        <w:snapToGrid w:val="0"/>
        <w:spacing w:beforeLines="0" w:afterLines="0" w:line="360" w:lineRule="auto"/>
        <w:ind w:right="420"/>
        <w:rPr>
          <w:rFonts w:ascii="仿宋" w:hAnsi="仿宋" w:eastAsia="仿宋" w:cs="仿宋"/>
          <w:color w:val="auto"/>
          <w:sz w:val="24"/>
          <w:highlight w:val="none"/>
        </w:rPr>
      </w:pPr>
    </w:p>
    <w:p w14:paraId="251C69C5">
      <w:pPr>
        <w:wordWrap w:val="0"/>
        <w:snapToGrid w:val="0"/>
        <w:spacing w:beforeLines="0" w:afterLines="0" w:line="360" w:lineRule="auto"/>
        <w:ind w:right="420"/>
        <w:rPr>
          <w:rFonts w:ascii="仿宋" w:hAnsi="仿宋" w:eastAsia="仿宋" w:cs="仿宋"/>
          <w:color w:val="auto"/>
          <w:sz w:val="24"/>
          <w:highlight w:val="none"/>
        </w:rPr>
      </w:pPr>
    </w:p>
    <w:p w14:paraId="3B055B62">
      <w:pPr>
        <w:wordWrap w:val="0"/>
        <w:snapToGrid w:val="0"/>
        <w:spacing w:beforeLines="0" w:afterLines="0"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7BCA12D3">
      <w:pPr>
        <w:wordWrap w:val="0"/>
        <w:autoSpaceDE w:val="0"/>
        <w:autoSpaceDN w:val="0"/>
        <w:snapToGrid w:val="0"/>
        <w:spacing w:beforeLines="0" w:afterLines="0" w:line="360" w:lineRule="auto"/>
        <w:ind w:firstLine="480" w:firstLineChars="200"/>
        <w:rPr>
          <w:rFonts w:ascii="仿宋" w:hAnsi="仿宋" w:eastAsia="仿宋" w:cs="仿宋"/>
          <w:color w:val="auto"/>
          <w:kern w:val="0"/>
          <w:sz w:val="24"/>
          <w:highlight w:val="none"/>
        </w:rPr>
      </w:pPr>
    </w:p>
    <w:p w14:paraId="63859E5E">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0CF2EFE9">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15D24F86">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35209BB3">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5613C4CC">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8E07EF">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ED24CD8">
      <w:pPr>
        <w:pStyle w:val="4"/>
        <w:bidi w:val="0"/>
        <w:jc w:val="left"/>
        <w:rPr>
          <w:rFonts w:ascii="仿宋" w:hAnsi="仿宋" w:eastAsia="仿宋" w:cs="仿宋"/>
          <w:b/>
          <w:bCs/>
          <w:color w:val="auto"/>
          <w:sz w:val="32"/>
          <w:szCs w:val="32"/>
          <w:highlight w:val="none"/>
        </w:rPr>
      </w:pPr>
      <w:bookmarkStart w:id="613" w:name="_Toc23962"/>
      <w:bookmarkStart w:id="614" w:name="_Toc31030"/>
      <w:bookmarkStart w:id="615" w:name="_Toc10529"/>
      <w:bookmarkStart w:id="616" w:name="_Toc1904"/>
      <w:bookmarkStart w:id="617" w:name="_Toc18469"/>
      <w:bookmarkStart w:id="618" w:name="_Toc13051"/>
      <w:bookmarkStart w:id="619" w:name="_Toc23867"/>
      <w:bookmarkStart w:id="620" w:name="_Toc25308"/>
      <w:bookmarkStart w:id="621" w:name="_Toc29318"/>
      <w:bookmarkStart w:id="622" w:name="_Toc3992"/>
      <w:bookmarkStart w:id="623" w:name="_Toc32513"/>
      <w:bookmarkStart w:id="624" w:name="_Toc30868"/>
      <w:bookmarkStart w:id="625" w:name="_Toc29153"/>
      <w:bookmarkStart w:id="626" w:name="_Toc3962"/>
      <w:bookmarkStart w:id="627" w:name="_Toc26897"/>
      <w:bookmarkStart w:id="628" w:name="_Toc31060"/>
      <w:bookmarkStart w:id="629" w:name="_Toc2793"/>
      <w:bookmarkStart w:id="630" w:name="_Toc7222"/>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13"/>
      <w:bookmarkEnd w:id="614"/>
      <w:bookmarkEnd w:id="615"/>
      <w:bookmarkEnd w:id="616"/>
      <w:bookmarkEnd w:id="617"/>
      <w:bookmarkEnd w:id="618"/>
      <w:bookmarkEnd w:id="619"/>
      <w:bookmarkEnd w:id="620"/>
      <w:bookmarkEnd w:id="621"/>
    </w:p>
    <w:p w14:paraId="18707826">
      <w:pPr>
        <w:wordWrap w:val="0"/>
        <w:snapToGrid w:val="0"/>
        <w:spacing w:beforeLines="0" w:afterLines="0" w:line="360" w:lineRule="auto"/>
        <w:jc w:val="center"/>
        <w:rPr>
          <w:rFonts w:ascii="仿宋" w:hAnsi="仿宋" w:eastAsia="仿宋" w:cs="仿宋"/>
          <w:color w:val="auto"/>
          <w:sz w:val="24"/>
          <w:highlight w:val="none"/>
          <w:u w:val="single"/>
        </w:rPr>
      </w:pPr>
    </w:p>
    <w:p w14:paraId="40F5CC7D">
      <w:pPr>
        <w:wordWrap w:val="0"/>
        <w:snapToGrid w:val="0"/>
        <w:spacing w:beforeLines="0" w:afterLines="0" w:line="360" w:lineRule="auto"/>
        <w:jc w:val="center"/>
        <w:rPr>
          <w:rFonts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14:paraId="0921DCFC">
      <w:pPr>
        <w:wordWrap w:val="0"/>
        <w:snapToGrid w:val="0"/>
        <w:spacing w:beforeLines="0" w:afterLines="0"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杭州市拱墅区人民政府天水街道办事处</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2025年度天水街道企退自管小组文体活动的执行单位采购项目</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0C191A25">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u w:val="single"/>
          <w:lang w:val="zh-CN"/>
        </w:rPr>
        <w:t>2025年度天水街道企退自管小组文体活动的执行单位采购项目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72DAAA7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14:paraId="766B3400">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2025年度天水街道企退自管小组文体活动的执行单位采购项目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5155C8B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若中标</w:t>
      </w:r>
      <w:r>
        <w:rPr>
          <w:rFonts w:hint="eastAsia" w:ascii="仿宋" w:hAnsi="仿宋" w:eastAsia="仿宋" w:cs="仿宋"/>
          <w:color w:val="auto"/>
          <w:sz w:val="24"/>
          <w:highlight w:val="none"/>
          <w:lang w:val="en-US" w:eastAsia="zh-CN" w:bidi="ar"/>
        </w:rPr>
        <w:t>后</w:t>
      </w:r>
      <w:r>
        <w:rPr>
          <w:rFonts w:hint="eastAsia" w:ascii="仿宋" w:hAnsi="仿宋" w:eastAsia="仿宋" w:cs="仿宋"/>
          <w:color w:val="auto"/>
          <w:sz w:val="24"/>
          <w:highlight w:val="none"/>
          <w:lang w:bidi="ar"/>
        </w:rPr>
        <w:t>拟定分包的，分包企业为中小企业的填写分包企业的情况：</w:t>
      </w:r>
    </w:p>
    <w:p w14:paraId="792EB753">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2025年度天水街道企退自管小组文体活动的执行单位采购项目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C2B9E17">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kern w:val="0"/>
          <w:sz w:val="24"/>
          <w:highlight w:val="none"/>
          <w:u w:val="single"/>
          <w:lang w:val="zh-CN"/>
        </w:rPr>
        <w:t>2025年度天水街道企退自管小组文体活动的执行单位采购项目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4F00E0CC">
      <w:pPr>
        <w:wordWrap w:val="0"/>
        <w:snapToGrid w:val="0"/>
        <w:spacing w:beforeLines="0" w:afterLines="0" w:line="360" w:lineRule="auto"/>
        <w:ind w:firstLine="480" w:firstLineChars="200"/>
        <w:jc w:val="left"/>
        <w:rPr>
          <w:rFonts w:ascii="仿宋" w:hAnsi="仿宋" w:eastAsia="仿宋" w:cs="仿宋"/>
          <w:color w:val="auto"/>
          <w:sz w:val="24"/>
          <w:highlight w:val="none"/>
        </w:rPr>
      </w:pPr>
    </w:p>
    <w:p w14:paraId="596EE197">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2051B2B">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8121A8F">
      <w:pPr>
        <w:wordWrap w:val="0"/>
        <w:snapToGrid w:val="0"/>
        <w:spacing w:beforeLines="0" w:afterLines="0"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2506025">
      <w:pPr>
        <w:wordWrap w:val="0"/>
        <w:snapToGrid w:val="0"/>
        <w:spacing w:beforeLines="0" w:afterLines="0"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47B05BC0">
      <w:pPr>
        <w:wordWrap w:val="0"/>
        <w:snapToGrid w:val="0"/>
        <w:spacing w:beforeLines="0" w:afterLines="0"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7B503EE">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注：1.填写要求：①“标的名称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32EC2FF1">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color w:val="auto"/>
          <w:sz w:val="24"/>
          <w:highlight w:val="none"/>
          <w:lang w:eastAsia="zh-CN"/>
        </w:rPr>
        <w:t>〔2014〕68号</w:t>
      </w:r>
      <w:r>
        <w:rPr>
          <w:rFonts w:hint="eastAsia" w:ascii="仿宋" w:hAnsi="仿宋" w:eastAsia="仿宋" w:cs="仿宋"/>
          <w:color w:val="auto"/>
          <w:sz w:val="24"/>
          <w:highlight w:val="none"/>
        </w:rPr>
        <w:t>）的规定，投标人提供由省级以上监狱管理局、戒毒管理局（含新疆生产建设兵团）出具的属于监狱企业证明文件的，视同为小型和微型企业。</w:t>
      </w:r>
    </w:p>
    <w:p w14:paraId="23E58E59">
      <w:pPr>
        <w:wordWrap w:val="0"/>
        <w:snapToGrid w:val="0"/>
        <w:spacing w:beforeLines="0" w:afterLines="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14:paraId="5328DD30">
      <w:pPr>
        <w:wordWrap w:val="0"/>
        <w:snapToGrid w:val="0"/>
        <w:spacing w:beforeLines="0" w:afterLines="0" w:line="360" w:lineRule="auto"/>
        <w:ind w:firstLine="482" w:firstLineChars="200"/>
        <w:rPr>
          <w:rFonts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14:paraId="62547229">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D00B75C">
      <w:pPr>
        <w:pStyle w:val="4"/>
        <w:bidi w:val="0"/>
        <w:jc w:val="left"/>
      </w:pPr>
      <w:r>
        <w:rPr>
          <w:rFonts w:hint="eastAsia"/>
        </w:rPr>
        <w:t>附件7</w:t>
      </w:r>
      <w:bookmarkEnd w:id="622"/>
      <w:bookmarkEnd w:id="623"/>
      <w:bookmarkEnd w:id="624"/>
      <w:r>
        <w:rPr>
          <w:rFonts w:hint="eastAsia"/>
        </w:rPr>
        <w:t xml:space="preserve"> 分包意向协议</w:t>
      </w:r>
      <w:bookmarkEnd w:id="625"/>
      <w:bookmarkEnd w:id="626"/>
      <w:bookmarkEnd w:id="627"/>
      <w:bookmarkEnd w:id="628"/>
      <w:bookmarkEnd w:id="629"/>
      <w:bookmarkEnd w:id="630"/>
    </w:p>
    <w:p w14:paraId="777A68BF">
      <w:pPr>
        <w:wordWrap w:val="0"/>
        <w:snapToGrid w:val="0"/>
        <w:spacing w:beforeLines="0" w:afterLines="0"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0BA527F7">
      <w:pPr>
        <w:wordWrap w:val="0"/>
        <w:snapToGrid w:val="0"/>
        <w:spacing w:beforeLines="0" w:afterLines="0"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5E45BD50">
      <w:pPr>
        <w:widowControl/>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灭四害、隔油池烟道清洗工作分包。若非主体、非关键性工作已由联合体成员承担的，则不允许分包。分包份额不得超过总包单位。投标人中标后以分包方式履行合同的，提供分包意向协议；不以分包方式履行合同的，则无需提供）</w:t>
      </w:r>
    </w:p>
    <w:p w14:paraId="3DF18161">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2025年度天水街道企退自管小组文体活动的执行单位采购项目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ZHDL2025-TSJD-03</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7DA9B85">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24AC81E">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DDA33C4">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49EA75BA">
      <w:pPr>
        <w:wordWrap w:val="0"/>
        <w:snapToGrid w:val="0"/>
        <w:spacing w:beforeLines="0" w:afterLines="0"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8B2561B">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39FBB15E">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1EB0F12">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4195DE3C">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9D94659">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B0C6310">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1B60832">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BB81088">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664C88">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4C2FA19C">
      <w:pPr>
        <w:wordWrap w:val="0"/>
        <w:snapToGrid w:val="0"/>
        <w:spacing w:beforeLines="0" w:afterLines="0" w:line="360" w:lineRule="auto"/>
        <w:ind w:firstLine="720" w:firstLineChars="3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DBDEE12">
      <w:pPr>
        <w:wordWrap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E13BC64">
      <w:pPr>
        <w:wordWrap w:val="0"/>
        <w:snapToGrid w:val="0"/>
        <w:spacing w:beforeLines="0" w:afterLines="0" w:line="360" w:lineRule="auto"/>
        <w:ind w:left="5746" w:leftChars="2622" w:hanging="240" w:hanging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67464076">
      <w:pPr>
        <w:wordWrap w:val="0"/>
        <w:snapToGrid w:val="0"/>
        <w:spacing w:beforeLines="0" w:afterLines="0" w:line="360" w:lineRule="auto"/>
        <w:ind w:firstLine="4800" w:firstLine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4D411827">
      <w:pPr>
        <w:wordWrap w:val="0"/>
        <w:snapToGrid w:val="0"/>
        <w:spacing w:beforeLines="0" w:afterLines="0"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01E7445">
      <w:pPr>
        <w:pStyle w:val="62"/>
        <w:wordWrap w:val="0"/>
        <w:snapToGrid w:val="0"/>
        <w:spacing w:beforeLines="0" w:after="0" w:afterLines="0" w:line="360" w:lineRule="auto"/>
        <w:ind w:firstLine="480"/>
        <w:rPr>
          <w:rFonts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307D1370">
      <w:pPr>
        <w:wordWrap w:val="0"/>
        <w:snapToGrid w:val="0"/>
        <w:spacing w:beforeLines="0" w:afterLines="0" w:line="360" w:lineRule="auto"/>
        <w:rPr>
          <w:rFonts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08AD8BC9">
      <w:pPr>
        <w:snapToGrid w:val="0"/>
        <w:spacing w:beforeLines="0" w:afterLines="0" w:line="360" w:lineRule="auto"/>
        <w:rPr>
          <w:rFonts w:hint="eastAsia" w:ascii="仿宋" w:hAnsi="仿宋" w:eastAsia="仿宋" w:cs="仿宋"/>
          <w:color w:val="auto"/>
          <w:highlight w:val="none"/>
        </w:rPr>
      </w:pPr>
    </w:p>
    <w:sectPr>
      <w:pgSz w:w="11905" w:h="16838"/>
      <w:pgMar w:top="652" w:right="1417" w:bottom="680" w:left="1417" w:header="539" w:footer="425"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504020202030204"/>
    <w:charset w:val="00"/>
    <w:family w:val="decorative"/>
    <w:pitch w:val="default"/>
    <w:sig w:usb0="00000000" w:usb1="00000000" w:usb2="00000000" w:usb3="00000000" w:csb0="00000093" w:csb1="00000000"/>
  </w:font>
  <w:font w:name="Futura Bk">
    <w:altName w:val="Segoe Print"/>
    <w:panose1 w:val="00000000000000000000"/>
    <w:charset w:val="00"/>
    <w:family w:val="moder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roman"/>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Times New Roman"/>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swiss"/>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moder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367F">
    <w:pPr>
      <w:pStyle w:val="40"/>
      <w:framePr w:wrap="around" w:vAnchor="text" w:hAnchor="margin" w:xAlign="right" w:y="1"/>
      <w:rPr>
        <w:rStyle w:val="73"/>
      </w:rPr>
    </w:pPr>
    <w:r>
      <w:fldChar w:fldCharType="begin"/>
    </w:r>
    <w:r>
      <w:rPr>
        <w:rStyle w:val="73"/>
      </w:rPr>
      <w:instrText xml:space="preserve">PAGE  </w:instrText>
    </w:r>
    <w:r>
      <w:fldChar w:fldCharType="end"/>
    </w:r>
  </w:p>
  <w:p w14:paraId="45D57E8D">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1261">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1AAF6">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31AAF6">
                    <w:pPr>
                      <w:pStyle w:val="40"/>
                    </w:pPr>
                    <w:r>
                      <w:fldChar w:fldCharType="begin"/>
                    </w:r>
                    <w:r>
                      <w:instrText xml:space="preserve"> PAGE  \* MERGEFORMAT </w:instrText>
                    </w:r>
                    <w:r>
                      <w:fldChar w:fldCharType="separate"/>
                    </w:r>
                    <w:r>
                      <w:t>49</w:t>
                    </w:r>
                    <w:r>
                      <w:fldChar w:fldCharType="end"/>
                    </w:r>
                  </w:p>
                </w:txbxContent>
              </v:textbox>
            </v:shape>
          </w:pict>
        </mc:Fallback>
      </mc:AlternateContent>
    </w:r>
  </w:p>
  <w:p w14:paraId="495C6DE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71A2">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254EC">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1254EC">
                    <w:pPr>
                      <w:pStyle w:val="40"/>
                    </w:pPr>
                    <w:r>
                      <w:fldChar w:fldCharType="begin"/>
                    </w:r>
                    <w:r>
                      <w:instrText xml:space="preserve"> PAGE  \* MERGEFORMAT </w:instrText>
                    </w:r>
                    <w:r>
                      <w:fldChar w:fldCharType="separate"/>
                    </w:r>
                    <w:r>
                      <w:t>48</w:t>
                    </w:r>
                    <w:r>
                      <w:fldChar w:fldCharType="end"/>
                    </w:r>
                  </w:p>
                </w:txbxContent>
              </v:textbox>
            </v:shape>
          </w:pict>
        </mc:Fallback>
      </mc:AlternateContent>
    </w:r>
  </w:p>
  <w:p w14:paraId="4833BC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2E92">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BACF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81BACFB">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22DA6D5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7034E">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85FF2">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5785FF2">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D7736">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6AB87">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8A6AB87">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36ED">
    <w:pPr>
      <w:pStyle w:val="40"/>
      <w:framePr w:wrap="around" w:vAnchor="text" w:hAnchor="margin" w:xAlign="right" w:y="1"/>
      <w:rPr>
        <w:rStyle w:val="73"/>
      </w:rPr>
    </w:pPr>
    <w:r>
      <w:fldChar w:fldCharType="begin"/>
    </w:r>
    <w:r>
      <w:rPr>
        <w:rStyle w:val="73"/>
      </w:rPr>
      <w:instrText xml:space="preserve">PAGE  </w:instrText>
    </w:r>
    <w:r>
      <w:fldChar w:fldCharType="separate"/>
    </w:r>
    <w:r>
      <w:rPr>
        <w:rStyle w:val="73"/>
      </w:rPr>
      <w:t>35</w:t>
    </w:r>
    <w:r>
      <w:fldChar w:fldCharType="end"/>
    </w:r>
  </w:p>
  <w:p w14:paraId="01E90A6B">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4B80">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87B38">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3487B38">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9B02">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5D3DA">
    <w:pPr>
      <w:pStyle w:val="40"/>
      <w:jc w:val="center"/>
      <w:rPr>
        <w:rFonts w:hint="eastAsia" w:eastAsia="宋体"/>
        <w:lang w:val="en-US" w:eastAsia="zh-CN"/>
      </w:rPr>
    </w:pPr>
    <w:r>
      <w:rPr>
        <w:rFonts w:hint="eastAsia"/>
        <w:lang w:val="en-US" w:eastAsia="zh-CN"/>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6A48">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57B3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E57B3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6F88">
    <w:pPr>
      <w:pStyle w:val="40"/>
      <w:jc w:val="center"/>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72DC2">
                          <w:pPr>
                            <w:pStyle w:val="4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072DC2">
                    <w:pPr>
                      <w:pStyle w:val="4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7E39">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1698C">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21698C">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8176">
    <w:pPr>
      <w:pStyle w:val="40"/>
      <w:jc w:val="center"/>
      <w:rPr>
        <w:rFonts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0A894">
                          <w:pPr>
                            <w:pStyle w:val="4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A0A894">
                    <w:pPr>
                      <w:pStyle w:val="4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8D6A">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90E37">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D90E37">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87FF">
    <w:pPr>
      <w:ind w:firstLine="480"/>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67394">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467394">
                    <w:pPr>
                      <w:pStyle w:val="4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2002">
    <w:pPr>
      <w:pStyle w:val="41"/>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6A8B">
    <w:pPr>
      <w:pStyle w:val="41"/>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0C14">
    <w:pPr>
      <w:pStyle w:val="41"/>
      <w:pBdr>
        <w:bottom w:val="none" w:color="auto" w:sz="0" w:space="1"/>
      </w:pBd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D33E">
    <w:pPr>
      <w:pStyle w:val="41"/>
      <w:pBdr>
        <w:bottom w:val="none" w:color="auto" w:sz="0" w:space="1"/>
      </w:pBdr>
      <w:ind w:firstLine="360"/>
      <w:rPr>
        <w:rFonts w:ascii="仿宋_GB2312" w:eastAsia="仿宋_GB2312"/>
        <w:b/>
        <w:bCs/>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4062">
    <w:pPr>
      <w:pStyle w:val="41"/>
      <w:pBdr>
        <w:bottom w:val="none" w:color="auto" w:sz="0" w:space="1"/>
      </w:pBdr>
      <w:rPr>
        <w:rFonts w:ascii="仿宋_GB2312" w:eastAsia="仿宋_GB2312"/>
        <w:b/>
        <w:i/>
        <w:u w:val="single"/>
      </w:rPr>
    </w:pPr>
    <w:r>
      <w:t></w:t>
    </w:r>
    <w:r>
      <w:rPr>
        <w:rFonts w:hint="eastAsia"/>
      </w:rPr>
      <w:t xml:space="preserve">  </w:t>
    </w:r>
  </w:p>
  <w:p w14:paraId="2D39F7E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60651">
    <w:pPr>
      <w:pStyle w:val="41"/>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4C55">
    <w:pPr>
      <w:pStyle w:val="41"/>
      <w:pBdr>
        <w:bottom w:val="none" w:color="auto" w:sz="0" w:space="1"/>
      </w:pBdr>
      <w:jc w:val="right"/>
      <w:rPr>
        <w:rFonts w:ascii="仿宋_GB2312" w:eastAsia="仿宋_GB2312"/>
        <w:b/>
        <w:i/>
        <w:u w:val="single"/>
      </w:rPr>
    </w:pPr>
    <w:r>
      <w:rPr>
        <w:rFonts w:hint="eastAsia"/>
      </w:rPr>
      <w:t xml:space="preserve">                                 </w:t>
    </w:r>
  </w:p>
  <w:p w14:paraId="79DF2E2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A060">
    <w:pPr>
      <w:pStyle w:val="41"/>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C36A">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C6C902EB"/>
    <w:multiLevelType w:val="singleLevel"/>
    <w:tmpl w:val="C6C902EB"/>
    <w:lvl w:ilvl="0" w:tentative="0">
      <w:start w:val="16"/>
      <w:numFmt w:val="decimal"/>
      <w:suff w:val="space"/>
      <w:lvlText w:val="%1."/>
      <w:lvlJc w:val="left"/>
    </w:lvl>
  </w:abstractNum>
  <w:abstractNum w:abstractNumId="3">
    <w:nsid w:val="EFAD5367"/>
    <w:multiLevelType w:val="singleLevel"/>
    <w:tmpl w:val="EFAD5367"/>
    <w:lvl w:ilvl="0" w:tentative="0">
      <w:start w:val="5"/>
      <w:numFmt w:val="chineseCounting"/>
      <w:suff w:val="space"/>
      <w:lvlText w:val="第%1部分"/>
      <w:lvlJc w:val="left"/>
      <w:rPr>
        <w:rFonts w:hint="eastAsia"/>
        <w:sz w:val="36"/>
        <w:szCs w:val="36"/>
      </w:rPr>
    </w:lvl>
  </w:abstractNum>
  <w:abstractNum w:abstractNumId="4">
    <w:nsid w:val="FE000763"/>
    <w:multiLevelType w:val="singleLevel"/>
    <w:tmpl w:val="FE000763"/>
    <w:lvl w:ilvl="0" w:tentative="0">
      <w:start w:val="8"/>
      <w:numFmt w:val="decimal"/>
      <w:suff w:val="space"/>
      <w:lvlText w:val="%1."/>
      <w:lvlJc w:val="left"/>
    </w:lvl>
  </w:abstractNum>
  <w:abstractNum w:abstractNumId="5">
    <w:nsid w:val="34238E1B"/>
    <w:multiLevelType w:val="singleLevel"/>
    <w:tmpl w:val="34238E1B"/>
    <w:lvl w:ilvl="0" w:tentative="0">
      <w:start w:val="27"/>
      <w:numFmt w:val="decimal"/>
      <w:suff w:val="space"/>
      <w:lvlText w:val="%1."/>
      <w:lvlJc w:val="left"/>
    </w:lvl>
  </w:abstractNum>
  <w:abstractNum w:abstractNumId="6">
    <w:nsid w:val="7625C79A"/>
    <w:multiLevelType w:val="singleLevel"/>
    <w:tmpl w:val="7625C79A"/>
    <w:lvl w:ilvl="0" w:tentative="0">
      <w:start w:val="2"/>
      <w:numFmt w:val="decimal"/>
      <w:suff w:val="space"/>
      <w:lvlText w:val="%1."/>
      <w:lvlJc w:val="left"/>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C7"/>
    <w:rsid w:val="000E4765"/>
    <w:rsid w:val="000E5B7E"/>
    <w:rsid w:val="000E5FF9"/>
    <w:rsid w:val="000E6AE1"/>
    <w:rsid w:val="000E7142"/>
    <w:rsid w:val="000E7632"/>
    <w:rsid w:val="000E7737"/>
    <w:rsid w:val="000E7739"/>
    <w:rsid w:val="000E77EE"/>
    <w:rsid w:val="000F1604"/>
    <w:rsid w:val="000F1EE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43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2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393"/>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28E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92"/>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D1F"/>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BFF"/>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D52"/>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EF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1F"/>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1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CC9"/>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63"/>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F7441"/>
    <w:rsid w:val="01A00C66"/>
    <w:rsid w:val="01B37585"/>
    <w:rsid w:val="01C240D6"/>
    <w:rsid w:val="01D55165"/>
    <w:rsid w:val="01DF6BF8"/>
    <w:rsid w:val="01EB4811"/>
    <w:rsid w:val="01EC2C57"/>
    <w:rsid w:val="02284DF1"/>
    <w:rsid w:val="02392050"/>
    <w:rsid w:val="026B2E25"/>
    <w:rsid w:val="02824D4D"/>
    <w:rsid w:val="029576BA"/>
    <w:rsid w:val="029C2A86"/>
    <w:rsid w:val="02DA6776"/>
    <w:rsid w:val="02DC4B10"/>
    <w:rsid w:val="02DD76CE"/>
    <w:rsid w:val="02F36323"/>
    <w:rsid w:val="02F5619C"/>
    <w:rsid w:val="03222B47"/>
    <w:rsid w:val="0326446A"/>
    <w:rsid w:val="032D5555"/>
    <w:rsid w:val="033301DC"/>
    <w:rsid w:val="0336740B"/>
    <w:rsid w:val="036634D2"/>
    <w:rsid w:val="036916A9"/>
    <w:rsid w:val="03885263"/>
    <w:rsid w:val="03B629A7"/>
    <w:rsid w:val="03C75283"/>
    <w:rsid w:val="03DD35E4"/>
    <w:rsid w:val="03FC5F2A"/>
    <w:rsid w:val="04076900"/>
    <w:rsid w:val="041A5A3B"/>
    <w:rsid w:val="0421121E"/>
    <w:rsid w:val="042311BA"/>
    <w:rsid w:val="042B157A"/>
    <w:rsid w:val="043E286E"/>
    <w:rsid w:val="044B421A"/>
    <w:rsid w:val="04596E97"/>
    <w:rsid w:val="046C5C2A"/>
    <w:rsid w:val="048F763B"/>
    <w:rsid w:val="049E721D"/>
    <w:rsid w:val="049F330E"/>
    <w:rsid w:val="04AA775C"/>
    <w:rsid w:val="04AF1889"/>
    <w:rsid w:val="04DD5D12"/>
    <w:rsid w:val="04F66F48"/>
    <w:rsid w:val="050909BB"/>
    <w:rsid w:val="0522318E"/>
    <w:rsid w:val="05251E14"/>
    <w:rsid w:val="052845F3"/>
    <w:rsid w:val="05560C2A"/>
    <w:rsid w:val="0559183C"/>
    <w:rsid w:val="055D2919"/>
    <w:rsid w:val="05A16594"/>
    <w:rsid w:val="05A7762D"/>
    <w:rsid w:val="05D05C61"/>
    <w:rsid w:val="060E5941"/>
    <w:rsid w:val="06110FAF"/>
    <w:rsid w:val="06493CA7"/>
    <w:rsid w:val="065A6178"/>
    <w:rsid w:val="06623713"/>
    <w:rsid w:val="066F1CF3"/>
    <w:rsid w:val="06930BB8"/>
    <w:rsid w:val="069F3F4E"/>
    <w:rsid w:val="069F5756"/>
    <w:rsid w:val="069F594B"/>
    <w:rsid w:val="06B75E22"/>
    <w:rsid w:val="06C748BA"/>
    <w:rsid w:val="06D23550"/>
    <w:rsid w:val="06D620B4"/>
    <w:rsid w:val="07245D42"/>
    <w:rsid w:val="07264C62"/>
    <w:rsid w:val="0730481D"/>
    <w:rsid w:val="0779354C"/>
    <w:rsid w:val="077A1300"/>
    <w:rsid w:val="07B503AE"/>
    <w:rsid w:val="07E05F45"/>
    <w:rsid w:val="07FE23B9"/>
    <w:rsid w:val="08061376"/>
    <w:rsid w:val="08163393"/>
    <w:rsid w:val="08452D77"/>
    <w:rsid w:val="086401F8"/>
    <w:rsid w:val="08751CAA"/>
    <w:rsid w:val="087E4C40"/>
    <w:rsid w:val="089A6C96"/>
    <w:rsid w:val="08D66AD6"/>
    <w:rsid w:val="08DA33A3"/>
    <w:rsid w:val="08E80F13"/>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9E242E3"/>
    <w:rsid w:val="0A0E0E57"/>
    <w:rsid w:val="0A1C0718"/>
    <w:rsid w:val="0A3C352D"/>
    <w:rsid w:val="0A3E7710"/>
    <w:rsid w:val="0A4F17FF"/>
    <w:rsid w:val="0A5B7E63"/>
    <w:rsid w:val="0A5C24C6"/>
    <w:rsid w:val="0A627D5C"/>
    <w:rsid w:val="0A67494D"/>
    <w:rsid w:val="0A695A93"/>
    <w:rsid w:val="0A99714B"/>
    <w:rsid w:val="0AA374A5"/>
    <w:rsid w:val="0AAB7649"/>
    <w:rsid w:val="0AB9580F"/>
    <w:rsid w:val="0ABC5606"/>
    <w:rsid w:val="0AC20964"/>
    <w:rsid w:val="0B30404E"/>
    <w:rsid w:val="0B4C6C14"/>
    <w:rsid w:val="0B5E5DFE"/>
    <w:rsid w:val="0B631A88"/>
    <w:rsid w:val="0B683D45"/>
    <w:rsid w:val="0B7F3F11"/>
    <w:rsid w:val="0B884417"/>
    <w:rsid w:val="0BB40AED"/>
    <w:rsid w:val="0BCE0FAA"/>
    <w:rsid w:val="0BD15D72"/>
    <w:rsid w:val="0BF6188C"/>
    <w:rsid w:val="0BF73C91"/>
    <w:rsid w:val="0C0A482C"/>
    <w:rsid w:val="0C170175"/>
    <w:rsid w:val="0C571A41"/>
    <w:rsid w:val="0C5C1171"/>
    <w:rsid w:val="0C5E1CBC"/>
    <w:rsid w:val="0C615B50"/>
    <w:rsid w:val="0C812B51"/>
    <w:rsid w:val="0C8445DA"/>
    <w:rsid w:val="0C87121B"/>
    <w:rsid w:val="0CB007AA"/>
    <w:rsid w:val="0CC007F7"/>
    <w:rsid w:val="0CCE74AD"/>
    <w:rsid w:val="0CD53211"/>
    <w:rsid w:val="0CFE707A"/>
    <w:rsid w:val="0D063BDA"/>
    <w:rsid w:val="0D08375F"/>
    <w:rsid w:val="0D184CFB"/>
    <w:rsid w:val="0D4A7419"/>
    <w:rsid w:val="0D7875D9"/>
    <w:rsid w:val="0D827401"/>
    <w:rsid w:val="0D84094E"/>
    <w:rsid w:val="0D8A00E9"/>
    <w:rsid w:val="0D8D589E"/>
    <w:rsid w:val="0D984282"/>
    <w:rsid w:val="0DA01C73"/>
    <w:rsid w:val="0DD63300"/>
    <w:rsid w:val="0DF50604"/>
    <w:rsid w:val="0DF702FE"/>
    <w:rsid w:val="0E060E51"/>
    <w:rsid w:val="0E0E274D"/>
    <w:rsid w:val="0E410F89"/>
    <w:rsid w:val="0E5604B2"/>
    <w:rsid w:val="0E5C7DF2"/>
    <w:rsid w:val="0E6D5D79"/>
    <w:rsid w:val="0E9D0089"/>
    <w:rsid w:val="0EB803EE"/>
    <w:rsid w:val="0ECE7001"/>
    <w:rsid w:val="0EF94D4B"/>
    <w:rsid w:val="0F12144F"/>
    <w:rsid w:val="0F2928DC"/>
    <w:rsid w:val="0F4958DC"/>
    <w:rsid w:val="0F4E001C"/>
    <w:rsid w:val="0F515DF7"/>
    <w:rsid w:val="0F56503F"/>
    <w:rsid w:val="0F596BA8"/>
    <w:rsid w:val="0F6248D2"/>
    <w:rsid w:val="0F6600DC"/>
    <w:rsid w:val="0F693536"/>
    <w:rsid w:val="0F7B0511"/>
    <w:rsid w:val="0F7B76D9"/>
    <w:rsid w:val="0F816ACD"/>
    <w:rsid w:val="0F9832DB"/>
    <w:rsid w:val="0FBF3FD2"/>
    <w:rsid w:val="0FBF7FF3"/>
    <w:rsid w:val="10150A56"/>
    <w:rsid w:val="102313C5"/>
    <w:rsid w:val="10646583"/>
    <w:rsid w:val="10770C3A"/>
    <w:rsid w:val="107D4B15"/>
    <w:rsid w:val="108A3C80"/>
    <w:rsid w:val="1097590F"/>
    <w:rsid w:val="10A17219"/>
    <w:rsid w:val="10A673BF"/>
    <w:rsid w:val="10AF7152"/>
    <w:rsid w:val="10C26171"/>
    <w:rsid w:val="10E16B8A"/>
    <w:rsid w:val="10F33360"/>
    <w:rsid w:val="10FC16EA"/>
    <w:rsid w:val="110F1D40"/>
    <w:rsid w:val="11266F33"/>
    <w:rsid w:val="115E6AF7"/>
    <w:rsid w:val="116374F7"/>
    <w:rsid w:val="118963A1"/>
    <w:rsid w:val="11916802"/>
    <w:rsid w:val="11C6522A"/>
    <w:rsid w:val="11CC0423"/>
    <w:rsid w:val="11DB01A5"/>
    <w:rsid w:val="11E104CC"/>
    <w:rsid w:val="11E20309"/>
    <w:rsid w:val="11E44981"/>
    <w:rsid w:val="12255233"/>
    <w:rsid w:val="12530213"/>
    <w:rsid w:val="12594386"/>
    <w:rsid w:val="126A32DB"/>
    <w:rsid w:val="127723A9"/>
    <w:rsid w:val="1277795B"/>
    <w:rsid w:val="12862074"/>
    <w:rsid w:val="1288040F"/>
    <w:rsid w:val="12883966"/>
    <w:rsid w:val="129E45B4"/>
    <w:rsid w:val="12A871B9"/>
    <w:rsid w:val="12A96255"/>
    <w:rsid w:val="12C25741"/>
    <w:rsid w:val="12D22C2E"/>
    <w:rsid w:val="12D81596"/>
    <w:rsid w:val="12EF75D8"/>
    <w:rsid w:val="12FB0490"/>
    <w:rsid w:val="13072A44"/>
    <w:rsid w:val="133B576B"/>
    <w:rsid w:val="135F4BE2"/>
    <w:rsid w:val="138438B5"/>
    <w:rsid w:val="139B107F"/>
    <w:rsid w:val="139B1A0A"/>
    <w:rsid w:val="139D25C7"/>
    <w:rsid w:val="13BF3CE4"/>
    <w:rsid w:val="1403455A"/>
    <w:rsid w:val="141008D8"/>
    <w:rsid w:val="14125FE6"/>
    <w:rsid w:val="14156DE5"/>
    <w:rsid w:val="144E2788"/>
    <w:rsid w:val="146D271E"/>
    <w:rsid w:val="147B1ABD"/>
    <w:rsid w:val="14931BE5"/>
    <w:rsid w:val="14982588"/>
    <w:rsid w:val="149A5AD9"/>
    <w:rsid w:val="14A7619D"/>
    <w:rsid w:val="14AA11A2"/>
    <w:rsid w:val="14BD159F"/>
    <w:rsid w:val="15026880"/>
    <w:rsid w:val="150536C3"/>
    <w:rsid w:val="150C1963"/>
    <w:rsid w:val="151447A0"/>
    <w:rsid w:val="154A6454"/>
    <w:rsid w:val="15611DD0"/>
    <w:rsid w:val="156F6E5A"/>
    <w:rsid w:val="15762120"/>
    <w:rsid w:val="1592490D"/>
    <w:rsid w:val="15C50FB0"/>
    <w:rsid w:val="15EF4C28"/>
    <w:rsid w:val="16106893"/>
    <w:rsid w:val="16331AEA"/>
    <w:rsid w:val="163B6E92"/>
    <w:rsid w:val="16504E7A"/>
    <w:rsid w:val="1667132F"/>
    <w:rsid w:val="167B4954"/>
    <w:rsid w:val="16822B68"/>
    <w:rsid w:val="168C3051"/>
    <w:rsid w:val="16A8729C"/>
    <w:rsid w:val="16B33193"/>
    <w:rsid w:val="16B33777"/>
    <w:rsid w:val="16B8356E"/>
    <w:rsid w:val="16BC70A7"/>
    <w:rsid w:val="16C6339E"/>
    <w:rsid w:val="17125209"/>
    <w:rsid w:val="172C16AC"/>
    <w:rsid w:val="172F2D79"/>
    <w:rsid w:val="17557BEF"/>
    <w:rsid w:val="179C00EE"/>
    <w:rsid w:val="17A96398"/>
    <w:rsid w:val="17D349C1"/>
    <w:rsid w:val="17EA5838"/>
    <w:rsid w:val="1830729E"/>
    <w:rsid w:val="1870062C"/>
    <w:rsid w:val="18817102"/>
    <w:rsid w:val="18830A15"/>
    <w:rsid w:val="18852B28"/>
    <w:rsid w:val="188B5321"/>
    <w:rsid w:val="18D55226"/>
    <w:rsid w:val="19006747"/>
    <w:rsid w:val="193261D5"/>
    <w:rsid w:val="19786FBD"/>
    <w:rsid w:val="19932372"/>
    <w:rsid w:val="19994DF7"/>
    <w:rsid w:val="19A20DD5"/>
    <w:rsid w:val="19AE03F1"/>
    <w:rsid w:val="19B33B02"/>
    <w:rsid w:val="19B962C2"/>
    <w:rsid w:val="19C80964"/>
    <w:rsid w:val="19CA4296"/>
    <w:rsid w:val="19D62168"/>
    <w:rsid w:val="19DA04BD"/>
    <w:rsid w:val="19EB547F"/>
    <w:rsid w:val="1A071A03"/>
    <w:rsid w:val="1A0B04A0"/>
    <w:rsid w:val="1A1F16AE"/>
    <w:rsid w:val="1A3B5C77"/>
    <w:rsid w:val="1A4735B7"/>
    <w:rsid w:val="1A984BAD"/>
    <w:rsid w:val="1AB8220E"/>
    <w:rsid w:val="1ADE66E9"/>
    <w:rsid w:val="1AE4166C"/>
    <w:rsid w:val="1AE85900"/>
    <w:rsid w:val="1AE86A6B"/>
    <w:rsid w:val="1AF06CFB"/>
    <w:rsid w:val="1AF11B8D"/>
    <w:rsid w:val="1B11359C"/>
    <w:rsid w:val="1B23297F"/>
    <w:rsid w:val="1B2A271F"/>
    <w:rsid w:val="1B530544"/>
    <w:rsid w:val="1B5643DD"/>
    <w:rsid w:val="1B604104"/>
    <w:rsid w:val="1B713184"/>
    <w:rsid w:val="1BA209CF"/>
    <w:rsid w:val="1BB4777D"/>
    <w:rsid w:val="1BD75AB8"/>
    <w:rsid w:val="1C0459C2"/>
    <w:rsid w:val="1C0B5645"/>
    <w:rsid w:val="1C1B3B4A"/>
    <w:rsid w:val="1C831A57"/>
    <w:rsid w:val="1C88086E"/>
    <w:rsid w:val="1C8C6AE3"/>
    <w:rsid w:val="1CB71C44"/>
    <w:rsid w:val="1CCB2BC8"/>
    <w:rsid w:val="1CD86393"/>
    <w:rsid w:val="1CDB3949"/>
    <w:rsid w:val="1D266CE1"/>
    <w:rsid w:val="1D315072"/>
    <w:rsid w:val="1D3963AF"/>
    <w:rsid w:val="1D602818"/>
    <w:rsid w:val="1D632D08"/>
    <w:rsid w:val="1D660E3D"/>
    <w:rsid w:val="1D6A673C"/>
    <w:rsid w:val="1D9247AE"/>
    <w:rsid w:val="1DB567EC"/>
    <w:rsid w:val="1DCA7323"/>
    <w:rsid w:val="1DD003DE"/>
    <w:rsid w:val="1DDE4B7D"/>
    <w:rsid w:val="1DF51A98"/>
    <w:rsid w:val="1E3D060F"/>
    <w:rsid w:val="1E3F7D2E"/>
    <w:rsid w:val="1E4134E4"/>
    <w:rsid w:val="1E5062B3"/>
    <w:rsid w:val="1E523514"/>
    <w:rsid w:val="1E714A66"/>
    <w:rsid w:val="1E802593"/>
    <w:rsid w:val="1EA703CC"/>
    <w:rsid w:val="1EAF519E"/>
    <w:rsid w:val="1EB202A6"/>
    <w:rsid w:val="1EB7330C"/>
    <w:rsid w:val="1EFD29D6"/>
    <w:rsid w:val="1F0A0FF3"/>
    <w:rsid w:val="1F2B5C6B"/>
    <w:rsid w:val="1F5771FF"/>
    <w:rsid w:val="1F6952A2"/>
    <w:rsid w:val="1F772AAB"/>
    <w:rsid w:val="1F986864"/>
    <w:rsid w:val="1FAC3198"/>
    <w:rsid w:val="1FAC5F93"/>
    <w:rsid w:val="1FAF184C"/>
    <w:rsid w:val="1FB160A1"/>
    <w:rsid w:val="1FC94A03"/>
    <w:rsid w:val="1FE868A9"/>
    <w:rsid w:val="20034907"/>
    <w:rsid w:val="20173E4B"/>
    <w:rsid w:val="204E48BC"/>
    <w:rsid w:val="207C5953"/>
    <w:rsid w:val="2089011D"/>
    <w:rsid w:val="208921B3"/>
    <w:rsid w:val="20973DEB"/>
    <w:rsid w:val="209844B3"/>
    <w:rsid w:val="20A16773"/>
    <w:rsid w:val="20B26522"/>
    <w:rsid w:val="20B44310"/>
    <w:rsid w:val="20DB741A"/>
    <w:rsid w:val="210229B5"/>
    <w:rsid w:val="21030097"/>
    <w:rsid w:val="210D7DE1"/>
    <w:rsid w:val="211116EB"/>
    <w:rsid w:val="211C715B"/>
    <w:rsid w:val="21531BFA"/>
    <w:rsid w:val="215356BC"/>
    <w:rsid w:val="216133FC"/>
    <w:rsid w:val="21746EB6"/>
    <w:rsid w:val="21771570"/>
    <w:rsid w:val="219771C8"/>
    <w:rsid w:val="21A5330F"/>
    <w:rsid w:val="21B87027"/>
    <w:rsid w:val="21D56769"/>
    <w:rsid w:val="21E52EF3"/>
    <w:rsid w:val="21E855F1"/>
    <w:rsid w:val="21FB5D7B"/>
    <w:rsid w:val="220601CB"/>
    <w:rsid w:val="220B1C3D"/>
    <w:rsid w:val="221D1D20"/>
    <w:rsid w:val="2229539C"/>
    <w:rsid w:val="222B72CC"/>
    <w:rsid w:val="22334A87"/>
    <w:rsid w:val="224A1D93"/>
    <w:rsid w:val="22565A1B"/>
    <w:rsid w:val="229A5E96"/>
    <w:rsid w:val="22BE6801"/>
    <w:rsid w:val="22C502F1"/>
    <w:rsid w:val="22D503AD"/>
    <w:rsid w:val="22E1605C"/>
    <w:rsid w:val="22E51E1F"/>
    <w:rsid w:val="22F35F94"/>
    <w:rsid w:val="233500BF"/>
    <w:rsid w:val="23377FF7"/>
    <w:rsid w:val="23467C9D"/>
    <w:rsid w:val="235B7AB5"/>
    <w:rsid w:val="236B425F"/>
    <w:rsid w:val="23836192"/>
    <w:rsid w:val="23901F29"/>
    <w:rsid w:val="239C0061"/>
    <w:rsid w:val="23B908A4"/>
    <w:rsid w:val="23BA47E3"/>
    <w:rsid w:val="23D909ED"/>
    <w:rsid w:val="23E95BEF"/>
    <w:rsid w:val="23FD0064"/>
    <w:rsid w:val="23FD24E3"/>
    <w:rsid w:val="23FD7F20"/>
    <w:rsid w:val="240E37A9"/>
    <w:rsid w:val="245375B0"/>
    <w:rsid w:val="24642C0A"/>
    <w:rsid w:val="246F32AE"/>
    <w:rsid w:val="24B22173"/>
    <w:rsid w:val="24B95AD9"/>
    <w:rsid w:val="24BE24DA"/>
    <w:rsid w:val="24CF5825"/>
    <w:rsid w:val="24D663E6"/>
    <w:rsid w:val="24D77F2B"/>
    <w:rsid w:val="24DB1E16"/>
    <w:rsid w:val="25415818"/>
    <w:rsid w:val="258B00E2"/>
    <w:rsid w:val="259A0F29"/>
    <w:rsid w:val="25A917A6"/>
    <w:rsid w:val="25BE27CC"/>
    <w:rsid w:val="25C920A9"/>
    <w:rsid w:val="25F435D2"/>
    <w:rsid w:val="25F74A5C"/>
    <w:rsid w:val="2609679C"/>
    <w:rsid w:val="261C7718"/>
    <w:rsid w:val="26213859"/>
    <w:rsid w:val="2628662C"/>
    <w:rsid w:val="262D45DE"/>
    <w:rsid w:val="263B60F2"/>
    <w:rsid w:val="26421B0D"/>
    <w:rsid w:val="264749C3"/>
    <w:rsid w:val="26747CA0"/>
    <w:rsid w:val="26871DAD"/>
    <w:rsid w:val="26A34AE3"/>
    <w:rsid w:val="26A53EF9"/>
    <w:rsid w:val="26A94201"/>
    <w:rsid w:val="26AC274F"/>
    <w:rsid w:val="26B67F49"/>
    <w:rsid w:val="26F929A0"/>
    <w:rsid w:val="27044A29"/>
    <w:rsid w:val="27070A20"/>
    <w:rsid w:val="271816CB"/>
    <w:rsid w:val="271D34C8"/>
    <w:rsid w:val="272116A0"/>
    <w:rsid w:val="27466D3F"/>
    <w:rsid w:val="27476D19"/>
    <w:rsid w:val="276142BF"/>
    <w:rsid w:val="27783712"/>
    <w:rsid w:val="27907362"/>
    <w:rsid w:val="27BF157B"/>
    <w:rsid w:val="27C44DE4"/>
    <w:rsid w:val="28333E1D"/>
    <w:rsid w:val="28454BD6"/>
    <w:rsid w:val="28455253"/>
    <w:rsid w:val="28551971"/>
    <w:rsid w:val="285B1C53"/>
    <w:rsid w:val="28651626"/>
    <w:rsid w:val="289F7086"/>
    <w:rsid w:val="28A31469"/>
    <w:rsid w:val="28B523C7"/>
    <w:rsid w:val="28C32028"/>
    <w:rsid w:val="28CC490F"/>
    <w:rsid w:val="28DE40AA"/>
    <w:rsid w:val="28F45EEB"/>
    <w:rsid w:val="29345E77"/>
    <w:rsid w:val="294C65AD"/>
    <w:rsid w:val="294F28E5"/>
    <w:rsid w:val="2956295F"/>
    <w:rsid w:val="29631B1C"/>
    <w:rsid w:val="29806583"/>
    <w:rsid w:val="298505A2"/>
    <w:rsid w:val="298B3C4C"/>
    <w:rsid w:val="29AB289B"/>
    <w:rsid w:val="29D67219"/>
    <w:rsid w:val="29F26D24"/>
    <w:rsid w:val="2A15033F"/>
    <w:rsid w:val="2A1662C1"/>
    <w:rsid w:val="2A1C7367"/>
    <w:rsid w:val="2A2815FA"/>
    <w:rsid w:val="2A5610E8"/>
    <w:rsid w:val="2A656C56"/>
    <w:rsid w:val="2A6D6092"/>
    <w:rsid w:val="2A7D76B4"/>
    <w:rsid w:val="2ACB77CC"/>
    <w:rsid w:val="2AD43590"/>
    <w:rsid w:val="2AE92DF1"/>
    <w:rsid w:val="2B112E1F"/>
    <w:rsid w:val="2B1B11BE"/>
    <w:rsid w:val="2B261369"/>
    <w:rsid w:val="2B2A38B2"/>
    <w:rsid w:val="2B437463"/>
    <w:rsid w:val="2B7807EE"/>
    <w:rsid w:val="2BBF00EC"/>
    <w:rsid w:val="2BC04E47"/>
    <w:rsid w:val="2BC37CFD"/>
    <w:rsid w:val="2BD5237F"/>
    <w:rsid w:val="2BD61DD3"/>
    <w:rsid w:val="2BE31C98"/>
    <w:rsid w:val="2BE536CE"/>
    <w:rsid w:val="2BE758D9"/>
    <w:rsid w:val="2C09049E"/>
    <w:rsid w:val="2C0A653C"/>
    <w:rsid w:val="2C191F85"/>
    <w:rsid w:val="2C3058EF"/>
    <w:rsid w:val="2C687127"/>
    <w:rsid w:val="2C873291"/>
    <w:rsid w:val="2CB0513C"/>
    <w:rsid w:val="2CB17563"/>
    <w:rsid w:val="2CB34CDD"/>
    <w:rsid w:val="2CB66EF8"/>
    <w:rsid w:val="2CE82D6F"/>
    <w:rsid w:val="2D1F486A"/>
    <w:rsid w:val="2D2E14F5"/>
    <w:rsid w:val="2D343236"/>
    <w:rsid w:val="2D606C7D"/>
    <w:rsid w:val="2D97550D"/>
    <w:rsid w:val="2DD15014"/>
    <w:rsid w:val="2DE85F18"/>
    <w:rsid w:val="2DF33410"/>
    <w:rsid w:val="2DF72DE4"/>
    <w:rsid w:val="2E0220AF"/>
    <w:rsid w:val="2E372A37"/>
    <w:rsid w:val="2E3C1B78"/>
    <w:rsid w:val="2E4525DD"/>
    <w:rsid w:val="2E4B082A"/>
    <w:rsid w:val="2E5D4E86"/>
    <w:rsid w:val="2E5D790B"/>
    <w:rsid w:val="2E9A3C18"/>
    <w:rsid w:val="2EBB0FEE"/>
    <w:rsid w:val="2EC272E6"/>
    <w:rsid w:val="2EC63002"/>
    <w:rsid w:val="2ECD0C29"/>
    <w:rsid w:val="2EE03233"/>
    <w:rsid w:val="2F0A6B38"/>
    <w:rsid w:val="2F794269"/>
    <w:rsid w:val="2F946CCB"/>
    <w:rsid w:val="2FD25781"/>
    <w:rsid w:val="2FEC7D80"/>
    <w:rsid w:val="2FFD7934"/>
    <w:rsid w:val="2FFE2851"/>
    <w:rsid w:val="300967B6"/>
    <w:rsid w:val="303E6135"/>
    <w:rsid w:val="30695D8C"/>
    <w:rsid w:val="30733ACD"/>
    <w:rsid w:val="308C3862"/>
    <w:rsid w:val="309379D8"/>
    <w:rsid w:val="309612E7"/>
    <w:rsid w:val="30A270F7"/>
    <w:rsid w:val="30DF1478"/>
    <w:rsid w:val="30EB428D"/>
    <w:rsid w:val="30EC586F"/>
    <w:rsid w:val="31360D5D"/>
    <w:rsid w:val="3146752E"/>
    <w:rsid w:val="317362BD"/>
    <w:rsid w:val="319C6071"/>
    <w:rsid w:val="31AB5907"/>
    <w:rsid w:val="31AC3820"/>
    <w:rsid w:val="31AC537E"/>
    <w:rsid w:val="31C111F3"/>
    <w:rsid w:val="31E3679B"/>
    <w:rsid w:val="31E732FD"/>
    <w:rsid w:val="31EA1EE2"/>
    <w:rsid w:val="31FA3F13"/>
    <w:rsid w:val="323104BD"/>
    <w:rsid w:val="32517576"/>
    <w:rsid w:val="326C2300"/>
    <w:rsid w:val="328D434A"/>
    <w:rsid w:val="32BE5C2C"/>
    <w:rsid w:val="32FB6478"/>
    <w:rsid w:val="332054B8"/>
    <w:rsid w:val="33263B3F"/>
    <w:rsid w:val="335A2AA0"/>
    <w:rsid w:val="336963EB"/>
    <w:rsid w:val="33742EAC"/>
    <w:rsid w:val="33797DE0"/>
    <w:rsid w:val="33816EEB"/>
    <w:rsid w:val="339A5965"/>
    <w:rsid w:val="33AC51E6"/>
    <w:rsid w:val="33BE302F"/>
    <w:rsid w:val="33E06F7D"/>
    <w:rsid w:val="33EB55CD"/>
    <w:rsid w:val="33EC4C02"/>
    <w:rsid w:val="340D2360"/>
    <w:rsid w:val="3410665D"/>
    <w:rsid w:val="34211214"/>
    <w:rsid w:val="342E63AB"/>
    <w:rsid w:val="34371136"/>
    <w:rsid w:val="34401C96"/>
    <w:rsid w:val="344D14A1"/>
    <w:rsid w:val="34950E68"/>
    <w:rsid w:val="34986E94"/>
    <w:rsid w:val="34A727F1"/>
    <w:rsid w:val="34AF62C9"/>
    <w:rsid w:val="34C1304E"/>
    <w:rsid w:val="34CB4388"/>
    <w:rsid w:val="34E04C25"/>
    <w:rsid w:val="34EF3AF5"/>
    <w:rsid w:val="34FA6E12"/>
    <w:rsid w:val="35177D3B"/>
    <w:rsid w:val="358C308A"/>
    <w:rsid w:val="358D5588"/>
    <w:rsid w:val="359D48C8"/>
    <w:rsid w:val="35A82B78"/>
    <w:rsid w:val="35AA049C"/>
    <w:rsid w:val="35B11087"/>
    <w:rsid w:val="35B97034"/>
    <w:rsid w:val="35E34777"/>
    <w:rsid w:val="360A2C3B"/>
    <w:rsid w:val="363A3B40"/>
    <w:rsid w:val="365302AE"/>
    <w:rsid w:val="36607A0A"/>
    <w:rsid w:val="366E227C"/>
    <w:rsid w:val="366F2E0D"/>
    <w:rsid w:val="367A7102"/>
    <w:rsid w:val="367B6A5C"/>
    <w:rsid w:val="36814A92"/>
    <w:rsid w:val="36827AAB"/>
    <w:rsid w:val="36A74ADA"/>
    <w:rsid w:val="36AD60D5"/>
    <w:rsid w:val="36AE3E56"/>
    <w:rsid w:val="36B224F9"/>
    <w:rsid w:val="36BD4178"/>
    <w:rsid w:val="36DD3259"/>
    <w:rsid w:val="36EC0CC9"/>
    <w:rsid w:val="371E6696"/>
    <w:rsid w:val="373F410B"/>
    <w:rsid w:val="37B15B33"/>
    <w:rsid w:val="37BD7A30"/>
    <w:rsid w:val="37BE68BC"/>
    <w:rsid w:val="37EE7094"/>
    <w:rsid w:val="380A560F"/>
    <w:rsid w:val="38296B3F"/>
    <w:rsid w:val="38296C89"/>
    <w:rsid w:val="383002EB"/>
    <w:rsid w:val="38433B03"/>
    <w:rsid w:val="38463C1A"/>
    <w:rsid w:val="38586797"/>
    <w:rsid w:val="385C64C8"/>
    <w:rsid w:val="387951BA"/>
    <w:rsid w:val="38966328"/>
    <w:rsid w:val="389F5630"/>
    <w:rsid w:val="38B87D9D"/>
    <w:rsid w:val="38BC0149"/>
    <w:rsid w:val="38D87D1C"/>
    <w:rsid w:val="38FA6453"/>
    <w:rsid w:val="394418E0"/>
    <w:rsid w:val="394E6C03"/>
    <w:rsid w:val="39636459"/>
    <w:rsid w:val="396B7F6C"/>
    <w:rsid w:val="399D18C6"/>
    <w:rsid w:val="39B417A9"/>
    <w:rsid w:val="39C56945"/>
    <w:rsid w:val="39FC5695"/>
    <w:rsid w:val="3A006D8E"/>
    <w:rsid w:val="3A3651E5"/>
    <w:rsid w:val="3A3B691F"/>
    <w:rsid w:val="3A56271C"/>
    <w:rsid w:val="3A744481"/>
    <w:rsid w:val="3A817982"/>
    <w:rsid w:val="3A8C7BEF"/>
    <w:rsid w:val="3A906246"/>
    <w:rsid w:val="3ACB3A3F"/>
    <w:rsid w:val="3B00217F"/>
    <w:rsid w:val="3B046D3A"/>
    <w:rsid w:val="3B2349B7"/>
    <w:rsid w:val="3B616CFF"/>
    <w:rsid w:val="3B6259F6"/>
    <w:rsid w:val="3B6B6A15"/>
    <w:rsid w:val="3B720250"/>
    <w:rsid w:val="3B870D7E"/>
    <w:rsid w:val="3B8F24B5"/>
    <w:rsid w:val="3B976654"/>
    <w:rsid w:val="3BA90120"/>
    <w:rsid w:val="3BC01EFC"/>
    <w:rsid w:val="3BCA786A"/>
    <w:rsid w:val="3BD31E2F"/>
    <w:rsid w:val="3BEC0AE7"/>
    <w:rsid w:val="3BF15831"/>
    <w:rsid w:val="3C014684"/>
    <w:rsid w:val="3C105946"/>
    <w:rsid w:val="3C297A7F"/>
    <w:rsid w:val="3C332295"/>
    <w:rsid w:val="3C34279E"/>
    <w:rsid w:val="3C471448"/>
    <w:rsid w:val="3C53303F"/>
    <w:rsid w:val="3C5850B9"/>
    <w:rsid w:val="3C5F759A"/>
    <w:rsid w:val="3C6C525A"/>
    <w:rsid w:val="3C7637CB"/>
    <w:rsid w:val="3C8F3836"/>
    <w:rsid w:val="3CA76B12"/>
    <w:rsid w:val="3CA86DA1"/>
    <w:rsid w:val="3CB678A5"/>
    <w:rsid w:val="3CCE23CB"/>
    <w:rsid w:val="3CD17D17"/>
    <w:rsid w:val="3D001AC2"/>
    <w:rsid w:val="3D0512A8"/>
    <w:rsid w:val="3D0C4D62"/>
    <w:rsid w:val="3D330CF2"/>
    <w:rsid w:val="3D3C7F39"/>
    <w:rsid w:val="3D440F09"/>
    <w:rsid w:val="3D4504A0"/>
    <w:rsid w:val="3D8734BB"/>
    <w:rsid w:val="3D9573AF"/>
    <w:rsid w:val="3D9A11D4"/>
    <w:rsid w:val="3DA16D89"/>
    <w:rsid w:val="3DA364BE"/>
    <w:rsid w:val="3DA57D9A"/>
    <w:rsid w:val="3DB42C81"/>
    <w:rsid w:val="3DCE23CC"/>
    <w:rsid w:val="3DE041CB"/>
    <w:rsid w:val="3E0D48F6"/>
    <w:rsid w:val="3E1868B4"/>
    <w:rsid w:val="3E306F1E"/>
    <w:rsid w:val="3E377251"/>
    <w:rsid w:val="3E42664B"/>
    <w:rsid w:val="3E5A7334"/>
    <w:rsid w:val="3E7B5D6B"/>
    <w:rsid w:val="3E843E66"/>
    <w:rsid w:val="3E8F51FE"/>
    <w:rsid w:val="3E926F87"/>
    <w:rsid w:val="3E9A59DE"/>
    <w:rsid w:val="3EAF4836"/>
    <w:rsid w:val="3EC314F9"/>
    <w:rsid w:val="3EC33DFA"/>
    <w:rsid w:val="3EC67C9B"/>
    <w:rsid w:val="3ED74DCE"/>
    <w:rsid w:val="3EE63F33"/>
    <w:rsid w:val="3F060E16"/>
    <w:rsid w:val="3F173D45"/>
    <w:rsid w:val="3F1D1096"/>
    <w:rsid w:val="3F2F0234"/>
    <w:rsid w:val="3F4B3A35"/>
    <w:rsid w:val="3F6363FE"/>
    <w:rsid w:val="3F6A5E19"/>
    <w:rsid w:val="3F756B8F"/>
    <w:rsid w:val="3F95482B"/>
    <w:rsid w:val="3FA5340F"/>
    <w:rsid w:val="3FD85478"/>
    <w:rsid w:val="3FFB7F60"/>
    <w:rsid w:val="3FFD7116"/>
    <w:rsid w:val="401029F0"/>
    <w:rsid w:val="4012098A"/>
    <w:rsid w:val="4019356B"/>
    <w:rsid w:val="40592157"/>
    <w:rsid w:val="406D3E12"/>
    <w:rsid w:val="406E1CAE"/>
    <w:rsid w:val="40A0133A"/>
    <w:rsid w:val="40C31A53"/>
    <w:rsid w:val="40E750BB"/>
    <w:rsid w:val="40E83499"/>
    <w:rsid w:val="40EC249B"/>
    <w:rsid w:val="40FF545D"/>
    <w:rsid w:val="410067C8"/>
    <w:rsid w:val="41362456"/>
    <w:rsid w:val="4137139D"/>
    <w:rsid w:val="414E562C"/>
    <w:rsid w:val="418748FA"/>
    <w:rsid w:val="418F0D2A"/>
    <w:rsid w:val="41B810BD"/>
    <w:rsid w:val="41C007E7"/>
    <w:rsid w:val="41D01505"/>
    <w:rsid w:val="41E262A1"/>
    <w:rsid w:val="42095F6E"/>
    <w:rsid w:val="424172D1"/>
    <w:rsid w:val="42474939"/>
    <w:rsid w:val="424C3C57"/>
    <w:rsid w:val="42613FF3"/>
    <w:rsid w:val="42660D96"/>
    <w:rsid w:val="428667D2"/>
    <w:rsid w:val="42891389"/>
    <w:rsid w:val="428C1C2A"/>
    <w:rsid w:val="42920521"/>
    <w:rsid w:val="42975168"/>
    <w:rsid w:val="42A12863"/>
    <w:rsid w:val="42CD1CE0"/>
    <w:rsid w:val="42E1381E"/>
    <w:rsid w:val="42ED6459"/>
    <w:rsid w:val="42FE58DD"/>
    <w:rsid w:val="43174B3D"/>
    <w:rsid w:val="43234C5C"/>
    <w:rsid w:val="43255987"/>
    <w:rsid w:val="434B790E"/>
    <w:rsid w:val="4360274F"/>
    <w:rsid w:val="43977AB6"/>
    <w:rsid w:val="43A3342B"/>
    <w:rsid w:val="43AE3A19"/>
    <w:rsid w:val="43C77C27"/>
    <w:rsid w:val="43DE09EE"/>
    <w:rsid w:val="44002FAD"/>
    <w:rsid w:val="44781916"/>
    <w:rsid w:val="449101DD"/>
    <w:rsid w:val="44B261A8"/>
    <w:rsid w:val="44B800F6"/>
    <w:rsid w:val="44BC5DFB"/>
    <w:rsid w:val="44DB5F60"/>
    <w:rsid w:val="44DE1391"/>
    <w:rsid w:val="451B225C"/>
    <w:rsid w:val="452410C9"/>
    <w:rsid w:val="45301009"/>
    <w:rsid w:val="45317DFB"/>
    <w:rsid w:val="45436274"/>
    <w:rsid w:val="456D3CE4"/>
    <w:rsid w:val="4579042C"/>
    <w:rsid w:val="457F0571"/>
    <w:rsid w:val="45851176"/>
    <w:rsid w:val="45C63B94"/>
    <w:rsid w:val="45D249E5"/>
    <w:rsid w:val="45F538A0"/>
    <w:rsid w:val="460E4BB0"/>
    <w:rsid w:val="460E7DA5"/>
    <w:rsid w:val="463257DE"/>
    <w:rsid w:val="46422483"/>
    <w:rsid w:val="464500CB"/>
    <w:rsid w:val="4659254A"/>
    <w:rsid w:val="465B0637"/>
    <w:rsid w:val="465E3F0D"/>
    <w:rsid w:val="466A16E6"/>
    <w:rsid w:val="46893F2B"/>
    <w:rsid w:val="46BA4EE4"/>
    <w:rsid w:val="46C4686E"/>
    <w:rsid w:val="46E75F49"/>
    <w:rsid w:val="46EB42AF"/>
    <w:rsid w:val="46F21269"/>
    <w:rsid w:val="473723B0"/>
    <w:rsid w:val="477B778F"/>
    <w:rsid w:val="478203EC"/>
    <w:rsid w:val="47B025FA"/>
    <w:rsid w:val="47C73432"/>
    <w:rsid w:val="47D96F7B"/>
    <w:rsid w:val="4809698F"/>
    <w:rsid w:val="4811697D"/>
    <w:rsid w:val="485244BE"/>
    <w:rsid w:val="48733940"/>
    <w:rsid w:val="487A3E25"/>
    <w:rsid w:val="488B5503"/>
    <w:rsid w:val="48937E21"/>
    <w:rsid w:val="489A0361"/>
    <w:rsid w:val="48B94FF3"/>
    <w:rsid w:val="48E37AAB"/>
    <w:rsid w:val="48EF719C"/>
    <w:rsid w:val="48FD4B4C"/>
    <w:rsid w:val="490375D9"/>
    <w:rsid w:val="490A68E0"/>
    <w:rsid w:val="491055FE"/>
    <w:rsid w:val="495F5B3E"/>
    <w:rsid w:val="496F77D7"/>
    <w:rsid w:val="497654FD"/>
    <w:rsid w:val="4989449C"/>
    <w:rsid w:val="499C4B8B"/>
    <w:rsid w:val="49B64211"/>
    <w:rsid w:val="49F6167F"/>
    <w:rsid w:val="4A064FA0"/>
    <w:rsid w:val="4A16615C"/>
    <w:rsid w:val="4A3F0A96"/>
    <w:rsid w:val="4A4424D7"/>
    <w:rsid w:val="4A571ACA"/>
    <w:rsid w:val="4A88443C"/>
    <w:rsid w:val="4AAA236F"/>
    <w:rsid w:val="4AB033A5"/>
    <w:rsid w:val="4AB77EE6"/>
    <w:rsid w:val="4AB82D0F"/>
    <w:rsid w:val="4AEB7664"/>
    <w:rsid w:val="4AFD7C19"/>
    <w:rsid w:val="4B0567D1"/>
    <w:rsid w:val="4B236AAE"/>
    <w:rsid w:val="4B4136B7"/>
    <w:rsid w:val="4B456459"/>
    <w:rsid w:val="4B5C6BE0"/>
    <w:rsid w:val="4B707271"/>
    <w:rsid w:val="4B721531"/>
    <w:rsid w:val="4B9739F7"/>
    <w:rsid w:val="4BE60F1D"/>
    <w:rsid w:val="4BEE2503"/>
    <w:rsid w:val="4C143962"/>
    <w:rsid w:val="4C245A30"/>
    <w:rsid w:val="4C4E180D"/>
    <w:rsid w:val="4C5155B1"/>
    <w:rsid w:val="4C964049"/>
    <w:rsid w:val="4CB6685F"/>
    <w:rsid w:val="4CC367FE"/>
    <w:rsid w:val="4D077F3C"/>
    <w:rsid w:val="4D123355"/>
    <w:rsid w:val="4D2A3B31"/>
    <w:rsid w:val="4D312C52"/>
    <w:rsid w:val="4D363554"/>
    <w:rsid w:val="4D4364EE"/>
    <w:rsid w:val="4D8E14E7"/>
    <w:rsid w:val="4D8F41D8"/>
    <w:rsid w:val="4D905305"/>
    <w:rsid w:val="4D964A72"/>
    <w:rsid w:val="4D9728A8"/>
    <w:rsid w:val="4D9C1254"/>
    <w:rsid w:val="4DE54634"/>
    <w:rsid w:val="4DF23BA9"/>
    <w:rsid w:val="4DF706F9"/>
    <w:rsid w:val="4E6C5709"/>
    <w:rsid w:val="4E72304A"/>
    <w:rsid w:val="4E793892"/>
    <w:rsid w:val="4E800872"/>
    <w:rsid w:val="4E94015D"/>
    <w:rsid w:val="4EB370CB"/>
    <w:rsid w:val="4EC569ED"/>
    <w:rsid w:val="4ED50EA1"/>
    <w:rsid w:val="4EDFDB55"/>
    <w:rsid w:val="4EEC050C"/>
    <w:rsid w:val="4F104EC3"/>
    <w:rsid w:val="4F376B26"/>
    <w:rsid w:val="4F47354A"/>
    <w:rsid w:val="4F8B7ADC"/>
    <w:rsid w:val="4F911C54"/>
    <w:rsid w:val="4F917FAC"/>
    <w:rsid w:val="4FB11948"/>
    <w:rsid w:val="4FE625E0"/>
    <w:rsid w:val="50011D94"/>
    <w:rsid w:val="50037267"/>
    <w:rsid w:val="501B67F5"/>
    <w:rsid w:val="5021480F"/>
    <w:rsid w:val="50446212"/>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4C3299"/>
    <w:rsid w:val="518832C8"/>
    <w:rsid w:val="518E2D23"/>
    <w:rsid w:val="519D31E6"/>
    <w:rsid w:val="51A0432A"/>
    <w:rsid w:val="51A86090"/>
    <w:rsid w:val="51B7396D"/>
    <w:rsid w:val="51B7477A"/>
    <w:rsid w:val="52170CBE"/>
    <w:rsid w:val="5220355B"/>
    <w:rsid w:val="522E4CC3"/>
    <w:rsid w:val="5244713B"/>
    <w:rsid w:val="52615633"/>
    <w:rsid w:val="52977FD4"/>
    <w:rsid w:val="52A25790"/>
    <w:rsid w:val="52A96B6F"/>
    <w:rsid w:val="52B45975"/>
    <w:rsid w:val="52D94AA4"/>
    <w:rsid w:val="52E10F88"/>
    <w:rsid w:val="52EA3A62"/>
    <w:rsid w:val="52F50BB8"/>
    <w:rsid w:val="52FA12FF"/>
    <w:rsid w:val="53097272"/>
    <w:rsid w:val="533C1349"/>
    <w:rsid w:val="53544462"/>
    <w:rsid w:val="537D468A"/>
    <w:rsid w:val="539262C5"/>
    <w:rsid w:val="5397158E"/>
    <w:rsid w:val="53A416DB"/>
    <w:rsid w:val="54013861"/>
    <w:rsid w:val="54487265"/>
    <w:rsid w:val="544D6070"/>
    <w:rsid w:val="54605E1E"/>
    <w:rsid w:val="5473672B"/>
    <w:rsid w:val="54B3506A"/>
    <w:rsid w:val="54CA0D16"/>
    <w:rsid w:val="54D45DB6"/>
    <w:rsid w:val="54DD4057"/>
    <w:rsid w:val="54E7490F"/>
    <w:rsid w:val="550377CD"/>
    <w:rsid w:val="550764A4"/>
    <w:rsid w:val="550B2BF6"/>
    <w:rsid w:val="550F3998"/>
    <w:rsid w:val="55214EB5"/>
    <w:rsid w:val="55354CFB"/>
    <w:rsid w:val="55364EFD"/>
    <w:rsid w:val="555D4828"/>
    <w:rsid w:val="5562483A"/>
    <w:rsid w:val="55653950"/>
    <w:rsid w:val="557645ED"/>
    <w:rsid w:val="557A4C8B"/>
    <w:rsid w:val="558931E1"/>
    <w:rsid w:val="55923347"/>
    <w:rsid w:val="55925180"/>
    <w:rsid w:val="55983B1B"/>
    <w:rsid w:val="55A014EF"/>
    <w:rsid w:val="55A8376B"/>
    <w:rsid w:val="55DC29B6"/>
    <w:rsid w:val="55DD4241"/>
    <w:rsid w:val="5618423F"/>
    <w:rsid w:val="566B6D1E"/>
    <w:rsid w:val="56796849"/>
    <w:rsid w:val="567D7CFD"/>
    <w:rsid w:val="56861D6A"/>
    <w:rsid w:val="56A60C14"/>
    <w:rsid w:val="56E31D66"/>
    <w:rsid w:val="57032A2C"/>
    <w:rsid w:val="570F5219"/>
    <w:rsid w:val="57144D63"/>
    <w:rsid w:val="57150236"/>
    <w:rsid w:val="571F7486"/>
    <w:rsid w:val="572E7B96"/>
    <w:rsid w:val="5741255F"/>
    <w:rsid w:val="574E7663"/>
    <w:rsid w:val="575D12B5"/>
    <w:rsid w:val="57610A87"/>
    <w:rsid w:val="577B1140"/>
    <w:rsid w:val="577B7F21"/>
    <w:rsid w:val="577F181B"/>
    <w:rsid w:val="57921984"/>
    <w:rsid w:val="579737F0"/>
    <w:rsid w:val="57AB627A"/>
    <w:rsid w:val="57AB7B30"/>
    <w:rsid w:val="57AF5251"/>
    <w:rsid w:val="57B26373"/>
    <w:rsid w:val="57B63F04"/>
    <w:rsid w:val="57CD20C2"/>
    <w:rsid w:val="57D03845"/>
    <w:rsid w:val="57D573DB"/>
    <w:rsid w:val="57D675AB"/>
    <w:rsid w:val="57D95FDD"/>
    <w:rsid w:val="57E5652D"/>
    <w:rsid w:val="57EC54BC"/>
    <w:rsid w:val="57F85B5E"/>
    <w:rsid w:val="585B44F2"/>
    <w:rsid w:val="58610451"/>
    <w:rsid w:val="58917D2F"/>
    <w:rsid w:val="5894085C"/>
    <w:rsid w:val="58AE4F0C"/>
    <w:rsid w:val="58B85899"/>
    <w:rsid w:val="58C36E39"/>
    <w:rsid w:val="58C90A05"/>
    <w:rsid w:val="58E363A9"/>
    <w:rsid w:val="591C0253"/>
    <w:rsid w:val="59254A57"/>
    <w:rsid w:val="592E25D7"/>
    <w:rsid w:val="595E1678"/>
    <w:rsid w:val="596A7B26"/>
    <w:rsid w:val="596D5BD4"/>
    <w:rsid w:val="597E0ADA"/>
    <w:rsid w:val="597E3DD8"/>
    <w:rsid w:val="599538BA"/>
    <w:rsid w:val="59C141BA"/>
    <w:rsid w:val="59C52C01"/>
    <w:rsid w:val="59DC694C"/>
    <w:rsid w:val="59E76E3E"/>
    <w:rsid w:val="59F80043"/>
    <w:rsid w:val="5A09252F"/>
    <w:rsid w:val="5A0B2778"/>
    <w:rsid w:val="5A2A7C7B"/>
    <w:rsid w:val="5A3E2560"/>
    <w:rsid w:val="5A5D3B6E"/>
    <w:rsid w:val="5A637A76"/>
    <w:rsid w:val="5A6A482A"/>
    <w:rsid w:val="5A6D33BA"/>
    <w:rsid w:val="5A792B1F"/>
    <w:rsid w:val="5A874767"/>
    <w:rsid w:val="5AA844A7"/>
    <w:rsid w:val="5AAD6F28"/>
    <w:rsid w:val="5AD10710"/>
    <w:rsid w:val="5AD63A24"/>
    <w:rsid w:val="5B2E1A1D"/>
    <w:rsid w:val="5B4517BC"/>
    <w:rsid w:val="5B843A1C"/>
    <w:rsid w:val="5B873E3F"/>
    <w:rsid w:val="5BD164BB"/>
    <w:rsid w:val="5BD445A4"/>
    <w:rsid w:val="5BFD00E8"/>
    <w:rsid w:val="5C02690E"/>
    <w:rsid w:val="5C113A26"/>
    <w:rsid w:val="5C196DA7"/>
    <w:rsid w:val="5C220A3A"/>
    <w:rsid w:val="5C2A048C"/>
    <w:rsid w:val="5C6C4CCA"/>
    <w:rsid w:val="5C6E0D96"/>
    <w:rsid w:val="5C80234E"/>
    <w:rsid w:val="5C8A680C"/>
    <w:rsid w:val="5CA55DCD"/>
    <w:rsid w:val="5D0C4701"/>
    <w:rsid w:val="5D0F0395"/>
    <w:rsid w:val="5D221076"/>
    <w:rsid w:val="5D397964"/>
    <w:rsid w:val="5D491257"/>
    <w:rsid w:val="5D5A391C"/>
    <w:rsid w:val="5D5F10C0"/>
    <w:rsid w:val="5D891B7B"/>
    <w:rsid w:val="5D8B7162"/>
    <w:rsid w:val="5DA45E8A"/>
    <w:rsid w:val="5DA94ECA"/>
    <w:rsid w:val="5DAD38EE"/>
    <w:rsid w:val="5E006862"/>
    <w:rsid w:val="5E0207B9"/>
    <w:rsid w:val="5E13292D"/>
    <w:rsid w:val="5E1834A1"/>
    <w:rsid w:val="5E1E4087"/>
    <w:rsid w:val="5E261785"/>
    <w:rsid w:val="5E4A7017"/>
    <w:rsid w:val="5E550F9B"/>
    <w:rsid w:val="5E552BBA"/>
    <w:rsid w:val="5E611C10"/>
    <w:rsid w:val="5EFC7377"/>
    <w:rsid w:val="5F02557F"/>
    <w:rsid w:val="5F06174D"/>
    <w:rsid w:val="5F071B9D"/>
    <w:rsid w:val="5F13300F"/>
    <w:rsid w:val="5F1C5A05"/>
    <w:rsid w:val="5F381638"/>
    <w:rsid w:val="5F3A3602"/>
    <w:rsid w:val="5F557A3B"/>
    <w:rsid w:val="5F57701B"/>
    <w:rsid w:val="5F6277C6"/>
    <w:rsid w:val="5F660ABA"/>
    <w:rsid w:val="5F6D0B1D"/>
    <w:rsid w:val="5F8D0B82"/>
    <w:rsid w:val="5FC3334C"/>
    <w:rsid w:val="5FCC5339"/>
    <w:rsid w:val="5FE078E0"/>
    <w:rsid w:val="5FE34A5B"/>
    <w:rsid w:val="5FFE1E36"/>
    <w:rsid w:val="60232584"/>
    <w:rsid w:val="60326087"/>
    <w:rsid w:val="60576DBD"/>
    <w:rsid w:val="60674F9A"/>
    <w:rsid w:val="607330CE"/>
    <w:rsid w:val="607A419E"/>
    <w:rsid w:val="60825176"/>
    <w:rsid w:val="609F2AC4"/>
    <w:rsid w:val="60B2372C"/>
    <w:rsid w:val="60B65B72"/>
    <w:rsid w:val="60E03D35"/>
    <w:rsid w:val="60FA2EE8"/>
    <w:rsid w:val="60FE42AA"/>
    <w:rsid w:val="61054A27"/>
    <w:rsid w:val="610A52BC"/>
    <w:rsid w:val="611D2366"/>
    <w:rsid w:val="61421856"/>
    <w:rsid w:val="614E5DAA"/>
    <w:rsid w:val="615227C4"/>
    <w:rsid w:val="61654E3F"/>
    <w:rsid w:val="617678F3"/>
    <w:rsid w:val="617C580C"/>
    <w:rsid w:val="6182292A"/>
    <w:rsid w:val="619117A1"/>
    <w:rsid w:val="61937B14"/>
    <w:rsid w:val="619F7F92"/>
    <w:rsid w:val="61DA33F4"/>
    <w:rsid w:val="61ED1160"/>
    <w:rsid w:val="61F94C26"/>
    <w:rsid w:val="62000E56"/>
    <w:rsid w:val="62227AC4"/>
    <w:rsid w:val="62497A32"/>
    <w:rsid w:val="624F3E49"/>
    <w:rsid w:val="62632286"/>
    <w:rsid w:val="62716C4E"/>
    <w:rsid w:val="62851EC8"/>
    <w:rsid w:val="62885958"/>
    <w:rsid w:val="62CB020A"/>
    <w:rsid w:val="62D83031"/>
    <w:rsid w:val="62EA3015"/>
    <w:rsid w:val="62F40B65"/>
    <w:rsid w:val="62FC2CFE"/>
    <w:rsid w:val="63024505"/>
    <w:rsid w:val="63133CBC"/>
    <w:rsid w:val="633E24CC"/>
    <w:rsid w:val="633F0CD0"/>
    <w:rsid w:val="635B1DB5"/>
    <w:rsid w:val="63711FED"/>
    <w:rsid w:val="63880DDC"/>
    <w:rsid w:val="638D750D"/>
    <w:rsid w:val="63AC6CC0"/>
    <w:rsid w:val="63D45E62"/>
    <w:rsid w:val="64055776"/>
    <w:rsid w:val="64240056"/>
    <w:rsid w:val="643E143A"/>
    <w:rsid w:val="64452864"/>
    <w:rsid w:val="64523490"/>
    <w:rsid w:val="64525048"/>
    <w:rsid w:val="645A7CF9"/>
    <w:rsid w:val="648B6EEF"/>
    <w:rsid w:val="64C158BF"/>
    <w:rsid w:val="64CE2EAA"/>
    <w:rsid w:val="64E61C88"/>
    <w:rsid w:val="653C3090"/>
    <w:rsid w:val="65421E67"/>
    <w:rsid w:val="654900FB"/>
    <w:rsid w:val="654B52DC"/>
    <w:rsid w:val="6583677A"/>
    <w:rsid w:val="65854376"/>
    <w:rsid w:val="658767BE"/>
    <w:rsid w:val="65892531"/>
    <w:rsid w:val="65F8345E"/>
    <w:rsid w:val="66195831"/>
    <w:rsid w:val="662E75B1"/>
    <w:rsid w:val="66342C2E"/>
    <w:rsid w:val="663E784C"/>
    <w:rsid w:val="665B62E7"/>
    <w:rsid w:val="668B6A45"/>
    <w:rsid w:val="669A71DE"/>
    <w:rsid w:val="669F7E18"/>
    <w:rsid w:val="66B01071"/>
    <w:rsid w:val="66BF7F84"/>
    <w:rsid w:val="66D95049"/>
    <w:rsid w:val="66EA1469"/>
    <w:rsid w:val="67203BA2"/>
    <w:rsid w:val="67272539"/>
    <w:rsid w:val="672F3F24"/>
    <w:rsid w:val="673E055F"/>
    <w:rsid w:val="67551CE3"/>
    <w:rsid w:val="6772060E"/>
    <w:rsid w:val="679B6219"/>
    <w:rsid w:val="67A22552"/>
    <w:rsid w:val="67B22DCC"/>
    <w:rsid w:val="67B67C39"/>
    <w:rsid w:val="67BE71AA"/>
    <w:rsid w:val="67C23E66"/>
    <w:rsid w:val="67D16BCF"/>
    <w:rsid w:val="67D40535"/>
    <w:rsid w:val="67D90273"/>
    <w:rsid w:val="67DE5875"/>
    <w:rsid w:val="67E55852"/>
    <w:rsid w:val="67E61FFB"/>
    <w:rsid w:val="67EB1AB4"/>
    <w:rsid w:val="67FA1285"/>
    <w:rsid w:val="68211340"/>
    <w:rsid w:val="68263E9E"/>
    <w:rsid w:val="683722ED"/>
    <w:rsid w:val="68464DC5"/>
    <w:rsid w:val="68482B8F"/>
    <w:rsid w:val="68551F4F"/>
    <w:rsid w:val="687705BA"/>
    <w:rsid w:val="687C10C9"/>
    <w:rsid w:val="68840C16"/>
    <w:rsid w:val="688549D0"/>
    <w:rsid w:val="68876EFB"/>
    <w:rsid w:val="68884654"/>
    <w:rsid w:val="689F444F"/>
    <w:rsid w:val="68B96DBB"/>
    <w:rsid w:val="68BE6186"/>
    <w:rsid w:val="68CA2805"/>
    <w:rsid w:val="68D321AA"/>
    <w:rsid w:val="68E937A3"/>
    <w:rsid w:val="693E15D3"/>
    <w:rsid w:val="69627681"/>
    <w:rsid w:val="696B783B"/>
    <w:rsid w:val="696F140C"/>
    <w:rsid w:val="6977531D"/>
    <w:rsid w:val="69AD46D4"/>
    <w:rsid w:val="69CC2BFF"/>
    <w:rsid w:val="69FD55B8"/>
    <w:rsid w:val="6A0B1C62"/>
    <w:rsid w:val="6A206786"/>
    <w:rsid w:val="6A21712D"/>
    <w:rsid w:val="6A2406C8"/>
    <w:rsid w:val="6A42336B"/>
    <w:rsid w:val="6A4A0458"/>
    <w:rsid w:val="6A7D274A"/>
    <w:rsid w:val="6A962FC7"/>
    <w:rsid w:val="6AB00311"/>
    <w:rsid w:val="6ADE0BD1"/>
    <w:rsid w:val="6AE96859"/>
    <w:rsid w:val="6B147746"/>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4E5EC8"/>
    <w:rsid w:val="6C552F0B"/>
    <w:rsid w:val="6C7A3314"/>
    <w:rsid w:val="6C802036"/>
    <w:rsid w:val="6C8C67B7"/>
    <w:rsid w:val="6C9D166B"/>
    <w:rsid w:val="6C9D744C"/>
    <w:rsid w:val="6CB95587"/>
    <w:rsid w:val="6CD91762"/>
    <w:rsid w:val="6CEB7F8E"/>
    <w:rsid w:val="6D08572F"/>
    <w:rsid w:val="6D167928"/>
    <w:rsid w:val="6D1E19E3"/>
    <w:rsid w:val="6D26299B"/>
    <w:rsid w:val="6D2F659C"/>
    <w:rsid w:val="6D4772EC"/>
    <w:rsid w:val="6D8141C3"/>
    <w:rsid w:val="6D9078AF"/>
    <w:rsid w:val="6D9E2FAE"/>
    <w:rsid w:val="6DAA3FEF"/>
    <w:rsid w:val="6DC0172B"/>
    <w:rsid w:val="6DCB690C"/>
    <w:rsid w:val="6DD41A5B"/>
    <w:rsid w:val="6DF43C2E"/>
    <w:rsid w:val="6DF456B4"/>
    <w:rsid w:val="6DF51CA3"/>
    <w:rsid w:val="6E011CE3"/>
    <w:rsid w:val="6E22773B"/>
    <w:rsid w:val="6E24348E"/>
    <w:rsid w:val="6E25722B"/>
    <w:rsid w:val="6E2E7E8E"/>
    <w:rsid w:val="6E5D0773"/>
    <w:rsid w:val="6E6E43D9"/>
    <w:rsid w:val="6E8335BD"/>
    <w:rsid w:val="6E8C5C36"/>
    <w:rsid w:val="6E8E12EF"/>
    <w:rsid w:val="6E972936"/>
    <w:rsid w:val="6ED446C5"/>
    <w:rsid w:val="6F046601"/>
    <w:rsid w:val="6F2A7D94"/>
    <w:rsid w:val="6F4B2014"/>
    <w:rsid w:val="6F8331F1"/>
    <w:rsid w:val="6FAE1A09"/>
    <w:rsid w:val="6FD75BF8"/>
    <w:rsid w:val="7015480C"/>
    <w:rsid w:val="70585DB5"/>
    <w:rsid w:val="707723D0"/>
    <w:rsid w:val="70951DFF"/>
    <w:rsid w:val="70C8377B"/>
    <w:rsid w:val="70F5661B"/>
    <w:rsid w:val="70FA031E"/>
    <w:rsid w:val="71091281"/>
    <w:rsid w:val="71280E21"/>
    <w:rsid w:val="71283699"/>
    <w:rsid w:val="71345422"/>
    <w:rsid w:val="71360107"/>
    <w:rsid w:val="713B688E"/>
    <w:rsid w:val="7170522D"/>
    <w:rsid w:val="71752277"/>
    <w:rsid w:val="71805602"/>
    <w:rsid w:val="71D43752"/>
    <w:rsid w:val="71EE501B"/>
    <w:rsid w:val="71F1796A"/>
    <w:rsid w:val="72154626"/>
    <w:rsid w:val="721E1E3F"/>
    <w:rsid w:val="72262B5D"/>
    <w:rsid w:val="72283FF7"/>
    <w:rsid w:val="722E7212"/>
    <w:rsid w:val="723A0474"/>
    <w:rsid w:val="723F6B0D"/>
    <w:rsid w:val="725923E4"/>
    <w:rsid w:val="72864BF7"/>
    <w:rsid w:val="729023FC"/>
    <w:rsid w:val="72A423C8"/>
    <w:rsid w:val="72AD22E1"/>
    <w:rsid w:val="72B372E1"/>
    <w:rsid w:val="72FA5514"/>
    <w:rsid w:val="731742D0"/>
    <w:rsid w:val="73472C17"/>
    <w:rsid w:val="73810A2E"/>
    <w:rsid w:val="73C0646E"/>
    <w:rsid w:val="73E059CF"/>
    <w:rsid w:val="740340C5"/>
    <w:rsid w:val="742222F5"/>
    <w:rsid w:val="74476126"/>
    <w:rsid w:val="746066F5"/>
    <w:rsid w:val="74706664"/>
    <w:rsid w:val="747F3682"/>
    <w:rsid w:val="749B1299"/>
    <w:rsid w:val="749C4185"/>
    <w:rsid w:val="74B6549D"/>
    <w:rsid w:val="74D2336D"/>
    <w:rsid w:val="75067759"/>
    <w:rsid w:val="752E6DCD"/>
    <w:rsid w:val="75374EE7"/>
    <w:rsid w:val="7551380D"/>
    <w:rsid w:val="755B317E"/>
    <w:rsid w:val="75600BE5"/>
    <w:rsid w:val="7564475C"/>
    <w:rsid w:val="756615CF"/>
    <w:rsid w:val="7583797F"/>
    <w:rsid w:val="758722D4"/>
    <w:rsid w:val="758E3908"/>
    <w:rsid w:val="75D20F1D"/>
    <w:rsid w:val="75DA2C18"/>
    <w:rsid w:val="75E713C0"/>
    <w:rsid w:val="75EE03DC"/>
    <w:rsid w:val="75F54412"/>
    <w:rsid w:val="76125E91"/>
    <w:rsid w:val="761D08E0"/>
    <w:rsid w:val="765D347C"/>
    <w:rsid w:val="76787555"/>
    <w:rsid w:val="76826699"/>
    <w:rsid w:val="76986431"/>
    <w:rsid w:val="76C87133"/>
    <w:rsid w:val="76CD08D5"/>
    <w:rsid w:val="76D127D4"/>
    <w:rsid w:val="76DB4B92"/>
    <w:rsid w:val="76DF08BF"/>
    <w:rsid w:val="77017403"/>
    <w:rsid w:val="77052AA4"/>
    <w:rsid w:val="77136511"/>
    <w:rsid w:val="77340A39"/>
    <w:rsid w:val="77351FD0"/>
    <w:rsid w:val="7745698E"/>
    <w:rsid w:val="77472422"/>
    <w:rsid w:val="775E5C88"/>
    <w:rsid w:val="777F31F2"/>
    <w:rsid w:val="77930DBD"/>
    <w:rsid w:val="77D1700D"/>
    <w:rsid w:val="77EC04CC"/>
    <w:rsid w:val="77EF5AEB"/>
    <w:rsid w:val="77F83E94"/>
    <w:rsid w:val="780C028E"/>
    <w:rsid w:val="781A1DFC"/>
    <w:rsid w:val="783A7132"/>
    <w:rsid w:val="78775729"/>
    <w:rsid w:val="78A42DB0"/>
    <w:rsid w:val="78A656AB"/>
    <w:rsid w:val="78A958E0"/>
    <w:rsid w:val="78B2245C"/>
    <w:rsid w:val="78E172CC"/>
    <w:rsid w:val="78EA1D1F"/>
    <w:rsid w:val="78F93394"/>
    <w:rsid w:val="7904172F"/>
    <w:rsid w:val="790F7E27"/>
    <w:rsid w:val="792A231A"/>
    <w:rsid w:val="79316829"/>
    <w:rsid w:val="796E79AA"/>
    <w:rsid w:val="79715C01"/>
    <w:rsid w:val="797E66A9"/>
    <w:rsid w:val="79A97383"/>
    <w:rsid w:val="79D21CD2"/>
    <w:rsid w:val="79DD2640"/>
    <w:rsid w:val="79E27E8B"/>
    <w:rsid w:val="79F850CE"/>
    <w:rsid w:val="79FD443C"/>
    <w:rsid w:val="7A1D1975"/>
    <w:rsid w:val="7A3E5150"/>
    <w:rsid w:val="7A4670D6"/>
    <w:rsid w:val="7A4C24CB"/>
    <w:rsid w:val="7A4F2AA8"/>
    <w:rsid w:val="7A534B63"/>
    <w:rsid w:val="7A615382"/>
    <w:rsid w:val="7A67303B"/>
    <w:rsid w:val="7AAB1D04"/>
    <w:rsid w:val="7ABA4368"/>
    <w:rsid w:val="7AD05746"/>
    <w:rsid w:val="7B113533"/>
    <w:rsid w:val="7B257FFD"/>
    <w:rsid w:val="7B343476"/>
    <w:rsid w:val="7B3F7158"/>
    <w:rsid w:val="7B5A2978"/>
    <w:rsid w:val="7B5A7E4C"/>
    <w:rsid w:val="7B667AF9"/>
    <w:rsid w:val="7B737828"/>
    <w:rsid w:val="7B7468F8"/>
    <w:rsid w:val="7B7D4202"/>
    <w:rsid w:val="7BA7166E"/>
    <w:rsid w:val="7BB6739F"/>
    <w:rsid w:val="7BDE7397"/>
    <w:rsid w:val="7BEE0103"/>
    <w:rsid w:val="7C0A0FE4"/>
    <w:rsid w:val="7C254906"/>
    <w:rsid w:val="7C590818"/>
    <w:rsid w:val="7C7037C2"/>
    <w:rsid w:val="7C764345"/>
    <w:rsid w:val="7C78666F"/>
    <w:rsid w:val="7C7C10F6"/>
    <w:rsid w:val="7C853BEA"/>
    <w:rsid w:val="7C881368"/>
    <w:rsid w:val="7CE27788"/>
    <w:rsid w:val="7CE56A95"/>
    <w:rsid w:val="7D0C32F1"/>
    <w:rsid w:val="7D0F408D"/>
    <w:rsid w:val="7D284070"/>
    <w:rsid w:val="7D491C6C"/>
    <w:rsid w:val="7D5429C0"/>
    <w:rsid w:val="7D6E6D43"/>
    <w:rsid w:val="7D8B2C3C"/>
    <w:rsid w:val="7DAC3CA8"/>
    <w:rsid w:val="7DB57A34"/>
    <w:rsid w:val="7DD2306B"/>
    <w:rsid w:val="7DD77101"/>
    <w:rsid w:val="7DE60973"/>
    <w:rsid w:val="7DE75AA1"/>
    <w:rsid w:val="7DEE5506"/>
    <w:rsid w:val="7DEF0916"/>
    <w:rsid w:val="7DFFECEA"/>
    <w:rsid w:val="7E0368A3"/>
    <w:rsid w:val="7E1E5218"/>
    <w:rsid w:val="7E2A2EFD"/>
    <w:rsid w:val="7E6B60AA"/>
    <w:rsid w:val="7E9A4E1F"/>
    <w:rsid w:val="7EA7723A"/>
    <w:rsid w:val="7EBA2443"/>
    <w:rsid w:val="7EC14847"/>
    <w:rsid w:val="7EF56FBB"/>
    <w:rsid w:val="7EFD5503"/>
    <w:rsid w:val="7F0768EB"/>
    <w:rsid w:val="7F090DDA"/>
    <w:rsid w:val="7F143BEC"/>
    <w:rsid w:val="7F1A7159"/>
    <w:rsid w:val="7F715AF2"/>
    <w:rsid w:val="7F886E69"/>
    <w:rsid w:val="7F8F7E3F"/>
    <w:rsid w:val="7F977A1B"/>
    <w:rsid w:val="7FCC5E52"/>
    <w:rsid w:val="7FE919F7"/>
    <w:rsid w:val="7FF87E3A"/>
    <w:rsid w:val="88A0D0E6"/>
    <w:rsid w:val="BB7FA927"/>
    <w:rsid w:val="F5FFD31F"/>
    <w:rsid w:val="FFFAD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100" w:after="90" w:line="578" w:lineRule="auto"/>
      <w:ind w:left="0" w:hanging="432"/>
      <w:jc w:val="center"/>
      <w:outlineLvl w:val="0"/>
    </w:pPr>
    <w:rPr>
      <w:rFonts w:ascii="Times New Roman" w:hAnsi="Times New Roman" w:eastAsia="仿宋"/>
      <w:b/>
      <w:bCs/>
      <w:kern w:val="44"/>
      <w:sz w:val="36"/>
      <w:szCs w:val="44"/>
    </w:rPr>
  </w:style>
  <w:style w:type="paragraph" w:styleId="4">
    <w:name w:val="heading 2"/>
    <w:basedOn w:val="1"/>
    <w:next w:val="1"/>
    <w:link w:val="975"/>
    <w:qFormat/>
    <w:uiPriority w:val="0"/>
    <w:pPr>
      <w:keepNext/>
      <w:keepLines/>
      <w:tabs>
        <w:tab w:val="left" w:pos="432"/>
      </w:tabs>
      <w:adjustRightInd/>
      <w:spacing w:line="360" w:lineRule="auto"/>
      <w:ind w:left="432" w:hanging="432"/>
      <w:jc w:val="center"/>
      <w:outlineLvl w:val="1"/>
    </w:pPr>
    <w:rPr>
      <w:rFonts w:ascii="仿宋_GB2312" w:hAnsi="仿宋_GB2312" w:eastAsia="仿宋"/>
      <w:b/>
      <w:bCs/>
      <w:sz w:val="32"/>
      <w:szCs w:val="32"/>
      <w:lang w:val="zh-CN"/>
    </w:rPr>
  </w:style>
  <w:style w:type="paragraph" w:styleId="5">
    <w:name w:val="heading 3"/>
    <w:basedOn w:val="1"/>
    <w:next w:val="1"/>
    <w:qFormat/>
    <w:uiPriority w:val="0"/>
    <w:pPr>
      <w:keepNext/>
      <w:keepLines/>
      <w:tabs>
        <w:tab w:val="left" w:pos="900"/>
      </w:tabs>
      <w:spacing w:before="20" w:after="20" w:line="416" w:lineRule="auto"/>
      <w:ind w:left="900" w:hanging="720"/>
      <w:outlineLvl w:val="2"/>
    </w:pPr>
    <w:rPr>
      <w:rFonts w:ascii="Times New Roman" w:hAnsi="Times New Roman" w:eastAsia="仿宋"/>
      <w:b/>
      <w:bCs/>
      <w:sz w:val="24"/>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rPr>
      <w:rFonts w:ascii="仿宋" w:hAnsi="仿宋" w:eastAsia="仿宋" w:cs="仿宋"/>
      <w:color w:val="FF0000"/>
      <w:sz w:val="24"/>
    </w:r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24"/>
    <w:next w:val="1"/>
    <w:link w:val="322"/>
    <w:qFormat/>
    <w:uiPriority w:val="0"/>
    <w:pPr>
      <w:ind w:firstLine="420"/>
    </w:pPr>
    <w:rPr>
      <w:rFonts w:hAnsi="Calibri"/>
      <w:szCs w:val="20"/>
    </w:rPr>
  </w:style>
  <w:style w:type="paragraph" w:styleId="62">
    <w:name w:val="Body Text First Indent 2"/>
    <w:basedOn w:val="25"/>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rFonts w:ascii="Times New Roman" w:hAnsi="Times New Roman" w:eastAsia="仿宋"/>
      <w:b/>
      <w:bCs/>
      <w:kern w:val="44"/>
      <w:sz w:val="36"/>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rFonts w:ascii="仿宋" w:hAnsi="仿宋" w:eastAsia="仿宋" w:cs="仿宋"/>
      <w:color w:val="FF0000"/>
      <w:kern w:val="2"/>
      <w:sz w:val="24"/>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440"/>
    <w:next w:val="440"/>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40">
    <w:name w:val="第一部分"/>
    <w:basedOn w:val="1"/>
    <w:qFormat/>
    <w:uiPriority w:val="0"/>
    <w:pPr>
      <w:jc w:val="center"/>
    </w:pPr>
    <w:rPr>
      <w:b/>
      <w:sz w:val="36"/>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next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大标题"/>
    <w:basedOn w:val="439"/>
    <w:qFormat/>
    <w:uiPriority w:val="0"/>
    <w:rPr>
      <w:szCs w:val="36"/>
    </w:rPr>
  </w:style>
  <w:style w:type="paragraph" w:customStyle="1" w:styleId="966">
    <w:name w:val="WPSOffice手动目录 1"/>
    <w:qFormat/>
    <w:uiPriority w:val="0"/>
    <w:rPr>
      <w:rFonts w:ascii="Times New Roman" w:hAnsi="Times New Roman" w:eastAsia="宋体" w:cs="Times New Roman"/>
      <w:lang w:val="en-US" w:eastAsia="zh-CN" w:bidi="ar-SA"/>
    </w:rPr>
  </w:style>
  <w:style w:type="paragraph" w:customStyle="1" w:styleId="96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8">
    <w:name w:val="Body text|1"/>
    <w:basedOn w:val="1"/>
    <w:qFormat/>
    <w:uiPriority w:val="0"/>
    <w:pPr>
      <w:spacing w:line="480" w:lineRule="auto"/>
      <w:ind w:firstLine="140"/>
    </w:pPr>
    <w:rPr>
      <w:rFonts w:ascii="宋体" w:hAnsi="宋体" w:cs="宋体"/>
      <w:sz w:val="22"/>
      <w:szCs w:val="22"/>
      <w:lang w:val="zh-TW" w:eastAsia="zh-TW" w:bidi="zh-TW"/>
    </w:rPr>
  </w:style>
  <w:style w:type="character" w:customStyle="1" w:styleId="969">
    <w:name w:val="标题 2 字符1"/>
    <w:qFormat/>
    <w:uiPriority w:val="0"/>
    <w:rPr>
      <w:rFonts w:ascii="Arial" w:hAnsi="Arial" w:eastAsia="宋体"/>
      <w:b/>
      <w:bCs/>
      <w:kern w:val="2"/>
      <w:sz w:val="28"/>
      <w:szCs w:val="32"/>
      <w:lang w:val="en-US" w:eastAsia="zh-CN" w:bidi="ar-SA"/>
    </w:rPr>
  </w:style>
  <w:style w:type="paragraph" w:customStyle="1" w:styleId="970">
    <w:name w:val="正文内容"/>
    <w:basedOn w:val="1"/>
    <w:qFormat/>
    <w:uiPriority w:val="0"/>
    <w:pPr>
      <w:spacing w:line="400" w:lineRule="exact"/>
      <w:ind w:firstLine="560" w:firstLineChars="200"/>
    </w:pPr>
    <w:rPr>
      <w:rFonts w:ascii="宋体" w:hAnsi="宋体" w:cs="黑体"/>
      <w:color w:val="000000"/>
      <w:sz w:val="28"/>
      <w:szCs w:val="28"/>
    </w:rPr>
  </w:style>
  <w:style w:type="paragraph" w:customStyle="1" w:styleId="971">
    <w:name w:val="Normal Indent1"/>
    <w:basedOn w:val="1"/>
    <w:next w:val="24"/>
    <w:qFormat/>
    <w:uiPriority w:val="0"/>
    <w:pPr>
      <w:ind w:firstLine="420" w:firstLineChars="200"/>
    </w:pPr>
  </w:style>
  <w:style w:type="paragraph" w:customStyle="1" w:styleId="972">
    <w:name w:val="Other|1"/>
    <w:basedOn w:val="1"/>
    <w:qFormat/>
    <w:uiPriority w:val="0"/>
    <w:pPr>
      <w:spacing w:line="322" w:lineRule="exact"/>
    </w:pPr>
    <w:rPr>
      <w:rFonts w:ascii="MingLiU" w:hAnsi="MingLiU" w:eastAsia="MingLiU" w:cs="MingLiU"/>
      <w:sz w:val="19"/>
      <w:szCs w:val="19"/>
      <w:lang w:val="zh-TW" w:eastAsia="zh-TW" w:bidi="zh-TW"/>
    </w:rPr>
  </w:style>
  <w:style w:type="table" w:customStyle="1" w:styleId="973">
    <w:name w:val="Table Normal"/>
    <w:unhideWhenUsed/>
    <w:qFormat/>
    <w:uiPriority w:val="0"/>
    <w:tblPr>
      <w:tblCellMar>
        <w:top w:w="0" w:type="dxa"/>
        <w:left w:w="0" w:type="dxa"/>
        <w:bottom w:w="0" w:type="dxa"/>
        <w:right w:w="0" w:type="dxa"/>
      </w:tblCellMar>
    </w:tblPr>
  </w:style>
  <w:style w:type="paragraph" w:customStyle="1" w:styleId="974">
    <w:name w:val="_正文"/>
    <w:basedOn w:val="1"/>
    <w:qFormat/>
    <w:uiPriority w:val="0"/>
    <w:pPr>
      <w:tabs>
        <w:tab w:val="left" w:pos="840"/>
      </w:tabs>
      <w:adjustRightInd/>
      <w:spacing w:line="360" w:lineRule="auto"/>
      <w:ind w:firstLine="200" w:firstLineChars="200"/>
    </w:pPr>
    <w:rPr>
      <w:sz w:val="24"/>
    </w:rPr>
  </w:style>
  <w:style w:type="character" w:customStyle="1" w:styleId="975">
    <w:name w:val="标题 2 Char1"/>
    <w:link w:val="4"/>
    <w:qFormat/>
    <w:uiPriority w:val="0"/>
    <w:rPr>
      <w:rFonts w:ascii="仿宋_GB2312" w:hAnsi="仿宋_GB2312" w:eastAsia="仿宋"/>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19552</Words>
  <Characters>20922</Characters>
  <Lines>401</Lines>
  <Paragraphs>113</Paragraphs>
  <TotalTime>0</TotalTime>
  <ScaleCrop>false</ScaleCrop>
  <LinksUpToDate>false</LinksUpToDate>
  <CharactersWithSpaces>21163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2024-04-03T09:59:00Z</dcterms:created>
  <dc:creator>玥</dc:creator>
  <cp:lastModifiedBy>飘</cp:lastModifiedBy>
  <cp:lastPrinted>2024-01-30T01:09:00Z</cp:lastPrinted>
  <dcterms:modified xsi:type="dcterms:W3CDTF">2025-07-09T07:56:28Z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A2AC482C61474DC8B9D38BEDE695D33F_13</vt:lpwstr>
  </property>
  <property fmtid="{D5CDD505-2E9C-101B-9397-08002B2CF9AE}" pid="5" name="KSOTemplateDocerSaveRecord">
    <vt:lpwstr>eyJoZGlkIjoiN2YzNjBkOTgyNWQ1YTMxYzM3MzMwNWFiODNmOWIzYWMiLCJ1c2VySWQiOiIzNDg1NTYyMTIifQ==</vt:lpwstr>
  </property>
</Properties>
</file>