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C2707">
      <w:pPr>
        <w:wordWrap w:val="0"/>
        <w:snapToGrid w:val="0"/>
        <w:spacing w:beforeLines="0" w:afterLines="0" w:line="360" w:lineRule="auto"/>
        <w:jc w:val="center"/>
        <w:rPr>
          <w:rFonts w:ascii="仿宋" w:hAnsi="仿宋" w:eastAsia="仿宋" w:cs="仿宋"/>
          <w:b/>
          <w:color w:val="auto"/>
          <w:sz w:val="24"/>
          <w:highlight w:val="none"/>
        </w:rPr>
      </w:pPr>
    </w:p>
    <w:p w14:paraId="75030395">
      <w:pPr>
        <w:wordWrap w:val="0"/>
        <w:snapToGrid w:val="0"/>
        <w:spacing w:beforeLines="0" w:afterLines="0" w:line="360" w:lineRule="auto"/>
        <w:jc w:val="center"/>
        <w:rPr>
          <w:rFonts w:ascii="仿宋" w:hAnsi="仿宋" w:eastAsia="仿宋" w:cs="仿宋"/>
          <w:b/>
          <w:color w:val="auto"/>
          <w:sz w:val="24"/>
          <w:highlight w:val="none"/>
        </w:rPr>
      </w:pPr>
    </w:p>
    <w:p w14:paraId="3218A9BB">
      <w:pPr>
        <w:wordWrap w:val="0"/>
        <w:adjustRightInd/>
        <w:snapToGrid w:val="0"/>
        <w:spacing w:beforeLines="0" w:afterLines="0" w:line="360" w:lineRule="auto"/>
        <w:jc w:val="center"/>
        <w:rPr>
          <w:rFonts w:ascii="仿宋" w:hAnsi="仿宋" w:eastAsia="仿宋" w:cs="仿宋"/>
          <w:b/>
          <w:color w:val="auto"/>
          <w:sz w:val="44"/>
          <w:szCs w:val="44"/>
          <w:highlight w:val="none"/>
        </w:rPr>
      </w:pPr>
    </w:p>
    <w:p w14:paraId="7CEF3C0C">
      <w:pPr>
        <w:wordWrap w:val="0"/>
        <w:snapToGrid w:val="0"/>
        <w:spacing w:beforeLines="0" w:afterLines="0" w:line="360" w:lineRule="auto"/>
        <w:jc w:val="center"/>
        <w:rPr>
          <w:rFonts w:ascii="仿宋" w:hAnsi="仿宋" w:eastAsia="仿宋" w:cs="仿宋"/>
          <w:b/>
          <w:color w:val="auto"/>
          <w:sz w:val="44"/>
          <w:szCs w:val="44"/>
          <w:highlight w:val="none"/>
        </w:rPr>
      </w:pPr>
    </w:p>
    <w:p w14:paraId="53A91261">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 xml:space="preserve">2025-2027年度企业退休人员文娱健身活动服务单位 </w:t>
      </w:r>
    </w:p>
    <w:p w14:paraId="7F808CB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C8D920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F4C79A8">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ZHDL2025-DGJD-01</w:t>
      </w: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BC8996A">
      <w:pPr>
        <w:spacing w:line="360" w:lineRule="auto"/>
        <w:jc w:val="center"/>
        <w:rPr>
          <w:rFonts w:hint="eastAsia" w:ascii="仿宋" w:hAnsi="仿宋" w:eastAsia="仿宋" w:cs="仿宋"/>
          <w:b/>
          <w:color w:val="auto"/>
          <w:sz w:val="44"/>
          <w:szCs w:val="44"/>
          <w:highlight w:val="none"/>
        </w:rPr>
      </w:pP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1FEBC43C">
      <w:pPr>
        <w:snapToGrid w:val="0"/>
        <w:spacing w:line="360" w:lineRule="auto"/>
        <w:jc w:val="center"/>
        <w:rPr>
          <w:rFonts w:hint="eastAsia" w:ascii="仿宋" w:hAnsi="仿宋" w:eastAsia="仿宋" w:cs="仿宋"/>
          <w:color w:val="auto"/>
          <w:sz w:val="32"/>
          <w:szCs w:val="32"/>
          <w:highlight w:val="none"/>
          <w:lang w:eastAsia="zh-CN"/>
        </w:rPr>
      </w:pPr>
    </w:p>
    <w:p w14:paraId="48366948">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杭州市拱墅区人民政府大关街道办事处</w:t>
      </w:r>
    </w:p>
    <w:p w14:paraId="289DCB78">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浙江正淏招标代理有限公司</w:t>
      </w:r>
    </w:p>
    <w:p w14:paraId="59BEA59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328E5C42">
      <w:pPr>
        <w:pStyle w:val="80"/>
        <w:rPr>
          <w:rFonts w:hint="eastAsia"/>
          <w:color w:val="auto"/>
          <w:highlight w:val="none"/>
        </w:rPr>
      </w:pPr>
    </w:p>
    <w:p w14:paraId="3177DF59">
      <w:pPr>
        <w:wordWrap w:val="0"/>
        <w:snapToGrid w:val="0"/>
        <w:spacing w:beforeLines="0" w:afterLines="0" w:line="360" w:lineRule="auto"/>
        <w:jc w:val="center"/>
        <w:rPr>
          <w:rFonts w:ascii="仿宋" w:hAnsi="仿宋" w:eastAsia="仿宋" w:cs="仿宋"/>
          <w:color w:val="auto"/>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14:paraId="1997796D">
      <w:pPr>
        <w:pStyle w:val="60"/>
        <w:snapToGrid w:val="0"/>
        <w:spacing w:beforeLines="0" w:afterLines="0" w:line="360" w:lineRule="auto"/>
        <w:rPr>
          <w:rFonts w:ascii="仿宋" w:hAnsi="仿宋" w:eastAsia="仿宋" w:cs="仿宋"/>
          <w:color w:val="auto"/>
          <w:highlight w:val="none"/>
        </w:rPr>
      </w:pPr>
    </w:p>
    <w:p w14:paraId="1D0BBD00">
      <w:pPr>
        <w:wordWrap w:val="0"/>
        <w:snapToGrid w:val="0"/>
        <w:spacing w:beforeLines="0" w:afterLines="0" w:line="360" w:lineRule="auto"/>
        <w:ind w:firstLine="1103" w:firstLineChars="229"/>
        <w:rPr>
          <w:rFonts w:ascii="仿宋" w:hAnsi="仿宋" w:eastAsia="仿宋" w:cs="仿宋"/>
          <w:b/>
          <w:color w:val="auto"/>
          <w:sz w:val="48"/>
          <w:szCs w:val="48"/>
          <w:highlight w:val="none"/>
        </w:rPr>
      </w:pPr>
      <w:bookmarkStart w:id="0" w:name="_Hlt91233176"/>
      <w:bookmarkEnd w:id="0"/>
      <w:bookmarkStart w:id="1" w:name="_Toc91899869"/>
      <w:r>
        <w:rPr>
          <w:rFonts w:hint="eastAsia" w:ascii="仿宋" w:hAnsi="仿宋" w:eastAsia="仿宋" w:cs="仿宋"/>
          <w:b/>
          <w:color w:val="auto"/>
          <w:sz w:val="48"/>
          <w:szCs w:val="48"/>
          <w:highlight w:val="none"/>
        </w:rPr>
        <w:t xml:space="preserve"> </w:t>
      </w:r>
    </w:p>
    <w:p w14:paraId="3A81E8E2">
      <w:pPr>
        <w:wordWrap w:val="0"/>
        <w:snapToGrid w:val="0"/>
        <w:spacing w:beforeLines="0" w:afterLines="0"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0EB320C0">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7D4BBC">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"_Toc30254"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_Toc30254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B29614">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"_Toc8370"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_Toc8370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627165">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"_Toc27989"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_Toc27989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CA90AB">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"_Toc30437"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C92E5D">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_Toc9348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6542567">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"_Toc19751"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_Toc19751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4424678">
      <w:pPr>
        <w:pStyle w:val="44"/>
        <w:tabs>
          <w:tab w:val="right" w:leader="dot" w:pos="9071"/>
        </w:tabs>
        <w:snapToGrid w:val="0"/>
        <w:spacing w:beforeLines="0" w:afterLines="0" w:line="360" w:lineRule="auto"/>
        <w:rPr>
          <w:rFonts w:ascii="仿宋" w:hAnsi="仿宋" w:eastAsia="仿宋" w:cs="仿宋"/>
          <w:color w:val="auto"/>
          <w:highlight w:val="none"/>
        </w:rPr>
      </w:pPr>
    </w:p>
    <w:p w14:paraId="4800B7C5">
      <w:pPr>
        <w:wordWrap w:val="0"/>
        <w:snapToGrid w:val="0"/>
        <w:spacing w:beforeLines="0" w:afterLines="0" w:line="360" w:lineRule="auto"/>
        <w:ind w:firstLine="641" w:firstLineChars="229"/>
        <w:rPr>
          <w:rFonts w:ascii="仿宋" w:hAnsi="仿宋" w:eastAsia="仿宋" w:cs="仿宋"/>
          <w:color w:val="auto"/>
          <w:sz w:val="24"/>
          <w:highlight w:val="none"/>
        </w:rPr>
      </w:pPr>
      <w:r>
        <w:rPr>
          <w:rFonts w:hint="eastAsia" w:ascii="仿宋" w:hAnsi="仿宋" w:eastAsia="仿宋" w:cs="仿宋"/>
          <w:color w:val="auto"/>
          <w:sz w:val="28"/>
          <w:szCs w:val="28"/>
          <w:highlight w:val="none"/>
        </w:rPr>
        <w:fldChar w:fldCharType="end"/>
      </w:r>
    </w:p>
    <w:p w14:paraId="2E483928">
      <w:pPr>
        <w:wordWrap w:val="0"/>
        <w:snapToGrid w:val="0"/>
        <w:spacing w:beforeLines="0" w:afterLines="0" w:line="360" w:lineRule="auto"/>
        <w:rPr>
          <w:rFonts w:ascii="仿宋" w:hAnsi="仿宋" w:eastAsia="仿宋" w:cs="仿宋"/>
          <w:color w:val="auto"/>
          <w:sz w:val="24"/>
          <w:highlight w:val="none"/>
        </w:rPr>
      </w:pPr>
    </w:p>
    <w:bookmarkEnd w:id="1"/>
    <w:p w14:paraId="41E3E229">
      <w:pPr>
        <w:wordWrap w:val="0"/>
        <w:adjustRightInd/>
        <w:snapToGrid w:val="0"/>
        <w:spacing w:beforeLines="0" w:afterLines="0" w:line="360" w:lineRule="auto"/>
        <w:jc w:val="center"/>
        <w:outlineLvl w:val="0"/>
        <w:rPr>
          <w:rFonts w:ascii="仿宋" w:hAnsi="仿宋" w:eastAsia="仿宋" w:cs="仿宋"/>
          <w:b/>
          <w:color w:val="auto"/>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_Toc31815"/>
      <w:bookmarkStart w:id="7" w:name="_Toc12153"/>
      <w:bookmarkStart w:id="8" w:name="_Toc597"/>
      <w:bookmarkStart w:id="9" w:name="_Toc20857"/>
      <w:bookmarkStart w:id="10" w:name="_Toc22995"/>
      <w:bookmarkStart w:id="11" w:name="_Toc18065"/>
      <w:bookmarkStart w:id="12" w:name="_Toc14735"/>
      <w:bookmarkStart w:id="13" w:name="第二部分"/>
      <w:bookmarkStart w:id="14" w:name="_Toc91899870"/>
      <w:bookmarkStart w:id="15" w:name="_Toc91899871"/>
    </w:p>
    <w:p w14:paraId="7799A736">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bookmarkEnd w:id="6"/>
      <w:bookmarkEnd w:id="7"/>
      <w:bookmarkEnd w:id="8"/>
      <w:bookmarkEnd w:id="9"/>
      <w:bookmarkEnd w:id="10"/>
      <w:bookmarkEnd w:id="11"/>
      <w:bookmarkEnd w:id="12"/>
    </w:p>
    <w:p w14:paraId="7A5582B7">
      <w:pPr>
        <w:pBdr>
          <w:top w:val="single" w:color="auto" w:sz="8" w:space="1"/>
          <w:left w:val="single" w:color="auto" w:sz="8" w:space="4"/>
          <w:bottom w:val="single" w:color="auto" w:sz="8" w:space="1"/>
          <w:right w:val="single" w:color="auto" w:sz="8"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2D2BADF">
      <w:pPr>
        <w:pBdr>
          <w:top w:val="single" w:color="auto" w:sz="8" w:space="1"/>
          <w:left w:val="single" w:color="auto" w:sz="8" w:space="4"/>
          <w:bottom w:val="single" w:color="auto" w:sz="8" w:space="1"/>
          <w:right w:val="single" w:color="auto" w:sz="8" w:space="4"/>
        </w:pBdr>
        <w:wordWrap w:val="0"/>
        <w:overflowPunct w:val="0"/>
        <w:autoSpaceDE w:val="0"/>
        <w:autoSpaceDN w:val="0"/>
        <w:spacing w:line="360" w:lineRule="auto"/>
        <w:ind w:firstLine="482" w:firstLineChars="200"/>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single"/>
          <w:lang w:eastAsia="zh-CN"/>
        </w:rPr>
        <w:t xml:space="preserve">2025-2027年度企业退休人员文娱健身活动服务单位 </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Style w:val="77"/>
          <w:rFonts w:hint="eastAsia" w:ascii="仿宋" w:hAnsi="仿宋" w:eastAsia="仿宋" w:cs="仿宋"/>
          <w:snapToGrid/>
          <w:color w:val="auto"/>
          <w:kern w:val="2"/>
          <w:sz w:val="24"/>
          <w:szCs w:val="24"/>
          <w:highlight w:val="none"/>
          <w:lang w:eastAsia="zh-CN"/>
        </w:rPr>
        <w:t>2025年</w:t>
      </w:r>
      <w:r>
        <w:rPr>
          <w:rStyle w:val="77"/>
          <w:rFonts w:hint="eastAsia" w:ascii="仿宋" w:hAnsi="仿宋" w:eastAsia="仿宋" w:cs="仿宋"/>
          <w:b/>
          <w:bCs/>
          <w:snapToGrid/>
          <w:color w:val="auto"/>
          <w:kern w:val="2"/>
          <w:sz w:val="24"/>
          <w:szCs w:val="24"/>
          <w:highlight w:val="none"/>
          <w:lang w:val="en-US" w:eastAsia="zh-CN"/>
        </w:rPr>
        <w:t>07</w:t>
      </w:r>
      <w:r>
        <w:rPr>
          <w:rStyle w:val="77"/>
          <w:rFonts w:hint="eastAsia" w:ascii="仿宋" w:hAnsi="仿宋" w:eastAsia="仿宋" w:cs="仿宋"/>
          <w:b/>
          <w:bCs/>
          <w:snapToGrid/>
          <w:color w:val="auto"/>
          <w:kern w:val="2"/>
          <w:sz w:val="24"/>
          <w:szCs w:val="24"/>
          <w:highlight w:val="none"/>
        </w:rPr>
        <w:t>月</w:t>
      </w:r>
      <w:r>
        <w:rPr>
          <w:rStyle w:val="77"/>
          <w:rFonts w:hint="eastAsia" w:ascii="仿宋" w:hAnsi="仿宋" w:eastAsia="仿宋" w:cs="仿宋"/>
          <w:b/>
          <w:bCs/>
          <w:snapToGrid/>
          <w:color w:val="auto"/>
          <w:kern w:val="2"/>
          <w:sz w:val="24"/>
          <w:szCs w:val="24"/>
          <w:highlight w:val="none"/>
          <w:lang w:val="en-US" w:eastAsia="zh-CN"/>
        </w:rPr>
        <w:t>10</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13</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30分00秒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03C7440B">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22FB0255">
      <w:pPr>
        <w:keepNext w:val="0"/>
        <w:keepLines w:val="0"/>
        <w:pageBreakBefore w:val="0"/>
        <w:kinsoku/>
        <w:wordWrap w:val="0"/>
        <w:overflowPunct/>
        <w:topLinePunct w:val="0"/>
        <w:bidi w:val="0"/>
        <w:snapToGrid w:val="0"/>
        <w:spacing w:beforeLines="0" w:afterLines="0" w:line="360" w:lineRule="auto"/>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ZHDL2025-DGJD-01</w:t>
      </w:r>
    </w:p>
    <w:p w14:paraId="110151F0">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6" w:name="_Hlk91669529"/>
      <w:r>
        <w:rPr>
          <w:rFonts w:hint="eastAsia" w:ascii="仿宋" w:hAnsi="仿宋" w:eastAsia="仿宋" w:cs="仿宋"/>
          <w:b/>
          <w:color w:val="auto"/>
          <w:sz w:val="24"/>
          <w:highlight w:val="none"/>
          <w:lang w:eastAsia="zh-CN"/>
        </w:rPr>
        <w:t xml:space="preserve">2025-2027年度企业退休人员文娱健身活动服务单位 </w:t>
      </w:r>
    </w:p>
    <w:bookmarkEnd w:id="16"/>
    <w:p w14:paraId="014808A1">
      <w:pPr>
        <w:keepNext w:val="0"/>
        <w:keepLines w:val="0"/>
        <w:pageBreakBefore w:val="0"/>
        <w:kinsoku/>
        <w:wordWrap w:val="0"/>
        <w:overflowPunct/>
        <w:topLinePunct w:val="0"/>
        <w:bidi w:val="0"/>
        <w:snapToGrid w:val="0"/>
        <w:spacing w:beforeLines="0" w:afterLines="0" w:line="360" w:lineRule="auto"/>
        <w:textAlignment w:val="auto"/>
        <w:outlineLvl w:val="9"/>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5100000.00</w:t>
      </w:r>
    </w:p>
    <w:p w14:paraId="782EA6E5">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5100000.00（标项一4814000.00.标项二286000.00）</w:t>
      </w:r>
    </w:p>
    <w:p w14:paraId="6AD9A666">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665EB44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标项一</w:t>
      </w:r>
    </w:p>
    <w:p w14:paraId="3F6B0F2D">
      <w:pPr>
        <w:pStyle w:val="16"/>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标项名称：</w:t>
      </w:r>
      <w:r>
        <w:rPr>
          <w:rFonts w:hint="eastAsia" w:ascii="仿宋" w:hAnsi="仿宋" w:eastAsia="仿宋" w:cs="仿宋"/>
          <w:color w:val="auto"/>
          <w:sz w:val="24"/>
          <w:highlight w:val="none"/>
          <w:lang w:eastAsia="zh-CN"/>
        </w:rPr>
        <w:t>2025-2027年度企业退休人员文娱健身活动承办服务</w:t>
      </w:r>
      <w:r>
        <w:rPr>
          <w:rFonts w:hint="eastAsia" w:ascii="仿宋" w:hAnsi="仿宋" w:eastAsia="仿宋" w:cs="仿宋"/>
          <w:color w:val="auto"/>
          <w:sz w:val="24"/>
          <w:highlight w:val="none"/>
        </w:rPr>
        <w:t>，</w:t>
      </w:r>
    </w:p>
    <w:p w14:paraId="61CFD007">
      <w:pPr>
        <w:pStyle w:val="16"/>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数量：1</w:t>
      </w:r>
    </w:p>
    <w:p w14:paraId="4A704CDC">
      <w:pPr>
        <w:pStyle w:val="16"/>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snapToGrid/>
          <w:color w:val="auto"/>
          <w:kern w:val="2"/>
          <w:sz w:val="24"/>
          <w:szCs w:val="24"/>
          <w:highlight w:val="none"/>
        </w:rPr>
      </w:pPr>
      <w:r>
        <w:rPr>
          <w:rFonts w:hint="eastAsia" w:ascii="仿宋" w:hAnsi="仿宋" w:eastAsia="仿宋" w:cs="仿宋"/>
          <w:b w:val="0"/>
          <w:bCs/>
          <w:color w:val="auto"/>
          <w:sz w:val="24"/>
          <w:highlight w:val="none"/>
          <w:lang w:val="en-US" w:eastAsia="zh-CN"/>
        </w:rPr>
        <w:t>预算金额（元）：</w:t>
      </w:r>
      <w:r>
        <w:rPr>
          <w:rFonts w:hint="eastAsia" w:ascii="仿宋" w:hAnsi="仿宋" w:cs="仿宋"/>
          <w:color w:val="auto"/>
          <w:sz w:val="24"/>
          <w:szCs w:val="28"/>
          <w:highlight w:val="none"/>
          <w:lang w:val="en-US" w:eastAsia="zh-CN"/>
        </w:rPr>
        <w:t>4814000，</w:t>
      </w: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详见招标文件第三部分采购需求。</w:t>
      </w:r>
    </w:p>
    <w:p w14:paraId="1FC1204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标项二</w:t>
      </w:r>
    </w:p>
    <w:p w14:paraId="40E7DA9A">
      <w:pPr>
        <w:pStyle w:val="16"/>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标项名称：</w:t>
      </w:r>
      <w:r>
        <w:rPr>
          <w:rFonts w:hint="eastAsia" w:ascii="仿宋" w:hAnsi="仿宋" w:eastAsia="仿宋" w:cs="仿宋"/>
          <w:color w:val="auto"/>
          <w:sz w:val="24"/>
          <w:highlight w:val="none"/>
          <w:lang w:eastAsia="zh-CN"/>
        </w:rPr>
        <w:t>2025-2027年度企业退休人员外出游览活动承办服务</w:t>
      </w:r>
      <w:r>
        <w:rPr>
          <w:rFonts w:hint="eastAsia" w:ascii="仿宋" w:hAnsi="仿宋" w:eastAsia="仿宋" w:cs="仿宋"/>
          <w:color w:val="auto"/>
          <w:sz w:val="24"/>
          <w:highlight w:val="none"/>
        </w:rPr>
        <w:t>，</w:t>
      </w:r>
    </w:p>
    <w:p w14:paraId="06EBB0E9">
      <w:pPr>
        <w:pStyle w:val="16"/>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数量：1</w:t>
      </w:r>
    </w:p>
    <w:p w14:paraId="5FC2B357">
      <w:pPr>
        <w:pStyle w:val="16"/>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snapToGrid/>
          <w:color w:val="auto"/>
          <w:kern w:val="2"/>
          <w:sz w:val="24"/>
          <w:szCs w:val="24"/>
          <w:highlight w:val="none"/>
        </w:rPr>
      </w:pPr>
      <w:r>
        <w:rPr>
          <w:rFonts w:hint="eastAsia" w:ascii="仿宋" w:hAnsi="仿宋" w:eastAsia="仿宋" w:cs="仿宋"/>
          <w:b w:val="0"/>
          <w:bCs/>
          <w:color w:val="auto"/>
          <w:sz w:val="24"/>
          <w:highlight w:val="none"/>
          <w:lang w:val="en-US" w:eastAsia="zh-CN"/>
        </w:rPr>
        <w:t>预算金额（元）：</w:t>
      </w:r>
      <w:r>
        <w:rPr>
          <w:rFonts w:hint="eastAsia" w:ascii="仿宋" w:hAnsi="仿宋" w:cs="仿宋"/>
          <w:color w:val="auto"/>
          <w:sz w:val="24"/>
          <w:szCs w:val="28"/>
          <w:highlight w:val="none"/>
          <w:lang w:val="en-US" w:eastAsia="zh-CN"/>
        </w:rPr>
        <w:t>286000，</w:t>
      </w: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详见招标文件第三部分采购需求。</w:t>
      </w:r>
    </w:p>
    <w:p w14:paraId="04C66EA9">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lang w:val="en-US" w:eastAsia="zh-CN"/>
        </w:rPr>
        <w:t>标项一、标项二，2025年-2027年。</w:t>
      </w:r>
    </w:p>
    <w:p w14:paraId="376F4C84">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14:paraId="47BF2AA4">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87233FA">
      <w:pPr>
        <w:keepNext w:val="0"/>
        <w:keepLines w:val="0"/>
        <w:pageBreakBefore w:val="0"/>
        <w:kinsoku/>
        <w:wordWrap w:val="0"/>
        <w:overflowPunct/>
        <w:topLinePunct w:val="0"/>
        <w:bidi w:val="0"/>
        <w:snapToGrid w:val="0"/>
        <w:spacing w:beforeLines="0" w:afterLines="0" w:line="360" w:lineRule="auto"/>
        <w:ind w:firstLine="48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D7A371">
      <w:pPr>
        <w:keepNext w:val="0"/>
        <w:keepLines w:val="0"/>
        <w:pageBreakBefore w:val="0"/>
        <w:tabs>
          <w:tab w:val="left" w:pos="432"/>
        </w:tabs>
        <w:kinsoku/>
        <w:overflowPunct/>
        <w:topLinePunct w:val="0"/>
        <w:bidi w:val="0"/>
        <w:snapToGrid w:val="0"/>
        <w:spacing w:beforeLines="0" w:afterLines="0" w:line="360" w:lineRule="auto"/>
        <w:ind w:left="0" w:firstLine="480" w:firstLineChars="200"/>
        <w:textAlignment w:val="auto"/>
        <w:outlineLvl w:val="9"/>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若联合体参加投标的，联合体成员均应满足资格要求，联合体成员不多于2个，项目负责人由牵头人派遣，并</w:t>
      </w:r>
      <w:r>
        <w:rPr>
          <w:rFonts w:hint="eastAsia" w:ascii="仿宋" w:hAnsi="仿宋" w:eastAsia="仿宋" w:cs="仿宋"/>
          <w:snapToGrid w:val="0"/>
          <w:color w:val="auto"/>
          <w:kern w:val="28"/>
          <w:sz w:val="24"/>
          <w:szCs w:val="20"/>
          <w:highlight w:val="none"/>
        </w:rPr>
        <w:t>提供联合协议。</w:t>
      </w:r>
    </w:p>
    <w:p w14:paraId="4697BF4F">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2AA7AA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107348D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A1B69A6">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14:paraId="03048BAB">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服务全部由符合政策要求的小微企业承接，提供中小企业声明函；</w:t>
      </w:r>
    </w:p>
    <w:p w14:paraId="5BEA8EA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如果供应商本身提供所有标的均由小微企业承接，视同符合了资格条件，无需再与其他小微企业组成联合体参加政府采购活动，无需提供联合协议</w:t>
      </w:r>
      <w:r>
        <w:rPr>
          <w:rFonts w:hint="eastAsia" w:ascii="仿宋" w:hAnsi="仿宋" w:eastAsia="仿宋" w:cs="仿宋"/>
          <w:color w:val="auto"/>
          <w:sz w:val="24"/>
          <w:highlight w:val="none"/>
        </w:rPr>
        <w:t>；</w:t>
      </w:r>
    </w:p>
    <w:p w14:paraId="5B62C56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14:paraId="730F579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4.本项目的特定资格要求：无。</w:t>
      </w:r>
    </w:p>
    <w:p w14:paraId="57870490">
      <w:pPr>
        <w:keepNext w:val="0"/>
        <w:keepLines w:val="0"/>
        <w:pageBreakBefore w:val="0"/>
        <w:numPr>
          <w:ilvl w:val="255"/>
          <w:numId w:val="0"/>
        </w:numPr>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DC0CA4">
      <w:pPr>
        <w:keepNext w:val="0"/>
        <w:keepLines w:val="0"/>
        <w:pageBreakBefore w:val="0"/>
        <w:widowControl/>
        <w:kinsoku/>
        <w:wordWrap w:val="0"/>
        <w:overflowPunct/>
        <w:topLinePunct w:val="0"/>
        <w:bidi w:val="0"/>
        <w:adjustRightInd/>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A868C11">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投标截止时间</w:t>
      </w:r>
      <w:r>
        <w:rPr>
          <w:rFonts w:hint="eastAsia" w:ascii="仿宋" w:hAnsi="仿宋" w:eastAsia="仿宋" w:cs="仿宋"/>
          <w:color w:val="auto"/>
          <w:sz w:val="24"/>
          <w:highlight w:val="none"/>
        </w:rPr>
        <w:t>（北京时间，线上获取法定节假日均可，线下获取文件法定节假日除外）</w:t>
      </w:r>
    </w:p>
    <w:p w14:paraId="0E70DF7F">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9AB4401">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A820F3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AB98BD3">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5B7D82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7251F7D">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AB6D5FE">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14:paraId="6CD70193">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B501325">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 xml:space="preserve">、公告期限 </w:t>
      </w:r>
    </w:p>
    <w:p w14:paraId="32F75DD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EE8CC68">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、其他补充事宜</w:t>
      </w:r>
    </w:p>
    <w:p w14:paraId="250B936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2B03A5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B686C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E9ABE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113F76">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、对本次采购提出询问、质疑、投诉，请按以下方式联系</w:t>
      </w:r>
    </w:p>
    <w:p w14:paraId="50DDD069">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C0F6B39">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eastAsia="zh-CN"/>
        </w:rPr>
        <w:t>杭州市拱墅区人民政府大关街道办事处</w:t>
      </w:r>
    </w:p>
    <w:p w14:paraId="6634D95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w:t>
      </w:r>
      <w:r>
        <w:rPr>
          <w:rFonts w:hint="eastAsia" w:ascii="仿宋" w:hAnsi="仿宋" w:eastAsia="仿宋" w:cs="仿宋"/>
          <w:color w:val="auto"/>
          <w:sz w:val="24"/>
          <w:highlight w:val="none"/>
          <w:lang w:val="zh-TW" w:eastAsia="zh-CN"/>
        </w:rPr>
        <w:t>拱墅区</w:t>
      </w:r>
      <w:r>
        <w:rPr>
          <w:rFonts w:hint="eastAsia" w:ascii="仿宋" w:hAnsi="仿宋" w:eastAsia="仿宋" w:cs="仿宋"/>
          <w:color w:val="auto"/>
          <w:sz w:val="24"/>
          <w:highlight w:val="none"/>
          <w:lang w:val="en-US" w:eastAsia="zh-CN"/>
        </w:rPr>
        <w:t>苑中路16</w:t>
      </w:r>
      <w:r>
        <w:rPr>
          <w:rFonts w:hint="eastAsia" w:ascii="仿宋" w:hAnsi="仿宋" w:eastAsia="仿宋" w:cs="仿宋"/>
          <w:color w:val="auto"/>
          <w:sz w:val="24"/>
          <w:highlight w:val="none"/>
          <w:lang w:val="zh-TW" w:eastAsia="zh-CN"/>
        </w:rPr>
        <w:t>号</w:t>
      </w:r>
    </w:p>
    <w:p w14:paraId="2EC88235">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陈女士</w:t>
      </w:r>
    </w:p>
    <w:p w14:paraId="7EC14EB7">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0571- 88031243</w:t>
      </w:r>
    </w:p>
    <w:p w14:paraId="5DF7020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刘女士</w:t>
      </w:r>
    </w:p>
    <w:p w14:paraId="73C826C2">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0571- 88031476</w:t>
      </w:r>
    </w:p>
    <w:p w14:paraId="7CBBD1B9">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49AD0F7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名称：</w:t>
      </w:r>
      <w:r>
        <w:rPr>
          <w:rFonts w:hint="eastAsia" w:ascii="仿宋" w:hAnsi="仿宋" w:eastAsia="仿宋" w:cs="仿宋"/>
          <w:color w:val="auto"/>
          <w:sz w:val="24"/>
          <w:highlight w:val="none"/>
          <w:lang w:val="zh-TW" w:eastAsia="zh-CN"/>
        </w:rPr>
        <w:t>浙江正淏招标代理有限公司</w:t>
      </w:r>
    </w:p>
    <w:p w14:paraId="375CAE6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名    称：</w:t>
      </w:r>
      <w:r>
        <w:rPr>
          <w:rFonts w:hint="eastAsia" w:ascii="仿宋" w:hAnsi="仿宋" w:eastAsia="仿宋" w:cs="仿宋"/>
          <w:bCs/>
          <w:color w:val="auto"/>
          <w:sz w:val="24"/>
          <w:highlight w:val="none"/>
          <w:lang w:eastAsia="zh-CN"/>
        </w:rPr>
        <w:t>浙江正淏招标代理有限公司</w:t>
      </w:r>
    </w:p>
    <w:p w14:paraId="13B96FE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    址：</w:t>
      </w:r>
      <w:r>
        <w:rPr>
          <w:rFonts w:hint="eastAsia" w:ascii="仿宋" w:hAnsi="仿宋" w:eastAsia="仿宋" w:cs="仿宋"/>
          <w:bCs/>
          <w:color w:val="auto"/>
          <w:sz w:val="24"/>
          <w:highlight w:val="none"/>
          <w:lang w:val="zh-CN"/>
        </w:rPr>
        <w:t>浙江省杭州市拱墅区</w:t>
      </w:r>
      <w:r>
        <w:rPr>
          <w:rFonts w:hint="eastAsia" w:ascii="仿宋" w:hAnsi="仿宋" w:eastAsia="仿宋" w:cs="仿宋"/>
          <w:bCs/>
          <w:color w:val="auto"/>
          <w:sz w:val="24"/>
          <w:highlight w:val="none"/>
          <w:lang w:val="en-US" w:eastAsia="zh-CN"/>
        </w:rPr>
        <w:t>文晖路108号</w:t>
      </w:r>
    </w:p>
    <w:p w14:paraId="4C880FD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传    真： /</w:t>
      </w:r>
    </w:p>
    <w:p w14:paraId="3EFB64D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项目联系人（询问）：</w:t>
      </w:r>
      <w:r>
        <w:rPr>
          <w:rFonts w:hint="eastAsia" w:ascii="仿宋" w:hAnsi="仿宋" w:eastAsia="仿宋" w:cs="仿宋"/>
          <w:bCs/>
          <w:color w:val="auto"/>
          <w:sz w:val="24"/>
          <w:highlight w:val="none"/>
          <w:lang w:val="en-US" w:eastAsia="zh-CN"/>
        </w:rPr>
        <w:t>魏工、吴工</w:t>
      </w:r>
    </w:p>
    <w:p w14:paraId="64CFADA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w:t>
      </w:r>
      <w:r>
        <w:rPr>
          <w:rFonts w:hint="eastAsia" w:ascii="仿宋" w:hAnsi="仿宋" w:eastAsia="仿宋" w:cs="仿宋"/>
          <w:bCs/>
          <w:color w:val="auto"/>
          <w:sz w:val="24"/>
          <w:highlight w:val="none"/>
        </w:rPr>
        <w:t>目联系方式（询问）：</w:t>
      </w:r>
      <w:r>
        <w:rPr>
          <w:rFonts w:hint="eastAsia" w:ascii="仿宋" w:hAnsi="仿宋" w:eastAsia="仿宋" w:cs="仿宋"/>
          <w:bCs/>
          <w:color w:val="auto"/>
          <w:sz w:val="24"/>
          <w:highlight w:val="none"/>
          <w:lang w:val="en-US" w:eastAsia="zh-CN"/>
        </w:rPr>
        <w:t>18868114708</w:t>
      </w:r>
    </w:p>
    <w:p w14:paraId="0E5DDF0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质疑联系人：</w:t>
      </w:r>
      <w:r>
        <w:rPr>
          <w:rFonts w:hint="eastAsia" w:ascii="仿宋" w:hAnsi="仿宋" w:eastAsia="仿宋" w:cs="仿宋"/>
          <w:bCs/>
          <w:color w:val="auto"/>
          <w:sz w:val="24"/>
          <w:highlight w:val="none"/>
          <w:lang w:val="en-US" w:eastAsia="zh-CN"/>
        </w:rPr>
        <w:t>许工</w:t>
      </w:r>
      <w:r>
        <w:rPr>
          <w:rFonts w:hint="eastAsia" w:ascii="仿宋" w:hAnsi="仿宋" w:eastAsia="仿宋" w:cs="仿宋"/>
          <w:bCs/>
          <w:color w:val="auto"/>
          <w:sz w:val="24"/>
          <w:highlight w:val="none"/>
        </w:rPr>
        <w:t xml:space="preserve">  </w:t>
      </w:r>
    </w:p>
    <w:p w14:paraId="0B979EA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质疑联系方式：</w:t>
      </w:r>
      <w:r>
        <w:rPr>
          <w:rFonts w:hint="eastAsia" w:ascii="仿宋" w:hAnsi="仿宋" w:eastAsia="仿宋" w:cs="仿宋"/>
          <w:bCs/>
          <w:color w:val="auto"/>
          <w:sz w:val="24"/>
          <w:highlight w:val="none"/>
          <w:lang w:val="en-US" w:eastAsia="zh-CN"/>
        </w:rPr>
        <w:t>0571-86096831</w:t>
      </w:r>
    </w:p>
    <w:p w14:paraId="4FEE678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54851F68">
      <w:pPr>
        <w:keepNext w:val="0"/>
        <w:keepLines w:val="0"/>
        <w:pageBreakBefore w:val="0"/>
        <w:kinsoku/>
        <w:wordWrap w:val="0"/>
        <w:overflowPunct/>
        <w:topLinePunct w:val="0"/>
        <w:bidi w:val="0"/>
        <w:snapToGrid w:val="0"/>
        <w:spacing w:beforeLines="0" w:afterLines="0" w:line="360" w:lineRule="auto"/>
        <w:ind w:left="479" w:leftChars="228"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i w:val="0"/>
          <w:iCs w:val="0"/>
          <w:caps w:val="0"/>
          <w:color w:val="auto"/>
          <w:spacing w:val="0"/>
          <w:sz w:val="24"/>
          <w:szCs w:val="24"/>
          <w:highlight w:val="none"/>
        </w:rPr>
        <w:t>杭州市</w:t>
      </w:r>
      <w:r>
        <w:rPr>
          <w:rFonts w:hint="eastAsia" w:ascii="仿宋" w:hAnsi="仿宋" w:eastAsia="仿宋" w:cs="仿宋"/>
          <w:i w:val="0"/>
          <w:iCs w:val="0"/>
          <w:caps w:val="0"/>
          <w:color w:val="auto"/>
          <w:spacing w:val="0"/>
          <w:sz w:val="24"/>
          <w:szCs w:val="24"/>
          <w:highlight w:val="none"/>
          <w:lang w:val="en-US" w:eastAsia="zh-CN"/>
        </w:rPr>
        <w:t>拱墅</w:t>
      </w:r>
      <w:r>
        <w:rPr>
          <w:rFonts w:hint="eastAsia" w:ascii="仿宋" w:hAnsi="仿宋" w:eastAsia="仿宋" w:cs="仿宋"/>
          <w:i w:val="0"/>
          <w:iCs w:val="0"/>
          <w:caps w:val="0"/>
          <w:color w:val="auto"/>
          <w:spacing w:val="0"/>
          <w:sz w:val="24"/>
          <w:szCs w:val="24"/>
          <w:highlight w:val="none"/>
        </w:rPr>
        <w:t>区财政局、浙江省政府采购行政裁决服务中心（杭州）</w:t>
      </w:r>
    </w:p>
    <w:p w14:paraId="13922DA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zh-CN"/>
        </w:rPr>
        <w:t>杭州市上城区清泰街549号城建综合大楼11楼（快递仅限ems或顺丰）</w:t>
      </w:r>
    </w:p>
    <w:p w14:paraId="00AB5B4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联系人：朱女士/王女士</w:t>
      </w:r>
    </w:p>
    <w:p w14:paraId="78EA9FB5">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监督投诉电话：0571-87227671,0571-87800218</w:t>
      </w:r>
    </w:p>
    <w:p w14:paraId="0B5A0A2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87FC9C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sectPr>
          <w:footerReference r:id="rId8" w:type="default"/>
          <w:pgSz w:w="11905" w:h="16838"/>
          <w:pgMar w:top="652" w:right="1417" w:bottom="680" w:left="1417" w:header="539" w:footer="425" w:gutter="0"/>
          <w:pgNumType w:fmt="decimal" w:start="1"/>
          <w:cols w:space="0" w:num="1"/>
          <w:docGrid w:linePitch="312" w:charSpace="0"/>
        </w:sectPr>
      </w:pPr>
      <w:r>
        <w:rPr>
          <w:rFonts w:hint="eastAsia" w:ascii="仿宋" w:hAnsi="仿宋" w:eastAsia="仿宋" w:cs="仿宋"/>
          <w:color w:val="auto"/>
          <w:sz w:val="24"/>
          <w:highlight w:val="none"/>
        </w:rPr>
        <w:t>CA问题联系电话（人工）：汇信CA 400-888-4636；天谷CA 400-087-8198。</w:t>
      </w:r>
    </w:p>
    <w:p w14:paraId="06774709">
      <w:pPr>
        <w:wordWrap w:val="0"/>
        <w:adjustRightInd/>
        <w:snapToGrid w:val="0"/>
        <w:spacing w:beforeLines="0" w:afterLines="0" w:line="360" w:lineRule="auto"/>
        <w:jc w:val="center"/>
        <w:outlineLvl w:val="0"/>
        <w:rPr>
          <w:rFonts w:ascii="仿宋" w:hAnsi="仿宋" w:eastAsia="仿宋" w:cs="仿宋"/>
          <w:b/>
          <w:color w:val="auto"/>
          <w:sz w:val="36"/>
          <w:szCs w:val="20"/>
          <w:highlight w:val="none"/>
        </w:rPr>
      </w:pPr>
      <w:bookmarkStart w:id="17" w:name="_Toc24964"/>
      <w:bookmarkStart w:id="18" w:name="_Toc26106"/>
      <w:bookmarkStart w:id="19" w:name="_Toc24511"/>
      <w:bookmarkStart w:id="20" w:name="_Toc27972"/>
      <w:bookmarkStart w:id="21" w:name="_Toc25593"/>
      <w:bookmarkStart w:id="22" w:name="_Toc30254"/>
      <w:bookmarkStart w:id="23" w:name="_Toc29805"/>
      <w:r>
        <w:rPr>
          <w:rFonts w:hint="eastAsia" w:ascii="仿宋" w:hAnsi="仿宋" w:eastAsia="仿宋" w:cs="仿宋"/>
          <w:b/>
          <w:color w:val="auto"/>
          <w:sz w:val="36"/>
          <w:szCs w:val="20"/>
          <w:highlight w:val="none"/>
        </w:rPr>
        <w:t>第二部分</w:t>
      </w:r>
      <w:bookmarkEnd w:id="13"/>
      <w:r>
        <w:rPr>
          <w:rFonts w:hint="eastAsia" w:ascii="仿宋" w:hAnsi="仿宋" w:eastAsia="仿宋" w:cs="仿宋"/>
          <w:b/>
          <w:color w:val="auto"/>
          <w:sz w:val="36"/>
          <w:szCs w:val="20"/>
          <w:highlight w:val="none"/>
        </w:rPr>
        <w:t xml:space="preserve"> 投标人须知</w:t>
      </w:r>
      <w:bookmarkEnd w:id="14"/>
      <w:bookmarkEnd w:id="17"/>
      <w:bookmarkEnd w:id="18"/>
      <w:bookmarkEnd w:id="19"/>
      <w:bookmarkEnd w:id="20"/>
      <w:bookmarkEnd w:id="21"/>
      <w:bookmarkEnd w:id="22"/>
      <w:bookmarkEnd w:id="23"/>
    </w:p>
    <w:p w14:paraId="6DFDB711">
      <w:pPr>
        <w:wordWrap w:val="0"/>
        <w:snapToGrid w:val="0"/>
        <w:spacing w:beforeLines="0" w:afterLines="0"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6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16"/>
      </w:tblGrid>
      <w:tr w14:paraId="6E0BB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EEB3E4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B473A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16" w:type="dxa"/>
            <w:tcBorders>
              <w:top w:val="single" w:color="000000" w:sz="8" w:space="0"/>
              <w:left w:val="single" w:color="000000" w:sz="2" w:space="0"/>
              <w:bottom w:val="single" w:color="000000" w:sz="8" w:space="0"/>
              <w:right w:val="single" w:color="000000" w:sz="8" w:space="0"/>
            </w:tcBorders>
            <w:vAlign w:val="center"/>
          </w:tcPr>
          <w:p w14:paraId="70C166D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0BAA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AAF409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9547B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16" w:type="dxa"/>
            <w:tcBorders>
              <w:top w:val="single" w:color="000000" w:sz="8" w:space="0"/>
              <w:left w:val="single" w:color="000000" w:sz="2" w:space="0"/>
              <w:bottom w:val="single" w:color="000000" w:sz="8" w:space="0"/>
              <w:right w:val="single" w:color="000000" w:sz="8" w:space="0"/>
            </w:tcBorders>
            <w:vAlign w:val="center"/>
          </w:tcPr>
          <w:p w14:paraId="78C7FC7A">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31F0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D9DA08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C8551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16" w:type="dxa"/>
            <w:tcBorders>
              <w:top w:val="single" w:color="000000" w:sz="8" w:space="0"/>
              <w:left w:val="single" w:color="000000" w:sz="2" w:space="0"/>
              <w:bottom w:val="single" w:color="000000" w:sz="8" w:space="0"/>
              <w:right w:val="single" w:color="000000" w:sz="8" w:space="0"/>
            </w:tcBorders>
            <w:vAlign w:val="center"/>
          </w:tcPr>
          <w:p w14:paraId="7DF2084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2025-2027年度企业退休人员文娱健身活动服务单位</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kern w:val="0"/>
                <w:sz w:val="24"/>
                <w:highlight w:val="none"/>
              </w:rPr>
              <w:t>行业；</w:t>
            </w:r>
          </w:p>
          <w:p w14:paraId="26F94B7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其他未列明行业</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从业人员300人以下的为中小微型企业。其中，从业人员100人及以上的为中型企业；从业人员10人及以上的为小型企业；从业人员10人以下的为微型企业。</w:t>
            </w:r>
          </w:p>
        </w:tc>
      </w:tr>
      <w:tr w14:paraId="4F095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DDA71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61225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4E64071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216" w:type="dxa"/>
            <w:tcBorders>
              <w:top w:val="single" w:color="000000" w:sz="8" w:space="0"/>
              <w:left w:val="single" w:color="000000" w:sz="2" w:space="0"/>
              <w:bottom w:val="single" w:color="000000" w:sz="8" w:space="0"/>
              <w:right w:val="single" w:color="000000" w:sz="8" w:space="0"/>
            </w:tcBorders>
            <w:vAlign w:val="center"/>
          </w:tcPr>
          <w:p w14:paraId="1175FE4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7BBAF24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7AC0ED8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4095E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2816F8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9E6C40">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16" w:type="dxa"/>
            <w:tcBorders>
              <w:top w:val="single" w:color="000000" w:sz="8" w:space="0"/>
              <w:left w:val="single" w:color="000000" w:sz="2" w:space="0"/>
              <w:bottom w:val="single" w:color="000000" w:sz="8" w:space="0"/>
              <w:right w:val="single" w:color="000000" w:sz="8" w:space="0"/>
            </w:tcBorders>
            <w:vAlign w:val="center"/>
          </w:tcPr>
          <w:p w14:paraId="70130452">
            <w:pPr>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A同意将非主体、非关键性的工作分包。</w:t>
            </w:r>
          </w:p>
          <w:p w14:paraId="400BBBED">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sdt>
              <w:sdtPr>
                <w:rPr>
                  <w:rFonts w:hint="eastAsia" w:ascii="仿宋" w:hAnsi="仿宋" w:eastAsia="仿宋" w:cs="仿宋"/>
                  <w:color w:val="auto"/>
                  <w:sz w:val="24"/>
                  <w:highlight w:val="none"/>
                </w:rPr>
                <w:id w:val="1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sz w:val="24"/>
                <w:highlight w:val="none"/>
              </w:rPr>
              <w:t xml:space="preserve"> B不同意分包。</w:t>
            </w:r>
          </w:p>
          <w:p w14:paraId="7BFDF89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val="0"/>
                <w:bCs w:val="0"/>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eastAsia" w:ascii="仿宋" w:hAnsi="仿宋" w:eastAsia="仿宋" w:cs="仿宋"/>
                <w:b w:val="0"/>
                <w:bCs w:val="0"/>
                <w:color w:val="auto"/>
                <w:sz w:val="24"/>
                <w:highlight w:val="none"/>
                <w:lang w:val="en-US" w:eastAsia="zh-CN"/>
              </w:rPr>
              <w:t>☑本</w:t>
            </w:r>
            <w:r>
              <w:rPr>
                <w:rFonts w:hint="eastAsia" w:ascii="仿宋" w:hAnsi="仿宋" w:eastAsia="仿宋" w:cs="仿宋"/>
                <w:b w:val="0"/>
                <w:bCs w:val="0"/>
                <w:color w:val="auto"/>
                <w:sz w:val="24"/>
                <w:highlight w:val="none"/>
              </w:rPr>
              <w:t>项目专门面向</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企业采购，分包单位必须为</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w:t>
            </w:r>
          </w:p>
        </w:tc>
      </w:tr>
      <w:tr w14:paraId="5093D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4734D2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44EB7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16" w:type="dxa"/>
            <w:tcBorders>
              <w:top w:val="single" w:color="000000" w:sz="8" w:space="0"/>
              <w:left w:val="single" w:color="000000" w:sz="2" w:space="0"/>
              <w:bottom w:val="single" w:color="000000" w:sz="8" w:space="0"/>
              <w:right w:val="single" w:color="000000" w:sz="8" w:space="0"/>
            </w:tcBorders>
            <w:vAlign w:val="center"/>
          </w:tcPr>
          <w:p w14:paraId="66EB204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7649337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0DA71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0D04D4B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3CCF0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16" w:type="dxa"/>
            <w:tcBorders>
              <w:top w:val="single" w:color="000000" w:sz="8" w:space="0"/>
              <w:left w:val="single" w:color="000000" w:sz="2" w:space="0"/>
              <w:bottom w:val="single" w:color="000000" w:sz="8" w:space="0"/>
              <w:right w:val="single" w:color="000000" w:sz="8" w:space="0"/>
            </w:tcBorders>
            <w:vAlign w:val="center"/>
          </w:tcPr>
          <w:p w14:paraId="16D6FB4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8D52A4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107A4D6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7CCAAF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B3BFF4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F478B3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240449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34F35A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D444C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67F5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31043DD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CCDB2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216" w:type="dxa"/>
            <w:tcBorders>
              <w:top w:val="single" w:color="000000" w:sz="8" w:space="0"/>
              <w:left w:val="single" w:color="000000" w:sz="2" w:space="0"/>
              <w:bottom w:val="single" w:color="000000" w:sz="8" w:space="0"/>
              <w:right w:val="single" w:color="000000" w:sz="8" w:space="0"/>
            </w:tcBorders>
            <w:vAlign w:val="center"/>
          </w:tcPr>
          <w:p w14:paraId="448656F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1EE41A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418AD6F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rPr>
              <w:t>人。讲解演示结束后按要求解答评标委员会提问。</w:t>
            </w:r>
          </w:p>
          <w:p w14:paraId="49120EE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4B907E1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3440B7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706C64C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14:paraId="59F5EC8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1F0351F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2C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14:paraId="7F8BC20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14:paraId="0A6CC85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46EC2D3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624348A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0F53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rPr>
        <w:tc>
          <w:tcPr>
            <w:tcW w:w="629" w:type="dxa"/>
            <w:vMerge w:val="continue"/>
            <w:tcBorders>
              <w:left w:val="single" w:color="000000" w:sz="8" w:space="0"/>
              <w:bottom w:val="single" w:color="auto" w:sz="4" w:space="0"/>
              <w:right w:val="single" w:color="000000" w:sz="2" w:space="0"/>
            </w:tcBorders>
            <w:vAlign w:val="center"/>
          </w:tcPr>
          <w:p w14:paraId="608E872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0419B2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353D699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2A13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BA49DA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310D9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节能产品、环境标志产品（服务项目不适用）</w:t>
            </w:r>
          </w:p>
        </w:tc>
        <w:tc>
          <w:tcPr>
            <w:tcW w:w="6216" w:type="dxa"/>
            <w:tcBorders>
              <w:top w:val="single" w:color="000000" w:sz="8" w:space="0"/>
              <w:left w:val="single" w:color="000000" w:sz="2" w:space="0"/>
              <w:bottom w:val="single" w:color="000000" w:sz="8" w:space="0"/>
              <w:right w:val="single" w:color="000000" w:sz="8" w:space="0"/>
            </w:tcBorders>
            <w:vAlign w:val="center"/>
          </w:tcPr>
          <w:p w14:paraId="2EE4CCC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5625D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54F7F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A27C8C">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16" w:type="dxa"/>
            <w:tcBorders>
              <w:top w:val="single" w:color="000000" w:sz="8" w:space="0"/>
              <w:left w:val="single" w:color="000000" w:sz="2" w:space="0"/>
              <w:bottom w:val="single" w:color="000000" w:sz="8" w:space="0"/>
              <w:right w:val="single" w:color="000000" w:sz="8" w:space="0"/>
            </w:tcBorders>
            <w:vAlign w:val="center"/>
          </w:tcPr>
          <w:p w14:paraId="54C2C1C6">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）有关本项目实施所需的所有费用（包括但不限于:人工费、场地费、物料费、交通费、保险费、企业管理费、利润、税金等。）均计入报价。投标文件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lang w:val="zh-CN"/>
              </w:rPr>
              <w:t>投标文件中价格全部采用人民币报价。采购文件未列明，而投标人认为必需的费用也需列入报价。</w:t>
            </w:r>
            <w:r>
              <w:rPr>
                <w:rFonts w:hint="eastAsia" w:ascii="仿宋" w:hAnsi="仿宋" w:eastAsia="仿宋" w:cs="仿宋"/>
                <w:color w:val="auto"/>
                <w:kern w:val="0"/>
                <w:sz w:val="24"/>
                <w:highlight w:val="none"/>
                <w:lang w:val="zh-CN"/>
              </w:rPr>
              <w:t>其中，</w:t>
            </w:r>
            <w:r>
              <w:rPr>
                <w:rFonts w:hint="eastAsia" w:ascii="仿宋" w:hAnsi="仿宋" w:eastAsia="仿宋" w:cs="仿宋"/>
                <w:color w:val="auto"/>
                <w:sz w:val="24"/>
                <w:highlight w:val="none"/>
              </w:rPr>
              <w:t>人员工资不得低于杭州市人民政府规定的最低工资标准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并充分考虑最低工资调整因素；落实职工劳保福利待遇，并按时缴纳社会保险费（养老保险、医疗保险、失业保险、工伤保险和生育保险）；</w:t>
            </w:r>
            <w:r>
              <w:rPr>
                <w:rFonts w:hint="eastAsia" w:ascii="仿宋" w:hAnsi="仿宋" w:eastAsia="仿宋" w:cs="仿宋"/>
                <w:color w:val="auto"/>
                <w:kern w:val="0"/>
                <w:sz w:val="24"/>
                <w:highlight w:val="none"/>
                <w:lang w:val="zh-CN"/>
              </w:rPr>
              <w:t>员工加班费支付符合《劳动法》规定</w:t>
            </w:r>
            <w:r>
              <w:rPr>
                <w:rFonts w:hint="eastAsia" w:ascii="仿宋" w:hAnsi="仿宋" w:eastAsia="仿宋" w:cs="仿宋"/>
                <w:color w:val="auto"/>
                <w:sz w:val="24"/>
                <w:highlight w:val="none"/>
              </w:rPr>
              <w:t>。</w:t>
            </w:r>
          </w:p>
          <w:p w14:paraId="4216244F">
            <w:pPr>
              <w:keepNext w:val="0"/>
              <w:keepLines w:val="0"/>
              <w:pageBreakBefore w:val="0"/>
              <w:widowControl/>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1FD6DD50">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E73B4A9">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3D978153">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70629740">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3557D1A9">
            <w:pPr>
              <w:keepNext w:val="0"/>
              <w:keepLines w:val="0"/>
              <w:pageBreakBefore w:val="0"/>
              <w:kinsoku/>
              <w:wordWrap w:val="0"/>
              <w:overflowPunct/>
              <w:topLinePunct w:val="0"/>
              <w:bidi w:val="0"/>
              <w:adjustRightInd w:val="0"/>
              <w:snapToGrid w:val="0"/>
              <w:spacing w:beforeLines="0" w:afterLines="0" w:line="360" w:lineRule="auto"/>
              <w:ind w:leftChars="2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6E87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536033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D18EB9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163537B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216" w:type="dxa"/>
            <w:tcBorders>
              <w:top w:val="single" w:color="000000" w:sz="8" w:space="0"/>
              <w:left w:val="single" w:color="000000" w:sz="2" w:space="0"/>
              <w:bottom w:val="single" w:color="000000" w:sz="8" w:space="0"/>
              <w:right w:val="single" w:color="000000" w:sz="8" w:space="0"/>
            </w:tcBorders>
            <w:vAlign w:val="center"/>
          </w:tcPr>
          <w:p w14:paraId="652E103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590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C97A17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8E6A6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49A4163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216" w:type="dxa"/>
            <w:tcBorders>
              <w:top w:val="single" w:color="000000" w:sz="8" w:space="0"/>
              <w:left w:val="single" w:color="000000" w:sz="2" w:space="0"/>
              <w:bottom w:val="single" w:color="000000" w:sz="8" w:space="0"/>
              <w:right w:val="single" w:color="000000" w:sz="8" w:space="0"/>
            </w:tcBorders>
            <w:vAlign w:val="center"/>
          </w:tcPr>
          <w:p w14:paraId="1573BF7D">
            <w:pPr>
              <w:pStyle w:val="34"/>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投标人如提交备份投标文件的，请</w:t>
            </w:r>
            <w:r>
              <w:rPr>
                <w:rFonts w:hint="eastAsia" w:ascii="仿宋" w:hAnsi="仿宋" w:eastAsia="仿宋" w:cs="仿宋"/>
                <w:color w:val="auto"/>
                <w:kern w:val="28"/>
                <w:sz w:val="24"/>
                <w:szCs w:val="24"/>
                <w:highlight w:val="none"/>
                <w:lang w:val="en-US" w:eastAsia="zh-CN"/>
              </w:rPr>
              <w:t>将</w:t>
            </w:r>
            <w:r>
              <w:rPr>
                <w:rFonts w:hint="eastAsia" w:ascii="仿宋" w:hAnsi="仿宋" w:eastAsia="仿宋" w:cs="仿宋"/>
                <w:color w:val="auto"/>
                <w:kern w:val="28"/>
                <w:sz w:val="24"/>
                <w:szCs w:val="24"/>
                <w:highlight w:val="none"/>
              </w:rPr>
              <w:t>备份投标文件（政采云客户端生成的“bfbs”格式文件）以邮件形式发送至邮箱zjzhenghaozb@163.com，邮件主题为“项目名称+备份文件”</w:t>
            </w:r>
            <w:r>
              <w:rPr>
                <w:rFonts w:hint="eastAsia" w:ascii="仿宋" w:hAnsi="仿宋" w:eastAsia="仿宋" w:cs="仿宋"/>
                <w:color w:val="auto"/>
                <w:kern w:val="28"/>
                <w:sz w:val="24"/>
                <w:szCs w:val="24"/>
                <w:highlight w:val="none"/>
                <w:lang w:eastAsia="zh-CN"/>
              </w:rPr>
              <w:t>。</w:t>
            </w:r>
          </w:p>
          <w:p w14:paraId="50DD7CF5">
            <w:pPr>
              <w:pStyle w:val="34"/>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28"/>
                <w:sz w:val="24"/>
                <w:szCs w:val="24"/>
                <w:highlight w:val="none"/>
              </w:rPr>
            </w:pPr>
            <w:r>
              <w:rPr>
                <w:rFonts w:hint="eastAsia" w:ascii="仿宋" w:hAnsi="仿宋" w:eastAsia="仿宋" w:cs="仿宋"/>
                <w:b/>
                <w:bCs/>
                <w:color w:val="auto"/>
                <w:sz w:val="24"/>
                <w:szCs w:val="24"/>
                <w:highlight w:val="none"/>
              </w:rPr>
              <w:t>采购人、采购代理机构不强制或变相强制投标人提交备份投标文件。</w:t>
            </w:r>
          </w:p>
        </w:tc>
      </w:tr>
      <w:tr w14:paraId="15572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414EB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656F07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代理费</w:t>
            </w:r>
          </w:p>
        </w:tc>
        <w:tc>
          <w:tcPr>
            <w:tcW w:w="6216" w:type="dxa"/>
            <w:tcBorders>
              <w:top w:val="single" w:color="000000" w:sz="8" w:space="0"/>
              <w:left w:val="single" w:color="000000" w:sz="2" w:space="0"/>
              <w:bottom w:val="single" w:color="000000" w:sz="8" w:space="0"/>
              <w:right w:val="single" w:color="000000" w:sz="8" w:space="0"/>
            </w:tcBorders>
            <w:vAlign w:val="center"/>
          </w:tcPr>
          <w:p w14:paraId="527E83EC">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1.本项目的采购代理费由中标人支付。计费标准：以预算金额为计费基准，按差额定率累进制计算,具体标准为：参</w:t>
            </w:r>
            <w:r>
              <w:rPr>
                <w:rFonts w:hint="eastAsia" w:ascii="仿宋" w:hAnsi="仿宋" w:eastAsia="仿宋" w:cs="仿宋"/>
                <w:color w:val="auto"/>
                <w:sz w:val="24"/>
                <w:szCs w:val="24"/>
                <w:highlight w:val="none"/>
              </w:rPr>
              <w:t>照《招标代理服务收费管理暂行办法》（计价格[2002]1980号）文件收费标准计取。结算方式及时间为：在领取中标通知书时由中标人一次性向采购代理机构付清。(开户名：浙江正淏招标代理有限公司,开户银行：中国农业银行杭州科技城支行</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账号：19036401040031211</w:t>
            </w:r>
            <w:r>
              <w:rPr>
                <w:rFonts w:hint="eastAsia" w:ascii="仿宋" w:hAnsi="仿宋" w:eastAsia="仿宋" w:cs="仿宋"/>
                <w:color w:val="auto"/>
                <w:sz w:val="24"/>
                <w:szCs w:val="24"/>
                <w:highlight w:val="none"/>
                <w:lang w:val="zh-CN"/>
              </w:rPr>
              <w:t>)</w:t>
            </w:r>
          </w:p>
          <w:p w14:paraId="0C319365">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val="0"/>
                <w:bCs w:val="0"/>
                <w:color w:val="auto"/>
                <w:sz w:val="24"/>
                <w:szCs w:val="24"/>
                <w:highlight w:val="none"/>
              </w:rPr>
              <w:t>由于中标供应商原因导致重新采购的，应当承担支付代理费和专家评审费等费用在内的赔偿责任。</w:t>
            </w:r>
          </w:p>
        </w:tc>
      </w:tr>
      <w:tr w14:paraId="19D3B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52622B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default" w:ascii="仿宋" w:hAnsi="仿宋" w:eastAsia="仿宋" w:cs="仿宋"/>
                <w:color w:val="auto"/>
                <w:sz w:val="24"/>
                <w:highlight w:val="none"/>
                <w:lang w:val="en-US" w:eastAsia="zh-CN"/>
              </w:rPr>
            </w:pPr>
            <w:bookmarkStart w:id="24" w:name="_Toc164416483"/>
            <w:bookmarkStart w:id="25" w:name="第三部分"/>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82DBDE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16" w:type="dxa"/>
            <w:tcBorders>
              <w:top w:val="single" w:color="000000" w:sz="8" w:space="0"/>
              <w:left w:val="single" w:color="000000" w:sz="2" w:space="0"/>
              <w:bottom w:val="single" w:color="000000" w:sz="8" w:space="0"/>
              <w:right w:val="single" w:color="000000" w:sz="8" w:space="0"/>
            </w:tcBorders>
            <w:vAlign w:val="center"/>
          </w:tcPr>
          <w:p w14:paraId="7FE7AFC0">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highlight w:val="none"/>
              </w:rPr>
              <w:t>本项目共分</w:t>
            </w: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rPr>
              <w:t>个标项，不同标项需分别制作投标文件，供应商可选择其中一个或</w:t>
            </w: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rPr>
              <w:t>个标项进行投标。</w:t>
            </w:r>
          </w:p>
        </w:tc>
      </w:tr>
      <w:bookmarkEnd w:id="15"/>
    </w:tbl>
    <w:p w14:paraId="1C162734">
      <w:pPr>
        <w:wordWrap w:val="0"/>
        <w:snapToGrid w:val="0"/>
        <w:spacing w:beforeLines="0" w:afterLines="0" w:line="360" w:lineRule="auto"/>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5BA627B0">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157076E">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2B1C464">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6EC9F0E">
      <w:pPr>
        <w:pStyle w:val="34"/>
        <w:keepNext w:val="0"/>
        <w:keepLines w:val="0"/>
        <w:pageBreakBefore w:val="0"/>
        <w:numPr>
          <w:ilvl w:val="0"/>
          <w:numId w:val="1"/>
        </w:numPr>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1F41325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AB27A89">
      <w:pPr>
        <w:pStyle w:val="34"/>
        <w:keepNext w:val="0"/>
        <w:keepLines w:val="0"/>
        <w:pageBreakBefore w:val="0"/>
        <w:numPr>
          <w:ilvl w:val="0"/>
          <w:numId w:val="1"/>
        </w:numPr>
        <w:kinsoku/>
        <w:wordWrap w:val="0"/>
        <w:overflowPunct/>
        <w:topLinePunct w:val="0"/>
        <w:bidi w:val="0"/>
        <w:snapToGrid w:val="0"/>
        <w:spacing w:beforeLines="0" w:afterLines="0" w:line="360" w:lineRule="auto"/>
        <w:textAlignment w:val="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7C50C367">
      <w:pPr>
        <w:pStyle w:val="16"/>
        <w:keepNext w:val="0"/>
        <w:keepLines w:val="0"/>
        <w:pageBreakBefore w:val="0"/>
        <w:kinsoku/>
        <w:wordWrap w:val="0"/>
        <w:overflowPunct/>
        <w:topLinePunct w:val="0"/>
        <w:bidi w:val="0"/>
        <w:snapToGrid w:val="0"/>
        <w:spacing w:beforeLines="0" w:afterLines="0" w:line="360" w:lineRule="auto"/>
        <w:ind w:firstLine="470" w:firstLineChars="196"/>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DC37935">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1EA28EB">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75D5288">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E3FA84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DB161AE">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w:t>
      </w:r>
    </w:p>
    <w:p w14:paraId="1B59DE87">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11.1.2符合参加政府采购活动应当具备的一般条件、特殊资格条件的承诺函；</w:t>
      </w:r>
    </w:p>
    <w:p w14:paraId="68D6BA6C">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26E507E9">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提供中小企业声明函</w:t>
      </w:r>
      <w:r>
        <w:rPr>
          <w:rFonts w:hint="eastAsia" w:ascii="仿宋" w:hAnsi="仿宋" w:eastAsia="仿宋" w:cs="仿宋"/>
          <w:color w:val="auto"/>
          <w:sz w:val="24"/>
          <w:highlight w:val="none"/>
        </w:rPr>
        <w:t>；</w:t>
      </w:r>
    </w:p>
    <w:p w14:paraId="4D467D1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08F393C3">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138C1014">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B583FEF">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11.2.2授权委托书或法定代表人（单位负责人）身份证明；</w:t>
      </w:r>
    </w:p>
    <w:p w14:paraId="416DDCAF">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487E03E1">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BE1A80B">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DE0F88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72A26C4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5DDE262">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773A4AE">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11.3.2报价情况说明（如供应商报价低于最高限价50%的，应当提交本文档，详细阐述不影响服务质量或者诚信履约的具体原因）；</w:t>
      </w:r>
    </w:p>
    <w:p w14:paraId="4F4CB9C7">
      <w:pPr>
        <w:keepNext w:val="0"/>
        <w:keepLines w:val="0"/>
        <w:pageBreakBefore w:val="0"/>
        <w:kinsoku/>
        <w:wordWrap w:val="0"/>
        <w:overflowPunct/>
        <w:topLinePunct w:val="0"/>
        <w:bidi w:val="0"/>
        <w:adjustRightInd/>
        <w:snapToGrid w:val="0"/>
        <w:spacing w:beforeLines="0" w:afterLines="0" w:line="360" w:lineRule="auto"/>
        <w:ind w:left="0" w:leftChars="0" w:firstLine="960" w:firstLineChars="4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r>
        <w:rPr>
          <w:rFonts w:hint="eastAsia" w:ascii="仿宋" w:hAnsi="仿宋" w:eastAsia="仿宋" w:cs="仿宋"/>
          <w:color w:val="auto"/>
          <w:sz w:val="24"/>
          <w:highlight w:val="none"/>
          <w:lang w:eastAsia="zh-CN"/>
        </w:rPr>
        <w:t>；</w:t>
      </w:r>
    </w:p>
    <w:p w14:paraId="5A1FEAF0">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供应商针对报价需要说明的其他文件和说明（格式自拟）。</w:t>
      </w:r>
    </w:p>
    <w:p w14:paraId="731DA886">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59E479C">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outlineLvl w:val="9"/>
        <w:rPr>
          <w:rFonts w:ascii="仿宋" w:hAnsi="仿宋" w:eastAsia="仿宋" w:cs="仿宋"/>
          <w:b/>
          <w:color w:val="auto"/>
          <w:sz w:val="24"/>
          <w:szCs w:val="21"/>
          <w:highlight w:val="none"/>
        </w:rPr>
      </w:pPr>
      <w:r>
        <w:rPr>
          <w:rFonts w:hint="eastAsia" w:ascii="仿宋" w:hAnsi="仿宋" w:eastAsia="仿宋" w:cs="仿宋"/>
          <w:b/>
          <w:color w:val="auto"/>
          <w:sz w:val="24"/>
          <w:highlight w:val="none"/>
        </w:rPr>
        <w:t>供应商应对响应文件中材料的真实性、合法性负责。投标人提供虚假材料投标的，投标无效。</w:t>
      </w:r>
    </w:p>
    <w:p w14:paraId="57AF865C">
      <w:pPr>
        <w:pStyle w:val="133"/>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0" w:afterLines="0"/>
        <w:ind w:firstLine="0" w:firstLineChars="0"/>
        <w:textAlignment w:val="auto"/>
        <w:outlineLvl w:val="9"/>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14:paraId="7E72ECB3">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C60E0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5F1CB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E2AB37">
      <w:pPr>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2AA52AD4">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E3953D9">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0000E3A">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DA70784">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0373F15C">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E48128">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8F181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690FA0D">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4D29D349">
      <w:pPr>
        <w:pStyle w:val="34"/>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w:t>
      </w:r>
      <w:r>
        <w:rPr>
          <w:rFonts w:hint="eastAsia" w:ascii="仿宋" w:hAnsi="仿宋" w:eastAsia="仿宋" w:cs="仿宋"/>
          <w:color w:val="auto"/>
          <w:sz w:val="24"/>
          <w:szCs w:val="24"/>
          <w:highlight w:val="none"/>
          <w:lang w:val="en-US" w:eastAsia="zh-CN"/>
        </w:rPr>
        <w:t>按前附表要求</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非强制要求，投标人自行考虑）。</w:t>
      </w:r>
    </w:p>
    <w:p w14:paraId="374AE0D7">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bCs/>
          <w:color w:val="auto"/>
          <w:sz w:val="24"/>
          <w:szCs w:val="24"/>
          <w:highlight w:val="none"/>
        </w:rPr>
        <w:t>。</w:t>
      </w:r>
    </w:p>
    <w:p w14:paraId="4919773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15.3电子备份投标文件发生泄露或延期送达等情况的，由投标人自行负责。</w:t>
      </w:r>
    </w:p>
    <w:p w14:paraId="0BA492E7">
      <w:pPr>
        <w:pStyle w:val="34"/>
        <w:keepNext w:val="0"/>
        <w:keepLines w:val="0"/>
        <w:pageBreakBefore w:val="0"/>
        <w:kinsoku/>
        <w:wordWrap w:val="0"/>
        <w:overflowPunct/>
        <w:topLinePunct w:val="0"/>
        <w:bidi w:val="0"/>
        <w:snapToGrid w:val="0"/>
        <w:spacing w:beforeLines="0" w:afterLines="0" w:line="360" w:lineRule="auto"/>
        <w:ind w:firstLine="479" w:firstLineChars="199"/>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投标人仅提交备份投标文件，未在电子交易平台传输递交投标文件的，投标无效。</w:t>
      </w:r>
    </w:p>
    <w:p w14:paraId="1116FD11">
      <w:pPr>
        <w:pStyle w:val="133"/>
        <w:keepNext w:val="0"/>
        <w:keepLines w:val="0"/>
        <w:pageBreakBefore w:val="0"/>
        <w:numPr>
          <w:ilvl w:val="0"/>
          <w:numId w:val="3"/>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140C3323">
      <w:pPr>
        <w:pStyle w:val="25"/>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22A07B90">
      <w:pPr>
        <w:pStyle w:val="133"/>
        <w:keepNext w:val="0"/>
        <w:keepLines w:val="0"/>
        <w:pageBreakBefore w:val="0"/>
        <w:numPr>
          <w:ilvl w:val="0"/>
          <w:numId w:val="3"/>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4499F51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8B325A4">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751548A">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F815286">
      <w:pPr>
        <w:wordWrap w:val="0"/>
        <w:adjustRightInd/>
        <w:snapToGrid w:val="0"/>
        <w:spacing w:beforeLines="0" w:afterLines="0" w:line="360" w:lineRule="auto"/>
        <w:ind w:firstLine="3845" w:firstLineChars="1197"/>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0AB3043">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16013FD">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BF7FE61">
      <w:pPr>
        <w:keepNext w:val="0"/>
        <w:keepLines w:val="0"/>
        <w:pageBreakBefore w:val="0"/>
        <w:widowControl w:val="0"/>
        <w:numPr>
          <w:ilvl w:val="0"/>
          <w:numId w:val="4"/>
        </w:numPr>
        <w:kinsoku/>
        <w:wordWrap w:val="0"/>
        <w:overflowPunct/>
        <w:topLinePunct w:val="0"/>
        <w:autoSpaceDE/>
        <w:autoSpaceDN/>
        <w:bidi w:val="0"/>
        <w:adjustRightInd/>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71D34E17">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2E69350">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A24E026">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3AB7CDE">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C80B3C5">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B61782">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EC7C516">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21370038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457BCAD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6908EC1">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630E22F0">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F9CFD2E">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14:paraId="04E10AF5">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0DB14AB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F2C74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9F27B3">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4E9D3B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87A64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157FF02">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1EF888">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2471C45A">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F33DCE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本项目具体扣除比例详见“评审办法”）的扣除，用扣除后的价格参加评审。组成联合体或者接受分包的小微企业与联合体内其他企业、分包企业之间存在直接控股、管理关系的，不享受价格扣除优惠政策。</w:t>
      </w:r>
    </w:p>
    <w:p w14:paraId="4AE612E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1C6B93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FD102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1E52281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22DD03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124B27B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5D3C2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93F616">
      <w:pPr>
        <w:keepNext w:val="0"/>
        <w:keepLines w:val="0"/>
        <w:pageBreakBefore w:val="0"/>
        <w:widowControl w:val="0"/>
        <w:kinsoku/>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6232C67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p>
    <w:p w14:paraId="222BB25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4.询问、质疑、投诉、补偿救济</w:t>
      </w:r>
    </w:p>
    <w:p w14:paraId="0145ACAC">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C51D72">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6AF3E22B">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5339F7">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2014F533">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8AE3A95">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378506">
      <w:pPr>
        <w:pStyle w:val="16"/>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6AB77A85">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D299D4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67C7CC05">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60F6CCA">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7DC18D4D">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401730D9">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025AA6E4">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4D8ED00B">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4DBFF0A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7C5A7711">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86BF254">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14:paraId="1416F167">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3.4对同一采购程序环节的质疑，供应商须在法定质疑期内一次性提出。</w:t>
      </w:r>
    </w:p>
    <w:p w14:paraId="2E5EF7D1">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4EB119">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3.6询问或者质疑事项可能影响采购结果的，采购人应当暂停签订合同，已经签订合同的，应当中止履行合同。</w:t>
      </w:r>
    </w:p>
    <w:p w14:paraId="45B7D8B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供应商投诉</w:t>
      </w:r>
    </w:p>
    <w:p w14:paraId="7805F4B8">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429D776">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14:paraId="1048BEC9">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4.4.3供应商投诉应当有明确的请求和必要的证明材料。</w:t>
      </w:r>
    </w:p>
    <w:p w14:paraId="3FDAF5F3">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4.4.4 以联合体形式参加政府采购活动的，其投诉应当由组成联合体的所有供应商共同提出。</w:t>
      </w:r>
    </w:p>
    <w:p w14:paraId="24966248">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color w:val="auto"/>
          <w:sz w:val="24"/>
          <w:highlight w:val="none"/>
          <w:lang w:val="zh-CN"/>
        </w:rPr>
        <w:t>杭州市上城区清泰街549号城建综合大楼11楼（快递仅限ems或顺丰）</w:t>
      </w:r>
      <w:r>
        <w:rPr>
          <w:rFonts w:hint="eastAsia" w:ascii="仿宋" w:hAnsi="仿宋" w:eastAsia="仿宋" w:cs="仿宋"/>
          <w:color w:val="auto"/>
          <w:sz w:val="24"/>
          <w:highlight w:val="none"/>
        </w:rPr>
        <w:t>，收件人：朱女士、王女士，电话：</w:t>
      </w:r>
      <w:r>
        <w:rPr>
          <w:rFonts w:hint="eastAsia" w:ascii="仿宋" w:hAnsi="仿宋" w:eastAsia="仿宋" w:cs="仿宋"/>
          <w:color w:val="auto"/>
          <w:sz w:val="24"/>
          <w:highlight w:val="none"/>
          <w:lang w:val="zh-CN"/>
        </w:rPr>
        <w:t>0571-87227671,0571-87800218</w:t>
      </w:r>
      <w:r>
        <w:rPr>
          <w:rFonts w:hint="eastAsia" w:ascii="仿宋" w:hAnsi="仿宋" w:eastAsia="仿宋" w:cs="仿宋"/>
          <w:color w:val="auto"/>
          <w:sz w:val="24"/>
          <w:highlight w:val="none"/>
        </w:rPr>
        <w:t>。</w:t>
      </w:r>
    </w:p>
    <w:p w14:paraId="705E2D8C">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投诉书范本及制作说明详见附件3。</w:t>
      </w:r>
    </w:p>
    <w:p w14:paraId="01C4A701">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1A237D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370937EB">
      <w:pPr>
        <w:pStyle w:val="133"/>
        <w:keepNext w:val="0"/>
        <w:keepLines w:val="0"/>
        <w:pageBreakBefore w:val="0"/>
        <w:kinsoku/>
        <w:wordWrap w:val="0"/>
        <w:overflowPunct/>
        <w:topLinePunct w:val="0"/>
        <w:bidi w:val="0"/>
        <w:snapToGrid w:val="0"/>
        <w:spacing w:before="0" w:beforeLines="0" w:afterLines="0"/>
        <w:ind w:firstLine="360"/>
        <w:textAlignment w:val="auto"/>
        <w:rPr>
          <w:rFonts w:ascii="仿宋" w:hAnsi="仿宋" w:eastAsia="仿宋" w:cs="仿宋"/>
          <w:color w:val="auto"/>
          <w:sz w:val="18"/>
          <w:szCs w:val="18"/>
          <w:highlight w:val="none"/>
        </w:rPr>
      </w:pPr>
    </w:p>
    <w:p w14:paraId="68353DE0">
      <w:pPr>
        <w:pStyle w:val="133"/>
        <w:keepNext w:val="0"/>
        <w:keepLines w:val="0"/>
        <w:pageBreakBefore w:val="0"/>
        <w:kinsoku/>
        <w:wordWrap w:val="0"/>
        <w:overflowPunct/>
        <w:topLinePunct w:val="0"/>
        <w:bidi w:val="0"/>
        <w:snapToGrid w:val="0"/>
        <w:spacing w:before="0" w:beforeLines="0" w:afterLines="0"/>
        <w:ind w:firstLine="360"/>
        <w:textAlignment w:val="auto"/>
        <w:rPr>
          <w:rFonts w:ascii="仿宋" w:hAnsi="仿宋" w:eastAsia="仿宋" w:cs="仿宋"/>
          <w:color w:val="auto"/>
          <w:sz w:val="18"/>
          <w:szCs w:val="18"/>
          <w:highlight w:val="none"/>
        </w:rPr>
      </w:pPr>
    </w:p>
    <w:p w14:paraId="684C56E7">
      <w:pPr>
        <w:pStyle w:val="133"/>
        <w:keepNext w:val="0"/>
        <w:keepLines w:val="0"/>
        <w:pageBreakBefore w:val="0"/>
        <w:kinsoku/>
        <w:wordWrap w:val="0"/>
        <w:overflowPunct/>
        <w:topLinePunct w:val="0"/>
        <w:bidi w:val="0"/>
        <w:snapToGrid w:val="0"/>
        <w:spacing w:before="0" w:beforeLines="0" w:afterLines="0"/>
        <w:ind w:firstLine="360"/>
        <w:textAlignment w:val="auto"/>
        <w:rPr>
          <w:rFonts w:ascii="仿宋" w:hAnsi="仿宋" w:eastAsia="仿宋" w:cs="仿宋"/>
          <w:color w:val="auto"/>
          <w:sz w:val="18"/>
          <w:szCs w:val="18"/>
          <w:highlight w:val="none"/>
        </w:rPr>
      </w:pPr>
    </w:p>
    <w:p w14:paraId="3B661A4B">
      <w:pPr>
        <w:pStyle w:val="133"/>
        <w:keepNext w:val="0"/>
        <w:keepLines w:val="0"/>
        <w:pageBreakBefore w:val="0"/>
        <w:kinsoku/>
        <w:wordWrap w:val="0"/>
        <w:overflowPunct/>
        <w:topLinePunct w:val="0"/>
        <w:bidi w:val="0"/>
        <w:snapToGrid w:val="0"/>
        <w:spacing w:before="0" w:beforeLines="0" w:afterLines="0"/>
        <w:ind w:firstLine="360"/>
        <w:textAlignment w:val="auto"/>
        <w:rPr>
          <w:rFonts w:ascii="仿宋" w:hAnsi="仿宋" w:eastAsia="仿宋" w:cs="仿宋"/>
          <w:color w:val="auto"/>
          <w:sz w:val="18"/>
          <w:szCs w:val="18"/>
          <w:highlight w:val="none"/>
        </w:rPr>
      </w:pPr>
    </w:p>
    <w:p w14:paraId="6047451E">
      <w:pPr>
        <w:pStyle w:val="133"/>
        <w:keepNext w:val="0"/>
        <w:keepLines w:val="0"/>
        <w:pageBreakBefore w:val="0"/>
        <w:kinsoku/>
        <w:wordWrap w:val="0"/>
        <w:overflowPunct/>
        <w:topLinePunct w:val="0"/>
        <w:bidi w:val="0"/>
        <w:snapToGrid w:val="0"/>
        <w:spacing w:before="0" w:beforeLines="0" w:afterLines="0"/>
        <w:ind w:firstLine="360"/>
        <w:textAlignment w:val="auto"/>
        <w:rPr>
          <w:rFonts w:ascii="仿宋" w:hAnsi="仿宋" w:eastAsia="仿宋" w:cs="仿宋"/>
          <w:color w:val="auto"/>
          <w:sz w:val="18"/>
          <w:szCs w:val="18"/>
          <w:highlight w:val="none"/>
        </w:rPr>
      </w:pPr>
    </w:p>
    <w:p w14:paraId="264B864C">
      <w:pPr>
        <w:pStyle w:val="133"/>
        <w:keepNext w:val="0"/>
        <w:keepLines w:val="0"/>
        <w:pageBreakBefore w:val="0"/>
        <w:kinsoku/>
        <w:wordWrap w:val="0"/>
        <w:overflowPunct/>
        <w:topLinePunct w:val="0"/>
        <w:bidi w:val="0"/>
        <w:snapToGrid w:val="0"/>
        <w:spacing w:before="0" w:beforeLines="0" w:afterLines="0"/>
        <w:ind w:firstLine="360"/>
        <w:textAlignment w:val="auto"/>
        <w:rPr>
          <w:rFonts w:ascii="仿宋" w:hAnsi="仿宋" w:eastAsia="仿宋" w:cs="仿宋"/>
          <w:color w:val="auto"/>
          <w:sz w:val="18"/>
          <w:szCs w:val="18"/>
          <w:highlight w:val="none"/>
        </w:rPr>
      </w:pPr>
    </w:p>
    <w:p w14:paraId="42406E32">
      <w:pPr>
        <w:pStyle w:val="133"/>
        <w:keepNext w:val="0"/>
        <w:keepLines w:val="0"/>
        <w:pageBreakBefore w:val="0"/>
        <w:kinsoku/>
        <w:wordWrap w:val="0"/>
        <w:overflowPunct/>
        <w:topLinePunct w:val="0"/>
        <w:bidi w:val="0"/>
        <w:snapToGrid w:val="0"/>
        <w:spacing w:before="0" w:beforeLines="0" w:afterLines="0"/>
        <w:ind w:firstLine="360"/>
        <w:textAlignment w:val="auto"/>
        <w:rPr>
          <w:rFonts w:ascii="仿宋" w:hAnsi="仿宋" w:eastAsia="仿宋" w:cs="仿宋"/>
          <w:color w:val="auto"/>
          <w:sz w:val="18"/>
          <w:szCs w:val="18"/>
          <w:highlight w:val="none"/>
        </w:rPr>
      </w:pPr>
    </w:p>
    <w:p w14:paraId="00B10AB7">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C6E8601">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8E363CD">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DD3D93A">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43C265D">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3D00AE7">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C8A5F9C">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75CE6CC">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91E6CA6">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4432C3D">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F5FB894">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A30AC57">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w:t>
      </w:r>
      <w:r>
        <w:rPr>
          <w:rFonts w:hint="eastAsia" w:ascii="仿宋" w:hAnsi="仿宋" w:eastAsia="仿宋" w:cs="仿宋"/>
          <w:color w:val="auto"/>
          <w:highlight w:val="none"/>
          <w:u w:val="single"/>
        </w:rPr>
        <w:t>政采云线上询问方式</w:t>
      </w:r>
      <w:r>
        <w:rPr>
          <w:rFonts w:hint="eastAsia" w:ascii="仿宋" w:hAnsi="仿宋" w:eastAsia="仿宋" w:cs="仿宋"/>
          <w:color w:val="auto"/>
          <w:highlight w:val="none"/>
        </w:rPr>
        <w:t>向采购代理机构提出。</w:t>
      </w:r>
    </w:p>
    <w:p w14:paraId="415E368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DB9D00">
      <w:pPr>
        <w:pStyle w:val="24"/>
        <w:keepNext w:val="0"/>
        <w:keepLines w:val="0"/>
        <w:pageBreakBefore w:val="0"/>
        <w:kinsoku/>
        <w:wordWrap w:val="0"/>
        <w:overflowPunct/>
        <w:topLinePunct w:val="0"/>
        <w:bidi w:val="0"/>
        <w:snapToGrid w:val="0"/>
        <w:spacing w:beforeLines="0" w:afterLines="0"/>
        <w:textAlignment w:val="auto"/>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58967E2">
      <w:pPr>
        <w:pStyle w:val="133"/>
        <w:keepNext w:val="0"/>
        <w:keepLines w:val="0"/>
        <w:pageBreakBefore w:val="0"/>
        <w:kinsoku/>
        <w:wordWrap w:val="0"/>
        <w:overflowPunct/>
        <w:topLinePunct w:val="0"/>
        <w:bidi w:val="0"/>
        <w:snapToGrid w:val="0"/>
        <w:spacing w:before="0" w:beforeLines="0" w:afterLines="0"/>
        <w:ind w:firstLine="1928" w:firstLineChars="600"/>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81A0663">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75BA16C7">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EB765A2">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175B99B">
      <w:pPr>
        <w:pStyle w:val="559"/>
        <w:keepNext w:val="0"/>
        <w:keepLines w:val="0"/>
        <w:pageBreakBefore w:val="0"/>
        <w:kinsoku/>
        <w:wordWrap w:val="0"/>
        <w:overflowPunct/>
        <w:topLinePunct w:val="0"/>
        <w:bidi w:val="0"/>
        <w:snapToGrid w:val="0"/>
        <w:spacing w:before="0" w:beforeLines="0" w:afterLines="0" w:line="360" w:lineRule="auto"/>
        <w:ind w:left="0" w:firstLine="240" w:firstLineChars="100"/>
        <w:contextualSpacing/>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4894FEB">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报价技术商务同时开（先唱标）。</w:t>
      </w:r>
    </w:p>
    <w:p w14:paraId="24D99145">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2622446F">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4BBE517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1D5BC548">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78929E6">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6CDB41C7">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719D8F05">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51A1D82">
      <w:pPr>
        <w:pStyle w:val="133"/>
        <w:keepNext w:val="0"/>
        <w:keepLines w:val="0"/>
        <w:pageBreakBefore w:val="0"/>
        <w:numPr>
          <w:ilvl w:val="0"/>
          <w:numId w:val="5"/>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427DDC5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F7C380F">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92220F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1988113">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6765AF8">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color w:val="auto"/>
          <w:kern w:val="0"/>
          <w:szCs w:val="24"/>
          <w:highlight w:val="none"/>
        </w:rPr>
      </w:pPr>
    </w:p>
    <w:p w14:paraId="19985FA8">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B453C85">
      <w:pPr>
        <w:keepNext w:val="0"/>
        <w:keepLines w:val="0"/>
        <w:pageBreakBefore w:val="0"/>
        <w:kinsoku/>
        <w:wordWrap w:val="0"/>
        <w:overflowPunct/>
        <w:topLinePunct w:val="0"/>
        <w:bidi w:val="0"/>
        <w:snapToGrid w:val="0"/>
        <w:spacing w:beforeLines="0" w:afterLines="0" w:line="360" w:lineRule="auto"/>
        <w:ind w:firstLine="241" w:firstLineChars="100"/>
        <w:textAlignment w:val="auto"/>
        <w:rPr>
          <w:rFonts w:ascii="仿宋" w:hAnsi="仿宋" w:eastAsia="仿宋" w:cs="仿宋"/>
          <w:b/>
          <w:color w:val="auto"/>
          <w:sz w:val="24"/>
          <w:highlight w:val="none"/>
        </w:rPr>
      </w:pPr>
      <w:bookmarkStart w:id="26"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ADF0EF2">
      <w:pPr>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highlight w:val="none"/>
        </w:rPr>
      </w:pPr>
    </w:p>
    <w:p w14:paraId="1EA94A0F">
      <w:pPr>
        <w:pStyle w:val="2"/>
        <w:rPr>
          <w:rFonts w:ascii="仿宋" w:hAnsi="仿宋" w:eastAsia="仿宋" w:cs="仿宋"/>
          <w:b/>
          <w:color w:val="auto"/>
          <w:sz w:val="24"/>
          <w:highlight w:val="none"/>
        </w:rPr>
      </w:pPr>
    </w:p>
    <w:p w14:paraId="2450229C">
      <w:pPr>
        <w:pStyle w:val="2"/>
        <w:rPr>
          <w:rFonts w:ascii="仿宋" w:hAnsi="仿宋" w:eastAsia="仿宋" w:cs="仿宋"/>
          <w:b/>
          <w:color w:val="auto"/>
          <w:sz w:val="24"/>
          <w:highlight w:val="none"/>
        </w:rPr>
      </w:pPr>
    </w:p>
    <w:p w14:paraId="71AC9BF7">
      <w:pPr>
        <w:pStyle w:val="2"/>
        <w:rPr>
          <w:rFonts w:ascii="仿宋" w:hAnsi="仿宋" w:eastAsia="仿宋" w:cs="仿宋"/>
          <w:b/>
          <w:color w:val="auto"/>
          <w:sz w:val="24"/>
          <w:highlight w:val="none"/>
        </w:rPr>
      </w:pPr>
    </w:p>
    <w:p w14:paraId="6133B90F">
      <w:pPr>
        <w:pStyle w:val="2"/>
        <w:rPr>
          <w:rFonts w:ascii="仿宋" w:hAnsi="仿宋" w:eastAsia="仿宋" w:cs="仿宋"/>
          <w:b/>
          <w:color w:val="auto"/>
          <w:sz w:val="24"/>
          <w:highlight w:val="none"/>
        </w:rPr>
      </w:pPr>
    </w:p>
    <w:p w14:paraId="41498E36">
      <w:pPr>
        <w:pStyle w:val="2"/>
        <w:rPr>
          <w:rFonts w:ascii="仿宋" w:hAnsi="仿宋" w:eastAsia="仿宋" w:cs="仿宋"/>
          <w:b/>
          <w:color w:val="auto"/>
          <w:sz w:val="24"/>
          <w:highlight w:val="none"/>
        </w:rPr>
      </w:pPr>
    </w:p>
    <w:p w14:paraId="1DA19A9C">
      <w:pPr>
        <w:pStyle w:val="2"/>
        <w:rPr>
          <w:rFonts w:ascii="仿宋" w:hAnsi="仿宋" w:eastAsia="仿宋" w:cs="仿宋"/>
          <w:b/>
          <w:color w:val="auto"/>
          <w:sz w:val="24"/>
          <w:highlight w:val="none"/>
        </w:rPr>
      </w:pPr>
    </w:p>
    <w:p w14:paraId="21902F98">
      <w:pPr>
        <w:pStyle w:val="2"/>
        <w:rPr>
          <w:rFonts w:ascii="仿宋" w:hAnsi="仿宋" w:eastAsia="仿宋" w:cs="仿宋"/>
          <w:b/>
          <w:color w:val="auto"/>
          <w:sz w:val="24"/>
          <w:highlight w:val="none"/>
        </w:rPr>
      </w:pPr>
    </w:p>
    <w:p w14:paraId="3A7A1B0D">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163756B">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1FEADC4A">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14:paraId="70DFC1A8">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0AF128D">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7610443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F93216E">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23.3公告期限为1个工作日。</w:t>
      </w:r>
    </w:p>
    <w:p w14:paraId="3E52235F">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24.由于中标供应商原因导致重新采购的，应当承担支付代理费和专家评审费等费用在内的赔偿责任。</w:t>
      </w:r>
    </w:p>
    <w:p w14:paraId="05F49193">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8AB40E4">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125331DA">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26. 合同的签订</w:t>
      </w:r>
    </w:p>
    <w:p w14:paraId="6B12F85C">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26.1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2F6B99">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4D3ECE7B">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2E1AB763">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26.4中标供应商拒绝与采购人签订合同的，采购人可以按照评标报告推荐的中标候选人名单排序，确定下一候选人为中标供应商，也可以重新开展政府采购活动。</w:t>
      </w:r>
    </w:p>
    <w:p w14:paraId="11FE0DE4">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1C186F8E">
      <w:pPr>
        <w:pStyle w:val="25"/>
        <w:keepNext w:val="0"/>
        <w:keepLines w:val="0"/>
        <w:pageBreakBefore w:val="0"/>
        <w:numPr>
          <w:ilvl w:val="0"/>
          <w:numId w:val="6"/>
        </w:numPr>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履约保证金</w:t>
      </w:r>
    </w:p>
    <w:p w14:paraId="3E4A8A3D">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20DCDD4">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EFD818">
      <w:pPr>
        <w:keepNext w:val="0"/>
        <w:keepLines w:val="0"/>
        <w:pageBreakBefore w:val="0"/>
        <w:numPr>
          <w:ilvl w:val="0"/>
          <w:numId w:val="6"/>
        </w:numPr>
        <w:tabs>
          <w:tab w:val="left" w:pos="0"/>
        </w:tabs>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6E7D732A">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F56351E">
      <w:pPr>
        <w:keepNext w:val="0"/>
        <w:keepLines w:val="0"/>
        <w:pageBreakBefore w:val="0"/>
        <w:kinsoku/>
        <w:wordWrap w:val="0"/>
        <w:overflowPunct/>
        <w:topLinePunct w:val="0"/>
        <w:bidi w:val="0"/>
        <w:snapToGrid w:val="0"/>
        <w:spacing w:beforeLines="0" w:afterLines="0" w:line="360" w:lineRule="auto"/>
        <w:ind w:firstLine="3357" w:firstLineChars="1045"/>
        <w:textAlignment w:val="auto"/>
        <w:rPr>
          <w:rFonts w:ascii="仿宋" w:hAnsi="仿宋" w:eastAsia="仿宋" w:cs="仿宋"/>
          <w:b/>
          <w:color w:val="auto"/>
          <w:sz w:val="32"/>
          <w:highlight w:val="none"/>
        </w:rPr>
      </w:pPr>
    </w:p>
    <w:p w14:paraId="4D9EF1A5">
      <w:pPr>
        <w:pStyle w:val="2"/>
        <w:rPr>
          <w:color w:val="auto"/>
          <w:highlight w:val="none"/>
        </w:rPr>
      </w:pPr>
    </w:p>
    <w:p w14:paraId="5EC075A6">
      <w:pPr>
        <w:keepNext w:val="0"/>
        <w:keepLines w:val="0"/>
        <w:pageBreakBefore w:val="0"/>
        <w:kinsoku/>
        <w:wordWrap w:val="0"/>
        <w:overflowPunct/>
        <w:topLinePunct w:val="0"/>
        <w:bidi w:val="0"/>
        <w:snapToGrid w:val="0"/>
        <w:spacing w:beforeLines="0" w:afterLines="0" w:line="360" w:lineRule="auto"/>
        <w:ind w:firstLine="3357" w:firstLineChars="1045"/>
        <w:textAlignment w:val="auto"/>
        <w:outlineLvl w:val="1"/>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3E18EE9">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9.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A8511B8">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29.1电子交易平台发生故障而无法登录访问的； </w:t>
      </w:r>
    </w:p>
    <w:p w14:paraId="37CE51B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29.2电子交易平台应用或数据库出现错误，不能进行正常操作的；</w:t>
      </w:r>
    </w:p>
    <w:p w14:paraId="7483D7AC">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29.3电子交易平台发现严重安全漏洞，有潜在泄密危险的；</w:t>
      </w:r>
    </w:p>
    <w:p w14:paraId="11D9FDE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29.4病毒发作导致不能进行正常操作的； </w:t>
      </w:r>
    </w:p>
    <w:p w14:paraId="7A827763">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29.5其他无法保证电子交易的公平、公正和安全的情况。</w:t>
      </w:r>
    </w:p>
    <w:p w14:paraId="4A2696CA">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66A0137A">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04A320A">
      <w:pPr>
        <w:pStyle w:val="25"/>
        <w:keepNext w:val="0"/>
        <w:keepLines w:val="0"/>
        <w:pageBreakBefore w:val="0"/>
        <w:kinsoku/>
        <w:wordWrap w:val="0"/>
        <w:overflowPunct/>
        <w:topLinePunct w:val="0"/>
        <w:bidi w:val="0"/>
        <w:snapToGrid w:val="0"/>
        <w:spacing w:beforeLines="0" w:afterLines="0" w:line="360" w:lineRule="auto"/>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31. 验收</w:t>
      </w:r>
    </w:p>
    <w:p w14:paraId="587CA37E">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3BC46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53064ACD">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6FDE1C">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759739">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27" w:name="_Toc15084"/>
      <w:bookmarkStart w:id="28" w:name="_Toc13322"/>
      <w:bookmarkStart w:id="29" w:name="_Toc24016"/>
      <w:bookmarkStart w:id="30" w:name="_Toc83886025"/>
      <w:bookmarkStart w:id="31" w:name="_Toc27148"/>
    </w:p>
    <w:bookmarkEnd w:id="27"/>
    <w:bookmarkEnd w:id="28"/>
    <w:bookmarkEnd w:id="29"/>
    <w:bookmarkEnd w:id="30"/>
    <w:bookmarkEnd w:id="31"/>
    <w:p w14:paraId="58246F50">
      <w:pPr>
        <w:tabs>
          <w:tab w:val="left" w:pos="0"/>
        </w:tabs>
        <w:snapToGrid w:val="0"/>
        <w:spacing w:beforeLines="0" w:afterLines="0" w:line="360" w:lineRule="auto"/>
        <w:ind w:firstLine="360" w:firstLineChars="200"/>
        <w:rPr>
          <w:rFonts w:ascii="仿宋" w:hAnsi="仿宋" w:eastAsia="仿宋" w:cs="仿宋"/>
          <w:color w:val="auto"/>
          <w:sz w:val="18"/>
          <w:szCs w:val="18"/>
          <w:highlight w:val="none"/>
        </w:rPr>
      </w:pPr>
    </w:p>
    <w:bookmarkEnd w:id="26"/>
    <w:p w14:paraId="6010AD6A">
      <w:pPr>
        <w:tabs>
          <w:tab w:val="left" w:pos="0"/>
        </w:tabs>
        <w:wordWrap w:val="0"/>
        <w:snapToGrid w:val="0"/>
        <w:spacing w:beforeLines="0" w:afterLines="0" w:line="360" w:lineRule="auto"/>
        <w:ind w:firstLine="480"/>
        <w:rPr>
          <w:rFonts w:ascii="仿宋" w:hAnsi="仿宋" w:eastAsia="仿宋" w:cs="仿宋"/>
          <w:color w:val="auto"/>
          <w:kern w:val="0"/>
          <w:sz w:val="24"/>
          <w:highlight w:val="none"/>
        </w:rPr>
        <w:sectPr>
          <w:pgSz w:w="11905" w:h="16838"/>
          <w:pgMar w:top="652" w:right="1417" w:bottom="680" w:left="1417" w:header="539" w:footer="425" w:gutter="0"/>
          <w:pgNumType w:fmt="decimal"/>
          <w:cols w:space="0" w:num="1"/>
          <w:titlePg/>
          <w:docGrid w:linePitch="312" w:charSpace="0"/>
        </w:sectPr>
      </w:pPr>
      <w:bookmarkStart w:id="32" w:name="_Hlt68403820"/>
      <w:bookmarkEnd w:id="32"/>
      <w:bookmarkStart w:id="33" w:name="_Hlt68073093"/>
      <w:bookmarkEnd w:id="33"/>
      <w:bookmarkStart w:id="34" w:name="_Hlt75236290"/>
      <w:bookmarkEnd w:id="34"/>
      <w:bookmarkStart w:id="35" w:name="_Hlt68072998"/>
      <w:bookmarkEnd w:id="35"/>
      <w:bookmarkStart w:id="36" w:name="_Hlt74714665"/>
      <w:bookmarkEnd w:id="36"/>
      <w:bookmarkStart w:id="37" w:name="_Hlt74730295"/>
      <w:bookmarkEnd w:id="37"/>
      <w:bookmarkStart w:id="38" w:name="_Hlt75236011"/>
      <w:bookmarkEnd w:id="38"/>
      <w:bookmarkStart w:id="39" w:name="_Hlt68072990"/>
      <w:bookmarkEnd w:id="39"/>
      <w:bookmarkStart w:id="40" w:name="_Hlt74707468"/>
      <w:bookmarkEnd w:id="40"/>
      <w:bookmarkStart w:id="41" w:name="_Hlt74729768"/>
      <w:bookmarkEnd w:id="41"/>
      <w:bookmarkStart w:id="42" w:name="_Hlt68057669"/>
      <w:bookmarkEnd w:id="42"/>
      <w:bookmarkStart w:id="43" w:name="_Hlt75236101"/>
      <w:bookmarkEnd w:id="43"/>
    </w:p>
    <w:bookmarkEnd w:id="24"/>
    <w:bookmarkEnd w:id="25"/>
    <w:p w14:paraId="448D93A1">
      <w:pPr>
        <w:wordWrap w:val="0"/>
        <w:snapToGrid w:val="0"/>
        <w:spacing w:beforeLines="0" w:afterLines="0" w:line="360" w:lineRule="auto"/>
        <w:jc w:val="center"/>
        <w:outlineLvl w:val="0"/>
        <w:rPr>
          <w:rFonts w:ascii="仿宋" w:hAnsi="仿宋" w:eastAsia="仿宋" w:cs="仿宋"/>
          <w:b/>
          <w:color w:val="auto"/>
          <w:sz w:val="36"/>
          <w:szCs w:val="36"/>
          <w:highlight w:val="none"/>
        </w:rPr>
      </w:pPr>
      <w:bookmarkStart w:id="44" w:name="_Toc17637"/>
      <w:bookmarkStart w:id="45" w:name="_Toc16672"/>
      <w:bookmarkStart w:id="46" w:name="_Toc23290"/>
      <w:bookmarkStart w:id="47" w:name="_Toc135"/>
      <w:bookmarkStart w:id="48" w:name="_Toc8370"/>
      <w:bookmarkStart w:id="49" w:name="_Toc10476"/>
      <w:bookmarkStart w:id="50" w:name="_Toc377"/>
      <w:bookmarkStart w:id="51" w:name="第四部分"/>
      <w:r>
        <w:rPr>
          <w:rFonts w:hint="eastAsia" w:ascii="仿宋" w:hAnsi="仿宋" w:eastAsia="仿宋" w:cs="仿宋"/>
          <w:b/>
          <w:color w:val="auto"/>
          <w:sz w:val="36"/>
          <w:szCs w:val="36"/>
          <w:highlight w:val="none"/>
        </w:rPr>
        <w:t>第三部分 采购需求</w:t>
      </w:r>
      <w:bookmarkEnd w:id="44"/>
      <w:bookmarkEnd w:id="45"/>
      <w:bookmarkEnd w:id="46"/>
      <w:bookmarkEnd w:id="47"/>
      <w:bookmarkEnd w:id="48"/>
      <w:bookmarkEnd w:id="49"/>
      <w:bookmarkEnd w:id="50"/>
    </w:p>
    <w:p w14:paraId="3E002BC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bookmarkStart w:id="52" w:name="bookmark4"/>
      <w:bookmarkStart w:id="53" w:name="_Toc5794"/>
      <w:bookmarkStart w:id="54" w:name="_Toc23824"/>
      <w:bookmarkStart w:id="55" w:name="_Toc169952210"/>
      <w:bookmarkStart w:id="56" w:name="_Toc17094"/>
      <w:bookmarkStart w:id="57" w:name="_Toc28895"/>
      <w:bookmarkStart w:id="58" w:name="_Toc12173"/>
      <w:bookmarkStart w:id="59" w:name="_Toc24799"/>
      <w:bookmarkStart w:id="60" w:name="_Toc6657"/>
      <w:bookmarkStart w:id="61" w:name="_Toc22598"/>
      <w:r>
        <w:rPr>
          <w:rFonts w:hint="eastAsia" w:ascii="仿宋" w:hAnsi="仿宋" w:eastAsia="仿宋" w:cs="仿宋"/>
          <w:b w:val="0"/>
          <w:bCs w:val="0"/>
          <w:color w:val="auto"/>
          <w:kern w:val="0"/>
          <w:sz w:val="24"/>
          <w:szCs w:val="24"/>
          <w:highlight w:val="none"/>
          <w:lang w:val="en-US" w:eastAsia="zh-CN" w:bidi="ar-SA"/>
        </w:rPr>
        <w:t>一、项目概况</w:t>
      </w:r>
    </w:p>
    <w:p w14:paraId="5B452087">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为规范大关街道企退自管小组文体活动的组织工作，推行大关街道纳入社会化管理企业退休人员文娱健身活动组织的管理制度化，保证活动服务质量，提高管理工作效益，促进廉政建设，依据《中华人民共和国政府采购法》、《中华人民共和国政府采购法实施条例》等有关规定，结合大关街道实际情况，现就2025-2027年度企业退休人员文娱健身活动服务单位进行公开招标。</w:t>
      </w:r>
    </w:p>
    <w:p w14:paraId="2D269478">
      <w:pPr>
        <w:pStyle w:val="968"/>
        <w:tabs>
          <w:tab w:val="left" w:pos="471"/>
        </w:tabs>
        <w:snapToGrid w:val="0"/>
        <w:spacing w:beforeLines="0" w:afterLines="0" w:line="360" w:lineRule="auto"/>
        <w:outlineLvl w:val="1"/>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标项一：2025-2027年度企业退休人员文娱健身活动承办服务</w:t>
      </w:r>
    </w:p>
    <w:p w14:paraId="4A96790C">
      <w:pPr>
        <w:pStyle w:val="968"/>
        <w:tabs>
          <w:tab w:val="left" w:pos="471"/>
        </w:tabs>
        <w:snapToGrid w:val="0"/>
        <w:spacing w:beforeLines="0" w:afterLines="0" w:line="360" w:lineRule="auto"/>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（一）采购内容</w:t>
      </w:r>
    </w:p>
    <w:p w14:paraId="5D72AC28">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供应商负责提供2025年-2027年大关街道纳入社会化管理企业退休人员</w:t>
      </w:r>
      <w:r>
        <w:rPr>
          <w:rFonts w:hint="eastAsia" w:ascii="仿宋" w:hAnsi="仿宋" w:eastAsia="仿宋" w:cs="仿宋"/>
          <w:i w:val="0"/>
          <w:iCs w:val="0"/>
          <w:caps w:val="0"/>
          <w:color w:val="auto"/>
          <w:spacing w:val="0"/>
          <w:kern w:val="0"/>
          <w:sz w:val="24"/>
          <w:szCs w:val="24"/>
          <w:highlight w:val="none"/>
          <w:lang w:val="en-US" w:eastAsia="zh-CN" w:bidi="ar-SA"/>
        </w:rPr>
        <w:t>自管小组文体</w:t>
      </w:r>
      <w:r>
        <w:rPr>
          <w:rFonts w:hint="eastAsia" w:ascii="仿宋" w:hAnsi="仿宋" w:eastAsia="仿宋" w:cs="仿宋"/>
          <w:b w:val="0"/>
          <w:bCs w:val="0"/>
          <w:color w:val="auto"/>
          <w:kern w:val="0"/>
          <w:sz w:val="24"/>
          <w:szCs w:val="24"/>
          <w:highlight w:val="none"/>
          <w:lang w:val="en-US" w:eastAsia="zh-CN" w:bidi="ar-SA"/>
        </w:rPr>
        <w:t>活动的承办服务，具体包括活动策划、组织、执行。</w:t>
      </w:r>
    </w:p>
    <w:p w14:paraId="681DF293">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1.活动对象：</w:t>
      </w:r>
      <w:r>
        <w:rPr>
          <w:rFonts w:hint="eastAsia" w:ascii="仿宋" w:hAnsi="仿宋" w:eastAsia="仿宋" w:cs="仿宋"/>
          <w:b w:val="0"/>
          <w:bCs w:val="0"/>
          <w:color w:val="auto"/>
          <w:kern w:val="0"/>
          <w:sz w:val="24"/>
          <w:szCs w:val="24"/>
          <w:highlight w:val="none"/>
          <w:lang w:val="en-US" w:eastAsia="zh-CN" w:bidi="ar-SA"/>
        </w:rPr>
        <w:t>大关街道</w:t>
      </w:r>
      <w:r>
        <w:rPr>
          <w:rFonts w:hint="eastAsia" w:ascii="仿宋" w:hAnsi="仿宋" w:eastAsia="仿宋" w:cs="仿宋"/>
          <w:color w:val="auto"/>
          <w:kern w:val="0"/>
          <w:sz w:val="24"/>
          <w:szCs w:val="24"/>
          <w:highlight w:val="none"/>
          <w:lang w:val="en-US" w:eastAsia="zh-CN" w:bidi="ar-SA"/>
        </w:rPr>
        <w:t>纳入社会化管理的企业退休人员</w:t>
      </w:r>
    </w:p>
    <w:p w14:paraId="56F1BA97">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2.活动人数：约11803人/年，由采购人提供具体人员名单。</w:t>
      </w:r>
    </w:p>
    <w:p w14:paraId="0F28FEDC">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3.活动特点：适合企业退休人员年龄段的活动形式。</w:t>
      </w:r>
    </w:p>
    <w:p w14:paraId="27CBDE73">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▲4.个人经费标准：130元/人次。每人每年参加1次；不得发放现金或购物卡等代金卡（券），对75周岁以上及因客观原因不能参加活动的退休人员，可以组织慰问，发放慰问品。</w:t>
      </w:r>
    </w:p>
    <w:bookmarkEnd w:id="52"/>
    <w:p w14:paraId="6DEB1DB6">
      <w:pPr>
        <w:pStyle w:val="968"/>
        <w:tabs>
          <w:tab w:val="left" w:pos="471"/>
        </w:tabs>
        <w:snapToGrid w:val="0"/>
        <w:spacing w:beforeLines="0" w:afterLines="0" w:line="360" w:lineRule="auto"/>
        <w:ind w:firstLine="482"/>
        <w:outlineLvl w:val="1"/>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4.服务期限：2025年-2027年</w:t>
      </w:r>
      <w:r>
        <w:rPr>
          <w:rFonts w:hint="eastAsia" w:ascii="仿宋" w:hAnsi="仿宋" w:eastAsia="仿宋" w:cs="仿宋"/>
          <w:b w:val="0"/>
          <w:bCs/>
          <w:color w:val="auto"/>
          <w:sz w:val="24"/>
          <w:highlight w:val="none"/>
          <w:lang w:val="en-US" w:eastAsia="zh-CN"/>
        </w:rPr>
        <w:t>。</w:t>
      </w:r>
    </w:p>
    <w:p w14:paraId="7461855F">
      <w:pPr>
        <w:pStyle w:val="968"/>
        <w:tabs>
          <w:tab w:val="left" w:pos="471"/>
        </w:tabs>
        <w:snapToGrid w:val="0"/>
        <w:spacing w:beforeLines="0" w:afterLines="0" w:line="360" w:lineRule="auto"/>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（二）服务要求</w:t>
      </w:r>
    </w:p>
    <w:p w14:paraId="5091CD5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1.基本要求</w:t>
      </w:r>
    </w:p>
    <w:p w14:paraId="00C1A8AF">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1.1文体活动应以小型、多样、就近和安全为原则，结合大关街道辖区内企业退休人员年龄实际情况，拟定计划、征求意见、组织实施。</w:t>
      </w:r>
    </w:p>
    <w:p w14:paraId="730BF9FA">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1.2供应商应设有相对独立的服务热线电话和服务质量投诉电话，指定专人负责本项目的服务工作。</w:t>
      </w:r>
    </w:p>
    <w:p w14:paraId="5C31A03C">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w:t>
      </w:r>
      <w:r>
        <w:rPr>
          <w:rFonts w:hint="eastAsia" w:ascii="仿宋" w:hAnsi="仿宋" w:eastAsia="仿宋" w:cs="仿宋"/>
          <w:color w:val="auto"/>
          <w:kern w:val="0"/>
          <w:sz w:val="24"/>
          <w:szCs w:val="24"/>
          <w:highlight w:val="none"/>
          <w:lang w:val="en-US" w:eastAsia="zh-CN" w:bidi="ar-SA"/>
        </w:rPr>
        <w:t>供应商提供的活动策划及其他相关各项资料，使用前需交采购人认可，认可后的实施方案供应商方可执行。</w:t>
      </w:r>
    </w:p>
    <w:p w14:paraId="1D54FCA4">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2.活动形式要求</w:t>
      </w:r>
    </w:p>
    <w:p w14:paraId="1F2043D3">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2.1一次性活动：可适当整合资源，不接受现金、实物及有价证券的活动形式。</w:t>
      </w:r>
    </w:p>
    <w:p w14:paraId="3E0E362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2.2活动种类多样、可操作性强。供应商在投标文件中提供详细的多种类活动方案，供企退人员进行选择。活动不得变相售卖任何产品，不得进行违法违规活动。</w:t>
      </w:r>
    </w:p>
    <w:p w14:paraId="6BD63230">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p>
    <w:p w14:paraId="17B20850">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p>
    <w:p w14:paraId="76811A4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2.3辖区内上门慰问活动（针对不便外出人员）：使用上门慰问的形式必须向采购人提供有效的照片影像资料及签名台账，供应商实施上门慰问活动时不得外包第三方单位落实。</w:t>
      </w:r>
    </w:p>
    <w:p w14:paraId="66ED4EDE">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2.4活动组织方式：小型活动，包括但不限于外出参观游览，区内文娱健身活动。</w:t>
      </w:r>
    </w:p>
    <w:p w14:paraId="026C33FC">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2.5企退人员活动时间：按照街道确定的活动方案，由企退人员自由选择，原则上截止时间为2025年11月30日。</w:t>
      </w:r>
    </w:p>
    <w:p w14:paraId="13FC16CF">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宋体"/>
          <w:b/>
          <w:bCs/>
          <w:snapToGrid w:val="0"/>
          <w:color w:val="auto"/>
          <w:kern w:val="0"/>
          <w:sz w:val="24"/>
          <w:highlight w:val="none"/>
          <w:lang w:val="en-US" w:eastAsia="zh-CN"/>
        </w:rPr>
        <w:t>2.6</w:t>
      </w:r>
      <w:r>
        <w:rPr>
          <w:rFonts w:hint="eastAsia" w:ascii="仿宋" w:hAnsi="仿宋" w:eastAsia="仿宋" w:cs="宋体"/>
          <w:b/>
          <w:bCs/>
          <w:snapToGrid w:val="0"/>
          <w:color w:val="auto"/>
          <w:kern w:val="0"/>
          <w:sz w:val="24"/>
          <w:highlight w:val="none"/>
        </w:rPr>
        <w:t>活动安排要求</w:t>
      </w:r>
      <w:r>
        <w:rPr>
          <w:rFonts w:hint="eastAsia" w:ascii="仿宋" w:hAnsi="仿宋" w:eastAsia="仿宋" w:cs="宋体"/>
          <w:b/>
          <w:bCs/>
          <w:snapToGrid w:val="0"/>
          <w:color w:val="auto"/>
          <w:kern w:val="0"/>
          <w:sz w:val="24"/>
          <w:highlight w:val="none"/>
          <w:lang w:eastAsia="zh-CN"/>
        </w:rPr>
        <w:t>：</w:t>
      </w:r>
    </w:p>
    <w:p w14:paraId="3172855F">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①</w:t>
      </w:r>
      <w:r>
        <w:rPr>
          <w:rFonts w:hint="eastAsia" w:ascii="仿宋" w:hAnsi="仿宋" w:eastAsia="仿宋" w:cs="宋体"/>
          <w:snapToGrid w:val="0"/>
          <w:color w:val="auto"/>
          <w:kern w:val="0"/>
          <w:sz w:val="24"/>
          <w:highlight w:val="none"/>
          <w:lang w:val="en-US"/>
        </w:rPr>
        <w:t>制定文娱健身活动开展的工作程序和步骤、活动过程中的管理和协调方法、相关服务保障措施。</w:t>
      </w:r>
    </w:p>
    <w:p w14:paraId="64F580B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②</w:t>
      </w:r>
      <w:r>
        <w:rPr>
          <w:rFonts w:hint="eastAsia" w:ascii="仿宋" w:hAnsi="仿宋" w:eastAsia="仿宋" w:cs="宋体"/>
          <w:snapToGrid w:val="0"/>
          <w:color w:val="auto"/>
          <w:kern w:val="0"/>
          <w:sz w:val="24"/>
          <w:highlight w:val="none"/>
          <w:lang w:val="en-US"/>
        </w:rPr>
        <w:t>文娱健身活动方案：活动种类多样、可操作性强。供应商在响应文件中需提供不少于5种详细的多种类活动方案（包括但不限于活动类型、组织方式、活动时间、参加人数等）供采购人选择。</w:t>
      </w:r>
    </w:p>
    <w:p w14:paraId="7C870CB0">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③</w:t>
      </w:r>
      <w:r>
        <w:rPr>
          <w:rFonts w:hint="eastAsia" w:ascii="仿宋" w:hAnsi="仿宋" w:eastAsia="仿宋" w:cs="宋体"/>
          <w:snapToGrid w:val="0"/>
          <w:color w:val="auto"/>
          <w:kern w:val="0"/>
          <w:sz w:val="24"/>
          <w:highlight w:val="none"/>
          <w:lang w:val="en-US"/>
        </w:rPr>
        <w:t>活动场地及设施设备：文娱健身活动须安排在街道辖区场地组织，开展活动前，供应商应落实活动场地、确保活动场地的安全可靠，并报采购人确认。活动所需的配套设施设备应符合活动要求。</w:t>
      </w:r>
    </w:p>
    <w:p w14:paraId="287979E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④</w:t>
      </w:r>
      <w:r>
        <w:rPr>
          <w:rFonts w:hint="eastAsia" w:ascii="仿宋" w:hAnsi="仿宋" w:eastAsia="仿宋" w:cs="宋体"/>
          <w:snapToGrid w:val="0"/>
          <w:color w:val="auto"/>
          <w:kern w:val="0"/>
          <w:sz w:val="24"/>
          <w:highlight w:val="none"/>
          <w:lang w:val="en-US"/>
        </w:rPr>
        <w:t>企退人员组织安排：供应商对活动开展过程中（包括报名、活动签到、活动结束人员统计）制定详细的活动人员组织安排方案。</w:t>
      </w:r>
    </w:p>
    <w:p w14:paraId="4394F49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⑤</w:t>
      </w:r>
      <w:r>
        <w:rPr>
          <w:rFonts w:hint="eastAsia" w:ascii="仿宋" w:hAnsi="仿宋" w:eastAsia="仿宋" w:cs="宋体"/>
          <w:snapToGrid w:val="0"/>
          <w:color w:val="auto"/>
          <w:kern w:val="0"/>
          <w:sz w:val="24"/>
          <w:highlight w:val="none"/>
          <w:lang w:val="en-US"/>
        </w:rPr>
        <w:t>供应商须为活动的组织方，委托第三方机构组织活动将不予接受。</w:t>
      </w:r>
    </w:p>
    <w:p w14:paraId="1884F778">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⑥</w:t>
      </w:r>
      <w:r>
        <w:rPr>
          <w:rFonts w:hint="eastAsia" w:ascii="仿宋" w:hAnsi="仿宋" w:eastAsia="仿宋" w:cs="宋体"/>
          <w:snapToGrid w:val="0"/>
          <w:color w:val="auto"/>
          <w:kern w:val="0"/>
          <w:sz w:val="24"/>
          <w:highlight w:val="none"/>
          <w:lang w:val="en-US"/>
        </w:rPr>
        <w:t>活动策划需体现活动宣传标语内容，活动结束后为采购人提供活动宣传素材。</w:t>
      </w:r>
    </w:p>
    <w:p w14:paraId="04A60AC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⑦</w:t>
      </w:r>
      <w:r>
        <w:rPr>
          <w:rFonts w:hint="eastAsia" w:ascii="仿宋" w:hAnsi="仿宋" w:eastAsia="仿宋" w:cs="宋体"/>
          <w:snapToGrid w:val="0"/>
          <w:color w:val="auto"/>
          <w:kern w:val="0"/>
          <w:sz w:val="24"/>
          <w:highlight w:val="none"/>
          <w:lang w:val="en-US"/>
        </w:rPr>
        <w:t>活动组织方式：企退人员自行至目的地。</w:t>
      </w:r>
    </w:p>
    <w:p w14:paraId="42294AB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⑧</w:t>
      </w:r>
      <w:r>
        <w:rPr>
          <w:rFonts w:hint="eastAsia" w:ascii="仿宋" w:hAnsi="仿宋" w:eastAsia="仿宋" w:cs="宋体"/>
          <w:snapToGrid w:val="0"/>
          <w:color w:val="auto"/>
          <w:kern w:val="0"/>
          <w:sz w:val="24"/>
          <w:highlight w:val="none"/>
          <w:lang w:val="en-US"/>
        </w:rPr>
        <w:t>企退人员活动时间：自由选择。</w:t>
      </w:r>
    </w:p>
    <w:p w14:paraId="14EFEBCD">
      <w:pPr>
        <w:pStyle w:val="968"/>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2.7人员要求</w:t>
      </w:r>
    </w:p>
    <w:p w14:paraId="5266C8B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项目组要求设置项目负责人1人，策划专业人员不少于2人，活动组织、执行人员不少5人。投标文件中提供拟派项目组人员配备方案，方案应包含拟派项目组团队组织架构、岗位设置与人员配置计划和整体安排。</w:t>
      </w:r>
    </w:p>
    <w:p w14:paraId="3D307955">
      <w:pPr>
        <w:pStyle w:val="968"/>
        <w:tabs>
          <w:tab w:val="left" w:pos="471"/>
        </w:tabs>
        <w:snapToGrid w:val="0"/>
        <w:spacing w:beforeLines="0" w:afterLines="0" w:line="360" w:lineRule="auto"/>
        <w:ind w:firstLine="482"/>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2.8其他相关要求</w:t>
      </w:r>
    </w:p>
    <w:p w14:paraId="56B4DD4D">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①供应商应为服务对象购买老年短期意外险。在活动期间，供应商负责安全防护，切实做好项目的服务工作。</w:t>
      </w:r>
    </w:p>
    <w:p w14:paraId="69EDC109">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②服务目标及质量：满意度达95%及以上，安全责任事故“0”发生。采购人不定期对供应商组织的活动进行满意度调查。</w:t>
      </w:r>
      <w:r>
        <w:rPr>
          <w:rFonts w:hint="eastAsia" w:ascii="仿宋" w:hAnsi="仿宋" w:eastAsia="仿宋" w:cs="仿宋"/>
          <w:color w:val="auto"/>
          <w:kern w:val="0"/>
          <w:sz w:val="24"/>
          <w:szCs w:val="24"/>
          <w:highlight w:val="none"/>
          <w:lang w:val="en-US" w:eastAsia="zh-CN" w:bidi="ar-SA"/>
        </w:rPr>
        <w:t>（满意度调查低于85%，服务费扣除合同签约价的2%，并按采购人要求整改；因供应商原因发生安全事故的，服务费扣除合同签约价的5%-15%，并承担事故所有损失，采购人有权单方面终止合同。</w:t>
      </w:r>
    </w:p>
    <w:p w14:paraId="21902B7D">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③供应商应承诺及保证自身对参加活动人员名单和个人信息不外泄。</w:t>
      </w:r>
    </w:p>
    <w:p w14:paraId="158807DB">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④</w:t>
      </w:r>
      <w:r>
        <w:rPr>
          <w:rFonts w:hint="eastAsia" w:ascii="仿宋" w:hAnsi="仿宋" w:eastAsia="仿宋" w:cs="仿宋"/>
          <w:color w:val="auto"/>
          <w:kern w:val="0"/>
          <w:sz w:val="24"/>
          <w:szCs w:val="24"/>
          <w:highlight w:val="none"/>
          <w:lang w:val="en-US" w:eastAsia="zh-CN" w:bidi="ar-SA"/>
        </w:rPr>
        <w:t>应急要求</w:t>
      </w:r>
    </w:p>
    <w:p w14:paraId="3957C15B">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4.1供应商须制定</w:t>
      </w:r>
      <w:r>
        <w:rPr>
          <w:rFonts w:hint="eastAsia" w:ascii="仿宋" w:hAnsi="仿宋" w:eastAsia="仿宋" w:cs="仿宋"/>
          <w:b w:val="0"/>
          <w:bCs w:val="0"/>
          <w:color w:val="auto"/>
          <w:kern w:val="0"/>
          <w:sz w:val="24"/>
          <w:szCs w:val="24"/>
          <w:highlight w:val="none"/>
          <w:lang w:val="en-US" w:eastAsia="zh-CN" w:bidi="ar-SA"/>
        </w:rPr>
        <w:t>对应的应急预案（</w:t>
      </w:r>
      <w:r>
        <w:rPr>
          <w:rFonts w:hint="eastAsia" w:ascii="仿宋" w:hAnsi="仿宋" w:eastAsia="仿宋" w:cs="仿宋"/>
          <w:color w:val="auto"/>
          <w:kern w:val="0"/>
          <w:sz w:val="24"/>
          <w:szCs w:val="24"/>
          <w:highlight w:val="none"/>
          <w:lang w:val="en-US" w:eastAsia="zh-CN" w:bidi="ar-SA"/>
        </w:rPr>
        <w:t>包括传达机制、人员调配、责任分工等，</w:t>
      </w:r>
      <w:r>
        <w:rPr>
          <w:rFonts w:hint="eastAsia" w:ascii="仿宋" w:hAnsi="仿宋" w:eastAsia="仿宋" w:cs="仿宋"/>
          <w:b w:val="0"/>
          <w:bCs w:val="0"/>
          <w:color w:val="auto"/>
          <w:kern w:val="0"/>
          <w:sz w:val="24"/>
          <w:szCs w:val="24"/>
          <w:highlight w:val="none"/>
          <w:lang w:val="en-US" w:eastAsia="zh-CN" w:bidi="ar-SA"/>
        </w:rPr>
        <w:t>活动期间需安排专业人员保障）和应急措施。</w:t>
      </w:r>
    </w:p>
    <w:p w14:paraId="72E2A3E5">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4.2项目实施过程中，当发生重大险情或安全事故，或有重大任务、活动时，能够及时处理并向采购人报告，最大限度避免或减少损失。</w:t>
      </w:r>
    </w:p>
    <w:p w14:paraId="3E9898B8">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⑤规章制度</w:t>
      </w:r>
    </w:p>
    <w:p w14:paraId="42C91EB9">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5.1供应商须具备完整可行的规章制度，保障项目的高效实施。</w:t>
      </w:r>
    </w:p>
    <w:p w14:paraId="5B78A3F7">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5.2供应商应做好本项目的所有档案、数据管理工作。</w:t>
      </w:r>
    </w:p>
    <w:p w14:paraId="10F2EF1A">
      <w:pPr>
        <w:pStyle w:val="968"/>
        <w:tabs>
          <w:tab w:val="left" w:pos="471"/>
        </w:tabs>
        <w:snapToGrid w:val="0"/>
        <w:spacing w:beforeLines="0" w:afterLines="0" w:line="360" w:lineRule="auto"/>
        <w:ind w:firstLine="482"/>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标项二：</w:t>
      </w:r>
      <w:bookmarkStart w:id="62" w:name="OLE_LINK7"/>
      <w:r>
        <w:rPr>
          <w:rFonts w:hint="eastAsia" w:ascii="仿宋" w:hAnsi="仿宋" w:eastAsia="仿宋" w:cs="仿宋"/>
          <w:b/>
          <w:bCs/>
          <w:color w:val="auto"/>
          <w:kern w:val="0"/>
          <w:sz w:val="24"/>
          <w:szCs w:val="24"/>
          <w:highlight w:val="none"/>
          <w:lang w:val="en-US" w:eastAsia="zh-CN" w:bidi="ar-SA"/>
        </w:rPr>
        <w:t>2025-2027年度企业退休人员外出游览活动承办服务</w:t>
      </w:r>
    </w:p>
    <w:p w14:paraId="12E3A286">
      <w:pPr>
        <w:pStyle w:val="968"/>
        <w:tabs>
          <w:tab w:val="left" w:pos="471"/>
        </w:tabs>
        <w:snapToGrid w:val="0"/>
        <w:spacing w:beforeLines="0" w:afterLines="0" w:line="360" w:lineRule="auto"/>
        <w:ind w:firstLine="482"/>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（一）采购内容</w:t>
      </w:r>
    </w:p>
    <w:p w14:paraId="73BADC5C">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供应商负责提供2025年-2027年大关街道纳入社会化管理企业退休人员</w:t>
      </w:r>
      <w:r>
        <w:rPr>
          <w:rFonts w:hint="eastAsia" w:ascii="仿宋" w:hAnsi="仿宋" w:eastAsia="仿宋" w:cs="仿宋"/>
          <w:i w:val="0"/>
          <w:iCs w:val="0"/>
          <w:caps w:val="0"/>
          <w:color w:val="auto"/>
          <w:spacing w:val="0"/>
          <w:kern w:val="0"/>
          <w:sz w:val="24"/>
          <w:szCs w:val="24"/>
          <w:highlight w:val="none"/>
          <w:lang w:val="en-US" w:eastAsia="zh-CN" w:bidi="ar-SA"/>
        </w:rPr>
        <w:t>自管小组</w:t>
      </w:r>
      <w:r>
        <w:rPr>
          <w:rFonts w:hint="eastAsia" w:ascii="仿宋" w:hAnsi="仿宋" w:eastAsia="仿宋" w:cs="仿宋"/>
          <w:color w:val="auto"/>
          <w:kern w:val="0"/>
          <w:sz w:val="24"/>
          <w:szCs w:val="24"/>
          <w:highlight w:val="none"/>
          <w:lang w:val="en-US" w:eastAsia="zh-CN" w:bidi="ar-SA"/>
        </w:rPr>
        <w:t>外出游览策划、线路安排、服务保障、费用控制等一系列相关服务</w:t>
      </w:r>
      <w:bookmarkEnd w:id="62"/>
      <w:r>
        <w:rPr>
          <w:rFonts w:hint="eastAsia" w:ascii="仿宋" w:hAnsi="仿宋" w:eastAsia="仿宋" w:cs="仿宋"/>
          <w:color w:val="auto"/>
          <w:kern w:val="0"/>
          <w:sz w:val="24"/>
          <w:szCs w:val="24"/>
          <w:highlight w:val="none"/>
          <w:lang w:val="en-US" w:eastAsia="zh-CN" w:bidi="ar-SA"/>
        </w:rPr>
        <w:t>。</w:t>
      </w:r>
    </w:p>
    <w:p w14:paraId="7FBF13CC">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1.活动对象：</w:t>
      </w:r>
      <w:r>
        <w:rPr>
          <w:rFonts w:hint="eastAsia" w:ascii="仿宋" w:hAnsi="仿宋" w:eastAsia="仿宋" w:cs="仿宋"/>
          <w:b w:val="0"/>
          <w:bCs w:val="0"/>
          <w:color w:val="auto"/>
          <w:kern w:val="0"/>
          <w:sz w:val="24"/>
          <w:szCs w:val="24"/>
          <w:highlight w:val="none"/>
          <w:lang w:val="en-US" w:eastAsia="zh-CN" w:bidi="ar-SA"/>
        </w:rPr>
        <w:t>大关街道</w:t>
      </w:r>
      <w:r>
        <w:rPr>
          <w:rFonts w:hint="eastAsia" w:ascii="仿宋" w:hAnsi="仿宋" w:eastAsia="仿宋" w:cs="仿宋"/>
          <w:color w:val="auto"/>
          <w:kern w:val="0"/>
          <w:sz w:val="24"/>
          <w:szCs w:val="24"/>
          <w:highlight w:val="none"/>
          <w:lang w:val="en-US" w:eastAsia="zh-CN" w:bidi="ar-SA"/>
        </w:rPr>
        <w:t>纳入社会化管理的企业退休人员</w:t>
      </w:r>
    </w:p>
    <w:p w14:paraId="553F67E7">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2.活动人数：约700人/年，由采购人提供具体人员名单。</w:t>
      </w:r>
    </w:p>
    <w:p w14:paraId="586DACD4">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3.活动特点：适合企业退休人员年龄段的外出游览。</w:t>
      </w:r>
    </w:p>
    <w:p w14:paraId="08FBCF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具体为：企退人员</w:t>
      </w:r>
      <w:r>
        <w:rPr>
          <w:rFonts w:hint="eastAsia" w:ascii="仿宋" w:hAnsi="仿宋" w:eastAsia="仿宋" w:cs="仿宋"/>
          <w:color w:val="auto"/>
          <w:sz w:val="24"/>
          <w:highlight w:val="none"/>
          <w:lang w:val="en-US" w:eastAsia="zh-CN"/>
        </w:rPr>
        <w:t>外出游览</w:t>
      </w:r>
      <w:r>
        <w:rPr>
          <w:rFonts w:hint="eastAsia" w:ascii="仿宋" w:hAnsi="仿宋" w:eastAsia="仿宋" w:cs="仿宋"/>
          <w:color w:val="auto"/>
          <w:sz w:val="24"/>
          <w:highlight w:val="none"/>
        </w:rPr>
        <w:t>活动的管理、策划、组织，活动后评价意见的征求、汇总、分析、反馈以及合理建议，采购人交办的与本项目管理相关的其他事务。</w:t>
      </w:r>
    </w:p>
    <w:p w14:paraId="1E9F7F00">
      <w:pPr>
        <w:spacing w:line="360" w:lineRule="auto"/>
        <w:ind w:left="283" w:leftChars="135" w:firstLine="22"/>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拟安排八条线路，</w:t>
      </w:r>
      <w:bookmarkStart w:id="63" w:name="_Hlk68026996"/>
      <w:r>
        <w:rPr>
          <w:rFonts w:hint="eastAsia" w:ascii="仿宋" w:hAnsi="仿宋" w:eastAsia="仿宋" w:cs="仿宋"/>
          <w:color w:val="auto"/>
          <w:sz w:val="24"/>
          <w:highlight w:val="none"/>
        </w:rPr>
        <w:t>分别为杭州地区（2条线路）、嘉兴地区（2条线路）、湖州地区（2条线路）、绍兴地区（2条线路）</w:t>
      </w:r>
      <w:bookmarkEnd w:id="63"/>
      <w:r>
        <w:rPr>
          <w:rFonts w:hint="eastAsia" w:ascii="仿宋" w:hAnsi="仿宋" w:eastAsia="仿宋" w:cs="仿宋"/>
          <w:color w:val="auto"/>
          <w:sz w:val="24"/>
          <w:highlight w:val="none"/>
        </w:rPr>
        <w:t>。</w:t>
      </w:r>
    </w:p>
    <w:p w14:paraId="67D7E576">
      <w:pPr>
        <w:spacing w:line="360" w:lineRule="auto"/>
        <w:ind w:left="283" w:leftChars="135" w:firstLine="2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（二）线路与具体景点安排</w:t>
      </w:r>
    </w:p>
    <w:p w14:paraId="608ABE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1、线路（一、二）：杭州地区一日游 </w:t>
      </w:r>
    </w:p>
    <w:p w14:paraId="45ACBEC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线路安排：杭州地区</w:t>
      </w:r>
    </w:p>
    <w:p w14:paraId="527F613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2、线路（三、四）：嘉兴地区一日游 </w:t>
      </w:r>
    </w:p>
    <w:p w14:paraId="38BD1EB8">
      <w:pPr>
        <w:spacing w:line="360" w:lineRule="auto"/>
        <w:ind w:left="479" w:leftChars="228"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线路安排：杭州→嘉兴地区→杭州</w:t>
      </w:r>
      <w:r>
        <w:rPr>
          <w:rFonts w:hint="eastAsia" w:ascii="仿宋" w:hAnsi="仿宋" w:eastAsia="仿宋" w:cs="仿宋"/>
          <w:color w:val="auto"/>
          <w:kern w:val="0"/>
          <w:sz w:val="24"/>
          <w:highlight w:val="none"/>
        </w:rPr>
        <w:cr/>
      </w:r>
      <w:r>
        <w:rPr>
          <w:rFonts w:hint="eastAsia" w:ascii="仿宋" w:hAnsi="仿宋" w:eastAsia="仿宋" w:cs="仿宋"/>
          <w:color w:val="auto"/>
          <w:kern w:val="0"/>
          <w:sz w:val="24"/>
          <w:highlight w:val="none"/>
        </w:rPr>
        <w:t>3、线路（五、六）：湖州地区一日游</w:t>
      </w:r>
    </w:p>
    <w:p w14:paraId="4A503D5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线路安排：杭州→湖州地区→杭州</w:t>
      </w:r>
    </w:p>
    <w:p w14:paraId="389F473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4、线路（七、八）：绍兴地区一日游</w:t>
      </w:r>
    </w:p>
    <w:p w14:paraId="517C8B6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线路安排：杭州→绍兴地区→杭州</w:t>
      </w:r>
    </w:p>
    <w:p w14:paraId="6552AD97">
      <w:pPr>
        <w:pStyle w:val="259"/>
        <w:snapToGrid w:val="0"/>
        <w:spacing w:after="12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Cs w:val="24"/>
          <w:highlight w:val="none"/>
          <w:lang w:val="en-US" w:eastAsia="zh-CN"/>
        </w:rPr>
        <w:t>注：①</w:t>
      </w:r>
      <w:r>
        <w:rPr>
          <w:rFonts w:hint="eastAsia" w:ascii="仿宋" w:hAnsi="仿宋" w:eastAsia="仿宋" w:cs="仿宋"/>
          <w:b/>
          <w:color w:val="auto"/>
          <w:szCs w:val="24"/>
          <w:highlight w:val="none"/>
        </w:rPr>
        <w:t>具体线路、景点由投标人自行设计。</w:t>
      </w:r>
      <w:r>
        <w:rPr>
          <w:rFonts w:hint="eastAsia" w:ascii="仿宋" w:hAnsi="仿宋" w:eastAsia="仿宋" w:cs="仿宋"/>
          <w:b/>
          <w:color w:val="auto"/>
          <w:kern w:val="2"/>
          <w:sz w:val="24"/>
          <w:szCs w:val="24"/>
          <w:highlight w:val="none"/>
          <w:lang w:val="en-US" w:eastAsia="zh-CN" w:bidi="ar-SA"/>
        </w:rPr>
        <w:t>②投标时需详细说明线路、景点、游玩时间等内容。</w:t>
      </w:r>
    </w:p>
    <w:p w14:paraId="3D26F9E6">
      <w:pPr>
        <w:pStyle w:val="259"/>
        <w:snapToGrid w:val="0"/>
        <w:spacing w:after="120"/>
        <w:rPr>
          <w:rFonts w:hint="eastAsia" w:ascii="仿宋" w:hAnsi="仿宋" w:eastAsia="仿宋" w:cs="仿宋"/>
          <w:b/>
          <w:color w:val="auto"/>
          <w:kern w:val="2"/>
          <w:sz w:val="24"/>
          <w:szCs w:val="24"/>
          <w:highlight w:val="none"/>
          <w:lang w:val="en-US" w:eastAsia="zh-CN" w:bidi="ar-SA"/>
        </w:rPr>
      </w:pPr>
    </w:p>
    <w:p w14:paraId="7524D581">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val="en-US" w:eastAsia="zh-CN" w:bidi="ar-SA"/>
        </w:rPr>
        <w:t>（三）外出游览</w:t>
      </w:r>
      <w:r>
        <w:rPr>
          <w:rFonts w:hint="eastAsia" w:ascii="仿宋" w:hAnsi="仿宋" w:eastAsia="仿宋" w:cs="仿宋"/>
          <w:b/>
          <w:bCs/>
          <w:color w:val="auto"/>
          <w:kern w:val="0"/>
          <w:sz w:val="24"/>
          <w:highlight w:val="none"/>
        </w:rPr>
        <w:t>基本要求</w:t>
      </w:r>
      <w:r>
        <w:rPr>
          <w:rFonts w:hint="eastAsia" w:ascii="仿宋" w:hAnsi="仿宋" w:eastAsia="仿宋" w:cs="仿宋"/>
          <w:color w:val="auto"/>
          <w:kern w:val="0"/>
          <w:sz w:val="24"/>
          <w:highlight w:val="none"/>
        </w:rPr>
        <w:t>：</w:t>
      </w:r>
    </w:p>
    <w:p w14:paraId="211F9FD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1、交通：全程空调旅游车接送。要求车况好，车位充足，空调效果好，驾驶员具备5年以上驾驶经验，服务态度好、技术好，确保行程安全。</w:t>
      </w:r>
      <w:r>
        <w:rPr>
          <w:rFonts w:hint="eastAsia" w:ascii="仿宋" w:hAnsi="仿宋" w:eastAsia="仿宋" w:cs="仿宋"/>
          <w:color w:val="auto"/>
          <w:kern w:val="0"/>
          <w:sz w:val="24"/>
          <w:highlight w:val="none"/>
        </w:rPr>
        <w:cr/>
      </w:r>
      <w:r>
        <w:rPr>
          <w:rFonts w:hint="eastAsia" w:ascii="仿宋" w:hAnsi="仿宋" w:eastAsia="仿宋" w:cs="仿宋"/>
          <w:color w:val="auto"/>
          <w:kern w:val="0"/>
          <w:sz w:val="24"/>
          <w:highlight w:val="none"/>
        </w:rPr>
        <w:t xml:space="preserve">    2、门票：所列景点门票。</w:t>
      </w:r>
    </w:p>
    <w:p w14:paraId="5542C26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3、用餐：中午一顿正餐团餐，餐厅交通便利，环境较好。 </w:t>
      </w:r>
      <w:r>
        <w:rPr>
          <w:rFonts w:hint="eastAsia" w:ascii="仿宋" w:hAnsi="仿宋" w:eastAsia="仿宋" w:cs="仿宋"/>
          <w:color w:val="auto"/>
          <w:kern w:val="0"/>
          <w:sz w:val="24"/>
          <w:highlight w:val="none"/>
        </w:rPr>
        <w:cr/>
      </w:r>
      <w:r>
        <w:rPr>
          <w:rFonts w:hint="eastAsia" w:ascii="仿宋" w:hAnsi="仿宋" w:eastAsia="仿宋" w:cs="仿宋"/>
          <w:color w:val="auto"/>
          <w:kern w:val="0"/>
          <w:sz w:val="24"/>
          <w:highlight w:val="none"/>
        </w:rPr>
        <w:t xml:space="preserve">    4、导游：全程每车配备1名具备3年以上从业经验的导游。</w:t>
      </w:r>
    </w:p>
    <w:p w14:paraId="47DCA590">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5、保险：旅游意外伤害险</w:t>
      </w:r>
      <w:r>
        <w:rPr>
          <w:rFonts w:hint="eastAsia" w:ascii="仿宋" w:hAnsi="仿宋" w:eastAsia="仿宋" w:cs="仿宋"/>
          <w:color w:val="auto"/>
          <w:kern w:val="0"/>
          <w:sz w:val="24"/>
          <w:highlight w:val="none"/>
          <w:lang w:val="en-US" w:eastAsia="zh-CN"/>
        </w:rPr>
        <w:t>不低于2</w:t>
      </w:r>
      <w:r>
        <w:rPr>
          <w:rFonts w:hint="eastAsia" w:ascii="仿宋" w:hAnsi="仿宋" w:eastAsia="仿宋" w:cs="仿宋"/>
          <w:color w:val="auto"/>
          <w:kern w:val="0"/>
          <w:sz w:val="24"/>
          <w:highlight w:val="none"/>
        </w:rPr>
        <w:t>0万元/人。</w:t>
      </w:r>
    </w:p>
    <w:p w14:paraId="270FD97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其他</w:t>
      </w:r>
      <w:r>
        <w:rPr>
          <w:rFonts w:hint="eastAsia" w:ascii="仿宋" w:hAnsi="仿宋" w:eastAsia="仿宋" w:cs="仿宋"/>
          <w:color w:val="auto"/>
          <w:kern w:val="0"/>
          <w:sz w:val="24"/>
          <w:highlight w:val="none"/>
        </w:rPr>
        <w:t>相关要求</w:t>
      </w:r>
      <w:r>
        <w:rPr>
          <w:rFonts w:hint="eastAsia" w:ascii="仿宋" w:hAnsi="仿宋" w:eastAsia="仿宋" w:cs="仿宋"/>
          <w:color w:val="auto"/>
          <w:kern w:val="0"/>
          <w:sz w:val="24"/>
          <w:highlight w:val="none"/>
        </w:rPr>
        <w:tab/>
      </w:r>
    </w:p>
    <w:p w14:paraId="330DF368">
      <w:pPr>
        <w:pStyle w:val="968"/>
        <w:tabs>
          <w:tab w:val="left" w:pos="471"/>
        </w:tabs>
        <w:snapToGrid w:val="0"/>
        <w:spacing w:beforeLines="0" w:afterLines="0" w:line="360" w:lineRule="auto"/>
        <w:ind w:firstLine="482"/>
        <w:outlineLvl w:val="1"/>
        <w:rPr>
          <w:rFonts w:hint="eastAsia" w:ascii="仿宋" w:hAnsi="仿宋" w:eastAsia="仿宋" w:cs="仿宋"/>
          <w:b w:val="0"/>
          <w:bCs w:val="0"/>
          <w:color w:val="auto"/>
          <w:kern w:val="0"/>
          <w:sz w:val="24"/>
          <w:szCs w:val="24"/>
          <w:highlight w:val="none"/>
          <w:lang w:val="en-US" w:eastAsia="zh-CN" w:bidi="ar-SA"/>
        </w:rPr>
      </w:pPr>
      <w:bookmarkStart w:id="64" w:name="_Toc351898269"/>
      <w:r>
        <w:rPr>
          <w:rFonts w:hint="eastAsia" w:ascii="仿宋" w:hAnsi="仿宋" w:eastAsia="仿宋" w:cs="仿宋"/>
          <w:color w:val="auto"/>
          <w:kern w:val="0"/>
          <w:sz w:val="24"/>
          <w:highlight w:val="none"/>
        </w:rPr>
        <w:t>1、所有相关人员均需配工作证并持证上岗</w:t>
      </w:r>
      <w:r>
        <w:rPr>
          <w:rFonts w:hint="eastAsia" w:ascii="仿宋" w:hAnsi="仿宋" w:eastAsia="仿宋" w:cs="仿宋"/>
          <w:color w:val="auto"/>
          <w:kern w:val="0"/>
          <w:sz w:val="24"/>
          <w:highlight w:val="none"/>
          <w:lang w:eastAsia="zh-CN"/>
        </w:rPr>
        <w:t>，</w:t>
      </w:r>
      <w:r>
        <w:rPr>
          <w:rFonts w:hint="eastAsia" w:ascii="仿宋" w:hAnsi="仿宋" w:eastAsia="仿宋" w:cs="仿宋"/>
          <w:b w:val="0"/>
          <w:bCs w:val="0"/>
          <w:color w:val="auto"/>
          <w:kern w:val="0"/>
          <w:sz w:val="24"/>
          <w:szCs w:val="24"/>
          <w:highlight w:val="none"/>
          <w:lang w:val="en-US" w:eastAsia="zh-CN" w:bidi="ar-SA"/>
        </w:rPr>
        <w:t>项目组要求设置项目负责人1人，策划专业人员不少于2人，活动组织、执行人员不少5人。投标文件中提供拟派项目组人员配备方案，方案应包含拟派项目组团队组织架构、岗位设置与人员配置计划和整体安排。</w:t>
      </w:r>
    </w:p>
    <w:p w14:paraId="5B41F28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2、为提高服务水平，所有服务人员还需进行礼仪的培训。</w:t>
      </w:r>
      <w:bookmarkEnd w:id="64"/>
    </w:p>
    <w:p w14:paraId="02AEA1B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检查与考核</w:t>
      </w:r>
    </w:p>
    <w:p w14:paraId="007F8E3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①</w:t>
      </w:r>
      <w:r>
        <w:rPr>
          <w:rFonts w:hint="eastAsia" w:ascii="仿宋" w:hAnsi="仿宋" w:eastAsia="仿宋" w:cs="仿宋"/>
          <w:color w:val="auto"/>
          <w:kern w:val="0"/>
          <w:sz w:val="24"/>
          <w:highlight w:val="none"/>
        </w:rPr>
        <w:t>中标人应制定具体的质量保证措施及质量保证和相关服务承诺。中标人所有的工作除应按中标人的内部流程实施外，还应接受采购人或第三方的随时检查，如因质量未达到目标，采购人有权要求其整改，同时中标人应承担责任和经济赔偿（扣款或终止合同）。</w:t>
      </w:r>
    </w:p>
    <w:p w14:paraId="45331FF1">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②</w:t>
      </w:r>
      <w:r>
        <w:rPr>
          <w:rFonts w:hint="eastAsia" w:ascii="仿宋" w:hAnsi="仿宋" w:eastAsia="仿宋" w:cs="仿宋"/>
          <w:b w:val="0"/>
          <w:bCs w:val="0"/>
          <w:color w:val="auto"/>
          <w:kern w:val="0"/>
          <w:sz w:val="24"/>
          <w:szCs w:val="24"/>
          <w:highlight w:val="none"/>
          <w:lang w:val="en-US" w:eastAsia="zh-CN" w:bidi="ar-SA"/>
        </w:rPr>
        <w:t>服务目标及质量：满意度达95%及以上，安全事故“0”发生。采购人将定期或不定期对供应商组织的活动进行满意度调查。</w:t>
      </w:r>
      <w:r>
        <w:rPr>
          <w:rFonts w:hint="eastAsia" w:ascii="仿宋" w:hAnsi="仿宋" w:eastAsia="仿宋" w:cs="仿宋"/>
          <w:color w:val="auto"/>
          <w:kern w:val="0"/>
          <w:sz w:val="24"/>
          <w:szCs w:val="24"/>
          <w:highlight w:val="none"/>
          <w:lang w:val="en-US" w:eastAsia="zh-CN" w:bidi="ar-SA"/>
        </w:rPr>
        <w:t>（满意度调查低于95%，服务费扣除合同签约价的2%，并按采购人要求整改；因供应商原因发生安全事故的，服务费扣除合同签约价的5%-15%，并承担事故所有损失，采购人有权单方面终止合同。</w:t>
      </w:r>
    </w:p>
    <w:p w14:paraId="1387B29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③供应商应承诺及保证自身对参加活动人员名单和个人信息不外泄。</w:t>
      </w:r>
    </w:p>
    <w:p w14:paraId="1B181F0C">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④.</w:t>
      </w:r>
      <w:r>
        <w:rPr>
          <w:rFonts w:hint="eastAsia" w:ascii="仿宋" w:hAnsi="仿宋" w:eastAsia="仿宋" w:cs="仿宋"/>
          <w:color w:val="auto"/>
          <w:kern w:val="0"/>
          <w:sz w:val="24"/>
          <w:szCs w:val="24"/>
          <w:highlight w:val="none"/>
          <w:lang w:val="en-US" w:eastAsia="zh-CN" w:bidi="ar-SA"/>
        </w:rPr>
        <w:t>应急要求</w:t>
      </w:r>
    </w:p>
    <w:p w14:paraId="52C329EF">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4.1供应商须制定</w:t>
      </w:r>
      <w:r>
        <w:rPr>
          <w:rFonts w:hint="eastAsia" w:ascii="仿宋" w:hAnsi="仿宋" w:eastAsia="仿宋" w:cs="仿宋"/>
          <w:b w:val="0"/>
          <w:bCs w:val="0"/>
          <w:color w:val="auto"/>
          <w:kern w:val="0"/>
          <w:sz w:val="24"/>
          <w:szCs w:val="24"/>
          <w:highlight w:val="none"/>
          <w:lang w:val="en-US" w:eastAsia="zh-CN" w:bidi="ar-SA"/>
        </w:rPr>
        <w:t>对应的应急预案（</w:t>
      </w:r>
      <w:r>
        <w:rPr>
          <w:rFonts w:hint="eastAsia" w:ascii="仿宋" w:hAnsi="仿宋" w:eastAsia="仿宋" w:cs="仿宋"/>
          <w:color w:val="auto"/>
          <w:kern w:val="0"/>
          <w:sz w:val="24"/>
          <w:szCs w:val="24"/>
          <w:highlight w:val="none"/>
          <w:lang w:val="en-US" w:eastAsia="zh-CN" w:bidi="ar-SA"/>
        </w:rPr>
        <w:t>包括传达机制、人员调配、责任分工等，</w:t>
      </w:r>
      <w:r>
        <w:rPr>
          <w:rFonts w:hint="eastAsia" w:ascii="仿宋" w:hAnsi="仿宋" w:eastAsia="仿宋" w:cs="仿宋"/>
          <w:b w:val="0"/>
          <w:bCs w:val="0"/>
          <w:color w:val="auto"/>
          <w:kern w:val="0"/>
          <w:sz w:val="24"/>
          <w:szCs w:val="24"/>
          <w:highlight w:val="none"/>
          <w:lang w:val="en-US" w:eastAsia="zh-CN" w:bidi="ar-SA"/>
        </w:rPr>
        <w:t>活动期间需安排专业人员保障）和应急措施。</w:t>
      </w:r>
    </w:p>
    <w:p w14:paraId="2CA05728">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4.2项目实施过程中，当发生重大险情或安全事故，或有重大任务、活动时，能够及时处理并向采购人报告，最大限度避免或减少损失。</w:t>
      </w:r>
    </w:p>
    <w:p w14:paraId="04CA2B09">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⑤规章制度</w:t>
      </w:r>
    </w:p>
    <w:p w14:paraId="76CD22E4">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5.1供应商须具备完整可行的规章制度，保障项目的高效实施。</w:t>
      </w:r>
    </w:p>
    <w:p w14:paraId="6EFF5B1D">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5.2供应商应做好本项目的所有档案、数据管理工作。</w:t>
      </w:r>
    </w:p>
    <w:p w14:paraId="054EDB19">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p>
    <w:p w14:paraId="628F24F2">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p>
    <w:p w14:paraId="6DA7B678">
      <w:pPr>
        <w:pStyle w:val="968"/>
        <w:tabs>
          <w:tab w:val="left" w:pos="471"/>
        </w:tabs>
        <w:snapToGrid w:val="0"/>
        <w:spacing w:beforeLines="0" w:afterLines="0" w:line="360" w:lineRule="auto"/>
        <w:ind w:firstLine="482"/>
        <w:outlineLvl w:val="9"/>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三、商务要求</w:t>
      </w:r>
    </w:p>
    <w:p w14:paraId="41303728">
      <w:pPr>
        <w:pStyle w:val="26"/>
        <w:keepNext w:val="0"/>
        <w:keepLines w:val="0"/>
        <w:pageBreakBefore w:val="0"/>
        <w:widowControl w:val="0"/>
        <w:kinsoku/>
        <w:wordWrap/>
        <w:overflowPunct/>
        <w:topLinePunct w:val="0"/>
        <w:bidi w:val="0"/>
        <w:snapToGrid w:val="0"/>
        <w:spacing w:beforeLines="0" w:after="0" w:afterLines="0" w:line="360" w:lineRule="auto"/>
        <w:ind w:left="0" w:leftChars="0" w:firstLine="464"/>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（一）报价要求：</w:t>
      </w:r>
      <w:r>
        <w:rPr>
          <w:rFonts w:hint="eastAsia" w:ascii="仿宋" w:hAnsi="仿宋" w:eastAsia="仿宋" w:cs="仿宋"/>
          <w:color w:val="auto"/>
          <w:sz w:val="24"/>
          <w:szCs w:val="24"/>
          <w:highlight w:val="none"/>
          <w:lang w:val="en-US" w:eastAsia="zh-CN"/>
        </w:rPr>
        <w:t>详见须知前附表。本项目报价不竞争。</w:t>
      </w:r>
    </w:p>
    <w:p w14:paraId="39967338">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highlight w:val="none"/>
        </w:rPr>
        <w:t>▲（二）</w:t>
      </w:r>
      <w:r>
        <w:rPr>
          <w:rFonts w:hint="eastAsia" w:ascii="仿宋" w:hAnsi="仿宋" w:eastAsia="仿宋" w:cs="仿宋"/>
          <w:b w:val="0"/>
          <w:bCs w:val="0"/>
          <w:color w:val="auto"/>
          <w:sz w:val="24"/>
          <w:szCs w:val="24"/>
          <w:highlight w:val="none"/>
          <w:lang w:val="en-US" w:eastAsia="zh-CN"/>
        </w:rPr>
        <w:t>付款方式</w:t>
      </w:r>
    </w:p>
    <w:p w14:paraId="6931BFF6">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按规定启动项目服务至2025年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月30日经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认可后向乙方支付合同价的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szCs w:val="24"/>
          <w:highlight w:val="none"/>
          <w:lang w:eastAsia="zh-CN"/>
        </w:rPr>
        <w:t>结束、</w:t>
      </w:r>
      <w:r>
        <w:rPr>
          <w:rFonts w:hint="eastAsia" w:ascii="仿宋" w:hAnsi="仿宋" w:eastAsia="仿宋" w:cs="仿宋"/>
          <w:color w:val="auto"/>
          <w:sz w:val="24"/>
          <w:szCs w:val="24"/>
          <w:highlight w:val="none"/>
          <w:lang w:val="en-US" w:eastAsia="zh-CN"/>
        </w:rPr>
        <w:t>无服务质量问题，根据参加活动实际人数据实结算，支付剩余合同款，但结算总价上限不得超过各标项年预算金额。</w:t>
      </w:r>
      <w:r>
        <w:rPr>
          <w:rFonts w:hint="eastAsia" w:ascii="仿宋" w:hAnsi="仿宋" w:eastAsia="仿宋" w:cs="仿宋"/>
          <w:color w:val="auto"/>
          <w:sz w:val="24"/>
          <w:highlight w:val="none"/>
          <w:lang w:eastAsia="zh-CN"/>
        </w:rPr>
        <w:t>付款前乙方需开具增值税发票。</w:t>
      </w:r>
      <w:r>
        <w:rPr>
          <w:rFonts w:hint="eastAsia" w:ascii="仿宋" w:hAnsi="仿宋" w:eastAsia="仿宋" w:cs="仿宋"/>
          <w:b w:val="0"/>
          <w:bCs w:val="0"/>
          <w:color w:val="auto"/>
          <w:sz w:val="24"/>
          <w:szCs w:val="24"/>
          <w:highlight w:val="none"/>
          <w:lang w:val="en-US" w:eastAsia="zh-CN"/>
        </w:rPr>
        <w:t>（三）履约保证金(本项目不设置）</w:t>
      </w:r>
    </w:p>
    <w:p w14:paraId="440545BF">
      <w:pPr>
        <w:pStyle w:val="24"/>
        <w:ind w:firstLine="241" w:firstLineChars="100"/>
        <w:outlineLvl w:val="1"/>
        <w:rPr>
          <w:rFonts w:ascii="仿宋" w:hAnsi="仿宋" w:eastAsia="仿宋" w:cs="宋体"/>
          <w:b/>
          <w:color w:val="auto"/>
          <w:szCs w:val="24"/>
          <w:highlight w:val="none"/>
          <w:lang w:val="en-US"/>
        </w:rPr>
      </w:pPr>
      <w:r>
        <w:rPr>
          <w:rFonts w:hint="eastAsia" w:ascii="仿宋" w:hAnsi="仿宋" w:eastAsia="仿宋" w:cs="宋体"/>
          <w:b/>
          <w:color w:val="auto"/>
          <w:szCs w:val="24"/>
          <w:highlight w:val="none"/>
          <w:lang w:val="en-US"/>
        </w:rPr>
        <w:t>验收标准</w:t>
      </w:r>
    </w:p>
    <w:p w14:paraId="73576AE1">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1.本项目需进行满意度调查，调查费用由中标人承担，费用含在投标报价中。</w:t>
      </w:r>
    </w:p>
    <w:p w14:paraId="5A63A89F">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2.验收标准</w:t>
      </w:r>
    </w:p>
    <w:p w14:paraId="2BC86642">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（1）服务满意率95%及</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eastAsia="zh-CN"/>
        </w:rPr>
        <w:t>；</w:t>
      </w:r>
    </w:p>
    <w:p w14:paraId="6A5E07C8">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服务安全100%</w:t>
      </w:r>
      <w:r>
        <w:rPr>
          <w:rFonts w:hint="eastAsia" w:ascii="仿宋" w:hAnsi="仿宋" w:eastAsia="仿宋" w:cs="仿宋"/>
          <w:color w:val="auto"/>
          <w:kern w:val="0"/>
          <w:sz w:val="24"/>
          <w:highlight w:val="none"/>
          <w:lang w:eastAsia="zh-CN"/>
        </w:rPr>
        <w:t>。</w:t>
      </w:r>
    </w:p>
    <w:p w14:paraId="5F26861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首次满意度调查低于</w:t>
      </w:r>
      <w:r>
        <w:rPr>
          <w:rFonts w:hint="eastAsia" w:ascii="仿宋" w:hAnsi="仿宋" w:eastAsia="仿宋" w:cs="仿宋"/>
          <w:color w:val="auto"/>
          <w:kern w:val="0"/>
          <w:sz w:val="24"/>
          <w:highlight w:val="none"/>
          <w:lang w:val="en-US" w:eastAsia="zh-CN"/>
        </w:rPr>
        <w:t>90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中标人应及时</w:t>
      </w:r>
      <w:r>
        <w:rPr>
          <w:rFonts w:hint="eastAsia" w:ascii="仿宋" w:hAnsi="仿宋" w:eastAsia="仿宋" w:cs="仿宋"/>
          <w:color w:val="auto"/>
          <w:kern w:val="0"/>
          <w:sz w:val="24"/>
          <w:highlight w:val="none"/>
        </w:rPr>
        <w:t>进行整改，</w:t>
      </w:r>
      <w:r>
        <w:rPr>
          <w:rFonts w:hint="eastAsia" w:ascii="仿宋" w:hAnsi="仿宋" w:eastAsia="仿宋" w:cs="仿宋"/>
          <w:color w:val="auto"/>
          <w:kern w:val="0"/>
          <w:sz w:val="24"/>
          <w:highlight w:val="none"/>
          <w:lang w:val="en-US" w:eastAsia="zh-CN"/>
        </w:rPr>
        <w:t>中标人连续</w:t>
      </w:r>
      <w:r>
        <w:rPr>
          <w:rFonts w:hint="eastAsia" w:ascii="仿宋" w:hAnsi="仿宋" w:eastAsia="仿宋" w:cs="仿宋"/>
          <w:color w:val="auto"/>
          <w:kern w:val="0"/>
          <w:sz w:val="24"/>
          <w:highlight w:val="none"/>
        </w:rPr>
        <w:t>二次低于85%，</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有权单方面终止本协议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中标人须承担由此产生的相关责任与损失</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自行承担，采购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在被服务的企退人员索赔时不承担任何责任。</w:t>
      </w:r>
    </w:p>
    <w:p w14:paraId="171211B2">
      <w:pPr>
        <w:pStyle w:val="26"/>
        <w:numPr>
          <w:ilvl w:val="255"/>
          <w:numId w:val="0"/>
        </w:numPr>
        <w:snapToGrid w:val="0"/>
        <w:spacing w:beforeLines="0" w:after="0" w:afterLines="0" w:line="360" w:lineRule="auto"/>
        <w:ind w:left="0" w:leftChars="0" w:firstLine="480" w:firstLineChars="200"/>
        <w:rPr>
          <w:rFonts w:hint="eastAsia" w:ascii="仿宋" w:hAnsi="仿宋" w:eastAsia="仿宋" w:cs="仿宋"/>
          <w:color w:val="auto"/>
          <w:sz w:val="24"/>
          <w:highlight w:val="none"/>
          <w:lang w:val="en-US" w:eastAsia="zh-CN"/>
        </w:rPr>
      </w:pPr>
    </w:p>
    <w:p w14:paraId="4F2D6566">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p>
    <w:bookmarkEnd w:id="53"/>
    <w:bookmarkEnd w:id="54"/>
    <w:bookmarkEnd w:id="55"/>
    <w:bookmarkEnd w:id="56"/>
    <w:p w14:paraId="5D9A2B4F">
      <w:pPr>
        <w:wordWrap w:val="0"/>
        <w:snapToGrid w:val="0"/>
        <w:spacing w:beforeLines="0" w:afterLines="0" w:line="360" w:lineRule="auto"/>
        <w:ind w:firstLine="480" w:firstLineChars="200"/>
        <w:rPr>
          <w:rFonts w:ascii="仿宋" w:hAnsi="仿宋" w:eastAsia="仿宋" w:cs="仿宋"/>
          <w:color w:val="auto"/>
          <w:sz w:val="24"/>
          <w:highlight w:val="none"/>
        </w:rPr>
      </w:pPr>
    </w:p>
    <w:p w14:paraId="062F9A71">
      <w:pPr>
        <w:wordWrap w:val="0"/>
        <w:snapToGrid w:val="0"/>
        <w:spacing w:beforeLines="0" w:afterLines="0" w:line="360" w:lineRule="auto"/>
        <w:jc w:val="center"/>
        <w:outlineLvl w:val="0"/>
        <w:rPr>
          <w:rFonts w:ascii="仿宋" w:hAnsi="仿宋" w:eastAsia="仿宋" w:cs="仿宋"/>
          <w:b/>
          <w:color w:val="auto"/>
          <w:sz w:val="36"/>
          <w:szCs w:val="36"/>
          <w:highlight w:val="none"/>
        </w:rPr>
        <w:sectPr>
          <w:footerReference r:id="rId11" w:type="first"/>
          <w:headerReference r:id="rId9" w:type="default"/>
          <w:footerReference r:id="rId10" w:type="default"/>
          <w:pgSz w:w="11905" w:h="16838"/>
          <w:pgMar w:top="652" w:right="1417" w:bottom="680" w:left="1417" w:header="539" w:footer="425" w:gutter="0"/>
          <w:pgNumType w:fmt="decimal"/>
          <w:cols w:space="0" w:num="1"/>
          <w:titlePg/>
        </w:sectPr>
      </w:pPr>
      <w:bookmarkStart w:id="65" w:name="_Toc14411"/>
      <w:bookmarkStart w:id="66" w:name="_Toc27989"/>
    </w:p>
    <w:p w14:paraId="121F62E0">
      <w:pPr>
        <w:wordWrap w:val="0"/>
        <w:snapToGrid w:val="0"/>
        <w:spacing w:beforeLines="0" w:afterLines="0"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67" w:name="_Toc184314416"/>
      <w:bookmarkEnd w:id="67"/>
      <w:bookmarkStart w:id="68" w:name="_Toc184308086"/>
      <w:bookmarkEnd w:id="68"/>
      <w:bookmarkStart w:id="69" w:name="_Toc184308094"/>
      <w:bookmarkEnd w:id="69"/>
      <w:bookmarkStart w:id="70" w:name="_Toc184313250"/>
      <w:bookmarkEnd w:id="70"/>
      <w:bookmarkStart w:id="71" w:name="_Toc184313252"/>
      <w:bookmarkEnd w:id="71"/>
      <w:bookmarkStart w:id="72" w:name="_Toc184312076"/>
      <w:bookmarkEnd w:id="72"/>
      <w:bookmarkStart w:id="73" w:name="_Toc184308077"/>
      <w:bookmarkEnd w:id="73"/>
      <w:bookmarkStart w:id="74" w:name="_Toc184312109"/>
      <w:bookmarkEnd w:id="74"/>
      <w:bookmarkStart w:id="75" w:name="_Toc184310272"/>
      <w:bookmarkEnd w:id="75"/>
      <w:bookmarkStart w:id="76" w:name="_Toc184314435"/>
      <w:bookmarkEnd w:id="76"/>
      <w:bookmarkStart w:id="77" w:name="_Toc184312114"/>
      <w:bookmarkEnd w:id="77"/>
      <w:bookmarkStart w:id="78" w:name="_Toc184314417"/>
      <w:bookmarkEnd w:id="78"/>
      <w:bookmarkStart w:id="79" w:name="_Toc184310308"/>
      <w:bookmarkEnd w:id="79"/>
      <w:bookmarkStart w:id="80" w:name="_Toc184308042"/>
      <w:bookmarkEnd w:id="80"/>
      <w:bookmarkStart w:id="81" w:name="_Toc184314455"/>
      <w:bookmarkEnd w:id="81"/>
      <w:bookmarkStart w:id="82" w:name="_Toc184310302"/>
      <w:bookmarkEnd w:id="82"/>
      <w:bookmarkStart w:id="83" w:name="_Toc184313305"/>
      <w:bookmarkEnd w:id="83"/>
      <w:bookmarkStart w:id="84" w:name="_Toc184313267"/>
      <w:bookmarkEnd w:id="84"/>
      <w:bookmarkStart w:id="85" w:name="_Toc184312105"/>
      <w:bookmarkEnd w:id="85"/>
      <w:bookmarkStart w:id="86" w:name="_Toc184308074"/>
      <w:bookmarkEnd w:id="86"/>
      <w:bookmarkStart w:id="87" w:name="_Toc184308096"/>
      <w:bookmarkEnd w:id="87"/>
      <w:bookmarkStart w:id="88" w:name="_Toc184310279"/>
      <w:bookmarkEnd w:id="88"/>
      <w:bookmarkStart w:id="89" w:name="_Toc184313286"/>
      <w:bookmarkEnd w:id="89"/>
      <w:bookmarkStart w:id="90" w:name="_Toc184308067"/>
      <w:bookmarkEnd w:id="90"/>
      <w:bookmarkStart w:id="91" w:name="_Toc184308091"/>
      <w:bookmarkEnd w:id="91"/>
      <w:bookmarkStart w:id="92" w:name="_Toc184308054"/>
      <w:bookmarkEnd w:id="92"/>
      <w:bookmarkStart w:id="93" w:name="_Toc184314465"/>
      <w:bookmarkEnd w:id="93"/>
      <w:bookmarkStart w:id="94" w:name="_Toc184313263"/>
      <w:bookmarkEnd w:id="94"/>
      <w:bookmarkStart w:id="95" w:name="_Toc184310336"/>
      <w:bookmarkEnd w:id="95"/>
      <w:bookmarkStart w:id="96" w:name="_Toc184310343"/>
      <w:bookmarkEnd w:id="96"/>
      <w:bookmarkStart w:id="97" w:name="_Toc184314419"/>
      <w:bookmarkEnd w:id="97"/>
      <w:bookmarkStart w:id="98" w:name="_Toc184312128"/>
      <w:bookmarkEnd w:id="98"/>
      <w:bookmarkStart w:id="99" w:name="_Toc184312131"/>
      <w:bookmarkEnd w:id="99"/>
      <w:bookmarkStart w:id="100" w:name="_Toc184310332"/>
      <w:bookmarkEnd w:id="100"/>
      <w:bookmarkStart w:id="101" w:name="_Toc184312092"/>
      <w:bookmarkEnd w:id="101"/>
      <w:bookmarkStart w:id="102" w:name="_Toc184308043"/>
      <w:bookmarkEnd w:id="102"/>
      <w:bookmarkStart w:id="103" w:name="_Toc184312082"/>
      <w:bookmarkEnd w:id="103"/>
      <w:bookmarkStart w:id="104" w:name="_Toc184308098"/>
      <w:bookmarkEnd w:id="104"/>
      <w:bookmarkStart w:id="105" w:name="_Toc184312088"/>
      <w:bookmarkEnd w:id="105"/>
      <w:bookmarkStart w:id="106" w:name="_Toc184313256"/>
      <w:bookmarkEnd w:id="106"/>
      <w:bookmarkStart w:id="107" w:name="_Toc184310338"/>
      <w:bookmarkEnd w:id="107"/>
      <w:bookmarkStart w:id="108" w:name="_Toc184310317"/>
      <w:bookmarkEnd w:id="108"/>
      <w:bookmarkStart w:id="109" w:name="_Toc184308051"/>
      <w:bookmarkEnd w:id="109"/>
      <w:bookmarkStart w:id="110" w:name="_Toc184314436"/>
      <w:bookmarkEnd w:id="110"/>
      <w:bookmarkStart w:id="111" w:name="_Toc184314474"/>
      <w:bookmarkEnd w:id="111"/>
      <w:bookmarkStart w:id="112" w:name="_Toc184312090"/>
      <w:bookmarkEnd w:id="112"/>
      <w:bookmarkStart w:id="113" w:name="_Toc184313253"/>
      <w:bookmarkEnd w:id="113"/>
      <w:bookmarkStart w:id="114" w:name="_Toc184308085"/>
      <w:bookmarkEnd w:id="114"/>
      <w:bookmarkStart w:id="115" w:name="_Toc184313258"/>
      <w:bookmarkEnd w:id="115"/>
      <w:bookmarkStart w:id="116" w:name="_Toc184313272"/>
      <w:bookmarkEnd w:id="116"/>
      <w:bookmarkStart w:id="117" w:name="_Toc184314466"/>
      <w:bookmarkEnd w:id="117"/>
      <w:bookmarkStart w:id="118" w:name="_Toc184310281"/>
      <w:bookmarkEnd w:id="118"/>
      <w:bookmarkStart w:id="119" w:name="_Toc184313308"/>
      <w:bookmarkEnd w:id="119"/>
      <w:bookmarkStart w:id="120" w:name="_Toc184312081"/>
      <w:bookmarkEnd w:id="120"/>
      <w:bookmarkStart w:id="121" w:name="_Toc184312078"/>
      <w:bookmarkEnd w:id="121"/>
      <w:bookmarkStart w:id="122" w:name="_Toc184310306"/>
      <w:bookmarkEnd w:id="122"/>
      <w:bookmarkStart w:id="123" w:name="_Toc184313260"/>
      <w:bookmarkEnd w:id="123"/>
      <w:bookmarkStart w:id="124" w:name="_Toc184310313"/>
      <w:bookmarkEnd w:id="124"/>
      <w:bookmarkStart w:id="125" w:name="_Toc184312104"/>
      <w:bookmarkEnd w:id="125"/>
      <w:bookmarkStart w:id="126" w:name="_Toc184310326"/>
      <w:bookmarkEnd w:id="126"/>
      <w:bookmarkStart w:id="127" w:name="_Toc184310303"/>
      <w:bookmarkEnd w:id="127"/>
      <w:bookmarkStart w:id="128" w:name="_Toc184308069"/>
      <w:bookmarkEnd w:id="128"/>
      <w:bookmarkStart w:id="129" w:name="_Toc184314482"/>
      <w:bookmarkEnd w:id="129"/>
      <w:bookmarkStart w:id="130" w:name="_Toc184312132"/>
      <w:bookmarkEnd w:id="130"/>
      <w:bookmarkStart w:id="131" w:name="_Toc184312111"/>
      <w:bookmarkEnd w:id="131"/>
      <w:bookmarkStart w:id="132" w:name="_Toc184310333"/>
      <w:bookmarkEnd w:id="132"/>
      <w:bookmarkStart w:id="133" w:name="_Toc184313289"/>
      <w:bookmarkEnd w:id="133"/>
      <w:bookmarkStart w:id="134" w:name="_Toc184313306"/>
      <w:bookmarkEnd w:id="134"/>
      <w:bookmarkStart w:id="135" w:name="_Toc184313259"/>
      <w:bookmarkEnd w:id="135"/>
      <w:bookmarkStart w:id="136" w:name="_Toc184312135"/>
      <w:bookmarkEnd w:id="136"/>
      <w:bookmarkStart w:id="137" w:name="_Toc184313294"/>
      <w:bookmarkEnd w:id="137"/>
      <w:bookmarkStart w:id="138" w:name="_Toc184308049"/>
      <w:bookmarkEnd w:id="138"/>
      <w:bookmarkStart w:id="139" w:name="_Toc184312119"/>
      <w:bookmarkEnd w:id="139"/>
      <w:bookmarkStart w:id="140" w:name="_Toc184314470"/>
      <w:bookmarkEnd w:id="140"/>
      <w:bookmarkStart w:id="141" w:name="_Toc184312127"/>
      <w:bookmarkEnd w:id="141"/>
      <w:bookmarkStart w:id="142" w:name="_Toc184314480"/>
      <w:bookmarkEnd w:id="142"/>
      <w:bookmarkStart w:id="143" w:name="_Toc184312126"/>
      <w:bookmarkEnd w:id="143"/>
      <w:bookmarkStart w:id="144" w:name="_Toc184314412"/>
      <w:bookmarkEnd w:id="144"/>
      <w:bookmarkStart w:id="145" w:name="_Toc184312137"/>
      <w:bookmarkEnd w:id="145"/>
      <w:bookmarkStart w:id="146" w:name="_Toc184308059"/>
      <w:bookmarkEnd w:id="146"/>
      <w:bookmarkStart w:id="147" w:name="_Toc184308038"/>
      <w:bookmarkEnd w:id="147"/>
      <w:bookmarkStart w:id="148" w:name="_Toc184310285"/>
      <w:bookmarkEnd w:id="148"/>
      <w:bookmarkStart w:id="149" w:name="_Toc184314478"/>
      <w:bookmarkEnd w:id="149"/>
      <w:bookmarkStart w:id="150" w:name="_Toc184310327"/>
      <w:bookmarkEnd w:id="150"/>
      <w:bookmarkStart w:id="151" w:name="_Toc184312124"/>
      <w:bookmarkEnd w:id="151"/>
      <w:bookmarkStart w:id="152" w:name="_Toc184308070"/>
      <w:bookmarkEnd w:id="152"/>
      <w:bookmarkStart w:id="153" w:name="_Toc184313290"/>
      <w:bookmarkEnd w:id="153"/>
      <w:bookmarkStart w:id="154" w:name="_Toc184313296"/>
      <w:bookmarkEnd w:id="154"/>
      <w:bookmarkStart w:id="155" w:name="_Toc184308095"/>
      <w:bookmarkEnd w:id="155"/>
      <w:bookmarkStart w:id="156" w:name="_Toc184313287"/>
      <w:bookmarkEnd w:id="156"/>
      <w:bookmarkStart w:id="157" w:name="_Toc184308075"/>
      <w:bookmarkEnd w:id="157"/>
      <w:bookmarkStart w:id="158" w:name="_Toc184312116"/>
      <w:bookmarkEnd w:id="158"/>
      <w:bookmarkStart w:id="159" w:name="_Toc184313310"/>
      <w:bookmarkEnd w:id="159"/>
      <w:bookmarkStart w:id="160" w:name="_Toc184310282"/>
      <w:bookmarkEnd w:id="160"/>
      <w:bookmarkStart w:id="161" w:name="_Toc184312086"/>
      <w:bookmarkEnd w:id="161"/>
      <w:bookmarkStart w:id="162" w:name="_Toc184310280"/>
      <w:bookmarkEnd w:id="162"/>
      <w:bookmarkStart w:id="163" w:name="_Toc184310295"/>
      <w:bookmarkEnd w:id="163"/>
      <w:bookmarkStart w:id="164" w:name="_Toc184314475"/>
      <w:bookmarkEnd w:id="164"/>
      <w:bookmarkStart w:id="165" w:name="_Toc184310335"/>
      <w:bookmarkEnd w:id="165"/>
      <w:bookmarkStart w:id="166" w:name="_Toc184312091"/>
      <w:bookmarkEnd w:id="166"/>
      <w:bookmarkStart w:id="167" w:name="_Toc184310297"/>
      <w:bookmarkEnd w:id="167"/>
      <w:bookmarkStart w:id="168" w:name="_Toc184313266"/>
      <w:bookmarkEnd w:id="168"/>
      <w:bookmarkStart w:id="169" w:name="_Toc184310310"/>
      <w:bookmarkEnd w:id="169"/>
      <w:bookmarkStart w:id="170" w:name="_Toc184312102"/>
      <w:bookmarkEnd w:id="170"/>
      <w:bookmarkStart w:id="171" w:name="_Toc184313241"/>
      <w:bookmarkEnd w:id="171"/>
      <w:bookmarkStart w:id="172" w:name="_Toc184314440"/>
      <w:bookmarkEnd w:id="172"/>
      <w:bookmarkStart w:id="173" w:name="_Toc184308044"/>
      <w:bookmarkEnd w:id="173"/>
      <w:bookmarkStart w:id="174" w:name="_Toc184312089"/>
      <w:bookmarkEnd w:id="174"/>
      <w:bookmarkStart w:id="175" w:name="_Toc184313255"/>
      <w:bookmarkEnd w:id="175"/>
      <w:bookmarkStart w:id="176" w:name="_Toc184314463"/>
      <w:bookmarkEnd w:id="176"/>
      <w:bookmarkStart w:id="177" w:name="_Toc184314460"/>
      <w:bookmarkEnd w:id="177"/>
      <w:bookmarkStart w:id="178" w:name="_Toc184314433"/>
      <w:bookmarkEnd w:id="178"/>
      <w:bookmarkStart w:id="179" w:name="_Toc184310307"/>
      <w:bookmarkEnd w:id="179"/>
      <w:bookmarkStart w:id="180" w:name="_Toc184313309"/>
      <w:bookmarkEnd w:id="180"/>
      <w:bookmarkStart w:id="181" w:name="_Toc184312070"/>
      <w:bookmarkEnd w:id="181"/>
      <w:bookmarkStart w:id="182" w:name="_Toc184308053"/>
      <w:bookmarkEnd w:id="182"/>
      <w:bookmarkStart w:id="183" w:name="_Toc184310289"/>
      <w:bookmarkEnd w:id="183"/>
      <w:bookmarkStart w:id="184" w:name="_Toc184308055"/>
      <w:bookmarkEnd w:id="184"/>
      <w:bookmarkStart w:id="185" w:name="_Toc184313270"/>
      <w:bookmarkEnd w:id="185"/>
      <w:bookmarkStart w:id="186" w:name="_Toc184308047"/>
      <w:bookmarkEnd w:id="186"/>
      <w:bookmarkStart w:id="187" w:name="_Toc184308089"/>
      <w:bookmarkEnd w:id="187"/>
      <w:bookmarkStart w:id="188" w:name="_Toc184310288"/>
      <w:bookmarkEnd w:id="188"/>
      <w:bookmarkStart w:id="189" w:name="_Toc184310287"/>
      <w:bookmarkEnd w:id="189"/>
      <w:bookmarkStart w:id="190" w:name="_Toc184314445"/>
      <w:bookmarkEnd w:id="190"/>
      <w:bookmarkStart w:id="191" w:name="_Toc184313249"/>
      <w:bookmarkEnd w:id="191"/>
      <w:bookmarkStart w:id="192" w:name="_Toc184310324"/>
      <w:bookmarkEnd w:id="192"/>
      <w:bookmarkStart w:id="193" w:name="_Toc184314446"/>
      <w:bookmarkEnd w:id="193"/>
      <w:bookmarkStart w:id="194" w:name="_Toc184310342"/>
      <w:bookmarkEnd w:id="194"/>
      <w:bookmarkStart w:id="195" w:name="_Toc184310277"/>
      <w:bookmarkEnd w:id="195"/>
      <w:bookmarkStart w:id="196" w:name="_Toc184313293"/>
      <w:bookmarkEnd w:id="196"/>
      <w:bookmarkStart w:id="197" w:name="_Toc184310283"/>
      <w:bookmarkEnd w:id="197"/>
      <w:bookmarkStart w:id="198" w:name="_Toc184310328"/>
      <w:bookmarkEnd w:id="198"/>
      <w:bookmarkStart w:id="199" w:name="_Toc184310274"/>
      <w:bookmarkEnd w:id="199"/>
      <w:bookmarkStart w:id="200" w:name="_Toc184310299"/>
      <w:bookmarkEnd w:id="200"/>
      <w:bookmarkStart w:id="201" w:name="_Toc184308046"/>
      <w:bookmarkEnd w:id="201"/>
      <w:bookmarkStart w:id="202" w:name="_Toc184308104"/>
      <w:bookmarkEnd w:id="202"/>
      <w:bookmarkStart w:id="203" w:name="_Toc184312074"/>
      <w:bookmarkEnd w:id="203"/>
      <w:bookmarkStart w:id="204" w:name="_Toc184313280"/>
      <w:bookmarkEnd w:id="204"/>
      <w:bookmarkStart w:id="205" w:name="_Toc184308107"/>
      <w:bookmarkEnd w:id="205"/>
      <w:bookmarkStart w:id="206" w:name="_Toc184308082"/>
      <w:bookmarkEnd w:id="206"/>
      <w:bookmarkStart w:id="207" w:name="_Toc184308099"/>
      <w:bookmarkEnd w:id="207"/>
      <w:bookmarkStart w:id="208" w:name="_Toc184308108"/>
      <w:bookmarkEnd w:id="208"/>
      <w:bookmarkStart w:id="209" w:name="_Toc184313278"/>
      <w:bookmarkEnd w:id="209"/>
      <w:bookmarkStart w:id="210" w:name="_Toc184312075"/>
      <w:bookmarkEnd w:id="210"/>
      <w:bookmarkStart w:id="211" w:name="_Toc184308102"/>
      <w:bookmarkEnd w:id="211"/>
      <w:bookmarkStart w:id="212" w:name="_Toc184308105"/>
      <w:bookmarkEnd w:id="212"/>
      <w:bookmarkStart w:id="213" w:name="_Toc184312136"/>
      <w:bookmarkEnd w:id="213"/>
      <w:bookmarkStart w:id="214" w:name="_Toc184312095"/>
      <w:bookmarkEnd w:id="214"/>
      <w:bookmarkStart w:id="215" w:name="_Toc184308088"/>
      <w:bookmarkEnd w:id="215"/>
      <w:bookmarkStart w:id="216" w:name="_Toc184312087"/>
      <w:bookmarkEnd w:id="216"/>
      <w:bookmarkStart w:id="217" w:name="_Toc184310292"/>
      <w:bookmarkEnd w:id="217"/>
      <w:bookmarkStart w:id="218" w:name="_Toc184313251"/>
      <w:bookmarkEnd w:id="218"/>
      <w:bookmarkStart w:id="219" w:name="_Toc184314423"/>
      <w:bookmarkEnd w:id="219"/>
      <w:bookmarkStart w:id="220" w:name="_Toc184308052"/>
      <w:bookmarkEnd w:id="220"/>
      <w:bookmarkStart w:id="221" w:name="_Toc184310318"/>
      <w:bookmarkEnd w:id="221"/>
      <w:bookmarkStart w:id="222" w:name="_Toc184314449"/>
      <w:bookmarkEnd w:id="222"/>
      <w:bookmarkStart w:id="223" w:name="_Toc184308080"/>
      <w:bookmarkEnd w:id="223"/>
      <w:bookmarkStart w:id="224" w:name="_Toc184310316"/>
      <w:bookmarkEnd w:id="224"/>
      <w:bookmarkStart w:id="225" w:name="_Toc184314426"/>
      <w:bookmarkEnd w:id="225"/>
      <w:bookmarkStart w:id="226" w:name="_Toc184308071"/>
      <w:bookmarkEnd w:id="226"/>
      <w:bookmarkStart w:id="227" w:name="_Toc184314429"/>
      <w:bookmarkEnd w:id="227"/>
      <w:bookmarkStart w:id="228" w:name="_Toc184314420"/>
      <w:bookmarkEnd w:id="228"/>
      <w:bookmarkStart w:id="229" w:name="_Toc184308061"/>
      <w:bookmarkEnd w:id="229"/>
      <w:bookmarkStart w:id="230" w:name="_Toc184314454"/>
      <w:bookmarkEnd w:id="230"/>
      <w:bookmarkStart w:id="231" w:name="_Toc184313275"/>
      <w:bookmarkEnd w:id="231"/>
      <w:bookmarkStart w:id="232" w:name="_Toc184312073"/>
      <w:bookmarkEnd w:id="232"/>
      <w:bookmarkStart w:id="233" w:name="_Toc184313269"/>
      <w:bookmarkEnd w:id="233"/>
      <w:bookmarkStart w:id="234" w:name="_Toc184313254"/>
      <w:bookmarkEnd w:id="234"/>
      <w:bookmarkStart w:id="235" w:name="_Toc184310320"/>
      <w:bookmarkEnd w:id="235"/>
      <w:bookmarkStart w:id="236" w:name="_Toc184313295"/>
      <w:bookmarkEnd w:id="236"/>
      <w:bookmarkStart w:id="237" w:name="_Toc184308106"/>
      <w:bookmarkEnd w:id="237"/>
      <w:bookmarkStart w:id="238" w:name="_Toc184312112"/>
      <w:bookmarkEnd w:id="238"/>
      <w:bookmarkStart w:id="239" w:name="_Toc184310294"/>
      <w:bookmarkEnd w:id="239"/>
      <w:bookmarkStart w:id="240" w:name="_Toc184310331"/>
      <w:bookmarkEnd w:id="240"/>
      <w:bookmarkStart w:id="241" w:name="_Toc184310286"/>
      <w:bookmarkEnd w:id="241"/>
      <w:bookmarkStart w:id="242" w:name="_Toc184314414"/>
      <w:bookmarkEnd w:id="242"/>
      <w:bookmarkStart w:id="243" w:name="_Toc184308036"/>
      <w:bookmarkEnd w:id="243"/>
      <w:bookmarkStart w:id="244" w:name="_Toc184310325"/>
      <w:bookmarkEnd w:id="244"/>
      <w:bookmarkStart w:id="245" w:name="_Toc184312072"/>
      <w:bookmarkEnd w:id="245"/>
      <w:bookmarkStart w:id="246" w:name="_Toc184312134"/>
      <w:bookmarkEnd w:id="246"/>
      <w:bookmarkStart w:id="247" w:name="_Toc184314472"/>
      <w:bookmarkEnd w:id="247"/>
      <w:bookmarkStart w:id="248" w:name="_Toc184312107"/>
      <w:bookmarkEnd w:id="248"/>
      <w:bookmarkStart w:id="249" w:name="_Toc184308090"/>
      <w:bookmarkEnd w:id="249"/>
      <w:bookmarkStart w:id="250" w:name="_Toc184313282"/>
      <w:bookmarkEnd w:id="250"/>
      <w:bookmarkStart w:id="251" w:name="_Toc184314447"/>
      <w:bookmarkEnd w:id="251"/>
      <w:bookmarkStart w:id="252" w:name="_Toc184308073"/>
      <w:bookmarkEnd w:id="252"/>
      <w:bookmarkStart w:id="253" w:name="_Toc184312120"/>
      <w:bookmarkEnd w:id="253"/>
      <w:bookmarkStart w:id="254" w:name="_Toc184313304"/>
      <w:bookmarkEnd w:id="254"/>
      <w:bookmarkStart w:id="255" w:name="_Toc184314450"/>
      <w:bookmarkEnd w:id="255"/>
      <w:bookmarkStart w:id="256" w:name="_Toc184314434"/>
      <w:bookmarkEnd w:id="256"/>
      <w:bookmarkStart w:id="257" w:name="_Toc184313302"/>
      <w:bookmarkEnd w:id="257"/>
      <w:bookmarkStart w:id="258" w:name="_Toc184314456"/>
      <w:bookmarkEnd w:id="258"/>
      <w:bookmarkStart w:id="259" w:name="_Toc184310305"/>
      <w:bookmarkEnd w:id="259"/>
      <w:bookmarkStart w:id="260" w:name="_Toc184312069"/>
      <w:bookmarkEnd w:id="260"/>
      <w:bookmarkStart w:id="261" w:name="_Toc184310314"/>
      <w:bookmarkEnd w:id="261"/>
      <w:bookmarkStart w:id="262" w:name="_Toc184314425"/>
      <w:bookmarkEnd w:id="262"/>
      <w:bookmarkStart w:id="263" w:name="_Toc184313299"/>
      <w:bookmarkEnd w:id="263"/>
      <w:bookmarkStart w:id="264" w:name="_Toc184313271"/>
      <w:bookmarkEnd w:id="264"/>
      <w:bookmarkStart w:id="265" w:name="_Toc184310291"/>
      <w:bookmarkEnd w:id="265"/>
      <w:bookmarkStart w:id="266" w:name="_Toc184313257"/>
      <w:bookmarkEnd w:id="266"/>
      <w:bookmarkStart w:id="267" w:name="_Toc184308087"/>
      <w:bookmarkEnd w:id="267"/>
      <w:bookmarkStart w:id="268" w:name="_Toc184312080"/>
      <w:bookmarkEnd w:id="268"/>
      <w:bookmarkStart w:id="269" w:name="_Toc184313301"/>
      <w:bookmarkEnd w:id="269"/>
      <w:bookmarkStart w:id="270" w:name="_Toc184314468"/>
      <w:bookmarkEnd w:id="270"/>
      <w:bookmarkStart w:id="271" w:name="_Toc184308078"/>
      <w:bookmarkEnd w:id="271"/>
      <w:bookmarkStart w:id="272" w:name="_Toc184314421"/>
      <w:bookmarkEnd w:id="272"/>
      <w:bookmarkStart w:id="273" w:name="_Toc184314443"/>
      <w:bookmarkEnd w:id="273"/>
      <w:bookmarkStart w:id="274" w:name="_Toc184312100"/>
      <w:bookmarkEnd w:id="274"/>
      <w:bookmarkStart w:id="275" w:name="_Toc184314452"/>
      <w:bookmarkEnd w:id="275"/>
      <w:bookmarkStart w:id="276" w:name="_Toc184313284"/>
      <w:bookmarkEnd w:id="276"/>
      <w:bookmarkStart w:id="277" w:name="_Toc184310311"/>
      <w:bookmarkEnd w:id="277"/>
      <w:bookmarkStart w:id="278" w:name="_Toc184313298"/>
      <w:bookmarkEnd w:id="278"/>
      <w:bookmarkStart w:id="279" w:name="_Toc184310296"/>
      <w:bookmarkEnd w:id="279"/>
      <w:bookmarkStart w:id="280" w:name="_Toc184312106"/>
      <w:bookmarkEnd w:id="280"/>
      <w:bookmarkStart w:id="281" w:name="_Toc184310312"/>
      <w:bookmarkEnd w:id="281"/>
      <w:bookmarkStart w:id="282" w:name="_Toc184312083"/>
      <w:bookmarkEnd w:id="282"/>
      <w:bookmarkStart w:id="283" w:name="_Toc184313239"/>
      <w:bookmarkEnd w:id="283"/>
      <w:bookmarkStart w:id="284" w:name="_Toc184310329"/>
      <w:bookmarkEnd w:id="284"/>
      <w:bookmarkStart w:id="285" w:name="_Toc184314439"/>
      <w:bookmarkEnd w:id="285"/>
      <w:bookmarkStart w:id="286" w:name="_Toc184314424"/>
      <w:bookmarkEnd w:id="286"/>
      <w:bookmarkStart w:id="287" w:name="_Toc184312115"/>
      <w:bookmarkEnd w:id="287"/>
      <w:bookmarkStart w:id="288" w:name="_Toc184312085"/>
      <w:bookmarkEnd w:id="288"/>
      <w:bookmarkStart w:id="289" w:name="_Toc184314451"/>
      <w:bookmarkEnd w:id="289"/>
      <w:bookmarkStart w:id="290" w:name="_Toc184308056"/>
      <w:bookmarkEnd w:id="290"/>
      <w:bookmarkStart w:id="291" w:name="_Toc184308039"/>
      <w:bookmarkEnd w:id="291"/>
      <w:bookmarkStart w:id="292" w:name="_Toc184308072"/>
      <w:bookmarkEnd w:id="292"/>
      <w:bookmarkStart w:id="293" w:name="_Toc184310330"/>
      <w:bookmarkEnd w:id="293"/>
      <w:bookmarkStart w:id="294" w:name="_Toc184310322"/>
      <w:bookmarkEnd w:id="294"/>
      <w:bookmarkStart w:id="295" w:name="_Toc184312071"/>
      <w:bookmarkEnd w:id="295"/>
      <w:bookmarkStart w:id="296" w:name="_Toc184312118"/>
      <w:bookmarkEnd w:id="296"/>
      <w:bookmarkStart w:id="297" w:name="_Toc184312130"/>
      <w:bookmarkEnd w:id="297"/>
      <w:bookmarkStart w:id="298" w:name="_Toc184313264"/>
      <w:bookmarkEnd w:id="298"/>
      <w:bookmarkStart w:id="299" w:name="_Toc184312077"/>
      <w:bookmarkEnd w:id="299"/>
      <w:bookmarkStart w:id="300" w:name="_Toc184308101"/>
      <w:bookmarkEnd w:id="300"/>
      <w:bookmarkStart w:id="301" w:name="_Toc184312097"/>
      <w:bookmarkEnd w:id="301"/>
      <w:bookmarkStart w:id="302" w:name="_Toc184314457"/>
      <w:bookmarkEnd w:id="302"/>
      <w:bookmarkStart w:id="303" w:name="_Toc184308060"/>
      <w:bookmarkEnd w:id="303"/>
      <w:bookmarkStart w:id="304" w:name="_Toc184313277"/>
      <w:bookmarkEnd w:id="304"/>
      <w:bookmarkStart w:id="305" w:name="_Toc184314437"/>
      <w:bookmarkEnd w:id="305"/>
      <w:bookmarkStart w:id="306" w:name="_Toc184308083"/>
      <w:bookmarkEnd w:id="306"/>
      <w:bookmarkStart w:id="307" w:name="_Toc184310344"/>
      <w:bookmarkEnd w:id="307"/>
      <w:bookmarkStart w:id="308" w:name="_Toc184312103"/>
      <w:bookmarkEnd w:id="308"/>
      <w:bookmarkStart w:id="309" w:name="_Toc184313283"/>
      <w:bookmarkEnd w:id="309"/>
      <w:bookmarkStart w:id="310" w:name="_Toc184313238"/>
      <w:bookmarkEnd w:id="310"/>
      <w:bookmarkStart w:id="311" w:name="_Toc184310340"/>
      <w:bookmarkEnd w:id="311"/>
      <w:bookmarkStart w:id="312" w:name="_Toc184313279"/>
      <w:bookmarkEnd w:id="312"/>
      <w:bookmarkStart w:id="313" w:name="_Toc184308100"/>
      <w:bookmarkEnd w:id="313"/>
      <w:bookmarkStart w:id="314" w:name="_Toc184312067"/>
      <w:bookmarkEnd w:id="314"/>
      <w:bookmarkStart w:id="315" w:name="_Toc184308041"/>
      <w:bookmarkEnd w:id="315"/>
      <w:bookmarkStart w:id="316" w:name="_Toc184313303"/>
      <w:bookmarkEnd w:id="316"/>
      <w:bookmarkStart w:id="317" w:name="_Toc184313268"/>
      <w:bookmarkEnd w:id="317"/>
      <w:bookmarkStart w:id="318" w:name="_Toc184310301"/>
      <w:bookmarkEnd w:id="318"/>
      <w:bookmarkStart w:id="319" w:name="_Toc184314431"/>
      <w:bookmarkEnd w:id="319"/>
      <w:bookmarkStart w:id="320" w:name="_Toc184313276"/>
      <w:bookmarkEnd w:id="320"/>
      <w:bookmarkStart w:id="321" w:name="_Toc184308062"/>
      <w:bookmarkEnd w:id="321"/>
      <w:bookmarkStart w:id="322" w:name="_Toc184313240"/>
      <w:bookmarkEnd w:id="322"/>
      <w:bookmarkStart w:id="323" w:name="_Toc184310290"/>
      <w:bookmarkEnd w:id="323"/>
      <w:bookmarkStart w:id="324" w:name="_Toc184310337"/>
      <w:bookmarkEnd w:id="324"/>
      <w:bookmarkStart w:id="325" w:name="_Toc184313261"/>
      <w:bookmarkEnd w:id="325"/>
      <w:bookmarkStart w:id="326" w:name="_Toc184314415"/>
      <w:bookmarkEnd w:id="326"/>
      <w:bookmarkStart w:id="327" w:name="_Toc184314432"/>
      <w:bookmarkEnd w:id="327"/>
      <w:bookmarkStart w:id="328" w:name="_Toc184310284"/>
      <w:bookmarkEnd w:id="328"/>
      <w:bookmarkStart w:id="329" w:name="_Toc184312113"/>
      <w:bookmarkEnd w:id="329"/>
      <w:bookmarkStart w:id="330" w:name="_Toc184308097"/>
      <w:bookmarkEnd w:id="330"/>
      <w:bookmarkStart w:id="331" w:name="_Toc184308093"/>
      <w:bookmarkEnd w:id="331"/>
      <w:bookmarkStart w:id="332" w:name="_Toc184312079"/>
      <w:bookmarkEnd w:id="332"/>
      <w:bookmarkStart w:id="333" w:name="_Toc184312125"/>
      <w:bookmarkEnd w:id="333"/>
      <w:bookmarkStart w:id="334" w:name="_Toc184310323"/>
      <w:bookmarkEnd w:id="334"/>
      <w:bookmarkStart w:id="335" w:name="_Toc184312101"/>
      <w:bookmarkEnd w:id="335"/>
      <w:bookmarkStart w:id="336" w:name="_Toc184312084"/>
      <w:bookmarkEnd w:id="336"/>
      <w:bookmarkStart w:id="337" w:name="_Toc184308084"/>
      <w:bookmarkEnd w:id="337"/>
      <w:bookmarkStart w:id="338" w:name="_Toc184314461"/>
      <w:bookmarkEnd w:id="338"/>
      <w:bookmarkStart w:id="339" w:name="_Toc184312122"/>
      <w:bookmarkEnd w:id="339"/>
      <w:bookmarkStart w:id="340" w:name="_Toc184310275"/>
      <w:bookmarkEnd w:id="340"/>
      <w:bookmarkStart w:id="341" w:name="_Toc184308076"/>
      <w:bookmarkEnd w:id="341"/>
      <w:bookmarkStart w:id="342" w:name="_Toc184308065"/>
      <w:bookmarkEnd w:id="342"/>
      <w:bookmarkStart w:id="343" w:name="_Toc184312093"/>
      <w:bookmarkEnd w:id="343"/>
      <w:bookmarkStart w:id="344" w:name="_Toc184310309"/>
      <w:bookmarkEnd w:id="344"/>
      <w:bookmarkStart w:id="345" w:name="_Toc184310300"/>
      <w:bookmarkEnd w:id="345"/>
      <w:bookmarkStart w:id="346" w:name="_Toc184313243"/>
      <w:bookmarkEnd w:id="346"/>
      <w:bookmarkStart w:id="347" w:name="_Toc184313292"/>
      <w:bookmarkEnd w:id="347"/>
      <w:bookmarkStart w:id="348" w:name="_Toc184310315"/>
      <w:bookmarkEnd w:id="348"/>
      <w:bookmarkStart w:id="349" w:name="_Toc184312117"/>
      <w:bookmarkEnd w:id="349"/>
      <w:bookmarkStart w:id="350" w:name="_Toc184312108"/>
      <w:bookmarkEnd w:id="350"/>
      <w:bookmarkStart w:id="351" w:name="_Toc184308103"/>
      <w:bookmarkEnd w:id="351"/>
      <w:bookmarkStart w:id="352" w:name="_Toc184312110"/>
      <w:bookmarkEnd w:id="352"/>
      <w:bookmarkStart w:id="353" w:name="_Toc184313297"/>
      <w:bookmarkEnd w:id="353"/>
      <w:bookmarkStart w:id="354" w:name="_Toc184313273"/>
      <w:bookmarkEnd w:id="354"/>
      <w:bookmarkStart w:id="355" w:name="_Toc184314418"/>
      <w:bookmarkEnd w:id="355"/>
      <w:bookmarkStart w:id="356" w:name="_Toc184314459"/>
      <w:bookmarkEnd w:id="356"/>
      <w:bookmarkStart w:id="357" w:name="_Toc184314479"/>
      <w:bookmarkEnd w:id="357"/>
      <w:bookmarkStart w:id="358" w:name="_Toc184313274"/>
      <w:bookmarkEnd w:id="358"/>
      <w:bookmarkStart w:id="359" w:name="_Toc184313285"/>
      <w:bookmarkEnd w:id="359"/>
      <w:bookmarkStart w:id="360" w:name="_Toc184314464"/>
      <w:bookmarkEnd w:id="360"/>
      <w:bookmarkStart w:id="361" w:name="_Toc184312139"/>
      <w:bookmarkEnd w:id="361"/>
      <w:bookmarkStart w:id="362" w:name="_Toc184308057"/>
      <w:bookmarkEnd w:id="362"/>
      <w:bookmarkStart w:id="363" w:name="_Toc184308048"/>
      <w:bookmarkEnd w:id="363"/>
      <w:bookmarkStart w:id="364" w:name="_Toc184308045"/>
      <w:bookmarkEnd w:id="364"/>
      <w:bookmarkStart w:id="365" w:name="_Toc184312121"/>
      <w:bookmarkEnd w:id="365"/>
      <w:bookmarkStart w:id="366" w:name="_Toc184313265"/>
      <w:bookmarkEnd w:id="366"/>
      <w:bookmarkStart w:id="367" w:name="_Toc184310341"/>
      <w:bookmarkEnd w:id="367"/>
      <w:bookmarkStart w:id="368" w:name="_Toc184313248"/>
      <w:bookmarkEnd w:id="368"/>
      <w:bookmarkStart w:id="369" w:name="_Toc184308092"/>
      <w:bookmarkEnd w:id="369"/>
      <w:bookmarkStart w:id="370" w:name="_Toc184314422"/>
      <w:bookmarkEnd w:id="370"/>
      <w:bookmarkStart w:id="371" w:name="_Toc184314413"/>
      <w:bookmarkEnd w:id="371"/>
      <w:bookmarkStart w:id="372" w:name="_Toc184314471"/>
      <w:bookmarkEnd w:id="372"/>
      <w:bookmarkStart w:id="373" w:name="_Toc184314444"/>
      <w:bookmarkEnd w:id="373"/>
      <w:bookmarkStart w:id="374" w:name="_Toc184314481"/>
      <w:bookmarkEnd w:id="374"/>
      <w:bookmarkStart w:id="375" w:name="_Toc184312068"/>
      <w:bookmarkEnd w:id="375"/>
      <w:bookmarkStart w:id="376" w:name="_Toc184313246"/>
      <w:bookmarkEnd w:id="376"/>
      <w:bookmarkStart w:id="377" w:name="_Toc184313245"/>
      <w:bookmarkEnd w:id="377"/>
      <w:bookmarkStart w:id="378" w:name="_Toc184314411"/>
      <w:bookmarkEnd w:id="378"/>
      <w:bookmarkStart w:id="379" w:name="_Toc184312123"/>
      <w:bookmarkEnd w:id="379"/>
      <w:bookmarkStart w:id="380" w:name="_Toc184308058"/>
      <w:bookmarkEnd w:id="380"/>
      <w:bookmarkStart w:id="381" w:name="_Toc184314441"/>
      <w:bookmarkEnd w:id="381"/>
      <w:bookmarkStart w:id="382" w:name="_Toc184314427"/>
      <w:bookmarkEnd w:id="382"/>
      <w:bookmarkStart w:id="383" w:name="_Toc184312099"/>
      <w:bookmarkEnd w:id="383"/>
      <w:bookmarkStart w:id="384" w:name="_Toc184310304"/>
      <w:bookmarkEnd w:id="384"/>
      <w:bookmarkStart w:id="385" w:name="_Toc184312094"/>
      <w:bookmarkEnd w:id="385"/>
      <w:bookmarkStart w:id="386" w:name="_Toc184310293"/>
      <w:bookmarkEnd w:id="386"/>
      <w:bookmarkStart w:id="387" w:name="_Toc184312096"/>
      <w:bookmarkEnd w:id="387"/>
      <w:bookmarkStart w:id="388" w:name="_Toc184308040"/>
      <w:bookmarkEnd w:id="388"/>
      <w:bookmarkStart w:id="389" w:name="_Toc184313262"/>
      <w:bookmarkEnd w:id="389"/>
      <w:bookmarkStart w:id="390" w:name="_Toc184314448"/>
      <w:bookmarkEnd w:id="390"/>
      <w:bookmarkStart w:id="391" w:name="_Toc184312138"/>
      <w:bookmarkEnd w:id="391"/>
      <w:bookmarkStart w:id="392" w:name="_Toc184314430"/>
      <w:bookmarkEnd w:id="392"/>
      <w:bookmarkStart w:id="393" w:name="_Toc184308079"/>
      <w:bookmarkEnd w:id="393"/>
      <w:bookmarkStart w:id="394" w:name="_Toc184312133"/>
      <w:bookmarkEnd w:id="394"/>
      <w:bookmarkStart w:id="395" w:name="_Toc184314476"/>
      <w:bookmarkEnd w:id="395"/>
      <w:bookmarkStart w:id="396" w:name="_Toc184310276"/>
      <w:bookmarkEnd w:id="396"/>
      <w:bookmarkStart w:id="397" w:name="_Toc184310319"/>
      <w:bookmarkEnd w:id="397"/>
      <w:bookmarkStart w:id="398" w:name="_Toc184314462"/>
      <w:bookmarkEnd w:id="398"/>
      <w:bookmarkStart w:id="399" w:name="_Toc184314410"/>
      <w:bookmarkEnd w:id="399"/>
      <w:bookmarkStart w:id="400" w:name="_Toc184308064"/>
      <w:bookmarkEnd w:id="400"/>
      <w:bookmarkStart w:id="401" w:name="_Toc184313288"/>
      <w:bookmarkEnd w:id="401"/>
      <w:bookmarkStart w:id="402" w:name="_Toc184314442"/>
      <w:bookmarkEnd w:id="402"/>
      <w:bookmarkStart w:id="403" w:name="_Toc184308037"/>
      <w:bookmarkEnd w:id="403"/>
      <w:bookmarkStart w:id="404" w:name="_Toc184310273"/>
      <w:bookmarkEnd w:id="404"/>
      <w:bookmarkStart w:id="405" w:name="_Toc184312098"/>
      <w:bookmarkEnd w:id="405"/>
      <w:bookmarkStart w:id="406" w:name="_Toc184313244"/>
      <w:bookmarkEnd w:id="406"/>
      <w:bookmarkStart w:id="407" w:name="_Toc184313281"/>
      <w:bookmarkEnd w:id="407"/>
      <w:bookmarkStart w:id="408" w:name="_Toc184310321"/>
      <w:bookmarkEnd w:id="408"/>
      <w:bookmarkStart w:id="409" w:name="_Toc184310278"/>
      <w:bookmarkEnd w:id="409"/>
      <w:bookmarkStart w:id="410" w:name="_Toc184308066"/>
      <w:bookmarkEnd w:id="410"/>
      <w:bookmarkStart w:id="411" w:name="_Toc184310298"/>
      <w:bookmarkEnd w:id="411"/>
      <w:bookmarkStart w:id="412" w:name="_Toc184313291"/>
      <w:bookmarkEnd w:id="412"/>
      <w:bookmarkStart w:id="413" w:name="_Toc184310334"/>
      <w:bookmarkEnd w:id="413"/>
      <w:bookmarkStart w:id="414" w:name="_Toc184314428"/>
      <w:bookmarkEnd w:id="414"/>
      <w:bookmarkStart w:id="415" w:name="_Toc184314477"/>
      <w:bookmarkEnd w:id="415"/>
      <w:bookmarkStart w:id="416" w:name="_Toc184314473"/>
      <w:bookmarkEnd w:id="416"/>
      <w:bookmarkStart w:id="417" w:name="_Toc184314438"/>
      <w:bookmarkEnd w:id="417"/>
      <w:bookmarkStart w:id="418" w:name="_Toc184313247"/>
      <w:bookmarkEnd w:id="418"/>
      <w:bookmarkStart w:id="419" w:name="_Toc184308063"/>
      <w:bookmarkEnd w:id="419"/>
      <w:bookmarkStart w:id="420" w:name="_Toc184314458"/>
      <w:bookmarkEnd w:id="420"/>
      <w:bookmarkStart w:id="421" w:name="_Toc184314453"/>
      <w:bookmarkEnd w:id="421"/>
      <w:bookmarkStart w:id="422" w:name="_Toc184313242"/>
      <w:bookmarkEnd w:id="422"/>
      <w:bookmarkStart w:id="423" w:name="_Toc184313300"/>
      <w:bookmarkEnd w:id="423"/>
      <w:bookmarkStart w:id="424" w:name="_Toc184308068"/>
      <w:bookmarkEnd w:id="424"/>
      <w:bookmarkStart w:id="425" w:name="_Toc184310339"/>
      <w:bookmarkEnd w:id="425"/>
      <w:bookmarkStart w:id="426" w:name="_Toc184308081"/>
      <w:bookmarkEnd w:id="426"/>
      <w:bookmarkStart w:id="427" w:name="_Toc184314467"/>
      <w:bookmarkEnd w:id="427"/>
      <w:bookmarkStart w:id="428" w:name="_Toc184308050"/>
      <w:bookmarkEnd w:id="428"/>
      <w:bookmarkStart w:id="429" w:name="_Toc184314469"/>
      <w:bookmarkEnd w:id="429"/>
      <w:bookmarkStart w:id="430" w:name="_Toc184312129"/>
      <w:bookmarkEnd w:id="430"/>
      <w:bookmarkStart w:id="431" w:name="_Toc184313307"/>
      <w:bookmarkEnd w:id="431"/>
      <w:r>
        <w:rPr>
          <w:rFonts w:hint="eastAsia" w:ascii="仿宋" w:hAnsi="仿宋" w:eastAsia="仿宋" w:cs="仿宋"/>
          <w:b/>
          <w:color w:val="auto"/>
          <w:sz w:val="36"/>
          <w:szCs w:val="36"/>
          <w:highlight w:val="none"/>
        </w:rPr>
        <w:t>评标办法</w:t>
      </w:r>
      <w:bookmarkEnd w:id="57"/>
      <w:bookmarkEnd w:id="58"/>
      <w:bookmarkEnd w:id="59"/>
      <w:bookmarkEnd w:id="60"/>
      <w:bookmarkEnd w:id="61"/>
      <w:bookmarkEnd w:id="65"/>
      <w:bookmarkEnd w:id="66"/>
    </w:p>
    <w:p w14:paraId="13656FEB">
      <w:pPr>
        <w:wordWrap w:val="0"/>
        <w:snapToGrid w:val="0"/>
        <w:spacing w:beforeLines="0" w:afterLines="0"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760AF511">
      <w:pPr>
        <w:pStyle w:val="2"/>
        <w:rPr>
          <w:rFonts w:hint="default" w:eastAsia="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标项一</w:t>
      </w:r>
    </w:p>
    <w:tbl>
      <w:tblPr>
        <w:tblStyle w:val="63"/>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317"/>
        <w:gridCol w:w="834"/>
        <w:gridCol w:w="1089"/>
        <w:gridCol w:w="1611"/>
      </w:tblGrid>
      <w:tr w14:paraId="36A1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212381D3">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Style w:val="79"/>
                <w:rFonts w:ascii="仿宋" w:hAnsi="仿宋" w:eastAsia="仿宋" w:cs="仿宋"/>
                <w:bCs/>
                <w:color w:val="auto"/>
                <w:sz w:val="21"/>
                <w:szCs w:val="21"/>
                <w:highlight w:val="none"/>
              </w:rPr>
            </w:pPr>
            <w:r>
              <w:rPr>
                <w:rStyle w:val="79"/>
                <w:rFonts w:hint="eastAsia" w:ascii="仿宋" w:hAnsi="仿宋" w:eastAsia="仿宋" w:cs="仿宋"/>
                <w:b w:val="0"/>
                <w:bCs/>
                <w:color w:val="auto"/>
                <w:sz w:val="21"/>
                <w:szCs w:val="21"/>
                <w:highlight w:val="none"/>
              </w:rPr>
              <w:t>序号</w:t>
            </w:r>
          </w:p>
        </w:tc>
        <w:tc>
          <w:tcPr>
            <w:tcW w:w="4317" w:type="dxa"/>
            <w:vAlign w:val="center"/>
          </w:tcPr>
          <w:p w14:paraId="7C0D0E27">
            <w:pPr>
              <w:keepNext w:val="0"/>
              <w:keepLines w:val="0"/>
              <w:pageBreakBefore w:val="0"/>
              <w:kinsoku/>
              <w:wordWrap w:val="0"/>
              <w:overflowPunct/>
              <w:topLinePunct w:val="0"/>
              <w:autoSpaceDE w:val="0"/>
              <w:autoSpaceDN w:val="0"/>
              <w:bidi w:val="0"/>
              <w:adjustRightInd w:val="0"/>
              <w:snapToGrid w:val="0"/>
              <w:spacing w:beforeLines="0" w:afterLines="0" w:line="360" w:lineRule="auto"/>
              <w:ind w:firstLine="420" w:firstLineChars="200"/>
              <w:jc w:val="center"/>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评标标准</w:t>
            </w:r>
          </w:p>
        </w:tc>
        <w:tc>
          <w:tcPr>
            <w:tcW w:w="834" w:type="dxa"/>
            <w:vAlign w:val="center"/>
          </w:tcPr>
          <w:p w14:paraId="3011D67D">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权重</w:t>
            </w:r>
          </w:p>
        </w:tc>
        <w:tc>
          <w:tcPr>
            <w:tcW w:w="1089" w:type="dxa"/>
            <w:vAlign w:val="center"/>
          </w:tcPr>
          <w:p w14:paraId="6525A4BE">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611" w:type="dxa"/>
            <w:vAlign w:val="center"/>
          </w:tcPr>
          <w:p w14:paraId="47F797B2">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623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018CF857">
            <w:pPr>
              <w:wordWrap w:val="0"/>
              <w:autoSpaceDE w:val="0"/>
              <w:autoSpaceDN w:val="0"/>
              <w:snapToGrid w:val="0"/>
              <w:spacing w:beforeLines="0" w:afterLines="0" w:line="360" w:lineRule="auto"/>
              <w:jc w:val="center"/>
              <w:rPr>
                <w:rStyle w:val="79"/>
                <w:rFonts w:ascii="仿宋" w:hAnsi="仿宋" w:eastAsia="仿宋" w:cs="仿宋"/>
                <w:bCs/>
                <w:color w:val="auto"/>
                <w:sz w:val="21"/>
                <w:szCs w:val="21"/>
                <w:highlight w:val="none"/>
              </w:rPr>
            </w:pPr>
            <w:r>
              <w:rPr>
                <w:rStyle w:val="79"/>
                <w:rFonts w:hint="eastAsia" w:ascii="仿宋" w:hAnsi="仿宋" w:eastAsia="仿宋" w:cs="仿宋"/>
                <w:bCs/>
                <w:color w:val="auto"/>
                <w:sz w:val="21"/>
                <w:szCs w:val="21"/>
                <w:highlight w:val="none"/>
              </w:rPr>
              <w:t>1</w:t>
            </w:r>
          </w:p>
        </w:tc>
        <w:tc>
          <w:tcPr>
            <w:tcW w:w="4317" w:type="dxa"/>
            <w:vAlign w:val="center"/>
          </w:tcPr>
          <w:p w14:paraId="0844C1E7">
            <w:pPr>
              <w:wordWrap w:val="0"/>
              <w:autoSpaceDE w:val="0"/>
              <w:autoSpaceDN w:val="0"/>
              <w:snapToGrid w:val="0"/>
              <w:spacing w:beforeLines="0" w:afterLines="0" w:line="360" w:lineRule="auto"/>
              <w:jc w:val="both"/>
              <w:rPr>
                <w:rStyle w:val="79"/>
                <w:rFonts w:ascii="仿宋" w:hAnsi="仿宋" w:eastAsia="仿宋" w:cs="仿宋"/>
                <w:bCs/>
                <w:color w:val="auto"/>
                <w:sz w:val="21"/>
                <w:szCs w:val="21"/>
                <w:highlight w:val="none"/>
              </w:rPr>
            </w:pPr>
            <w:r>
              <w:rPr>
                <w:rStyle w:val="79"/>
                <w:rFonts w:hint="eastAsia" w:ascii="仿宋" w:hAnsi="仿宋" w:eastAsia="仿宋" w:cs="仿宋"/>
                <w:bCs/>
                <w:color w:val="auto"/>
                <w:sz w:val="21"/>
                <w:szCs w:val="21"/>
                <w:highlight w:val="none"/>
              </w:rPr>
              <w:t>投标人具有有效的质量管理体系认证证书、环境管理认证证书、职业健康安全管理体系认证证书的，每有1项得1分，最高得3分。（</w:t>
            </w:r>
            <w:r>
              <w:rPr>
                <w:rStyle w:val="79"/>
                <w:rFonts w:hint="eastAsia" w:ascii="仿宋" w:hAnsi="仿宋" w:eastAsia="仿宋" w:cs="仿宋"/>
                <w:bCs/>
                <w:color w:val="auto"/>
                <w:sz w:val="21"/>
                <w:szCs w:val="21"/>
                <w:highlight w:val="none"/>
                <w:lang w:val="en-US" w:eastAsia="zh-CN"/>
              </w:rPr>
              <w:t>证明材料</w:t>
            </w:r>
            <w:r>
              <w:rPr>
                <w:rStyle w:val="79"/>
                <w:rFonts w:hint="eastAsia" w:ascii="仿宋" w:hAnsi="仿宋" w:eastAsia="仿宋" w:cs="仿宋"/>
                <w:bCs/>
                <w:color w:val="auto"/>
                <w:sz w:val="21"/>
                <w:szCs w:val="21"/>
                <w:highlight w:val="none"/>
              </w:rPr>
              <w:t>提供证书及</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国家认证认可监督管理委员会</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网站（http://www.cnca.gov.cn）查询截图）。</w:t>
            </w:r>
          </w:p>
        </w:tc>
        <w:tc>
          <w:tcPr>
            <w:tcW w:w="834" w:type="dxa"/>
            <w:vAlign w:val="center"/>
          </w:tcPr>
          <w:p w14:paraId="127A3D7A">
            <w:pPr>
              <w:wordWrap w:val="0"/>
              <w:autoSpaceDE w:val="0"/>
              <w:autoSpaceDN w:val="0"/>
              <w:snapToGrid w:val="0"/>
              <w:spacing w:beforeLines="0" w:afterLines="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089" w:type="dxa"/>
            <w:vAlign w:val="center"/>
          </w:tcPr>
          <w:p w14:paraId="588F8C8C">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0D43395D">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4977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068B2E13">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2</w:t>
            </w:r>
          </w:p>
        </w:tc>
        <w:tc>
          <w:tcPr>
            <w:tcW w:w="4317" w:type="dxa"/>
            <w:vAlign w:val="center"/>
          </w:tcPr>
          <w:p w14:paraId="7C7BFC92">
            <w:pPr>
              <w:wordWrap w:val="0"/>
              <w:snapToGrid w:val="0"/>
              <w:spacing w:beforeLines="0" w:afterLines="0" w:line="360" w:lineRule="auto"/>
              <w:rPr>
                <w:rStyle w:val="79"/>
                <w:rFonts w:hint="eastAsia"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具备五星级品质旅行社的得5分，4星级品质旅行社的得3分，3星级品质旅行社的得1分</w:t>
            </w:r>
            <w:r>
              <w:rPr>
                <w:rStyle w:val="79"/>
                <w:rFonts w:hint="eastAsia" w:ascii="仿宋" w:hAnsi="仿宋" w:eastAsia="仿宋" w:cs="仿宋"/>
                <w:bCs/>
                <w:color w:val="auto"/>
                <w:sz w:val="21"/>
                <w:szCs w:val="21"/>
                <w:highlight w:val="none"/>
              </w:rPr>
              <w:t>。</w:t>
            </w:r>
          </w:p>
        </w:tc>
        <w:tc>
          <w:tcPr>
            <w:tcW w:w="834" w:type="dxa"/>
            <w:vAlign w:val="center"/>
          </w:tcPr>
          <w:p w14:paraId="0654C15B">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089" w:type="dxa"/>
            <w:vAlign w:val="center"/>
          </w:tcPr>
          <w:p w14:paraId="7F75DB99">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1754B12A">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5E76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Align w:val="center"/>
          </w:tcPr>
          <w:p w14:paraId="6EF542C5">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eastAsia="zh-CN"/>
              </w:rPr>
            </w:pPr>
            <w:r>
              <w:rPr>
                <w:rStyle w:val="79"/>
                <w:rFonts w:hint="eastAsia" w:ascii="仿宋" w:hAnsi="仿宋" w:eastAsia="仿宋" w:cs="仿宋"/>
                <w:bCs/>
                <w:color w:val="auto"/>
                <w:sz w:val="21"/>
                <w:szCs w:val="21"/>
                <w:highlight w:val="none"/>
                <w:lang w:val="en-US" w:eastAsia="zh-CN"/>
              </w:rPr>
              <w:t>3</w:t>
            </w:r>
          </w:p>
        </w:tc>
        <w:tc>
          <w:tcPr>
            <w:tcW w:w="4317" w:type="dxa"/>
            <w:vAlign w:val="center"/>
          </w:tcPr>
          <w:p w14:paraId="3DD19F45">
            <w:pPr>
              <w:wordWrap w:val="0"/>
              <w:autoSpaceDE w:val="0"/>
              <w:autoSpaceDN w:val="0"/>
              <w:snapToGrid w:val="0"/>
              <w:spacing w:beforeLines="0" w:afterLines="0" w:line="360" w:lineRule="auto"/>
              <w:jc w:val="both"/>
              <w:rPr>
                <w:rFonts w:ascii="仿宋" w:hAnsi="仿宋" w:eastAsia="仿宋" w:cs="仿宋"/>
                <w:color w:val="auto"/>
                <w:kern w:val="0"/>
                <w:sz w:val="21"/>
                <w:szCs w:val="21"/>
                <w:highlight w:val="none"/>
                <w:lang w:val="zh-CN"/>
              </w:rPr>
            </w:pPr>
            <w:r>
              <w:rPr>
                <w:rStyle w:val="79"/>
                <w:rFonts w:hint="eastAsia" w:ascii="仿宋" w:hAnsi="仿宋" w:eastAsia="仿宋" w:cs="仿宋"/>
                <w:bCs/>
                <w:color w:val="auto"/>
                <w:sz w:val="21"/>
                <w:szCs w:val="21"/>
                <w:highlight w:val="none"/>
              </w:rPr>
              <w:t>企业</w:t>
            </w:r>
            <w:r>
              <w:rPr>
                <w:rStyle w:val="79"/>
                <w:rFonts w:hint="eastAsia" w:ascii="仿宋" w:hAnsi="仿宋" w:eastAsia="仿宋" w:cs="仿宋"/>
                <w:bCs/>
                <w:color w:val="auto"/>
                <w:sz w:val="21"/>
                <w:szCs w:val="21"/>
                <w:highlight w:val="none"/>
                <w:lang w:val="en-US" w:eastAsia="zh-CN"/>
              </w:rPr>
              <w:t>类似</w:t>
            </w:r>
            <w:r>
              <w:rPr>
                <w:rStyle w:val="79"/>
                <w:rFonts w:hint="eastAsia" w:ascii="仿宋" w:hAnsi="仿宋" w:eastAsia="仿宋" w:cs="仿宋"/>
                <w:bCs/>
                <w:color w:val="auto"/>
                <w:sz w:val="21"/>
                <w:szCs w:val="21"/>
                <w:highlight w:val="none"/>
              </w:rPr>
              <w:t>业绩</w:t>
            </w:r>
            <w:r>
              <w:rPr>
                <w:rStyle w:val="79"/>
                <w:rFonts w:hint="eastAsia" w:ascii="仿宋" w:hAnsi="仿宋" w:eastAsia="仿宋" w:cs="仿宋"/>
                <w:bCs/>
                <w:color w:val="auto"/>
                <w:sz w:val="21"/>
                <w:szCs w:val="21"/>
                <w:highlight w:val="none"/>
                <w:lang w:eastAsia="zh-CN"/>
              </w:rPr>
              <w:t>：</w:t>
            </w:r>
            <w:r>
              <w:rPr>
                <w:rFonts w:hint="eastAsia" w:ascii="仿宋" w:hAnsi="仿宋" w:eastAsia="仿宋" w:cs="仿宋"/>
                <w:color w:val="auto"/>
                <w:kern w:val="0"/>
                <w:sz w:val="21"/>
                <w:szCs w:val="21"/>
                <w:highlight w:val="none"/>
                <w:lang w:val="zh-CN"/>
              </w:rPr>
              <w:t>供应商</w:t>
            </w:r>
            <w:r>
              <w:rPr>
                <w:rFonts w:hint="eastAsia" w:ascii="仿宋" w:hAnsi="仿宋" w:eastAsia="仿宋" w:cs="仿宋"/>
                <w:color w:val="auto"/>
                <w:kern w:val="0"/>
                <w:sz w:val="21"/>
                <w:szCs w:val="21"/>
                <w:highlight w:val="none"/>
                <w:lang w:val="en-US" w:eastAsia="zh-CN"/>
              </w:rPr>
              <w:t>具有</w:t>
            </w:r>
            <w:r>
              <w:rPr>
                <w:rFonts w:ascii="仿宋" w:hAnsi="仿宋" w:eastAsia="仿宋" w:cs="仿宋"/>
                <w:color w:val="auto"/>
                <w:kern w:val="0"/>
                <w:sz w:val="21"/>
                <w:szCs w:val="21"/>
                <w:highlight w:val="none"/>
                <w:lang w:val="zh-CN"/>
              </w:rPr>
              <w:t>企业退休人员</w:t>
            </w:r>
            <w:r>
              <w:rPr>
                <w:rFonts w:hint="eastAsia" w:ascii="仿宋" w:hAnsi="仿宋" w:eastAsia="仿宋" w:cs="仿宋"/>
                <w:color w:val="auto"/>
                <w:kern w:val="0"/>
                <w:sz w:val="21"/>
                <w:szCs w:val="21"/>
                <w:highlight w:val="none"/>
                <w:lang w:val="en-US" w:eastAsia="zh-CN"/>
              </w:rPr>
              <w:t>文体</w:t>
            </w:r>
            <w:r>
              <w:rPr>
                <w:rFonts w:ascii="仿宋" w:hAnsi="仿宋" w:eastAsia="仿宋" w:cs="仿宋"/>
                <w:color w:val="auto"/>
                <w:kern w:val="0"/>
                <w:sz w:val="21"/>
                <w:szCs w:val="21"/>
                <w:highlight w:val="none"/>
                <w:lang w:val="zh-CN"/>
              </w:rPr>
              <w:t>活动</w:t>
            </w:r>
            <w:r>
              <w:rPr>
                <w:rFonts w:hint="eastAsia" w:ascii="仿宋" w:hAnsi="仿宋" w:eastAsia="仿宋" w:cs="仿宋"/>
                <w:color w:val="auto"/>
                <w:kern w:val="0"/>
                <w:sz w:val="21"/>
                <w:szCs w:val="21"/>
                <w:highlight w:val="none"/>
                <w:lang w:val="en-US" w:eastAsia="zh-CN"/>
              </w:rPr>
              <w:t>承办服务</w:t>
            </w:r>
            <w:r>
              <w:rPr>
                <w:rFonts w:ascii="仿宋" w:hAnsi="仿宋" w:eastAsia="仿宋" w:cs="仿宋"/>
                <w:color w:val="auto"/>
                <w:kern w:val="0"/>
                <w:sz w:val="21"/>
                <w:szCs w:val="21"/>
                <w:highlight w:val="none"/>
                <w:lang w:val="zh-CN"/>
              </w:rPr>
              <w:t>业绩</w:t>
            </w:r>
            <w:r>
              <w:rPr>
                <w:rFonts w:hint="eastAsia" w:ascii="仿宋" w:hAnsi="仿宋" w:eastAsia="仿宋" w:cs="仿宋"/>
                <w:color w:val="auto"/>
                <w:kern w:val="0"/>
                <w:sz w:val="21"/>
                <w:szCs w:val="21"/>
                <w:highlight w:val="none"/>
                <w:lang w:val="en-US" w:eastAsia="zh-CN"/>
              </w:rPr>
              <w:t>的，</w:t>
            </w:r>
            <w:r>
              <w:rPr>
                <w:rFonts w:ascii="仿宋" w:hAnsi="仿宋" w:eastAsia="仿宋" w:cs="仿宋"/>
                <w:color w:val="auto"/>
                <w:kern w:val="0"/>
                <w:sz w:val="21"/>
                <w:szCs w:val="21"/>
                <w:highlight w:val="none"/>
                <w:lang w:val="zh-CN"/>
              </w:rPr>
              <w:t>每</w:t>
            </w:r>
            <w:r>
              <w:rPr>
                <w:rFonts w:hint="eastAsia" w:ascii="仿宋" w:hAnsi="仿宋" w:eastAsia="仿宋" w:cs="仿宋"/>
                <w:color w:val="auto"/>
                <w:kern w:val="0"/>
                <w:sz w:val="21"/>
                <w:szCs w:val="21"/>
                <w:highlight w:val="none"/>
                <w:lang w:val="en-US" w:eastAsia="zh-CN"/>
              </w:rPr>
              <w:t>具有1例的，得1</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最高得5</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w:t>
            </w:r>
            <w:r>
              <w:rPr>
                <w:rFonts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rPr>
              <w:t>证明材料提供合同，联合体</w:t>
            </w:r>
            <w:r>
              <w:rPr>
                <w:rFonts w:hint="eastAsia" w:ascii="仿宋" w:hAnsi="仿宋" w:eastAsia="仿宋" w:cs="仿宋"/>
                <w:color w:val="auto"/>
                <w:kern w:val="0"/>
                <w:sz w:val="21"/>
                <w:szCs w:val="21"/>
                <w:highlight w:val="none"/>
                <w:lang w:val="en-US" w:eastAsia="zh-CN"/>
              </w:rPr>
              <w:t>参加</w:t>
            </w:r>
            <w:r>
              <w:rPr>
                <w:rFonts w:hint="eastAsia" w:ascii="仿宋" w:hAnsi="仿宋" w:eastAsia="仿宋" w:cs="仿宋"/>
                <w:color w:val="auto"/>
                <w:kern w:val="0"/>
                <w:sz w:val="21"/>
                <w:szCs w:val="21"/>
                <w:highlight w:val="none"/>
                <w:lang w:val="zh-CN"/>
              </w:rPr>
              <w:t>的，业绩数量以提供材料较少的一方为准。</w:t>
            </w:r>
            <w:r>
              <w:rPr>
                <w:rFonts w:ascii="仿宋" w:hAnsi="仿宋" w:eastAsia="仿宋" w:cs="仿宋"/>
                <w:color w:val="auto"/>
                <w:kern w:val="0"/>
                <w:sz w:val="21"/>
                <w:szCs w:val="21"/>
                <w:highlight w:val="none"/>
                <w:lang w:val="zh-CN"/>
              </w:rPr>
              <w:t>）</w:t>
            </w:r>
          </w:p>
        </w:tc>
        <w:tc>
          <w:tcPr>
            <w:tcW w:w="834" w:type="dxa"/>
            <w:vAlign w:val="center"/>
          </w:tcPr>
          <w:p w14:paraId="16F356E9">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089" w:type="dxa"/>
            <w:vAlign w:val="center"/>
          </w:tcPr>
          <w:p w14:paraId="0EC408C2">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50EC5D0C">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0DC6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5" w:type="dxa"/>
            <w:vAlign w:val="center"/>
          </w:tcPr>
          <w:p w14:paraId="238BC14C">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eastAsia="zh-CN"/>
              </w:rPr>
            </w:pPr>
            <w:r>
              <w:rPr>
                <w:rStyle w:val="79"/>
                <w:rFonts w:hint="eastAsia" w:ascii="仿宋" w:hAnsi="仿宋" w:eastAsia="仿宋" w:cs="仿宋"/>
                <w:bCs/>
                <w:color w:val="auto"/>
                <w:sz w:val="21"/>
                <w:szCs w:val="21"/>
                <w:highlight w:val="none"/>
                <w:lang w:val="en-US" w:eastAsia="zh-CN"/>
              </w:rPr>
              <w:t>4</w:t>
            </w:r>
          </w:p>
        </w:tc>
        <w:tc>
          <w:tcPr>
            <w:tcW w:w="4317" w:type="dxa"/>
            <w:vAlign w:val="center"/>
          </w:tcPr>
          <w:p w14:paraId="40AF9B0A">
            <w:pPr>
              <w:widowControl/>
              <w:snapToGrid w:val="0"/>
              <w:spacing w:beforeLines="0" w:afterLines="0"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文娱健身活动活动方案</w:t>
            </w:r>
            <w:r>
              <w:rPr>
                <w:rFonts w:hint="eastAsia" w:ascii="仿宋" w:hAnsi="仿宋" w:eastAsia="仿宋" w:cs="仿宋"/>
                <w:color w:val="auto"/>
                <w:sz w:val="21"/>
                <w:szCs w:val="21"/>
                <w:highlight w:val="none"/>
                <w:lang w:eastAsia="zh-CN"/>
              </w:rPr>
              <w:t>：</w:t>
            </w:r>
          </w:p>
          <w:p w14:paraId="70F28578">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lang w:eastAsia="zh-CN"/>
              </w:rPr>
              <w:t>文娱健身活动方案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合理、</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w:t>
            </w:r>
            <w:r>
              <w:rPr>
                <w:rFonts w:hint="eastAsia" w:ascii="仿宋" w:hAnsi="仿宋" w:eastAsia="仿宋" w:cs="仿宋"/>
                <w:color w:val="auto"/>
                <w:sz w:val="21"/>
                <w:szCs w:val="21"/>
                <w:highlight w:val="none"/>
                <w:lang w:val="en-US" w:eastAsia="zh-CN"/>
              </w:rPr>
              <w:t>是否符合小型、多样、就近、安全原则</w:t>
            </w:r>
            <w:r>
              <w:rPr>
                <w:rFonts w:hint="eastAsia" w:ascii="仿宋" w:hAnsi="仿宋" w:eastAsia="仿宋" w:cs="仿宋"/>
                <w:color w:val="auto"/>
                <w:sz w:val="21"/>
                <w:szCs w:val="21"/>
                <w:highlight w:val="none"/>
                <w:lang w:eastAsia="zh-CN"/>
              </w:rPr>
              <w:t>进行打分：（</w:t>
            </w:r>
            <w:r>
              <w:rPr>
                <w:rFonts w:hint="eastAsia" w:ascii="仿宋" w:hAnsi="仿宋" w:eastAsia="仿宋" w:cs="仿宋"/>
                <w:color w:val="auto"/>
                <w:sz w:val="21"/>
                <w:szCs w:val="21"/>
                <w:highlight w:val="none"/>
                <w:lang w:val="en-US" w:eastAsia="zh-CN"/>
              </w:rPr>
              <w:t>评分范围8、7、6、5、4、3、2、1、0）</w:t>
            </w:r>
          </w:p>
          <w:p w14:paraId="43ED4D2C">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eastAsia="zh-CN"/>
              </w:rPr>
              <w:t>提供的各类活动的活动场地、活动设施设备</w:t>
            </w:r>
            <w:r>
              <w:rPr>
                <w:rFonts w:hint="eastAsia" w:ascii="仿宋" w:hAnsi="仿宋" w:eastAsia="仿宋" w:cs="仿宋"/>
                <w:color w:val="auto"/>
                <w:sz w:val="21"/>
                <w:szCs w:val="21"/>
                <w:highlight w:val="none"/>
                <w:lang w:val="en-US" w:eastAsia="zh-CN"/>
              </w:rPr>
              <w:t>实施</w:t>
            </w:r>
            <w:r>
              <w:rPr>
                <w:rFonts w:hint="eastAsia" w:ascii="仿宋" w:hAnsi="仿宋" w:eastAsia="仿宋" w:cs="仿宋"/>
                <w:color w:val="auto"/>
                <w:sz w:val="21"/>
                <w:szCs w:val="21"/>
                <w:highlight w:val="none"/>
                <w:lang w:eastAsia="zh-CN"/>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全面合理且可操作性强，</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与采购需求完全相适应进行打分；（</w:t>
            </w:r>
            <w:r>
              <w:rPr>
                <w:rFonts w:hint="eastAsia" w:ascii="仿宋" w:hAnsi="仿宋" w:eastAsia="仿宋" w:cs="仿宋"/>
                <w:color w:val="auto"/>
                <w:sz w:val="21"/>
                <w:szCs w:val="21"/>
                <w:highlight w:val="none"/>
                <w:lang w:val="en-US" w:eastAsia="zh-CN"/>
              </w:rPr>
              <w:t>评分范围6、5、4、3、2、1、0）</w:t>
            </w:r>
          </w:p>
          <w:p w14:paraId="5424477F">
            <w:pPr>
              <w:widowControl/>
              <w:snapToGrid w:val="0"/>
              <w:spacing w:beforeLines="0" w:afterLines="0" w:line="360" w:lineRule="auto"/>
              <w:jc w:val="both"/>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③活动策划、宣传标语内容，及为采购人提供活动宣传素材的方案是否合理、完善进行打分。（评分范围5、4、3、2、1、0）</w:t>
            </w:r>
          </w:p>
          <w:p w14:paraId="395BC682">
            <w:pPr>
              <w:widowControl/>
              <w:snapToGrid w:val="0"/>
              <w:spacing w:beforeLines="0" w:afterLines="0" w:line="360" w:lineRule="auto"/>
              <w:jc w:val="both"/>
              <w:rPr>
                <w:rFonts w:hint="default"/>
                <w:color w:val="auto"/>
                <w:highlight w:val="none"/>
                <w:lang w:val="en-US"/>
              </w:rPr>
            </w:pPr>
            <w:r>
              <w:rPr>
                <w:rFonts w:hint="eastAsia" w:ascii="仿宋" w:hAnsi="仿宋" w:eastAsia="仿宋" w:cs="仿宋"/>
                <w:b w:val="0"/>
                <w:bCs w:val="0"/>
                <w:color w:val="auto"/>
                <w:kern w:val="2"/>
                <w:sz w:val="21"/>
                <w:szCs w:val="21"/>
                <w:highlight w:val="none"/>
                <w:lang w:val="en-US" w:eastAsia="zh-CN" w:bidi="ar-SA"/>
              </w:rPr>
              <w:t>④提供的上门慰问服务方案，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与采购需求相适应</w:t>
            </w:r>
            <w:r>
              <w:rPr>
                <w:rFonts w:hint="eastAsia" w:ascii="仿宋" w:hAnsi="仿宋" w:eastAsia="仿宋" w:cs="仿宋"/>
                <w:color w:val="auto"/>
                <w:sz w:val="21"/>
                <w:szCs w:val="21"/>
                <w:highlight w:val="none"/>
                <w:lang w:val="en-US" w:eastAsia="zh-CN"/>
              </w:rPr>
              <w:t>进行打分。</w:t>
            </w:r>
            <w:r>
              <w:rPr>
                <w:rFonts w:hint="eastAsia" w:ascii="仿宋" w:hAnsi="仿宋" w:eastAsia="仿宋" w:cs="仿宋"/>
                <w:b w:val="0"/>
                <w:bCs w:val="0"/>
                <w:color w:val="auto"/>
                <w:kern w:val="2"/>
                <w:sz w:val="21"/>
                <w:szCs w:val="21"/>
                <w:highlight w:val="none"/>
                <w:lang w:val="en-US" w:eastAsia="zh-CN" w:bidi="ar-SA"/>
              </w:rPr>
              <w:t>（评分范围3、2、1、0）</w:t>
            </w:r>
          </w:p>
        </w:tc>
        <w:tc>
          <w:tcPr>
            <w:tcW w:w="834" w:type="dxa"/>
            <w:vAlign w:val="center"/>
          </w:tcPr>
          <w:p w14:paraId="501F827A">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22</w:t>
            </w:r>
          </w:p>
        </w:tc>
        <w:tc>
          <w:tcPr>
            <w:tcW w:w="1089" w:type="dxa"/>
            <w:vAlign w:val="center"/>
          </w:tcPr>
          <w:p w14:paraId="1CE74B04">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7D7DF9F9">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A8E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5" w:type="dxa"/>
            <w:vAlign w:val="center"/>
          </w:tcPr>
          <w:p w14:paraId="36CD5F50">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5</w:t>
            </w:r>
          </w:p>
        </w:tc>
        <w:tc>
          <w:tcPr>
            <w:tcW w:w="4317" w:type="dxa"/>
            <w:vAlign w:val="center"/>
          </w:tcPr>
          <w:p w14:paraId="076F11B6">
            <w:pPr>
              <w:tabs>
                <w:tab w:val="left" w:pos="1199"/>
              </w:tabs>
              <w:autoSpaceDE w:val="0"/>
              <w:autoSpaceDN w:val="0"/>
              <w:snapToGrid w:val="0"/>
              <w:spacing w:beforeLines="0" w:afterLines="0" w:line="360" w:lineRule="auto"/>
              <w:rPr>
                <w:rFonts w:hint="eastAsia" w:ascii="仿宋" w:hAnsi="仿宋" w:eastAsia="仿宋" w:cs="仿宋"/>
                <w:color w:val="auto"/>
                <w:sz w:val="21"/>
                <w:szCs w:val="21"/>
                <w:highlight w:val="none"/>
                <w:lang w:val="zh-CN" w:eastAsia="zh-CN"/>
              </w:rPr>
            </w:pPr>
            <w:r>
              <w:rPr>
                <w:rFonts w:hint="eastAsia" w:ascii="仿宋" w:hAnsi="仿宋" w:eastAsia="仿宋" w:cs="仿宋"/>
                <w:snapToGrid w:val="0"/>
                <w:color w:val="auto"/>
                <w:kern w:val="0"/>
                <w:szCs w:val="21"/>
                <w:highlight w:val="none"/>
              </w:rPr>
              <w:t>项目需求的理解</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对项目基本情况、</w:t>
            </w:r>
            <w:r>
              <w:rPr>
                <w:rFonts w:hint="eastAsia" w:ascii="仿宋" w:hAnsi="仿宋" w:eastAsia="仿宋" w:cs="仿宋"/>
                <w:color w:val="auto"/>
                <w:szCs w:val="21"/>
                <w:highlight w:val="none"/>
                <w:lang w:val="en-US" w:eastAsia="zh-CN"/>
              </w:rPr>
              <w:t>服务质量要求</w:t>
            </w:r>
            <w:r>
              <w:rPr>
                <w:rFonts w:hint="eastAsia" w:ascii="仿宋" w:hAnsi="仿宋" w:eastAsia="仿宋" w:cs="仿宋"/>
                <w:color w:val="auto"/>
                <w:szCs w:val="21"/>
                <w:highlight w:val="none"/>
              </w:rPr>
              <w:t>、服务内容的理解分析，了解</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全面、分析</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合理透彻</w:t>
            </w:r>
            <w:r>
              <w:rPr>
                <w:rFonts w:hint="eastAsia" w:ascii="仿宋" w:hAnsi="仿宋" w:eastAsia="仿宋" w:cs="仿宋"/>
                <w:color w:val="auto"/>
                <w:szCs w:val="21"/>
                <w:highlight w:val="none"/>
                <w:lang w:val="en-US" w:eastAsia="zh-CN"/>
              </w:rPr>
              <w:t>进行评分。（</w:t>
            </w:r>
            <w:r>
              <w:rPr>
                <w:rFonts w:hint="eastAsia" w:ascii="仿宋" w:hAnsi="仿宋" w:eastAsia="仿宋" w:cs="仿宋"/>
                <w:color w:val="auto"/>
                <w:sz w:val="21"/>
                <w:szCs w:val="21"/>
                <w:highlight w:val="none"/>
                <w:lang w:val="en-US" w:eastAsia="zh-CN"/>
              </w:rPr>
              <w:t>评分</w:t>
            </w:r>
            <w:r>
              <w:rPr>
                <w:rFonts w:hint="eastAsia" w:ascii="仿宋" w:hAnsi="仿宋" w:eastAsia="仿宋" w:cs="仿宋"/>
                <w:color w:val="auto"/>
                <w:szCs w:val="21"/>
                <w:highlight w:val="none"/>
                <w:lang w:val="en-US" w:eastAsia="zh-CN"/>
              </w:rPr>
              <w:t>范围6、5、4、3、2、1、0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c>
          <w:tcPr>
            <w:tcW w:w="834" w:type="dxa"/>
            <w:vAlign w:val="center"/>
          </w:tcPr>
          <w:p w14:paraId="6324DEE4">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1B1D59E4">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0907C7DF">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DB0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04280095">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c>
          <w:tcPr>
            <w:tcW w:w="4317" w:type="dxa"/>
            <w:vAlign w:val="center"/>
          </w:tcPr>
          <w:p w14:paraId="3A005376">
            <w:pPr>
              <w:widowControl/>
              <w:snapToGrid w:val="0"/>
              <w:spacing w:beforeLines="0" w:afterLines="0" w:line="360" w:lineRule="auto"/>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zh-CN" w:eastAsia="zh-CN"/>
              </w:rPr>
              <w:t>活动开展的工作程序和步骤：根据供应商提供的活动开展的工作程序和步骤等方面进行评分。工作程序和步骤是否合理，是否适用性强；（评分范围</w:t>
            </w:r>
            <w:r>
              <w:rPr>
                <w:rFonts w:hint="eastAsia" w:ascii="仿宋" w:hAnsi="仿宋" w:eastAsia="仿宋" w:cs="仿宋"/>
                <w:color w:val="auto"/>
                <w:sz w:val="21"/>
                <w:szCs w:val="21"/>
                <w:highlight w:val="none"/>
                <w:lang w:val="en-US" w:eastAsia="zh-CN"/>
              </w:rPr>
              <w:t>6、5、</w:t>
            </w:r>
            <w:r>
              <w:rPr>
                <w:rFonts w:hint="eastAsia" w:ascii="仿宋" w:hAnsi="仿宋" w:eastAsia="仿宋" w:cs="仿宋"/>
                <w:color w:val="auto"/>
                <w:sz w:val="21"/>
                <w:szCs w:val="21"/>
                <w:highlight w:val="none"/>
                <w:lang w:val="zh-CN" w:eastAsia="zh-CN"/>
              </w:rPr>
              <w:t>4、3、2、1、0）</w:t>
            </w:r>
          </w:p>
        </w:tc>
        <w:tc>
          <w:tcPr>
            <w:tcW w:w="834" w:type="dxa"/>
            <w:vAlign w:val="center"/>
          </w:tcPr>
          <w:p w14:paraId="01F56EBC">
            <w:pPr>
              <w:autoSpaceDE w:val="0"/>
              <w:autoSpaceDN w:val="0"/>
              <w:snapToGrid w:val="0"/>
              <w:spacing w:beforeLines="0" w:afterLines="0"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1089" w:type="dxa"/>
            <w:vAlign w:val="center"/>
          </w:tcPr>
          <w:p w14:paraId="4B453C6C">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0645EB89">
            <w:pPr>
              <w:wordWrap w:val="0"/>
              <w:snapToGrid w:val="0"/>
              <w:spacing w:beforeLines="0" w:afterLines="0" w:line="360" w:lineRule="auto"/>
              <w:rPr>
                <w:rFonts w:ascii="仿宋" w:hAnsi="仿宋" w:eastAsia="仿宋" w:cs="仿宋"/>
                <w:color w:val="auto"/>
                <w:sz w:val="21"/>
                <w:szCs w:val="21"/>
                <w:highlight w:val="none"/>
              </w:rPr>
            </w:pPr>
          </w:p>
        </w:tc>
      </w:tr>
      <w:tr w14:paraId="2862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048D3AE3">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4317" w:type="dxa"/>
            <w:vAlign w:val="center"/>
          </w:tcPr>
          <w:p w14:paraId="49AFE4E4">
            <w:pPr>
              <w:pStyle w:val="59"/>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活动过程中的管理和协调方法：根据供应商提供的活动过程中的管理和协调方法的合理性和适用管理和协调方法合理性进行评分。方案是否全面合理且可操作性强，与采购需求是否完全相适应；（评分范围6、5、4、3、2、1、0）</w:t>
            </w:r>
          </w:p>
        </w:tc>
        <w:tc>
          <w:tcPr>
            <w:tcW w:w="834" w:type="dxa"/>
            <w:vAlign w:val="center"/>
          </w:tcPr>
          <w:p w14:paraId="7C6F6FB6">
            <w:pPr>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1D2372A3">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3E511D24">
            <w:pPr>
              <w:wordWrap w:val="0"/>
              <w:snapToGrid w:val="0"/>
              <w:spacing w:beforeLines="0" w:afterLines="0" w:line="360" w:lineRule="auto"/>
              <w:rPr>
                <w:rFonts w:ascii="仿宋" w:hAnsi="仿宋" w:eastAsia="仿宋" w:cs="仿宋"/>
                <w:color w:val="auto"/>
                <w:sz w:val="21"/>
                <w:szCs w:val="21"/>
                <w:highlight w:val="none"/>
              </w:rPr>
            </w:pPr>
          </w:p>
        </w:tc>
      </w:tr>
      <w:tr w14:paraId="0A32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37F9C7A2">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8</w:t>
            </w:r>
          </w:p>
        </w:tc>
        <w:tc>
          <w:tcPr>
            <w:tcW w:w="4317" w:type="dxa"/>
            <w:vAlign w:val="center"/>
          </w:tcPr>
          <w:p w14:paraId="15CEB518">
            <w:pPr>
              <w:pStyle w:val="972"/>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保密措施：根据供应商提供的对参加活动人员名单和个人信息的保密措施和方案的针对性、可行性进行打分。</w:t>
            </w:r>
          </w:p>
          <w:p w14:paraId="28372936">
            <w:pPr>
              <w:pStyle w:val="972"/>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措施及方案是否完善、针对性强（评分范围5、4、3、2、1、0）</w:t>
            </w:r>
          </w:p>
        </w:tc>
        <w:tc>
          <w:tcPr>
            <w:tcW w:w="834" w:type="dxa"/>
            <w:vAlign w:val="center"/>
          </w:tcPr>
          <w:p w14:paraId="2DC46E90">
            <w:pPr>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089" w:type="dxa"/>
            <w:vAlign w:val="center"/>
          </w:tcPr>
          <w:p w14:paraId="65C6BCB0">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4DD5D830">
            <w:pPr>
              <w:wordWrap w:val="0"/>
              <w:snapToGrid w:val="0"/>
              <w:spacing w:beforeLines="0" w:afterLines="0" w:line="360" w:lineRule="auto"/>
              <w:rPr>
                <w:rFonts w:ascii="仿宋" w:hAnsi="仿宋" w:eastAsia="仿宋" w:cs="仿宋"/>
                <w:color w:val="auto"/>
                <w:sz w:val="21"/>
                <w:szCs w:val="21"/>
                <w:highlight w:val="none"/>
              </w:rPr>
            </w:pPr>
          </w:p>
        </w:tc>
      </w:tr>
      <w:tr w14:paraId="342D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41FF4B7A">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4317" w:type="dxa"/>
            <w:vAlign w:val="center"/>
          </w:tcPr>
          <w:p w14:paraId="73763A60">
            <w:pPr>
              <w:pStyle w:val="59"/>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安全保障措施：根据供应商的安全保障性方案、应急预案，对活动中如出现的突发情况进行分析及提出合理的应对措施方案进行打分。</w:t>
            </w:r>
          </w:p>
          <w:p w14:paraId="418C4E14">
            <w:pPr>
              <w:pStyle w:val="972"/>
              <w:wordWrap w:val="0"/>
              <w:snapToGrid w:val="0"/>
              <w:spacing w:beforeLines="0" w:afterLines="0" w:line="360" w:lineRule="auto"/>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全面合理且可操作性强，与采购需求</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完全相适应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评分范围6、5、4、3、2、1、0）</w:t>
            </w:r>
          </w:p>
        </w:tc>
        <w:tc>
          <w:tcPr>
            <w:tcW w:w="834" w:type="dxa"/>
            <w:vAlign w:val="center"/>
          </w:tcPr>
          <w:p w14:paraId="26A86763">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4BE252A4">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16EB7006">
            <w:pPr>
              <w:wordWrap w:val="0"/>
              <w:snapToGrid w:val="0"/>
              <w:spacing w:beforeLines="0" w:afterLines="0" w:line="360" w:lineRule="auto"/>
              <w:rPr>
                <w:rFonts w:ascii="仿宋" w:hAnsi="仿宋" w:eastAsia="仿宋" w:cs="仿宋"/>
                <w:color w:val="auto"/>
                <w:sz w:val="21"/>
                <w:szCs w:val="21"/>
                <w:highlight w:val="none"/>
              </w:rPr>
            </w:pPr>
          </w:p>
        </w:tc>
      </w:tr>
      <w:tr w14:paraId="128F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0D9D2A23">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4317" w:type="dxa"/>
            <w:vAlign w:val="center"/>
          </w:tcPr>
          <w:p w14:paraId="28164EB3">
            <w:pPr>
              <w:pStyle w:val="972"/>
              <w:wordWrap w:val="0"/>
              <w:snapToGrid w:val="0"/>
              <w:spacing w:beforeLines="0" w:afterLines="0"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①动态数据：承诺随时向采购人提供完整的本项目所有活动参与人员实时动态数据（含实时动态结算数据），承诺的得1.5分，不承诺不得分。</w:t>
            </w:r>
          </w:p>
          <w:p w14:paraId="1F489868">
            <w:pPr>
              <w:pStyle w:val="972"/>
              <w:wordWrap w:val="0"/>
              <w:snapToGrid w:val="0"/>
              <w:spacing w:beforeLines="0" w:afterLines="0" w:line="360" w:lineRule="auto"/>
              <w:rPr>
                <w:rFonts w:hint="eastAsia" w:ascii="仿宋" w:hAnsi="仿宋" w:eastAsia="仿宋" w:cs="仿宋"/>
                <w:color w:val="auto"/>
                <w:kern w:val="2"/>
                <w:sz w:val="21"/>
                <w:szCs w:val="21"/>
                <w:highlight w:val="none"/>
                <w:lang w:val="en-US" w:eastAsia="zh-CN" w:bidi="zh-TW"/>
              </w:rPr>
            </w:pPr>
            <w:r>
              <w:rPr>
                <w:rFonts w:hint="eastAsia" w:ascii="仿宋" w:hAnsi="仿宋" w:eastAsia="仿宋" w:cs="仿宋"/>
                <w:color w:val="auto"/>
                <w:sz w:val="21"/>
                <w:szCs w:val="21"/>
                <w:highlight w:val="none"/>
                <w:lang w:val="en-US" w:eastAsia="zh-CN"/>
              </w:rPr>
              <w:t>②承诺提供实施现场影像资料的，得1.5分，不承诺不得分。（投标文件中提供承诺书）</w:t>
            </w:r>
          </w:p>
        </w:tc>
        <w:tc>
          <w:tcPr>
            <w:tcW w:w="834" w:type="dxa"/>
            <w:vAlign w:val="center"/>
          </w:tcPr>
          <w:p w14:paraId="2682CC6A">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w:t>
            </w:r>
          </w:p>
        </w:tc>
        <w:tc>
          <w:tcPr>
            <w:tcW w:w="1089" w:type="dxa"/>
            <w:vAlign w:val="center"/>
          </w:tcPr>
          <w:p w14:paraId="434862EF">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4F240DDF">
            <w:pPr>
              <w:wordWrap w:val="0"/>
              <w:snapToGrid w:val="0"/>
              <w:spacing w:beforeLines="0" w:afterLines="0" w:line="360" w:lineRule="auto"/>
              <w:rPr>
                <w:rFonts w:ascii="仿宋" w:hAnsi="仿宋" w:eastAsia="仿宋" w:cs="仿宋"/>
                <w:color w:val="auto"/>
                <w:sz w:val="21"/>
                <w:szCs w:val="21"/>
                <w:highlight w:val="none"/>
              </w:rPr>
            </w:pPr>
          </w:p>
        </w:tc>
      </w:tr>
      <w:tr w14:paraId="3C8B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4177FEED">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4317" w:type="dxa"/>
            <w:vAlign w:val="center"/>
          </w:tcPr>
          <w:p w14:paraId="1B9224EA">
            <w:pPr>
              <w:pStyle w:val="972"/>
              <w:wordWrap w:val="0"/>
              <w:snapToGrid w:val="0"/>
              <w:spacing w:beforeLines="0" w:afterLines="0" w:line="360" w:lineRule="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zh-TW"/>
              </w:rPr>
              <w:t>投诉处理方案：针对活动中可能发生投诉的风险点的分析及应对处理措施是否科学、合理、针对性强、措施是否到位进行评分。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评分范围6、5、4、3、2、1、0）</w:t>
            </w:r>
          </w:p>
        </w:tc>
        <w:tc>
          <w:tcPr>
            <w:tcW w:w="834" w:type="dxa"/>
            <w:vAlign w:val="center"/>
          </w:tcPr>
          <w:p w14:paraId="1A736FE7">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40D946C4">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337F9643">
            <w:pPr>
              <w:wordWrap w:val="0"/>
              <w:snapToGrid w:val="0"/>
              <w:spacing w:beforeLines="0" w:afterLines="0" w:line="360" w:lineRule="auto"/>
              <w:rPr>
                <w:rFonts w:ascii="仿宋" w:hAnsi="仿宋" w:eastAsia="仿宋" w:cs="仿宋"/>
                <w:color w:val="auto"/>
                <w:sz w:val="21"/>
                <w:szCs w:val="21"/>
                <w:highlight w:val="none"/>
              </w:rPr>
            </w:pPr>
          </w:p>
        </w:tc>
      </w:tr>
      <w:tr w14:paraId="60CC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615891FC">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4317" w:type="dxa"/>
            <w:shd w:val="clear" w:color="auto" w:fill="auto"/>
            <w:vAlign w:val="center"/>
          </w:tcPr>
          <w:p w14:paraId="1B4776B1">
            <w:pPr>
              <w:pStyle w:val="59"/>
              <w:snapToGrid w:val="0"/>
              <w:spacing w:before="0" w:beforeLines="0" w:beforeAutospacing="0" w:after="0" w:afterLines="0" w:afterAutospacing="0" w:line="360" w:lineRule="auto"/>
              <w:rPr>
                <w:rStyle w:val="79"/>
                <w:rFonts w:hint="eastAsia" w:ascii="仿宋" w:hAnsi="仿宋" w:eastAsia="仿宋" w:cs="仿宋"/>
                <w:bCs/>
                <w:color w:val="auto"/>
                <w:sz w:val="21"/>
                <w:szCs w:val="21"/>
                <w:highlight w:val="none"/>
                <w:lang w:val="en-US" w:eastAsia="zh-CN"/>
              </w:rPr>
            </w:pPr>
            <w:r>
              <w:rPr>
                <w:rStyle w:val="79"/>
                <w:rFonts w:ascii="仿宋" w:hAnsi="仿宋" w:eastAsia="仿宋" w:cs="仿宋"/>
                <w:bCs/>
                <w:color w:val="auto"/>
                <w:sz w:val="21"/>
                <w:szCs w:val="21"/>
                <w:highlight w:val="none"/>
              </w:rPr>
              <w:t>保险</w:t>
            </w:r>
            <w:r>
              <w:rPr>
                <w:rStyle w:val="79"/>
                <w:rFonts w:hint="eastAsia" w:ascii="仿宋" w:hAnsi="仿宋" w:eastAsia="仿宋" w:cs="仿宋"/>
                <w:bCs/>
                <w:color w:val="auto"/>
                <w:sz w:val="21"/>
                <w:szCs w:val="21"/>
                <w:highlight w:val="none"/>
                <w:lang w:eastAsia="zh-CN"/>
              </w:rPr>
              <w:t>：供应商</w:t>
            </w:r>
            <w:r>
              <w:rPr>
                <w:rStyle w:val="79"/>
                <w:rFonts w:hint="eastAsia" w:ascii="仿宋" w:hAnsi="仿宋" w:eastAsia="仿宋" w:cs="仿宋"/>
                <w:bCs/>
                <w:color w:val="auto"/>
                <w:sz w:val="21"/>
                <w:szCs w:val="21"/>
                <w:highlight w:val="none"/>
                <w:lang w:val="en-US" w:eastAsia="zh-CN"/>
              </w:rPr>
              <w:t>承诺</w:t>
            </w:r>
            <w:r>
              <w:rPr>
                <w:rStyle w:val="79"/>
                <w:rFonts w:hint="eastAsia" w:ascii="仿宋" w:hAnsi="仿宋" w:eastAsia="仿宋" w:cs="仿宋"/>
                <w:bCs/>
                <w:color w:val="auto"/>
                <w:sz w:val="21"/>
                <w:szCs w:val="21"/>
                <w:highlight w:val="none"/>
              </w:rPr>
              <w:t>为参加活动的企退人员购买总保额不低于</w:t>
            </w:r>
            <w:r>
              <w:rPr>
                <w:rStyle w:val="79"/>
                <w:rFonts w:hint="eastAsia" w:ascii="仿宋" w:hAnsi="仿宋" w:eastAsia="仿宋" w:cs="仿宋"/>
                <w:bCs/>
                <w:color w:val="auto"/>
                <w:sz w:val="21"/>
                <w:szCs w:val="21"/>
                <w:highlight w:val="none"/>
                <w:lang w:val="en-US" w:eastAsia="zh-CN"/>
              </w:rPr>
              <w:t>2</w:t>
            </w:r>
            <w:r>
              <w:rPr>
                <w:rStyle w:val="79"/>
                <w:rFonts w:hint="eastAsia" w:ascii="仿宋" w:hAnsi="仿宋" w:eastAsia="仿宋" w:cs="仿宋"/>
                <w:bCs/>
                <w:color w:val="auto"/>
                <w:sz w:val="21"/>
                <w:szCs w:val="21"/>
                <w:highlight w:val="none"/>
              </w:rPr>
              <w:t>0万元的短期活动意外险情况</w:t>
            </w:r>
            <w:r>
              <w:rPr>
                <w:rStyle w:val="79"/>
                <w:rFonts w:hint="eastAsia" w:ascii="仿宋" w:hAnsi="仿宋" w:eastAsia="仿宋" w:cs="仿宋"/>
                <w:bCs/>
                <w:color w:val="auto"/>
                <w:sz w:val="21"/>
                <w:szCs w:val="21"/>
                <w:highlight w:val="none"/>
                <w:lang w:val="en-US" w:eastAsia="zh-CN"/>
              </w:rPr>
              <w:t>的，</w:t>
            </w:r>
            <w:r>
              <w:rPr>
                <w:rStyle w:val="79"/>
                <w:rFonts w:hint="eastAsia" w:ascii="仿宋" w:hAnsi="仿宋" w:eastAsia="仿宋" w:cs="仿宋"/>
                <w:bCs/>
                <w:color w:val="auto"/>
                <w:sz w:val="21"/>
                <w:szCs w:val="21"/>
                <w:highlight w:val="none"/>
              </w:rPr>
              <w:t>得</w:t>
            </w:r>
            <w:r>
              <w:rPr>
                <w:rStyle w:val="79"/>
                <w:rFonts w:hint="eastAsia" w:ascii="仿宋" w:hAnsi="仿宋" w:eastAsia="仿宋" w:cs="仿宋"/>
                <w:bCs/>
                <w:color w:val="auto"/>
                <w:sz w:val="21"/>
                <w:szCs w:val="21"/>
                <w:highlight w:val="none"/>
                <w:lang w:val="en-US" w:eastAsia="zh-CN"/>
              </w:rPr>
              <w:t>2</w:t>
            </w:r>
            <w:r>
              <w:rPr>
                <w:rStyle w:val="79"/>
                <w:rFonts w:hint="eastAsia" w:ascii="仿宋" w:hAnsi="仿宋" w:eastAsia="仿宋" w:cs="仿宋"/>
                <w:bCs/>
                <w:color w:val="auto"/>
                <w:sz w:val="21"/>
                <w:szCs w:val="21"/>
                <w:highlight w:val="none"/>
              </w:rPr>
              <w:t>分</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lang w:val="en-US" w:eastAsia="zh-CN"/>
              </w:rPr>
              <w:t>无或低于20万元</w:t>
            </w:r>
            <w:r>
              <w:rPr>
                <w:rStyle w:val="79"/>
                <w:rFonts w:hint="eastAsia" w:ascii="仿宋" w:hAnsi="仿宋" w:eastAsia="仿宋" w:cs="仿宋"/>
                <w:bCs/>
                <w:color w:val="auto"/>
                <w:sz w:val="21"/>
                <w:szCs w:val="21"/>
                <w:highlight w:val="none"/>
              </w:rPr>
              <w:t>的</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不得分。</w:t>
            </w:r>
            <w:r>
              <w:rPr>
                <w:rStyle w:val="79"/>
                <w:rFonts w:hint="eastAsia" w:ascii="仿宋" w:hAnsi="仿宋" w:eastAsia="仿宋" w:cs="仿宋"/>
                <w:bCs/>
                <w:color w:val="auto"/>
                <w:sz w:val="21"/>
                <w:szCs w:val="21"/>
                <w:highlight w:val="none"/>
                <w:lang w:val="en-US" w:eastAsia="zh-CN"/>
              </w:rPr>
              <w:t>证明材料提供承诺书。</w:t>
            </w:r>
          </w:p>
          <w:p w14:paraId="32603FF9">
            <w:pPr>
              <w:pStyle w:val="59"/>
              <w:snapToGrid w:val="0"/>
              <w:spacing w:before="0" w:beforeLines="0" w:beforeAutospacing="0" w:after="0" w:afterLines="0" w:afterAutospacing="0" w:line="360" w:lineRule="auto"/>
              <w:rPr>
                <w:rFonts w:hint="eastAsia" w:ascii="仿宋" w:hAnsi="仿宋" w:eastAsia="仿宋" w:cs="仿宋"/>
                <w:bCs/>
                <w:color w:val="auto"/>
                <w:kern w:val="0"/>
                <w:sz w:val="21"/>
                <w:szCs w:val="21"/>
                <w:highlight w:val="none"/>
                <w:lang w:val="en-US" w:eastAsia="zh-CN" w:bidi="ar-SA"/>
              </w:rPr>
            </w:pPr>
            <w:r>
              <w:rPr>
                <w:rStyle w:val="79"/>
                <w:rFonts w:hint="eastAsia" w:ascii="仿宋" w:hAnsi="仿宋" w:eastAsia="仿宋" w:cs="仿宋"/>
                <w:bCs/>
                <w:color w:val="auto"/>
                <w:sz w:val="21"/>
                <w:szCs w:val="21"/>
                <w:highlight w:val="none"/>
                <w:lang w:val="en-US" w:eastAsia="zh-CN"/>
              </w:rPr>
              <w:t>②</w:t>
            </w:r>
            <w:r>
              <w:rPr>
                <w:rFonts w:hint="eastAsia" w:ascii="仿宋" w:hAnsi="仿宋" w:eastAsia="仿宋" w:cs="仿宋"/>
                <w:color w:val="auto"/>
                <w:sz w:val="21"/>
                <w:szCs w:val="21"/>
                <w:highlight w:val="none"/>
              </w:rPr>
              <w:t>供应商的企业责任保险保额达到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000万的得3分，</w:t>
            </w:r>
            <w:r>
              <w:rPr>
                <w:rFonts w:hint="eastAsia" w:ascii="仿宋" w:hAnsi="仿宋" w:eastAsia="仿宋" w:cs="仿宋"/>
                <w:color w:val="auto"/>
                <w:sz w:val="21"/>
                <w:szCs w:val="21"/>
                <w:highlight w:val="none"/>
                <w:lang w:val="en-US" w:eastAsia="zh-CN"/>
              </w:rPr>
              <w:t>达到</w:t>
            </w:r>
            <w:r>
              <w:rPr>
                <w:rFonts w:hint="eastAsia" w:ascii="仿宋" w:hAnsi="仿宋" w:eastAsia="仿宋" w:cs="仿宋"/>
                <w:color w:val="auto"/>
                <w:sz w:val="21"/>
                <w:szCs w:val="21"/>
                <w:highlight w:val="none"/>
              </w:rPr>
              <w:t>1000万的得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1000万</w:t>
            </w:r>
            <w:r>
              <w:rPr>
                <w:rFonts w:hint="eastAsia" w:ascii="仿宋" w:hAnsi="仿宋" w:eastAsia="仿宋" w:cs="仿宋"/>
                <w:color w:val="auto"/>
                <w:sz w:val="21"/>
                <w:szCs w:val="21"/>
                <w:highlight w:val="none"/>
              </w:rPr>
              <w:t>以下的不得分（提供保单复印件加盖公章）；</w:t>
            </w:r>
          </w:p>
        </w:tc>
        <w:tc>
          <w:tcPr>
            <w:tcW w:w="834" w:type="dxa"/>
            <w:shd w:val="clear" w:color="auto" w:fill="auto"/>
            <w:vAlign w:val="center"/>
          </w:tcPr>
          <w:p w14:paraId="1BE2EB2D">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c>
          <w:tcPr>
            <w:tcW w:w="1089" w:type="dxa"/>
            <w:shd w:val="clear" w:color="auto" w:fill="auto"/>
            <w:vAlign w:val="center"/>
          </w:tcPr>
          <w:p w14:paraId="31CC2C9E">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47ABF498">
            <w:pPr>
              <w:wordWrap w:val="0"/>
              <w:snapToGrid w:val="0"/>
              <w:spacing w:beforeLines="0" w:afterLines="0" w:line="360" w:lineRule="auto"/>
              <w:rPr>
                <w:rFonts w:ascii="仿宋" w:hAnsi="仿宋" w:eastAsia="仿宋" w:cs="仿宋"/>
                <w:color w:val="auto"/>
                <w:sz w:val="21"/>
                <w:szCs w:val="21"/>
                <w:highlight w:val="none"/>
              </w:rPr>
            </w:pPr>
          </w:p>
        </w:tc>
      </w:tr>
      <w:tr w14:paraId="49E2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61E8427A">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4317" w:type="dxa"/>
            <w:shd w:val="clear" w:color="auto" w:fill="auto"/>
            <w:vAlign w:val="center"/>
          </w:tcPr>
          <w:p w14:paraId="378FE096">
            <w:pPr>
              <w:widowControl/>
              <w:snapToGrid w:val="0"/>
              <w:spacing w:beforeLines="0" w:afterLines="0" w:line="360" w:lineRule="auto"/>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rPr>
              <w:t>管理规章制度情况：针对本项目拟设立的各项管理规章制度</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各项公众制度</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岗位责任制度</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管理运作制度</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考核管理制度及标准等</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项目服务满意度回访制度</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以上5项方案</w:t>
            </w:r>
            <w:r>
              <w:rPr>
                <w:rFonts w:hint="eastAsia" w:ascii="仿宋" w:hAnsi="仿宋" w:eastAsia="仿宋" w:cs="仿宋"/>
                <w:color w:val="auto"/>
                <w:sz w:val="21"/>
                <w:szCs w:val="21"/>
                <w:highlight w:val="none"/>
                <w:lang w:val="en-US" w:eastAsia="zh-CN"/>
              </w:rPr>
              <w:t>每项</w:t>
            </w:r>
            <w:r>
              <w:rPr>
                <w:rFonts w:hint="eastAsia" w:ascii="仿宋" w:hAnsi="仿宋" w:eastAsia="仿宋" w:cs="仿宋"/>
                <w:color w:val="auto"/>
                <w:sz w:val="21"/>
                <w:szCs w:val="21"/>
                <w:highlight w:val="none"/>
                <w:lang w:val="en-US"/>
              </w:rPr>
              <w:t>是否符合</w:t>
            </w:r>
            <w:r>
              <w:rPr>
                <w:rFonts w:hint="eastAsia" w:ascii="仿宋" w:hAnsi="仿宋" w:eastAsia="仿宋" w:cs="仿宋"/>
                <w:color w:val="auto"/>
                <w:sz w:val="21"/>
                <w:szCs w:val="21"/>
                <w:highlight w:val="none"/>
                <w:lang w:val="en-US" w:eastAsia="zh-CN"/>
              </w:rPr>
              <w:t>采购需求</w:t>
            </w:r>
            <w:r>
              <w:rPr>
                <w:rFonts w:hint="eastAsia" w:ascii="仿宋" w:hAnsi="仿宋" w:eastAsia="仿宋" w:cs="仿宋"/>
                <w:color w:val="auto"/>
                <w:sz w:val="21"/>
                <w:szCs w:val="21"/>
                <w:highlight w:val="none"/>
                <w:lang w:val="en-US"/>
              </w:rPr>
              <w:t>、完善、全面、</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lang w:val="en-US"/>
              </w:rPr>
              <w:t>针对</w:t>
            </w:r>
            <w:r>
              <w:rPr>
                <w:rFonts w:hint="eastAsia" w:ascii="仿宋" w:hAnsi="仿宋" w:eastAsia="仿宋" w:cs="仿宋"/>
                <w:color w:val="auto"/>
                <w:sz w:val="21"/>
                <w:szCs w:val="21"/>
                <w:highlight w:val="none"/>
                <w:lang w:val="en-US" w:eastAsia="zh-CN"/>
              </w:rPr>
              <w:t>性且</w:t>
            </w:r>
            <w:r>
              <w:rPr>
                <w:rFonts w:hint="eastAsia" w:ascii="仿宋" w:hAnsi="仿宋" w:eastAsia="仿宋" w:cs="仿宋"/>
                <w:color w:val="auto"/>
                <w:sz w:val="21"/>
                <w:szCs w:val="21"/>
                <w:highlight w:val="none"/>
                <w:lang w:val="en-US"/>
              </w:rPr>
              <w:t>可行分别进行评分，</w:t>
            </w:r>
            <w:r>
              <w:rPr>
                <w:rFonts w:hint="eastAsia" w:ascii="仿宋" w:hAnsi="仿宋" w:eastAsia="仿宋" w:cs="仿宋"/>
                <w:color w:val="auto"/>
                <w:sz w:val="21"/>
                <w:szCs w:val="21"/>
                <w:highlight w:val="none"/>
                <w:lang w:val="en-US" w:eastAsia="zh-CN"/>
              </w:rPr>
              <w:t>每项</w:t>
            </w:r>
            <w:r>
              <w:rPr>
                <w:rFonts w:hint="eastAsia" w:ascii="仿宋" w:hAnsi="仿宋" w:eastAsia="仿宋" w:cs="仿宋"/>
                <w:color w:val="auto"/>
                <w:sz w:val="21"/>
                <w:szCs w:val="21"/>
                <w:highlight w:val="none"/>
                <w:lang w:val="en-US" w:eastAsia="zh-CN"/>
              </w:rPr>
              <w:t>（评分范围2、1、0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834" w:type="dxa"/>
            <w:shd w:val="clear" w:color="auto" w:fill="auto"/>
            <w:vAlign w:val="center"/>
          </w:tcPr>
          <w:p w14:paraId="7655C488">
            <w:pPr>
              <w:wordWrap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10</w:t>
            </w:r>
          </w:p>
        </w:tc>
        <w:tc>
          <w:tcPr>
            <w:tcW w:w="1089" w:type="dxa"/>
            <w:shd w:val="clear" w:color="auto" w:fill="auto"/>
            <w:vAlign w:val="center"/>
          </w:tcPr>
          <w:p w14:paraId="6D645D4B">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2D538FBF">
            <w:pPr>
              <w:wordWrap w:val="0"/>
              <w:snapToGrid w:val="0"/>
              <w:spacing w:beforeLines="0" w:afterLines="0" w:line="360" w:lineRule="auto"/>
              <w:rPr>
                <w:rFonts w:ascii="仿宋" w:hAnsi="仿宋" w:eastAsia="仿宋" w:cs="仿宋"/>
                <w:color w:val="auto"/>
                <w:sz w:val="21"/>
                <w:szCs w:val="21"/>
                <w:highlight w:val="none"/>
              </w:rPr>
            </w:pPr>
          </w:p>
        </w:tc>
      </w:tr>
      <w:tr w14:paraId="21B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5" w:type="dxa"/>
            <w:vMerge w:val="restart"/>
            <w:vAlign w:val="center"/>
          </w:tcPr>
          <w:p w14:paraId="427040BA">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14</w:t>
            </w:r>
          </w:p>
        </w:tc>
        <w:tc>
          <w:tcPr>
            <w:tcW w:w="4317" w:type="dxa"/>
            <w:vAlign w:val="center"/>
          </w:tcPr>
          <w:p w14:paraId="11D02239">
            <w:pPr>
              <w:pStyle w:val="80"/>
              <w:ind w:left="0" w:leftChars="0"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项目负责人：</w:t>
            </w:r>
          </w:p>
          <w:p w14:paraId="25FE99D6">
            <w:pPr>
              <w:pStyle w:val="80"/>
              <w:ind w:left="0" w:leftChars="0"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①具有与本项目相关专业背景和专业技术能力得2分（提供相关资质证书，本单位近3个月任意一个月社保缴纳证明），没有的不得分。</w:t>
            </w:r>
          </w:p>
          <w:p w14:paraId="19AF7ADB">
            <w:pPr>
              <w:pStyle w:val="80"/>
              <w:ind w:left="0" w:leftChars="0" w:firstLine="0" w:firstLineChars="0"/>
              <w:rPr>
                <w:rFonts w:hint="eastAsia" w:eastAsia="仿宋"/>
                <w:b w:val="0"/>
                <w:bCs w:val="0"/>
                <w:color w:val="auto"/>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②具有类似项目实施经验，提供业绩证明资料，有类似项目业绩的得2分，没有得不得分。</w:t>
            </w:r>
          </w:p>
        </w:tc>
        <w:tc>
          <w:tcPr>
            <w:tcW w:w="834" w:type="dxa"/>
            <w:vAlign w:val="center"/>
          </w:tcPr>
          <w:p w14:paraId="2AF47D54">
            <w:pPr>
              <w:wordWrap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089" w:type="dxa"/>
            <w:vAlign w:val="center"/>
          </w:tcPr>
          <w:p w14:paraId="0DD55E1C">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26603DAE">
            <w:pPr>
              <w:wordWrap w:val="0"/>
              <w:snapToGrid w:val="0"/>
              <w:spacing w:beforeLines="0" w:afterLines="0" w:line="360" w:lineRule="auto"/>
              <w:rPr>
                <w:rFonts w:ascii="仿宋" w:hAnsi="仿宋" w:eastAsia="仿宋" w:cs="仿宋"/>
                <w:color w:val="auto"/>
                <w:sz w:val="21"/>
                <w:szCs w:val="21"/>
                <w:highlight w:val="none"/>
              </w:rPr>
            </w:pPr>
          </w:p>
        </w:tc>
      </w:tr>
      <w:tr w14:paraId="4479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955" w:type="dxa"/>
            <w:vMerge w:val="continue"/>
            <w:vAlign w:val="center"/>
          </w:tcPr>
          <w:p w14:paraId="53A2EA6D">
            <w:pPr>
              <w:wordWrap w:val="0"/>
              <w:autoSpaceDE w:val="0"/>
              <w:autoSpaceDN w:val="0"/>
              <w:snapToGrid w:val="0"/>
              <w:spacing w:beforeLines="0" w:afterLines="0" w:line="360" w:lineRule="auto"/>
              <w:jc w:val="center"/>
              <w:rPr>
                <w:rFonts w:hint="eastAsia" w:ascii="仿宋" w:hAnsi="仿宋" w:eastAsia="仿宋" w:cs="仿宋"/>
                <w:b/>
                <w:bCs/>
                <w:color w:val="auto"/>
                <w:kern w:val="0"/>
                <w:sz w:val="21"/>
                <w:szCs w:val="21"/>
                <w:highlight w:val="none"/>
                <w:lang w:val="en-US" w:eastAsia="zh-CN"/>
              </w:rPr>
            </w:pPr>
          </w:p>
        </w:tc>
        <w:tc>
          <w:tcPr>
            <w:tcW w:w="4317" w:type="dxa"/>
            <w:vAlign w:val="center"/>
          </w:tcPr>
          <w:p w14:paraId="606C004D">
            <w:pPr>
              <w:wordWrap w:val="0"/>
              <w:snapToGrid w:val="0"/>
              <w:spacing w:beforeLines="0" w:afterLines="0" w:line="360" w:lineRule="auto"/>
              <w:rPr>
                <w:rFonts w:hint="eastAsia" w:eastAsia="仿宋"/>
                <w:b w:val="0"/>
                <w:bCs w:val="0"/>
                <w:color w:val="auto"/>
                <w:highlight w:val="none"/>
                <w:lang w:val="en-US" w:eastAsia="zh-CN"/>
              </w:rPr>
            </w:pPr>
            <w:r>
              <w:rPr>
                <w:rFonts w:hint="eastAsia" w:ascii="仿宋" w:hAnsi="仿宋" w:eastAsia="仿宋" w:cs="仿宋"/>
                <w:b w:val="0"/>
                <w:bCs w:val="0"/>
                <w:color w:val="auto"/>
                <w:szCs w:val="21"/>
                <w:highlight w:val="none"/>
                <w:lang w:val="en-US" w:eastAsia="zh-CN"/>
              </w:rPr>
              <w:t>①</w:t>
            </w:r>
            <w:r>
              <w:rPr>
                <w:rFonts w:hint="eastAsia" w:ascii="仿宋" w:hAnsi="仿宋" w:eastAsia="仿宋" w:cs="仿宋"/>
                <w:b w:val="0"/>
                <w:bCs w:val="0"/>
                <w:color w:val="auto"/>
                <w:szCs w:val="21"/>
                <w:highlight w:val="none"/>
              </w:rPr>
              <w:t>保障团队：</w:t>
            </w:r>
            <w:r>
              <w:rPr>
                <w:rFonts w:hint="eastAsia" w:ascii="仿宋" w:hAnsi="仿宋" w:eastAsia="仿宋" w:cs="仿宋"/>
                <w:b w:val="0"/>
                <w:bCs w:val="0"/>
                <w:color w:val="auto"/>
                <w:szCs w:val="21"/>
                <w:highlight w:val="none"/>
                <w:lang w:val="en-US" w:eastAsia="zh-CN"/>
              </w:rPr>
              <w:t>具备</w:t>
            </w:r>
            <w:r>
              <w:rPr>
                <w:rFonts w:hint="eastAsia" w:ascii="仿宋" w:hAnsi="仿宋" w:eastAsia="仿宋" w:cs="仿宋"/>
                <w:b w:val="0"/>
                <w:bCs w:val="0"/>
                <w:color w:val="auto"/>
                <w:szCs w:val="21"/>
                <w:highlight w:val="none"/>
              </w:rPr>
              <w:t>医师、护士、护理相关专业背景和专业技术能力、及从事类似项目经验年限等情况（</w:t>
            </w:r>
            <w:r>
              <w:rPr>
                <w:rFonts w:hint="eastAsia" w:ascii="仿宋" w:hAnsi="仿宋" w:eastAsia="仿宋" w:cs="仿宋"/>
                <w:b w:val="0"/>
                <w:bCs w:val="0"/>
                <w:color w:val="auto"/>
                <w:szCs w:val="21"/>
                <w:highlight w:val="none"/>
                <w:lang w:val="en-US" w:eastAsia="zh-CN"/>
              </w:rPr>
              <w:t>提供有效的医师、护士职业证书及与正规医疗机构签订的活动医疗保障协议），其中5人及以上得4分，3-4人得2分，3人以下得1分，没有不得分。</w:t>
            </w:r>
          </w:p>
        </w:tc>
        <w:tc>
          <w:tcPr>
            <w:tcW w:w="834" w:type="dxa"/>
            <w:vAlign w:val="center"/>
          </w:tcPr>
          <w:p w14:paraId="1CA2EF5C">
            <w:pPr>
              <w:wordWrap w:val="0"/>
              <w:snapToGrid w:val="0"/>
              <w:spacing w:beforeLines="0" w:afterLines="0" w:line="360" w:lineRule="auto"/>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1089" w:type="dxa"/>
            <w:vAlign w:val="center"/>
          </w:tcPr>
          <w:p w14:paraId="10D6F144">
            <w:pPr>
              <w:wordWrap w:val="0"/>
              <w:snapToGrid w:val="0"/>
              <w:spacing w:beforeLines="0" w:afterLines="0" w:line="360" w:lineRule="auto"/>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客观分</w:t>
            </w:r>
          </w:p>
        </w:tc>
        <w:tc>
          <w:tcPr>
            <w:tcW w:w="1611" w:type="dxa"/>
            <w:vAlign w:val="center"/>
          </w:tcPr>
          <w:p w14:paraId="2D5CB2D9">
            <w:pPr>
              <w:wordWrap w:val="0"/>
              <w:snapToGrid w:val="0"/>
              <w:spacing w:beforeLines="0" w:afterLines="0" w:line="360" w:lineRule="auto"/>
              <w:rPr>
                <w:rFonts w:ascii="仿宋" w:hAnsi="仿宋" w:eastAsia="仿宋" w:cs="仿宋"/>
                <w:b w:val="0"/>
                <w:bCs w:val="0"/>
                <w:color w:val="auto"/>
                <w:sz w:val="21"/>
                <w:szCs w:val="21"/>
                <w:highlight w:val="none"/>
              </w:rPr>
            </w:pPr>
          </w:p>
        </w:tc>
      </w:tr>
      <w:tr w14:paraId="761F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955" w:type="dxa"/>
            <w:vMerge w:val="continue"/>
            <w:vAlign w:val="center"/>
          </w:tcPr>
          <w:p w14:paraId="1B1EEF32">
            <w:pPr>
              <w:wordWrap w:val="0"/>
              <w:autoSpaceDE w:val="0"/>
              <w:autoSpaceDN w:val="0"/>
              <w:snapToGrid w:val="0"/>
              <w:spacing w:beforeLines="0" w:afterLines="0" w:line="360" w:lineRule="auto"/>
              <w:jc w:val="center"/>
              <w:rPr>
                <w:rFonts w:hint="eastAsia" w:ascii="仿宋" w:hAnsi="仿宋" w:eastAsia="仿宋" w:cs="仿宋"/>
                <w:b/>
                <w:bCs/>
                <w:color w:val="auto"/>
                <w:kern w:val="0"/>
                <w:sz w:val="21"/>
                <w:szCs w:val="21"/>
                <w:highlight w:val="none"/>
                <w:lang w:val="en-US" w:eastAsia="zh-CN"/>
              </w:rPr>
            </w:pPr>
          </w:p>
        </w:tc>
        <w:tc>
          <w:tcPr>
            <w:tcW w:w="4317" w:type="dxa"/>
            <w:vAlign w:val="center"/>
          </w:tcPr>
          <w:p w14:paraId="1BEC1912">
            <w:pPr>
              <w:wordWrap w:val="0"/>
              <w:snapToGrid w:val="0"/>
              <w:spacing w:beforeLines="0" w:afterLines="0" w:line="360" w:lineRule="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②团队其他成员：有其他与提供活动项目相关专业背景和专业技术能力、及从事类似项目经验等情况（提供相关资质证书、本单位近3个月任意一个月社保缴纳证明或劳动合同）</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评分范围4、3、2、1、0</w:t>
            </w: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eastAsia="zh-CN"/>
              </w:rPr>
              <w:t>）</w:t>
            </w:r>
          </w:p>
        </w:tc>
        <w:tc>
          <w:tcPr>
            <w:tcW w:w="834" w:type="dxa"/>
            <w:vAlign w:val="center"/>
          </w:tcPr>
          <w:p w14:paraId="37EB70A4">
            <w:pPr>
              <w:wordWrap w:val="0"/>
              <w:snapToGrid w:val="0"/>
              <w:spacing w:beforeLines="0" w:afterLines="0" w:line="360" w:lineRule="auto"/>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1089" w:type="dxa"/>
            <w:vAlign w:val="center"/>
          </w:tcPr>
          <w:p w14:paraId="33C81BCA">
            <w:pPr>
              <w:wordWrap w:val="0"/>
              <w:snapToGrid w:val="0"/>
              <w:spacing w:beforeLines="0" w:afterLines="0" w:line="36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主观分</w:t>
            </w:r>
          </w:p>
        </w:tc>
        <w:tc>
          <w:tcPr>
            <w:tcW w:w="1611" w:type="dxa"/>
            <w:vAlign w:val="center"/>
          </w:tcPr>
          <w:p w14:paraId="42B2A7A9">
            <w:pPr>
              <w:wordWrap w:val="0"/>
              <w:snapToGrid w:val="0"/>
              <w:spacing w:beforeLines="0" w:afterLines="0" w:line="360" w:lineRule="auto"/>
              <w:rPr>
                <w:rFonts w:ascii="仿宋" w:hAnsi="仿宋" w:eastAsia="仿宋" w:cs="仿宋"/>
                <w:b w:val="0"/>
                <w:bCs w:val="0"/>
                <w:color w:val="auto"/>
                <w:sz w:val="21"/>
                <w:szCs w:val="21"/>
                <w:highlight w:val="none"/>
              </w:rPr>
            </w:pPr>
          </w:p>
        </w:tc>
      </w:tr>
      <w:tr w14:paraId="6587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55" w:type="dxa"/>
            <w:vAlign w:val="center"/>
          </w:tcPr>
          <w:p w14:paraId="46C06BCD">
            <w:pPr>
              <w:wordWrap w:val="0"/>
              <w:autoSpaceDE w:val="0"/>
              <w:autoSpaceDN w:val="0"/>
              <w:snapToGrid w:val="0"/>
              <w:spacing w:beforeLines="0" w:afterLines="0" w:line="360" w:lineRule="auto"/>
              <w:jc w:val="center"/>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15</w:t>
            </w:r>
          </w:p>
        </w:tc>
        <w:tc>
          <w:tcPr>
            <w:tcW w:w="7851" w:type="dxa"/>
            <w:gridSpan w:val="4"/>
            <w:shd w:val="clear" w:color="auto" w:fill="auto"/>
            <w:vAlign w:val="center"/>
          </w:tcPr>
          <w:p w14:paraId="7145D9F9">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根据相关政策要求，本项目采用统一定价标准，130元/人次，价格不列为评审因素。</w:t>
            </w:r>
          </w:p>
        </w:tc>
      </w:tr>
    </w:tbl>
    <w:p w14:paraId="14ED1EE2">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color w:val="auto"/>
          <w:sz w:val="21"/>
          <w:szCs w:val="21"/>
          <w:highlight w:val="none"/>
          <w:lang w:val="en-US" w:eastAsia="zh-CN"/>
        </w:rPr>
      </w:pPr>
    </w:p>
    <w:p w14:paraId="665C3E50">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rPr>
          <w:rFonts w:hint="eastAsia" w:ascii="仿宋" w:hAnsi="仿宋" w:eastAsia="仿宋" w:cs="仿宋"/>
          <w:b/>
          <w:bCs/>
          <w:color w:val="auto"/>
          <w:sz w:val="24"/>
          <w:szCs w:val="24"/>
          <w:highlight w:val="none"/>
          <w:lang w:val="en-US" w:eastAsia="zh-CN"/>
        </w:rPr>
        <w:sectPr>
          <w:pgSz w:w="11905" w:h="16838"/>
          <w:pgMar w:top="652" w:right="1417" w:bottom="680" w:left="1417" w:header="539" w:footer="425" w:gutter="0"/>
          <w:pgNumType w:fmt="decimal"/>
          <w:cols w:space="0" w:num="1"/>
          <w:titlePg/>
        </w:sectPr>
      </w:pPr>
    </w:p>
    <w:p w14:paraId="153DCD3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标项二</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5802"/>
        <w:gridCol w:w="497"/>
        <w:gridCol w:w="937"/>
        <w:gridCol w:w="1524"/>
      </w:tblGrid>
      <w:tr w14:paraId="5B52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80" w:type="pct"/>
            <w:tcBorders>
              <w:top w:val="single" w:color="auto" w:sz="4" w:space="0"/>
              <w:left w:val="single" w:color="auto" w:sz="4" w:space="0"/>
              <w:bottom w:val="single" w:color="auto" w:sz="4" w:space="0"/>
              <w:right w:val="single" w:color="auto" w:sz="4" w:space="0"/>
            </w:tcBorders>
            <w:vAlign w:val="center"/>
          </w:tcPr>
          <w:p w14:paraId="4D52D83C">
            <w:pPr>
              <w:spacing w:line="360" w:lineRule="auto"/>
              <w:ind w:firstLine="22"/>
              <w:jc w:val="left"/>
              <w:outlineLvl w:val="0"/>
              <w:rPr>
                <w:rFonts w:hint="eastAsia" w:ascii="仿宋" w:hAnsi="仿宋" w:eastAsia="仿宋" w:cs="仿宋"/>
                <w:bCs/>
                <w:color w:val="auto"/>
                <w:sz w:val="21"/>
                <w:szCs w:val="21"/>
                <w:highlight w:val="none"/>
              </w:rPr>
            </w:pPr>
            <w:bookmarkStart w:id="432" w:name="_Toc16230"/>
            <w:r>
              <w:rPr>
                <w:rFonts w:hint="eastAsia" w:ascii="仿宋" w:hAnsi="仿宋" w:eastAsia="仿宋" w:cs="仿宋"/>
                <w:bCs/>
                <w:color w:val="auto"/>
                <w:sz w:val="21"/>
                <w:szCs w:val="21"/>
                <w:highlight w:val="none"/>
              </w:rPr>
              <w:t>序号</w:t>
            </w:r>
            <w:bookmarkEnd w:id="432"/>
          </w:p>
        </w:tc>
        <w:tc>
          <w:tcPr>
            <w:tcW w:w="3126" w:type="pct"/>
            <w:tcBorders>
              <w:top w:val="single" w:color="auto" w:sz="4" w:space="0"/>
              <w:left w:val="single" w:color="auto" w:sz="4" w:space="0"/>
              <w:bottom w:val="single" w:color="auto" w:sz="4" w:space="0"/>
              <w:right w:val="single" w:color="auto" w:sz="4" w:space="0"/>
            </w:tcBorders>
            <w:vAlign w:val="center"/>
          </w:tcPr>
          <w:p w14:paraId="7E3E5E9E">
            <w:pPr>
              <w:spacing w:line="360" w:lineRule="auto"/>
              <w:ind w:firstLine="1365" w:firstLineChars="650"/>
              <w:jc w:val="left"/>
              <w:outlineLvl w:val="0"/>
              <w:rPr>
                <w:rFonts w:hint="eastAsia" w:ascii="仿宋" w:hAnsi="仿宋" w:eastAsia="仿宋" w:cs="仿宋"/>
                <w:bCs/>
                <w:color w:val="auto"/>
                <w:sz w:val="21"/>
                <w:szCs w:val="21"/>
                <w:highlight w:val="none"/>
              </w:rPr>
            </w:pPr>
            <w:bookmarkStart w:id="433" w:name="_Toc1600"/>
            <w:r>
              <w:rPr>
                <w:rFonts w:hint="eastAsia" w:ascii="仿宋" w:hAnsi="仿宋" w:eastAsia="仿宋" w:cs="仿宋"/>
                <w:bCs/>
                <w:color w:val="auto"/>
                <w:sz w:val="21"/>
                <w:szCs w:val="21"/>
                <w:highlight w:val="none"/>
              </w:rPr>
              <w:t>评标标准</w:t>
            </w:r>
            <w:bookmarkEnd w:id="433"/>
          </w:p>
        </w:tc>
        <w:tc>
          <w:tcPr>
            <w:tcW w:w="268" w:type="pct"/>
            <w:tcBorders>
              <w:top w:val="single" w:color="auto" w:sz="4" w:space="0"/>
              <w:left w:val="single" w:color="auto" w:sz="4" w:space="0"/>
              <w:bottom w:val="single" w:color="auto" w:sz="4" w:space="0"/>
              <w:right w:val="single" w:color="auto" w:sz="4" w:space="0"/>
            </w:tcBorders>
            <w:vAlign w:val="center"/>
          </w:tcPr>
          <w:p w14:paraId="39C0D806">
            <w:pPr>
              <w:spacing w:line="360" w:lineRule="auto"/>
              <w:ind w:firstLine="22"/>
              <w:jc w:val="center"/>
              <w:outlineLvl w:val="0"/>
              <w:rPr>
                <w:rFonts w:hint="eastAsia" w:ascii="仿宋" w:hAnsi="仿宋" w:eastAsia="仿宋" w:cs="仿宋"/>
                <w:bCs/>
                <w:color w:val="auto"/>
                <w:sz w:val="21"/>
                <w:szCs w:val="21"/>
                <w:highlight w:val="none"/>
              </w:rPr>
            </w:pPr>
            <w:bookmarkStart w:id="434" w:name="_Toc2338"/>
            <w:r>
              <w:rPr>
                <w:rFonts w:hint="eastAsia" w:ascii="仿宋" w:hAnsi="仿宋" w:eastAsia="仿宋" w:cs="仿宋"/>
                <w:bCs/>
                <w:color w:val="auto"/>
                <w:sz w:val="21"/>
                <w:szCs w:val="21"/>
                <w:highlight w:val="none"/>
              </w:rPr>
              <w:t>权重</w:t>
            </w:r>
            <w:bookmarkEnd w:id="434"/>
          </w:p>
        </w:tc>
        <w:tc>
          <w:tcPr>
            <w:tcW w:w="505" w:type="pct"/>
            <w:tcBorders>
              <w:top w:val="single" w:color="auto" w:sz="4" w:space="0"/>
              <w:left w:val="single" w:color="auto" w:sz="4" w:space="0"/>
              <w:bottom w:val="single" w:color="auto" w:sz="4" w:space="0"/>
              <w:right w:val="single" w:color="auto" w:sz="4" w:space="0"/>
            </w:tcBorders>
            <w:vAlign w:val="center"/>
          </w:tcPr>
          <w:p w14:paraId="362C2523">
            <w:pPr>
              <w:spacing w:line="360" w:lineRule="auto"/>
              <w:ind w:firstLine="22"/>
              <w:jc w:val="center"/>
              <w:outlineLvl w:val="0"/>
              <w:rPr>
                <w:rFonts w:hint="eastAsia" w:ascii="仿宋" w:hAnsi="仿宋" w:eastAsia="仿宋" w:cs="仿宋"/>
                <w:bCs/>
                <w:color w:val="auto"/>
                <w:sz w:val="21"/>
                <w:szCs w:val="21"/>
                <w:highlight w:val="none"/>
              </w:rPr>
            </w:pPr>
            <w:bookmarkStart w:id="435" w:name="_Toc31640"/>
            <w:r>
              <w:rPr>
                <w:rFonts w:hint="eastAsia" w:ascii="仿宋" w:hAnsi="仿宋" w:eastAsia="仿宋" w:cs="仿宋"/>
                <w:bCs/>
                <w:color w:val="auto"/>
                <w:sz w:val="21"/>
                <w:szCs w:val="21"/>
                <w:highlight w:val="none"/>
              </w:rPr>
              <w:t>主观分/客观分属性</w:t>
            </w:r>
          </w:p>
        </w:tc>
        <w:tc>
          <w:tcPr>
            <w:tcW w:w="819" w:type="pct"/>
            <w:tcBorders>
              <w:top w:val="single" w:color="auto" w:sz="4" w:space="0"/>
              <w:left w:val="single" w:color="auto" w:sz="4" w:space="0"/>
              <w:bottom w:val="single" w:color="auto" w:sz="4" w:space="0"/>
              <w:right w:val="single" w:color="auto" w:sz="4" w:space="0"/>
            </w:tcBorders>
            <w:vAlign w:val="center"/>
          </w:tcPr>
          <w:p w14:paraId="56998A14">
            <w:pPr>
              <w:spacing w:line="360" w:lineRule="auto"/>
              <w:ind w:firstLine="22"/>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r>
              <w:rPr>
                <w:rFonts w:hint="eastAsia" w:ascii="仿宋" w:hAnsi="仿宋" w:eastAsia="仿宋" w:cs="仿宋"/>
                <w:color w:val="auto"/>
                <w:sz w:val="21"/>
                <w:szCs w:val="21"/>
                <w:highlight w:val="none"/>
                <w:shd w:val="clear" w:color="auto" w:fill="FFFFFF"/>
              </w:rPr>
              <w:t> *</w:t>
            </w:r>
            <w:bookmarkEnd w:id="435"/>
          </w:p>
        </w:tc>
      </w:tr>
      <w:tr w14:paraId="6869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80" w:type="pct"/>
            <w:tcBorders>
              <w:top w:val="single" w:color="auto" w:sz="4" w:space="0"/>
              <w:left w:val="single" w:color="auto" w:sz="4" w:space="0"/>
              <w:bottom w:val="single" w:color="auto" w:sz="4" w:space="0"/>
              <w:right w:val="single" w:color="auto" w:sz="4" w:space="0"/>
            </w:tcBorders>
            <w:vAlign w:val="center"/>
          </w:tcPr>
          <w:p w14:paraId="19CE489A">
            <w:pPr>
              <w:spacing w:line="360" w:lineRule="auto"/>
              <w:ind w:firstLine="22"/>
              <w:jc w:val="center"/>
              <w:outlineLvl w:val="0"/>
              <w:rPr>
                <w:rFonts w:hint="eastAsia" w:ascii="仿宋" w:hAnsi="仿宋" w:eastAsia="仿宋" w:cs="仿宋"/>
                <w:color w:val="auto"/>
                <w:sz w:val="21"/>
                <w:szCs w:val="21"/>
                <w:highlight w:val="none"/>
              </w:rPr>
            </w:pPr>
            <w:bookmarkStart w:id="436" w:name="_Toc28309"/>
            <w:r>
              <w:rPr>
                <w:rFonts w:hint="eastAsia" w:ascii="仿宋" w:hAnsi="仿宋" w:eastAsia="仿宋" w:cs="仿宋"/>
                <w:color w:val="auto"/>
                <w:sz w:val="21"/>
                <w:szCs w:val="21"/>
                <w:highlight w:val="none"/>
              </w:rPr>
              <w:t>1</w:t>
            </w:r>
            <w:bookmarkEnd w:id="436"/>
          </w:p>
        </w:tc>
        <w:tc>
          <w:tcPr>
            <w:tcW w:w="3126" w:type="pct"/>
            <w:tcBorders>
              <w:top w:val="single" w:color="auto" w:sz="4" w:space="0"/>
              <w:left w:val="single" w:color="auto" w:sz="4" w:space="0"/>
              <w:bottom w:val="single" w:color="auto" w:sz="4" w:space="0"/>
              <w:right w:val="single" w:color="auto" w:sz="4" w:space="0"/>
            </w:tcBorders>
            <w:vAlign w:val="center"/>
          </w:tcPr>
          <w:p w14:paraId="19C40CCC">
            <w:pPr>
              <w:spacing w:line="360" w:lineRule="auto"/>
              <w:ind w:firstLine="22"/>
              <w:jc w:val="left"/>
              <w:outlineLvl w:val="0"/>
              <w:rPr>
                <w:rFonts w:hint="eastAsia" w:ascii="仿宋" w:hAnsi="仿宋" w:eastAsia="仿宋" w:cs="仿宋"/>
                <w:color w:val="auto"/>
                <w:sz w:val="21"/>
                <w:szCs w:val="21"/>
                <w:highlight w:val="none"/>
              </w:rPr>
            </w:pPr>
            <w:bookmarkStart w:id="437" w:name="_Toc17265"/>
            <w:r>
              <w:rPr>
                <w:rFonts w:hint="eastAsia" w:ascii="仿宋" w:hAnsi="仿宋" w:eastAsia="仿宋" w:cs="仿宋"/>
                <w:bCs/>
                <w:color w:val="auto"/>
                <w:sz w:val="21"/>
                <w:szCs w:val="21"/>
                <w:highlight w:val="none"/>
              </w:rPr>
              <w:t>总体策划方案：提供线路安排等一系列策划安排，线路符合招标文件要求及相关政策，策划突出文体活动（参观游览）主题，</w:t>
            </w:r>
            <w:bookmarkEnd w:id="437"/>
            <w:r>
              <w:rPr>
                <w:rFonts w:hint="eastAsia" w:ascii="仿宋" w:hAnsi="仿宋" w:eastAsia="仿宋" w:cs="仿宋"/>
                <w:bCs/>
                <w:color w:val="auto"/>
                <w:sz w:val="21"/>
                <w:szCs w:val="21"/>
                <w:highlight w:val="none"/>
              </w:rPr>
              <w:t>根据方案的完整性、针对性进行打分。（</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7、6、</w:t>
            </w:r>
            <w:r>
              <w:rPr>
                <w:rFonts w:hint="eastAsia" w:ascii="仿宋" w:hAnsi="仿宋" w:eastAsia="仿宋" w:cs="仿宋"/>
                <w:bCs/>
                <w:color w:val="auto"/>
                <w:sz w:val="21"/>
                <w:szCs w:val="21"/>
                <w:highlight w:val="none"/>
              </w:rPr>
              <w:t>5、4、3、2、1、0）</w:t>
            </w:r>
          </w:p>
        </w:tc>
        <w:tc>
          <w:tcPr>
            <w:tcW w:w="268" w:type="pct"/>
            <w:tcBorders>
              <w:top w:val="single" w:color="auto" w:sz="4" w:space="0"/>
              <w:left w:val="single" w:color="auto" w:sz="4" w:space="0"/>
              <w:bottom w:val="single" w:color="auto" w:sz="4" w:space="0"/>
              <w:right w:val="single" w:color="auto" w:sz="4" w:space="0"/>
            </w:tcBorders>
            <w:vAlign w:val="center"/>
          </w:tcPr>
          <w:p w14:paraId="112BA137">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c>
          <w:tcPr>
            <w:tcW w:w="505" w:type="pct"/>
            <w:tcBorders>
              <w:top w:val="single" w:color="auto" w:sz="4" w:space="0"/>
              <w:left w:val="single" w:color="auto" w:sz="4" w:space="0"/>
              <w:bottom w:val="single" w:color="auto" w:sz="4" w:space="0"/>
              <w:right w:val="single" w:color="auto" w:sz="4" w:space="0"/>
            </w:tcBorders>
            <w:vAlign w:val="center"/>
          </w:tcPr>
          <w:p w14:paraId="51D469CF">
            <w:pPr>
              <w:spacing w:line="360" w:lineRule="auto"/>
              <w:ind w:firstLine="22"/>
              <w:jc w:val="center"/>
              <w:outlineLvl w:val="0"/>
              <w:rPr>
                <w:rFonts w:hint="eastAsia" w:ascii="仿宋" w:hAnsi="仿宋" w:eastAsia="仿宋" w:cs="仿宋"/>
                <w:color w:val="auto"/>
                <w:sz w:val="21"/>
                <w:szCs w:val="21"/>
                <w:highlight w:val="none"/>
              </w:rPr>
            </w:pPr>
            <w:bookmarkStart w:id="438" w:name="_Toc26255"/>
            <w:r>
              <w:rPr>
                <w:rFonts w:hint="eastAsia" w:ascii="仿宋" w:hAnsi="仿宋" w:eastAsia="仿宋" w:cs="仿宋"/>
                <w:bCs/>
                <w:color w:val="auto"/>
                <w:sz w:val="21"/>
                <w:szCs w:val="21"/>
                <w:highlight w:val="none"/>
              </w:rPr>
              <w:t>主观分</w:t>
            </w:r>
          </w:p>
          <w:bookmarkEnd w:id="438"/>
        </w:tc>
        <w:tc>
          <w:tcPr>
            <w:tcW w:w="819" w:type="pct"/>
            <w:tcBorders>
              <w:top w:val="single" w:color="auto" w:sz="4" w:space="0"/>
              <w:left w:val="single" w:color="auto" w:sz="4" w:space="0"/>
              <w:bottom w:val="single" w:color="auto" w:sz="4" w:space="0"/>
              <w:right w:val="single" w:color="auto" w:sz="4" w:space="0"/>
            </w:tcBorders>
            <w:vAlign w:val="center"/>
          </w:tcPr>
          <w:p w14:paraId="5CEC1831">
            <w:pPr>
              <w:spacing w:line="360" w:lineRule="auto"/>
              <w:ind w:firstLine="22"/>
              <w:jc w:val="center"/>
              <w:outlineLvl w:val="0"/>
              <w:rPr>
                <w:rFonts w:hint="eastAsia" w:ascii="仿宋" w:hAnsi="仿宋" w:eastAsia="仿宋" w:cs="仿宋"/>
                <w:color w:val="auto"/>
                <w:sz w:val="21"/>
                <w:szCs w:val="21"/>
                <w:highlight w:val="none"/>
              </w:rPr>
            </w:pPr>
          </w:p>
        </w:tc>
      </w:tr>
      <w:tr w14:paraId="4D0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1F925F51">
            <w:pPr>
              <w:spacing w:line="360" w:lineRule="auto"/>
              <w:ind w:firstLine="22"/>
              <w:jc w:val="center"/>
              <w:outlineLvl w:val="0"/>
              <w:rPr>
                <w:rFonts w:hint="eastAsia" w:ascii="仿宋" w:hAnsi="仿宋" w:eastAsia="仿宋" w:cs="仿宋"/>
                <w:color w:val="auto"/>
                <w:sz w:val="21"/>
                <w:szCs w:val="21"/>
                <w:highlight w:val="none"/>
              </w:rPr>
            </w:pPr>
            <w:bookmarkStart w:id="439" w:name="_Toc17205"/>
            <w:r>
              <w:rPr>
                <w:rFonts w:hint="eastAsia" w:ascii="仿宋" w:hAnsi="仿宋" w:eastAsia="仿宋" w:cs="仿宋"/>
                <w:color w:val="auto"/>
                <w:sz w:val="21"/>
                <w:szCs w:val="21"/>
                <w:highlight w:val="none"/>
              </w:rPr>
              <w:t>2</w:t>
            </w:r>
            <w:bookmarkEnd w:id="439"/>
          </w:p>
        </w:tc>
        <w:tc>
          <w:tcPr>
            <w:tcW w:w="3126" w:type="pct"/>
            <w:tcBorders>
              <w:top w:val="single" w:color="auto" w:sz="4" w:space="0"/>
              <w:left w:val="single" w:color="auto" w:sz="4" w:space="0"/>
              <w:bottom w:val="single" w:color="auto" w:sz="4" w:space="0"/>
              <w:right w:val="single" w:color="auto" w:sz="4" w:space="0"/>
            </w:tcBorders>
            <w:vAlign w:val="center"/>
          </w:tcPr>
          <w:p w14:paraId="4D5F6657">
            <w:pPr>
              <w:spacing w:line="360" w:lineRule="auto"/>
              <w:ind w:firstLine="22"/>
              <w:jc w:val="left"/>
              <w:outlineLvl w:val="0"/>
              <w:rPr>
                <w:rFonts w:hint="eastAsia" w:ascii="仿宋" w:hAnsi="仿宋" w:eastAsia="仿宋" w:cs="仿宋"/>
                <w:color w:val="auto"/>
                <w:sz w:val="21"/>
                <w:szCs w:val="21"/>
                <w:highlight w:val="none"/>
              </w:rPr>
            </w:pPr>
            <w:bookmarkStart w:id="440" w:name="_Toc3394"/>
            <w:r>
              <w:rPr>
                <w:rFonts w:hint="eastAsia" w:ascii="仿宋" w:hAnsi="仿宋" w:eastAsia="仿宋" w:cs="仿宋"/>
                <w:color w:val="auto"/>
                <w:sz w:val="21"/>
                <w:szCs w:val="21"/>
                <w:highlight w:val="none"/>
              </w:rPr>
              <w:t>餐饮安排：包括饭店名称、菜品名称等内容，餐饮安排具有当地特色、菜肴搭配丰富均衡</w:t>
            </w:r>
            <w:bookmarkEnd w:id="440"/>
            <w:r>
              <w:rPr>
                <w:rFonts w:hint="eastAsia" w:ascii="仿宋" w:hAnsi="仿宋" w:eastAsia="仿宋" w:cs="仿宋"/>
                <w:color w:val="auto"/>
                <w:sz w:val="21"/>
                <w:szCs w:val="21"/>
                <w:highlight w:val="none"/>
              </w:rPr>
              <w:t>，提供具体方案，根据方案的完整性、针对性进行打分。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7、6、</w:t>
            </w:r>
            <w:r>
              <w:rPr>
                <w:rFonts w:hint="eastAsia" w:ascii="仿宋" w:hAnsi="仿宋" w:eastAsia="仿宋" w:cs="仿宋"/>
                <w:bCs/>
                <w:color w:val="auto"/>
                <w:sz w:val="21"/>
                <w:szCs w:val="21"/>
                <w:highlight w:val="none"/>
              </w:rPr>
              <w:t>5、4、3、2、1、0）</w:t>
            </w:r>
          </w:p>
        </w:tc>
        <w:tc>
          <w:tcPr>
            <w:tcW w:w="268" w:type="pct"/>
            <w:tcBorders>
              <w:top w:val="single" w:color="auto" w:sz="4" w:space="0"/>
              <w:left w:val="single" w:color="auto" w:sz="4" w:space="0"/>
              <w:bottom w:val="single" w:color="auto" w:sz="4" w:space="0"/>
              <w:right w:val="single" w:color="auto" w:sz="4" w:space="0"/>
            </w:tcBorders>
            <w:vAlign w:val="center"/>
          </w:tcPr>
          <w:p w14:paraId="5FE5EF1F">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c>
          <w:tcPr>
            <w:tcW w:w="505" w:type="pct"/>
            <w:tcBorders>
              <w:top w:val="single" w:color="auto" w:sz="4" w:space="0"/>
              <w:left w:val="single" w:color="auto" w:sz="4" w:space="0"/>
              <w:bottom w:val="single" w:color="auto" w:sz="4" w:space="0"/>
              <w:right w:val="single" w:color="auto" w:sz="4" w:space="0"/>
            </w:tcBorders>
            <w:vAlign w:val="center"/>
          </w:tcPr>
          <w:p w14:paraId="13135819">
            <w:pPr>
              <w:ind w:firstLine="22"/>
              <w:jc w:val="center"/>
              <w:rPr>
                <w:rFonts w:hint="eastAsia" w:ascii="仿宋" w:hAnsi="仿宋" w:eastAsia="仿宋" w:cs="仿宋"/>
                <w:color w:val="auto"/>
                <w:sz w:val="21"/>
                <w:szCs w:val="21"/>
                <w:highlight w:val="none"/>
              </w:rPr>
            </w:pPr>
            <w:bookmarkStart w:id="441" w:name="_Toc1867"/>
            <w:r>
              <w:rPr>
                <w:rFonts w:hint="eastAsia" w:ascii="仿宋" w:hAnsi="仿宋" w:eastAsia="仿宋" w:cs="仿宋"/>
                <w:bCs/>
                <w:color w:val="auto"/>
                <w:sz w:val="21"/>
                <w:szCs w:val="21"/>
                <w:highlight w:val="none"/>
              </w:rPr>
              <w:t>主观分</w:t>
            </w:r>
          </w:p>
          <w:bookmarkEnd w:id="441"/>
        </w:tc>
        <w:tc>
          <w:tcPr>
            <w:tcW w:w="819" w:type="pct"/>
            <w:tcBorders>
              <w:top w:val="single" w:color="auto" w:sz="4" w:space="0"/>
              <w:left w:val="single" w:color="auto" w:sz="4" w:space="0"/>
              <w:bottom w:val="single" w:color="auto" w:sz="4" w:space="0"/>
              <w:right w:val="single" w:color="auto" w:sz="4" w:space="0"/>
            </w:tcBorders>
            <w:vAlign w:val="center"/>
          </w:tcPr>
          <w:p w14:paraId="682776C5">
            <w:pPr>
              <w:spacing w:line="360" w:lineRule="auto"/>
              <w:ind w:firstLine="22"/>
              <w:jc w:val="center"/>
              <w:outlineLvl w:val="0"/>
              <w:rPr>
                <w:rFonts w:hint="eastAsia" w:ascii="仿宋" w:hAnsi="仿宋" w:eastAsia="仿宋" w:cs="仿宋"/>
                <w:color w:val="auto"/>
                <w:sz w:val="21"/>
                <w:szCs w:val="21"/>
                <w:highlight w:val="none"/>
              </w:rPr>
            </w:pPr>
          </w:p>
        </w:tc>
      </w:tr>
      <w:tr w14:paraId="0889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38F93654">
            <w:pPr>
              <w:spacing w:line="360" w:lineRule="auto"/>
              <w:ind w:firstLine="22"/>
              <w:jc w:val="center"/>
              <w:outlineLvl w:val="0"/>
              <w:rPr>
                <w:rFonts w:hint="eastAsia" w:ascii="仿宋" w:hAnsi="仿宋" w:eastAsia="仿宋" w:cs="仿宋"/>
                <w:color w:val="auto"/>
                <w:sz w:val="21"/>
                <w:szCs w:val="21"/>
                <w:highlight w:val="none"/>
              </w:rPr>
            </w:pPr>
            <w:bookmarkStart w:id="442" w:name="_Toc26642"/>
            <w:r>
              <w:rPr>
                <w:rFonts w:hint="eastAsia" w:ascii="仿宋" w:hAnsi="仿宋" w:eastAsia="仿宋" w:cs="仿宋"/>
                <w:color w:val="auto"/>
                <w:sz w:val="21"/>
                <w:szCs w:val="21"/>
                <w:highlight w:val="none"/>
              </w:rPr>
              <w:t>3</w:t>
            </w:r>
            <w:bookmarkEnd w:id="442"/>
          </w:p>
        </w:tc>
        <w:tc>
          <w:tcPr>
            <w:tcW w:w="3126" w:type="pct"/>
            <w:tcBorders>
              <w:top w:val="single" w:color="auto" w:sz="4" w:space="0"/>
              <w:left w:val="single" w:color="auto" w:sz="4" w:space="0"/>
              <w:bottom w:val="single" w:color="auto" w:sz="4" w:space="0"/>
              <w:right w:val="single" w:color="auto" w:sz="4" w:space="0"/>
            </w:tcBorders>
            <w:vAlign w:val="center"/>
          </w:tcPr>
          <w:p w14:paraId="4BA61972">
            <w:pPr>
              <w:spacing w:line="360" w:lineRule="auto"/>
              <w:ind w:firstLine="22"/>
              <w:jc w:val="left"/>
              <w:outlineLvl w:val="0"/>
              <w:rPr>
                <w:rFonts w:hint="eastAsia" w:ascii="仿宋" w:hAnsi="仿宋" w:eastAsia="仿宋" w:cs="仿宋"/>
                <w:color w:val="auto"/>
                <w:sz w:val="21"/>
                <w:szCs w:val="21"/>
                <w:highlight w:val="none"/>
              </w:rPr>
            </w:pPr>
            <w:bookmarkStart w:id="443" w:name="_Toc4805"/>
            <w:r>
              <w:rPr>
                <w:rFonts w:hint="eastAsia" w:ascii="仿宋" w:hAnsi="仿宋" w:eastAsia="仿宋" w:cs="仿宋"/>
                <w:color w:val="auto"/>
                <w:sz w:val="21"/>
                <w:szCs w:val="21"/>
                <w:highlight w:val="none"/>
              </w:rPr>
              <w:t>游览行程安排：包括具体景点设置、游览线路安排，游览行程安排符合本项目定位</w:t>
            </w:r>
            <w:bookmarkEnd w:id="443"/>
            <w:r>
              <w:rPr>
                <w:rFonts w:hint="eastAsia" w:ascii="仿宋" w:hAnsi="仿宋" w:eastAsia="仿宋" w:cs="仿宋"/>
                <w:color w:val="auto"/>
                <w:sz w:val="21"/>
                <w:szCs w:val="21"/>
                <w:highlight w:val="none"/>
              </w:rPr>
              <w:t>，提供具体方案，根据方案的完整性、针对性进行打分。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p>
        </w:tc>
        <w:tc>
          <w:tcPr>
            <w:tcW w:w="268" w:type="pct"/>
            <w:tcBorders>
              <w:top w:val="single" w:color="auto" w:sz="4" w:space="0"/>
              <w:left w:val="single" w:color="auto" w:sz="4" w:space="0"/>
              <w:bottom w:val="single" w:color="auto" w:sz="4" w:space="0"/>
              <w:right w:val="single" w:color="auto" w:sz="4" w:space="0"/>
            </w:tcBorders>
            <w:vAlign w:val="center"/>
          </w:tcPr>
          <w:p w14:paraId="3E2AF797">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11693925">
            <w:pPr>
              <w:ind w:firstLine="22"/>
              <w:jc w:val="center"/>
              <w:rPr>
                <w:rFonts w:hint="eastAsia" w:ascii="仿宋" w:hAnsi="仿宋" w:eastAsia="仿宋" w:cs="仿宋"/>
                <w:color w:val="auto"/>
                <w:sz w:val="21"/>
                <w:szCs w:val="21"/>
                <w:highlight w:val="none"/>
              </w:rPr>
            </w:pPr>
            <w:bookmarkStart w:id="444" w:name="_Toc16006"/>
            <w:r>
              <w:rPr>
                <w:rFonts w:hint="eastAsia" w:ascii="仿宋" w:hAnsi="仿宋" w:eastAsia="仿宋" w:cs="仿宋"/>
                <w:bCs/>
                <w:color w:val="auto"/>
                <w:sz w:val="21"/>
                <w:szCs w:val="21"/>
                <w:highlight w:val="none"/>
              </w:rPr>
              <w:t>主观分</w:t>
            </w:r>
          </w:p>
          <w:bookmarkEnd w:id="444"/>
        </w:tc>
        <w:tc>
          <w:tcPr>
            <w:tcW w:w="819" w:type="pct"/>
            <w:tcBorders>
              <w:top w:val="single" w:color="auto" w:sz="4" w:space="0"/>
              <w:left w:val="single" w:color="auto" w:sz="4" w:space="0"/>
              <w:bottom w:val="single" w:color="auto" w:sz="4" w:space="0"/>
              <w:right w:val="single" w:color="auto" w:sz="4" w:space="0"/>
            </w:tcBorders>
            <w:vAlign w:val="center"/>
          </w:tcPr>
          <w:p w14:paraId="0CC1F964">
            <w:pPr>
              <w:spacing w:line="360" w:lineRule="auto"/>
              <w:ind w:firstLine="22"/>
              <w:jc w:val="center"/>
              <w:outlineLvl w:val="0"/>
              <w:rPr>
                <w:rFonts w:hint="eastAsia" w:ascii="仿宋" w:hAnsi="仿宋" w:eastAsia="仿宋" w:cs="仿宋"/>
                <w:color w:val="auto"/>
                <w:sz w:val="21"/>
                <w:szCs w:val="21"/>
                <w:highlight w:val="none"/>
              </w:rPr>
            </w:pPr>
          </w:p>
        </w:tc>
      </w:tr>
      <w:tr w14:paraId="4019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109AC168">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3126" w:type="pct"/>
            <w:tcBorders>
              <w:top w:val="single" w:color="auto" w:sz="4" w:space="0"/>
              <w:left w:val="single" w:color="auto" w:sz="4" w:space="0"/>
              <w:bottom w:val="single" w:color="auto" w:sz="4" w:space="0"/>
              <w:right w:val="single" w:color="auto" w:sz="4" w:space="0"/>
            </w:tcBorders>
            <w:vAlign w:val="center"/>
          </w:tcPr>
          <w:p w14:paraId="1BFA75FF">
            <w:pPr>
              <w:spacing w:line="360" w:lineRule="auto"/>
              <w:ind w:firstLine="22"/>
              <w:jc w:val="left"/>
              <w:outlineLvl w:val="0"/>
              <w:rPr>
                <w:rFonts w:hint="eastAsia" w:ascii="仿宋" w:hAnsi="仿宋" w:eastAsia="仿宋" w:cs="仿宋"/>
                <w:color w:val="auto"/>
                <w:sz w:val="21"/>
                <w:szCs w:val="21"/>
                <w:highlight w:val="none"/>
              </w:rPr>
            </w:pPr>
            <w:bookmarkStart w:id="445" w:name="_Toc9020"/>
            <w:r>
              <w:rPr>
                <w:rFonts w:hint="eastAsia" w:ascii="仿宋" w:hAnsi="仿宋" w:eastAsia="仿宋" w:cs="仿宋"/>
                <w:color w:val="auto"/>
                <w:sz w:val="21"/>
                <w:szCs w:val="21"/>
                <w:highlight w:val="none"/>
              </w:rPr>
              <w:t>交通安排：包括所选车辆详细介绍（车型、车辆年限等），所选车辆符合项目人员出行及安全保障条件，旅游大巴车型多样化，符合不同批次出行人数需求，且车况良好为二年之内设施好的空调旅游车，提供具体方案，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r>
              <w:rPr>
                <w:rFonts w:hint="eastAsia" w:ascii="仿宋" w:hAnsi="仿宋" w:eastAsia="仿宋" w:cs="仿宋"/>
                <w:color w:val="auto"/>
                <w:sz w:val="21"/>
                <w:szCs w:val="21"/>
                <w:highlight w:val="none"/>
              </w:rPr>
              <w:t>（需提供旅游大巴车辆行驶证）</w:t>
            </w:r>
            <w:bookmarkEnd w:id="445"/>
          </w:p>
        </w:tc>
        <w:tc>
          <w:tcPr>
            <w:tcW w:w="268" w:type="pct"/>
            <w:tcBorders>
              <w:top w:val="single" w:color="auto" w:sz="4" w:space="0"/>
              <w:left w:val="single" w:color="auto" w:sz="4" w:space="0"/>
              <w:bottom w:val="single" w:color="auto" w:sz="4" w:space="0"/>
              <w:right w:val="single" w:color="auto" w:sz="4" w:space="0"/>
            </w:tcBorders>
            <w:vAlign w:val="center"/>
          </w:tcPr>
          <w:p w14:paraId="728D687D">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35EE6DBC">
            <w:pPr>
              <w:ind w:firstLine="22"/>
              <w:jc w:val="center"/>
              <w:rPr>
                <w:rFonts w:hint="eastAsia" w:ascii="仿宋" w:hAnsi="仿宋" w:eastAsia="仿宋" w:cs="仿宋"/>
                <w:color w:val="auto"/>
                <w:sz w:val="21"/>
                <w:szCs w:val="21"/>
                <w:highlight w:val="none"/>
              </w:rPr>
            </w:pPr>
            <w:bookmarkStart w:id="446" w:name="_Toc21848"/>
            <w:r>
              <w:rPr>
                <w:rFonts w:hint="eastAsia" w:ascii="仿宋" w:hAnsi="仿宋" w:eastAsia="仿宋" w:cs="仿宋"/>
                <w:bCs/>
                <w:color w:val="auto"/>
                <w:sz w:val="21"/>
                <w:szCs w:val="21"/>
                <w:highlight w:val="none"/>
              </w:rPr>
              <w:t>主观分</w:t>
            </w:r>
          </w:p>
          <w:bookmarkEnd w:id="446"/>
        </w:tc>
        <w:tc>
          <w:tcPr>
            <w:tcW w:w="819" w:type="pct"/>
            <w:tcBorders>
              <w:top w:val="single" w:color="auto" w:sz="4" w:space="0"/>
              <w:left w:val="single" w:color="auto" w:sz="4" w:space="0"/>
              <w:bottom w:val="single" w:color="auto" w:sz="4" w:space="0"/>
              <w:right w:val="single" w:color="auto" w:sz="4" w:space="0"/>
            </w:tcBorders>
            <w:vAlign w:val="center"/>
          </w:tcPr>
          <w:p w14:paraId="16F4958C">
            <w:pPr>
              <w:spacing w:line="360" w:lineRule="auto"/>
              <w:ind w:firstLine="22"/>
              <w:jc w:val="center"/>
              <w:outlineLvl w:val="0"/>
              <w:rPr>
                <w:rFonts w:hint="eastAsia" w:ascii="仿宋" w:hAnsi="仿宋" w:eastAsia="仿宋" w:cs="仿宋"/>
                <w:color w:val="auto"/>
                <w:sz w:val="21"/>
                <w:szCs w:val="21"/>
                <w:highlight w:val="none"/>
              </w:rPr>
            </w:pPr>
          </w:p>
        </w:tc>
      </w:tr>
      <w:tr w14:paraId="5DC6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0" w:type="pct"/>
            <w:tcBorders>
              <w:top w:val="single" w:color="auto" w:sz="4" w:space="0"/>
              <w:left w:val="single" w:color="auto" w:sz="4" w:space="0"/>
              <w:bottom w:val="single" w:color="auto" w:sz="4" w:space="0"/>
              <w:right w:val="single" w:color="auto" w:sz="4" w:space="0"/>
            </w:tcBorders>
            <w:vAlign w:val="center"/>
          </w:tcPr>
          <w:p w14:paraId="3C4A645A">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3126" w:type="pct"/>
            <w:tcBorders>
              <w:top w:val="single" w:color="auto" w:sz="4" w:space="0"/>
              <w:left w:val="single" w:color="auto" w:sz="4" w:space="0"/>
              <w:bottom w:val="single" w:color="auto" w:sz="4" w:space="0"/>
              <w:right w:val="single" w:color="auto" w:sz="4" w:space="0"/>
            </w:tcBorders>
            <w:vAlign w:val="center"/>
          </w:tcPr>
          <w:p w14:paraId="0CF89555">
            <w:pPr>
              <w:spacing w:line="360" w:lineRule="auto"/>
              <w:ind w:firstLine="22"/>
              <w:jc w:val="left"/>
              <w:outlineLvl w:val="0"/>
              <w:rPr>
                <w:rFonts w:hint="eastAsia" w:ascii="仿宋" w:hAnsi="仿宋" w:eastAsia="仿宋" w:cs="仿宋"/>
                <w:color w:val="auto"/>
                <w:sz w:val="21"/>
                <w:szCs w:val="21"/>
                <w:highlight w:val="none"/>
              </w:rPr>
            </w:pPr>
            <w:bookmarkStart w:id="447" w:name="_Toc1865"/>
            <w:r>
              <w:rPr>
                <w:rFonts w:hint="eastAsia" w:ascii="仿宋" w:hAnsi="仿宋" w:eastAsia="仿宋" w:cs="仿宋"/>
                <w:color w:val="auto"/>
                <w:sz w:val="21"/>
                <w:szCs w:val="21"/>
                <w:highlight w:val="none"/>
              </w:rPr>
              <w:t>工作程序和步骤、管理和协调方法：提供具体工作程序和步骤、管理和协调方法，包括整体行程策划，与采购人的沟通协调，行程前、行程中、行程后的组织</w:t>
            </w:r>
            <w:bookmarkEnd w:id="447"/>
            <w:r>
              <w:rPr>
                <w:rFonts w:hint="eastAsia" w:ascii="仿宋" w:hAnsi="仿宋" w:eastAsia="仿宋" w:cs="仿宋"/>
                <w:color w:val="auto"/>
                <w:sz w:val="21"/>
                <w:szCs w:val="21"/>
                <w:highlight w:val="none"/>
              </w:rPr>
              <w:t>方案，根据方案的完整性、针对性进行打分。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p>
        </w:tc>
        <w:tc>
          <w:tcPr>
            <w:tcW w:w="268" w:type="pct"/>
            <w:tcBorders>
              <w:top w:val="single" w:color="auto" w:sz="4" w:space="0"/>
              <w:left w:val="single" w:color="auto" w:sz="4" w:space="0"/>
              <w:bottom w:val="single" w:color="auto" w:sz="4" w:space="0"/>
              <w:right w:val="single" w:color="auto" w:sz="4" w:space="0"/>
            </w:tcBorders>
            <w:vAlign w:val="center"/>
          </w:tcPr>
          <w:p w14:paraId="3785A00B">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1C598863">
            <w:pPr>
              <w:ind w:firstLine="22"/>
              <w:jc w:val="center"/>
              <w:rPr>
                <w:rFonts w:hint="eastAsia" w:ascii="仿宋" w:hAnsi="仿宋" w:eastAsia="仿宋" w:cs="仿宋"/>
                <w:color w:val="auto"/>
                <w:sz w:val="21"/>
                <w:szCs w:val="21"/>
                <w:highlight w:val="none"/>
              </w:rPr>
            </w:pPr>
            <w:bookmarkStart w:id="448" w:name="_Toc28269"/>
            <w:r>
              <w:rPr>
                <w:rFonts w:hint="eastAsia" w:ascii="仿宋" w:hAnsi="仿宋" w:eastAsia="仿宋" w:cs="仿宋"/>
                <w:bCs/>
                <w:color w:val="auto"/>
                <w:sz w:val="21"/>
                <w:szCs w:val="21"/>
                <w:highlight w:val="none"/>
              </w:rPr>
              <w:t>主观分</w:t>
            </w:r>
          </w:p>
          <w:bookmarkEnd w:id="448"/>
        </w:tc>
        <w:tc>
          <w:tcPr>
            <w:tcW w:w="819" w:type="pct"/>
            <w:tcBorders>
              <w:top w:val="single" w:color="auto" w:sz="4" w:space="0"/>
              <w:left w:val="single" w:color="auto" w:sz="4" w:space="0"/>
              <w:bottom w:val="single" w:color="auto" w:sz="4" w:space="0"/>
              <w:right w:val="single" w:color="auto" w:sz="4" w:space="0"/>
            </w:tcBorders>
            <w:vAlign w:val="center"/>
          </w:tcPr>
          <w:p w14:paraId="31D1EEE5">
            <w:pPr>
              <w:spacing w:line="360" w:lineRule="auto"/>
              <w:ind w:firstLine="22"/>
              <w:jc w:val="center"/>
              <w:outlineLvl w:val="0"/>
              <w:rPr>
                <w:rFonts w:hint="eastAsia" w:ascii="仿宋" w:hAnsi="仿宋" w:eastAsia="仿宋" w:cs="仿宋"/>
                <w:color w:val="auto"/>
                <w:sz w:val="21"/>
                <w:szCs w:val="21"/>
                <w:highlight w:val="none"/>
              </w:rPr>
            </w:pPr>
          </w:p>
        </w:tc>
      </w:tr>
      <w:tr w14:paraId="1315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25E07B51">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3126" w:type="pct"/>
            <w:tcBorders>
              <w:top w:val="single" w:color="auto" w:sz="4" w:space="0"/>
              <w:left w:val="single" w:color="auto" w:sz="4" w:space="0"/>
              <w:bottom w:val="single" w:color="auto" w:sz="4" w:space="0"/>
              <w:right w:val="single" w:color="auto" w:sz="4" w:space="0"/>
            </w:tcBorders>
            <w:vAlign w:val="center"/>
          </w:tcPr>
          <w:p w14:paraId="2FE793EA">
            <w:pPr>
              <w:spacing w:line="360" w:lineRule="auto"/>
              <w:ind w:firstLine="22"/>
              <w:jc w:val="left"/>
              <w:outlineLvl w:val="0"/>
              <w:rPr>
                <w:rFonts w:hint="eastAsia" w:ascii="仿宋" w:hAnsi="仿宋" w:eastAsia="仿宋" w:cs="仿宋"/>
                <w:color w:val="auto"/>
                <w:sz w:val="21"/>
                <w:szCs w:val="21"/>
                <w:highlight w:val="none"/>
              </w:rPr>
            </w:pPr>
            <w:bookmarkStart w:id="449" w:name="_Hlk103549019"/>
            <w:bookmarkStart w:id="450" w:name="_Toc25612"/>
            <w:r>
              <w:rPr>
                <w:rFonts w:hint="eastAsia" w:ascii="仿宋" w:hAnsi="仿宋" w:eastAsia="仿宋" w:cs="仿宋"/>
                <w:color w:val="auto"/>
                <w:sz w:val="21"/>
                <w:szCs w:val="21"/>
                <w:highlight w:val="none"/>
              </w:rPr>
              <w:t>出行批次安排：包括对人员出行批次（每批次的人数）的进度安排，包括每个团的人数控制到位，不因出团人员过多</w:t>
            </w:r>
            <w:bookmarkEnd w:id="449"/>
            <w:r>
              <w:rPr>
                <w:rFonts w:hint="eastAsia" w:ascii="仿宋" w:hAnsi="仿宋" w:eastAsia="仿宋" w:cs="仿宋"/>
                <w:color w:val="auto"/>
                <w:sz w:val="21"/>
                <w:szCs w:val="21"/>
                <w:highlight w:val="none"/>
              </w:rPr>
              <w:t>或过少导致服务质量的下降</w:t>
            </w:r>
            <w:bookmarkEnd w:id="450"/>
            <w:r>
              <w:rPr>
                <w:rFonts w:hint="eastAsia" w:ascii="仿宋" w:hAnsi="仿宋" w:eastAsia="仿宋" w:cs="仿宋"/>
                <w:color w:val="auto"/>
                <w:sz w:val="21"/>
                <w:szCs w:val="21"/>
                <w:highlight w:val="none"/>
              </w:rPr>
              <w:t>，根据方案的完整性、针对性进行打分。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4、3、2、1、0）</w:t>
            </w:r>
          </w:p>
        </w:tc>
        <w:tc>
          <w:tcPr>
            <w:tcW w:w="268" w:type="pct"/>
            <w:tcBorders>
              <w:top w:val="single" w:color="auto" w:sz="4" w:space="0"/>
              <w:left w:val="single" w:color="auto" w:sz="4" w:space="0"/>
              <w:bottom w:val="single" w:color="auto" w:sz="4" w:space="0"/>
              <w:right w:val="single" w:color="auto" w:sz="4" w:space="0"/>
            </w:tcBorders>
            <w:vAlign w:val="center"/>
          </w:tcPr>
          <w:p w14:paraId="62224867">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505" w:type="pct"/>
            <w:tcBorders>
              <w:top w:val="single" w:color="auto" w:sz="4" w:space="0"/>
              <w:left w:val="single" w:color="auto" w:sz="4" w:space="0"/>
              <w:bottom w:val="single" w:color="auto" w:sz="4" w:space="0"/>
              <w:right w:val="single" w:color="auto" w:sz="4" w:space="0"/>
            </w:tcBorders>
            <w:vAlign w:val="center"/>
          </w:tcPr>
          <w:p w14:paraId="584093CC">
            <w:pPr>
              <w:ind w:firstLine="22"/>
              <w:jc w:val="center"/>
              <w:rPr>
                <w:rFonts w:hint="eastAsia" w:ascii="仿宋" w:hAnsi="仿宋" w:eastAsia="仿宋" w:cs="仿宋"/>
                <w:color w:val="auto"/>
                <w:sz w:val="21"/>
                <w:szCs w:val="21"/>
                <w:highlight w:val="none"/>
              </w:rPr>
            </w:pPr>
            <w:bookmarkStart w:id="451" w:name="_Toc13354"/>
            <w:r>
              <w:rPr>
                <w:rFonts w:hint="eastAsia" w:ascii="仿宋" w:hAnsi="仿宋" w:eastAsia="仿宋" w:cs="仿宋"/>
                <w:bCs/>
                <w:color w:val="auto"/>
                <w:sz w:val="21"/>
                <w:szCs w:val="21"/>
                <w:highlight w:val="none"/>
              </w:rPr>
              <w:t>主观分</w:t>
            </w:r>
          </w:p>
          <w:bookmarkEnd w:id="451"/>
        </w:tc>
        <w:tc>
          <w:tcPr>
            <w:tcW w:w="819" w:type="pct"/>
            <w:tcBorders>
              <w:top w:val="single" w:color="auto" w:sz="4" w:space="0"/>
              <w:left w:val="single" w:color="auto" w:sz="4" w:space="0"/>
              <w:bottom w:val="single" w:color="auto" w:sz="4" w:space="0"/>
              <w:right w:val="single" w:color="auto" w:sz="4" w:space="0"/>
            </w:tcBorders>
            <w:vAlign w:val="center"/>
          </w:tcPr>
          <w:p w14:paraId="4072E708">
            <w:pPr>
              <w:spacing w:line="360" w:lineRule="auto"/>
              <w:ind w:firstLine="22"/>
              <w:jc w:val="center"/>
              <w:outlineLvl w:val="0"/>
              <w:rPr>
                <w:rFonts w:hint="eastAsia" w:ascii="仿宋" w:hAnsi="仿宋" w:eastAsia="仿宋" w:cs="仿宋"/>
                <w:color w:val="auto"/>
                <w:sz w:val="21"/>
                <w:szCs w:val="21"/>
                <w:highlight w:val="none"/>
              </w:rPr>
            </w:pPr>
          </w:p>
        </w:tc>
      </w:tr>
      <w:tr w14:paraId="0B5D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vAlign w:val="center"/>
          </w:tcPr>
          <w:p w14:paraId="49BD6F5D">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3126" w:type="pct"/>
            <w:tcBorders>
              <w:top w:val="single" w:color="auto" w:sz="4" w:space="0"/>
              <w:left w:val="single" w:color="auto" w:sz="4" w:space="0"/>
              <w:bottom w:val="single" w:color="auto" w:sz="4" w:space="0"/>
              <w:right w:val="single" w:color="auto" w:sz="4" w:space="0"/>
            </w:tcBorders>
            <w:vAlign w:val="center"/>
          </w:tcPr>
          <w:p w14:paraId="036628B1">
            <w:pPr>
              <w:spacing w:line="360" w:lineRule="auto"/>
              <w:ind w:firstLine="22"/>
              <w:jc w:val="left"/>
              <w:outlineLvl w:val="0"/>
              <w:rPr>
                <w:rFonts w:hint="eastAsia" w:ascii="仿宋" w:hAnsi="仿宋" w:eastAsia="仿宋" w:cs="仿宋"/>
                <w:color w:val="auto"/>
                <w:sz w:val="21"/>
                <w:szCs w:val="21"/>
                <w:highlight w:val="none"/>
              </w:rPr>
            </w:pPr>
            <w:bookmarkStart w:id="452" w:name="_Toc748"/>
            <w:r>
              <w:rPr>
                <w:rFonts w:hint="eastAsia" w:ascii="仿宋" w:hAnsi="仿宋" w:eastAsia="仿宋" w:cs="仿宋"/>
                <w:color w:val="auto"/>
                <w:sz w:val="21"/>
                <w:szCs w:val="21"/>
                <w:highlight w:val="none"/>
              </w:rPr>
              <w:t>安全管理：包括安全管理（应急预案应考虑医院与行程活动场地的距离）措施，充分考虑安全管理的各方面因素，如人员受伤、食物中毒、身体不适等因，根据方案的完整性、针对性进行打分。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bookmarkEnd w:id="452"/>
          </w:p>
        </w:tc>
        <w:tc>
          <w:tcPr>
            <w:tcW w:w="268" w:type="pct"/>
            <w:tcBorders>
              <w:top w:val="single" w:color="auto" w:sz="4" w:space="0"/>
              <w:left w:val="single" w:color="auto" w:sz="4" w:space="0"/>
              <w:bottom w:val="single" w:color="auto" w:sz="4" w:space="0"/>
              <w:right w:val="single" w:color="auto" w:sz="4" w:space="0"/>
            </w:tcBorders>
            <w:vAlign w:val="center"/>
          </w:tcPr>
          <w:p w14:paraId="0133C2FB">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39CBBEE5">
            <w:pPr>
              <w:ind w:firstLine="22"/>
              <w:jc w:val="center"/>
              <w:rPr>
                <w:rFonts w:hint="eastAsia" w:ascii="仿宋" w:hAnsi="仿宋" w:eastAsia="仿宋" w:cs="仿宋"/>
                <w:color w:val="auto"/>
                <w:sz w:val="21"/>
                <w:szCs w:val="21"/>
                <w:highlight w:val="none"/>
              </w:rPr>
            </w:pPr>
            <w:bookmarkStart w:id="453" w:name="_Toc2739"/>
            <w:r>
              <w:rPr>
                <w:rFonts w:hint="eastAsia" w:ascii="仿宋" w:hAnsi="仿宋" w:eastAsia="仿宋" w:cs="仿宋"/>
                <w:bCs/>
                <w:color w:val="auto"/>
                <w:sz w:val="21"/>
                <w:szCs w:val="21"/>
                <w:highlight w:val="none"/>
              </w:rPr>
              <w:t>主观分</w:t>
            </w:r>
          </w:p>
          <w:bookmarkEnd w:id="453"/>
        </w:tc>
        <w:tc>
          <w:tcPr>
            <w:tcW w:w="819" w:type="pct"/>
            <w:tcBorders>
              <w:top w:val="single" w:color="auto" w:sz="4" w:space="0"/>
              <w:left w:val="single" w:color="auto" w:sz="4" w:space="0"/>
              <w:bottom w:val="single" w:color="auto" w:sz="4" w:space="0"/>
              <w:right w:val="single" w:color="auto" w:sz="4" w:space="0"/>
            </w:tcBorders>
            <w:vAlign w:val="center"/>
          </w:tcPr>
          <w:p w14:paraId="58673B5F">
            <w:pPr>
              <w:spacing w:line="360" w:lineRule="auto"/>
              <w:ind w:firstLine="22"/>
              <w:jc w:val="center"/>
              <w:outlineLvl w:val="0"/>
              <w:rPr>
                <w:rFonts w:hint="eastAsia" w:ascii="仿宋" w:hAnsi="仿宋" w:eastAsia="仿宋" w:cs="仿宋"/>
                <w:color w:val="auto"/>
                <w:sz w:val="21"/>
                <w:szCs w:val="21"/>
                <w:highlight w:val="none"/>
              </w:rPr>
            </w:pPr>
          </w:p>
        </w:tc>
      </w:tr>
      <w:tr w14:paraId="4462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 w:type="pct"/>
            <w:tcBorders>
              <w:top w:val="single" w:color="auto" w:sz="4" w:space="0"/>
              <w:left w:val="single" w:color="auto" w:sz="4" w:space="0"/>
              <w:bottom w:val="single" w:color="auto" w:sz="4" w:space="0"/>
              <w:right w:val="single" w:color="auto" w:sz="4" w:space="0"/>
            </w:tcBorders>
            <w:vAlign w:val="center"/>
          </w:tcPr>
          <w:p w14:paraId="1EB1D548">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3126" w:type="pct"/>
            <w:tcBorders>
              <w:top w:val="single" w:color="auto" w:sz="4" w:space="0"/>
              <w:left w:val="single" w:color="auto" w:sz="4" w:space="0"/>
              <w:bottom w:val="single" w:color="auto" w:sz="4" w:space="0"/>
              <w:right w:val="single" w:color="auto" w:sz="4" w:space="0"/>
            </w:tcBorders>
            <w:vAlign w:val="center"/>
          </w:tcPr>
          <w:p w14:paraId="274FF603">
            <w:pPr>
              <w:spacing w:line="360" w:lineRule="auto"/>
              <w:ind w:firstLine="22"/>
              <w:jc w:val="left"/>
              <w:outlineLvl w:val="0"/>
              <w:rPr>
                <w:rFonts w:hint="eastAsia" w:ascii="仿宋" w:hAnsi="仿宋" w:eastAsia="仿宋" w:cs="仿宋"/>
                <w:color w:val="auto"/>
                <w:sz w:val="21"/>
                <w:szCs w:val="21"/>
                <w:highlight w:val="none"/>
              </w:rPr>
            </w:pPr>
            <w:bookmarkStart w:id="454" w:name="_Toc3553"/>
            <w:r>
              <w:rPr>
                <w:rFonts w:hint="eastAsia" w:ascii="仿宋" w:hAnsi="仿宋" w:eastAsia="仿宋" w:cs="仿宋"/>
                <w:color w:val="auto"/>
                <w:sz w:val="21"/>
                <w:szCs w:val="21"/>
                <w:highlight w:val="none"/>
              </w:rPr>
              <w:t>加强服务舒适度保障的相关措施：提供加强服务舒适度保障的相关措施，根据方案的完整性、针对性进行打分。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bookmarkEnd w:id="454"/>
          </w:p>
        </w:tc>
        <w:tc>
          <w:tcPr>
            <w:tcW w:w="268" w:type="pct"/>
            <w:tcBorders>
              <w:top w:val="single" w:color="auto" w:sz="4" w:space="0"/>
              <w:left w:val="single" w:color="auto" w:sz="4" w:space="0"/>
              <w:bottom w:val="single" w:color="auto" w:sz="4" w:space="0"/>
              <w:right w:val="single" w:color="auto" w:sz="4" w:space="0"/>
            </w:tcBorders>
            <w:vAlign w:val="center"/>
          </w:tcPr>
          <w:p w14:paraId="419D962D">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559701F4">
            <w:pPr>
              <w:ind w:firstLine="22"/>
              <w:jc w:val="center"/>
              <w:rPr>
                <w:rFonts w:hint="eastAsia" w:ascii="仿宋" w:hAnsi="仿宋" w:eastAsia="仿宋" w:cs="仿宋"/>
                <w:color w:val="auto"/>
                <w:sz w:val="21"/>
                <w:szCs w:val="21"/>
                <w:highlight w:val="none"/>
              </w:rPr>
            </w:pPr>
            <w:bookmarkStart w:id="455" w:name="_Toc20075"/>
            <w:r>
              <w:rPr>
                <w:rFonts w:hint="eastAsia" w:ascii="仿宋" w:hAnsi="仿宋" w:eastAsia="仿宋" w:cs="仿宋"/>
                <w:bCs/>
                <w:color w:val="auto"/>
                <w:sz w:val="21"/>
                <w:szCs w:val="21"/>
                <w:highlight w:val="none"/>
              </w:rPr>
              <w:t>主观分</w:t>
            </w:r>
          </w:p>
          <w:bookmarkEnd w:id="455"/>
        </w:tc>
        <w:tc>
          <w:tcPr>
            <w:tcW w:w="819" w:type="pct"/>
            <w:tcBorders>
              <w:top w:val="single" w:color="auto" w:sz="4" w:space="0"/>
              <w:left w:val="single" w:color="auto" w:sz="4" w:space="0"/>
              <w:bottom w:val="single" w:color="auto" w:sz="4" w:space="0"/>
              <w:right w:val="single" w:color="auto" w:sz="4" w:space="0"/>
            </w:tcBorders>
            <w:vAlign w:val="center"/>
          </w:tcPr>
          <w:p w14:paraId="1D32E408">
            <w:pPr>
              <w:spacing w:line="360" w:lineRule="auto"/>
              <w:ind w:firstLine="22"/>
              <w:jc w:val="center"/>
              <w:outlineLvl w:val="0"/>
              <w:rPr>
                <w:rFonts w:hint="eastAsia" w:ascii="仿宋" w:hAnsi="仿宋" w:eastAsia="仿宋" w:cs="仿宋"/>
                <w:color w:val="auto"/>
                <w:sz w:val="21"/>
                <w:szCs w:val="21"/>
                <w:highlight w:val="none"/>
              </w:rPr>
            </w:pPr>
          </w:p>
        </w:tc>
      </w:tr>
      <w:tr w14:paraId="1180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1A8993CB">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3126" w:type="pct"/>
            <w:tcBorders>
              <w:top w:val="single" w:color="auto" w:sz="4" w:space="0"/>
              <w:left w:val="single" w:color="auto" w:sz="4" w:space="0"/>
              <w:bottom w:val="single" w:color="auto" w:sz="4" w:space="0"/>
              <w:right w:val="single" w:color="auto" w:sz="4" w:space="0"/>
            </w:tcBorders>
            <w:vAlign w:val="center"/>
          </w:tcPr>
          <w:p w14:paraId="2AF79642">
            <w:pPr>
              <w:spacing w:line="360" w:lineRule="auto"/>
              <w:ind w:firstLine="22"/>
              <w:jc w:val="left"/>
              <w:outlineLvl w:val="0"/>
              <w:rPr>
                <w:rFonts w:hint="eastAsia" w:ascii="仿宋" w:hAnsi="仿宋" w:eastAsia="仿宋" w:cs="仿宋"/>
                <w:color w:val="auto"/>
                <w:sz w:val="21"/>
                <w:szCs w:val="21"/>
                <w:highlight w:val="none"/>
              </w:rPr>
            </w:pPr>
            <w:bookmarkStart w:id="456" w:name="_Toc22871"/>
            <w:r>
              <w:rPr>
                <w:rFonts w:hint="eastAsia" w:ascii="仿宋" w:hAnsi="仿宋" w:eastAsia="仿宋" w:cs="仿宋"/>
                <w:color w:val="auto"/>
                <w:sz w:val="21"/>
                <w:szCs w:val="21"/>
                <w:highlight w:val="none"/>
              </w:rPr>
              <w:t>管理制度：包括规范服务相关制度、安全、突发事件、奖罚制度等，投标人的管理制度健全，能有效保障本次服务，对服务人员有效管控，根据方案的完整性、针对性进行打分。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bookmarkEnd w:id="456"/>
          </w:p>
        </w:tc>
        <w:tc>
          <w:tcPr>
            <w:tcW w:w="268" w:type="pct"/>
            <w:tcBorders>
              <w:top w:val="single" w:color="auto" w:sz="4" w:space="0"/>
              <w:left w:val="single" w:color="auto" w:sz="4" w:space="0"/>
              <w:bottom w:val="single" w:color="auto" w:sz="4" w:space="0"/>
              <w:right w:val="single" w:color="auto" w:sz="4" w:space="0"/>
            </w:tcBorders>
            <w:vAlign w:val="center"/>
          </w:tcPr>
          <w:p w14:paraId="774C2EB3">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40A8893B">
            <w:pPr>
              <w:ind w:firstLine="22"/>
              <w:jc w:val="center"/>
              <w:rPr>
                <w:rFonts w:hint="eastAsia" w:ascii="仿宋" w:hAnsi="仿宋" w:eastAsia="仿宋" w:cs="仿宋"/>
                <w:color w:val="auto"/>
                <w:sz w:val="21"/>
                <w:szCs w:val="21"/>
                <w:highlight w:val="none"/>
              </w:rPr>
            </w:pPr>
            <w:bookmarkStart w:id="457" w:name="_Toc19022"/>
            <w:r>
              <w:rPr>
                <w:rFonts w:hint="eastAsia" w:ascii="仿宋" w:hAnsi="仿宋" w:eastAsia="仿宋" w:cs="仿宋"/>
                <w:bCs/>
                <w:color w:val="auto"/>
                <w:sz w:val="21"/>
                <w:szCs w:val="21"/>
                <w:highlight w:val="none"/>
              </w:rPr>
              <w:t>主观分</w:t>
            </w:r>
          </w:p>
          <w:bookmarkEnd w:id="457"/>
        </w:tc>
        <w:tc>
          <w:tcPr>
            <w:tcW w:w="819" w:type="pct"/>
            <w:tcBorders>
              <w:top w:val="single" w:color="auto" w:sz="4" w:space="0"/>
              <w:left w:val="single" w:color="auto" w:sz="4" w:space="0"/>
              <w:bottom w:val="single" w:color="auto" w:sz="4" w:space="0"/>
              <w:right w:val="single" w:color="auto" w:sz="4" w:space="0"/>
            </w:tcBorders>
            <w:vAlign w:val="center"/>
          </w:tcPr>
          <w:p w14:paraId="1CA56E2F">
            <w:pPr>
              <w:spacing w:line="360" w:lineRule="auto"/>
              <w:ind w:firstLine="22"/>
              <w:jc w:val="center"/>
              <w:outlineLvl w:val="0"/>
              <w:rPr>
                <w:rFonts w:hint="eastAsia" w:ascii="仿宋" w:hAnsi="仿宋" w:eastAsia="仿宋" w:cs="仿宋"/>
                <w:color w:val="auto"/>
                <w:sz w:val="21"/>
                <w:szCs w:val="21"/>
                <w:highlight w:val="none"/>
              </w:rPr>
            </w:pPr>
          </w:p>
        </w:tc>
      </w:tr>
      <w:tr w14:paraId="53D5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trPr>
        <w:tc>
          <w:tcPr>
            <w:tcW w:w="280" w:type="pct"/>
            <w:tcBorders>
              <w:top w:val="single" w:color="auto" w:sz="4" w:space="0"/>
              <w:left w:val="single" w:color="auto" w:sz="4" w:space="0"/>
              <w:bottom w:val="single" w:color="auto" w:sz="4" w:space="0"/>
              <w:right w:val="single" w:color="auto" w:sz="4" w:space="0"/>
            </w:tcBorders>
            <w:vAlign w:val="center"/>
          </w:tcPr>
          <w:p w14:paraId="12956BA5">
            <w:pPr>
              <w:spacing w:line="360" w:lineRule="auto"/>
              <w:ind w:firstLine="22"/>
              <w:jc w:val="center"/>
              <w:outlineLvl w:val="0"/>
              <w:rPr>
                <w:rFonts w:hint="eastAsia" w:ascii="仿宋" w:hAnsi="仿宋" w:eastAsia="仿宋" w:cs="仿宋"/>
                <w:color w:val="auto"/>
                <w:sz w:val="21"/>
                <w:szCs w:val="21"/>
                <w:highlight w:val="none"/>
              </w:rPr>
            </w:pPr>
            <w:bookmarkStart w:id="458" w:name="_Toc27331"/>
            <w:r>
              <w:rPr>
                <w:rFonts w:hint="eastAsia" w:ascii="仿宋" w:hAnsi="仿宋" w:eastAsia="仿宋" w:cs="仿宋"/>
                <w:color w:val="auto"/>
                <w:sz w:val="21"/>
                <w:szCs w:val="21"/>
                <w:highlight w:val="none"/>
              </w:rPr>
              <w:t>1</w:t>
            </w:r>
            <w:bookmarkEnd w:id="458"/>
            <w:r>
              <w:rPr>
                <w:rFonts w:hint="eastAsia" w:ascii="仿宋" w:hAnsi="仿宋" w:eastAsia="仿宋" w:cs="仿宋"/>
                <w:color w:val="auto"/>
                <w:sz w:val="21"/>
                <w:szCs w:val="21"/>
                <w:highlight w:val="none"/>
              </w:rPr>
              <w:t>0</w:t>
            </w:r>
          </w:p>
        </w:tc>
        <w:tc>
          <w:tcPr>
            <w:tcW w:w="3126" w:type="pct"/>
            <w:tcBorders>
              <w:top w:val="single" w:color="auto" w:sz="4" w:space="0"/>
              <w:left w:val="single" w:color="auto" w:sz="4" w:space="0"/>
              <w:bottom w:val="single" w:color="auto" w:sz="4" w:space="0"/>
              <w:right w:val="single" w:color="auto" w:sz="4" w:space="0"/>
            </w:tcBorders>
            <w:vAlign w:val="center"/>
          </w:tcPr>
          <w:p w14:paraId="7F329C8E">
            <w:pPr>
              <w:numPr>
                <w:ilvl w:val="0"/>
                <w:numId w:val="0"/>
              </w:numPr>
              <w:spacing w:line="360" w:lineRule="auto"/>
              <w:jc w:val="left"/>
              <w:outlineLvl w:val="0"/>
              <w:rPr>
                <w:rFonts w:hint="eastAsia" w:ascii="仿宋" w:hAnsi="仿宋" w:eastAsia="仿宋" w:cs="仿宋"/>
                <w:color w:val="auto"/>
                <w:sz w:val="21"/>
                <w:szCs w:val="21"/>
                <w:highlight w:val="none"/>
              </w:rPr>
            </w:pPr>
            <w:bookmarkStart w:id="459" w:name="_Toc25353"/>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①拟派</w:t>
            </w:r>
            <w:r>
              <w:rPr>
                <w:rFonts w:hint="eastAsia" w:ascii="仿宋" w:hAnsi="仿宋" w:eastAsia="仿宋" w:cs="仿宋"/>
                <w:color w:val="auto"/>
                <w:sz w:val="21"/>
                <w:szCs w:val="21"/>
                <w:highlight w:val="none"/>
              </w:rPr>
              <w:t>本项目导游10人</w:t>
            </w:r>
            <w:r>
              <w:rPr>
                <w:rFonts w:hint="eastAsia" w:ascii="仿宋" w:hAnsi="仿宋" w:eastAsia="仿宋" w:cs="仿宋"/>
                <w:color w:val="auto"/>
                <w:sz w:val="21"/>
                <w:szCs w:val="21"/>
                <w:highlight w:val="none"/>
                <w:lang w:val="en-US" w:eastAsia="zh-CN"/>
              </w:rPr>
              <w:t>以上</w:t>
            </w:r>
            <w:r>
              <w:rPr>
                <w:rFonts w:hint="eastAsia" w:ascii="仿宋" w:hAnsi="仿宋" w:eastAsia="仿宋" w:cs="仿宋"/>
                <w:color w:val="auto"/>
                <w:sz w:val="21"/>
                <w:szCs w:val="21"/>
                <w:highlight w:val="none"/>
              </w:rPr>
              <w:t>（含项目总负责人一名）得2分，</w:t>
            </w:r>
            <w:r>
              <w:rPr>
                <w:rFonts w:hint="eastAsia" w:ascii="仿宋" w:hAnsi="仿宋" w:eastAsia="仿宋" w:cs="仿宋"/>
                <w:color w:val="auto"/>
                <w:sz w:val="21"/>
                <w:szCs w:val="21"/>
                <w:highlight w:val="none"/>
                <w:lang w:val="en-US" w:eastAsia="zh-CN"/>
              </w:rPr>
              <w:t>8-10人得1分，7人以下</w:t>
            </w:r>
            <w:r>
              <w:rPr>
                <w:rFonts w:hint="eastAsia" w:ascii="仿宋" w:hAnsi="仿宋" w:eastAsia="仿宋" w:cs="仿宋"/>
                <w:color w:val="auto"/>
                <w:sz w:val="21"/>
                <w:szCs w:val="21"/>
                <w:highlight w:val="none"/>
              </w:rPr>
              <w:t>不得分</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rPr>
              <w:t>提供人员清单</w:t>
            </w:r>
            <w:r>
              <w:rPr>
                <w:rFonts w:hint="eastAsia" w:ascii="仿宋" w:hAnsi="仿宋" w:eastAsia="仿宋" w:cs="仿宋"/>
                <w:color w:val="auto"/>
                <w:sz w:val="21"/>
                <w:szCs w:val="21"/>
                <w:highlight w:val="none"/>
              </w:rPr>
              <w:t>；</w:t>
            </w:r>
          </w:p>
          <w:p w14:paraId="56E81743">
            <w:pPr>
              <w:numPr>
                <w:ilvl w:val="0"/>
                <w:numId w:val="0"/>
              </w:numPr>
              <w:spacing w:line="360" w:lineRule="auto"/>
              <w:jc w:val="left"/>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②具备</w:t>
            </w:r>
            <w:r>
              <w:rPr>
                <w:rFonts w:hint="eastAsia" w:ascii="仿宋" w:hAnsi="仿宋" w:eastAsia="仿宋" w:cs="仿宋"/>
                <w:color w:val="auto"/>
                <w:sz w:val="21"/>
                <w:szCs w:val="21"/>
                <w:highlight w:val="none"/>
              </w:rPr>
              <w:t>中级及以上导游每个得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分，最多得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bookmarkEnd w:id="459"/>
          <w:p w14:paraId="53516034">
            <w:pPr>
              <w:pStyle w:val="24"/>
              <w:ind w:firstLine="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③拟派</w:t>
            </w:r>
            <w:r>
              <w:rPr>
                <w:rFonts w:hint="eastAsia" w:ascii="仿宋" w:hAnsi="仿宋" w:eastAsia="仿宋" w:cs="仿宋"/>
                <w:color w:val="auto"/>
                <w:sz w:val="21"/>
                <w:szCs w:val="21"/>
                <w:highlight w:val="none"/>
              </w:rPr>
              <w:t>导游具有3年及以上工作经验得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最多得5分</w:t>
            </w:r>
            <w:r>
              <w:rPr>
                <w:rFonts w:hint="eastAsia" w:ascii="仿宋" w:hAnsi="仿宋" w:eastAsia="仿宋" w:cs="仿宋"/>
                <w:color w:val="auto"/>
                <w:sz w:val="21"/>
                <w:szCs w:val="21"/>
                <w:highlight w:val="none"/>
              </w:rPr>
              <w:t>；</w:t>
            </w:r>
          </w:p>
          <w:p w14:paraId="2794FB8A">
            <w:pPr>
              <w:pStyle w:val="24"/>
              <w:ind w:firstLine="22"/>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val="en-US" w:eastAsia="zh-CN"/>
              </w:rPr>
              <w:t>以上人员</w:t>
            </w:r>
            <w:r>
              <w:rPr>
                <w:rFonts w:hint="eastAsia" w:ascii="仿宋" w:hAnsi="仿宋" w:eastAsia="仿宋" w:cs="仿宋"/>
                <w:b/>
                <w:bCs/>
                <w:color w:val="auto"/>
                <w:sz w:val="21"/>
                <w:szCs w:val="21"/>
                <w:highlight w:val="none"/>
              </w:rPr>
              <w:t>需提供</w:t>
            </w:r>
            <w:r>
              <w:rPr>
                <w:rFonts w:hint="eastAsia" w:ascii="仿宋" w:hAnsi="仿宋" w:eastAsia="仿宋" w:cs="仿宋"/>
                <w:b/>
                <w:bCs/>
                <w:color w:val="auto"/>
                <w:sz w:val="21"/>
                <w:szCs w:val="21"/>
                <w:highlight w:val="none"/>
                <w:lang w:val="en-US" w:eastAsia="zh-CN"/>
              </w:rPr>
              <w:t>近三个月供应商为其缴纳的社保证明、</w:t>
            </w:r>
            <w:r>
              <w:rPr>
                <w:rFonts w:hint="eastAsia" w:ascii="仿宋" w:hAnsi="仿宋" w:eastAsia="仿宋" w:cs="仿宋"/>
                <w:b/>
                <w:bCs/>
                <w:color w:val="auto"/>
                <w:sz w:val="21"/>
                <w:szCs w:val="21"/>
                <w:highlight w:val="none"/>
              </w:rPr>
              <w:t>电子导游证或导游</w:t>
            </w:r>
            <w:r>
              <w:rPr>
                <w:rFonts w:hint="eastAsia" w:ascii="仿宋" w:hAnsi="仿宋" w:eastAsia="仿宋" w:cs="仿宋"/>
                <w:b/>
                <w:bCs/>
                <w:color w:val="auto"/>
                <w:sz w:val="21"/>
                <w:szCs w:val="21"/>
                <w:highlight w:val="none"/>
                <w:lang w:val="en-US" w:eastAsia="zh-CN"/>
              </w:rPr>
              <w:t>员</w:t>
            </w:r>
            <w:r>
              <w:rPr>
                <w:rFonts w:hint="eastAsia" w:ascii="仿宋" w:hAnsi="仿宋" w:eastAsia="仿宋" w:cs="仿宋"/>
                <w:b/>
                <w:bCs/>
                <w:color w:val="auto"/>
                <w:sz w:val="21"/>
                <w:szCs w:val="21"/>
                <w:highlight w:val="none"/>
              </w:rPr>
              <w:t>资格证书或其他证明材料（从业年限投标人自行提供</w:t>
            </w:r>
            <w:r>
              <w:rPr>
                <w:rFonts w:hint="eastAsia" w:ascii="仿宋" w:hAnsi="仿宋" w:eastAsia="仿宋" w:cs="仿宋"/>
                <w:b/>
                <w:bCs/>
                <w:color w:val="auto"/>
                <w:sz w:val="21"/>
                <w:szCs w:val="21"/>
                <w:highlight w:val="none"/>
                <w:lang w:val="en-US" w:eastAsia="zh-CN"/>
              </w:rPr>
              <w:t>相关证明</w:t>
            </w:r>
            <w:r>
              <w:rPr>
                <w:rFonts w:hint="eastAsia" w:ascii="仿宋" w:hAnsi="仿宋" w:eastAsia="仿宋" w:cs="仿宋"/>
                <w:b/>
                <w:bCs/>
                <w:color w:val="auto"/>
                <w:sz w:val="21"/>
                <w:szCs w:val="21"/>
                <w:highlight w:val="none"/>
              </w:rPr>
              <w:t>），提供不全或不能证明则不得分。</w:t>
            </w:r>
          </w:p>
          <w:p w14:paraId="5F0A4448">
            <w:pPr>
              <w:pStyle w:val="24"/>
              <w:ind w:firstLine="22"/>
              <w:jc w:val="lef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保障团队：</w:t>
            </w:r>
            <w:r>
              <w:rPr>
                <w:rFonts w:hint="eastAsia" w:ascii="仿宋" w:hAnsi="仿宋" w:eastAsia="仿宋" w:cs="仿宋"/>
                <w:color w:val="auto"/>
                <w:sz w:val="21"/>
                <w:szCs w:val="21"/>
                <w:highlight w:val="none"/>
                <w:lang w:val="en-US" w:eastAsia="zh-CN"/>
              </w:rPr>
              <w:t>具备</w:t>
            </w:r>
            <w:r>
              <w:rPr>
                <w:rFonts w:hint="eastAsia" w:ascii="仿宋" w:hAnsi="仿宋" w:eastAsia="仿宋" w:cs="仿宋"/>
                <w:color w:val="auto"/>
                <w:sz w:val="21"/>
                <w:szCs w:val="21"/>
                <w:highlight w:val="none"/>
              </w:rPr>
              <w:t>医师、护士、护理相关专业背景和专业技术能力、及从事类似项目经验年限等情况（</w:t>
            </w:r>
            <w:r>
              <w:rPr>
                <w:rFonts w:hint="eastAsia" w:ascii="仿宋" w:hAnsi="仿宋" w:eastAsia="仿宋" w:cs="仿宋"/>
                <w:color w:val="auto"/>
                <w:sz w:val="21"/>
                <w:szCs w:val="21"/>
                <w:highlight w:val="none"/>
                <w:lang w:val="en-US" w:eastAsia="zh-CN"/>
              </w:rPr>
              <w:t>提供有效的医师、护士职业证书及与正规医疗机构签订的活动医疗保障协议，其中5人及以上得2分，3-4人得1分，3人以下得0.5分，没有不得分；</w:t>
            </w:r>
          </w:p>
        </w:tc>
        <w:tc>
          <w:tcPr>
            <w:tcW w:w="268" w:type="pct"/>
            <w:tcBorders>
              <w:top w:val="single" w:color="auto" w:sz="4" w:space="0"/>
              <w:left w:val="single" w:color="auto" w:sz="4" w:space="0"/>
              <w:bottom w:val="single" w:color="auto" w:sz="4" w:space="0"/>
              <w:right w:val="single" w:color="auto" w:sz="4" w:space="0"/>
            </w:tcBorders>
            <w:vAlign w:val="center"/>
          </w:tcPr>
          <w:p w14:paraId="27EA6196">
            <w:pPr>
              <w:ind w:firstLine="2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505" w:type="pct"/>
            <w:tcBorders>
              <w:top w:val="single" w:color="auto" w:sz="4" w:space="0"/>
              <w:left w:val="single" w:color="auto" w:sz="4" w:space="0"/>
              <w:bottom w:val="single" w:color="auto" w:sz="4" w:space="0"/>
              <w:right w:val="single" w:color="auto" w:sz="4" w:space="0"/>
            </w:tcBorders>
            <w:vAlign w:val="center"/>
          </w:tcPr>
          <w:p w14:paraId="65AE92C1">
            <w:pPr>
              <w:ind w:firstLine="22"/>
              <w:jc w:val="center"/>
              <w:rPr>
                <w:rFonts w:hint="eastAsia" w:ascii="仿宋" w:hAnsi="仿宋" w:eastAsia="仿宋" w:cs="仿宋"/>
                <w:color w:val="auto"/>
                <w:sz w:val="21"/>
                <w:szCs w:val="21"/>
                <w:highlight w:val="none"/>
              </w:rPr>
            </w:pPr>
            <w:bookmarkStart w:id="460" w:name="_Toc4665"/>
            <w:r>
              <w:rPr>
                <w:rFonts w:hint="eastAsia" w:ascii="仿宋" w:hAnsi="仿宋" w:eastAsia="仿宋" w:cs="仿宋"/>
                <w:bCs/>
                <w:color w:val="auto"/>
                <w:sz w:val="21"/>
                <w:szCs w:val="21"/>
                <w:highlight w:val="none"/>
              </w:rPr>
              <w:t>客观分</w:t>
            </w:r>
          </w:p>
          <w:bookmarkEnd w:id="460"/>
        </w:tc>
        <w:tc>
          <w:tcPr>
            <w:tcW w:w="819" w:type="pct"/>
            <w:tcBorders>
              <w:top w:val="single" w:color="auto" w:sz="4" w:space="0"/>
              <w:left w:val="single" w:color="auto" w:sz="4" w:space="0"/>
              <w:bottom w:val="single" w:color="auto" w:sz="4" w:space="0"/>
              <w:right w:val="single" w:color="auto" w:sz="4" w:space="0"/>
            </w:tcBorders>
            <w:vAlign w:val="center"/>
          </w:tcPr>
          <w:p w14:paraId="7540D917">
            <w:pPr>
              <w:spacing w:line="360" w:lineRule="auto"/>
              <w:ind w:firstLine="22"/>
              <w:jc w:val="center"/>
              <w:outlineLvl w:val="0"/>
              <w:rPr>
                <w:rFonts w:hint="eastAsia" w:ascii="仿宋" w:hAnsi="仿宋" w:eastAsia="仿宋" w:cs="仿宋"/>
                <w:color w:val="auto"/>
                <w:sz w:val="21"/>
                <w:szCs w:val="21"/>
                <w:highlight w:val="none"/>
              </w:rPr>
            </w:pPr>
          </w:p>
        </w:tc>
      </w:tr>
      <w:tr w14:paraId="4BE5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37D96E1D">
            <w:pPr>
              <w:spacing w:line="360" w:lineRule="auto"/>
              <w:ind w:firstLine="22"/>
              <w:jc w:val="center"/>
              <w:outlineLvl w:val="0"/>
              <w:rPr>
                <w:rFonts w:hint="eastAsia" w:ascii="仿宋" w:hAnsi="仿宋" w:eastAsia="仿宋" w:cs="仿宋"/>
                <w:color w:val="auto"/>
                <w:sz w:val="21"/>
                <w:szCs w:val="21"/>
                <w:highlight w:val="none"/>
              </w:rPr>
            </w:pPr>
            <w:bookmarkStart w:id="461" w:name="_Toc3537"/>
            <w:r>
              <w:rPr>
                <w:rFonts w:hint="eastAsia" w:ascii="仿宋" w:hAnsi="仿宋" w:eastAsia="仿宋" w:cs="仿宋"/>
                <w:color w:val="auto"/>
                <w:sz w:val="21"/>
                <w:szCs w:val="21"/>
                <w:highlight w:val="none"/>
              </w:rPr>
              <w:t>1</w:t>
            </w:r>
            <w:bookmarkEnd w:id="461"/>
            <w:r>
              <w:rPr>
                <w:rFonts w:hint="eastAsia" w:ascii="仿宋" w:hAnsi="仿宋" w:eastAsia="仿宋" w:cs="仿宋"/>
                <w:color w:val="auto"/>
                <w:sz w:val="21"/>
                <w:szCs w:val="21"/>
                <w:highlight w:val="none"/>
              </w:rPr>
              <w:t>1</w:t>
            </w:r>
          </w:p>
        </w:tc>
        <w:tc>
          <w:tcPr>
            <w:tcW w:w="3126" w:type="pct"/>
            <w:tcBorders>
              <w:top w:val="single" w:color="auto" w:sz="4" w:space="0"/>
              <w:left w:val="single" w:color="auto" w:sz="4" w:space="0"/>
              <w:bottom w:val="single" w:color="auto" w:sz="4" w:space="0"/>
              <w:right w:val="single" w:color="auto" w:sz="4" w:space="0"/>
            </w:tcBorders>
            <w:vAlign w:val="center"/>
          </w:tcPr>
          <w:p w14:paraId="2B62241B">
            <w:pPr>
              <w:spacing w:line="360" w:lineRule="auto"/>
              <w:ind w:firstLine="22"/>
              <w:jc w:val="left"/>
              <w:outlineLvl w:val="0"/>
              <w:rPr>
                <w:rFonts w:hint="eastAsia" w:ascii="仿宋" w:hAnsi="仿宋" w:eastAsia="仿宋" w:cs="仿宋"/>
                <w:color w:val="auto"/>
                <w:sz w:val="21"/>
                <w:szCs w:val="21"/>
                <w:highlight w:val="none"/>
              </w:rPr>
            </w:pPr>
            <w:bookmarkStart w:id="462" w:name="_Toc19456"/>
            <w:r>
              <w:rPr>
                <w:rFonts w:hint="eastAsia" w:ascii="仿宋" w:hAnsi="仿宋" w:eastAsia="仿宋" w:cs="仿宋"/>
                <w:color w:val="auto"/>
                <w:sz w:val="21"/>
                <w:szCs w:val="21"/>
                <w:highlight w:val="none"/>
              </w:rPr>
              <w:t>重点难点分析：根据实际情况，分析出本项目的服务重点、难点，且根据分析出的重点难点，具有针对性的提出解决方案，解决方案切合实际，能有效解决服务中的问题</w:t>
            </w:r>
            <w:bookmarkEnd w:id="462"/>
            <w:r>
              <w:rPr>
                <w:rFonts w:hint="eastAsia" w:ascii="仿宋" w:hAnsi="仿宋" w:eastAsia="仿宋" w:cs="仿宋"/>
                <w:color w:val="auto"/>
                <w:sz w:val="21"/>
                <w:szCs w:val="21"/>
                <w:highlight w:val="none"/>
              </w:rPr>
              <w:t>，根据分析的完整性、有效性进行打分。</w:t>
            </w:r>
            <w:r>
              <w:rPr>
                <w:rFonts w:hint="eastAsia" w:ascii="仿宋" w:hAnsi="仿宋" w:eastAsia="仿宋" w:cs="仿宋"/>
                <w:bCs/>
                <w:color w:val="auto"/>
                <w:sz w:val="21"/>
                <w:szCs w:val="21"/>
                <w:highlight w:val="none"/>
              </w:rPr>
              <w:t>（得分：</w:t>
            </w:r>
            <w:r>
              <w:rPr>
                <w:rFonts w:hint="eastAsia" w:ascii="仿宋" w:hAnsi="仿宋" w:eastAsia="仿宋" w:cs="仿宋"/>
                <w:bCs/>
                <w:color w:val="auto"/>
                <w:sz w:val="21"/>
                <w:szCs w:val="21"/>
                <w:highlight w:val="none"/>
                <w:lang w:val="en-US" w:eastAsia="zh-CN"/>
              </w:rPr>
              <w:t>6、5、</w:t>
            </w:r>
            <w:r>
              <w:rPr>
                <w:rFonts w:hint="eastAsia" w:ascii="仿宋" w:hAnsi="仿宋" w:eastAsia="仿宋" w:cs="仿宋"/>
                <w:bCs/>
                <w:color w:val="auto"/>
                <w:sz w:val="21"/>
                <w:szCs w:val="21"/>
                <w:highlight w:val="none"/>
              </w:rPr>
              <w:t>4、3、2、1、0）</w:t>
            </w:r>
          </w:p>
        </w:tc>
        <w:tc>
          <w:tcPr>
            <w:tcW w:w="268" w:type="pct"/>
            <w:tcBorders>
              <w:top w:val="single" w:color="auto" w:sz="4" w:space="0"/>
              <w:left w:val="single" w:color="auto" w:sz="4" w:space="0"/>
              <w:bottom w:val="single" w:color="auto" w:sz="4" w:space="0"/>
              <w:right w:val="single" w:color="auto" w:sz="4" w:space="0"/>
            </w:tcBorders>
            <w:vAlign w:val="center"/>
          </w:tcPr>
          <w:p w14:paraId="6F0FE3EA">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4FA78C7B">
            <w:pPr>
              <w:spacing w:line="360" w:lineRule="auto"/>
              <w:ind w:firstLine="22"/>
              <w:jc w:val="center"/>
              <w:outlineLvl w:val="0"/>
              <w:rPr>
                <w:rFonts w:hint="eastAsia" w:ascii="仿宋" w:hAnsi="仿宋" w:eastAsia="仿宋" w:cs="仿宋"/>
                <w:color w:val="auto"/>
                <w:sz w:val="21"/>
                <w:szCs w:val="21"/>
                <w:highlight w:val="none"/>
              </w:rPr>
            </w:pPr>
            <w:bookmarkStart w:id="463" w:name="_Toc2575"/>
            <w:r>
              <w:rPr>
                <w:rFonts w:hint="eastAsia" w:ascii="仿宋" w:hAnsi="仿宋" w:eastAsia="仿宋" w:cs="仿宋"/>
                <w:bCs/>
                <w:color w:val="auto"/>
                <w:sz w:val="21"/>
                <w:szCs w:val="21"/>
                <w:highlight w:val="none"/>
              </w:rPr>
              <w:t>主观分</w:t>
            </w:r>
          </w:p>
          <w:bookmarkEnd w:id="463"/>
        </w:tc>
        <w:tc>
          <w:tcPr>
            <w:tcW w:w="819" w:type="pct"/>
            <w:tcBorders>
              <w:top w:val="single" w:color="auto" w:sz="4" w:space="0"/>
              <w:left w:val="single" w:color="auto" w:sz="4" w:space="0"/>
              <w:bottom w:val="single" w:color="auto" w:sz="4" w:space="0"/>
              <w:right w:val="single" w:color="auto" w:sz="4" w:space="0"/>
            </w:tcBorders>
            <w:vAlign w:val="center"/>
          </w:tcPr>
          <w:p w14:paraId="69C529EA">
            <w:pPr>
              <w:spacing w:line="360" w:lineRule="auto"/>
              <w:ind w:firstLine="22"/>
              <w:jc w:val="center"/>
              <w:outlineLvl w:val="0"/>
              <w:rPr>
                <w:rFonts w:hint="eastAsia" w:ascii="仿宋" w:hAnsi="仿宋" w:eastAsia="仿宋" w:cs="仿宋"/>
                <w:color w:val="auto"/>
                <w:sz w:val="21"/>
                <w:szCs w:val="21"/>
                <w:highlight w:val="none"/>
              </w:rPr>
            </w:pPr>
          </w:p>
        </w:tc>
      </w:tr>
      <w:tr w14:paraId="32CA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80" w:type="pct"/>
            <w:tcBorders>
              <w:top w:val="single" w:color="auto" w:sz="4" w:space="0"/>
              <w:left w:val="single" w:color="auto" w:sz="4" w:space="0"/>
              <w:bottom w:val="single" w:color="auto" w:sz="4" w:space="0"/>
              <w:right w:val="single" w:color="auto" w:sz="4" w:space="0"/>
            </w:tcBorders>
            <w:vAlign w:val="center"/>
          </w:tcPr>
          <w:p w14:paraId="4F5CF036">
            <w:pPr>
              <w:spacing w:line="360" w:lineRule="auto"/>
              <w:ind w:firstLine="22"/>
              <w:jc w:val="center"/>
              <w:outlineLvl w:val="0"/>
              <w:rPr>
                <w:rFonts w:hint="eastAsia" w:ascii="仿宋" w:hAnsi="仿宋" w:eastAsia="仿宋" w:cs="仿宋"/>
                <w:color w:val="auto"/>
                <w:sz w:val="21"/>
                <w:szCs w:val="21"/>
                <w:highlight w:val="none"/>
              </w:rPr>
            </w:pPr>
            <w:bookmarkStart w:id="464" w:name="_Toc7716"/>
            <w:r>
              <w:rPr>
                <w:rFonts w:hint="eastAsia" w:ascii="仿宋" w:hAnsi="仿宋" w:eastAsia="仿宋" w:cs="仿宋"/>
                <w:color w:val="auto"/>
                <w:sz w:val="21"/>
                <w:szCs w:val="21"/>
                <w:highlight w:val="none"/>
              </w:rPr>
              <w:t>1</w:t>
            </w:r>
            <w:bookmarkEnd w:id="464"/>
            <w:r>
              <w:rPr>
                <w:rFonts w:hint="eastAsia" w:ascii="仿宋" w:hAnsi="仿宋" w:eastAsia="仿宋" w:cs="仿宋"/>
                <w:color w:val="auto"/>
                <w:sz w:val="21"/>
                <w:szCs w:val="21"/>
                <w:highlight w:val="none"/>
              </w:rPr>
              <w:t>2</w:t>
            </w:r>
          </w:p>
        </w:tc>
        <w:tc>
          <w:tcPr>
            <w:tcW w:w="3126" w:type="pct"/>
            <w:tcBorders>
              <w:top w:val="single" w:color="auto" w:sz="4" w:space="0"/>
              <w:left w:val="single" w:color="auto" w:sz="4" w:space="0"/>
              <w:bottom w:val="single" w:color="auto" w:sz="4" w:space="0"/>
              <w:right w:val="single" w:color="auto" w:sz="4" w:space="0"/>
            </w:tcBorders>
          </w:tcPr>
          <w:p w14:paraId="3B7830D1">
            <w:pPr>
              <w:spacing w:line="360" w:lineRule="auto"/>
              <w:ind w:firstLine="22"/>
              <w:jc w:val="left"/>
              <w:outlineLvl w:val="0"/>
              <w:rPr>
                <w:rFonts w:hint="eastAsia" w:ascii="仿宋" w:hAnsi="仿宋" w:eastAsia="仿宋" w:cs="仿宋"/>
                <w:color w:val="auto"/>
                <w:sz w:val="21"/>
                <w:szCs w:val="21"/>
                <w:highlight w:val="none"/>
              </w:rPr>
            </w:pPr>
            <w:bookmarkStart w:id="465" w:name="_Toc7623"/>
            <w:r>
              <w:rPr>
                <w:rFonts w:hint="eastAsia" w:ascii="仿宋" w:hAnsi="仿宋" w:eastAsia="仿宋" w:cs="仿宋"/>
                <w:color w:val="auto"/>
                <w:sz w:val="21"/>
                <w:szCs w:val="21"/>
                <w:highlight w:val="none"/>
              </w:rPr>
              <w:t>供应商的企业责任保险保额达到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000万的得3分，</w:t>
            </w:r>
            <w:r>
              <w:rPr>
                <w:rFonts w:hint="eastAsia" w:ascii="仿宋" w:hAnsi="仿宋" w:eastAsia="仿宋" w:cs="仿宋"/>
                <w:color w:val="auto"/>
                <w:sz w:val="21"/>
                <w:szCs w:val="21"/>
                <w:highlight w:val="none"/>
                <w:lang w:val="en-US" w:eastAsia="zh-CN"/>
              </w:rPr>
              <w:t>达到</w:t>
            </w:r>
            <w:r>
              <w:rPr>
                <w:rFonts w:hint="eastAsia" w:ascii="仿宋" w:hAnsi="仿宋" w:eastAsia="仿宋" w:cs="仿宋"/>
                <w:color w:val="auto"/>
                <w:sz w:val="21"/>
                <w:szCs w:val="21"/>
                <w:highlight w:val="none"/>
              </w:rPr>
              <w:t>1000万的得1分，</w:t>
            </w:r>
            <w:r>
              <w:rPr>
                <w:rFonts w:hint="eastAsia" w:ascii="仿宋" w:hAnsi="仿宋" w:eastAsia="仿宋" w:cs="仿宋"/>
                <w:color w:val="auto"/>
                <w:sz w:val="21"/>
                <w:szCs w:val="21"/>
                <w:highlight w:val="none"/>
                <w:lang w:val="en-US" w:eastAsia="zh-CN"/>
              </w:rPr>
              <w:t>其他</w:t>
            </w:r>
            <w:r>
              <w:rPr>
                <w:rFonts w:hint="eastAsia" w:ascii="仿宋" w:hAnsi="仿宋" w:eastAsia="仿宋" w:cs="仿宋"/>
                <w:color w:val="auto"/>
                <w:sz w:val="21"/>
                <w:szCs w:val="21"/>
                <w:highlight w:val="none"/>
              </w:rPr>
              <w:t>不得分（提供保单复印件加盖公章）</w:t>
            </w:r>
            <w:bookmarkEnd w:id="465"/>
          </w:p>
        </w:tc>
        <w:tc>
          <w:tcPr>
            <w:tcW w:w="268" w:type="pct"/>
            <w:tcBorders>
              <w:top w:val="single" w:color="auto" w:sz="4" w:space="0"/>
              <w:left w:val="single" w:color="auto" w:sz="4" w:space="0"/>
              <w:bottom w:val="single" w:color="auto" w:sz="4" w:space="0"/>
              <w:right w:val="single" w:color="auto" w:sz="4" w:space="0"/>
            </w:tcBorders>
            <w:vAlign w:val="center"/>
          </w:tcPr>
          <w:p w14:paraId="0CF59CAB">
            <w:pPr>
              <w:spacing w:line="360" w:lineRule="auto"/>
              <w:ind w:firstLine="22"/>
              <w:jc w:val="center"/>
              <w:outlineLvl w:val="0"/>
              <w:rPr>
                <w:rFonts w:hint="eastAsia" w:ascii="仿宋" w:hAnsi="仿宋" w:eastAsia="仿宋" w:cs="仿宋"/>
                <w:color w:val="auto"/>
                <w:sz w:val="21"/>
                <w:szCs w:val="21"/>
                <w:highlight w:val="none"/>
              </w:rPr>
            </w:pPr>
            <w:bookmarkStart w:id="466" w:name="_Toc7402"/>
            <w:r>
              <w:rPr>
                <w:rFonts w:hint="eastAsia" w:ascii="仿宋" w:hAnsi="仿宋" w:eastAsia="仿宋" w:cs="仿宋"/>
                <w:color w:val="auto"/>
                <w:sz w:val="21"/>
                <w:szCs w:val="21"/>
                <w:highlight w:val="none"/>
              </w:rPr>
              <w:t>3</w:t>
            </w:r>
            <w:bookmarkEnd w:id="466"/>
          </w:p>
        </w:tc>
        <w:tc>
          <w:tcPr>
            <w:tcW w:w="505" w:type="pct"/>
            <w:tcBorders>
              <w:top w:val="single" w:color="auto" w:sz="4" w:space="0"/>
              <w:left w:val="single" w:color="auto" w:sz="4" w:space="0"/>
              <w:bottom w:val="single" w:color="auto" w:sz="4" w:space="0"/>
              <w:right w:val="single" w:color="auto" w:sz="4" w:space="0"/>
            </w:tcBorders>
            <w:vAlign w:val="center"/>
          </w:tcPr>
          <w:p w14:paraId="4587FE53">
            <w:pPr>
              <w:spacing w:line="360" w:lineRule="auto"/>
              <w:ind w:firstLine="22"/>
              <w:jc w:val="center"/>
              <w:outlineLvl w:val="0"/>
              <w:rPr>
                <w:rFonts w:hint="eastAsia" w:ascii="仿宋" w:hAnsi="仿宋" w:eastAsia="仿宋" w:cs="仿宋"/>
                <w:color w:val="auto"/>
                <w:sz w:val="21"/>
                <w:szCs w:val="21"/>
                <w:highlight w:val="none"/>
              </w:rPr>
            </w:pPr>
            <w:bookmarkStart w:id="467" w:name="_Toc20552"/>
            <w:r>
              <w:rPr>
                <w:rFonts w:hint="eastAsia" w:ascii="仿宋" w:hAnsi="仿宋" w:eastAsia="仿宋" w:cs="仿宋"/>
                <w:color w:val="auto"/>
                <w:sz w:val="21"/>
                <w:szCs w:val="21"/>
                <w:highlight w:val="none"/>
              </w:rPr>
              <w:t>客观分</w:t>
            </w:r>
          </w:p>
          <w:bookmarkEnd w:id="467"/>
        </w:tc>
        <w:tc>
          <w:tcPr>
            <w:tcW w:w="819" w:type="pct"/>
            <w:tcBorders>
              <w:top w:val="single" w:color="auto" w:sz="4" w:space="0"/>
              <w:left w:val="single" w:color="auto" w:sz="4" w:space="0"/>
              <w:bottom w:val="single" w:color="auto" w:sz="4" w:space="0"/>
              <w:right w:val="single" w:color="auto" w:sz="4" w:space="0"/>
            </w:tcBorders>
            <w:vAlign w:val="center"/>
          </w:tcPr>
          <w:p w14:paraId="0D348475">
            <w:pPr>
              <w:spacing w:line="360" w:lineRule="auto"/>
              <w:ind w:firstLine="22"/>
              <w:jc w:val="center"/>
              <w:outlineLvl w:val="0"/>
              <w:rPr>
                <w:rFonts w:hint="eastAsia" w:ascii="仿宋" w:hAnsi="仿宋" w:eastAsia="仿宋" w:cs="仿宋"/>
                <w:color w:val="auto"/>
                <w:sz w:val="21"/>
                <w:szCs w:val="21"/>
                <w:highlight w:val="none"/>
              </w:rPr>
            </w:pPr>
          </w:p>
        </w:tc>
      </w:tr>
      <w:tr w14:paraId="2D41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tcBorders>
              <w:top w:val="single" w:color="auto" w:sz="4" w:space="0"/>
              <w:left w:val="single" w:color="auto" w:sz="4" w:space="0"/>
              <w:bottom w:val="single" w:color="auto" w:sz="4" w:space="0"/>
              <w:right w:val="single" w:color="auto" w:sz="4" w:space="0"/>
            </w:tcBorders>
            <w:vAlign w:val="center"/>
          </w:tcPr>
          <w:p w14:paraId="108E6E25">
            <w:pPr>
              <w:spacing w:line="360" w:lineRule="auto"/>
              <w:ind w:firstLine="22"/>
              <w:jc w:val="center"/>
              <w:outlineLvl w:val="0"/>
              <w:rPr>
                <w:rFonts w:hint="eastAsia" w:ascii="仿宋" w:hAnsi="仿宋" w:eastAsia="仿宋" w:cs="仿宋"/>
                <w:color w:val="auto"/>
                <w:sz w:val="21"/>
                <w:szCs w:val="21"/>
                <w:highlight w:val="none"/>
              </w:rPr>
            </w:pPr>
            <w:bookmarkStart w:id="468" w:name="_Toc25355"/>
            <w:r>
              <w:rPr>
                <w:rFonts w:hint="eastAsia" w:ascii="仿宋" w:hAnsi="仿宋" w:eastAsia="仿宋" w:cs="仿宋"/>
                <w:color w:val="auto"/>
                <w:sz w:val="21"/>
                <w:szCs w:val="21"/>
                <w:highlight w:val="none"/>
              </w:rPr>
              <w:t>1</w:t>
            </w:r>
            <w:bookmarkEnd w:id="468"/>
            <w:r>
              <w:rPr>
                <w:rFonts w:hint="eastAsia" w:ascii="仿宋" w:hAnsi="仿宋" w:eastAsia="仿宋" w:cs="仿宋"/>
                <w:color w:val="auto"/>
                <w:sz w:val="21"/>
                <w:szCs w:val="21"/>
                <w:highlight w:val="none"/>
              </w:rPr>
              <w:t>3</w:t>
            </w:r>
          </w:p>
        </w:tc>
        <w:tc>
          <w:tcPr>
            <w:tcW w:w="3126" w:type="pct"/>
            <w:tcBorders>
              <w:top w:val="single" w:color="auto" w:sz="4" w:space="0"/>
              <w:left w:val="single" w:color="auto" w:sz="4" w:space="0"/>
              <w:bottom w:val="single" w:color="auto" w:sz="4" w:space="0"/>
              <w:right w:val="single" w:color="auto" w:sz="4" w:space="0"/>
            </w:tcBorders>
          </w:tcPr>
          <w:p w14:paraId="43243C56">
            <w:pPr>
              <w:spacing w:line="360" w:lineRule="auto"/>
              <w:ind w:firstLine="22"/>
              <w:jc w:val="left"/>
              <w:outlineLvl w:val="0"/>
              <w:rPr>
                <w:rFonts w:hint="eastAsia" w:ascii="仿宋" w:hAnsi="仿宋" w:eastAsia="仿宋" w:cs="仿宋"/>
                <w:color w:val="auto"/>
                <w:sz w:val="21"/>
                <w:szCs w:val="21"/>
                <w:highlight w:val="none"/>
              </w:rPr>
            </w:pPr>
            <w:bookmarkStart w:id="469" w:name="_Toc9882"/>
            <w:r>
              <w:rPr>
                <w:rFonts w:hint="eastAsia" w:ascii="仿宋" w:hAnsi="仿宋" w:eastAsia="仿宋" w:cs="仿宋"/>
                <w:color w:val="auto"/>
                <w:sz w:val="21"/>
                <w:szCs w:val="21"/>
                <w:highlight w:val="none"/>
              </w:rPr>
              <w:t>个人旅游人身意外险（人身意外险包括意外伤害、突发性疾病、伤害医疗、突发性医疗等）保额达到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0万及以上的得3分，</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0万以下的不得分(提供承诺函，格式自拟)；</w:t>
            </w:r>
            <w:bookmarkEnd w:id="469"/>
            <w:r>
              <w:rPr>
                <w:rFonts w:hint="eastAsia" w:ascii="仿宋" w:hAnsi="仿宋" w:eastAsia="仿宋" w:cs="仿宋"/>
                <w:color w:val="auto"/>
                <w:sz w:val="21"/>
                <w:szCs w:val="21"/>
                <w:highlight w:val="none"/>
              </w:rPr>
              <w:t xml:space="preserve"> </w:t>
            </w:r>
          </w:p>
        </w:tc>
        <w:tc>
          <w:tcPr>
            <w:tcW w:w="268" w:type="pct"/>
            <w:tcBorders>
              <w:top w:val="single" w:color="auto" w:sz="4" w:space="0"/>
              <w:left w:val="single" w:color="auto" w:sz="4" w:space="0"/>
              <w:bottom w:val="single" w:color="auto" w:sz="4" w:space="0"/>
              <w:right w:val="single" w:color="auto" w:sz="4" w:space="0"/>
            </w:tcBorders>
            <w:vAlign w:val="center"/>
          </w:tcPr>
          <w:p w14:paraId="602B803D">
            <w:pPr>
              <w:spacing w:line="360" w:lineRule="auto"/>
              <w:ind w:firstLine="22"/>
              <w:jc w:val="center"/>
              <w:outlineLvl w:val="0"/>
              <w:rPr>
                <w:rFonts w:hint="eastAsia" w:ascii="仿宋" w:hAnsi="仿宋" w:eastAsia="仿宋" w:cs="仿宋"/>
                <w:color w:val="auto"/>
                <w:sz w:val="21"/>
                <w:szCs w:val="21"/>
                <w:highlight w:val="none"/>
              </w:rPr>
            </w:pPr>
            <w:bookmarkStart w:id="470" w:name="_Toc8472"/>
            <w:r>
              <w:rPr>
                <w:rFonts w:hint="eastAsia" w:ascii="仿宋" w:hAnsi="仿宋" w:eastAsia="仿宋" w:cs="仿宋"/>
                <w:color w:val="auto"/>
                <w:sz w:val="21"/>
                <w:szCs w:val="21"/>
                <w:highlight w:val="none"/>
              </w:rPr>
              <w:t>3</w:t>
            </w:r>
            <w:bookmarkEnd w:id="470"/>
          </w:p>
        </w:tc>
        <w:tc>
          <w:tcPr>
            <w:tcW w:w="505" w:type="pct"/>
            <w:tcBorders>
              <w:top w:val="single" w:color="auto" w:sz="4" w:space="0"/>
              <w:left w:val="single" w:color="auto" w:sz="4" w:space="0"/>
              <w:bottom w:val="single" w:color="auto" w:sz="4" w:space="0"/>
              <w:right w:val="single" w:color="auto" w:sz="4" w:space="0"/>
            </w:tcBorders>
            <w:vAlign w:val="center"/>
          </w:tcPr>
          <w:p w14:paraId="7FE38B8F">
            <w:pPr>
              <w:spacing w:line="360" w:lineRule="auto"/>
              <w:ind w:firstLine="22"/>
              <w:jc w:val="center"/>
              <w:outlineLvl w:val="0"/>
              <w:rPr>
                <w:rFonts w:hint="eastAsia" w:ascii="仿宋" w:hAnsi="仿宋" w:eastAsia="仿宋" w:cs="仿宋"/>
                <w:color w:val="auto"/>
                <w:sz w:val="21"/>
                <w:szCs w:val="21"/>
                <w:highlight w:val="none"/>
              </w:rPr>
            </w:pPr>
            <w:bookmarkStart w:id="471" w:name="_Toc30728"/>
            <w:r>
              <w:rPr>
                <w:rFonts w:hint="eastAsia" w:ascii="仿宋" w:hAnsi="仿宋" w:eastAsia="仿宋" w:cs="仿宋"/>
                <w:color w:val="auto"/>
                <w:sz w:val="21"/>
                <w:szCs w:val="21"/>
                <w:highlight w:val="none"/>
              </w:rPr>
              <w:t>客观分</w:t>
            </w:r>
          </w:p>
          <w:bookmarkEnd w:id="471"/>
        </w:tc>
        <w:tc>
          <w:tcPr>
            <w:tcW w:w="819" w:type="pct"/>
            <w:tcBorders>
              <w:top w:val="single" w:color="auto" w:sz="4" w:space="0"/>
              <w:left w:val="single" w:color="auto" w:sz="4" w:space="0"/>
              <w:bottom w:val="single" w:color="auto" w:sz="4" w:space="0"/>
              <w:right w:val="single" w:color="auto" w:sz="4" w:space="0"/>
            </w:tcBorders>
            <w:vAlign w:val="center"/>
          </w:tcPr>
          <w:p w14:paraId="576DE043">
            <w:pPr>
              <w:spacing w:line="360" w:lineRule="auto"/>
              <w:ind w:firstLine="22"/>
              <w:jc w:val="center"/>
              <w:outlineLvl w:val="0"/>
              <w:rPr>
                <w:rFonts w:hint="eastAsia" w:ascii="仿宋" w:hAnsi="仿宋" w:eastAsia="仿宋" w:cs="仿宋"/>
                <w:color w:val="auto"/>
                <w:sz w:val="21"/>
                <w:szCs w:val="21"/>
                <w:highlight w:val="none"/>
              </w:rPr>
            </w:pPr>
          </w:p>
        </w:tc>
      </w:tr>
      <w:tr w14:paraId="5130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0" w:type="pct"/>
            <w:tcBorders>
              <w:top w:val="single" w:color="auto" w:sz="4" w:space="0"/>
              <w:left w:val="single" w:color="auto" w:sz="4" w:space="0"/>
              <w:bottom w:val="single" w:color="auto" w:sz="4" w:space="0"/>
              <w:right w:val="single" w:color="auto" w:sz="4" w:space="0"/>
            </w:tcBorders>
            <w:vAlign w:val="center"/>
          </w:tcPr>
          <w:p w14:paraId="3F06462C">
            <w:pPr>
              <w:spacing w:line="360" w:lineRule="auto"/>
              <w:ind w:firstLine="22"/>
              <w:jc w:val="center"/>
              <w:outlineLvl w:val="0"/>
              <w:rPr>
                <w:rFonts w:hint="eastAsia" w:ascii="仿宋" w:hAnsi="仿宋" w:eastAsia="仿宋" w:cs="仿宋"/>
                <w:color w:val="auto"/>
                <w:sz w:val="21"/>
                <w:szCs w:val="21"/>
                <w:highlight w:val="none"/>
              </w:rPr>
            </w:pPr>
            <w:bookmarkStart w:id="472" w:name="_Toc7724"/>
            <w:r>
              <w:rPr>
                <w:rFonts w:hint="eastAsia" w:ascii="仿宋" w:hAnsi="仿宋" w:eastAsia="仿宋" w:cs="仿宋"/>
                <w:color w:val="auto"/>
                <w:sz w:val="21"/>
                <w:szCs w:val="21"/>
                <w:highlight w:val="none"/>
              </w:rPr>
              <w:t>1</w:t>
            </w:r>
            <w:bookmarkEnd w:id="472"/>
            <w:r>
              <w:rPr>
                <w:rFonts w:hint="eastAsia" w:ascii="仿宋" w:hAnsi="仿宋" w:eastAsia="仿宋" w:cs="仿宋"/>
                <w:color w:val="auto"/>
                <w:sz w:val="21"/>
                <w:szCs w:val="21"/>
                <w:highlight w:val="none"/>
              </w:rPr>
              <w:t>4</w:t>
            </w:r>
          </w:p>
        </w:tc>
        <w:tc>
          <w:tcPr>
            <w:tcW w:w="3126" w:type="pct"/>
            <w:tcBorders>
              <w:top w:val="single" w:color="auto" w:sz="4" w:space="0"/>
              <w:left w:val="single" w:color="auto" w:sz="4" w:space="0"/>
              <w:bottom w:val="single" w:color="auto" w:sz="4" w:space="0"/>
              <w:right w:val="single" w:color="auto" w:sz="4" w:space="0"/>
            </w:tcBorders>
          </w:tcPr>
          <w:p w14:paraId="6EBEDC60">
            <w:pPr>
              <w:spacing w:line="360" w:lineRule="auto"/>
              <w:ind w:firstLine="22"/>
              <w:jc w:val="left"/>
              <w:outlineLvl w:val="0"/>
              <w:rPr>
                <w:rFonts w:hint="eastAsia" w:ascii="仿宋" w:hAnsi="仿宋" w:eastAsia="仿宋" w:cs="仿宋"/>
                <w:color w:val="auto"/>
                <w:sz w:val="21"/>
                <w:szCs w:val="21"/>
                <w:highlight w:val="none"/>
              </w:rPr>
            </w:pPr>
            <w:bookmarkStart w:id="473" w:name="_Toc28760"/>
            <w:r>
              <w:rPr>
                <w:rFonts w:hint="eastAsia" w:ascii="仿宋" w:hAnsi="仿宋" w:eastAsia="仿宋" w:cs="仿宋"/>
                <w:color w:val="auto"/>
                <w:sz w:val="21"/>
                <w:szCs w:val="21"/>
                <w:highlight w:val="none"/>
              </w:rPr>
              <w:t>投标人承诺提供小额赔款（5000元及以下）先行赔付的得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分，不提供则不得分(提供承诺函，格式自拟)；</w:t>
            </w:r>
            <w:bookmarkEnd w:id="473"/>
          </w:p>
        </w:tc>
        <w:tc>
          <w:tcPr>
            <w:tcW w:w="268" w:type="pct"/>
            <w:tcBorders>
              <w:top w:val="single" w:color="auto" w:sz="4" w:space="0"/>
              <w:left w:val="single" w:color="auto" w:sz="4" w:space="0"/>
              <w:bottom w:val="single" w:color="auto" w:sz="4" w:space="0"/>
              <w:right w:val="single" w:color="auto" w:sz="4" w:space="0"/>
            </w:tcBorders>
            <w:vAlign w:val="center"/>
          </w:tcPr>
          <w:p w14:paraId="2B193946">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505" w:type="pct"/>
            <w:tcBorders>
              <w:top w:val="single" w:color="auto" w:sz="4" w:space="0"/>
              <w:left w:val="single" w:color="auto" w:sz="4" w:space="0"/>
              <w:bottom w:val="single" w:color="auto" w:sz="4" w:space="0"/>
              <w:right w:val="single" w:color="auto" w:sz="4" w:space="0"/>
            </w:tcBorders>
            <w:vAlign w:val="center"/>
          </w:tcPr>
          <w:p w14:paraId="01B70993">
            <w:pPr>
              <w:spacing w:line="360" w:lineRule="auto"/>
              <w:ind w:firstLine="22"/>
              <w:jc w:val="center"/>
              <w:outlineLvl w:val="0"/>
              <w:rPr>
                <w:rFonts w:hint="eastAsia" w:ascii="仿宋" w:hAnsi="仿宋" w:eastAsia="仿宋" w:cs="仿宋"/>
                <w:color w:val="auto"/>
                <w:sz w:val="21"/>
                <w:szCs w:val="21"/>
                <w:highlight w:val="none"/>
              </w:rPr>
            </w:pPr>
            <w:bookmarkStart w:id="474" w:name="_Toc9418"/>
            <w:r>
              <w:rPr>
                <w:rFonts w:hint="eastAsia" w:ascii="仿宋" w:hAnsi="仿宋" w:eastAsia="仿宋" w:cs="仿宋"/>
                <w:color w:val="auto"/>
                <w:sz w:val="21"/>
                <w:szCs w:val="21"/>
                <w:highlight w:val="none"/>
              </w:rPr>
              <w:t>客观分</w:t>
            </w:r>
          </w:p>
          <w:bookmarkEnd w:id="474"/>
        </w:tc>
        <w:tc>
          <w:tcPr>
            <w:tcW w:w="819" w:type="pct"/>
            <w:tcBorders>
              <w:top w:val="single" w:color="auto" w:sz="4" w:space="0"/>
              <w:left w:val="single" w:color="auto" w:sz="4" w:space="0"/>
              <w:bottom w:val="single" w:color="auto" w:sz="4" w:space="0"/>
              <w:right w:val="single" w:color="auto" w:sz="4" w:space="0"/>
            </w:tcBorders>
            <w:vAlign w:val="center"/>
          </w:tcPr>
          <w:p w14:paraId="65F70964">
            <w:pPr>
              <w:spacing w:line="360" w:lineRule="auto"/>
              <w:ind w:firstLine="22"/>
              <w:jc w:val="center"/>
              <w:outlineLvl w:val="0"/>
              <w:rPr>
                <w:rFonts w:hint="eastAsia" w:ascii="仿宋" w:hAnsi="仿宋" w:eastAsia="仿宋" w:cs="仿宋"/>
                <w:color w:val="auto"/>
                <w:sz w:val="21"/>
                <w:szCs w:val="21"/>
                <w:highlight w:val="none"/>
              </w:rPr>
            </w:pPr>
          </w:p>
        </w:tc>
      </w:tr>
      <w:tr w14:paraId="7912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80" w:type="pct"/>
            <w:tcBorders>
              <w:top w:val="single" w:color="auto" w:sz="4" w:space="0"/>
              <w:left w:val="single" w:color="auto" w:sz="4" w:space="0"/>
              <w:bottom w:val="single" w:color="auto" w:sz="4" w:space="0"/>
              <w:right w:val="single" w:color="auto" w:sz="4" w:space="0"/>
            </w:tcBorders>
            <w:vAlign w:val="center"/>
          </w:tcPr>
          <w:p w14:paraId="427A30A7">
            <w:pPr>
              <w:spacing w:line="360" w:lineRule="auto"/>
              <w:ind w:firstLine="22"/>
              <w:jc w:val="center"/>
              <w:outlineLvl w:val="0"/>
              <w:rPr>
                <w:rFonts w:hint="eastAsia" w:ascii="仿宋" w:hAnsi="仿宋" w:eastAsia="仿宋" w:cs="仿宋"/>
                <w:color w:val="auto"/>
                <w:sz w:val="21"/>
                <w:szCs w:val="21"/>
                <w:highlight w:val="none"/>
              </w:rPr>
            </w:pPr>
            <w:bookmarkStart w:id="475" w:name="_Toc21793"/>
            <w:r>
              <w:rPr>
                <w:rFonts w:hint="eastAsia" w:ascii="仿宋" w:hAnsi="仿宋" w:eastAsia="仿宋" w:cs="仿宋"/>
                <w:color w:val="auto"/>
                <w:sz w:val="21"/>
                <w:szCs w:val="21"/>
                <w:highlight w:val="none"/>
              </w:rPr>
              <w:t>1</w:t>
            </w:r>
            <w:bookmarkEnd w:id="475"/>
            <w:r>
              <w:rPr>
                <w:rFonts w:hint="eastAsia" w:ascii="仿宋" w:hAnsi="仿宋" w:eastAsia="仿宋" w:cs="仿宋"/>
                <w:color w:val="auto"/>
                <w:sz w:val="21"/>
                <w:szCs w:val="21"/>
                <w:highlight w:val="none"/>
              </w:rPr>
              <w:t>5</w:t>
            </w:r>
          </w:p>
        </w:tc>
        <w:tc>
          <w:tcPr>
            <w:tcW w:w="3126" w:type="pct"/>
            <w:tcBorders>
              <w:top w:val="single" w:color="auto" w:sz="4" w:space="0"/>
              <w:left w:val="single" w:color="auto" w:sz="4" w:space="0"/>
              <w:bottom w:val="single" w:color="auto" w:sz="4" w:space="0"/>
              <w:right w:val="single" w:color="auto" w:sz="4" w:space="0"/>
            </w:tcBorders>
          </w:tcPr>
          <w:p w14:paraId="64A9450B">
            <w:pPr>
              <w:spacing w:line="360" w:lineRule="auto"/>
              <w:ind w:firstLine="22"/>
              <w:jc w:val="left"/>
              <w:outlineLvl w:val="0"/>
              <w:rPr>
                <w:rFonts w:hint="eastAsia" w:ascii="仿宋" w:hAnsi="仿宋" w:eastAsia="仿宋" w:cs="仿宋"/>
                <w:color w:val="auto"/>
                <w:sz w:val="21"/>
                <w:szCs w:val="21"/>
                <w:highlight w:val="none"/>
              </w:rPr>
            </w:pPr>
            <w:bookmarkStart w:id="476" w:name="_Toc23043"/>
            <w:r>
              <w:rPr>
                <w:rFonts w:hint="eastAsia" w:ascii="仿宋" w:hAnsi="仿宋" w:eastAsia="仿宋" w:cs="仿宋"/>
                <w:color w:val="auto"/>
                <w:sz w:val="21"/>
                <w:szCs w:val="21"/>
                <w:highlight w:val="none"/>
              </w:rPr>
              <w:t>投标人承诺全程不进购物点、无商业广告及各类产品推销和介绍、无自费景点或活动得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分，不提供则不得分 (提供承诺函，格式自拟)；</w:t>
            </w:r>
            <w:bookmarkEnd w:id="476"/>
          </w:p>
        </w:tc>
        <w:tc>
          <w:tcPr>
            <w:tcW w:w="268" w:type="pct"/>
            <w:tcBorders>
              <w:top w:val="single" w:color="auto" w:sz="4" w:space="0"/>
              <w:left w:val="single" w:color="auto" w:sz="4" w:space="0"/>
              <w:bottom w:val="single" w:color="auto" w:sz="4" w:space="0"/>
              <w:right w:val="single" w:color="auto" w:sz="4" w:space="0"/>
            </w:tcBorders>
            <w:vAlign w:val="center"/>
          </w:tcPr>
          <w:p w14:paraId="4CCA90AF">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505" w:type="pct"/>
            <w:tcBorders>
              <w:top w:val="single" w:color="auto" w:sz="4" w:space="0"/>
              <w:left w:val="single" w:color="auto" w:sz="4" w:space="0"/>
              <w:bottom w:val="single" w:color="auto" w:sz="4" w:space="0"/>
              <w:right w:val="single" w:color="auto" w:sz="4" w:space="0"/>
            </w:tcBorders>
            <w:vAlign w:val="center"/>
          </w:tcPr>
          <w:p w14:paraId="121D73AD">
            <w:pPr>
              <w:spacing w:line="360" w:lineRule="auto"/>
              <w:ind w:firstLine="22"/>
              <w:jc w:val="center"/>
              <w:outlineLvl w:val="0"/>
              <w:rPr>
                <w:rFonts w:hint="eastAsia" w:ascii="仿宋" w:hAnsi="仿宋" w:eastAsia="仿宋" w:cs="仿宋"/>
                <w:color w:val="auto"/>
                <w:sz w:val="21"/>
                <w:szCs w:val="21"/>
                <w:highlight w:val="none"/>
              </w:rPr>
            </w:pPr>
            <w:bookmarkStart w:id="477" w:name="_Toc19018"/>
            <w:r>
              <w:rPr>
                <w:rFonts w:hint="eastAsia" w:ascii="仿宋" w:hAnsi="仿宋" w:eastAsia="仿宋" w:cs="仿宋"/>
                <w:color w:val="auto"/>
                <w:sz w:val="21"/>
                <w:szCs w:val="21"/>
                <w:highlight w:val="none"/>
              </w:rPr>
              <w:t>客观分</w:t>
            </w:r>
          </w:p>
          <w:bookmarkEnd w:id="477"/>
        </w:tc>
        <w:tc>
          <w:tcPr>
            <w:tcW w:w="819" w:type="pct"/>
            <w:tcBorders>
              <w:top w:val="single" w:color="auto" w:sz="4" w:space="0"/>
              <w:left w:val="single" w:color="auto" w:sz="4" w:space="0"/>
              <w:bottom w:val="single" w:color="auto" w:sz="4" w:space="0"/>
              <w:right w:val="single" w:color="auto" w:sz="4" w:space="0"/>
            </w:tcBorders>
            <w:vAlign w:val="center"/>
          </w:tcPr>
          <w:p w14:paraId="0EEB6F1F">
            <w:pPr>
              <w:spacing w:line="360" w:lineRule="auto"/>
              <w:ind w:firstLine="22"/>
              <w:jc w:val="center"/>
              <w:outlineLvl w:val="0"/>
              <w:rPr>
                <w:rFonts w:hint="eastAsia" w:ascii="仿宋" w:hAnsi="仿宋" w:eastAsia="仿宋" w:cs="仿宋"/>
                <w:color w:val="auto"/>
                <w:sz w:val="21"/>
                <w:szCs w:val="21"/>
                <w:highlight w:val="none"/>
              </w:rPr>
            </w:pPr>
          </w:p>
        </w:tc>
      </w:tr>
      <w:tr w14:paraId="31A1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80" w:type="pct"/>
            <w:tcBorders>
              <w:top w:val="single" w:color="auto" w:sz="4" w:space="0"/>
              <w:left w:val="single" w:color="auto" w:sz="4" w:space="0"/>
              <w:bottom w:val="single" w:color="auto" w:sz="4" w:space="0"/>
              <w:right w:val="single" w:color="auto" w:sz="4" w:space="0"/>
            </w:tcBorders>
            <w:vAlign w:val="center"/>
          </w:tcPr>
          <w:p w14:paraId="5A78F8AB">
            <w:pPr>
              <w:spacing w:line="360" w:lineRule="auto"/>
              <w:ind w:firstLine="22"/>
              <w:jc w:val="center"/>
              <w:outlineLvl w:val="0"/>
              <w:rPr>
                <w:rFonts w:hint="eastAsia" w:ascii="仿宋" w:hAnsi="仿宋" w:eastAsia="仿宋" w:cs="仿宋"/>
                <w:color w:val="auto"/>
                <w:sz w:val="21"/>
                <w:szCs w:val="21"/>
                <w:highlight w:val="none"/>
              </w:rPr>
            </w:pPr>
            <w:bookmarkStart w:id="478" w:name="_Toc8652"/>
            <w:r>
              <w:rPr>
                <w:rFonts w:hint="eastAsia" w:ascii="仿宋" w:hAnsi="仿宋" w:eastAsia="仿宋" w:cs="仿宋"/>
                <w:color w:val="auto"/>
                <w:sz w:val="21"/>
                <w:szCs w:val="21"/>
                <w:highlight w:val="none"/>
              </w:rPr>
              <w:t>1</w:t>
            </w:r>
            <w:bookmarkEnd w:id="478"/>
            <w:r>
              <w:rPr>
                <w:rFonts w:hint="eastAsia" w:ascii="仿宋" w:hAnsi="仿宋" w:eastAsia="仿宋" w:cs="仿宋"/>
                <w:color w:val="auto"/>
                <w:sz w:val="21"/>
                <w:szCs w:val="21"/>
                <w:highlight w:val="none"/>
              </w:rPr>
              <w:t>6</w:t>
            </w:r>
          </w:p>
        </w:tc>
        <w:tc>
          <w:tcPr>
            <w:tcW w:w="3126" w:type="pct"/>
            <w:tcBorders>
              <w:top w:val="single" w:color="auto" w:sz="4" w:space="0"/>
              <w:left w:val="single" w:color="auto" w:sz="4" w:space="0"/>
              <w:bottom w:val="single" w:color="auto" w:sz="4" w:space="0"/>
              <w:right w:val="single" w:color="auto" w:sz="4" w:space="0"/>
            </w:tcBorders>
          </w:tcPr>
          <w:p w14:paraId="6DE8AD62">
            <w:pPr>
              <w:spacing w:line="360" w:lineRule="auto"/>
              <w:ind w:firstLine="22"/>
              <w:jc w:val="left"/>
              <w:outlineLvl w:val="0"/>
              <w:rPr>
                <w:rFonts w:hint="eastAsia" w:ascii="仿宋" w:hAnsi="仿宋" w:eastAsia="仿宋" w:cs="仿宋"/>
                <w:color w:val="auto"/>
                <w:sz w:val="21"/>
                <w:szCs w:val="21"/>
                <w:highlight w:val="none"/>
              </w:rPr>
            </w:pPr>
            <w:bookmarkStart w:id="479" w:name="_Toc30406"/>
            <w:r>
              <w:rPr>
                <w:rFonts w:hint="eastAsia" w:ascii="仿宋" w:hAnsi="仿宋" w:eastAsia="仿宋" w:cs="仿宋"/>
                <w:color w:val="auto"/>
                <w:sz w:val="21"/>
                <w:szCs w:val="21"/>
                <w:highlight w:val="none"/>
              </w:rPr>
              <w:t>回访服务及总结方案：提供回访服务的具体计划及实施步骤</w:t>
            </w:r>
            <w:bookmarkStart w:id="480" w:name="OLE_LINK9"/>
            <w:r>
              <w:rPr>
                <w:rFonts w:hint="eastAsia" w:ascii="仿宋" w:hAnsi="仿宋" w:eastAsia="仿宋" w:cs="仿宋"/>
                <w:color w:val="auto"/>
                <w:sz w:val="21"/>
                <w:szCs w:val="21"/>
                <w:highlight w:val="none"/>
              </w:rPr>
              <w:t>，根据方案的完整性、针对性进行打分。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4、3、2、1、0）</w:t>
            </w:r>
            <w:bookmarkEnd w:id="479"/>
            <w:bookmarkEnd w:id="480"/>
          </w:p>
        </w:tc>
        <w:tc>
          <w:tcPr>
            <w:tcW w:w="268" w:type="pct"/>
            <w:tcBorders>
              <w:top w:val="single" w:color="auto" w:sz="4" w:space="0"/>
              <w:left w:val="single" w:color="auto" w:sz="4" w:space="0"/>
              <w:bottom w:val="single" w:color="auto" w:sz="4" w:space="0"/>
              <w:right w:val="single" w:color="auto" w:sz="4" w:space="0"/>
            </w:tcBorders>
            <w:vAlign w:val="center"/>
          </w:tcPr>
          <w:p w14:paraId="12506CB5">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505" w:type="pct"/>
            <w:tcBorders>
              <w:top w:val="single" w:color="auto" w:sz="4" w:space="0"/>
              <w:left w:val="single" w:color="auto" w:sz="4" w:space="0"/>
              <w:bottom w:val="single" w:color="auto" w:sz="4" w:space="0"/>
              <w:right w:val="single" w:color="auto" w:sz="4" w:space="0"/>
            </w:tcBorders>
            <w:vAlign w:val="center"/>
          </w:tcPr>
          <w:p w14:paraId="32672902">
            <w:pPr>
              <w:spacing w:line="360" w:lineRule="auto"/>
              <w:ind w:firstLine="22"/>
              <w:jc w:val="center"/>
              <w:outlineLvl w:val="0"/>
              <w:rPr>
                <w:rFonts w:hint="eastAsia" w:ascii="仿宋" w:hAnsi="仿宋" w:eastAsia="仿宋" w:cs="仿宋"/>
                <w:color w:val="auto"/>
                <w:sz w:val="21"/>
                <w:szCs w:val="21"/>
                <w:highlight w:val="none"/>
              </w:rPr>
            </w:pPr>
            <w:bookmarkStart w:id="481" w:name="_Toc9122"/>
            <w:r>
              <w:rPr>
                <w:rFonts w:hint="eastAsia" w:ascii="仿宋" w:hAnsi="仿宋" w:eastAsia="仿宋" w:cs="仿宋"/>
                <w:bCs/>
                <w:color w:val="auto"/>
                <w:sz w:val="21"/>
                <w:szCs w:val="21"/>
                <w:highlight w:val="none"/>
              </w:rPr>
              <w:t>主观分</w:t>
            </w:r>
          </w:p>
          <w:bookmarkEnd w:id="481"/>
        </w:tc>
        <w:tc>
          <w:tcPr>
            <w:tcW w:w="819" w:type="pct"/>
            <w:tcBorders>
              <w:top w:val="single" w:color="auto" w:sz="4" w:space="0"/>
              <w:left w:val="single" w:color="auto" w:sz="4" w:space="0"/>
              <w:bottom w:val="single" w:color="auto" w:sz="4" w:space="0"/>
              <w:right w:val="single" w:color="auto" w:sz="4" w:space="0"/>
            </w:tcBorders>
            <w:vAlign w:val="center"/>
          </w:tcPr>
          <w:p w14:paraId="3A9CEF9E">
            <w:pPr>
              <w:spacing w:line="360" w:lineRule="auto"/>
              <w:ind w:firstLine="22"/>
              <w:jc w:val="center"/>
              <w:outlineLvl w:val="0"/>
              <w:rPr>
                <w:rFonts w:hint="eastAsia" w:ascii="仿宋" w:hAnsi="仿宋" w:eastAsia="仿宋" w:cs="仿宋"/>
                <w:color w:val="auto"/>
                <w:sz w:val="21"/>
                <w:szCs w:val="21"/>
                <w:highlight w:val="none"/>
              </w:rPr>
            </w:pPr>
          </w:p>
        </w:tc>
      </w:tr>
      <w:tr w14:paraId="430C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80" w:type="pct"/>
            <w:tcBorders>
              <w:top w:val="single" w:color="auto" w:sz="4" w:space="0"/>
              <w:left w:val="single" w:color="auto" w:sz="4" w:space="0"/>
              <w:bottom w:val="single" w:color="auto" w:sz="4" w:space="0"/>
              <w:right w:val="single" w:color="auto" w:sz="4" w:space="0"/>
            </w:tcBorders>
            <w:vAlign w:val="center"/>
          </w:tcPr>
          <w:p w14:paraId="16436582">
            <w:pPr>
              <w:spacing w:line="360" w:lineRule="auto"/>
              <w:ind w:firstLine="22"/>
              <w:jc w:val="center"/>
              <w:outlineLvl w:val="0"/>
              <w:rPr>
                <w:rFonts w:hint="eastAsia" w:ascii="仿宋" w:hAnsi="仿宋" w:eastAsia="仿宋" w:cs="仿宋"/>
                <w:color w:val="auto"/>
                <w:sz w:val="21"/>
                <w:szCs w:val="21"/>
                <w:highlight w:val="none"/>
              </w:rPr>
            </w:pPr>
            <w:bookmarkStart w:id="482" w:name="_Toc23786"/>
            <w:r>
              <w:rPr>
                <w:rFonts w:hint="eastAsia" w:ascii="仿宋" w:hAnsi="仿宋" w:eastAsia="仿宋" w:cs="仿宋"/>
                <w:color w:val="auto"/>
                <w:sz w:val="21"/>
                <w:szCs w:val="21"/>
                <w:highlight w:val="none"/>
              </w:rPr>
              <w:t>1</w:t>
            </w:r>
            <w:bookmarkEnd w:id="482"/>
            <w:r>
              <w:rPr>
                <w:rFonts w:hint="eastAsia" w:ascii="仿宋" w:hAnsi="仿宋" w:eastAsia="仿宋" w:cs="仿宋"/>
                <w:color w:val="auto"/>
                <w:sz w:val="21"/>
                <w:szCs w:val="21"/>
                <w:highlight w:val="none"/>
              </w:rPr>
              <w:t>7</w:t>
            </w:r>
          </w:p>
        </w:tc>
        <w:tc>
          <w:tcPr>
            <w:tcW w:w="3126" w:type="pct"/>
            <w:tcBorders>
              <w:top w:val="single" w:color="auto" w:sz="4" w:space="0"/>
              <w:left w:val="single" w:color="auto" w:sz="4" w:space="0"/>
              <w:bottom w:val="single" w:color="auto" w:sz="4" w:space="0"/>
              <w:right w:val="single" w:color="auto" w:sz="4" w:space="0"/>
            </w:tcBorders>
          </w:tcPr>
          <w:p w14:paraId="3299E1CD">
            <w:pPr>
              <w:spacing w:line="360" w:lineRule="auto"/>
              <w:ind w:firstLine="22"/>
              <w:jc w:val="left"/>
              <w:outlineLvl w:val="0"/>
              <w:rPr>
                <w:rFonts w:hint="eastAsia" w:ascii="仿宋" w:hAnsi="仿宋" w:eastAsia="仿宋" w:cs="仿宋"/>
                <w:color w:val="auto"/>
                <w:sz w:val="21"/>
                <w:szCs w:val="21"/>
                <w:highlight w:val="none"/>
              </w:rPr>
            </w:pPr>
            <w:bookmarkStart w:id="483" w:name="_Toc24119"/>
            <w:r>
              <w:rPr>
                <w:rFonts w:hint="eastAsia" w:ascii="仿宋" w:hAnsi="仿宋" w:eastAsia="仿宋" w:cs="仿宋"/>
                <w:color w:val="auto"/>
                <w:sz w:val="21"/>
                <w:szCs w:val="21"/>
                <w:highlight w:val="none"/>
              </w:rPr>
              <w:t>服务质量标准：包括服务的具体标准，提供具体质量标准，根据标准的完整性、针对性进行打分。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：3、2、1、0）</w:t>
            </w:r>
            <w:bookmarkEnd w:id="483"/>
          </w:p>
        </w:tc>
        <w:tc>
          <w:tcPr>
            <w:tcW w:w="268" w:type="pct"/>
            <w:tcBorders>
              <w:top w:val="single" w:color="auto" w:sz="4" w:space="0"/>
              <w:left w:val="single" w:color="auto" w:sz="4" w:space="0"/>
              <w:bottom w:val="single" w:color="auto" w:sz="4" w:space="0"/>
              <w:right w:val="single" w:color="auto" w:sz="4" w:space="0"/>
            </w:tcBorders>
            <w:vAlign w:val="center"/>
          </w:tcPr>
          <w:p w14:paraId="54784A71">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505" w:type="pct"/>
            <w:tcBorders>
              <w:top w:val="single" w:color="auto" w:sz="4" w:space="0"/>
              <w:left w:val="single" w:color="auto" w:sz="4" w:space="0"/>
              <w:bottom w:val="single" w:color="auto" w:sz="4" w:space="0"/>
              <w:right w:val="single" w:color="auto" w:sz="4" w:space="0"/>
            </w:tcBorders>
            <w:vAlign w:val="center"/>
          </w:tcPr>
          <w:p w14:paraId="25CCAA24">
            <w:pPr>
              <w:spacing w:line="360" w:lineRule="auto"/>
              <w:ind w:firstLine="22"/>
              <w:jc w:val="center"/>
              <w:outlineLvl w:val="0"/>
              <w:rPr>
                <w:rFonts w:hint="eastAsia" w:ascii="仿宋" w:hAnsi="仿宋" w:eastAsia="仿宋" w:cs="仿宋"/>
                <w:color w:val="auto"/>
                <w:sz w:val="21"/>
                <w:szCs w:val="21"/>
                <w:highlight w:val="none"/>
              </w:rPr>
            </w:pPr>
            <w:bookmarkStart w:id="484" w:name="_Toc9651"/>
            <w:r>
              <w:rPr>
                <w:rFonts w:hint="eastAsia" w:ascii="仿宋" w:hAnsi="仿宋" w:eastAsia="仿宋" w:cs="仿宋"/>
                <w:bCs/>
                <w:color w:val="auto"/>
                <w:sz w:val="21"/>
                <w:szCs w:val="21"/>
                <w:highlight w:val="none"/>
              </w:rPr>
              <w:t>主观分</w:t>
            </w:r>
          </w:p>
          <w:bookmarkEnd w:id="484"/>
        </w:tc>
        <w:tc>
          <w:tcPr>
            <w:tcW w:w="819" w:type="pct"/>
            <w:tcBorders>
              <w:top w:val="single" w:color="auto" w:sz="4" w:space="0"/>
              <w:left w:val="single" w:color="auto" w:sz="4" w:space="0"/>
              <w:bottom w:val="single" w:color="auto" w:sz="4" w:space="0"/>
              <w:right w:val="single" w:color="auto" w:sz="4" w:space="0"/>
            </w:tcBorders>
            <w:vAlign w:val="center"/>
          </w:tcPr>
          <w:p w14:paraId="37A7FFCB">
            <w:pPr>
              <w:spacing w:line="360" w:lineRule="auto"/>
              <w:ind w:firstLine="22"/>
              <w:jc w:val="center"/>
              <w:outlineLvl w:val="0"/>
              <w:rPr>
                <w:rFonts w:hint="eastAsia" w:ascii="仿宋" w:hAnsi="仿宋" w:eastAsia="仿宋" w:cs="仿宋"/>
                <w:color w:val="auto"/>
                <w:sz w:val="21"/>
                <w:szCs w:val="21"/>
                <w:highlight w:val="none"/>
              </w:rPr>
            </w:pPr>
          </w:p>
        </w:tc>
      </w:tr>
      <w:tr w14:paraId="7595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tcBorders>
              <w:top w:val="single" w:color="auto" w:sz="4" w:space="0"/>
              <w:left w:val="single" w:color="auto" w:sz="4" w:space="0"/>
              <w:bottom w:val="single" w:color="auto" w:sz="4" w:space="0"/>
              <w:right w:val="single" w:color="auto" w:sz="4" w:space="0"/>
            </w:tcBorders>
            <w:vAlign w:val="center"/>
          </w:tcPr>
          <w:p w14:paraId="619F9006">
            <w:pPr>
              <w:spacing w:line="360" w:lineRule="auto"/>
              <w:ind w:firstLine="22"/>
              <w:jc w:val="center"/>
              <w:outlineLvl w:val="0"/>
              <w:rPr>
                <w:rFonts w:hint="eastAsia" w:ascii="仿宋" w:hAnsi="仿宋" w:eastAsia="仿宋" w:cs="仿宋"/>
                <w:color w:val="auto"/>
                <w:sz w:val="21"/>
                <w:szCs w:val="21"/>
                <w:highlight w:val="none"/>
              </w:rPr>
            </w:pPr>
            <w:bookmarkStart w:id="485" w:name="_Toc22251"/>
            <w:r>
              <w:rPr>
                <w:rFonts w:hint="eastAsia" w:ascii="仿宋" w:hAnsi="仿宋" w:eastAsia="仿宋" w:cs="仿宋"/>
                <w:color w:val="auto"/>
                <w:sz w:val="21"/>
                <w:szCs w:val="21"/>
                <w:highlight w:val="none"/>
              </w:rPr>
              <w:t>1</w:t>
            </w:r>
            <w:bookmarkEnd w:id="485"/>
            <w:r>
              <w:rPr>
                <w:rFonts w:hint="eastAsia" w:ascii="仿宋" w:hAnsi="仿宋" w:eastAsia="仿宋" w:cs="仿宋"/>
                <w:color w:val="auto"/>
                <w:sz w:val="21"/>
                <w:szCs w:val="21"/>
                <w:highlight w:val="none"/>
              </w:rPr>
              <w:t>8</w:t>
            </w:r>
          </w:p>
        </w:tc>
        <w:tc>
          <w:tcPr>
            <w:tcW w:w="3126" w:type="pct"/>
            <w:tcBorders>
              <w:top w:val="single" w:color="auto" w:sz="4" w:space="0"/>
              <w:left w:val="single" w:color="auto" w:sz="4" w:space="0"/>
              <w:bottom w:val="single" w:color="auto" w:sz="4" w:space="0"/>
              <w:right w:val="single" w:color="auto" w:sz="4" w:space="0"/>
            </w:tcBorders>
          </w:tcPr>
          <w:p w14:paraId="41652526">
            <w:pPr>
              <w:spacing w:line="360" w:lineRule="auto"/>
              <w:ind w:firstLine="22"/>
              <w:jc w:val="left"/>
              <w:outlineLvl w:val="0"/>
              <w:rPr>
                <w:rFonts w:hint="eastAsia" w:ascii="仿宋" w:hAnsi="仿宋" w:eastAsia="仿宋" w:cs="仿宋"/>
                <w:color w:val="auto"/>
                <w:sz w:val="21"/>
                <w:szCs w:val="21"/>
                <w:highlight w:val="none"/>
              </w:rPr>
            </w:pPr>
            <w:bookmarkStart w:id="486" w:name="_Toc20953"/>
            <w:r>
              <w:rPr>
                <w:rFonts w:hint="eastAsia" w:ascii="仿宋" w:hAnsi="仿宋" w:eastAsia="仿宋" w:cs="仿宋"/>
                <w:color w:val="auto"/>
                <w:sz w:val="21"/>
                <w:szCs w:val="21"/>
                <w:highlight w:val="none"/>
              </w:rPr>
              <w:t>针对本项目的合理化建议：在符合招标文件规定的线路标准的基础上，根据采购人活动目的地及服务对象等方面，提出合理化建议，增加文娱活动体验感提高满意度，根据方案的完整性、有效性进行打分。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：4、3、2、1、0）</w:t>
            </w:r>
            <w:bookmarkEnd w:id="486"/>
          </w:p>
        </w:tc>
        <w:tc>
          <w:tcPr>
            <w:tcW w:w="268" w:type="pct"/>
            <w:tcBorders>
              <w:top w:val="single" w:color="auto" w:sz="4" w:space="0"/>
              <w:left w:val="single" w:color="auto" w:sz="4" w:space="0"/>
              <w:bottom w:val="single" w:color="auto" w:sz="4" w:space="0"/>
              <w:right w:val="single" w:color="auto" w:sz="4" w:space="0"/>
            </w:tcBorders>
            <w:vAlign w:val="center"/>
          </w:tcPr>
          <w:p w14:paraId="604EFD04">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505" w:type="pct"/>
            <w:tcBorders>
              <w:top w:val="single" w:color="auto" w:sz="4" w:space="0"/>
              <w:left w:val="single" w:color="auto" w:sz="4" w:space="0"/>
              <w:bottom w:val="single" w:color="auto" w:sz="4" w:space="0"/>
              <w:right w:val="single" w:color="auto" w:sz="4" w:space="0"/>
            </w:tcBorders>
            <w:vAlign w:val="center"/>
          </w:tcPr>
          <w:p w14:paraId="514D76F7">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819" w:type="pct"/>
            <w:tcBorders>
              <w:top w:val="single" w:color="auto" w:sz="4" w:space="0"/>
              <w:left w:val="single" w:color="auto" w:sz="4" w:space="0"/>
              <w:bottom w:val="single" w:color="auto" w:sz="4" w:space="0"/>
              <w:right w:val="single" w:color="auto" w:sz="4" w:space="0"/>
            </w:tcBorders>
            <w:vAlign w:val="center"/>
          </w:tcPr>
          <w:p w14:paraId="23D9CCE1">
            <w:pPr>
              <w:spacing w:line="360" w:lineRule="auto"/>
              <w:ind w:firstLine="22"/>
              <w:jc w:val="center"/>
              <w:outlineLvl w:val="0"/>
              <w:rPr>
                <w:rFonts w:hint="eastAsia" w:ascii="仿宋" w:hAnsi="仿宋" w:eastAsia="仿宋" w:cs="仿宋"/>
                <w:color w:val="auto"/>
                <w:sz w:val="21"/>
                <w:szCs w:val="21"/>
                <w:highlight w:val="none"/>
              </w:rPr>
            </w:pPr>
          </w:p>
        </w:tc>
      </w:tr>
      <w:tr w14:paraId="61D3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0" w:type="pct"/>
            <w:tcBorders>
              <w:top w:val="single" w:color="auto" w:sz="4" w:space="0"/>
              <w:left w:val="single" w:color="auto" w:sz="4" w:space="0"/>
              <w:bottom w:val="single" w:color="auto" w:sz="4" w:space="0"/>
              <w:right w:val="single" w:color="auto" w:sz="4" w:space="0"/>
            </w:tcBorders>
            <w:vAlign w:val="center"/>
          </w:tcPr>
          <w:p w14:paraId="08BB2941">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3126" w:type="pct"/>
            <w:tcBorders>
              <w:top w:val="single" w:color="auto" w:sz="4" w:space="0"/>
              <w:left w:val="single" w:color="auto" w:sz="4" w:space="0"/>
              <w:bottom w:val="single" w:color="auto" w:sz="4" w:space="0"/>
              <w:right w:val="single" w:color="auto" w:sz="4" w:space="0"/>
            </w:tcBorders>
          </w:tcPr>
          <w:p w14:paraId="0F2A544B">
            <w:pPr>
              <w:spacing w:line="360" w:lineRule="auto"/>
              <w:ind w:firstLine="22"/>
              <w:jc w:val="left"/>
              <w:outlineLvl w:val="0"/>
              <w:rPr>
                <w:rFonts w:hint="eastAsia" w:ascii="仿宋" w:hAnsi="仿宋" w:eastAsia="仿宋" w:cs="仿宋"/>
                <w:color w:val="auto"/>
                <w:sz w:val="21"/>
                <w:szCs w:val="21"/>
                <w:highlight w:val="none"/>
              </w:rPr>
            </w:pPr>
            <w:bookmarkStart w:id="487" w:name="_Toc23525"/>
            <w:r>
              <w:rPr>
                <w:rFonts w:hint="eastAsia" w:ascii="仿宋" w:hAnsi="仿宋" w:eastAsia="仿宋" w:cs="仿宋"/>
                <w:color w:val="auto"/>
                <w:sz w:val="21"/>
                <w:szCs w:val="21"/>
                <w:highlight w:val="none"/>
              </w:rPr>
              <w:t>2022年1月1日至今（以合同签订时间为准）投标人承担文体活动（参观游览）项目情况：每提供一个合同复印件得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bookmarkEnd w:id="487"/>
          </w:p>
        </w:tc>
        <w:tc>
          <w:tcPr>
            <w:tcW w:w="268" w:type="pct"/>
            <w:tcBorders>
              <w:top w:val="single" w:color="auto" w:sz="4" w:space="0"/>
              <w:left w:val="single" w:color="auto" w:sz="4" w:space="0"/>
              <w:bottom w:val="single" w:color="auto" w:sz="4" w:space="0"/>
              <w:right w:val="single" w:color="auto" w:sz="4" w:space="0"/>
            </w:tcBorders>
            <w:vAlign w:val="center"/>
          </w:tcPr>
          <w:p w14:paraId="65F08521">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505" w:type="pct"/>
            <w:tcBorders>
              <w:top w:val="single" w:color="auto" w:sz="4" w:space="0"/>
              <w:left w:val="single" w:color="auto" w:sz="4" w:space="0"/>
              <w:bottom w:val="single" w:color="auto" w:sz="4" w:space="0"/>
              <w:right w:val="single" w:color="auto" w:sz="4" w:space="0"/>
            </w:tcBorders>
            <w:vAlign w:val="center"/>
          </w:tcPr>
          <w:p w14:paraId="5730328E">
            <w:pPr>
              <w:spacing w:line="360" w:lineRule="auto"/>
              <w:ind w:firstLine="22"/>
              <w:jc w:val="center"/>
              <w:outlineLvl w:val="0"/>
              <w:rPr>
                <w:rFonts w:hint="eastAsia" w:ascii="仿宋" w:hAnsi="仿宋" w:eastAsia="仿宋" w:cs="仿宋"/>
                <w:color w:val="auto"/>
                <w:sz w:val="21"/>
                <w:szCs w:val="21"/>
                <w:highlight w:val="none"/>
              </w:rPr>
            </w:pPr>
            <w:bookmarkStart w:id="488" w:name="_Toc1395"/>
            <w:r>
              <w:rPr>
                <w:rFonts w:hint="eastAsia" w:ascii="仿宋" w:hAnsi="仿宋" w:eastAsia="仿宋" w:cs="仿宋"/>
                <w:color w:val="auto"/>
                <w:sz w:val="21"/>
                <w:szCs w:val="21"/>
                <w:highlight w:val="none"/>
              </w:rPr>
              <w:t>客观分</w:t>
            </w:r>
          </w:p>
          <w:bookmarkEnd w:id="488"/>
        </w:tc>
        <w:tc>
          <w:tcPr>
            <w:tcW w:w="819" w:type="pct"/>
            <w:tcBorders>
              <w:top w:val="single" w:color="auto" w:sz="4" w:space="0"/>
              <w:left w:val="single" w:color="auto" w:sz="4" w:space="0"/>
              <w:bottom w:val="single" w:color="auto" w:sz="4" w:space="0"/>
              <w:right w:val="single" w:color="auto" w:sz="4" w:space="0"/>
            </w:tcBorders>
            <w:vAlign w:val="center"/>
          </w:tcPr>
          <w:p w14:paraId="6F105D2E">
            <w:pPr>
              <w:spacing w:line="360" w:lineRule="auto"/>
              <w:ind w:firstLine="22"/>
              <w:jc w:val="center"/>
              <w:outlineLvl w:val="0"/>
              <w:rPr>
                <w:rFonts w:hint="eastAsia" w:ascii="仿宋" w:hAnsi="仿宋" w:eastAsia="仿宋" w:cs="仿宋"/>
                <w:color w:val="auto"/>
                <w:sz w:val="21"/>
                <w:szCs w:val="21"/>
                <w:highlight w:val="none"/>
              </w:rPr>
            </w:pPr>
          </w:p>
        </w:tc>
      </w:tr>
      <w:tr w14:paraId="71D1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0" w:type="pct"/>
            <w:tcBorders>
              <w:top w:val="single" w:color="auto" w:sz="4" w:space="0"/>
              <w:left w:val="single" w:color="auto" w:sz="4" w:space="0"/>
              <w:bottom w:val="single" w:color="auto" w:sz="4" w:space="0"/>
              <w:right w:val="single" w:color="auto" w:sz="4" w:space="0"/>
            </w:tcBorders>
            <w:vAlign w:val="center"/>
          </w:tcPr>
          <w:p w14:paraId="2EF975DD">
            <w:pPr>
              <w:spacing w:line="360" w:lineRule="auto"/>
              <w:ind w:firstLine="22"/>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3126" w:type="pct"/>
            <w:tcBorders>
              <w:top w:val="single" w:color="auto" w:sz="4" w:space="0"/>
              <w:left w:val="single" w:color="auto" w:sz="4" w:space="0"/>
              <w:bottom w:val="single" w:color="auto" w:sz="4" w:space="0"/>
              <w:right w:val="single" w:color="auto" w:sz="4" w:space="0"/>
            </w:tcBorders>
          </w:tcPr>
          <w:p w14:paraId="7B7B31AA">
            <w:pPr>
              <w:spacing w:line="360" w:lineRule="auto"/>
              <w:ind w:firstLine="22"/>
              <w:jc w:val="left"/>
              <w:outlineLvl w:val="0"/>
              <w:rPr>
                <w:rFonts w:hint="eastAsia" w:ascii="仿宋" w:hAnsi="仿宋" w:eastAsia="仿宋" w:cs="仿宋"/>
                <w:color w:val="auto"/>
                <w:sz w:val="21"/>
                <w:szCs w:val="21"/>
                <w:highlight w:val="none"/>
              </w:rPr>
            </w:pPr>
            <w:r>
              <w:rPr>
                <w:rStyle w:val="79"/>
                <w:rFonts w:hint="eastAsia" w:ascii="仿宋" w:hAnsi="仿宋" w:eastAsia="仿宋" w:cs="仿宋"/>
                <w:bCs/>
                <w:color w:val="auto"/>
                <w:sz w:val="21"/>
                <w:szCs w:val="21"/>
                <w:highlight w:val="none"/>
                <w:lang w:val="en-US" w:eastAsia="zh-CN"/>
              </w:rPr>
              <w:t>具备五星级品质旅行社的得3分，4星级品质旅行社的得2分，3星级品质旅行社的得1分</w:t>
            </w:r>
            <w:r>
              <w:rPr>
                <w:rStyle w:val="79"/>
                <w:rFonts w:hint="eastAsia" w:ascii="仿宋" w:hAnsi="仿宋" w:eastAsia="仿宋" w:cs="仿宋"/>
                <w:bCs/>
                <w:color w:val="auto"/>
                <w:sz w:val="21"/>
                <w:szCs w:val="21"/>
                <w:highlight w:val="none"/>
              </w:rPr>
              <w:t>。</w:t>
            </w:r>
          </w:p>
        </w:tc>
        <w:tc>
          <w:tcPr>
            <w:tcW w:w="268" w:type="pct"/>
            <w:tcBorders>
              <w:top w:val="single" w:color="auto" w:sz="4" w:space="0"/>
              <w:left w:val="single" w:color="auto" w:sz="4" w:space="0"/>
              <w:bottom w:val="single" w:color="auto" w:sz="4" w:space="0"/>
              <w:right w:val="single" w:color="auto" w:sz="4" w:space="0"/>
            </w:tcBorders>
            <w:vAlign w:val="center"/>
          </w:tcPr>
          <w:p w14:paraId="7206756A">
            <w:pPr>
              <w:spacing w:line="360" w:lineRule="auto"/>
              <w:ind w:firstLine="22"/>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505" w:type="pct"/>
            <w:tcBorders>
              <w:top w:val="single" w:color="auto" w:sz="4" w:space="0"/>
              <w:left w:val="single" w:color="auto" w:sz="4" w:space="0"/>
              <w:bottom w:val="single" w:color="auto" w:sz="4" w:space="0"/>
              <w:right w:val="single" w:color="auto" w:sz="4" w:space="0"/>
            </w:tcBorders>
            <w:vAlign w:val="center"/>
          </w:tcPr>
          <w:p w14:paraId="2B6FA481">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819" w:type="pct"/>
            <w:tcBorders>
              <w:top w:val="single" w:color="auto" w:sz="4" w:space="0"/>
              <w:left w:val="single" w:color="auto" w:sz="4" w:space="0"/>
              <w:bottom w:val="single" w:color="auto" w:sz="4" w:space="0"/>
              <w:right w:val="single" w:color="auto" w:sz="4" w:space="0"/>
            </w:tcBorders>
            <w:vAlign w:val="center"/>
          </w:tcPr>
          <w:p w14:paraId="00114E78">
            <w:pPr>
              <w:spacing w:line="360" w:lineRule="auto"/>
              <w:ind w:firstLine="22"/>
              <w:jc w:val="center"/>
              <w:outlineLvl w:val="0"/>
              <w:rPr>
                <w:rFonts w:hint="eastAsia" w:ascii="仿宋" w:hAnsi="仿宋" w:eastAsia="仿宋" w:cs="仿宋"/>
                <w:color w:val="auto"/>
                <w:sz w:val="21"/>
                <w:szCs w:val="21"/>
                <w:highlight w:val="none"/>
              </w:rPr>
            </w:pPr>
          </w:p>
        </w:tc>
      </w:tr>
      <w:tr w14:paraId="0C91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B8C3256">
            <w:pPr>
              <w:wordWrap w:val="0"/>
              <w:snapToGrid w:val="0"/>
              <w:spacing w:beforeLines="0" w:afterLines="0"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根据相关政策要求，本项目采用统一定价标准，130元/人次，价格不列为评审因素。</w:t>
            </w:r>
          </w:p>
        </w:tc>
      </w:tr>
    </w:tbl>
    <w:p w14:paraId="06D9F7B9">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备注：.投标人编制投标文件（商务技术文件部分）时，建议按此目录（序号和内容）提供评标标准相应的商务技术资料。</w:t>
      </w:r>
    </w:p>
    <w:p w14:paraId="0CC4F4F0">
      <w:pPr>
        <w:wordWrap w:val="0"/>
        <w:snapToGrid w:val="0"/>
        <w:spacing w:beforeLines="0" w:afterLines="0" w:line="360" w:lineRule="auto"/>
        <w:ind w:firstLine="321" w:firstLineChars="100"/>
        <w:outlineLvl w:val="1"/>
        <w:rPr>
          <w:rFonts w:ascii="仿宋" w:hAnsi="仿宋" w:eastAsia="仿宋" w:cs="仿宋"/>
          <w:b/>
          <w:color w:val="auto"/>
          <w:sz w:val="28"/>
          <w:szCs w:val="28"/>
          <w:highlight w:val="none"/>
        </w:rPr>
      </w:pPr>
      <w:r>
        <w:rPr>
          <w:rFonts w:hint="eastAsia" w:ascii="仿宋" w:hAnsi="仿宋" w:eastAsia="仿宋" w:cs="仿宋"/>
          <w:b/>
          <w:color w:val="auto"/>
          <w:sz w:val="32"/>
          <w:highlight w:val="none"/>
        </w:rPr>
        <w:t>1.评标方法</w:t>
      </w:r>
    </w:p>
    <w:p w14:paraId="7C5094A6">
      <w:pPr>
        <w:wordWrap w:val="0"/>
        <w:adjustRightInd/>
        <w:snapToGrid w:val="0"/>
        <w:spacing w:beforeLines="0" w:afterLines="0"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22841CF">
      <w:pPr>
        <w:wordWrap w:val="0"/>
        <w:adjustRightInd/>
        <w:snapToGrid w:val="0"/>
        <w:spacing w:beforeLines="0" w:afterLines="0" w:line="360" w:lineRule="auto"/>
        <w:ind w:firstLine="321" w:firstLineChars="100"/>
        <w:outlineLvl w:val="1"/>
        <w:rPr>
          <w:rFonts w:ascii="仿宋" w:hAnsi="仿宋" w:eastAsia="仿宋" w:cs="仿宋"/>
          <w:color w:val="auto"/>
          <w:kern w:val="0"/>
          <w:sz w:val="24"/>
          <w:highlight w:val="none"/>
        </w:rPr>
      </w:pPr>
      <w:r>
        <w:rPr>
          <w:rFonts w:hint="eastAsia" w:ascii="仿宋" w:hAnsi="仿宋" w:eastAsia="仿宋" w:cs="仿宋"/>
          <w:b/>
          <w:color w:val="auto"/>
          <w:sz w:val="32"/>
          <w:highlight w:val="none"/>
        </w:rPr>
        <w:t>2.评标标准</w:t>
      </w:r>
    </w:p>
    <w:p w14:paraId="61E7B65E">
      <w:pPr>
        <w:wordWrap w:val="0"/>
        <w:snapToGrid w:val="0"/>
        <w:spacing w:beforeLines="0" w:afterLines="0"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14:paraId="3DAB40BB">
      <w:pPr>
        <w:wordWrap w:val="0"/>
        <w:snapToGrid w:val="0"/>
        <w:spacing w:beforeLines="0" w:afterLines="0" w:line="360" w:lineRule="auto"/>
        <w:ind w:firstLine="321" w:firstLineChars="1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3.评标程序</w:t>
      </w:r>
    </w:p>
    <w:p w14:paraId="51C682BF">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E18D011">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E0B3515">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1D6CA61">
      <w:pPr>
        <w:wordWrap w:val="0"/>
        <w:snapToGrid w:val="0"/>
        <w:spacing w:beforeLines="0" w:afterLines="0"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609B327">
      <w:pPr>
        <w:pStyle w:val="133"/>
        <w:wordWrap w:val="0"/>
        <w:snapToGrid w:val="0"/>
        <w:spacing w:before="0" w:beforeLines="0" w:afterLines="0" w:line="360" w:lineRule="auto"/>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14:paraId="099AD5ED">
      <w:pPr>
        <w:pStyle w:val="133"/>
        <w:wordWrap w:val="0"/>
        <w:snapToGrid w:val="0"/>
        <w:spacing w:before="0" w:beforeLines="0" w:afterLines="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14:paraId="0C5A7395">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.1投标文件中开标一览表(报价表)内容与投标文件中相应内容不一致的，以开标一览表(报价表)为准;</w:t>
      </w:r>
      <w:r>
        <w:rPr>
          <w:rFonts w:hint="eastAsia" w:ascii="仿宋" w:hAnsi="仿宋" w:eastAsia="仿宋" w:cs="仿宋"/>
          <w:color w:val="auto"/>
          <w:kern w:val="0"/>
          <w:szCs w:val="24"/>
          <w:highlight w:val="none"/>
        </w:rPr>
        <w:t>但开标一览表(报价表)存在明显单位、文字错误的，则澄清、说明、补正；</w:t>
      </w:r>
    </w:p>
    <w:p w14:paraId="05FD8D73">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rPr>
        <w:t>但大写有明显单位、文字错误外的除外;</w:t>
      </w:r>
    </w:p>
    <w:p w14:paraId="1364FA75">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.3单价金额小数点或者百分比有明显错位的，以开标一览表的总价为准，并修改单价;</w:t>
      </w:r>
    </w:p>
    <w:p w14:paraId="12C5DD0D">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.4总价金额与按单价汇总金额不一致的，以单价金额计算结果为准。</w:t>
      </w:r>
    </w:p>
    <w:p w14:paraId="6568A6A3">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同时出现两种以上不一致的，按照3.4.</w:t>
      </w:r>
      <w:r>
        <w:rPr>
          <w:rFonts w:hint="eastAsia" w:ascii="仿宋" w:hAnsi="仿宋" w:eastAsia="仿宋" w:cs="仿宋"/>
          <w:color w:val="auto"/>
          <w:kern w:val="0"/>
          <w:szCs w:val="24"/>
          <w:highlight w:val="none"/>
        </w:rPr>
        <w:t>2规定的顺序修正。修正后的报价按照财政部第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6211949E">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3投标文件出现不是唯一的、有选择性投标报价的，投标无效。</w:t>
      </w:r>
    </w:p>
    <w:p w14:paraId="40F55671">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4投标报价超过招标文件中规定的预算金额或者最高限价的，投标无效。</w:t>
      </w:r>
    </w:p>
    <w:p w14:paraId="014C113C">
      <w:pPr>
        <w:pStyle w:val="133"/>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3.4.</w:t>
      </w:r>
      <w:r>
        <w:rPr>
          <w:rFonts w:hint="eastAsia" w:ascii="仿宋" w:hAnsi="仿宋" w:eastAsia="仿宋" w:cs="仿宋"/>
          <w:b/>
          <w:bCs/>
          <w:color w:val="auto"/>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color w:val="auto"/>
          <w:kern w:val="0"/>
          <w:szCs w:val="24"/>
          <w:highlight w:val="none"/>
        </w:rPr>
        <w:t>;投标人不能证明其报价合理性的，评标委员会应当将其作为无效投标处理。</w:t>
      </w:r>
    </w:p>
    <w:p w14:paraId="5440797D">
      <w:pPr>
        <w:pStyle w:val="133"/>
        <w:wordWrap w:val="0"/>
        <w:snapToGrid w:val="0"/>
        <w:spacing w:before="0" w:beforeLines="0" w:afterLines="0" w:line="360" w:lineRule="auto"/>
        <w:ind w:firstLine="480"/>
        <w:rPr>
          <w:rFonts w:ascii="仿宋" w:hAnsi="仿宋" w:eastAsia="仿宋" w:cs="仿宋"/>
          <w:b/>
          <w:bCs/>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color w:val="auto"/>
          <w:kern w:val="0"/>
          <w:szCs w:val="24"/>
          <w:highlight w:val="none"/>
        </w:rPr>
        <w:t>的扣除，用扣除后的价格参与评审。</w:t>
      </w:r>
      <w:r>
        <w:rPr>
          <w:rFonts w:ascii="仿宋" w:hAnsi="仿宋" w:eastAsia="仿宋" w:cs="仿宋"/>
          <w:b/>
          <w:bCs/>
          <w:color w:val="auto"/>
          <w:kern w:val="0"/>
          <w:szCs w:val="24"/>
          <w:highlight w:val="none"/>
        </w:rPr>
        <w:t>接受大中型企业与小</w:t>
      </w:r>
      <w:r>
        <w:rPr>
          <w:rFonts w:hint="eastAsia" w:ascii="仿宋" w:hAnsi="仿宋" w:eastAsia="仿宋" w:cs="仿宋"/>
          <w:b/>
          <w:bCs/>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b/>
          <w:bCs/>
          <w:color w:val="auto"/>
          <w:kern w:val="0"/>
          <w:szCs w:val="24"/>
          <w:highlight w:val="none"/>
        </w:rPr>
        <w:t>的扣除，用扣除后的价格参加评审。</w:t>
      </w:r>
    </w:p>
    <w:p w14:paraId="145B2398">
      <w:pPr>
        <w:pStyle w:val="133"/>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组成联合体或者接受分包的小</w:t>
      </w:r>
      <w:r>
        <w:rPr>
          <w:rFonts w:hint="eastAsia" w:ascii="仿宋" w:hAnsi="仿宋" w:eastAsia="仿宋" w:cs="仿宋"/>
          <w:b/>
          <w:bCs/>
          <w:color w:val="auto"/>
          <w:kern w:val="0"/>
          <w:szCs w:val="24"/>
          <w:highlight w:val="none"/>
        </w:rPr>
        <w:t>微企业与联合体内其他企业、分包企业之间存在直接控股、管理关系的，不享受价格扣除优惠政策。</w:t>
      </w:r>
    </w:p>
    <w:p w14:paraId="52339518">
      <w:pPr>
        <w:wordWrap w:val="0"/>
        <w:snapToGrid w:val="0"/>
        <w:spacing w:beforeLines="0" w:afterLines="0"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
          <w:bCs/>
          <w:color w:val="auto"/>
          <w:kern w:val="0"/>
          <w:sz w:val="24"/>
          <w:highlight w:val="none"/>
        </w:rPr>
        <w:t>本项目</w:t>
      </w:r>
      <w:r>
        <w:rPr>
          <w:rFonts w:hint="eastAsia" w:ascii="仿宋" w:hAnsi="仿宋" w:eastAsia="仿宋" w:cs="仿宋"/>
          <w:b/>
          <w:bCs/>
          <w:color w:val="auto"/>
          <w:kern w:val="0"/>
          <w:sz w:val="24"/>
          <w:highlight w:val="none"/>
          <w:lang w:val="en-US" w:eastAsia="zh-CN"/>
        </w:rPr>
        <w:t>每个标项各</w:t>
      </w:r>
      <w:r>
        <w:rPr>
          <w:rFonts w:hint="eastAsia" w:ascii="仿宋" w:hAnsi="仿宋" w:eastAsia="仿宋" w:cs="仿宋"/>
          <w:b/>
          <w:bCs/>
          <w:color w:val="auto"/>
          <w:kern w:val="0"/>
          <w:sz w:val="24"/>
          <w:highlight w:val="none"/>
        </w:rPr>
        <w:t>推荐1名中标候选人。</w:t>
      </w:r>
    </w:p>
    <w:p w14:paraId="1314E08C">
      <w:pPr>
        <w:wordWrap w:val="0"/>
        <w:snapToGrid w:val="0"/>
        <w:spacing w:beforeLines="0" w:afterLines="0"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14:paraId="668E904E">
      <w:pPr>
        <w:wordWrap w:val="0"/>
        <w:snapToGrid w:val="0"/>
        <w:spacing w:beforeLines="0" w:afterLines="0"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85815E">
      <w:pPr>
        <w:pStyle w:val="2"/>
      </w:pPr>
    </w:p>
    <w:p w14:paraId="511B6EB5">
      <w:pPr>
        <w:wordWrap w:val="0"/>
        <w:snapToGrid w:val="0"/>
        <w:spacing w:beforeLines="0" w:afterLines="0" w:line="360" w:lineRule="auto"/>
        <w:ind w:firstLine="321" w:firstLineChars="1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4</w:t>
      </w:r>
      <w:r>
        <w:rPr>
          <w:rFonts w:hint="eastAsia" w:ascii="仿宋" w:hAnsi="仿宋" w:eastAsia="仿宋" w:cs="仿宋"/>
          <w:b/>
          <w:color w:val="auto"/>
          <w:sz w:val="32"/>
          <w:highlight w:val="none"/>
        </w:rPr>
        <w:t>、评标中的其他事项</w:t>
      </w:r>
    </w:p>
    <w:p w14:paraId="7D8AA920">
      <w:pPr>
        <w:pStyle w:val="133"/>
        <w:wordWrap w:val="0"/>
        <w:snapToGrid w:val="0"/>
        <w:spacing w:before="0" w:beforeLines="0" w:afterLines="0" w:line="360" w:lineRule="auto"/>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920768">
      <w:pPr>
        <w:pStyle w:val="25"/>
        <w:wordWrap w:val="0"/>
        <w:snapToGrid w:val="0"/>
        <w:spacing w:beforeLines="0" w:afterLines="0" w:line="360" w:lineRule="auto"/>
        <w:ind w:left="954" w:leftChars="226" w:hanging="479"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14:paraId="42E02D81">
      <w:pPr>
        <w:pStyle w:val="25"/>
        <w:spacing w:line="360" w:lineRule="auto"/>
        <w:ind w:left="954" w:leftChars="226" w:hanging="479"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有下列情形之一的，投标无效：</w:t>
      </w:r>
    </w:p>
    <w:p w14:paraId="24633CF0">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w:t>
      </w:r>
      <w:r>
        <w:rPr>
          <w:rFonts w:hint="eastAsia" w:ascii="仿宋" w:hAnsi="仿宋" w:eastAsia="仿宋" w:cs="仿宋"/>
          <w:b/>
          <w:bCs/>
          <w:color w:val="auto"/>
          <w:kern w:val="0"/>
          <w:sz w:val="24"/>
          <w:szCs w:val="24"/>
          <w:highlight w:val="none"/>
          <w:u w:val="single"/>
        </w:rPr>
        <w:t>投标人不具备采购文件中规定的资格要求的（投标人未提供有效的资格文件的，视为投标人不具备采购文件中规定的资格要求）；</w:t>
      </w:r>
    </w:p>
    <w:p w14:paraId="025B0AA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w:t>
      </w:r>
      <w:r>
        <w:rPr>
          <w:rFonts w:hint="eastAsia" w:ascii="仿宋" w:hAnsi="仿宋" w:eastAsia="仿宋" w:cs="仿宋"/>
          <w:b/>
          <w:bCs/>
          <w:color w:val="auto"/>
          <w:kern w:val="0"/>
          <w:sz w:val="24"/>
          <w:szCs w:val="24"/>
          <w:highlight w:val="none"/>
          <w:u w:val="single"/>
        </w:rPr>
        <w:t>投标文件未按照采购文件要求签署、盖章的</w:t>
      </w:r>
      <w:r>
        <w:rPr>
          <w:rFonts w:hint="eastAsia" w:ascii="仿宋" w:hAnsi="仿宋" w:eastAsia="仿宋" w:cs="仿宋"/>
          <w:color w:val="auto"/>
          <w:kern w:val="0"/>
          <w:sz w:val="24"/>
          <w:szCs w:val="24"/>
          <w:highlight w:val="none"/>
        </w:rPr>
        <w:t>；</w:t>
      </w:r>
    </w:p>
    <w:p w14:paraId="201EA5F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w:t>
      </w:r>
      <w:r>
        <w:rPr>
          <w:rFonts w:hint="eastAsia" w:ascii="仿宋" w:hAnsi="仿宋" w:eastAsia="仿宋" w:cs="仿宋"/>
          <w:b/>
          <w:bCs/>
          <w:color w:val="auto"/>
          <w:kern w:val="0"/>
          <w:sz w:val="24"/>
          <w:szCs w:val="24"/>
          <w:highlight w:val="none"/>
          <w:u w:val="single"/>
        </w:rPr>
        <w:t>采购人拟采购的产品属于政府强制采购的节能产品品目清单范围的，投标人相应的投标产品未获得国家确定的认证机构出具的、处于有效期之内的节能产品认证证书的</w:t>
      </w:r>
      <w:r>
        <w:rPr>
          <w:rFonts w:hint="eastAsia" w:ascii="仿宋" w:hAnsi="仿宋" w:eastAsia="仿宋" w:cs="仿宋"/>
          <w:color w:val="auto"/>
          <w:kern w:val="0"/>
          <w:sz w:val="24"/>
          <w:szCs w:val="24"/>
          <w:highlight w:val="none"/>
        </w:rPr>
        <w:t>；</w:t>
      </w:r>
    </w:p>
    <w:p w14:paraId="27ADB5E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w:t>
      </w:r>
      <w:r>
        <w:rPr>
          <w:rFonts w:hint="eastAsia" w:ascii="仿宋" w:hAnsi="仿宋" w:eastAsia="仿宋" w:cs="仿宋"/>
          <w:b/>
          <w:bCs/>
          <w:color w:val="auto"/>
          <w:kern w:val="0"/>
          <w:sz w:val="24"/>
          <w:szCs w:val="24"/>
          <w:highlight w:val="none"/>
          <w:u w:val="single"/>
        </w:rPr>
        <w:t>投标文件含有采购人不能接受的附加条件的</w:t>
      </w:r>
      <w:r>
        <w:rPr>
          <w:rFonts w:hint="eastAsia" w:ascii="仿宋" w:hAnsi="仿宋" w:eastAsia="仿宋" w:cs="仿宋"/>
          <w:color w:val="auto"/>
          <w:kern w:val="0"/>
          <w:sz w:val="24"/>
          <w:szCs w:val="24"/>
          <w:highlight w:val="none"/>
        </w:rPr>
        <w:t>；</w:t>
      </w:r>
    </w:p>
    <w:p w14:paraId="05FF4B5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w:t>
      </w:r>
      <w:r>
        <w:rPr>
          <w:rFonts w:hint="eastAsia" w:ascii="仿宋" w:hAnsi="仿宋" w:eastAsia="仿宋" w:cs="仿宋"/>
          <w:b/>
          <w:bCs/>
          <w:color w:val="auto"/>
          <w:kern w:val="0"/>
          <w:sz w:val="24"/>
          <w:szCs w:val="24"/>
          <w:highlight w:val="none"/>
          <w:u w:val="single"/>
        </w:rPr>
        <w:t>投标文件中承诺的投标有效期少于采购文件中载明的投标有效期的</w:t>
      </w:r>
      <w:r>
        <w:rPr>
          <w:rFonts w:hint="eastAsia" w:ascii="仿宋" w:hAnsi="仿宋" w:eastAsia="仿宋" w:cs="仿宋"/>
          <w:color w:val="auto"/>
          <w:kern w:val="0"/>
          <w:sz w:val="24"/>
          <w:szCs w:val="24"/>
          <w:highlight w:val="none"/>
        </w:rPr>
        <w:t>；</w:t>
      </w:r>
    </w:p>
    <w:p w14:paraId="6B46DA1F">
      <w:pPr>
        <w:snapToGrid w:val="0"/>
        <w:spacing w:line="360" w:lineRule="auto"/>
        <w:ind w:firstLine="120" w:firstLineChars="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w:t>
      </w:r>
      <w:r>
        <w:rPr>
          <w:rFonts w:hint="eastAsia" w:ascii="仿宋" w:hAnsi="仿宋" w:eastAsia="仿宋" w:cs="仿宋"/>
          <w:b/>
          <w:bCs/>
          <w:color w:val="auto"/>
          <w:kern w:val="0"/>
          <w:sz w:val="24"/>
          <w:szCs w:val="24"/>
          <w:highlight w:val="none"/>
          <w:u w:val="single"/>
        </w:rPr>
        <w:t>投标文件出现不是唯一的、有选择性投标报价的</w:t>
      </w:r>
      <w:r>
        <w:rPr>
          <w:rFonts w:hint="eastAsia" w:ascii="仿宋" w:hAnsi="仿宋" w:eastAsia="仿宋" w:cs="仿宋"/>
          <w:color w:val="auto"/>
          <w:kern w:val="0"/>
          <w:sz w:val="24"/>
          <w:szCs w:val="24"/>
          <w:highlight w:val="none"/>
        </w:rPr>
        <w:t>;</w:t>
      </w:r>
    </w:p>
    <w:p w14:paraId="4184E11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w:t>
      </w:r>
      <w:r>
        <w:rPr>
          <w:rFonts w:hint="eastAsia" w:ascii="仿宋" w:hAnsi="仿宋" w:eastAsia="仿宋" w:cs="仿宋"/>
          <w:b/>
          <w:bCs/>
          <w:color w:val="auto"/>
          <w:kern w:val="0"/>
          <w:sz w:val="24"/>
          <w:szCs w:val="24"/>
          <w:highlight w:val="none"/>
          <w:u w:val="single"/>
        </w:rPr>
        <w:t>投标报价超过采购文件中规定的预算金额或者最高限价的</w:t>
      </w:r>
      <w:r>
        <w:rPr>
          <w:rFonts w:hint="eastAsia" w:ascii="仿宋" w:hAnsi="仿宋" w:eastAsia="仿宋" w:cs="仿宋"/>
          <w:color w:val="auto"/>
          <w:kern w:val="0"/>
          <w:sz w:val="24"/>
          <w:szCs w:val="24"/>
          <w:highlight w:val="none"/>
        </w:rPr>
        <w:t>;</w:t>
      </w:r>
    </w:p>
    <w:p w14:paraId="0C17929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w:t>
      </w:r>
      <w:r>
        <w:rPr>
          <w:rFonts w:hint="eastAsia" w:ascii="仿宋" w:hAnsi="仿宋" w:eastAsia="仿宋" w:cs="仿宋"/>
          <w:b/>
          <w:bCs/>
          <w:color w:val="auto"/>
          <w:kern w:val="0"/>
          <w:sz w:val="24"/>
          <w:szCs w:val="24"/>
          <w:highlight w:val="none"/>
          <w:u w:val="singl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rPr>
        <w:t>;</w:t>
      </w:r>
    </w:p>
    <w:p w14:paraId="09770DF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w:t>
      </w:r>
      <w:r>
        <w:rPr>
          <w:rFonts w:hint="eastAsia" w:ascii="仿宋" w:hAnsi="仿宋" w:eastAsia="仿宋" w:cs="仿宋"/>
          <w:b/>
          <w:bCs/>
          <w:color w:val="auto"/>
          <w:kern w:val="0"/>
          <w:sz w:val="24"/>
          <w:szCs w:val="24"/>
          <w:highlight w:val="none"/>
          <w:u w:val="single"/>
        </w:rPr>
        <w:t>投标人对根据修正原则修正后的报价不确认的</w:t>
      </w:r>
      <w:r>
        <w:rPr>
          <w:rFonts w:hint="eastAsia" w:ascii="仿宋" w:hAnsi="仿宋" w:eastAsia="仿宋" w:cs="仿宋"/>
          <w:color w:val="auto"/>
          <w:kern w:val="0"/>
          <w:sz w:val="24"/>
          <w:szCs w:val="24"/>
          <w:highlight w:val="none"/>
        </w:rPr>
        <w:t>；</w:t>
      </w:r>
    </w:p>
    <w:p w14:paraId="3EB0B2D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w:t>
      </w:r>
      <w:r>
        <w:rPr>
          <w:rFonts w:hint="eastAsia" w:ascii="仿宋" w:hAnsi="仿宋" w:eastAsia="仿宋" w:cs="仿宋"/>
          <w:b/>
          <w:bCs/>
          <w:color w:val="auto"/>
          <w:kern w:val="0"/>
          <w:sz w:val="24"/>
          <w:szCs w:val="24"/>
          <w:highlight w:val="none"/>
          <w:u w:val="single"/>
        </w:rPr>
        <w:t>投标人提供虚假材料投标的</w:t>
      </w:r>
      <w:r>
        <w:rPr>
          <w:rFonts w:hint="eastAsia" w:ascii="仿宋" w:hAnsi="仿宋" w:eastAsia="仿宋" w:cs="仿宋"/>
          <w:color w:val="auto"/>
          <w:kern w:val="0"/>
          <w:sz w:val="24"/>
          <w:szCs w:val="24"/>
          <w:highlight w:val="none"/>
        </w:rPr>
        <w:t>；</w:t>
      </w:r>
    </w:p>
    <w:p w14:paraId="3C9BA4BF">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w:t>
      </w:r>
      <w:r>
        <w:rPr>
          <w:rFonts w:hint="eastAsia" w:ascii="仿宋" w:hAnsi="仿宋" w:eastAsia="仿宋" w:cs="仿宋"/>
          <w:b/>
          <w:bCs/>
          <w:color w:val="auto"/>
          <w:kern w:val="0"/>
          <w:sz w:val="24"/>
          <w:szCs w:val="24"/>
          <w:highlight w:val="none"/>
          <w:u w:val="single"/>
        </w:rPr>
        <w:t>投标人有恶意串通、妨碍其他投标人的竞争行为、损害采购人或者其他投标人的合法权益情形的</w:t>
      </w:r>
      <w:r>
        <w:rPr>
          <w:rFonts w:hint="eastAsia" w:ascii="仿宋" w:hAnsi="仿宋" w:eastAsia="仿宋" w:cs="仿宋"/>
          <w:color w:val="auto"/>
          <w:kern w:val="0"/>
          <w:sz w:val="24"/>
          <w:szCs w:val="24"/>
          <w:highlight w:val="none"/>
        </w:rPr>
        <w:t>；</w:t>
      </w:r>
    </w:p>
    <w:p w14:paraId="2CABECA6">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4.2.12</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913B60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4.2.13</w:t>
      </w:r>
      <w:r>
        <w:rPr>
          <w:rFonts w:hint="eastAsia" w:ascii="仿宋" w:hAnsi="仿宋" w:eastAsia="仿宋" w:cs="仿宋"/>
          <w:b/>
          <w:bCs/>
          <w:color w:val="auto"/>
          <w:kern w:val="0"/>
          <w:sz w:val="24"/>
          <w:szCs w:val="24"/>
          <w:highlight w:val="none"/>
          <w:u w:val="single"/>
        </w:rPr>
        <w:t>投标人仅提交备份投标文件，未在电子交易平台传输递交投标文件的，投标无效</w:t>
      </w:r>
      <w:r>
        <w:rPr>
          <w:rFonts w:hint="eastAsia" w:ascii="仿宋" w:hAnsi="仿宋" w:eastAsia="仿宋" w:cs="仿宋"/>
          <w:color w:val="auto"/>
          <w:kern w:val="0"/>
          <w:sz w:val="24"/>
          <w:szCs w:val="24"/>
          <w:highlight w:val="none"/>
        </w:rPr>
        <w:t>；</w:t>
      </w:r>
    </w:p>
    <w:p w14:paraId="112F110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4.2.14 </w:t>
      </w:r>
      <w:r>
        <w:rPr>
          <w:rFonts w:hint="eastAsia" w:ascii="仿宋" w:hAnsi="仿宋" w:eastAsia="仿宋" w:cs="仿宋"/>
          <w:b/>
          <w:bCs/>
          <w:color w:val="auto"/>
          <w:kern w:val="0"/>
          <w:sz w:val="24"/>
          <w:szCs w:val="24"/>
          <w:highlight w:val="none"/>
          <w:u w:val="single"/>
        </w:rPr>
        <w:t>投标文件不满足采购文件的其它实质性要求的</w:t>
      </w:r>
      <w:r>
        <w:rPr>
          <w:rFonts w:hint="eastAsia" w:ascii="仿宋" w:hAnsi="仿宋" w:eastAsia="仿宋" w:cs="仿宋"/>
          <w:color w:val="auto"/>
          <w:kern w:val="0"/>
          <w:sz w:val="24"/>
          <w:szCs w:val="24"/>
          <w:highlight w:val="none"/>
        </w:rPr>
        <w:t>；</w:t>
      </w:r>
    </w:p>
    <w:p w14:paraId="1E972A0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4.2.15</w:t>
      </w:r>
      <w:r>
        <w:rPr>
          <w:rFonts w:hint="eastAsia" w:ascii="仿宋" w:hAnsi="仿宋" w:eastAsia="仿宋" w:cs="仿宋"/>
          <w:b/>
          <w:bCs/>
          <w:color w:val="auto"/>
          <w:kern w:val="0"/>
          <w:sz w:val="24"/>
          <w:szCs w:val="24"/>
          <w:highlight w:val="none"/>
          <w:u w:val="single"/>
        </w:rPr>
        <w:t>法律、法规、规章（适用本市的）及省级以上规范性文件（适用本市的）规定的其他无效情形</w:t>
      </w:r>
      <w:r>
        <w:rPr>
          <w:rFonts w:hint="eastAsia" w:ascii="仿宋" w:hAnsi="仿宋" w:eastAsia="仿宋" w:cs="仿宋"/>
          <w:color w:val="auto"/>
          <w:kern w:val="0"/>
          <w:sz w:val="24"/>
          <w:szCs w:val="24"/>
          <w:highlight w:val="none"/>
        </w:rPr>
        <w:t>。</w:t>
      </w:r>
    </w:p>
    <w:bookmarkEnd w:id="51"/>
    <w:p w14:paraId="7BE239DB">
      <w:pPr>
        <w:pStyle w:val="25"/>
        <w:spacing w:line="360" w:lineRule="auto"/>
        <w:ind w:left="954" w:leftChars="226" w:hanging="479" w:firstLineChars="0"/>
        <w:outlineLvl w:val="2"/>
        <w:rPr>
          <w:rFonts w:hint="eastAsia" w:ascii="仿宋" w:hAnsi="仿宋" w:eastAsia="仿宋" w:cs="仿宋"/>
          <w:b/>
          <w:color w:val="auto"/>
          <w:sz w:val="24"/>
          <w:szCs w:val="24"/>
          <w:highlight w:val="none"/>
        </w:rPr>
      </w:pPr>
      <w:bookmarkStart w:id="489" w:name="第五部分"/>
      <w:bookmarkStart w:id="490" w:name="_Toc86217003"/>
      <w:r>
        <w:rPr>
          <w:rFonts w:hint="eastAsia" w:ascii="仿宋" w:hAnsi="仿宋" w:eastAsia="仿宋" w:cs="仿宋"/>
          <w:b/>
          <w:color w:val="auto"/>
          <w:sz w:val="24"/>
          <w:szCs w:val="24"/>
          <w:highlight w:val="none"/>
        </w:rPr>
        <w:t>4.3废标。</w:t>
      </w:r>
    </w:p>
    <w:p w14:paraId="7CE3FC1F">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b/>
          <w:bCs/>
          <w:color w:val="auto"/>
          <w:sz w:val="24"/>
          <w:szCs w:val="24"/>
          <w:highlight w:val="none"/>
        </w:rPr>
        <w:t>中华人民共和国</w:t>
      </w:r>
      <w:r>
        <w:rPr>
          <w:rFonts w:hint="eastAsia" w:ascii="仿宋" w:hAnsi="仿宋" w:eastAsia="仿宋" w:cs="仿宋"/>
          <w:color w:val="auto"/>
          <w:sz w:val="24"/>
          <w:szCs w:val="24"/>
          <w:highlight w:val="none"/>
        </w:rPr>
        <w:t>政府采购法》第三十六条之规定，在采购中，出现下列情形之一的，应予废标：</w:t>
      </w:r>
    </w:p>
    <w:p w14:paraId="62F9C5C0">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.1符合专业条件的供应商或者对采购文件作实质响应的供应商不足3家的；</w:t>
      </w:r>
    </w:p>
    <w:p w14:paraId="49E56CF2">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2出现影响采购公正的违法、违规行为的；</w:t>
      </w:r>
    </w:p>
    <w:p w14:paraId="6F1370D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.3投标人的报价均超过了采购预算，采购人不能支付的；</w:t>
      </w:r>
    </w:p>
    <w:p w14:paraId="145AFFEB">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4因重大变故，采购任务取消的。</w:t>
      </w:r>
    </w:p>
    <w:p w14:paraId="3105414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废标后，采购人、采购代理机构应当将废标理由通知所有投标人。</w:t>
      </w:r>
    </w:p>
    <w:p w14:paraId="388F4E48">
      <w:pPr>
        <w:pStyle w:val="25"/>
        <w:spacing w:line="360" w:lineRule="auto"/>
        <w:ind w:left="954" w:leftChars="226" w:hanging="479" w:firstLineChars="0"/>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4.4修改采购文件，重新组织采购活动。</w:t>
      </w:r>
    </w:p>
    <w:p w14:paraId="6E06CE38">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EF5118F">
      <w:pPr>
        <w:pStyle w:val="25"/>
        <w:spacing w:line="360" w:lineRule="auto"/>
        <w:ind w:left="954" w:leftChars="226" w:hanging="479" w:firstLineChars="0"/>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4.5重新</w:t>
      </w:r>
      <w:r>
        <w:rPr>
          <w:rFonts w:hint="eastAsia" w:ascii="仿宋" w:hAnsi="仿宋" w:eastAsia="仿宋" w:cs="仿宋"/>
          <w:b/>
          <w:color w:val="auto"/>
          <w:sz w:val="24"/>
          <w:szCs w:val="24"/>
          <w:highlight w:val="none"/>
        </w:rPr>
        <w:t>开展</w:t>
      </w:r>
      <w:r>
        <w:rPr>
          <w:rFonts w:hint="eastAsia" w:ascii="仿宋" w:hAnsi="仿宋" w:eastAsia="仿宋" w:cs="仿宋"/>
          <w:b/>
          <w:color w:val="auto"/>
          <w:kern w:val="0"/>
          <w:sz w:val="24"/>
          <w:szCs w:val="24"/>
          <w:highlight w:val="none"/>
        </w:rPr>
        <w:t>采购。</w:t>
      </w:r>
    </w:p>
    <w:p w14:paraId="000A4C00">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74949F28">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的，终止本次政府采购活动，重新开展政府采购活动。</w:t>
      </w:r>
    </w:p>
    <w:p w14:paraId="56CF02E9">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.2已确定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但尚未签订政府采购合同的，中标结果无效，从合格的中标候选人中另行确定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3E9E59B0">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.3政府采购合同已签订但尚未履行的，撤销合同，从合格的中标候选人中另行确定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5C7C4B6A">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.4政府采购合同已经履行，给采购人、供应商造成损失的，由责任人承担赔偿责任。</w:t>
      </w:r>
    </w:p>
    <w:p w14:paraId="39764D08">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.4规定处理。</w:t>
      </w:r>
    </w:p>
    <w:p w14:paraId="1B1633BA">
      <w:pPr>
        <w:pStyle w:val="25"/>
        <w:spacing w:line="360" w:lineRule="auto"/>
        <w:ind w:firstLine="42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 评审特殊情况处理（如有）</w:t>
      </w:r>
    </w:p>
    <w:p w14:paraId="01D0F46D">
      <w:pPr>
        <w:pStyle w:val="26"/>
        <w:rPr>
          <w:rFonts w:hint="eastAsia" w:ascii="仿宋" w:hAnsi="仿宋" w:eastAsia="仿宋" w:cs="仿宋"/>
          <w:b/>
          <w:color w:val="auto"/>
          <w:sz w:val="24"/>
          <w:szCs w:val="24"/>
          <w:highlight w:val="none"/>
        </w:rPr>
      </w:pPr>
    </w:p>
    <w:p w14:paraId="1ADF8396">
      <w:pPr>
        <w:pStyle w:val="26"/>
        <w:rPr>
          <w:rFonts w:hint="eastAsia" w:ascii="仿宋" w:hAnsi="仿宋" w:eastAsia="仿宋" w:cs="仿宋"/>
          <w:b/>
          <w:color w:val="auto"/>
          <w:sz w:val="24"/>
          <w:szCs w:val="24"/>
          <w:highlight w:val="none"/>
        </w:rPr>
      </w:pPr>
    </w:p>
    <w:p w14:paraId="19264A2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4.6.1评标结果修改</w:t>
      </w:r>
    </w:p>
    <w:p w14:paraId="2F778B9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评审报告签署前，评审结果经复核发现存在以下情形之一的，评标委员会将当场修改评审结果，并在评审报告中记载：</w:t>
      </w:r>
    </w:p>
    <w:p w14:paraId="2D76D041">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69BAD3B5">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6D7C3464">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7F47537F">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5DE3DD78">
      <w:pPr>
        <w:spacing w:line="360" w:lineRule="auto"/>
        <w:ind w:firstLine="426" w:firstLineChars="177"/>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除上述情形外，任何人不得修改评标结果。</w:t>
      </w:r>
    </w:p>
    <w:p w14:paraId="2632B63C">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4.6.2重新评审</w:t>
      </w:r>
    </w:p>
    <w:p w14:paraId="12ED0A9F">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评审报告签署后，采购人或者采购代理机构发现存在下列情形之一的，将组织原评标委员会进行重新评审，重新评审改变评标结果的，将书面报告同级财政监督管理部门：</w:t>
      </w:r>
    </w:p>
    <w:p w14:paraId="52E23C46">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531FD672">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32FD332C">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65C53E02">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351AB5CF">
      <w:pPr>
        <w:pStyle w:val="25"/>
        <w:spacing w:line="360" w:lineRule="auto"/>
        <w:ind w:firstLine="422"/>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 串通投标的认定</w:t>
      </w:r>
    </w:p>
    <w:p w14:paraId="2BEBF033">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4.7.1在评审过程中发现以下情形，被视为串通投标的：</w:t>
      </w:r>
    </w:p>
    <w:p w14:paraId="687DAF0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（1）不同投标人的投标文件由同一单位或个人编制；</w:t>
      </w:r>
    </w:p>
    <w:p w14:paraId="04AFE8B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（2）不同投标人委托同一单位或个人办理投标事宜；</w:t>
      </w:r>
    </w:p>
    <w:p w14:paraId="635B01D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（3）不同投标人的投标文件载明的项目管理成员或联系人员为同一人；</w:t>
      </w:r>
    </w:p>
    <w:p w14:paraId="7632AA5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（4）不同投标人的投标文件异常一致或者投标报价呈规律性差异；</w:t>
      </w:r>
    </w:p>
    <w:p w14:paraId="4F779ECE">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（5）</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A818C45">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0AB52E29">
      <w:pPr>
        <w:pStyle w:val="25"/>
        <w:spacing w:line="360" w:lineRule="auto"/>
        <w:ind w:firstLine="422"/>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4.8 投标人违法等重大事项的处理</w:t>
      </w:r>
    </w:p>
    <w:p w14:paraId="1502887D">
      <w:pPr>
        <w:spacing w:line="360" w:lineRule="auto"/>
        <w:ind w:firstLine="482" w:firstLineChars="200"/>
        <w:rPr>
          <w:rFonts w:hint="eastAsia"/>
          <w:color w:val="auto"/>
          <w:highlight w:val="none"/>
        </w:rPr>
      </w:pPr>
      <w:r>
        <w:rPr>
          <w:rFonts w:hint="eastAsia" w:ascii="仿宋" w:hAnsi="仿宋" w:eastAsia="仿宋" w:cs="仿宋"/>
          <w:b/>
          <w:color w:val="auto"/>
          <w:kern w:val="0"/>
          <w:sz w:val="24"/>
          <w:szCs w:val="24"/>
          <w:highlight w:val="none"/>
        </w:rPr>
        <w:t>投标人有下列情形之一的，投标无效且将《投标文件》、《询标记录》等报同级政府采购监管部门或有关职能部门查处：</w:t>
      </w:r>
    </w:p>
    <w:p w14:paraId="2D5D9DB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（1）未如实提供债权债务、重大违法记录、利害关系等信息，影响或者可能影响中标结果的；</w:t>
      </w:r>
    </w:p>
    <w:p w14:paraId="1E83817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（2）不遵循公平竞争原则、恶意串通、妨碍其他投标人的竞争、损害采购人或其他投标人合法权益的；</w:t>
      </w:r>
    </w:p>
    <w:p w14:paraId="1F7A0DA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（3）政府采购活动中存在违法行为的；</w:t>
      </w:r>
    </w:p>
    <w:p w14:paraId="15EB6BA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（4）其他严重干扰招投标秩序的行为的。</w:t>
      </w:r>
    </w:p>
    <w:p w14:paraId="12B96A79">
      <w:pPr>
        <w:pStyle w:val="25"/>
        <w:spacing w:line="360" w:lineRule="auto"/>
        <w:ind w:firstLine="422"/>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4.9 评审中合格投标人不足法定数量的处理</w:t>
      </w:r>
    </w:p>
    <w:p w14:paraId="330F445D">
      <w:pPr>
        <w:pStyle w:val="725"/>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公开招标的采购项目，在评审过程中，若某个标项的有效投标人不足三家的，除采购任务取消情形外，采购人可选择以下方式之一处理：</w:t>
      </w:r>
    </w:p>
    <w:p w14:paraId="1CD330E9">
      <w:pPr>
        <w:pStyle w:val="725"/>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（1）将本项</w:t>
      </w:r>
      <w:r>
        <w:rPr>
          <w:rFonts w:hint="eastAsia" w:ascii="仿宋" w:hAnsi="仿宋" w:eastAsia="仿宋" w:cs="仿宋"/>
          <w:color w:val="auto"/>
          <w:sz w:val="24"/>
          <w:szCs w:val="24"/>
          <w:highlight w:val="none"/>
          <w:lang w:val="en-US" w:eastAsia="zh-CN"/>
        </w:rPr>
        <w:t>目</w:t>
      </w:r>
      <w:r>
        <w:rPr>
          <w:rFonts w:hint="eastAsia" w:ascii="仿宋" w:hAnsi="仿宋" w:eastAsia="仿宋" w:cs="仿宋"/>
          <w:color w:val="auto"/>
          <w:sz w:val="24"/>
          <w:szCs w:val="24"/>
          <w:highlight w:val="none"/>
        </w:rPr>
        <w:t>作废标处理，重新组织采购；</w:t>
      </w:r>
    </w:p>
    <w:p w14:paraId="0ED23F3A">
      <w:pPr>
        <w:tabs>
          <w:tab w:val="left" w:pos="1792"/>
        </w:tabs>
        <w:wordWrap w:val="0"/>
        <w:snapToGrid w:val="0"/>
        <w:spacing w:beforeLines="0" w:afterLines="0"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（2）按同级政府采购监督管理部门的审批意见采用其他采购方式组织采购。</w:t>
      </w:r>
      <w:r>
        <w:rPr>
          <w:rFonts w:hint="eastAsia" w:ascii="仿宋" w:hAnsi="仿宋" w:eastAsia="仿宋" w:cs="仿宋"/>
          <w:b/>
          <w:color w:val="auto"/>
          <w:sz w:val="24"/>
          <w:szCs w:val="24"/>
          <w:highlight w:val="none"/>
        </w:rPr>
        <w:tab/>
      </w:r>
    </w:p>
    <w:p w14:paraId="20826663">
      <w:pPr>
        <w:wordWrap w:val="0"/>
        <w:snapToGrid w:val="0"/>
        <w:spacing w:beforeLines="0" w:afterLines="0" w:line="360" w:lineRule="auto"/>
        <w:ind w:firstLine="1807" w:firstLineChars="500"/>
        <w:outlineLvl w:val="9"/>
        <w:rPr>
          <w:rFonts w:ascii="仿宋" w:hAnsi="仿宋" w:eastAsia="仿宋" w:cs="仿宋"/>
          <w:b/>
          <w:color w:val="auto"/>
          <w:sz w:val="36"/>
          <w:szCs w:val="36"/>
          <w:highlight w:val="none"/>
        </w:rPr>
      </w:pPr>
      <w:bookmarkStart w:id="491" w:name="_Toc22290"/>
      <w:bookmarkStart w:id="492" w:name="_Toc12903"/>
      <w:bookmarkStart w:id="493" w:name="_Toc28629"/>
    </w:p>
    <w:p w14:paraId="4A4912D7">
      <w:pPr>
        <w:pStyle w:val="80"/>
        <w:rPr>
          <w:color w:val="auto"/>
          <w:highlight w:val="none"/>
        </w:rPr>
        <w:sectPr>
          <w:pgSz w:w="11905" w:h="16838"/>
          <w:pgMar w:top="652" w:right="1417" w:bottom="680" w:left="1417" w:header="539" w:footer="425" w:gutter="0"/>
          <w:pgNumType w:fmt="decimal"/>
          <w:cols w:space="0" w:num="1"/>
          <w:titlePg/>
        </w:sectPr>
      </w:pPr>
    </w:p>
    <w:p w14:paraId="0FF76EB5">
      <w:pPr>
        <w:wordWrap w:val="0"/>
        <w:snapToGrid w:val="0"/>
        <w:spacing w:beforeLines="0" w:afterLines="0" w:line="360" w:lineRule="auto"/>
        <w:ind w:firstLine="1807" w:firstLineChars="500"/>
        <w:outlineLvl w:val="0"/>
        <w:rPr>
          <w:rFonts w:ascii="仿宋" w:hAnsi="仿宋" w:eastAsia="仿宋" w:cs="仿宋"/>
          <w:b/>
          <w:color w:val="auto"/>
          <w:sz w:val="36"/>
          <w:szCs w:val="36"/>
          <w:highlight w:val="none"/>
        </w:rPr>
      </w:pPr>
      <w:bookmarkStart w:id="494" w:name="_Toc12722"/>
      <w:bookmarkStart w:id="495" w:name="_Toc30437"/>
      <w:bookmarkStart w:id="496" w:name="_Toc3651"/>
      <w:bookmarkStart w:id="497" w:name="_Toc8068"/>
      <w:r>
        <w:rPr>
          <w:rFonts w:hint="eastAsia" w:ascii="仿宋" w:hAnsi="仿宋" w:eastAsia="仿宋" w:cs="仿宋"/>
          <w:b/>
          <w:color w:val="auto"/>
          <w:sz w:val="36"/>
          <w:szCs w:val="36"/>
          <w:highlight w:val="none"/>
        </w:rPr>
        <w:t>第五部分 拟签订的合同文本</w:t>
      </w:r>
      <w:bookmarkEnd w:id="491"/>
      <w:bookmarkEnd w:id="492"/>
      <w:bookmarkEnd w:id="493"/>
      <w:bookmarkEnd w:id="494"/>
      <w:bookmarkEnd w:id="495"/>
      <w:bookmarkEnd w:id="496"/>
      <w:bookmarkEnd w:id="497"/>
    </w:p>
    <w:p w14:paraId="1D8F0205">
      <w:pPr>
        <w:wordWrap w:val="0"/>
        <w:snapToGrid w:val="0"/>
        <w:spacing w:beforeLines="0" w:afterLines="0" w:line="360" w:lineRule="auto"/>
        <w:rPr>
          <w:rFonts w:ascii="仿宋" w:hAnsi="仿宋" w:eastAsia="仿宋" w:cs="仿宋"/>
          <w:color w:val="auto"/>
          <w:sz w:val="24"/>
          <w:highlight w:val="none"/>
        </w:rPr>
      </w:pPr>
    </w:p>
    <w:p w14:paraId="59C67B8C">
      <w:pPr>
        <w:wordWrap w:val="0"/>
        <w:snapToGrid w:val="0"/>
        <w:spacing w:beforeLines="0" w:afterLines="0" w:line="360" w:lineRule="auto"/>
        <w:rPr>
          <w:rFonts w:ascii="仿宋" w:hAnsi="仿宋" w:eastAsia="仿宋" w:cs="仿宋"/>
          <w:color w:val="auto"/>
          <w:sz w:val="24"/>
          <w:highlight w:val="none"/>
        </w:rPr>
      </w:pPr>
    </w:p>
    <w:p w14:paraId="22E42416">
      <w:pPr>
        <w:wordWrap w:val="0"/>
        <w:snapToGrid w:val="0"/>
        <w:spacing w:beforeLines="0" w:afterLines="0" w:line="360" w:lineRule="auto"/>
        <w:rPr>
          <w:rFonts w:ascii="仿宋" w:hAnsi="仿宋" w:eastAsia="仿宋" w:cs="仿宋"/>
          <w:color w:val="auto"/>
          <w:sz w:val="24"/>
          <w:highlight w:val="none"/>
        </w:rPr>
      </w:pPr>
    </w:p>
    <w:p w14:paraId="19EBBD6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6E7BC93">
      <w:pPr>
        <w:wordWrap w:val="0"/>
        <w:snapToGrid w:val="0"/>
        <w:spacing w:beforeLines="0" w:afterLines="0" w:line="360" w:lineRule="auto"/>
        <w:jc w:val="center"/>
        <w:rPr>
          <w:rFonts w:ascii="仿宋" w:hAnsi="仿宋" w:eastAsia="仿宋" w:cs="仿宋"/>
          <w:b/>
          <w:color w:val="auto"/>
          <w:sz w:val="24"/>
          <w:highlight w:val="none"/>
        </w:rPr>
      </w:pPr>
    </w:p>
    <w:p w14:paraId="6BA45AC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09820CE8">
      <w:pPr>
        <w:wordWrap w:val="0"/>
        <w:snapToGrid w:val="0"/>
        <w:spacing w:beforeLines="0" w:afterLines="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（服务类） </w:t>
      </w:r>
    </w:p>
    <w:p w14:paraId="7480C26A">
      <w:pPr>
        <w:pStyle w:val="703"/>
        <w:wordWrap w:val="0"/>
        <w:spacing w:beforeLines="0" w:after="0" w:afterLines="0"/>
        <w:ind w:left="0" w:leftChars="0" w:firstLine="0" w:firstLineChars="0"/>
        <w:jc w:val="center"/>
        <w:rPr>
          <w:rFonts w:ascii="仿宋" w:hAnsi="仿宋" w:eastAsia="仿宋" w:cs="仿宋"/>
          <w:b/>
          <w:color w:val="auto"/>
          <w:sz w:val="32"/>
          <w:szCs w:val="32"/>
          <w:highlight w:val="none"/>
        </w:rPr>
      </w:pPr>
    </w:p>
    <w:p w14:paraId="220177C3">
      <w:pPr>
        <w:pStyle w:val="703"/>
        <w:wordWrap w:val="0"/>
        <w:spacing w:beforeLines="0" w:after="0" w:afterLines="0"/>
        <w:rPr>
          <w:rFonts w:ascii="仿宋" w:hAnsi="仿宋" w:eastAsia="仿宋" w:cs="仿宋"/>
          <w:color w:val="auto"/>
          <w:szCs w:val="24"/>
          <w:highlight w:val="none"/>
        </w:rPr>
      </w:pPr>
    </w:p>
    <w:p w14:paraId="2EBDF81B">
      <w:pPr>
        <w:pStyle w:val="703"/>
        <w:wordWrap w:val="0"/>
        <w:spacing w:beforeLines="0" w:after="0" w:afterLines="0"/>
        <w:rPr>
          <w:rFonts w:ascii="仿宋" w:hAnsi="仿宋" w:eastAsia="仿宋" w:cs="仿宋"/>
          <w:color w:val="auto"/>
          <w:szCs w:val="24"/>
          <w:highlight w:val="none"/>
        </w:rPr>
      </w:pPr>
    </w:p>
    <w:p w14:paraId="0FB82F66">
      <w:pPr>
        <w:pStyle w:val="25"/>
        <w:snapToGrid w:val="0"/>
        <w:spacing w:beforeLines="0" w:afterLines="0" w:line="360" w:lineRule="auto"/>
        <w:rPr>
          <w:rFonts w:ascii="仿宋" w:hAnsi="仿宋" w:eastAsia="仿宋" w:cs="仿宋"/>
          <w:color w:val="auto"/>
          <w:highlight w:val="none"/>
        </w:rPr>
      </w:pPr>
    </w:p>
    <w:p w14:paraId="3A2FB9B7">
      <w:pPr>
        <w:pStyle w:val="16"/>
        <w:spacing w:beforeLines="0" w:afterLines="0" w:line="360" w:lineRule="auto"/>
        <w:rPr>
          <w:rFonts w:ascii="仿宋" w:hAnsi="仿宋" w:eastAsia="仿宋" w:cs="仿宋"/>
          <w:color w:val="auto"/>
          <w:highlight w:val="none"/>
        </w:rPr>
      </w:pPr>
    </w:p>
    <w:p w14:paraId="6322C049">
      <w:pPr>
        <w:wordWrap w:val="0"/>
        <w:snapToGrid w:val="0"/>
        <w:spacing w:before="0" w:beforeLines="0" w:afterLines="0" w:line="360" w:lineRule="auto"/>
        <w:rPr>
          <w:rFonts w:ascii="仿宋" w:hAnsi="仿宋" w:eastAsia="仿宋" w:cs="仿宋"/>
          <w:color w:val="auto"/>
          <w:sz w:val="24"/>
          <w:highlight w:val="none"/>
        </w:rPr>
      </w:pPr>
    </w:p>
    <w:p w14:paraId="1D9CF766">
      <w:pPr>
        <w:wordWrap w:val="0"/>
        <w:snapToGrid w:val="0"/>
        <w:spacing w:beforeLines="0" w:afterLines="0"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 xml:space="preserve">2025-2027年度企业退休人员文娱健身活动服务单位 </w:t>
      </w:r>
    </w:p>
    <w:p w14:paraId="45A79D95">
      <w:pPr>
        <w:wordWrap w:val="0"/>
        <w:snapToGrid w:val="0"/>
        <w:spacing w:beforeLines="0" w:afterLines="0" w:line="360" w:lineRule="auto"/>
        <w:rPr>
          <w:rFonts w:ascii="仿宋" w:hAnsi="仿宋" w:eastAsia="仿宋" w:cs="仿宋"/>
          <w:color w:val="auto"/>
          <w:sz w:val="28"/>
          <w:szCs w:val="28"/>
          <w:highlight w:val="none"/>
        </w:rPr>
      </w:pPr>
    </w:p>
    <w:p w14:paraId="2BE90547">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p>
    <w:p w14:paraId="57989641">
      <w:pPr>
        <w:wordWrap w:val="0"/>
        <w:snapToGrid w:val="0"/>
        <w:spacing w:beforeLines="0" w:afterLines="0" w:line="360" w:lineRule="auto"/>
        <w:rPr>
          <w:rFonts w:ascii="仿宋" w:hAnsi="仿宋" w:eastAsia="仿宋" w:cs="仿宋"/>
          <w:color w:val="auto"/>
          <w:sz w:val="28"/>
          <w:szCs w:val="28"/>
          <w:highlight w:val="none"/>
        </w:rPr>
      </w:pPr>
    </w:p>
    <w:p w14:paraId="39038629">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0BCFDFBE">
      <w:pPr>
        <w:wordWrap w:val="0"/>
        <w:snapToGrid w:val="0"/>
        <w:spacing w:beforeLines="0" w:afterLines="0" w:line="360" w:lineRule="auto"/>
        <w:rPr>
          <w:rFonts w:ascii="仿宋" w:hAnsi="仿宋" w:eastAsia="仿宋" w:cs="仿宋"/>
          <w:color w:val="auto"/>
          <w:sz w:val="28"/>
          <w:szCs w:val="28"/>
          <w:highlight w:val="none"/>
        </w:rPr>
      </w:pPr>
    </w:p>
    <w:p w14:paraId="4D170FF3">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73BE5133">
      <w:pPr>
        <w:wordWrap w:val="0"/>
        <w:snapToGrid w:val="0"/>
        <w:spacing w:beforeLines="0" w:afterLines="0" w:line="360" w:lineRule="auto"/>
        <w:rPr>
          <w:rFonts w:ascii="仿宋" w:hAnsi="仿宋" w:eastAsia="仿宋" w:cs="仿宋"/>
          <w:color w:val="auto"/>
          <w:sz w:val="28"/>
          <w:szCs w:val="28"/>
          <w:highlight w:val="none"/>
        </w:rPr>
      </w:pPr>
    </w:p>
    <w:p w14:paraId="6B3A9BB1">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918EA18">
      <w:pPr>
        <w:widowControl/>
        <w:wordWrap w:val="0"/>
        <w:snapToGrid w:val="0"/>
        <w:spacing w:beforeLines="0" w:afterLines="0" w:line="360" w:lineRule="auto"/>
        <w:jc w:val="left"/>
        <w:rPr>
          <w:rFonts w:ascii="仿宋" w:hAnsi="仿宋" w:eastAsia="仿宋" w:cs="仿宋"/>
          <w:color w:val="auto"/>
          <w:kern w:val="0"/>
          <w:sz w:val="28"/>
          <w:szCs w:val="28"/>
          <w:highlight w:val="none"/>
        </w:rPr>
        <w:sectPr>
          <w:footerReference r:id="rId13" w:type="first"/>
          <w:footerReference r:id="rId12" w:type="default"/>
          <w:pgSz w:w="11905" w:h="16838"/>
          <w:pgMar w:top="652" w:right="1417" w:bottom="680" w:left="1417" w:header="539" w:footer="425" w:gutter="0"/>
          <w:pgNumType w:fmt="decimal"/>
          <w:cols w:space="0" w:num="1"/>
          <w:titlePg/>
        </w:sectPr>
      </w:pPr>
    </w:p>
    <w:p w14:paraId="6FB50DD3">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none"/>
          <w:lang w:val="en-US" w:eastAsia="zh-CN"/>
        </w:rPr>
        <w:t>项目</w:t>
      </w:r>
      <w:r>
        <w:rPr>
          <w:rFonts w:hint="eastAsia" w:ascii="仿宋" w:hAnsi="仿宋" w:eastAsia="仿宋" w:cs="仿宋"/>
          <w:color w:val="auto"/>
          <w:sz w:val="24"/>
          <w:highlight w:val="none"/>
        </w:rPr>
        <w:t>进行了公开招标采购。</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为本项目的中标供应商。</w:t>
      </w:r>
    </w:p>
    <w:p w14:paraId="1376E6B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74A8022A">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68E6CDA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CFE126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0B87AD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5570F9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4BC320A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481F4D1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2FDA2BF">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98" w:name="_Toc24300"/>
      <w:bookmarkStart w:id="499" w:name="_Toc21295"/>
      <w:bookmarkStart w:id="500" w:name="_Toc27126"/>
      <w:r>
        <w:rPr>
          <w:rFonts w:hint="eastAsia" w:ascii="仿宋" w:hAnsi="仿宋" w:eastAsia="仿宋" w:cs="仿宋"/>
          <w:b/>
          <w:color w:val="auto"/>
          <w:sz w:val="24"/>
          <w:highlight w:val="none"/>
        </w:rPr>
        <w:t xml:space="preserve">1.2 </w:t>
      </w:r>
      <w:bookmarkEnd w:id="498"/>
      <w:bookmarkEnd w:id="499"/>
      <w:bookmarkEnd w:id="500"/>
      <w:r>
        <w:rPr>
          <w:rFonts w:hint="eastAsia" w:ascii="仿宋" w:hAnsi="仿宋" w:eastAsia="仿宋" w:cs="仿宋"/>
          <w:b/>
          <w:color w:val="auto"/>
          <w:sz w:val="24"/>
          <w:highlight w:val="none"/>
        </w:rPr>
        <w:t>标的</w:t>
      </w:r>
    </w:p>
    <w:p w14:paraId="766A828C">
      <w:pPr>
        <w:keepNext w:val="0"/>
        <w:keepLines w:val="0"/>
        <w:pageBreakBefore w:val="0"/>
        <w:numPr>
          <w:ilvl w:val="-1"/>
          <w:numId w:val="0"/>
        </w:numPr>
        <w:kinsoku/>
        <w:wordWrap/>
        <w:overflowPunct/>
        <w:topLinePunct w:val="0"/>
        <w:autoSpaceDE/>
        <w:autoSpaceDN/>
        <w:bidi w:val="0"/>
        <w:snapToGrid w:val="0"/>
        <w:spacing w:beforeLines="0" w:afterLines="0" w:line="360" w:lineRule="auto"/>
        <w:ind w:firstLine="482" w:firstLineChars="200"/>
        <w:textAlignment w:val="auto"/>
        <w:outlineLvl w:val="9"/>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1.2.1服务内容</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根据采购需求、投标文件响应填写）</w:t>
      </w:r>
    </w:p>
    <w:p w14:paraId="1C21DECE">
      <w:pPr>
        <w:keepNext w:val="0"/>
        <w:keepLines w:val="0"/>
        <w:pageBreakBefore w:val="0"/>
        <w:numPr>
          <w:ilvl w:val="255"/>
          <w:numId w:val="0"/>
        </w:numPr>
        <w:kinsoku/>
        <w:wordWrap/>
        <w:overflowPunct/>
        <w:topLinePunct w:val="0"/>
        <w:autoSpaceDE/>
        <w:autoSpaceDN/>
        <w:bidi w:val="0"/>
        <w:snapToGrid w:val="0"/>
        <w:spacing w:beforeLines="0" w:afterLines="0" w:line="360" w:lineRule="auto"/>
        <w:ind w:firstLine="482" w:firstLineChars="200"/>
        <w:jc w:val="left"/>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rPr>
        <w:t>1.2.2</w:t>
      </w: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标准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满意度达95%及以上，安全事故“0”发生。</w:t>
      </w:r>
    </w:p>
    <w:p w14:paraId="22DE3D66">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1.2.3 技术保障：</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按投标文件承诺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C7FD3F">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详见合同附件</w:t>
      </w:r>
      <w:r>
        <w:rPr>
          <w:rFonts w:hint="eastAsia" w:ascii="仿宋" w:hAnsi="仿宋" w:eastAsia="仿宋" w:cs="仿宋"/>
          <w:color w:val="auto"/>
          <w:sz w:val="24"/>
          <w:highlight w:val="none"/>
          <w:u w:val="single"/>
          <w:lang w:eastAsia="zh-CN"/>
        </w:rPr>
        <w:t>（合同签订时附后）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5BB76D7">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74A32EEF">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EF6B46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总</w:t>
      </w:r>
      <w:r>
        <w:rPr>
          <w:rFonts w:hint="eastAsia" w:ascii="仿宋" w:hAnsi="仿宋" w:eastAsia="仿宋" w:cs="仿宋"/>
          <w:color w:val="auto"/>
          <w:sz w:val="24"/>
          <w:highlight w:val="none"/>
        </w:rPr>
        <w:t>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元人民币）。具体分项价格件附件。</w:t>
      </w:r>
    </w:p>
    <w:p w14:paraId="7B633C02">
      <w:pPr>
        <w:keepNext w:val="0"/>
        <w:keepLines w:val="0"/>
        <w:pageBreakBefore w:val="0"/>
        <w:kinsoku/>
        <w:wordWrap/>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130元/人次  </w:t>
      </w: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 xml:space="preserve">       合同专用条款     </w:t>
      </w:r>
      <w:r>
        <w:rPr>
          <w:rFonts w:hint="eastAsia" w:ascii="仿宋" w:hAnsi="仿宋" w:eastAsia="仿宋" w:cs="仿宋"/>
          <w:bCs/>
          <w:color w:val="auto"/>
          <w:sz w:val="24"/>
          <w:highlight w:val="none"/>
        </w:rPr>
        <w:t>。单价合同，在合同履行期间内，根据实际完成的工作量据实结算，但结算总价上限不得超过预算金额￥</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元（大写：</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元人民币）</w:t>
      </w:r>
      <w:r>
        <w:rPr>
          <w:rFonts w:hint="eastAsia" w:ascii="仿宋" w:hAnsi="仿宋" w:eastAsia="仿宋" w:cs="仿宋"/>
          <w:color w:val="auto"/>
          <w:sz w:val="24"/>
          <w:highlight w:val="none"/>
        </w:rPr>
        <w:t>。</w:t>
      </w:r>
    </w:p>
    <w:p w14:paraId="0B916447">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       </w:t>
      </w:r>
      <w:r>
        <w:rPr>
          <w:rFonts w:hint="eastAsia" w:ascii="仿宋" w:hAnsi="仿宋" w:eastAsia="仿宋" w:cs="仿宋"/>
          <w:b w:val="0"/>
          <w:bCs w:val="0"/>
          <w:color w:val="auto"/>
          <w:sz w:val="24"/>
          <w:highlight w:val="none"/>
        </w:rPr>
        <w:t>。</w:t>
      </w:r>
    </w:p>
    <w:p w14:paraId="41B75C06">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color w:val="auto"/>
          <w:highlight w:val="none"/>
        </w:rPr>
      </w:pPr>
      <w:bookmarkStart w:id="501" w:name="_Toc22618"/>
      <w:bookmarkStart w:id="502" w:name="_Toc1814"/>
      <w:bookmarkStart w:id="503" w:name="_Toc10340"/>
      <w:bookmarkStart w:id="504" w:name="_Toc30158"/>
      <w:bookmarkStart w:id="505" w:name="_Toc26916"/>
      <w:bookmarkStart w:id="506" w:name="_Toc3654"/>
      <w:bookmarkStart w:id="507" w:name="_Toc30506"/>
      <w:bookmarkStart w:id="508" w:name="_Toc14993"/>
      <w:r>
        <w:rPr>
          <w:rFonts w:hint="eastAsia" w:ascii="仿宋" w:hAnsi="仿宋" w:eastAsia="仿宋" w:cs="仿宋"/>
          <w:b/>
          <w:color w:val="auto"/>
          <w:highlight w:val="none"/>
        </w:rPr>
        <w:t>1.4履约保证金</w:t>
      </w:r>
    </w:p>
    <w:p w14:paraId="66540204">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rPr>
        <w:t>（是/否）需要支付履约保证金。若需要支付履约保证金的，则：</w:t>
      </w:r>
    </w:p>
    <w:p w14:paraId="1F2BC5F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509" w:name="_Toc10654"/>
      <w:bookmarkStart w:id="510" w:name="_Toc10150"/>
      <w:bookmarkStart w:id="511" w:name="_Toc23432"/>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b/>
          <w:bCs/>
          <w:color w:val="auto"/>
          <w:kern w:val="0"/>
          <w:sz w:val="24"/>
          <w:highlight w:val="none"/>
          <w:u w:val="single"/>
          <w:lang w:val="en-US" w:eastAsia="zh-CN"/>
        </w:rPr>
        <w:t>/</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w:t>
      </w:r>
      <w:bookmarkEnd w:id="509"/>
      <w:bookmarkEnd w:id="510"/>
      <w:bookmarkEnd w:id="511"/>
    </w:p>
    <w:p w14:paraId="676D376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512" w:name="_Toc8714"/>
      <w:bookmarkStart w:id="513" w:name="_Toc6717"/>
      <w:bookmarkStart w:id="514" w:name="_Toc29534"/>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512"/>
      <w:bookmarkEnd w:id="513"/>
      <w:bookmarkEnd w:id="514"/>
    </w:p>
    <w:p w14:paraId="6F6DAC24">
      <w:pPr>
        <w:keepNext w:val="0"/>
        <w:keepLines w:val="0"/>
        <w:pageBreakBefore w:val="0"/>
        <w:tabs>
          <w:tab w:val="left" w:pos="0"/>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79127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515" w:name="_Toc22822"/>
      <w:bookmarkStart w:id="516" w:name="_Toc6865"/>
      <w:bookmarkStart w:id="517" w:name="_Toc9602"/>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val="en-US" w:eastAsia="zh-CN"/>
        </w:rPr>
        <w:t>10</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515"/>
      <w:bookmarkEnd w:id="516"/>
      <w:bookmarkEnd w:id="517"/>
    </w:p>
    <w:p w14:paraId="49CE3759">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518" w:name="_Toc8649"/>
      <w:bookmarkStart w:id="519" w:name="_Toc30339"/>
      <w:bookmarkStart w:id="520" w:name="_Toc13676"/>
      <w:r>
        <w:rPr>
          <w:rFonts w:hint="eastAsia" w:ascii="仿宋" w:hAnsi="仿宋" w:eastAsia="仿宋" w:cs="仿宋"/>
          <w:b/>
          <w:color w:val="auto"/>
          <w:sz w:val="24"/>
          <w:highlight w:val="none"/>
        </w:rPr>
        <w:t>1.5</w:t>
      </w:r>
      <w:bookmarkEnd w:id="501"/>
      <w:bookmarkEnd w:id="502"/>
      <w:bookmarkEnd w:id="503"/>
      <w:r>
        <w:rPr>
          <w:rFonts w:hint="eastAsia" w:ascii="仿宋" w:hAnsi="仿宋" w:eastAsia="仿宋" w:cs="仿宋"/>
          <w:b/>
          <w:color w:val="auto"/>
          <w:sz w:val="24"/>
          <w:highlight w:val="none"/>
        </w:rPr>
        <w:t>预付款</w:t>
      </w:r>
      <w:bookmarkEnd w:id="518"/>
      <w:bookmarkEnd w:id="519"/>
      <w:bookmarkEnd w:id="520"/>
    </w:p>
    <w:p w14:paraId="4A52D3E4">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16307D8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5CC7FC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73689E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2B5CD3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4C40D82E">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64C58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bookmarkStart w:id="521" w:name="_Toc15644"/>
      <w:bookmarkStart w:id="522" w:name="_Toc20620"/>
      <w:bookmarkStart w:id="523" w:name="_Toc1323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521"/>
      <w:bookmarkEnd w:id="522"/>
      <w:bookmarkEnd w:id="523"/>
    </w:p>
    <w:p w14:paraId="59971C3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524" w:name="_Toc3031"/>
      <w:bookmarkStart w:id="525" w:name="_Toc15195"/>
      <w:bookmarkStart w:id="526" w:name="_Toc32135"/>
      <w:r>
        <w:rPr>
          <w:rFonts w:hint="eastAsia" w:ascii="仿宋" w:hAnsi="仿宋" w:eastAsia="仿宋" w:cs="仿宋"/>
          <w:b/>
          <w:color w:val="auto"/>
          <w:sz w:val="24"/>
          <w:highlight w:val="none"/>
        </w:rPr>
        <w:t>1.7 履行期限、地点和方式</w:t>
      </w:r>
      <w:bookmarkEnd w:id="524"/>
      <w:bookmarkEnd w:id="525"/>
      <w:bookmarkEnd w:id="526"/>
    </w:p>
    <w:p w14:paraId="5C2B0350">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A1964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CFF1B7">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83A8B9">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u w:val="single"/>
        </w:rPr>
      </w:pPr>
      <w:bookmarkStart w:id="527" w:name="_Toc31802"/>
      <w:bookmarkStart w:id="528" w:name="_Toc23902"/>
      <w:bookmarkStart w:id="529" w:name="_Toc13446"/>
      <w:r>
        <w:rPr>
          <w:rFonts w:hint="eastAsia" w:ascii="仿宋" w:hAnsi="仿宋" w:eastAsia="仿宋" w:cs="仿宋"/>
          <w:b/>
          <w:color w:val="auto"/>
          <w:sz w:val="24"/>
          <w:highlight w:val="none"/>
        </w:rPr>
        <w:t>1.8违约责任</w:t>
      </w:r>
      <w:bookmarkEnd w:id="527"/>
      <w:bookmarkEnd w:id="528"/>
      <w:bookmarkEnd w:id="529"/>
    </w:p>
    <w:p w14:paraId="4284521B">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E5E67EB">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D3F89A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12D660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BDA98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456EFD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271BD7A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81DE1D1">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530" w:name="_Toc198"/>
      <w:bookmarkStart w:id="531" w:name="_Toc7349"/>
      <w:bookmarkStart w:id="532" w:name="_Toc28375"/>
      <w:bookmarkStart w:id="533" w:name="_Toc15583"/>
      <w:bookmarkStart w:id="534" w:name="_Toc16021"/>
      <w:bookmarkStart w:id="535" w:name="_Toc4927"/>
      <w:r>
        <w:rPr>
          <w:rFonts w:hint="eastAsia" w:ascii="仿宋" w:hAnsi="仿宋" w:eastAsia="仿宋" w:cs="仿宋"/>
          <w:b/>
          <w:color w:val="auto"/>
          <w:sz w:val="24"/>
          <w:highlight w:val="none"/>
        </w:rPr>
        <w:t>1.9合同争议的解决</w:t>
      </w:r>
      <w:bookmarkEnd w:id="530"/>
      <w:bookmarkEnd w:id="531"/>
      <w:bookmarkEnd w:id="532"/>
      <w:bookmarkEnd w:id="533"/>
      <w:bookmarkEnd w:id="534"/>
      <w:bookmarkEnd w:id="535"/>
    </w:p>
    <w:p w14:paraId="09C4E8D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E9D386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C64C0F5">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957C8A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536" w:name="_Toc7245"/>
      <w:bookmarkStart w:id="537" w:name="_Toc2411"/>
      <w:bookmarkStart w:id="538" w:name="_Toc15322"/>
      <w:bookmarkStart w:id="539" w:name="_Toc14116"/>
      <w:bookmarkStart w:id="540" w:name="_Toc11173"/>
      <w:r>
        <w:rPr>
          <w:rFonts w:hint="eastAsia" w:ascii="仿宋" w:hAnsi="仿宋" w:eastAsia="仿宋" w:cs="仿宋"/>
          <w:b/>
          <w:color w:val="auto"/>
          <w:sz w:val="24"/>
          <w:highlight w:val="none"/>
        </w:rPr>
        <w:t>2.0 合同生效</w:t>
      </w:r>
      <w:bookmarkEnd w:id="536"/>
      <w:bookmarkEnd w:id="537"/>
      <w:bookmarkEnd w:id="538"/>
      <w:bookmarkEnd w:id="539"/>
      <w:bookmarkEnd w:id="540"/>
    </w:p>
    <w:p w14:paraId="734216E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3D58B655">
      <w:pPr>
        <w:snapToGrid w:val="0"/>
        <w:spacing w:beforeLines="0" w:afterLines="0" w:line="360" w:lineRule="auto"/>
        <w:rPr>
          <w:rFonts w:ascii="仿宋" w:hAnsi="仿宋" w:eastAsia="仿宋" w:cs="仿宋"/>
          <w:b/>
          <w:color w:val="auto"/>
          <w:sz w:val="24"/>
          <w:highlight w:val="none"/>
          <w:lang w:val="zh-CN"/>
        </w:rPr>
      </w:pPr>
    </w:p>
    <w:p w14:paraId="6439E1D7">
      <w:pPr>
        <w:autoSpaceDE w:val="0"/>
        <w:autoSpaceDN w:val="0"/>
        <w:snapToGrid w:val="0"/>
        <w:spacing w:beforeLines="0" w:afterLines="0" w:line="360" w:lineRule="auto"/>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6C39F7C">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5BBCCDA">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p>
    <w:p w14:paraId="15C74B73">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C9E591E">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F53C545">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009E757">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A9EA9D3">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FA51B62">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37D6C64">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DE233B7">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3D4BF92">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9F4200B">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83AA0AD">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2D53F5B">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939EB9D">
      <w:pPr>
        <w:widowControl/>
        <w:adjustRightInd/>
        <w:snapToGrid w:val="0"/>
        <w:spacing w:beforeLines="0" w:afterLines="0" w:line="360" w:lineRule="auto"/>
        <w:ind w:firstLine="422" w:firstLineChars="200"/>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26A2E1E6">
      <w:pPr>
        <w:pStyle w:val="703"/>
        <w:keepNext w:val="0"/>
        <w:keepLines w:val="0"/>
        <w:pageBreakBefore w:val="0"/>
        <w:widowControl w:val="0"/>
        <w:kinsoku/>
        <w:wordWrap/>
        <w:overflowPunct/>
        <w:topLinePunct w:val="0"/>
        <w:autoSpaceDE/>
        <w:autoSpaceDN/>
        <w:bidi w:val="0"/>
        <w:adjustRightInd w:val="0"/>
        <w:snapToGrid w:val="0"/>
        <w:spacing w:beforeLines="0" w:after="0" w:afterLines="0" w:line="360" w:lineRule="auto"/>
        <w:ind w:left="0" w:leftChars="0" w:firstLine="482"/>
        <w:jc w:val="center"/>
        <w:textAlignment w:val="auto"/>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45CE015">
      <w:pPr>
        <w:snapToGrid w:val="0"/>
        <w:spacing w:beforeLines="0" w:afterLines="0" w:line="360" w:lineRule="auto"/>
        <w:ind w:firstLine="482" w:firstLineChars="200"/>
        <w:rPr>
          <w:rFonts w:ascii="仿宋" w:hAnsi="仿宋" w:eastAsia="仿宋" w:cs="仿宋"/>
          <w:b/>
          <w:color w:val="auto"/>
          <w:sz w:val="24"/>
          <w:highlight w:val="none"/>
        </w:rPr>
      </w:pPr>
      <w:bookmarkStart w:id="541" w:name="_Toc9265"/>
      <w:bookmarkStart w:id="542" w:name="_Toc29070"/>
      <w:r>
        <w:rPr>
          <w:rFonts w:hint="eastAsia" w:ascii="仿宋" w:hAnsi="仿宋" w:eastAsia="仿宋" w:cs="仿宋"/>
          <w:b/>
          <w:color w:val="auto"/>
          <w:sz w:val="24"/>
          <w:highlight w:val="none"/>
        </w:rPr>
        <w:t>2.1 定义</w:t>
      </w:r>
      <w:bookmarkEnd w:id="541"/>
      <w:bookmarkEnd w:id="542"/>
    </w:p>
    <w:p w14:paraId="54234E7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9C9258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1A119C5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6C0FA54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6D997FC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62EE5D29">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78A2ADD">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E83891F">
      <w:pPr>
        <w:snapToGrid w:val="0"/>
        <w:spacing w:beforeLines="0" w:afterLines="0" w:line="360" w:lineRule="auto"/>
        <w:ind w:firstLine="482" w:firstLineChars="200"/>
        <w:rPr>
          <w:rFonts w:ascii="仿宋" w:hAnsi="仿宋" w:eastAsia="仿宋" w:cs="仿宋"/>
          <w:b/>
          <w:color w:val="auto"/>
          <w:sz w:val="24"/>
          <w:highlight w:val="none"/>
        </w:rPr>
      </w:pPr>
      <w:bookmarkStart w:id="543" w:name="_Toc25348"/>
      <w:bookmarkStart w:id="544" w:name="_Toc18441"/>
      <w:r>
        <w:rPr>
          <w:rFonts w:hint="eastAsia" w:ascii="仿宋" w:hAnsi="仿宋" w:eastAsia="仿宋" w:cs="仿宋"/>
          <w:b/>
          <w:color w:val="auto"/>
          <w:sz w:val="24"/>
          <w:highlight w:val="none"/>
        </w:rPr>
        <w:t>2.2 技术规范</w:t>
      </w:r>
      <w:bookmarkEnd w:id="543"/>
      <w:bookmarkEnd w:id="544"/>
    </w:p>
    <w:p w14:paraId="39ECD5B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EABD7D">
      <w:pPr>
        <w:snapToGrid w:val="0"/>
        <w:spacing w:beforeLines="0" w:afterLines="0" w:line="360" w:lineRule="auto"/>
        <w:ind w:firstLine="482" w:firstLineChars="200"/>
        <w:rPr>
          <w:rFonts w:ascii="仿宋" w:hAnsi="仿宋" w:eastAsia="仿宋" w:cs="仿宋"/>
          <w:b/>
          <w:color w:val="auto"/>
          <w:sz w:val="24"/>
          <w:highlight w:val="none"/>
        </w:rPr>
      </w:pPr>
      <w:bookmarkStart w:id="545" w:name="_Toc31737"/>
      <w:bookmarkStart w:id="546" w:name="_Toc13042"/>
      <w:r>
        <w:rPr>
          <w:rFonts w:hint="eastAsia" w:ascii="仿宋" w:hAnsi="仿宋" w:eastAsia="仿宋" w:cs="仿宋"/>
          <w:b/>
          <w:color w:val="auto"/>
          <w:sz w:val="24"/>
          <w:highlight w:val="none"/>
        </w:rPr>
        <w:t>2.3 知识产权</w:t>
      </w:r>
      <w:bookmarkEnd w:id="545"/>
      <w:bookmarkEnd w:id="546"/>
    </w:p>
    <w:p w14:paraId="569F0C4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6EF1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822CB0">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786286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856E1F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3117599">
      <w:pPr>
        <w:snapToGrid w:val="0"/>
        <w:spacing w:beforeLines="0" w:afterLines="0" w:line="360" w:lineRule="auto"/>
        <w:ind w:firstLine="482" w:firstLineChars="200"/>
        <w:rPr>
          <w:rFonts w:ascii="仿宋" w:hAnsi="仿宋" w:eastAsia="仿宋" w:cs="仿宋"/>
          <w:b/>
          <w:color w:val="auto"/>
          <w:sz w:val="24"/>
          <w:highlight w:val="none"/>
        </w:rPr>
      </w:pPr>
      <w:bookmarkStart w:id="547" w:name="_Toc8304"/>
      <w:bookmarkStart w:id="548" w:name="_Toc12391"/>
      <w:r>
        <w:rPr>
          <w:rFonts w:hint="eastAsia" w:ascii="仿宋" w:hAnsi="仿宋" w:eastAsia="仿宋" w:cs="仿宋"/>
          <w:b/>
          <w:color w:val="auto"/>
          <w:sz w:val="24"/>
          <w:highlight w:val="none"/>
        </w:rPr>
        <w:t>2.5 结算方式和付款条件</w:t>
      </w:r>
      <w:bookmarkEnd w:id="547"/>
      <w:bookmarkEnd w:id="548"/>
    </w:p>
    <w:p w14:paraId="4065DD8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1555E8D">
      <w:pPr>
        <w:snapToGrid w:val="0"/>
        <w:spacing w:beforeLines="0" w:afterLines="0" w:line="360" w:lineRule="auto"/>
        <w:ind w:firstLine="482" w:firstLineChars="200"/>
        <w:rPr>
          <w:rFonts w:ascii="仿宋" w:hAnsi="仿宋" w:eastAsia="仿宋" w:cs="仿宋"/>
          <w:b/>
          <w:color w:val="auto"/>
          <w:sz w:val="24"/>
          <w:highlight w:val="none"/>
        </w:rPr>
      </w:pPr>
      <w:bookmarkStart w:id="549" w:name="_Toc8639"/>
      <w:bookmarkStart w:id="550" w:name="_Toc22052"/>
      <w:r>
        <w:rPr>
          <w:rFonts w:hint="eastAsia" w:ascii="仿宋" w:hAnsi="仿宋" w:eastAsia="仿宋" w:cs="仿宋"/>
          <w:b/>
          <w:color w:val="auto"/>
          <w:sz w:val="24"/>
          <w:highlight w:val="none"/>
        </w:rPr>
        <w:t>2.6 技术资料和保密义务</w:t>
      </w:r>
      <w:bookmarkEnd w:id="549"/>
      <w:bookmarkEnd w:id="550"/>
    </w:p>
    <w:p w14:paraId="4399C59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7AA53F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465424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50134B">
      <w:pPr>
        <w:snapToGrid w:val="0"/>
        <w:spacing w:beforeLines="0" w:afterLines="0" w:line="360" w:lineRule="auto"/>
        <w:ind w:firstLine="482" w:firstLineChars="200"/>
        <w:rPr>
          <w:rFonts w:ascii="仿宋" w:hAnsi="仿宋" w:eastAsia="仿宋" w:cs="仿宋"/>
          <w:b/>
          <w:color w:val="auto"/>
          <w:sz w:val="24"/>
          <w:highlight w:val="none"/>
        </w:rPr>
      </w:pPr>
      <w:bookmarkStart w:id="551" w:name="_Toc24562"/>
      <w:bookmarkStart w:id="552" w:name="_Toc15424"/>
      <w:r>
        <w:rPr>
          <w:rFonts w:hint="eastAsia" w:ascii="仿宋" w:hAnsi="仿宋" w:eastAsia="仿宋" w:cs="仿宋"/>
          <w:b/>
          <w:color w:val="auto"/>
          <w:sz w:val="24"/>
          <w:highlight w:val="none"/>
        </w:rPr>
        <w:t>2.7 质量保证</w:t>
      </w:r>
      <w:bookmarkEnd w:id="551"/>
      <w:bookmarkEnd w:id="552"/>
    </w:p>
    <w:p w14:paraId="4DF944A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0A8C2A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2381298">
      <w:pPr>
        <w:snapToGrid w:val="0"/>
        <w:spacing w:beforeLines="0" w:afterLines="0" w:line="360" w:lineRule="auto"/>
        <w:ind w:firstLine="482" w:firstLineChars="200"/>
        <w:rPr>
          <w:rFonts w:ascii="仿宋" w:hAnsi="仿宋" w:eastAsia="仿宋" w:cs="仿宋"/>
          <w:b/>
          <w:color w:val="auto"/>
          <w:sz w:val="24"/>
          <w:highlight w:val="none"/>
        </w:rPr>
      </w:pPr>
      <w:bookmarkStart w:id="553" w:name="_Toc24080"/>
      <w:bookmarkStart w:id="554" w:name="_Toc17722"/>
      <w:r>
        <w:rPr>
          <w:rFonts w:hint="eastAsia" w:ascii="仿宋" w:hAnsi="仿宋" w:eastAsia="仿宋" w:cs="仿宋"/>
          <w:b/>
          <w:color w:val="auto"/>
          <w:sz w:val="24"/>
          <w:highlight w:val="none"/>
        </w:rPr>
        <w:t>2.8 延迟履行</w:t>
      </w:r>
      <w:bookmarkEnd w:id="553"/>
      <w:bookmarkEnd w:id="554"/>
    </w:p>
    <w:p w14:paraId="3B4337A9">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E3C0F56">
      <w:pPr>
        <w:snapToGrid w:val="0"/>
        <w:spacing w:beforeLines="0" w:afterLines="0" w:line="360" w:lineRule="auto"/>
        <w:ind w:firstLine="482" w:firstLineChars="200"/>
        <w:rPr>
          <w:rFonts w:ascii="仿宋" w:hAnsi="仿宋" w:eastAsia="仿宋" w:cs="仿宋"/>
          <w:b/>
          <w:color w:val="auto"/>
          <w:sz w:val="24"/>
          <w:highlight w:val="none"/>
        </w:rPr>
      </w:pPr>
      <w:bookmarkStart w:id="555" w:name="_Toc17148"/>
      <w:bookmarkStart w:id="556" w:name="_Toc11742"/>
      <w:r>
        <w:rPr>
          <w:rFonts w:hint="eastAsia" w:ascii="仿宋" w:hAnsi="仿宋" w:eastAsia="仿宋" w:cs="仿宋"/>
          <w:b/>
          <w:color w:val="auto"/>
          <w:sz w:val="24"/>
          <w:highlight w:val="none"/>
        </w:rPr>
        <w:t>2.9 合同变更</w:t>
      </w:r>
      <w:bookmarkEnd w:id="555"/>
      <w:bookmarkEnd w:id="556"/>
    </w:p>
    <w:p w14:paraId="32CF69B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D4A0DF9">
      <w:pPr>
        <w:snapToGrid w:val="0"/>
        <w:spacing w:beforeLines="0" w:afterLines="0" w:line="360" w:lineRule="auto"/>
        <w:ind w:firstLine="482" w:firstLineChars="200"/>
        <w:rPr>
          <w:rFonts w:ascii="仿宋" w:hAnsi="仿宋" w:eastAsia="仿宋" w:cs="仿宋"/>
          <w:b/>
          <w:color w:val="auto"/>
          <w:sz w:val="24"/>
          <w:highlight w:val="none"/>
        </w:rPr>
      </w:pPr>
      <w:bookmarkStart w:id="557" w:name="_Toc17193"/>
      <w:bookmarkStart w:id="558" w:name="_Toc24533"/>
      <w:r>
        <w:rPr>
          <w:rFonts w:hint="eastAsia" w:ascii="仿宋" w:hAnsi="仿宋" w:eastAsia="仿宋" w:cs="仿宋"/>
          <w:b/>
          <w:color w:val="auto"/>
          <w:sz w:val="24"/>
          <w:highlight w:val="none"/>
        </w:rPr>
        <w:t>2.10 合同转让和分包</w:t>
      </w:r>
      <w:bookmarkEnd w:id="557"/>
      <w:bookmarkEnd w:id="558"/>
    </w:p>
    <w:p w14:paraId="53712F58">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50EBB3">
      <w:pPr>
        <w:snapToGrid w:val="0"/>
        <w:spacing w:beforeLines="0" w:afterLines="0" w:line="360" w:lineRule="auto"/>
        <w:ind w:firstLine="482" w:firstLineChars="200"/>
        <w:rPr>
          <w:rFonts w:ascii="仿宋" w:hAnsi="仿宋" w:eastAsia="仿宋" w:cs="仿宋"/>
          <w:b/>
          <w:color w:val="auto"/>
          <w:sz w:val="24"/>
          <w:highlight w:val="none"/>
        </w:rPr>
      </w:pPr>
      <w:bookmarkStart w:id="559" w:name="_Toc18393"/>
      <w:bookmarkStart w:id="560" w:name="_Toc10781"/>
      <w:r>
        <w:rPr>
          <w:rFonts w:hint="eastAsia" w:ascii="仿宋" w:hAnsi="仿宋" w:eastAsia="仿宋" w:cs="仿宋"/>
          <w:b/>
          <w:color w:val="auto"/>
          <w:sz w:val="24"/>
          <w:highlight w:val="none"/>
        </w:rPr>
        <w:t>2.11 不可抗力</w:t>
      </w:r>
      <w:bookmarkEnd w:id="559"/>
      <w:bookmarkEnd w:id="560"/>
    </w:p>
    <w:p w14:paraId="463BA7F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912161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A228AE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FE0801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299C462">
      <w:pPr>
        <w:snapToGrid w:val="0"/>
        <w:spacing w:beforeLines="0" w:afterLines="0" w:line="360" w:lineRule="auto"/>
        <w:ind w:firstLine="482" w:firstLineChars="200"/>
        <w:rPr>
          <w:rFonts w:ascii="仿宋" w:hAnsi="仿宋" w:eastAsia="仿宋" w:cs="仿宋"/>
          <w:b/>
          <w:color w:val="auto"/>
          <w:sz w:val="24"/>
          <w:highlight w:val="none"/>
        </w:rPr>
      </w:pPr>
      <w:bookmarkStart w:id="561" w:name="_Toc32573"/>
      <w:bookmarkStart w:id="562" w:name="_Toc13317"/>
      <w:r>
        <w:rPr>
          <w:rFonts w:hint="eastAsia" w:ascii="仿宋" w:hAnsi="仿宋" w:eastAsia="仿宋" w:cs="仿宋"/>
          <w:b/>
          <w:color w:val="auto"/>
          <w:sz w:val="24"/>
          <w:highlight w:val="none"/>
        </w:rPr>
        <w:t>2.12 税费</w:t>
      </w:r>
      <w:bookmarkEnd w:id="561"/>
      <w:bookmarkEnd w:id="562"/>
    </w:p>
    <w:p w14:paraId="6DE637B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4E6C263">
      <w:pPr>
        <w:snapToGrid w:val="0"/>
        <w:spacing w:beforeLines="0" w:afterLines="0" w:line="360" w:lineRule="auto"/>
        <w:ind w:firstLine="482" w:firstLineChars="200"/>
        <w:rPr>
          <w:rFonts w:ascii="仿宋" w:hAnsi="仿宋" w:eastAsia="仿宋" w:cs="仿宋"/>
          <w:b/>
          <w:color w:val="auto"/>
          <w:sz w:val="24"/>
          <w:highlight w:val="none"/>
        </w:rPr>
      </w:pPr>
      <w:bookmarkStart w:id="563" w:name="_Toc24743"/>
      <w:bookmarkStart w:id="564" w:name="_Toc26875"/>
      <w:r>
        <w:rPr>
          <w:rFonts w:hint="eastAsia" w:ascii="仿宋" w:hAnsi="仿宋" w:eastAsia="仿宋" w:cs="仿宋"/>
          <w:b/>
          <w:color w:val="auto"/>
          <w:sz w:val="24"/>
          <w:highlight w:val="none"/>
        </w:rPr>
        <w:t>2.13 乙方破产</w:t>
      </w:r>
      <w:bookmarkEnd w:id="563"/>
      <w:bookmarkEnd w:id="564"/>
    </w:p>
    <w:p w14:paraId="701D068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614F29">
      <w:pPr>
        <w:snapToGrid w:val="0"/>
        <w:spacing w:beforeLines="0" w:afterLines="0" w:line="360" w:lineRule="auto"/>
        <w:ind w:firstLine="482" w:firstLineChars="200"/>
        <w:rPr>
          <w:rFonts w:ascii="仿宋" w:hAnsi="仿宋" w:eastAsia="仿宋" w:cs="仿宋"/>
          <w:b/>
          <w:color w:val="auto"/>
          <w:sz w:val="24"/>
          <w:highlight w:val="none"/>
        </w:rPr>
      </w:pPr>
      <w:bookmarkStart w:id="565" w:name="_Toc25881"/>
      <w:bookmarkStart w:id="566" w:name="_Toc25595"/>
      <w:r>
        <w:rPr>
          <w:rFonts w:hint="eastAsia" w:ascii="仿宋" w:hAnsi="仿宋" w:eastAsia="仿宋" w:cs="仿宋"/>
          <w:b/>
          <w:color w:val="auto"/>
          <w:sz w:val="24"/>
          <w:highlight w:val="none"/>
        </w:rPr>
        <w:t>2.14 合同中止、终止</w:t>
      </w:r>
      <w:bookmarkEnd w:id="565"/>
      <w:bookmarkEnd w:id="566"/>
    </w:p>
    <w:p w14:paraId="371EF59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B5077D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42FC600">
      <w:pPr>
        <w:snapToGrid w:val="0"/>
        <w:spacing w:beforeLines="0" w:afterLines="0" w:line="360" w:lineRule="auto"/>
        <w:ind w:firstLine="482" w:firstLineChars="200"/>
        <w:rPr>
          <w:rFonts w:ascii="仿宋" w:hAnsi="仿宋" w:eastAsia="仿宋" w:cs="仿宋"/>
          <w:b/>
          <w:color w:val="auto"/>
          <w:sz w:val="24"/>
          <w:highlight w:val="none"/>
        </w:rPr>
      </w:pPr>
      <w:bookmarkStart w:id="567" w:name="_Toc17783"/>
      <w:bookmarkStart w:id="568" w:name="_Toc18802"/>
      <w:r>
        <w:rPr>
          <w:rFonts w:hint="eastAsia" w:ascii="仿宋" w:hAnsi="仿宋" w:eastAsia="仿宋" w:cs="仿宋"/>
          <w:b/>
          <w:color w:val="auto"/>
          <w:sz w:val="24"/>
          <w:highlight w:val="none"/>
        </w:rPr>
        <w:t>2.15 检验和验收</w:t>
      </w:r>
      <w:bookmarkEnd w:id="567"/>
      <w:bookmarkEnd w:id="568"/>
    </w:p>
    <w:p w14:paraId="552275B6">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BC3634">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7F0B1A">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BF87E78">
      <w:pPr>
        <w:snapToGrid w:val="0"/>
        <w:spacing w:beforeLines="0" w:afterLines="0" w:line="360" w:lineRule="auto"/>
        <w:ind w:firstLine="482" w:firstLineChars="200"/>
        <w:rPr>
          <w:rFonts w:ascii="仿宋" w:hAnsi="仿宋" w:eastAsia="仿宋" w:cs="仿宋"/>
          <w:b/>
          <w:color w:val="auto"/>
          <w:sz w:val="24"/>
          <w:highlight w:val="none"/>
        </w:rPr>
      </w:pPr>
      <w:bookmarkStart w:id="569" w:name="_Toc30732"/>
      <w:bookmarkStart w:id="570" w:name="_Toc21819"/>
      <w:r>
        <w:rPr>
          <w:rFonts w:hint="eastAsia" w:ascii="仿宋" w:hAnsi="仿宋" w:eastAsia="仿宋" w:cs="仿宋"/>
          <w:b/>
          <w:color w:val="auto"/>
          <w:sz w:val="24"/>
          <w:highlight w:val="none"/>
        </w:rPr>
        <w:t>2.16 通知和送达</w:t>
      </w:r>
      <w:bookmarkEnd w:id="569"/>
      <w:bookmarkEnd w:id="570"/>
    </w:p>
    <w:p w14:paraId="23B2EAD6">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2.16.1任何一方因履行合同而以合同第一部分尾部所列明的传真或电子邮件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A788AC1">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12374BF6">
      <w:pPr>
        <w:snapToGrid w:val="0"/>
        <w:spacing w:beforeLines="0" w:afterLines="0" w:line="360" w:lineRule="auto"/>
        <w:ind w:firstLine="482" w:firstLineChars="200"/>
        <w:rPr>
          <w:rFonts w:ascii="仿宋" w:hAnsi="仿宋" w:eastAsia="仿宋" w:cs="仿宋"/>
          <w:b/>
          <w:color w:val="auto"/>
          <w:sz w:val="24"/>
          <w:highlight w:val="none"/>
        </w:rPr>
      </w:pPr>
      <w:bookmarkStart w:id="571" w:name="_Toc32405"/>
      <w:bookmarkStart w:id="572" w:name="_Toc20193"/>
      <w:r>
        <w:rPr>
          <w:rFonts w:hint="eastAsia" w:ascii="仿宋" w:hAnsi="仿宋" w:eastAsia="仿宋" w:cs="仿宋"/>
          <w:b/>
          <w:color w:val="auto"/>
          <w:sz w:val="24"/>
          <w:highlight w:val="none"/>
        </w:rPr>
        <w:t>2.17 合同使用的文字和适用的法律</w:t>
      </w:r>
      <w:bookmarkEnd w:id="571"/>
      <w:bookmarkEnd w:id="572"/>
    </w:p>
    <w:p w14:paraId="766DF71D">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5D2D66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306B2E5">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ascii="仿宋" w:hAnsi="仿宋" w:eastAsia="仿宋" w:cs="仿宋"/>
          <w:b/>
          <w:color w:val="auto"/>
          <w:sz w:val="24"/>
          <w:highlight w:val="none"/>
        </w:rPr>
      </w:pPr>
      <w:bookmarkStart w:id="573" w:name="_Toc4355"/>
      <w:bookmarkStart w:id="574" w:name="_Toc18540"/>
      <w:bookmarkStart w:id="575" w:name="_Toc25493"/>
      <w:bookmarkStart w:id="576" w:name="_Toc30599"/>
      <w:bookmarkStart w:id="577" w:name="_Toc30426"/>
      <w:bookmarkStart w:id="578" w:name="_Toc1492"/>
      <w:bookmarkStart w:id="579" w:name="_Toc22266"/>
      <w:bookmarkStart w:id="580" w:name="_Toc30096"/>
      <w:bookmarkStart w:id="581" w:name="_Toc27403"/>
      <w:bookmarkStart w:id="582" w:name="_Toc27127"/>
      <w:r>
        <w:rPr>
          <w:rFonts w:hint="eastAsia" w:ascii="仿宋" w:hAnsi="仿宋" w:eastAsia="仿宋" w:cs="仿宋"/>
          <w:b/>
          <w:color w:val="auto"/>
          <w:sz w:val="24"/>
          <w:highlight w:val="none"/>
        </w:rPr>
        <w:t>2.18 计量单位</w:t>
      </w:r>
      <w:bookmarkEnd w:id="573"/>
      <w:bookmarkEnd w:id="574"/>
      <w:bookmarkEnd w:id="575"/>
      <w:bookmarkEnd w:id="576"/>
      <w:bookmarkEnd w:id="577"/>
    </w:p>
    <w:p w14:paraId="4DB2356D">
      <w:pPr>
        <w:keepNext w:val="0"/>
        <w:keepLines w:val="0"/>
        <w:pageBreakBefore w:val="0"/>
        <w:kinsoku/>
        <w:overflowPunct/>
        <w:topLinePunct w:val="0"/>
        <w:bidi w:val="0"/>
        <w:snapToGrid w:val="0"/>
        <w:spacing w:beforeLines="0" w:afterLines="0" w:line="360" w:lineRule="auto"/>
        <w:ind w:left="0"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bookmarkEnd w:id="578"/>
    <w:bookmarkEnd w:id="579"/>
    <w:bookmarkEnd w:id="580"/>
    <w:bookmarkEnd w:id="581"/>
    <w:bookmarkEnd w:id="582"/>
    <w:p w14:paraId="57F8FC07">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E70C2E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504"/>
    <w:bookmarkEnd w:id="505"/>
    <w:bookmarkEnd w:id="506"/>
    <w:bookmarkEnd w:id="507"/>
    <w:bookmarkEnd w:id="508"/>
    <w:p w14:paraId="5DB46F9D">
      <w:pPr>
        <w:snapToGrid w:val="0"/>
        <w:spacing w:beforeLines="0" w:afterLines="0" w:line="360" w:lineRule="auto"/>
        <w:ind w:firstLine="480" w:firstLineChars="200"/>
        <w:rPr>
          <w:rFonts w:ascii="仿宋" w:hAnsi="仿宋" w:eastAsia="仿宋" w:cs="仿宋"/>
          <w:color w:val="auto"/>
          <w:sz w:val="24"/>
          <w:highlight w:val="none"/>
        </w:rPr>
      </w:pPr>
    </w:p>
    <w:p w14:paraId="50876016">
      <w:pPr>
        <w:pStyle w:val="703"/>
        <w:spacing w:beforeLines="0" w:after="0" w:afterLines="0" w:line="360" w:lineRule="auto"/>
        <w:jc w:val="center"/>
        <w:outlineLvl w:val="0"/>
        <w:rPr>
          <w:rFonts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83" w:name="_Toc25969"/>
      <w:bookmarkStart w:id="584" w:name="_Toc15098"/>
      <w:bookmarkStart w:id="585" w:name="_Toc24383"/>
      <w:bookmarkStart w:id="586" w:name="_Toc2409"/>
      <w:bookmarkStart w:id="587" w:name="_Toc25021"/>
      <w:bookmarkStart w:id="588" w:name="_Toc27408"/>
      <w:r>
        <w:rPr>
          <w:rFonts w:hint="eastAsia" w:ascii="仿宋" w:hAnsi="仿宋" w:eastAsia="仿宋" w:cs="仿宋"/>
          <w:b/>
          <w:color w:val="auto"/>
          <w:sz w:val="32"/>
          <w:szCs w:val="32"/>
          <w:highlight w:val="none"/>
        </w:rPr>
        <w:t>第三部分 合同专用条款</w:t>
      </w:r>
      <w:bookmarkEnd w:id="583"/>
      <w:bookmarkEnd w:id="584"/>
      <w:bookmarkEnd w:id="585"/>
      <w:bookmarkEnd w:id="586"/>
      <w:bookmarkEnd w:id="587"/>
      <w:bookmarkEnd w:id="588"/>
    </w:p>
    <w:p w14:paraId="5AEDDB76">
      <w:pPr>
        <w:snapToGrid w:val="0"/>
        <w:spacing w:beforeLines="0" w:afterLines="0" w:line="360" w:lineRule="auto"/>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14:paraId="05AC3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748AFC3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90" w:type="dxa"/>
            <w:vAlign w:val="center"/>
          </w:tcPr>
          <w:p w14:paraId="7F399B5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32BB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5096FBA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val="0"/>
                <w:color w:val="auto"/>
                <w:sz w:val="24"/>
                <w:highlight w:val="none"/>
                <w:lang w:val="en-US" w:eastAsia="zh-CN"/>
              </w:rPr>
              <w:t>1.3.2</w:t>
            </w:r>
          </w:p>
        </w:tc>
        <w:tc>
          <w:tcPr>
            <w:tcW w:w="8290" w:type="dxa"/>
            <w:vAlign w:val="center"/>
          </w:tcPr>
          <w:p w14:paraId="570622D3">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both"/>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参加活动每人次数量计。</w:t>
            </w:r>
            <w:r>
              <w:rPr>
                <w:rFonts w:hint="eastAsia" w:ascii="仿宋" w:hAnsi="仿宋" w:eastAsia="仿宋" w:cs="仿宋"/>
                <w:bCs/>
                <w:color w:val="auto"/>
                <w:sz w:val="24"/>
                <w:highlight w:val="none"/>
                <w:u w:val="single"/>
              </w:rPr>
              <w:t xml:space="preserve"> </w:t>
            </w:r>
          </w:p>
        </w:tc>
      </w:tr>
      <w:tr w14:paraId="62C7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9AB1F2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290" w:type="dxa"/>
            <w:vAlign w:val="center"/>
          </w:tcPr>
          <w:p w14:paraId="79299D3D">
            <w:pPr>
              <w:keepNext w:val="0"/>
              <w:keepLines w:val="0"/>
              <w:pageBreakBefore w:val="0"/>
              <w:widowControl w:val="0"/>
              <w:kinsoku/>
              <w:wordWrap w:val="0"/>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26FC0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2A634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90" w:type="dxa"/>
            <w:vAlign w:val="center"/>
          </w:tcPr>
          <w:p w14:paraId="0C7348FB">
            <w:pPr>
              <w:pStyle w:val="968"/>
              <w:tabs>
                <w:tab w:val="left" w:pos="471"/>
              </w:tabs>
              <w:wordWrap/>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bidi="ar-SA"/>
              </w:rPr>
              <w:t>/</w:t>
            </w:r>
          </w:p>
        </w:tc>
      </w:tr>
      <w:tr w14:paraId="4903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1BCB8B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90" w:type="dxa"/>
            <w:vAlign w:val="center"/>
          </w:tcPr>
          <w:p w14:paraId="374E153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3670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A4F02B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90" w:type="dxa"/>
            <w:vAlign w:val="center"/>
          </w:tcPr>
          <w:p w14:paraId="72591D0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r>
      <w:tr w14:paraId="4CFA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B1D50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90" w:type="dxa"/>
            <w:vAlign w:val="center"/>
          </w:tcPr>
          <w:p w14:paraId="138C0B8A">
            <w:pPr>
              <w:pStyle w:val="968"/>
              <w:tabs>
                <w:tab w:val="left" w:pos="471"/>
              </w:tabs>
              <w:snapToGrid w:val="0"/>
              <w:spacing w:beforeLines="0" w:afterLines="0" w:line="360" w:lineRule="auto"/>
              <w:ind w:left="0" w:leftChars="0" w:firstLine="0" w:firstLineChars="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资金支付的方式、时间和条件：</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按规定启动项目服务至2025年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月30日经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认可后向乙方支付合同价的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szCs w:val="24"/>
                <w:highlight w:val="none"/>
                <w:lang w:eastAsia="zh-CN"/>
              </w:rPr>
              <w:t>结束、</w:t>
            </w:r>
            <w:r>
              <w:rPr>
                <w:rFonts w:hint="eastAsia" w:ascii="仿宋" w:hAnsi="仿宋" w:eastAsia="仿宋" w:cs="仿宋"/>
                <w:color w:val="auto"/>
                <w:sz w:val="24"/>
                <w:szCs w:val="24"/>
                <w:highlight w:val="none"/>
                <w:lang w:val="en-US" w:eastAsia="zh-CN"/>
              </w:rPr>
              <w:t>无服务质量问题，根据参加活动实际人数据实结算，支付剩余合同款，但结算总价上限不得超过各标项年预算金额。</w:t>
            </w:r>
            <w:r>
              <w:rPr>
                <w:rFonts w:hint="eastAsia" w:ascii="仿宋" w:hAnsi="仿宋" w:eastAsia="仿宋" w:cs="仿宋"/>
                <w:color w:val="auto"/>
                <w:sz w:val="24"/>
                <w:highlight w:val="none"/>
                <w:lang w:eastAsia="zh-CN"/>
              </w:rPr>
              <w:t>付款前乙方需开具增值税发票。</w:t>
            </w:r>
          </w:p>
        </w:tc>
      </w:tr>
      <w:tr w14:paraId="4AFC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14CBC9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90" w:type="dxa"/>
            <w:vAlign w:val="center"/>
          </w:tcPr>
          <w:p w14:paraId="334E2B8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服务交付（实施）的时间（期限）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2025年-2027年。</w:t>
            </w:r>
          </w:p>
        </w:tc>
      </w:tr>
      <w:tr w14:paraId="6F37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253660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90" w:type="dxa"/>
            <w:vAlign w:val="center"/>
          </w:tcPr>
          <w:p w14:paraId="6E75009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服务交付（实施）的地点（地域范围）：</w:t>
            </w:r>
            <w:r>
              <w:rPr>
                <w:rFonts w:hint="eastAsia" w:ascii="仿宋" w:hAnsi="仿宋" w:eastAsia="仿宋" w:cs="仿宋"/>
                <w:color w:val="auto"/>
                <w:sz w:val="24"/>
                <w:highlight w:val="none"/>
                <w:lang w:eastAsia="zh-CN"/>
              </w:rPr>
              <w:t>浙江省</w:t>
            </w:r>
            <w:r>
              <w:rPr>
                <w:rFonts w:ascii="仿宋" w:hAnsi="仿宋" w:eastAsia="仿宋" w:cs="仿宋"/>
                <w:color w:val="auto"/>
                <w:sz w:val="24"/>
                <w:highlight w:val="none"/>
              </w:rPr>
              <w:t>范围内</w:t>
            </w:r>
          </w:p>
        </w:tc>
      </w:tr>
      <w:tr w14:paraId="2C46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7296E9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290" w:type="dxa"/>
            <w:vAlign w:val="center"/>
          </w:tcPr>
          <w:p w14:paraId="3F92FDCE">
            <w:pPr>
              <w:pStyle w:val="968"/>
              <w:tabs>
                <w:tab w:val="left" w:pos="471"/>
              </w:tabs>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w:t>
            </w:r>
            <w:r>
              <w:rPr>
                <w:rFonts w:hint="eastAsia" w:ascii="仿宋" w:hAnsi="仿宋" w:eastAsia="仿宋" w:cs="仿宋"/>
                <w:color w:val="auto"/>
                <w:sz w:val="24"/>
                <w:highlight w:val="none"/>
                <w:lang w:val="en-US" w:eastAsia="zh-CN"/>
              </w:rPr>
              <w:t>企业退休人员参与文体活动，</w:t>
            </w:r>
            <w:r>
              <w:rPr>
                <w:rFonts w:hint="eastAsia" w:ascii="仿宋" w:hAnsi="仿宋" w:eastAsia="仿宋" w:cs="仿宋"/>
                <w:color w:val="auto"/>
                <w:kern w:val="0"/>
                <w:sz w:val="24"/>
                <w:szCs w:val="24"/>
                <w:highlight w:val="none"/>
                <w:lang w:val="en-US" w:eastAsia="zh-CN" w:bidi="ar-SA"/>
              </w:rPr>
              <w:t>每人每年参加1次；</w:t>
            </w:r>
          </w:p>
        </w:tc>
      </w:tr>
      <w:tr w14:paraId="494A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3676A2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290" w:type="dxa"/>
            <w:vAlign w:val="center"/>
          </w:tcPr>
          <w:p w14:paraId="1825C92C">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违约责任特殊约定：满意度调查低于</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5%，服务费扣除合同签约价的2%，并按</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要求整改；因</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原因发生安全事故的，服务费扣除合同签约价的5%-15%，并</w:t>
            </w:r>
            <w:r>
              <w:rPr>
                <w:rFonts w:hint="eastAsia" w:ascii="仿宋" w:hAnsi="仿宋" w:eastAsia="仿宋" w:cs="仿宋"/>
                <w:color w:val="auto"/>
                <w:sz w:val="24"/>
                <w:highlight w:val="none"/>
                <w:lang w:val="en-US" w:eastAsia="zh-CN"/>
              </w:rPr>
              <w:t>由乙方</w:t>
            </w:r>
            <w:r>
              <w:rPr>
                <w:rFonts w:hint="eastAsia" w:ascii="仿宋" w:hAnsi="仿宋" w:eastAsia="仿宋" w:cs="仿宋"/>
                <w:color w:val="auto"/>
                <w:sz w:val="24"/>
                <w:highlight w:val="none"/>
              </w:rPr>
              <w:t>承担事故所有损失，</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有权单方面终止合同。</w:t>
            </w:r>
          </w:p>
          <w:p w14:paraId="47B37B6C">
            <w:pPr>
              <w:tabs>
                <w:tab w:val="left" w:pos="0"/>
              </w:tabs>
              <w:spacing w:line="360" w:lineRule="auto"/>
              <w:ind w:firstLine="480"/>
              <w:rPr>
                <w:rFonts w:ascii="仿宋" w:hAnsi="仿宋" w:eastAsia="仿宋" w:cs="仿宋"/>
                <w:color w:val="auto"/>
                <w:sz w:val="24"/>
                <w:highlight w:val="none"/>
              </w:rPr>
            </w:pPr>
            <w:r>
              <w:rPr>
                <w:rFonts w:hint="eastAsia" w:ascii="仿宋" w:hAnsi="仿宋" w:eastAsia="仿宋" w:cs="仿宋"/>
                <w:color w:val="auto"/>
                <w:kern w:val="0"/>
                <w:sz w:val="24"/>
                <w:highlight w:val="none"/>
              </w:rPr>
              <w:t>首次满意度调查低于</w:t>
            </w:r>
            <w:r>
              <w:rPr>
                <w:rFonts w:hint="eastAsia" w:ascii="仿宋" w:hAnsi="仿宋" w:eastAsia="仿宋" w:cs="仿宋"/>
                <w:color w:val="auto"/>
                <w:kern w:val="0"/>
                <w:sz w:val="24"/>
                <w:highlight w:val="none"/>
                <w:lang w:val="en-US" w:eastAsia="zh-CN"/>
              </w:rPr>
              <w:t>90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乙方应及时</w:t>
            </w:r>
            <w:r>
              <w:rPr>
                <w:rFonts w:hint="eastAsia" w:ascii="仿宋" w:hAnsi="仿宋" w:eastAsia="仿宋" w:cs="仿宋"/>
                <w:color w:val="auto"/>
                <w:kern w:val="0"/>
                <w:sz w:val="24"/>
                <w:highlight w:val="none"/>
              </w:rPr>
              <w:t>进行整改，</w:t>
            </w:r>
            <w:r>
              <w:rPr>
                <w:rFonts w:hint="eastAsia" w:ascii="仿宋" w:hAnsi="仿宋" w:eastAsia="仿宋" w:cs="仿宋"/>
                <w:color w:val="auto"/>
                <w:kern w:val="0"/>
                <w:sz w:val="24"/>
                <w:highlight w:val="none"/>
                <w:lang w:val="en-US" w:eastAsia="zh-CN"/>
              </w:rPr>
              <w:t>乙方连续</w:t>
            </w:r>
            <w:r>
              <w:rPr>
                <w:rFonts w:hint="eastAsia" w:ascii="仿宋" w:hAnsi="仿宋" w:eastAsia="仿宋" w:cs="仿宋"/>
                <w:color w:val="auto"/>
                <w:kern w:val="0"/>
                <w:sz w:val="24"/>
                <w:highlight w:val="none"/>
              </w:rPr>
              <w:t>二次低于85%，</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有权单方面终止本协议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乙方须承担由此产生的相关责任与损失</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自行承担，</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在被服务的企退人员索赔时不承担任何责任。</w:t>
            </w:r>
          </w:p>
        </w:tc>
      </w:tr>
      <w:tr w14:paraId="436B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FA22038">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290" w:type="dxa"/>
            <w:vAlign w:val="center"/>
          </w:tcPr>
          <w:p w14:paraId="3451AA9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本项目选择以下第1.9.2 条款规定的方式解决</w:t>
            </w:r>
            <w:r>
              <w:rPr>
                <w:rFonts w:hint="eastAsia" w:ascii="仿宋" w:hAnsi="仿宋" w:eastAsia="仿宋" w:cs="仿宋"/>
                <w:bCs/>
                <w:color w:val="auto"/>
                <w:sz w:val="24"/>
                <w:highlight w:val="none"/>
                <w:lang w:eastAsia="zh-CN"/>
              </w:rPr>
              <w:t>。</w:t>
            </w:r>
          </w:p>
        </w:tc>
      </w:tr>
      <w:tr w14:paraId="736C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6EC259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290" w:type="dxa"/>
            <w:vAlign w:val="center"/>
          </w:tcPr>
          <w:p w14:paraId="0C75CF3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将争议提交杭州仲裁委员会依申请仲裁时其现行有效的仲裁规则裁决</w:t>
            </w:r>
            <w:r>
              <w:rPr>
                <w:rFonts w:hint="eastAsia" w:ascii="仿宋" w:hAnsi="仿宋" w:eastAsia="仿宋" w:cs="仿宋"/>
                <w:bCs/>
                <w:color w:val="auto"/>
                <w:sz w:val="24"/>
                <w:highlight w:val="none"/>
                <w:lang w:eastAsia="zh-CN"/>
              </w:rPr>
              <w:t>。</w:t>
            </w:r>
          </w:p>
        </w:tc>
      </w:tr>
      <w:tr w14:paraId="16B9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BDE86D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290" w:type="dxa"/>
            <w:vAlign w:val="center"/>
          </w:tcPr>
          <w:p w14:paraId="7B49AD7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7907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EC149F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90" w:type="dxa"/>
            <w:vAlign w:val="center"/>
          </w:tcPr>
          <w:p w14:paraId="48B883F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合同涉及技术成果的归属和收益的分成：成果归属甲方，无受益分成。</w:t>
            </w:r>
          </w:p>
        </w:tc>
      </w:tr>
      <w:tr w14:paraId="1D331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7B36ED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90" w:type="dxa"/>
            <w:vAlign w:val="center"/>
          </w:tcPr>
          <w:p w14:paraId="793DB0B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详见1.6.2</w:t>
            </w:r>
            <w:r>
              <w:rPr>
                <w:rFonts w:hint="eastAsia" w:ascii="仿宋" w:hAnsi="仿宋" w:eastAsia="仿宋" w:cs="仿宋"/>
                <w:color w:val="auto"/>
                <w:sz w:val="24"/>
                <w:highlight w:val="none"/>
                <w:lang w:eastAsia="zh-CN"/>
              </w:rPr>
              <w:t>。</w:t>
            </w:r>
          </w:p>
        </w:tc>
      </w:tr>
      <w:tr w14:paraId="21D6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D92078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290" w:type="dxa"/>
            <w:vAlign w:val="center"/>
          </w:tcPr>
          <w:p w14:paraId="1C8CBAB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因不可抗力致使合同有变更必要的，双方当事人应在发生后</w:t>
            </w:r>
            <w:r>
              <w:rPr>
                <w:rFonts w:hint="eastAsia" w:ascii="仿宋" w:hAnsi="仿宋" w:eastAsia="仿宋" w:cs="仿宋"/>
                <w:color w:val="auto"/>
                <w:sz w:val="24"/>
                <w:highlight w:val="none"/>
                <w:lang w:val="en-US" w:eastAsia="zh-CN"/>
              </w:rPr>
              <w:t>15个工作日</w:t>
            </w:r>
            <w:r>
              <w:rPr>
                <w:rFonts w:hint="eastAsia" w:ascii="仿宋" w:hAnsi="仿宋" w:eastAsia="仿宋" w:cs="仿宋"/>
                <w:color w:val="auto"/>
                <w:sz w:val="24"/>
                <w:highlight w:val="none"/>
              </w:rPr>
              <w:t>内以书面形式变更合同</w:t>
            </w:r>
            <w:r>
              <w:rPr>
                <w:rFonts w:hint="eastAsia" w:ascii="仿宋" w:hAnsi="仿宋" w:eastAsia="仿宋" w:cs="仿宋"/>
                <w:color w:val="auto"/>
                <w:sz w:val="24"/>
                <w:highlight w:val="none"/>
                <w:lang w:eastAsia="zh-CN"/>
              </w:rPr>
              <w:t>。</w:t>
            </w:r>
          </w:p>
        </w:tc>
      </w:tr>
      <w:tr w14:paraId="0D861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26AA457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290" w:type="dxa"/>
            <w:vAlign w:val="center"/>
          </w:tcPr>
          <w:p w14:paraId="685F6FA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小时内以书面形式通知对方当事人，并在事故发生后</w:t>
            </w:r>
            <w:r>
              <w:rPr>
                <w:rFonts w:hint="eastAsia" w:ascii="仿宋" w:hAnsi="仿宋" w:eastAsia="仿宋" w:cs="仿宋"/>
                <w:color w:val="auto"/>
                <w:sz w:val="24"/>
                <w:highlight w:val="none"/>
                <w:lang w:val="en-US" w:eastAsia="zh-CN"/>
              </w:rPr>
              <w:t>10个工作日</w:t>
            </w:r>
            <w:r>
              <w:rPr>
                <w:rFonts w:hint="eastAsia" w:ascii="仿宋" w:hAnsi="仿宋" w:eastAsia="仿宋" w:cs="仿宋"/>
                <w:color w:val="auto"/>
                <w:sz w:val="24"/>
                <w:highlight w:val="none"/>
              </w:rPr>
              <w:t>内，将有关部门出具的证明文件送达对方当事人。如果不可抗力影响时间延续60天以上的，双方应通过友好协商在合理的时间内达成进一步履行合同的协议。</w:t>
            </w:r>
          </w:p>
        </w:tc>
      </w:tr>
      <w:tr w14:paraId="5F77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A1F2F2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290" w:type="dxa"/>
            <w:vAlign w:val="center"/>
          </w:tcPr>
          <w:p w14:paraId="5A223EE1">
            <w:pPr>
              <w:keepNext w:val="0"/>
              <w:keepLines w:val="0"/>
              <w:pageBreakBefore w:val="0"/>
              <w:widowControl w:val="0"/>
              <w:numPr>
                <w:ilvl w:val="0"/>
                <w:numId w:val="0"/>
              </w:numPr>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val="en-US" w:eastAsia="zh-CN"/>
              </w:rPr>
              <w:t>服务报告要求：合同签订后，</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提供最终确定的活动方案报甲方确认。</w:t>
            </w:r>
          </w:p>
          <w:p w14:paraId="7AB80656">
            <w:pPr>
              <w:keepNext w:val="0"/>
              <w:keepLines w:val="0"/>
              <w:pageBreakBefore w:val="0"/>
              <w:widowControl w:val="0"/>
              <w:numPr>
                <w:ilvl w:val="0"/>
                <w:numId w:val="0"/>
              </w:numPr>
              <w:kinsoku/>
              <w:overflowPunct/>
              <w:topLinePunct w:val="0"/>
              <w:autoSpaceDE/>
              <w:autoSpaceDN/>
              <w:bidi w:val="0"/>
              <w:snapToGrid w:val="0"/>
              <w:spacing w:beforeLines="0" w:afterLines="0" w:line="360" w:lineRule="auto"/>
              <w:ind w:right="0" w:rightChars="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不定期进行满意度调查。</w:t>
            </w:r>
          </w:p>
        </w:tc>
      </w:tr>
      <w:tr w14:paraId="3BFB3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645410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290" w:type="dxa"/>
            <w:vAlign w:val="center"/>
          </w:tcPr>
          <w:p w14:paraId="6C46397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检验和验收标准、程序等具体内容以及前述验收书的效力</w:t>
            </w:r>
            <w:r>
              <w:rPr>
                <w:rFonts w:hint="eastAsia" w:ascii="仿宋" w:hAnsi="仿宋" w:eastAsia="仿宋" w:cs="仿宋"/>
                <w:color w:val="auto"/>
                <w:sz w:val="24"/>
                <w:highlight w:val="none"/>
                <w:lang w:eastAsia="zh-CN"/>
              </w:rPr>
              <w:t>：</w:t>
            </w:r>
          </w:p>
          <w:p w14:paraId="1096BA2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（1）检验和验收标准：①</w:t>
            </w:r>
            <w:r>
              <w:rPr>
                <w:rFonts w:hint="eastAsia" w:ascii="仿宋" w:hAnsi="仿宋" w:eastAsia="仿宋" w:cs="仿宋"/>
                <w:color w:val="auto"/>
                <w:sz w:val="24"/>
                <w:highlight w:val="none"/>
                <w:lang w:val="en-US" w:eastAsia="zh-CN"/>
              </w:rPr>
              <w:t>完成采购服务内容、满足采购服务要求及投标文件承诺；</w:t>
            </w:r>
            <w:r>
              <w:rPr>
                <w:rFonts w:hint="eastAsia" w:ascii="仿宋" w:hAnsi="仿宋" w:eastAsia="仿宋" w:cs="仿宋"/>
                <w:b w:val="0"/>
                <w:bCs w:val="0"/>
                <w:color w:val="auto"/>
                <w:kern w:val="0"/>
                <w:sz w:val="24"/>
                <w:szCs w:val="24"/>
                <w:highlight w:val="none"/>
                <w:lang w:val="en-US" w:eastAsia="zh-CN" w:bidi="ar-SA"/>
              </w:rPr>
              <w:t>满意度达95%及以上，安全事故“0”发生。</w:t>
            </w:r>
            <w:r>
              <w:rPr>
                <w:rFonts w:hint="eastAsia" w:ascii="仿宋" w:hAnsi="仿宋" w:eastAsia="仿宋" w:cs="仿宋"/>
                <w:color w:val="auto"/>
                <w:sz w:val="24"/>
                <w:highlight w:val="none"/>
              </w:rPr>
              <w:t>②资金支付及履约保证金返还条件、争议处理、验收费用支付、甲方及乙方各自权利义务等内容按国家，省，市现行规定和合同约定的内容。</w:t>
            </w:r>
          </w:p>
          <w:p w14:paraId="1058A28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简易程序验收。</w:t>
            </w:r>
          </w:p>
          <w:p w14:paraId="2DC62FC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（3）验收方法：</w:t>
            </w:r>
            <w:r>
              <w:rPr>
                <w:rFonts w:hint="eastAsia" w:ascii="仿宋" w:hAnsi="仿宋" w:eastAsia="仿宋" w:cs="仿宋"/>
                <w:color w:val="auto"/>
                <w:kern w:val="0"/>
                <w:sz w:val="24"/>
                <w:highlight w:val="none"/>
              </w:rPr>
              <w:t>按《杭州市政府采购履约验收暂行办法》中的一次性验收方式进行履约验收。</w:t>
            </w:r>
          </w:p>
          <w:p w14:paraId="13F1C4F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）以上内容以及验收书具有同等法律效力，以上内容有冲突时以较严格的要求为准。</w:t>
            </w:r>
          </w:p>
        </w:tc>
      </w:tr>
      <w:tr w14:paraId="5EA8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65E4460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290" w:type="dxa"/>
          </w:tcPr>
          <w:p w14:paraId="382B9CE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14:paraId="26D8926E">
      <w:pPr>
        <w:snapToGrid w:val="0"/>
        <w:spacing w:beforeLines="0" w:afterLines="0" w:line="360" w:lineRule="auto"/>
        <w:rPr>
          <w:rFonts w:ascii="仿宋" w:hAnsi="仿宋" w:eastAsia="仿宋" w:cs="仿宋"/>
          <w:color w:val="auto"/>
          <w:sz w:val="24"/>
          <w:highlight w:val="none"/>
        </w:rPr>
        <w:sectPr>
          <w:pgSz w:w="11905" w:h="16838"/>
          <w:pgMar w:top="652" w:right="1417" w:bottom="680" w:left="1417" w:header="539" w:footer="482" w:gutter="0"/>
          <w:pgNumType w:fmt="decimal"/>
          <w:cols w:space="0" w:num="1"/>
          <w:titlePg/>
          <w:docGrid w:linePitch="312" w:charSpace="0"/>
        </w:sectPr>
      </w:pPr>
      <w:r>
        <w:rPr>
          <w:rFonts w:hint="eastAsia" w:ascii="仿宋" w:hAnsi="仿宋" w:eastAsia="仿宋" w:cs="仿宋"/>
          <w:color w:val="auto"/>
          <w:sz w:val="24"/>
          <w:highlight w:val="none"/>
        </w:rPr>
        <w:br w:type="page"/>
      </w:r>
    </w:p>
    <w:p w14:paraId="0735B70C">
      <w:pPr>
        <w:wordWrap w:val="0"/>
        <w:snapToGrid w:val="0"/>
        <w:spacing w:beforeLines="0" w:afterLines="0" w:line="360" w:lineRule="auto"/>
        <w:ind w:left="720" w:firstLine="723" w:firstLineChars="200"/>
        <w:outlineLvl w:val="0"/>
        <w:rPr>
          <w:rFonts w:ascii="仿宋" w:hAnsi="仿宋" w:eastAsia="仿宋" w:cs="仿宋"/>
          <w:b/>
          <w:color w:val="auto"/>
          <w:sz w:val="36"/>
          <w:szCs w:val="20"/>
          <w:highlight w:val="none"/>
        </w:rPr>
      </w:pPr>
      <w:bookmarkStart w:id="589" w:name="_Toc25525"/>
      <w:bookmarkStart w:id="590" w:name="_Toc22489"/>
      <w:bookmarkStart w:id="591" w:name="_Toc23526"/>
      <w:bookmarkStart w:id="592" w:name="_Toc2144"/>
      <w:bookmarkStart w:id="593" w:name="_Toc9348"/>
      <w:bookmarkStart w:id="594" w:name="_Toc3441"/>
      <w:bookmarkStart w:id="595" w:name="_Toc17376"/>
      <w:r>
        <w:rPr>
          <w:rFonts w:hint="eastAsia" w:ascii="仿宋" w:hAnsi="仿宋" w:eastAsia="仿宋" w:cs="仿宋"/>
          <w:b/>
          <w:color w:val="auto"/>
          <w:sz w:val="36"/>
          <w:szCs w:val="20"/>
          <w:highlight w:val="none"/>
        </w:rPr>
        <w:t>第六部分</w:t>
      </w:r>
      <w:bookmarkEnd w:id="489"/>
      <w:r>
        <w:rPr>
          <w:rFonts w:hint="eastAsia" w:ascii="仿宋" w:hAnsi="仿宋" w:eastAsia="仿宋" w:cs="仿宋"/>
          <w:b/>
          <w:color w:val="auto"/>
          <w:sz w:val="36"/>
          <w:szCs w:val="20"/>
          <w:highlight w:val="none"/>
        </w:rPr>
        <w:t xml:space="preserve"> </w:t>
      </w:r>
      <w:bookmarkEnd w:id="490"/>
      <w:r>
        <w:rPr>
          <w:rFonts w:hint="eastAsia" w:ascii="仿宋" w:hAnsi="仿宋" w:eastAsia="仿宋" w:cs="仿宋"/>
          <w:b/>
          <w:color w:val="auto"/>
          <w:sz w:val="36"/>
          <w:szCs w:val="20"/>
          <w:highlight w:val="none"/>
        </w:rPr>
        <w:t>应提交的有关格式范例</w:t>
      </w:r>
      <w:bookmarkEnd w:id="589"/>
      <w:bookmarkEnd w:id="590"/>
      <w:bookmarkEnd w:id="591"/>
      <w:bookmarkEnd w:id="592"/>
      <w:bookmarkEnd w:id="593"/>
      <w:bookmarkEnd w:id="594"/>
      <w:bookmarkEnd w:id="595"/>
    </w:p>
    <w:p w14:paraId="0A727F59">
      <w:pPr>
        <w:wordWrap w:val="0"/>
        <w:snapToGrid w:val="0"/>
        <w:spacing w:beforeLines="0" w:afterLines="0" w:line="360" w:lineRule="auto"/>
        <w:jc w:val="center"/>
        <w:rPr>
          <w:rFonts w:ascii="仿宋" w:hAnsi="仿宋" w:eastAsia="仿宋" w:cs="仿宋"/>
          <w:b/>
          <w:color w:val="auto"/>
          <w:kern w:val="0"/>
          <w:sz w:val="36"/>
          <w:szCs w:val="36"/>
          <w:highlight w:val="none"/>
        </w:rPr>
      </w:pPr>
    </w:p>
    <w:p w14:paraId="4A3F8CD3">
      <w:pPr>
        <w:wordWrap w:val="0"/>
        <w:snapToGrid w:val="0"/>
        <w:spacing w:beforeLines="0" w:afterLines="0"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9EA7597">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7E24B60">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p>
    <w:p w14:paraId="1F9E82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AE104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如有）</w:t>
      </w:r>
      <w:r>
        <w:rPr>
          <w:rFonts w:hint="eastAsia" w:ascii="仿宋" w:hAnsi="仿宋" w:eastAsia="仿宋" w:cs="仿宋"/>
          <w:color w:val="auto"/>
          <w:sz w:val="24"/>
          <w:highlight w:val="none"/>
        </w:rPr>
        <w:t>………………………………………………………（页码）</w:t>
      </w:r>
    </w:p>
    <w:p w14:paraId="7E7906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57B2F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5CA10AA">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477EC7C5">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296F165C">
      <w:pPr>
        <w:keepNext w:val="0"/>
        <w:keepLines w:val="0"/>
        <w:pageBreakBefore w:val="0"/>
        <w:widowControl w:val="0"/>
        <w:numPr>
          <w:ilvl w:val="0"/>
          <w:numId w:val="7"/>
        </w:numPr>
        <w:kinsoku/>
        <w:wordWrap w:val="0"/>
        <w:overflowPunct/>
        <w:topLinePunct w:val="0"/>
        <w:autoSpaceDE/>
        <w:autoSpaceDN/>
        <w:bidi w:val="0"/>
        <w:adjustRightInd w:val="0"/>
        <w:snapToGrid w:val="0"/>
        <w:spacing w:beforeLines="0" w:afterLines="0" w:line="360" w:lineRule="auto"/>
        <w:ind w:right="482"/>
        <w:jc w:val="center"/>
        <w:textAlignment w:val="auto"/>
        <w:outlineLvl w:val="9"/>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70801534">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ascii="仿宋" w:hAnsi="仿宋" w:eastAsia="仿宋" w:cs="仿宋"/>
          <w:color w:val="auto"/>
          <w:sz w:val="48"/>
          <w:szCs w:val="48"/>
          <w:highlight w:val="none"/>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rPr>
        <w:t>、符合参加政府采购活动应当具备的一般条件、特殊资格条件的承诺函</w:t>
      </w:r>
    </w:p>
    <w:p w14:paraId="3CDDCEAF">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32835AC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486CF318">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ED4D67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31B356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BF6B31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326C08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3BFC6D3">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66B16B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B0CB8B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AF644F2">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E2211D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3635524">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68D164D">
      <w:pPr>
        <w:wordWrap w:val="0"/>
        <w:snapToGrid w:val="0"/>
        <w:spacing w:beforeLines="0" w:afterLines="0" w:line="360" w:lineRule="auto"/>
        <w:ind w:firstLine="480" w:firstLineChars="200"/>
        <w:rPr>
          <w:rFonts w:ascii="仿宋" w:hAnsi="仿宋" w:eastAsia="仿宋" w:cs="仿宋"/>
          <w:color w:val="auto"/>
          <w:kern w:val="0"/>
          <w:sz w:val="24"/>
          <w:highlight w:val="none"/>
          <w:lang w:val="zh-CN"/>
        </w:rPr>
      </w:pPr>
    </w:p>
    <w:p w14:paraId="53B8745E">
      <w:pPr>
        <w:wordWrap w:val="0"/>
        <w:snapToGrid w:val="0"/>
        <w:spacing w:beforeLines="0" w:afterLines="0"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059DF81C">
      <w:pPr>
        <w:wordWrap w:val="0"/>
        <w:snapToGrid w:val="0"/>
        <w:spacing w:beforeLines="0" w:afterLines="0"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191DD4A0">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7540C02">
      <w:pPr>
        <w:wordWrap w:val="0"/>
        <w:snapToGrid w:val="0"/>
        <w:spacing w:beforeLines="0" w:afterLines="0" w:line="360" w:lineRule="auto"/>
        <w:ind w:right="480"/>
        <w:rPr>
          <w:rFonts w:ascii="仿宋" w:hAnsi="仿宋" w:eastAsia="仿宋" w:cs="仿宋"/>
          <w:color w:val="auto"/>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r>
        <w:rPr>
          <w:rFonts w:ascii="仿宋" w:hAnsi="仿宋" w:eastAsia="仿宋" w:cs="仿宋"/>
          <w:color w:val="auto"/>
          <w:highlight w:val="none"/>
        </w:rPr>
        <w:br w:type="page"/>
      </w:r>
    </w:p>
    <w:p w14:paraId="7589E922">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、联合协议（联合体参加的提供）</w:t>
      </w:r>
    </w:p>
    <w:p w14:paraId="6D3360A5">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p>
    <w:p w14:paraId="7400AED8">
      <w:pPr>
        <w:keepNext w:val="0"/>
        <w:keepLines w:val="0"/>
        <w:pageBreakBefore w:val="0"/>
        <w:widowControl/>
        <w:kinsoku/>
        <w:wordWrap w:val="0"/>
        <w:overflowPunct/>
        <w:topLinePunct w:val="0"/>
        <w:autoSpaceDE/>
        <w:autoSpaceDN/>
        <w:bidi w:val="0"/>
        <w:adjustRightInd w:val="0"/>
        <w:snapToGrid w:val="0"/>
        <w:spacing w:beforeLines="0" w:afterLines="0" w:line="360" w:lineRule="auto"/>
        <w:ind w:left="147" w:firstLine="482" w:firstLineChars="200"/>
        <w:textAlignment w:val="auto"/>
        <w:outlineLvl w:val="9"/>
        <w:rPr>
          <w:rFonts w:ascii="仿宋" w:hAnsi="仿宋" w:eastAsia="仿宋" w:cs="仿宋"/>
          <w:b/>
          <w:bCs/>
          <w:color w:val="auto"/>
          <w:sz w:val="24"/>
          <w:highlight w:val="none"/>
        </w:rPr>
        <w:sectPr>
          <w:headerReference r:id="rId14" w:type="default"/>
          <w:footerReference r:id="rId15" w:type="default"/>
          <w:pgSz w:w="11905" w:h="16838"/>
          <w:pgMar w:top="652" w:right="1417" w:bottom="680" w:left="1417" w:header="850" w:footer="850" w:gutter="0"/>
          <w:pgNumType w:fmt="decimal"/>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14:paraId="1631D854">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、满足政府采购政策资格要求证明材料</w:t>
      </w:r>
    </w:p>
    <w:p w14:paraId="6737D45B">
      <w:pPr>
        <w:wordWrap w:val="0"/>
        <w:snapToGrid w:val="0"/>
        <w:spacing w:before="0" w:beforeLines="0" w:after="0" w:afterLines="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A.本项目专门面向</w:t>
      </w:r>
      <w:r>
        <w:rPr>
          <w:rFonts w:hint="eastAsia" w:ascii="仿宋" w:hAnsi="仿宋" w:eastAsia="仿宋" w:cs="仿宋"/>
          <w:b/>
          <w:color w:val="auto"/>
          <w:sz w:val="24"/>
          <w:highlight w:val="none"/>
          <w:lang w:val="en-US" w:eastAsia="zh-CN"/>
        </w:rPr>
        <w:t>中小</w:t>
      </w:r>
      <w:r>
        <w:rPr>
          <w:rFonts w:hint="eastAsia" w:ascii="仿宋" w:hAnsi="仿宋" w:eastAsia="仿宋" w:cs="仿宋"/>
          <w:b/>
          <w:color w:val="auto"/>
          <w:sz w:val="24"/>
          <w:highlight w:val="none"/>
        </w:rPr>
        <w:t xml:space="preserve">企业，服务全部由符合政策要求的中小企业（或小微企业）承接的，提供相应的中小企业声明函（附件5）。 </w:t>
      </w:r>
    </w:p>
    <w:p w14:paraId="45D322FF">
      <w:pPr>
        <w:widowControl/>
        <w:wordWrap w:val="0"/>
        <w:snapToGrid w:val="0"/>
        <w:spacing w:beforeLines="0" w:afterLines="0" w:line="360" w:lineRule="auto"/>
        <w:ind w:firstLine="472" w:firstLineChars="196"/>
        <w:jc w:val="left"/>
        <w:rPr>
          <w:rFonts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40660F74">
      <w:pPr>
        <w:wordWrap w:val="0"/>
        <w:snapToGrid w:val="0"/>
        <w:spacing w:beforeLines="0" w:afterLines="0"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68D9ECF9">
      <w:pPr>
        <w:wordWrap w:val="0"/>
        <w:snapToGrid w:val="0"/>
        <w:spacing w:before="0" w:beforeLines="0" w:after="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480A79CA">
      <w:pPr>
        <w:widowControl/>
        <w:snapToGrid w:val="0"/>
        <w:spacing w:beforeLines="0" w:afterLines="0" w:line="360" w:lineRule="auto"/>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CC6966">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、满足本项目特定资格要求的证明材料</w:t>
      </w:r>
    </w:p>
    <w:p w14:paraId="29F5692F">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color w:val="auto"/>
          <w:sz w:val="24"/>
          <w:highlight w:val="none"/>
        </w:rPr>
        <w:t>根据招标公告本项目的特定资格要求提供相应的材料；未要求的，无需提供。</w:t>
      </w:r>
    </w:p>
    <w:p w14:paraId="56AFCA09">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6E0639A0">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190B1188">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br w:type="page"/>
      </w:r>
    </w:p>
    <w:p w14:paraId="1F0B4D89">
      <w:pPr>
        <w:wordWrap w:val="0"/>
        <w:snapToGrid w:val="0"/>
        <w:spacing w:beforeLines="0" w:afterLines="0" w:line="360" w:lineRule="auto"/>
        <w:ind w:right="420" w:firstLine="3614" w:firstLineChars="1000"/>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ADB1C8A">
      <w:pPr>
        <w:wordWrap w:val="0"/>
        <w:snapToGrid w:val="0"/>
        <w:spacing w:beforeLines="0" w:afterLines="0" w:line="360" w:lineRule="auto"/>
        <w:jc w:val="center"/>
        <w:rPr>
          <w:rFonts w:ascii="仿宋" w:hAnsi="仿宋" w:eastAsia="仿宋" w:cs="仿宋"/>
          <w:b/>
          <w:color w:val="auto"/>
          <w:kern w:val="0"/>
          <w:sz w:val="24"/>
          <w:highlight w:val="none"/>
        </w:rPr>
      </w:pPr>
    </w:p>
    <w:p w14:paraId="072A680F">
      <w:pPr>
        <w:wordWrap w:val="0"/>
        <w:snapToGrid w:val="0"/>
        <w:spacing w:beforeLines="0" w:afterLines="0"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92F24FA">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35B4AD3C">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014ABA74">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E22A03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17F3449">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C71C807">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A8EF5B">
      <w:pPr>
        <w:wordWrap w:val="0"/>
        <w:snapToGrid w:val="0"/>
        <w:spacing w:beforeLines="0" w:afterLines="0" w:line="360" w:lineRule="auto"/>
        <w:jc w:val="center"/>
        <w:outlineLvl w:val="2"/>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4B2CC8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658FEBAE">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val="en-US"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32CB56B6">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3C2D94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51D8538">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8A25304">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bookmarkStart w:id="596"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w:t>
      </w:r>
    </w:p>
    <w:p w14:paraId="15C76FBD">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4F0E5E47">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74968D13">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提供中小企业声明函</w:t>
      </w:r>
      <w:r>
        <w:rPr>
          <w:rFonts w:hint="eastAsia" w:ascii="仿宋" w:hAnsi="仿宋" w:eastAsia="仿宋" w:cs="仿宋"/>
          <w:color w:val="auto"/>
          <w:sz w:val="24"/>
          <w:highlight w:val="none"/>
        </w:rPr>
        <w:t>；</w:t>
      </w:r>
    </w:p>
    <w:p w14:paraId="3281D7FB">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596"/>
    <w:p w14:paraId="6B7EA9E8">
      <w:pPr>
        <w:wordWrap w:val="0"/>
        <w:snapToGrid w:val="0"/>
        <w:spacing w:beforeLines="0" w:afterLines="0"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30A422E">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2094C39">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90770FD">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3DFB12FA">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F1CA134">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F1A6EA3">
      <w:pPr>
        <w:wordWrap w:val="0"/>
        <w:snapToGrid w:val="0"/>
        <w:spacing w:beforeLines="0" w:afterLines="0"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4E51D99D">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E36720E">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D958561">
      <w:pPr>
        <w:wordWrap w:val="0"/>
        <w:adjustRightInd/>
        <w:snapToGrid w:val="0"/>
        <w:spacing w:beforeLines="0" w:afterLines="0"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2.3.2报价情况说明（如供应商报价低于最高限价50%的，应当提交本文档，详细阐述不影响服务质量或者诚信履约的具体原因）；</w:t>
      </w:r>
    </w:p>
    <w:p w14:paraId="30DA1DFB">
      <w:pPr>
        <w:wordWrap w:val="0"/>
        <w:adjustRightInd/>
        <w:snapToGrid w:val="0"/>
        <w:spacing w:beforeLines="0" w:afterLines="0" w:line="360" w:lineRule="auto"/>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2.3.3</w:t>
      </w:r>
      <w:r>
        <w:rPr>
          <w:rFonts w:hint="eastAsia" w:ascii="仿宋" w:hAnsi="仿宋" w:eastAsia="仿宋" w:cs="仿宋"/>
          <w:color w:val="auto"/>
          <w:sz w:val="24"/>
          <w:highlight w:val="none"/>
        </w:rPr>
        <w:t>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14:paraId="404D9CA4">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供应商针对报价需要说明的其他文件和说明（格式自拟）。</w:t>
      </w:r>
    </w:p>
    <w:p w14:paraId="2966288D">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4A3FD9DC">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7EF5CD0">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AF4358D">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FF18D4F">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277D79C">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F16EF9B">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E5560C">
      <w:pPr>
        <w:wordWrap w:val="0"/>
        <w:snapToGrid w:val="0"/>
        <w:spacing w:beforeLines="0" w:afterLines="0" w:line="360" w:lineRule="auto"/>
        <w:ind w:firstLine="4320" w:firstLineChars="1800"/>
        <w:jc w:val="right"/>
        <w:rPr>
          <w:rFonts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0522FBAE">
      <w:pPr>
        <w:wordWrap w:val="0"/>
        <w:snapToGrid w:val="0"/>
        <w:spacing w:beforeLines="0" w:afterLines="0" w:line="360" w:lineRule="auto"/>
        <w:jc w:val="left"/>
        <w:outlineLvl w:val="2"/>
        <w:rPr>
          <w:rFonts w:ascii="仿宋" w:hAnsi="仿宋" w:eastAsia="仿宋" w:cs="仿宋"/>
          <w:b/>
          <w:color w:val="auto"/>
          <w:kern w:val="0"/>
          <w:sz w:val="32"/>
          <w:szCs w:val="32"/>
          <w:highlight w:val="none"/>
          <w:lang w:val="zh-CN"/>
        </w:rPr>
        <w:sectPr>
          <w:headerReference r:id="rId17" w:type="first"/>
          <w:footerReference r:id="rId19" w:type="first"/>
          <w:headerReference r:id="rId16" w:type="default"/>
          <w:footerReference r:id="rId18" w:type="default"/>
          <w:pgSz w:w="11905" w:h="16838"/>
          <w:pgMar w:top="652" w:right="1417" w:bottom="680" w:left="1417" w:header="539" w:footer="425" w:gutter="0"/>
          <w:pgNumType w:fmt="decimal"/>
          <w:cols w:space="0" w:num="1"/>
          <w:titlePg/>
          <w:docGrid w:linePitch="312" w:charSpace="0"/>
        </w:sectPr>
      </w:pPr>
    </w:p>
    <w:p w14:paraId="06B482FA">
      <w:pPr>
        <w:wordWrap w:val="0"/>
        <w:snapToGrid w:val="0"/>
        <w:spacing w:beforeLines="0" w:afterLines="0" w:line="360" w:lineRule="auto"/>
        <w:jc w:val="left"/>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二、授权委托书或法定代表人（单位负责人）身份证明</w:t>
      </w:r>
    </w:p>
    <w:p w14:paraId="410B0642">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A6AB3BB">
      <w:pPr>
        <w:wordWrap w:val="0"/>
        <w:snapToGrid w:val="0"/>
        <w:spacing w:beforeLines="0" w:afterLines="0" w:line="360" w:lineRule="auto"/>
        <w:ind w:firstLine="2872" w:firstLineChars="894"/>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0B072F1E">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75DF669C">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06F4B637">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0FD37836">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4D7F372">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F444E5F">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4A74E2C1">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A714884">
      <w:pPr>
        <w:wordWrap w:val="0"/>
        <w:snapToGrid w:val="0"/>
        <w:spacing w:beforeLines="0" w:afterLines="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397634FC">
      <w:pPr>
        <w:wordWrap w:val="0"/>
        <w:snapToGrid w:val="0"/>
        <w:spacing w:beforeLines="0" w:afterLines="0" w:line="360" w:lineRule="auto"/>
        <w:rPr>
          <w:rFonts w:ascii="仿宋" w:hAnsi="仿宋" w:eastAsia="仿宋" w:cs="仿宋"/>
          <w:color w:val="auto"/>
          <w:sz w:val="22"/>
          <w:szCs w:val="22"/>
          <w:highlight w:val="none"/>
        </w:rPr>
      </w:pPr>
    </w:p>
    <w:p w14:paraId="18D54262">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31D01C79">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杭州市拱墅区人民政府大关街道办事处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3CD5D836">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080FAC8E">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251AA0">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11C47D">
      <w:pPr>
        <w:wordWrap w:val="0"/>
        <w:snapToGrid w:val="0"/>
        <w:spacing w:beforeLines="0" w:afterLines="0" w:line="360" w:lineRule="auto"/>
        <w:rPr>
          <w:rFonts w:ascii="仿宋" w:hAnsi="仿宋" w:eastAsia="仿宋" w:cs="仿宋"/>
          <w:color w:val="auto"/>
          <w:highlight w:val="none"/>
        </w:rPr>
      </w:pPr>
    </w:p>
    <w:p w14:paraId="1DFE44EB">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3DC60D28">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84EF947">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745CC310">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084A594D">
      <w:pPr>
        <w:wordWrap w:val="0"/>
        <w:snapToGrid w:val="0"/>
        <w:spacing w:beforeLines="0" w:afterLines="0" w:line="360" w:lineRule="auto"/>
        <w:rPr>
          <w:rFonts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3D680071">
      <w:pPr>
        <w:wordWrap w:val="0"/>
        <w:autoSpaceDE w:val="0"/>
        <w:autoSpaceDN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w:t>
      </w:r>
      <w:r>
        <w:rPr>
          <w:rFonts w:hint="eastAsia" w:ascii="仿宋" w:hAnsi="仿宋" w:eastAsia="仿宋" w:cs="仿宋"/>
          <w:b/>
          <w:color w:val="auto"/>
          <w:kern w:val="0"/>
          <w:sz w:val="32"/>
          <w:szCs w:val="32"/>
          <w:highlight w:val="none"/>
        </w:rPr>
        <w:t>或</w:t>
      </w:r>
      <w:r>
        <w:rPr>
          <w:rFonts w:hint="eastAsia" w:ascii="仿宋" w:hAnsi="仿宋" w:eastAsia="仿宋" w:cs="仿宋"/>
          <w:b/>
          <w:color w:val="auto"/>
          <w:kern w:val="0"/>
          <w:sz w:val="32"/>
          <w:szCs w:val="32"/>
          <w:highlight w:val="none"/>
          <w:lang w:val="zh-CN"/>
        </w:rPr>
        <w:t>单位负责人</w:t>
      </w:r>
      <w:r>
        <w:rPr>
          <w:rFonts w:hint="eastAsia" w:ascii="仿宋" w:hAnsi="仿宋" w:eastAsia="仿宋" w:cs="仿宋"/>
          <w:b/>
          <w:color w:val="auto"/>
          <w:sz w:val="30"/>
          <w:szCs w:val="30"/>
          <w:highlight w:val="none"/>
        </w:rPr>
        <w:t>的身份证明（适用于法定代表人或单位负责人本人代表投标人参加投标）</w:t>
      </w:r>
    </w:p>
    <w:p w14:paraId="7B71D83B">
      <w:pPr>
        <w:pStyle w:val="151"/>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ED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E921AA">
            <w:pPr>
              <w:pStyle w:val="151"/>
              <w:wordWrap w:val="0"/>
              <w:adjustRightInd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80F04B1">
            <w:pPr>
              <w:pStyle w:val="151"/>
              <w:wordWrap w:val="0"/>
              <w:adjustRightInd w:val="0"/>
              <w:snapToGrid w:val="0"/>
              <w:spacing w:beforeLines="0" w:afterLines="0" w:line="360" w:lineRule="auto"/>
              <w:rPr>
                <w:rFonts w:ascii="仿宋" w:hAnsi="仿宋" w:eastAsia="仿宋" w:cs="仿宋"/>
                <w:bCs/>
                <w:color w:val="auto"/>
                <w:sz w:val="24"/>
                <w:highlight w:val="none"/>
              </w:rPr>
            </w:pPr>
          </w:p>
        </w:tc>
      </w:tr>
    </w:tbl>
    <w:p w14:paraId="5758FA31">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05E3362">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677A7DE1">
      <w:pPr>
        <w:wordWrap w:val="0"/>
        <w:snapToGrid w:val="0"/>
        <w:spacing w:beforeLines="0" w:afterLines="0"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2202B28">
      <w:pPr>
        <w:wordWrap w:val="0"/>
        <w:snapToGrid w:val="0"/>
        <w:spacing w:beforeLines="0" w:afterLines="0" w:line="360" w:lineRule="auto"/>
        <w:jc w:val="center"/>
        <w:rPr>
          <w:rFonts w:ascii="仿宋" w:hAnsi="仿宋" w:eastAsia="仿宋" w:cs="仿宋"/>
          <w:b/>
          <w:color w:val="auto"/>
          <w:kern w:val="0"/>
          <w:sz w:val="32"/>
          <w:szCs w:val="32"/>
          <w:highlight w:val="none"/>
        </w:rPr>
      </w:pPr>
    </w:p>
    <w:p w14:paraId="7A916405">
      <w:pPr>
        <w:wordWrap w:val="0"/>
        <w:snapToGrid w:val="0"/>
        <w:spacing w:beforeLines="0" w:afterLines="0" w:line="360" w:lineRule="auto"/>
        <w:jc w:val="both"/>
        <w:rPr>
          <w:rFonts w:ascii="仿宋" w:hAnsi="仿宋" w:eastAsia="仿宋" w:cs="仿宋"/>
          <w:b/>
          <w:color w:val="auto"/>
          <w:kern w:val="0"/>
          <w:sz w:val="32"/>
          <w:szCs w:val="32"/>
          <w:highlight w:val="none"/>
        </w:rPr>
      </w:pPr>
    </w:p>
    <w:p w14:paraId="5807F7E5">
      <w:pPr>
        <w:wordWrap w:val="0"/>
        <w:snapToGrid w:val="0"/>
        <w:spacing w:beforeLines="0" w:afterLines="0" w:line="360" w:lineRule="auto"/>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br w:type="page"/>
      </w:r>
    </w:p>
    <w:p w14:paraId="080C8078">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3534" w:firstLineChars="1100"/>
        <w:textAlignment w:val="auto"/>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7C622BD3">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本项目</w:t>
      </w:r>
      <w:r>
        <w:rPr>
          <w:rFonts w:hint="eastAsia" w:ascii="仿宋" w:hAnsi="仿宋" w:eastAsia="仿宋" w:cs="仿宋"/>
          <w:b/>
          <w:color w:val="auto"/>
          <w:sz w:val="24"/>
          <w:highlight w:val="none"/>
        </w:rPr>
        <w:t>同意将非主体、非关键性的工作分包</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中标后以分包方式履行合同的，另行提供分包意向协议（附件7）；</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2727917E">
      <w:pPr>
        <w:pStyle w:val="26"/>
        <w:snapToGrid w:val="0"/>
        <w:spacing w:beforeLines="0" w:after="0" w:afterLines="0" w:line="360" w:lineRule="auto"/>
        <w:ind w:firstLine="420"/>
        <w:rPr>
          <w:rFonts w:ascii="仿宋" w:hAnsi="仿宋" w:eastAsia="仿宋" w:cs="仿宋"/>
          <w:color w:val="auto"/>
          <w:highlight w:val="none"/>
        </w:rPr>
      </w:pPr>
    </w:p>
    <w:p w14:paraId="72907A14">
      <w:pPr>
        <w:wordWrap w:val="0"/>
        <w:snapToGrid w:val="0"/>
        <w:spacing w:beforeLines="0" w:afterLines="0" w:line="360" w:lineRule="auto"/>
        <w:ind w:firstLine="480"/>
        <w:jc w:val="left"/>
        <w:rPr>
          <w:rFonts w:hint="eastAsia" w:ascii="仿宋" w:hAnsi="仿宋" w:eastAsia="仿宋" w:cs="仿宋"/>
          <w:b/>
          <w:bCs/>
          <w:color w:val="auto"/>
          <w:sz w:val="24"/>
          <w:highlight w:val="none"/>
        </w:rPr>
      </w:pPr>
      <w:bookmarkStart w:id="597" w:name="_Toc22737"/>
      <w:bookmarkStart w:id="598" w:name="_Toc2615"/>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597"/>
      <w:bookmarkEnd w:id="598"/>
    </w:p>
    <w:p w14:paraId="1AED340F">
      <w:pPr>
        <w:wordWrap w:val="0"/>
        <w:snapToGrid w:val="0"/>
        <w:spacing w:beforeLines="0" w:afterLines="0" w:line="360" w:lineRule="auto"/>
        <w:rPr>
          <w:rFonts w:ascii="仿宋" w:hAnsi="仿宋" w:eastAsia="仿宋" w:cs="仿宋"/>
          <w:b/>
          <w:color w:val="auto"/>
          <w:kern w:val="0"/>
          <w:sz w:val="32"/>
          <w:szCs w:val="32"/>
          <w:highlight w:val="none"/>
        </w:rPr>
      </w:pPr>
    </w:p>
    <w:p w14:paraId="381BB6B9">
      <w:pPr>
        <w:wordWrap/>
        <w:snapToGrid w:val="0"/>
        <w:spacing w:beforeLines="0" w:afterLines="0" w:line="36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C00B381">
      <w:pPr>
        <w:wordWrap w:val="0"/>
        <w:snapToGrid w:val="0"/>
        <w:spacing w:beforeLines="0" w:afterLines="0"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CC33D3C">
      <w:pPr>
        <w:wordWrap w:val="0"/>
        <w:snapToGrid w:val="0"/>
        <w:spacing w:beforeLines="0" w:afterLines="0" w:line="360" w:lineRule="auto"/>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53EC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C02A00">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2C56E41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28114DB3">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6891321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85EAE1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C9F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7A031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17BCB44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3FCCC2B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6C3CCF79">
            <w:pPr>
              <w:wordWrap w:val="0"/>
              <w:snapToGrid w:val="0"/>
              <w:spacing w:beforeLines="0" w:afterLines="0" w:line="360" w:lineRule="auto"/>
              <w:jc w:val="center"/>
              <w:rPr>
                <w:rFonts w:ascii="仿宋" w:hAnsi="仿宋" w:eastAsia="仿宋" w:cs="仿宋"/>
                <w:color w:val="auto"/>
                <w:sz w:val="24"/>
                <w:highlight w:val="none"/>
              </w:rPr>
            </w:pPr>
          </w:p>
          <w:p w14:paraId="621EBFBF">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3F8D781">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742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F126C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45C3F33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030C1280">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14:paraId="23D684DB">
            <w:pPr>
              <w:wordWrap w:val="0"/>
              <w:snapToGrid w:val="0"/>
              <w:spacing w:beforeLines="0" w:afterLines="0" w:line="360" w:lineRule="auto"/>
              <w:rPr>
                <w:rFonts w:ascii="仿宋" w:hAnsi="仿宋" w:eastAsia="仿宋" w:cs="仿宋"/>
                <w:color w:val="auto"/>
                <w:sz w:val="24"/>
                <w:highlight w:val="none"/>
                <w:u w:val="single"/>
              </w:rPr>
            </w:pPr>
          </w:p>
          <w:p w14:paraId="480694E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14:paraId="1052D355">
            <w:pPr>
              <w:wordWrap w:val="0"/>
              <w:snapToGrid w:val="0"/>
              <w:spacing w:beforeLines="0" w:afterLines="0" w:line="360" w:lineRule="auto"/>
              <w:jc w:val="center"/>
              <w:rPr>
                <w:rFonts w:ascii="仿宋" w:hAnsi="仿宋" w:eastAsia="仿宋" w:cs="仿宋"/>
                <w:color w:val="auto"/>
                <w:sz w:val="24"/>
                <w:highlight w:val="none"/>
              </w:rPr>
            </w:pPr>
          </w:p>
          <w:p w14:paraId="0104A555">
            <w:pPr>
              <w:wordWrap w:val="0"/>
              <w:snapToGrid w:val="0"/>
              <w:spacing w:beforeLines="0" w:afterLines="0" w:line="360" w:lineRule="auto"/>
              <w:jc w:val="center"/>
              <w:rPr>
                <w:rFonts w:ascii="仿宋" w:hAnsi="仿宋" w:eastAsia="仿宋" w:cs="仿宋"/>
                <w:color w:val="auto"/>
                <w:sz w:val="24"/>
                <w:highlight w:val="none"/>
              </w:rPr>
            </w:pPr>
          </w:p>
          <w:p w14:paraId="76A94F3D">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6264024">
            <w:pPr>
              <w:pStyle w:val="4"/>
              <w:keepNext w:val="0"/>
              <w:keepLines w:val="0"/>
              <w:wordWrap w:val="0"/>
              <w:snapToGrid w:val="0"/>
              <w:spacing w:beforeLines="0" w:afterLines="0"/>
              <w:jc w:val="center"/>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258A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EB488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44F5E51A">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43B873D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2B9CF0CC">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8D897E6">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E20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DC112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5C70C0F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14:paraId="0ED93FBA">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14:paraId="41BF79DB">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2FBC472">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FD6AD8B">
      <w:pPr>
        <w:wordWrap w:val="0"/>
        <w:snapToGrid w:val="0"/>
        <w:spacing w:beforeLines="0" w:afterLines="0" w:line="360" w:lineRule="auto"/>
        <w:jc w:val="center"/>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31B6C01F">
      <w:pPr>
        <w:wordWrap w:val="0"/>
        <w:snapToGrid w:val="0"/>
        <w:spacing w:beforeLines="0" w:afterLines="0" w:line="360" w:lineRule="auto"/>
        <w:jc w:val="center"/>
        <w:outlineLvl w:val="2"/>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58C5161">
      <w:pPr>
        <w:pStyle w:val="34"/>
        <w:spacing w:line="360" w:lineRule="auto"/>
        <w:ind w:firstLine="35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按采购文件“第四章评标办法前附表”中评标标准相应的商务技术资信要求提供证明资料。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59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B8AE87">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4DF0B64">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91C75B5">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5D40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F1ACB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9FD0F58">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09EB0C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F0A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44A28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0CB3B2C7">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1FAA955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1D0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7C746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07FF49D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2049C403">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57A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774819">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1A30520D">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34F45277">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F81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B67A6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BB5BC16">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11709D2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629734B">
      <w:pPr>
        <w:pStyle w:val="82"/>
        <w:wordWrap w:val="0"/>
        <w:snapToGrid w:val="0"/>
        <w:spacing w:beforeLines="0" w:afterLines="0" w:line="360" w:lineRule="auto"/>
        <w:rPr>
          <w:rFonts w:ascii="仿宋" w:hAnsi="仿宋" w:eastAsia="仿宋" w:cs="仿宋"/>
          <w:color w:val="auto"/>
          <w:highlight w:val="none"/>
        </w:rPr>
      </w:pPr>
    </w:p>
    <w:p w14:paraId="41666D1D">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266907D7">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81A8AF4">
      <w:pPr>
        <w:wordWrap w:val="0"/>
        <w:snapToGrid w:val="0"/>
        <w:spacing w:beforeLines="0" w:afterLines="0" w:line="360" w:lineRule="auto"/>
        <w:jc w:val="right"/>
        <w:rPr>
          <w:rFonts w:ascii="仿宋" w:hAnsi="仿宋" w:eastAsia="仿宋" w:cs="仿宋"/>
          <w:b/>
          <w:color w:val="auto"/>
          <w:kern w:val="0"/>
          <w:sz w:val="32"/>
          <w:szCs w:val="32"/>
          <w:highlight w:val="none"/>
        </w:rPr>
      </w:pPr>
    </w:p>
    <w:p w14:paraId="1313BCB8">
      <w:pPr>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5F67E7">
      <w:pPr>
        <w:wordWrap w:val="0"/>
        <w:snapToGrid w:val="0"/>
        <w:spacing w:beforeLines="0" w:afterLines="0" w:line="360" w:lineRule="auto"/>
        <w:ind w:firstLine="1911" w:firstLineChars="595"/>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39D9A72D">
      <w:pPr>
        <w:wordWrap w:val="0"/>
        <w:snapToGrid w:val="0"/>
        <w:spacing w:beforeLines="0" w:afterLines="0" w:line="360" w:lineRule="auto"/>
        <w:rPr>
          <w:rFonts w:ascii="仿宋" w:hAnsi="仿宋" w:eastAsia="仿宋" w:cs="仿宋"/>
          <w:color w:val="auto"/>
          <w:sz w:val="24"/>
          <w:highlight w:val="none"/>
        </w:rPr>
      </w:pPr>
    </w:p>
    <w:p w14:paraId="53AEABD9">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15055827">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5FE3D8B">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D4C8FBE">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7D7E39D">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6DD9A97">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B4F711D">
      <w:pPr>
        <w:wordWrap w:val="0"/>
        <w:autoSpaceDE w:val="0"/>
        <w:autoSpaceDN w:val="0"/>
        <w:snapToGrid w:val="0"/>
        <w:spacing w:beforeLines="0" w:afterLines="0"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33ABB5B">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B664F9D">
      <w:pPr>
        <w:numPr>
          <w:ilvl w:val="0"/>
          <w:numId w:val="8"/>
        </w:numPr>
        <w:wordWrap w:val="0"/>
        <w:autoSpaceDE w:val="0"/>
        <w:autoSpaceDN w:val="0"/>
        <w:snapToGrid w:val="0"/>
        <w:spacing w:beforeLines="0" w:afterLines="0" w:line="360" w:lineRule="auto"/>
        <w:ind w:left="481" w:leftChars="229"/>
        <w:jc w:val="left"/>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14:paraId="6F4BE4B8">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96D05E2">
      <w:pPr>
        <w:wordWrap w:val="0"/>
        <w:autoSpaceDE w:val="0"/>
        <w:autoSpaceDN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2A6BA8EA">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1DF8CC8D">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2404B7DC">
      <w:pPr>
        <w:wordWrap w:val="0"/>
        <w:autoSpaceDE w:val="0"/>
        <w:autoSpaceDN w:val="0"/>
        <w:snapToGrid w:val="0"/>
        <w:spacing w:beforeLines="0" w:afterLines="0" w:line="360" w:lineRule="auto"/>
        <w:ind w:left="2"/>
        <w:jc w:val="right"/>
        <w:rPr>
          <w:rFonts w:ascii="仿宋" w:hAnsi="仿宋" w:eastAsia="仿宋" w:cs="仿宋"/>
          <w:color w:val="auto"/>
          <w:kern w:val="0"/>
          <w:sz w:val="24"/>
          <w:highlight w:val="none"/>
          <w:lang w:val="zh-CN"/>
        </w:rPr>
      </w:pPr>
    </w:p>
    <w:p w14:paraId="601B1285">
      <w:pPr>
        <w:autoSpaceDE w:val="0"/>
        <w:autoSpaceDN w:val="0"/>
        <w:snapToGrid w:val="0"/>
        <w:spacing w:beforeLines="0" w:afterLines="0" w:line="360" w:lineRule="auto"/>
        <w:ind w:right="1120"/>
        <w:jc w:val="righ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FFD3BF2">
      <w:pPr>
        <w:wordWrap w:val="0"/>
        <w:snapToGrid w:val="0"/>
        <w:spacing w:beforeLines="0" w:afterLines="0" w:line="360" w:lineRule="auto"/>
        <w:jc w:val="center"/>
        <w:rPr>
          <w:rFonts w:ascii="仿宋" w:hAnsi="仿宋" w:eastAsia="仿宋" w:cs="仿宋"/>
          <w:b/>
          <w:bCs/>
          <w:color w:val="auto"/>
          <w:sz w:val="24"/>
          <w:highlight w:val="none"/>
        </w:rPr>
      </w:pPr>
    </w:p>
    <w:p w14:paraId="3C4FCACE">
      <w:pPr>
        <w:wordWrap w:val="0"/>
        <w:snapToGrid w:val="0"/>
        <w:spacing w:beforeLines="0" w:afterLines="0" w:line="360" w:lineRule="auto"/>
        <w:jc w:val="center"/>
        <w:rPr>
          <w:rFonts w:ascii="仿宋" w:hAnsi="仿宋" w:eastAsia="仿宋" w:cs="仿宋"/>
          <w:b/>
          <w:bCs/>
          <w:color w:val="auto"/>
          <w:sz w:val="24"/>
          <w:highlight w:val="none"/>
        </w:rPr>
        <w:sectPr>
          <w:pgSz w:w="11905" w:h="16838"/>
          <w:pgMar w:top="652" w:right="1417" w:bottom="680" w:left="1417" w:header="539" w:footer="425" w:gutter="0"/>
          <w:cols w:space="0" w:num="1"/>
          <w:titlePg/>
          <w:docGrid w:linePitch="312" w:charSpace="0"/>
        </w:sectPr>
      </w:pPr>
    </w:p>
    <w:p w14:paraId="7E5A7997">
      <w:pPr>
        <w:wordWrap w:val="0"/>
        <w:snapToGrid w:val="0"/>
        <w:spacing w:beforeLines="0" w:afterLines="0" w:line="360" w:lineRule="auto"/>
        <w:jc w:val="center"/>
        <w:rPr>
          <w:rFonts w:ascii="仿宋" w:hAnsi="仿宋" w:eastAsia="仿宋" w:cs="仿宋"/>
          <w:b/>
          <w:color w:val="auto"/>
          <w:kern w:val="0"/>
          <w:sz w:val="36"/>
          <w:szCs w:val="36"/>
          <w:highlight w:val="none"/>
        </w:rPr>
      </w:pPr>
    </w:p>
    <w:p w14:paraId="68BE61B6">
      <w:pPr>
        <w:wordWrap w:val="0"/>
        <w:snapToGrid w:val="0"/>
        <w:spacing w:beforeLines="0" w:afterLines="0" w:line="360" w:lineRule="auto"/>
        <w:jc w:val="center"/>
        <w:outlineLvl w:val="3"/>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E57F966">
      <w:pPr>
        <w:wordWrap w:val="0"/>
        <w:snapToGrid w:val="0"/>
        <w:spacing w:beforeLines="0" w:afterLines="0"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02A709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ACF6BF7">
      <w:pPr>
        <w:numPr>
          <w:ilvl w:val="255"/>
          <w:numId w:val="0"/>
        </w:numPr>
        <w:adjustRightInd/>
        <w:snapToGrid w:val="0"/>
        <w:spacing w:beforeLines="0" w:afterLines="0" w:line="360" w:lineRule="auto"/>
        <w:jc w:val="left"/>
        <w:rPr>
          <w:rFonts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供应商针对报价需要说明的其他文件和说明………………………………（页码）</w:t>
      </w:r>
    </w:p>
    <w:p w14:paraId="13217258">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0986ED3">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73F7B8B">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4CD0969A">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53BA2E9">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920812B">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07E20DD">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52F743F">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69EA8007">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CE0F652">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73221A7">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5EE8078">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2101F66">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38656C54">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60BE41C">
      <w:pPr>
        <w:pStyle w:val="694"/>
        <w:keepNext w:val="0"/>
        <w:pageBreakBefore w:val="0"/>
        <w:tabs>
          <w:tab w:val="clear" w:pos="720"/>
        </w:tabs>
        <w:wordWrap w:val="0"/>
        <w:snapToGrid w:val="0"/>
        <w:spacing w:before="0" w:beforeLines="0" w:after="0" w:afterLines="0"/>
        <w:ind w:firstLine="643"/>
        <w:outlineLvl w:val="9"/>
        <w:rPr>
          <w:rFonts w:ascii="仿宋" w:hAnsi="仿宋" w:eastAsia="仿宋" w:cs="仿宋"/>
          <w:color w:val="auto"/>
          <w:kern w:val="2"/>
          <w:sz w:val="32"/>
          <w:szCs w:val="32"/>
          <w:highlight w:val="none"/>
        </w:rPr>
        <w:sectPr>
          <w:headerReference r:id="rId21" w:type="first"/>
          <w:footerReference r:id="rId23" w:type="first"/>
          <w:headerReference r:id="rId20" w:type="default"/>
          <w:footerReference r:id="rId22" w:type="default"/>
          <w:pgSz w:w="11905" w:h="16838"/>
          <w:pgMar w:top="652" w:right="1417" w:bottom="680" w:left="1417" w:header="539" w:footer="425" w:gutter="0"/>
          <w:pgNumType w:fmt="decimal"/>
          <w:cols w:space="0" w:num="1"/>
          <w:titlePg/>
          <w:docGrid w:linePitch="312" w:charSpace="0"/>
        </w:sectPr>
      </w:pPr>
    </w:p>
    <w:p w14:paraId="657D1CAB">
      <w:pPr>
        <w:pStyle w:val="694"/>
        <w:keepNext w:val="0"/>
        <w:tabs>
          <w:tab w:val="clear" w:pos="720"/>
        </w:tabs>
        <w:wordWrap w:val="0"/>
        <w:snapToGrid w:val="0"/>
        <w:spacing w:before="0" w:beforeLines="0" w:after="0" w:afterLines="0"/>
        <w:ind w:firstLine="643"/>
        <w:outlineLvl w:val="3"/>
        <w:rPr>
          <w:rFonts w:ascii="仿宋" w:hAnsi="仿宋" w:eastAsia="仿宋" w:cs="仿宋"/>
          <w:color w:val="auto"/>
          <w:kern w:val="2"/>
          <w:sz w:val="32"/>
          <w:szCs w:val="32"/>
          <w:highlight w:val="none"/>
        </w:rPr>
      </w:pPr>
      <w:bookmarkStart w:id="599" w:name="_Toc23456"/>
      <w:bookmarkStart w:id="600" w:name="_Toc11634"/>
      <w:bookmarkStart w:id="601" w:name="_Toc7330"/>
      <w:bookmarkStart w:id="602" w:name="_Toc22252"/>
      <w:bookmarkStart w:id="603" w:name="_Toc4763"/>
      <w:bookmarkStart w:id="604" w:name="_Toc14192"/>
      <w:bookmarkStart w:id="605" w:name="_Toc8787"/>
      <w:bookmarkStart w:id="606" w:name="_Toc10436"/>
      <w:bookmarkStart w:id="607" w:name="_Toc4192"/>
      <w:r>
        <w:rPr>
          <w:rFonts w:hint="eastAsia" w:ascii="仿宋" w:hAnsi="仿宋" w:eastAsia="仿宋" w:cs="仿宋"/>
          <w:color w:val="auto"/>
          <w:kern w:val="2"/>
          <w:sz w:val="32"/>
          <w:szCs w:val="32"/>
          <w:highlight w:val="none"/>
        </w:rPr>
        <w:t>一、开标一览表（报价表）</w:t>
      </w:r>
      <w:bookmarkEnd w:id="599"/>
      <w:bookmarkEnd w:id="600"/>
      <w:bookmarkEnd w:id="601"/>
      <w:bookmarkEnd w:id="602"/>
      <w:bookmarkEnd w:id="603"/>
      <w:bookmarkEnd w:id="604"/>
      <w:bookmarkEnd w:id="605"/>
      <w:bookmarkEnd w:id="606"/>
      <w:bookmarkEnd w:id="607"/>
    </w:p>
    <w:p w14:paraId="5F05D71E">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杭州市拱墅区人民政府大关街道办事处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2A12FF50">
      <w:pPr>
        <w:wordWrap w:val="0"/>
        <w:snapToGrid w:val="0"/>
        <w:spacing w:beforeLines="0" w:afterLines="0"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14:paraId="5A087CC0">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kern w:val="0"/>
          <w:sz w:val="24"/>
          <w:highlight w:val="none"/>
          <w:u w:val="single"/>
          <w:lang w:val="zh-CN"/>
        </w:rPr>
        <w:t>2025-2027年度企业退休人员文娱健身活动服务单位 【</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编号：ZHDL2025-DGJD-01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F364000">
      <w:pPr>
        <w:wordWrap w:val="0"/>
        <w:snapToGrid w:val="0"/>
        <w:spacing w:beforeLines="0" w:afterLines="0" w:line="360" w:lineRule="auto"/>
        <w:jc w:val="center"/>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zh-CN"/>
        </w:rPr>
        <w:t>开标一览表（报价表）(单位均为人民币元)（</w:t>
      </w:r>
      <w:r>
        <w:rPr>
          <w:rFonts w:hint="eastAsia" w:ascii="仿宋" w:hAnsi="仿宋" w:eastAsia="仿宋" w:cs="仿宋"/>
          <w:b/>
          <w:color w:val="auto"/>
          <w:kern w:val="0"/>
          <w:sz w:val="24"/>
          <w:highlight w:val="none"/>
          <w:lang w:val="en-US" w:eastAsia="zh-CN"/>
        </w:rPr>
        <w:t>标项一）</w:t>
      </w:r>
    </w:p>
    <w:tbl>
      <w:tblPr>
        <w:tblStyle w:val="97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161"/>
        <w:gridCol w:w="846"/>
        <w:gridCol w:w="1403"/>
        <w:gridCol w:w="1136"/>
        <w:gridCol w:w="1136"/>
      </w:tblGrid>
      <w:tr w14:paraId="0580B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6545B1E8">
            <w:pPr>
              <w:pStyle w:val="341"/>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0791986A">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标段名称</w:t>
            </w:r>
          </w:p>
        </w:tc>
        <w:tc>
          <w:tcPr>
            <w:tcW w:w="1161" w:type="dxa"/>
            <w:vAlign w:val="center"/>
          </w:tcPr>
          <w:p w14:paraId="76C0909F">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数量</w:t>
            </w:r>
          </w:p>
        </w:tc>
        <w:tc>
          <w:tcPr>
            <w:tcW w:w="846" w:type="dxa"/>
            <w:vAlign w:val="center"/>
          </w:tcPr>
          <w:p w14:paraId="269EBF29">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单位</w:t>
            </w:r>
          </w:p>
        </w:tc>
        <w:tc>
          <w:tcPr>
            <w:tcW w:w="1403" w:type="dxa"/>
            <w:vAlign w:val="center"/>
          </w:tcPr>
          <w:p w14:paraId="368E06C0">
            <w:pPr>
              <w:pStyle w:val="341"/>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1C81F1AE">
            <w:pPr>
              <w:pStyle w:val="341"/>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136" w:type="dxa"/>
            <w:vAlign w:val="center"/>
          </w:tcPr>
          <w:p w14:paraId="14F4D9BE">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5505EA1B">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367F8074">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63DE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0B435AD2">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vAlign w:val="center"/>
          </w:tcPr>
          <w:p w14:paraId="5BC6ECF5">
            <w:pPr>
              <w:pStyle w:val="341"/>
              <w:snapToGrid w:val="0"/>
              <w:spacing w:before="0" w:beforeLines="0" w:after="0" w:afterLines="0" w:line="360" w:lineRule="auto"/>
              <w:ind w:left="202" w:right="146" w:hanging="53"/>
              <w:jc w:val="center"/>
              <w:rPr>
                <w:rFonts w:hint="default" w:ascii="仿宋" w:hAnsi="仿宋" w:eastAsia="仿宋" w:cs="仿宋"/>
                <w:color w:val="auto"/>
                <w:highlight w:val="none"/>
                <w:u w:val="single"/>
                <w:lang w:val="en-US" w:eastAsia="zh-CN"/>
              </w:rPr>
            </w:pPr>
            <w:r>
              <w:rPr>
                <w:rFonts w:hint="eastAsia" w:ascii="仿宋" w:hAnsi="仿宋" w:eastAsia="仿宋" w:cs="仿宋"/>
                <w:color w:val="auto"/>
                <w:kern w:val="0"/>
                <w:sz w:val="24"/>
                <w:highlight w:val="none"/>
                <w:u w:val="single"/>
                <w:lang w:val="zh-CN"/>
              </w:rPr>
              <w:t>2025-2027年度企业退休人员文娱健身活动服务单位</w:t>
            </w:r>
            <w:r>
              <w:rPr>
                <w:rFonts w:hint="eastAsia" w:ascii="仿宋" w:hAnsi="仿宋" w:eastAsia="仿宋" w:cs="仿宋"/>
                <w:color w:val="auto"/>
                <w:kern w:val="0"/>
                <w:sz w:val="24"/>
                <w:highlight w:val="none"/>
                <w:u w:val="single"/>
                <w:lang w:val="en-US" w:eastAsia="zh-CN"/>
              </w:rPr>
              <w:t>---小型活动</w:t>
            </w:r>
          </w:p>
        </w:tc>
        <w:tc>
          <w:tcPr>
            <w:tcW w:w="1161" w:type="dxa"/>
            <w:vAlign w:val="center"/>
          </w:tcPr>
          <w:p w14:paraId="1E01466F">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w:t>
            </w:r>
          </w:p>
        </w:tc>
        <w:tc>
          <w:tcPr>
            <w:tcW w:w="846" w:type="dxa"/>
            <w:vAlign w:val="center"/>
          </w:tcPr>
          <w:p w14:paraId="28E9C2D8">
            <w:pPr>
              <w:pStyle w:val="341"/>
              <w:snapToGrid w:val="0"/>
              <w:spacing w:before="0" w:beforeLines="0" w:after="0" w:afterLines="0" w:line="360" w:lineRule="auto"/>
              <w:ind w:firstLine="0" w:firstLineChars="0"/>
              <w:jc w:val="center"/>
              <w:rPr>
                <w:rFonts w:hint="eastAsia" w:ascii="仿宋" w:hAnsi="仿宋" w:eastAsia="仿宋" w:cs="仿宋"/>
                <w:color w:val="auto"/>
                <w:highlight w:val="none"/>
                <w:u w:val="single"/>
                <w:lang w:val="zh-CN" w:eastAsia="zh-CN"/>
              </w:rPr>
            </w:pPr>
            <w:r>
              <w:rPr>
                <w:rFonts w:hint="eastAsia" w:ascii="仿宋" w:hAnsi="仿宋" w:eastAsia="仿宋" w:cs="仿宋"/>
                <w:color w:val="auto"/>
                <w:highlight w:val="none"/>
                <w:u w:val="single"/>
                <w:lang w:val="zh-CN" w:eastAsia="zh-CN"/>
              </w:rPr>
              <w:t>项</w:t>
            </w:r>
          </w:p>
        </w:tc>
        <w:tc>
          <w:tcPr>
            <w:tcW w:w="1403" w:type="dxa"/>
            <w:vAlign w:val="center"/>
          </w:tcPr>
          <w:p w14:paraId="6045017E">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130</w:t>
            </w:r>
          </w:p>
        </w:tc>
        <w:tc>
          <w:tcPr>
            <w:tcW w:w="1136" w:type="dxa"/>
            <w:vAlign w:val="center"/>
          </w:tcPr>
          <w:p w14:paraId="7D74C853">
            <w:pPr>
              <w:snapToGrid w:val="0"/>
              <w:spacing w:before="0" w:beforeLines="0" w:afterLines="0" w:line="360" w:lineRule="auto"/>
              <w:ind w:left="0" w:firstLine="0" w:firstLineChars="0"/>
              <w:jc w:val="center"/>
              <w:rPr>
                <w:rFonts w:hint="default" w:ascii="仿宋" w:hAnsi="仿宋" w:eastAsia="仿宋" w:cs="仿宋"/>
                <w:color w:val="auto"/>
                <w:kern w:val="0"/>
                <w:sz w:val="24"/>
                <w:szCs w:val="24"/>
                <w:highlight w:val="none"/>
                <w:u w:val="single"/>
                <w:lang w:val="en-US"/>
              </w:rPr>
            </w:pPr>
          </w:p>
        </w:tc>
        <w:tc>
          <w:tcPr>
            <w:tcW w:w="1136" w:type="dxa"/>
            <w:vAlign w:val="center"/>
          </w:tcPr>
          <w:p w14:paraId="3C638E47">
            <w:pPr>
              <w:snapToGrid w:val="0"/>
              <w:spacing w:before="0" w:beforeLines="0" w:afterLines="0" w:line="360" w:lineRule="auto"/>
              <w:ind w:left="0"/>
              <w:jc w:val="center"/>
              <w:outlineLvl w:val="9"/>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4814000</w:t>
            </w:r>
          </w:p>
        </w:tc>
      </w:tr>
      <w:tr w14:paraId="39FB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4C4ECEE6">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5682" w:type="dxa"/>
            <w:gridSpan w:val="5"/>
            <w:vAlign w:val="top"/>
          </w:tcPr>
          <w:p w14:paraId="71D529D3">
            <w:pPr>
              <w:pStyle w:val="341"/>
              <w:snapToGrid w:val="0"/>
              <w:spacing w:before="0" w:beforeLines="0" w:after="0" w:afterLines="0" w:line="360" w:lineRule="auto"/>
              <w:ind w:left="118"/>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en-US" w:eastAsia="zh-CN"/>
              </w:rPr>
              <w:t>4814000.00</w:t>
            </w:r>
          </w:p>
          <w:p w14:paraId="2B208DEA">
            <w:pPr>
              <w:pStyle w:val="341"/>
              <w:snapToGrid w:val="0"/>
              <w:spacing w:before="0" w:beforeLines="0" w:after="0" w:afterLines="0" w:line="360" w:lineRule="auto"/>
              <w:ind w:left="115"/>
              <w:rPr>
                <w:rFonts w:hint="default" w:ascii="仿宋" w:hAnsi="仿宋" w:eastAsia="仿宋" w:cs="仿宋"/>
                <w:color w:val="auto"/>
                <w:spacing w:val="0"/>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en-US" w:eastAsia="zh-CN"/>
              </w:rPr>
              <w:t>肆</w:t>
            </w:r>
            <w:r>
              <w:rPr>
                <w:rFonts w:hint="eastAsia" w:ascii="仿宋" w:hAnsi="仿宋" w:eastAsia="仿宋" w:cs="仿宋"/>
                <w:color w:val="auto"/>
                <w:spacing w:val="0"/>
                <w:highlight w:val="none"/>
                <w:u w:val="single"/>
                <w:lang w:val="zh-CN" w:eastAsia="zh-CN"/>
              </w:rPr>
              <w:t>佰</w:t>
            </w:r>
            <w:r>
              <w:rPr>
                <w:rFonts w:hint="eastAsia" w:ascii="仿宋" w:hAnsi="仿宋" w:eastAsia="仿宋" w:cs="仿宋"/>
                <w:color w:val="auto"/>
                <w:spacing w:val="0"/>
                <w:highlight w:val="none"/>
                <w:u w:val="single"/>
                <w:lang w:val="en-US" w:eastAsia="zh-CN"/>
              </w:rPr>
              <w:t>捌</w:t>
            </w:r>
            <w:r>
              <w:rPr>
                <w:rFonts w:hint="eastAsia" w:ascii="仿宋" w:hAnsi="仿宋" w:eastAsia="仿宋" w:cs="仿宋"/>
                <w:color w:val="auto"/>
                <w:spacing w:val="0"/>
                <w:highlight w:val="none"/>
                <w:u w:val="single"/>
                <w:lang w:val="zh-CN" w:eastAsia="zh-CN"/>
              </w:rPr>
              <w:t>拾</w:t>
            </w:r>
            <w:r>
              <w:rPr>
                <w:rFonts w:hint="eastAsia" w:ascii="仿宋" w:hAnsi="仿宋" w:eastAsia="仿宋" w:cs="仿宋"/>
                <w:color w:val="auto"/>
                <w:spacing w:val="0"/>
                <w:highlight w:val="none"/>
                <w:u w:val="single"/>
                <w:lang w:val="en-US" w:eastAsia="zh-CN"/>
              </w:rPr>
              <w:t>壹</w:t>
            </w:r>
            <w:r>
              <w:rPr>
                <w:rFonts w:hint="eastAsia" w:ascii="仿宋" w:hAnsi="仿宋" w:eastAsia="仿宋" w:cs="仿宋"/>
                <w:color w:val="auto"/>
                <w:spacing w:val="0"/>
                <w:highlight w:val="none"/>
                <w:u w:val="single"/>
                <w:lang w:val="zh-CN" w:eastAsia="zh-CN"/>
              </w:rPr>
              <w:t>万</w:t>
            </w:r>
            <w:r>
              <w:rPr>
                <w:rFonts w:hint="eastAsia" w:ascii="仿宋" w:hAnsi="仿宋" w:eastAsia="仿宋" w:cs="仿宋"/>
                <w:color w:val="auto"/>
                <w:spacing w:val="0"/>
                <w:highlight w:val="none"/>
                <w:u w:val="single"/>
                <w:lang w:val="en-US" w:eastAsia="zh-CN"/>
              </w:rPr>
              <w:t>肆</w:t>
            </w:r>
            <w:r>
              <w:rPr>
                <w:rFonts w:hint="eastAsia" w:ascii="仿宋" w:hAnsi="仿宋" w:eastAsia="仿宋" w:cs="仿宋"/>
                <w:color w:val="auto"/>
                <w:spacing w:val="0"/>
                <w:highlight w:val="none"/>
                <w:u w:val="single"/>
                <w:lang w:val="zh-CN" w:eastAsia="zh-CN"/>
              </w:rPr>
              <w:t>仟元</w:t>
            </w:r>
            <w:r>
              <w:rPr>
                <w:rFonts w:hint="eastAsia" w:ascii="仿宋" w:hAnsi="仿宋" w:eastAsia="仿宋" w:cs="仿宋"/>
                <w:color w:val="auto"/>
                <w:spacing w:val="0"/>
                <w:highlight w:val="none"/>
                <w:u w:val="single"/>
                <w:lang w:val="en-US" w:eastAsia="zh-CN"/>
              </w:rPr>
              <w:t>整</w:t>
            </w:r>
          </w:p>
          <w:p w14:paraId="557216B6">
            <w:pPr>
              <w:pStyle w:val="341"/>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备注：按实际人数结算</w:t>
            </w:r>
          </w:p>
        </w:tc>
      </w:tr>
    </w:tbl>
    <w:p w14:paraId="7289BD74">
      <w:pPr>
        <w:wordWrap w:val="0"/>
        <w:snapToGrid w:val="0"/>
        <w:spacing w:beforeLines="0" w:afterLines="0" w:line="360" w:lineRule="auto"/>
        <w:ind w:left="480"/>
        <w:jc w:val="left"/>
        <w:rPr>
          <w:rFonts w:hint="eastAsia" w:ascii="仿宋" w:hAnsi="仿宋" w:eastAsia="仿宋" w:cs="仿宋"/>
          <w:b/>
          <w:color w:val="auto"/>
          <w:kern w:val="0"/>
          <w:sz w:val="24"/>
          <w:highlight w:val="none"/>
          <w:lang w:val="zh-CN"/>
        </w:rPr>
      </w:pPr>
    </w:p>
    <w:p w14:paraId="2CDCC7E9">
      <w:pPr>
        <w:pStyle w:val="2"/>
        <w:rPr>
          <w:rFonts w:hint="eastAsia" w:ascii="仿宋" w:hAnsi="仿宋" w:eastAsia="仿宋" w:cs="仿宋"/>
          <w:b/>
          <w:color w:val="auto"/>
          <w:kern w:val="0"/>
          <w:sz w:val="24"/>
          <w:highlight w:val="none"/>
          <w:lang w:val="zh-CN"/>
        </w:rPr>
      </w:pPr>
    </w:p>
    <w:p w14:paraId="3C5B3EEE">
      <w:pPr>
        <w:pStyle w:val="2"/>
        <w:rPr>
          <w:rFonts w:hint="eastAsia" w:ascii="仿宋" w:hAnsi="仿宋" w:eastAsia="仿宋" w:cs="仿宋"/>
          <w:b/>
          <w:color w:val="auto"/>
          <w:kern w:val="0"/>
          <w:sz w:val="24"/>
          <w:highlight w:val="none"/>
          <w:lang w:val="zh-CN"/>
        </w:rPr>
      </w:pPr>
    </w:p>
    <w:p w14:paraId="702BFD7B">
      <w:pP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br w:type="page"/>
      </w:r>
    </w:p>
    <w:p w14:paraId="47C6DA41">
      <w:pPr>
        <w:wordWrap w:val="0"/>
        <w:snapToGrid w:val="0"/>
        <w:spacing w:beforeLines="0" w:afterLines="0" w:line="360" w:lineRule="auto"/>
        <w:ind w:left="480"/>
        <w:jc w:val="left"/>
        <w:rPr>
          <w:rFonts w:hint="eastAsia" w:ascii="仿宋" w:hAnsi="仿宋" w:eastAsia="仿宋" w:cs="仿宋"/>
          <w:b/>
          <w:color w:val="auto"/>
          <w:kern w:val="0"/>
          <w:sz w:val="24"/>
          <w:highlight w:val="none"/>
          <w:lang w:val="zh-CN"/>
        </w:rPr>
      </w:pPr>
    </w:p>
    <w:p w14:paraId="314B14D5">
      <w:pPr>
        <w:wordWrap w:val="0"/>
        <w:snapToGrid w:val="0"/>
        <w:spacing w:beforeLines="0" w:afterLines="0" w:line="360" w:lineRule="auto"/>
        <w:ind w:left="48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r>
        <w:rPr>
          <w:rFonts w:hint="eastAsia" w:ascii="仿宋" w:hAnsi="仿宋" w:eastAsia="仿宋" w:cs="仿宋"/>
          <w:b/>
          <w:color w:val="auto"/>
          <w:kern w:val="0"/>
          <w:sz w:val="24"/>
          <w:highlight w:val="none"/>
          <w:lang w:val="en-US" w:eastAsia="zh-CN"/>
        </w:rPr>
        <w:t>标项二）</w:t>
      </w:r>
    </w:p>
    <w:tbl>
      <w:tblPr>
        <w:tblStyle w:val="97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161"/>
        <w:gridCol w:w="846"/>
        <w:gridCol w:w="1403"/>
        <w:gridCol w:w="1136"/>
        <w:gridCol w:w="1136"/>
      </w:tblGrid>
      <w:tr w14:paraId="68894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181FECD5">
            <w:pPr>
              <w:pStyle w:val="341"/>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149D903E">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标段名称</w:t>
            </w:r>
          </w:p>
        </w:tc>
        <w:tc>
          <w:tcPr>
            <w:tcW w:w="1161" w:type="dxa"/>
            <w:vAlign w:val="center"/>
          </w:tcPr>
          <w:p w14:paraId="1DA1D8ED">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数量</w:t>
            </w:r>
          </w:p>
        </w:tc>
        <w:tc>
          <w:tcPr>
            <w:tcW w:w="846" w:type="dxa"/>
            <w:vAlign w:val="center"/>
          </w:tcPr>
          <w:p w14:paraId="1660906B">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单位</w:t>
            </w:r>
          </w:p>
        </w:tc>
        <w:tc>
          <w:tcPr>
            <w:tcW w:w="1403" w:type="dxa"/>
            <w:vAlign w:val="center"/>
          </w:tcPr>
          <w:p w14:paraId="1D503553">
            <w:pPr>
              <w:pStyle w:val="341"/>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27C04AB5">
            <w:pPr>
              <w:pStyle w:val="341"/>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136" w:type="dxa"/>
            <w:vAlign w:val="center"/>
          </w:tcPr>
          <w:p w14:paraId="3A577009">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55817635">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68735C75">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06F3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2A30A8F9">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shd w:val="clear" w:color="auto" w:fill="auto"/>
            <w:vAlign w:val="center"/>
          </w:tcPr>
          <w:p w14:paraId="4E87EF6A">
            <w:pPr>
              <w:pStyle w:val="341"/>
              <w:snapToGrid w:val="0"/>
              <w:spacing w:before="0" w:beforeLines="0" w:after="0" w:afterLines="0" w:line="360" w:lineRule="auto"/>
              <w:ind w:left="202" w:leftChars="0" w:right="146" w:rightChars="0" w:hanging="53" w:firstLineChars="0"/>
              <w:jc w:val="center"/>
              <w:rPr>
                <w:rFonts w:hint="default"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highlight w:val="none"/>
                <w:u w:val="single"/>
                <w:lang w:val="zh-CN"/>
              </w:rPr>
              <w:t>2025-2027年度企业退休人员文娱健身活动服务单位</w:t>
            </w:r>
            <w:r>
              <w:rPr>
                <w:rFonts w:hint="eastAsia" w:ascii="仿宋" w:hAnsi="仿宋" w:eastAsia="仿宋" w:cs="仿宋"/>
                <w:color w:val="auto"/>
                <w:kern w:val="0"/>
                <w:sz w:val="24"/>
                <w:highlight w:val="none"/>
                <w:u w:val="single"/>
                <w:lang w:val="en-US" w:eastAsia="zh-CN"/>
              </w:rPr>
              <w:t>---外出参观旅游</w:t>
            </w:r>
          </w:p>
        </w:tc>
        <w:tc>
          <w:tcPr>
            <w:tcW w:w="1161" w:type="dxa"/>
            <w:shd w:val="clear" w:color="auto" w:fill="auto"/>
            <w:vAlign w:val="center"/>
          </w:tcPr>
          <w:p w14:paraId="4D6A836B">
            <w:pPr>
              <w:snapToGrid w:val="0"/>
              <w:spacing w:before="0" w:beforeLines="0" w:afterLines="0" w:line="360" w:lineRule="auto"/>
              <w:ind w:left="0" w:leftChars="0"/>
              <w:jc w:val="center"/>
              <w:rPr>
                <w:rFonts w:hint="eastAsia" w:ascii="仿宋" w:hAnsi="仿宋" w:eastAsia="仿宋" w:cs="仿宋"/>
                <w:color w:val="auto"/>
                <w:kern w:val="0"/>
                <w:sz w:val="24"/>
                <w:szCs w:val="24"/>
                <w:highlight w:val="none"/>
                <w:u w:val="single"/>
                <w:lang w:val="zh-CN" w:eastAsia="zh-CN" w:bidi="ar-SA"/>
              </w:rPr>
            </w:pPr>
            <w:r>
              <w:rPr>
                <w:rFonts w:hint="eastAsia" w:ascii="仿宋" w:hAnsi="仿宋" w:eastAsia="仿宋" w:cs="仿宋"/>
                <w:color w:val="auto"/>
                <w:kern w:val="0"/>
                <w:sz w:val="24"/>
                <w:szCs w:val="24"/>
                <w:highlight w:val="none"/>
                <w:u w:val="single"/>
                <w:lang w:val="en-US" w:eastAsia="zh-CN"/>
              </w:rPr>
              <w:t>1</w:t>
            </w:r>
          </w:p>
        </w:tc>
        <w:tc>
          <w:tcPr>
            <w:tcW w:w="846" w:type="dxa"/>
            <w:shd w:val="clear" w:color="auto" w:fill="auto"/>
            <w:vAlign w:val="center"/>
          </w:tcPr>
          <w:p w14:paraId="5FDC2099">
            <w:pPr>
              <w:pStyle w:val="341"/>
              <w:snapToGrid w:val="0"/>
              <w:spacing w:before="0" w:beforeLines="0" w:after="0" w:afterLines="0" w:line="360" w:lineRule="auto"/>
              <w:ind w:firstLine="0" w:firstLineChars="0"/>
              <w:jc w:val="center"/>
              <w:rPr>
                <w:rFonts w:hint="eastAsia" w:ascii="仿宋" w:hAnsi="仿宋" w:eastAsia="仿宋" w:cs="仿宋"/>
                <w:color w:val="auto"/>
                <w:kern w:val="0"/>
                <w:sz w:val="24"/>
                <w:szCs w:val="24"/>
                <w:highlight w:val="none"/>
                <w:u w:val="single"/>
                <w:lang w:val="zh-CN" w:eastAsia="zh-CN" w:bidi="ar-SA"/>
              </w:rPr>
            </w:pPr>
            <w:r>
              <w:rPr>
                <w:rFonts w:hint="eastAsia" w:ascii="仿宋" w:hAnsi="仿宋" w:eastAsia="仿宋" w:cs="仿宋"/>
                <w:color w:val="auto"/>
                <w:highlight w:val="none"/>
                <w:u w:val="single"/>
                <w:lang w:val="en-US" w:eastAsia="zh-CN"/>
              </w:rPr>
              <w:t>项</w:t>
            </w:r>
          </w:p>
        </w:tc>
        <w:tc>
          <w:tcPr>
            <w:tcW w:w="1403" w:type="dxa"/>
            <w:shd w:val="clear" w:color="auto" w:fill="auto"/>
            <w:vAlign w:val="center"/>
          </w:tcPr>
          <w:p w14:paraId="1FDE2F12">
            <w:pPr>
              <w:snapToGrid w:val="0"/>
              <w:spacing w:before="0" w:beforeLines="0" w:afterLines="0" w:line="360" w:lineRule="auto"/>
              <w:ind w:left="0" w:leftChars="0"/>
              <w:jc w:val="center"/>
              <w:rPr>
                <w:rFonts w:hint="eastAsia" w:ascii="仿宋" w:hAnsi="仿宋" w:eastAsia="仿宋" w:cs="仿宋"/>
                <w:color w:val="auto"/>
                <w:kern w:val="0"/>
                <w:sz w:val="24"/>
                <w:szCs w:val="24"/>
                <w:highlight w:val="none"/>
                <w:u w:val="single"/>
                <w:lang w:val="zh-CN" w:eastAsia="zh-CN" w:bidi="ar-SA"/>
              </w:rPr>
            </w:pPr>
            <w:r>
              <w:rPr>
                <w:rFonts w:hint="eastAsia" w:ascii="仿宋" w:hAnsi="仿宋" w:eastAsia="仿宋" w:cs="仿宋"/>
                <w:color w:val="auto"/>
                <w:kern w:val="0"/>
                <w:sz w:val="24"/>
                <w:szCs w:val="24"/>
                <w:highlight w:val="none"/>
                <w:u w:val="single"/>
                <w:lang w:val="en-US" w:eastAsia="zh-CN"/>
              </w:rPr>
              <w:t>130</w:t>
            </w:r>
          </w:p>
        </w:tc>
        <w:tc>
          <w:tcPr>
            <w:tcW w:w="1136" w:type="dxa"/>
            <w:shd w:val="clear" w:color="auto" w:fill="auto"/>
            <w:vAlign w:val="center"/>
          </w:tcPr>
          <w:p w14:paraId="4E0E5377">
            <w:pPr>
              <w:snapToGrid w:val="0"/>
              <w:spacing w:before="0" w:beforeLines="0" w:afterLines="0" w:line="360" w:lineRule="auto"/>
              <w:ind w:left="0" w:leftChars="0" w:firstLine="0" w:firstLineChars="0"/>
              <w:jc w:val="center"/>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700</w:t>
            </w:r>
          </w:p>
        </w:tc>
        <w:tc>
          <w:tcPr>
            <w:tcW w:w="1136" w:type="dxa"/>
            <w:shd w:val="clear" w:color="auto" w:fill="auto"/>
            <w:vAlign w:val="center"/>
          </w:tcPr>
          <w:p w14:paraId="098DB114">
            <w:pPr>
              <w:snapToGrid w:val="0"/>
              <w:spacing w:before="0" w:beforeLines="0" w:afterLines="0" w:line="360" w:lineRule="auto"/>
              <w:ind w:left="0" w:leftChars="0"/>
              <w:jc w:val="center"/>
              <w:outlineLvl w:val="9"/>
              <w:rPr>
                <w:rFonts w:hint="default" w:ascii="仿宋" w:hAnsi="仿宋" w:eastAsia="仿宋" w:cs="仿宋"/>
                <w:b w:val="0"/>
                <w:color w:val="auto"/>
                <w:kern w:val="0"/>
                <w:sz w:val="24"/>
                <w:szCs w:val="24"/>
                <w:highlight w:val="none"/>
                <w:u w:val="single"/>
                <w:lang w:val="en-US" w:eastAsia="zh-CN" w:bidi="ar-SA"/>
              </w:rPr>
            </w:pPr>
            <w:r>
              <w:rPr>
                <w:rFonts w:hint="eastAsia" w:ascii="仿宋" w:hAnsi="仿宋" w:eastAsia="仿宋" w:cs="仿宋"/>
                <w:b w:val="0"/>
                <w:color w:val="auto"/>
                <w:kern w:val="0"/>
                <w:sz w:val="24"/>
                <w:szCs w:val="24"/>
                <w:highlight w:val="none"/>
                <w:u w:val="single"/>
                <w:lang w:val="en-US" w:eastAsia="zh-CN"/>
              </w:rPr>
              <w:t>286000</w:t>
            </w:r>
          </w:p>
        </w:tc>
      </w:tr>
      <w:tr w14:paraId="36C4A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6563BF31">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5682" w:type="dxa"/>
            <w:gridSpan w:val="5"/>
            <w:vAlign w:val="top"/>
          </w:tcPr>
          <w:p w14:paraId="17EA9AC7">
            <w:pPr>
              <w:pStyle w:val="341"/>
              <w:snapToGrid w:val="0"/>
              <w:spacing w:before="0" w:beforeLines="0" w:after="0" w:afterLines="0" w:line="360" w:lineRule="auto"/>
              <w:ind w:left="118"/>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en-US" w:eastAsia="zh-CN"/>
              </w:rPr>
              <w:t>286000.00</w:t>
            </w:r>
          </w:p>
          <w:p w14:paraId="52E68D43">
            <w:pPr>
              <w:pStyle w:val="341"/>
              <w:snapToGrid w:val="0"/>
              <w:spacing w:before="0" w:beforeLines="0" w:after="0" w:afterLines="0" w:line="360" w:lineRule="auto"/>
              <w:ind w:left="115"/>
              <w:rPr>
                <w:rFonts w:hint="default" w:ascii="仿宋" w:hAnsi="仿宋" w:eastAsia="仿宋" w:cs="仿宋"/>
                <w:color w:val="auto"/>
                <w:spacing w:val="0"/>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en-US" w:eastAsia="zh-CN"/>
              </w:rPr>
              <w:t>贰</w:t>
            </w:r>
            <w:r>
              <w:rPr>
                <w:rFonts w:hint="eastAsia" w:ascii="仿宋" w:hAnsi="仿宋" w:eastAsia="仿宋" w:cs="仿宋"/>
                <w:color w:val="auto"/>
                <w:spacing w:val="0"/>
                <w:highlight w:val="none"/>
                <w:u w:val="single"/>
                <w:lang w:val="zh-CN" w:eastAsia="zh-CN"/>
              </w:rPr>
              <w:t>拾</w:t>
            </w:r>
            <w:r>
              <w:rPr>
                <w:rFonts w:hint="eastAsia" w:ascii="仿宋" w:hAnsi="仿宋" w:eastAsia="仿宋" w:cs="仿宋"/>
                <w:color w:val="auto"/>
                <w:spacing w:val="0"/>
                <w:highlight w:val="none"/>
                <w:u w:val="single"/>
                <w:lang w:val="en-US" w:eastAsia="zh-CN"/>
              </w:rPr>
              <w:t>捌</w:t>
            </w:r>
            <w:r>
              <w:rPr>
                <w:rFonts w:hint="eastAsia" w:ascii="仿宋" w:hAnsi="仿宋" w:eastAsia="仿宋" w:cs="仿宋"/>
                <w:color w:val="auto"/>
                <w:spacing w:val="0"/>
                <w:highlight w:val="none"/>
                <w:u w:val="single"/>
                <w:lang w:val="zh-CN" w:eastAsia="zh-CN"/>
              </w:rPr>
              <w:t>万</w:t>
            </w:r>
            <w:r>
              <w:rPr>
                <w:rFonts w:hint="eastAsia" w:ascii="仿宋" w:hAnsi="仿宋" w:eastAsia="仿宋" w:cs="仿宋"/>
                <w:color w:val="auto"/>
                <w:spacing w:val="0"/>
                <w:highlight w:val="none"/>
                <w:u w:val="single"/>
                <w:lang w:val="en-US" w:eastAsia="zh-CN"/>
              </w:rPr>
              <w:t>陆</w:t>
            </w:r>
            <w:r>
              <w:rPr>
                <w:rFonts w:hint="eastAsia" w:ascii="仿宋" w:hAnsi="仿宋" w:eastAsia="仿宋" w:cs="仿宋"/>
                <w:color w:val="auto"/>
                <w:spacing w:val="0"/>
                <w:highlight w:val="none"/>
                <w:u w:val="single"/>
                <w:lang w:val="zh-CN" w:eastAsia="zh-CN"/>
              </w:rPr>
              <w:t>仟元</w:t>
            </w:r>
            <w:r>
              <w:rPr>
                <w:rFonts w:hint="eastAsia" w:ascii="仿宋" w:hAnsi="仿宋" w:eastAsia="仿宋" w:cs="仿宋"/>
                <w:color w:val="auto"/>
                <w:spacing w:val="0"/>
                <w:highlight w:val="none"/>
                <w:u w:val="single"/>
                <w:lang w:val="en-US" w:eastAsia="zh-CN"/>
              </w:rPr>
              <w:t>整</w:t>
            </w:r>
          </w:p>
          <w:p w14:paraId="6F150AD4">
            <w:pPr>
              <w:pStyle w:val="341"/>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备注：按实际人数结算</w:t>
            </w:r>
          </w:p>
        </w:tc>
      </w:tr>
    </w:tbl>
    <w:p w14:paraId="57249C2A">
      <w:pPr>
        <w:wordWrap w:val="0"/>
        <w:snapToGrid w:val="0"/>
        <w:spacing w:beforeLines="0" w:afterLines="0" w:line="360" w:lineRule="auto"/>
        <w:ind w:left="480"/>
        <w:jc w:val="left"/>
        <w:rPr>
          <w:rFonts w:hint="eastAsia" w:ascii="仿宋" w:hAnsi="仿宋" w:eastAsia="仿宋" w:cs="仿宋"/>
          <w:b/>
          <w:color w:val="auto"/>
          <w:kern w:val="0"/>
          <w:sz w:val="24"/>
          <w:highlight w:val="none"/>
          <w:lang w:val="zh-CN"/>
        </w:rPr>
      </w:pPr>
    </w:p>
    <w:p w14:paraId="780D812E">
      <w:pPr>
        <w:wordWrap w:val="0"/>
        <w:snapToGrid w:val="0"/>
        <w:spacing w:beforeLines="0" w:afterLines="0" w:line="360" w:lineRule="auto"/>
        <w:ind w:left="48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FEBA8CA">
      <w:pPr>
        <w:wordWrap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投标人需按本表格式填写，格式、已列内容不得自行更改。若投标人根据以上列明的采购内容需对</w:t>
      </w:r>
      <w:r>
        <w:rPr>
          <w:rFonts w:hint="eastAsia" w:ascii="仿宋" w:hAnsi="仿宋" w:eastAsia="仿宋" w:cs="仿宋"/>
          <w:color w:val="auto"/>
          <w:kern w:val="0"/>
          <w:sz w:val="24"/>
          <w:highlight w:val="none"/>
        </w:rPr>
        <w:t>人力物力成本、企业管理费、利润、税金等</w:t>
      </w:r>
      <w:r>
        <w:rPr>
          <w:rFonts w:hint="eastAsia" w:ascii="仿宋" w:hAnsi="仿宋" w:eastAsia="仿宋" w:cs="仿宋"/>
          <w:color w:val="auto"/>
          <w:kern w:val="0"/>
          <w:sz w:val="24"/>
          <w:highlight w:val="none"/>
          <w:lang w:val="zh-CN"/>
        </w:rPr>
        <w:t>进行分项明细报价，请另行以附件形式提供，格式自拟。</w:t>
      </w:r>
    </w:p>
    <w:p w14:paraId="5C6050C6">
      <w:pPr>
        <w:pStyle w:val="26"/>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37F506AB">
      <w:pPr>
        <w:pStyle w:val="26"/>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54E465D4">
      <w:pPr>
        <w:pStyle w:val="694"/>
        <w:keepNext w:val="0"/>
        <w:tabs>
          <w:tab w:val="clear" w:pos="720"/>
        </w:tabs>
        <w:wordWrap w:val="0"/>
        <w:snapToGrid w:val="0"/>
        <w:spacing w:before="0" w:beforeLines="0" w:after="0" w:afterLines="0"/>
        <w:ind w:firstLine="643"/>
        <w:outlineLvl w:val="3"/>
        <w:rPr>
          <w:rFonts w:ascii="仿宋" w:hAnsi="仿宋" w:eastAsia="仿宋" w:cs="仿宋"/>
          <w:color w:val="auto"/>
          <w:sz w:val="32"/>
          <w:szCs w:val="32"/>
          <w:highlight w:val="none"/>
        </w:rPr>
      </w:pPr>
      <w:bookmarkStart w:id="608" w:name="_Toc16528"/>
      <w:bookmarkStart w:id="609" w:name="_Toc15901"/>
      <w:bookmarkStart w:id="610" w:name="_Toc24377"/>
      <w:bookmarkStart w:id="611" w:name="_Toc10965"/>
      <w:bookmarkStart w:id="612" w:name="_Toc16669"/>
      <w:bookmarkStart w:id="613" w:name="_Toc19744"/>
      <w:bookmarkStart w:id="614" w:name="_Toc16525"/>
      <w:bookmarkStart w:id="615" w:name="_Toc29327"/>
      <w:bookmarkStart w:id="616" w:name="_Toc26887"/>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608"/>
      <w:bookmarkEnd w:id="609"/>
      <w:bookmarkEnd w:id="610"/>
      <w:bookmarkEnd w:id="611"/>
      <w:bookmarkEnd w:id="612"/>
      <w:bookmarkEnd w:id="613"/>
      <w:bookmarkEnd w:id="614"/>
      <w:bookmarkEnd w:id="615"/>
      <w:bookmarkEnd w:id="616"/>
    </w:p>
    <w:p w14:paraId="15798827">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7A27F5E3">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5641D468">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229FD7DF">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4B0403DF">
      <w:pPr>
        <w:wordWrap w:val="0"/>
        <w:snapToGrid w:val="0"/>
        <w:spacing w:beforeLines="0" w:afterLines="0" w:line="360" w:lineRule="auto"/>
        <w:ind w:right="420" w:firstLine="2409" w:firstLineChars="1000"/>
        <w:rPr>
          <w:rFonts w:ascii="仿宋" w:hAnsi="仿宋" w:eastAsia="仿宋" w:cs="仿宋"/>
          <w:b/>
          <w:color w:val="auto"/>
          <w:kern w:val="0"/>
          <w:sz w:val="24"/>
          <w:highlight w:val="none"/>
        </w:rPr>
      </w:pPr>
    </w:p>
    <w:p w14:paraId="55977CE7">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0FE00884">
      <w:pPr>
        <w:widowControl/>
        <w:wordWrap w:val="0"/>
        <w:snapToGrid w:val="0"/>
        <w:spacing w:beforeLines="0" w:afterLines="0" w:line="360" w:lineRule="auto"/>
        <w:ind w:firstLine="120" w:firstLineChars="50"/>
        <w:rPr>
          <w:rFonts w:ascii="仿宋" w:hAnsi="仿宋" w:eastAsia="仿宋" w:cs="仿宋"/>
          <w:b/>
          <w:color w:val="auto"/>
          <w:sz w:val="24"/>
          <w:highlight w:val="none"/>
        </w:rPr>
      </w:pPr>
    </w:p>
    <w:p w14:paraId="6D229227">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4DF0704C">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535068EA">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3F237CC7">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6654A347">
      <w:pPr>
        <w:pStyle w:val="4"/>
        <w:keepNext w:val="0"/>
        <w:keepLines w:val="0"/>
        <w:widowControl/>
        <w:wordWrap w:val="0"/>
        <w:snapToGrid w:val="0"/>
        <w:spacing w:before="0" w:beforeLines="0" w:beforeAutospacing="0" w:after="0" w:afterLines="0" w:afterAutospacing="0" w:line="360" w:lineRule="auto"/>
        <w:rPr>
          <w:rFonts w:ascii="仿宋" w:hAnsi="仿宋" w:eastAsia="仿宋" w:cs="仿宋"/>
          <w:color w:val="auto"/>
          <w:highlight w:val="none"/>
        </w:rPr>
        <w:sectPr>
          <w:footerReference r:id="rId27" w:type="first"/>
          <w:headerReference r:id="rId24" w:type="default"/>
          <w:footerReference r:id="rId25" w:type="default"/>
          <w:footerReference r:id="rId26" w:type="even"/>
          <w:pgSz w:w="11905" w:h="16838"/>
          <w:pgMar w:top="652" w:right="1417" w:bottom="680" w:left="1417" w:header="539" w:footer="425" w:gutter="0"/>
          <w:pgNumType w:fmt="decimal"/>
          <w:cols w:space="0" w:num="1"/>
          <w:titlePg/>
          <w:docGrid w:linePitch="312" w:charSpace="0"/>
        </w:sectPr>
      </w:pPr>
      <w:bookmarkStart w:id="617" w:name="_Toc29548"/>
      <w:bookmarkStart w:id="618" w:name="_Toc465665161"/>
      <w:bookmarkStart w:id="619" w:name="_Toc21803"/>
      <w:bookmarkStart w:id="620" w:name="_Toc18247"/>
      <w:bookmarkStart w:id="621" w:name="_Toc11681"/>
      <w:bookmarkStart w:id="622" w:name="_Toc19385"/>
    </w:p>
    <w:bookmarkEnd w:id="617"/>
    <w:bookmarkEnd w:id="618"/>
    <w:bookmarkEnd w:id="619"/>
    <w:bookmarkEnd w:id="620"/>
    <w:bookmarkEnd w:id="621"/>
    <w:bookmarkEnd w:id="622"/>
    <w:p w14:paraId="0AA584BE">
      <w:pPr>
        <w:wordWrap w:val="0"/>
        <w:snapToGrid w:val="0"/>
        <w:spacing w:beforeLines="0" w:afterLines="0" w:line="360" w:lineRule="auto"/>
        <w:outlineLvl w:val="0"/>
        <w:rPr>
          <w:rFonts w:ascii="仿宋" w:hAnsi="仿宋" w:eastAsia="仿宋" w:cs="仿宋"/>
          <w:b/>
          <w:color w:val="auto"/>
          <w:spacing w:val="6"/>
          <w:sz w:val="32"/>
          <w:szCs w:val="32"/>
          <w:highlight w:val="none"/>
        </w:rPr>
      </w:pPr>
      <w:bookmarkStart w:id="623" w:name="_Toc4640"/>
      <w:bookmarkStart w:id="624" w:name="_Toc7886"/>
      <w:bookmarkStart w:id="625" w:name="_Toc14817"/>
      <w:bookmarkStart w:id="626" w:name="_Toc9886"/>
      <w:bookmarkStart w:id="627" w:name="_Toc19435"/>
      <w:bookmarkStart w:id="628" w:name="_Toc25826"/>
      <w:bookmarkStart w:id="629" w:name="_Toc31021"/>
      <w:bookmarkStart w:id="630" w:name="_Toc7995"/>
      <w:bookmarkStart w:id="631" w:name="_Toc24540"/>
      <w:r>
        <w:rPr>
          <w:rFonts w:hint="eastAsia" w:ascii="仿宋" w:hAnsi="仿宋" w:eastAsia="仿宋" w:cs="仿宋"/>
          <w:b/>
          <w:color w:val="auto"/>
          <w:spacing w:val="6"/>
          <w:sz w:val="32"/>
          <w:szCs w:val="32"/>
          <w:highlight w:val="none"/>
        </w:rPr>
        <w:t>附件1：</w:t>
      </w:r>
      <w:bookmarkEnd w:id="623"/>
      <w:bookmarkEnd w:id="624"/>
      <w:bookmarkEnd w:id="625"/>
      <w:bookmarkEnd w:id="626"/>
      <w:bookmarkEnd w:id="627"/>
      <w:bookmarkEnd w:id="628"/>
      <w:bookmarkEnd w:id="629"/>
      <w:bookmarkEnd w:id="630"/>
      <w:bookmarkEnd w:id="631"/>
      <w:r>
        <w:rPr>
          <w:rFonts w:hint="eastAsia" w:ascii="仿宋" w:hAnsi="仿宋" w:eastAsia="仿宋" w:cs="仿宋"/>
          <w:b/>
          <w:color w:val="auto"/>
          <w:spacing w:val="6"/>
          <w:sz w:val="32"/>
          <w:szCs w:val="32"/>
          <w:highlight w:val="none"/>
        </w:rPr>
        <w:t>残疾人福利性单位声明函</w:t>
      </w:r>
    </w:p>
    <w:p w14:paraId="18165C63">
      <w:pPr>
        <w:wordWrap w:val="0"/>
        <w:snapToGrid w:val="0"/>
        <w:spacing w:beforeLines="0" w:afterLines="0" w:line="360" w:lineRule="auto"/>
        <w:jc w:val="center"/>
        <w:rPr>
          <w:rFonts w:ascii="仿宋" w:hAnsi="仿宋" w:eastAsia="仿宋" w:cs="仿宋"/>
          <w:b/>
          <w:color w:val="auto"/>
          <w:spacing w:val="6"/>
          <w:sz w:val="32"/>
          <w:szCs w:val="32"/>
          <w:highlight w:val="none"/>
        </w:rPr>
      </w:pPr>
      <w:bookmarkStart w:id="632" w:name="OLE_LINK14"/>
      <w:bookmarkStart w:id="633" w:name="OLE_LINK13"/>
      <w:r>
        <w:rPr>
          <w:rFonts w:hint="eastAsia" w:ascii="仿宋" w:hAnsi="仿宋" w:eastAsia="仿宋" w:cs="仿宋"/>
          <w:b/>
          <w:color w:val="auto"/>
          <w:spacing w:val="6"/>
          <w:sz w:val="32"/>
          <w:szCs w:val="32"/>
          <w:highlight w:val="none"/>
        </w:rPr>
        <w:t>残疾人福利性单位声明函</w:t>
      </w:r>
    </w:p>
    <w:bookmarkEnd w:id="632"/>
    <w:bookmarkEnd w:id="633"/>
    <w:p w14:paraId="52BBF69C">
      <w:pPr>
        <w:wordWrap w:val="0"/>
        <w:snapToGrid w:val="0"/>
        <w:spacing w:beforeLines="0" w:afterLines="0" w:line="360" w:lineRule="auto"/>
        <w:rPr>
          <w:rFonts w:ascii="仿宋" w:hAnsi="仿宋" w:eastAsia="仿宋" w:cs="仿宋"/>
          <w:b/>
          <w:color w:val="auto"/>
          <w:spacing w:val="6"/>
          <w:sz w:val="30"/>
          <w:szCs w:val="30"/>
          <w:highlight w:val="none"/>
        </w:rPr>
      </w:pPr>
    </w:p>
    <w:p w14:paraId="752850F6">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单位的   </w:t>
      </w:r>
      <w:r>
        <w:rPr>
          <w:rFonts w:hint="eastAsia" w:ascii="仿宋" w:hAnsi="仿宋" w:eastAsia="仿宋" w:cs="仿宋"/>
          <w:color w:val="auto"/>
          <w:sz w:val="24"/>
          <w:highlight w:val="none"/>
          <w:lang w:eastAsia="zh-CN"/>
        </w:rPr>
        <w:t xml:space="preserve">2025-2027年度企业退休人员文娱健身活动服务单位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ZHDL2025-DGJD-01</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14:paraId="1F94224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9BABAB5">
      <w:pPr>
        <w:wordWrap w:val="0"/>
        <w:snapToGrid w:val="0"/>
        <w:spacing w:beforeLines="0" w:afterLines="0" w:line="360" w:lineRule="auto"/>
        <w:ind w:firstLine="480" w:firstLineChars="200"/>
        <w:rPr>
          <w:rFonts w:ascii="仿宋" w:hAnsi="仿宋" w:eastAsia="仿宋" w:cs="仿宋"/>
          <w:color w:val="auto"/>
          <w:sz w:val="24"/>
          <w:highlight w:val="none"/>
        </w:rPr>
      </w:pPr>
    </w:p>
    <w:p w14:paraId="5B6FD45C">
      <w:pPr>
        <w:wordWrap w:val="0"/>
        <w:snapToGrid w:val="0"/>
        <w:spacing w:beforeLines="0" w:afterLines="0" w:line="360" w:lineRule="auto"/>
        <w:ind w:firstLine="480" w:firstLineChars="200"/>
        <w:rPr>
          <w:rFonts w:ascii="仿宋" w:hAnsi="仿宋" w:eastAsia="仿宋" w:cs="仿宋"/>
          <w:color w:val="auto"/>
          <w:sz w:val="24"/>
          <w:highlight w:val="none"/>
        </w:rPr>
      </w:pPr>
    </w:p>
    <w:p w14:paraId="1B8CAEA9">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2021C75">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0A48ED2">
      <w:pPr>
        <w:wordWrap w:val="0"/>
        <w:snapToGrid w:val="0"/>
        <w:spacing w:beforeLines="0" w:afterLines="0" w:line="360" w:lineRule="auto"/>
        <w:ind w:firstLine="480" w:firstLineChars="200"/>
        <w:rPr>
          <w:rFonts w:ascii="仿宋" w:hAnsi="仿宋" w:eastAsia="仿宋" w:cs="仿宋"/>
          <w:color w:val="auto"/>
          <w:sz w:val="24"/>
          <w:highlight w:val="none"/>
        </w:rPr>
      </w:pPr>
    </w:p>
    <w:p w14:paraId="53E12ECB">
      <w:pPr>
        <w:wordWrap w:val="0"/>
        <w:snapToGrid w:val="0"/>
        <w:spacing w:beforeLines="0" w:afterLines="0" w:line="360" w:lineRule="auto"/>
        <w:ind w:firstLine="420" w:firstLineChars="200"/>
        <w:rPr>
          <w:rFonts w:ascii="仿宋" w:hAnsi="仿宋" w:eastAsia="仿宋" w:cs="仿宋"/>
          <w:color w:val="auto"/>
          <w:highlight w:val="none"/>
        </w:rPr>
      </w:pPr>
    </w:p>
    <w:p w14:paraId="33BFE135">
      <w:pPr>
        <w:wordWrap w:val="0"/>
        <w:snapToGrid w:val="0"/>
        <w:spacing w:beforeLines="0" w:afterLines="0" w:line="360" w:lineRule="auto"/>
        <w:ind w:firstLine="420" w:firstLineChars="200"/>
        <w:rPr>
          <w:rFonts w:ascii="仿宋" w:hAnsi="仿宋" w:eastAsia="仿宋" w:cs="仿宋"/>
          <w:color w:val="auto"/>
          <w:highlight w:val="none"/>
        </w:rPr>
      </w:pPr>
    </w:p>
    <w:p w14:paraId="3A398661">
      <w:pPr>
        <w:wordWrap w:val="0"/>
        <w:snapToGrid w:val="0"/>
        <w:spacing w:beforeLines="0" w:afterLines="0" w:line="360" w:lineRule="auto"/>
        <w:ind w:firstLine="420" w:firstLineChars="200"/>
        <w:rPr>
          <w:rFonts w:ascii="仿宋" w:hAnsi="仿宋" w:eastAsia="仿宋" w:cs="仿宋"/>
          <w:color w:val="auto"/>
          <w:highlight w:val="none"/>
        </w:rPr>
      </w:pPr>
    </w:p>
    <w:p w14:paraId="76782DDB">
      <w:pPr>
        <w:wordWrap w:val="0"/>
        <w:snapToGrid w:val="0"/>
        <w:spacing w:beforeLines="0" w:afterLines="0" w:line="360" w:lineRule="auto"/>
        <w:ind w:firstLine="420" w:firstLineChars="200"/>
        <w:rPr>
          <w:rFonts w:ascii="仿宋" w:hAnsi="仿宋" w:eastAsia="仿宋" w:cs="仿宋"/>
          <w:color w:val="auto"/>
          <w:highlight w:val="none"/>
        </w:rPr>
      </w:pPr>
    </w:p>
    <w:p w14:paraId="3ECAB041">
      <w:pPr>
        <w:wordWrap w:val="0"/>
        <w:snapToGrid w:val="0"/>
        <w:spacing w:beforeLines="0" w:afterLines="0" w:line="360" w:lineRule="auto"/>
        <w:rPr>
          <w:rFonts w:ascii="仿宋" w:hAnsi="仿宋" w:eastAsia="仿宋" w:cs="仿宋"/>
          <w:b/>
          <w:color w:val="auto"/>
          <w:sz w:val="24"/>
          <w:highlight w:val="none"/>
        </w:rPr>
      </w:pPr>
    </w:p>
    <w:p w14:paraId="1E20633C">
      <w:pPr>
        <w:wordWrap w:val="0"/>
        <w:snapToGrid w:val="0"/>
        <w:spacing w:beforeLines="0" w:afterLines="0" w:line="360" w:lineRule="auto"/>
        <w:rPr>
          <w:rFonts w:ascii="仿宋" w:hAnsi="仿宋" w:eastAsia="仿宋" w:cs="仿宋"/>
          <w:b/>
          <w:color w:val="auto"/>
          <w:sz w:val="24"/>
          <w:highlight w:val="none"/>
        </w:rPr>
      </w:pPr>
    </w:p>
    <w:p w14:paraId="2F92E3F4">
      <w:pPr>
        <w:wordWrap w:val="0"/>
        <w:snapToGrid w:val="0"/>
        <w:spacing w:beforeLines="0" w:afterLines="0" w:line="360" w:lineRule="auto"/>
        <w:rPr>
          <w:rFonts w:ascii="仿宋" w:hAnsi="仿宋" w:eastAsia="仿宋" w:cs="仿宋"/>
          <w:b/>
          <w:color w:val="auto"/>
          <w:sz w:val="24"/>
          <w:highlight w:val="none"/>
        </w:rPr>
      </w:pPr>
    </w:p>
    <w:p w14:paraId="70A13DBF">
      <w:pPr>
        <w:wordWrap w:val="0"/>
        <w:snapToGrid w:val="0"/>
        <w:spacing w:beforeLines="0" w:afterLines="0" w:line="360" w:lineRule="auto"/>
        <w:rPr>
          <w:rFonts w:ascii="仿宋" w:hAnsi="仿宋" w:eastAsia="仿宋" w:cs="仿宋"/>
          <w:b/>
          <w:color w:val="auto"/>
          <w:sz w:val="24"/>
          <w:highlight w:val="none"/>
        </w:rPr>
      </w:pPr>
    </w:p>
    <w:p w14:paraId="2E832D5F">
      <w:pPr>
        <w:wordWrap w:val="0"/>
        <w:snapToGrid w:val="0"/>
        <w:spacing w:beforeLines="0" w:afterLines="0" w:line="360" w:lineRule="auto"/>
        <w:rPr>
          <w:rFonts w:ascii="仿宋" w:hAnsi="仿宋" w:eastAsia="仿宋" w:cs="仿宋"/>
          <w:b/>
          <w:color w:val="auto"/>
          <w:sz w:val="24"/>
          <w:highlight w:val="none"/>
        </w:rPr>
      </w:pPr>
    </w:p>
    <w:p w14:paraId="450CBF47">
      <w:pPr>
        <w:wordWrap w:val="0"/>
        <w:snapToGrid w:val="0"/>
        <w:spacing w:beforeLines="0" w:afterLines="0" w:line="360" w:lineRule="auto"/>
        <w:rPr>
          <w:rFonts w:ascii="仿宋" w:hAnsi="仿宋" w:eastAsia="仿宋" w:cs="仿宋"/>
          <w:b/>
          <w:color w:val="auto"/>
          <w:sz w:val="24"/>
          <w:highlight w:val="none"/>
        </w:rPr>
      </w:pPr>
    </w:p>
    <w:p w14:paraId="0298E643">
      <w:pPr>
        <w:wordWrap w:val="0"/>
        <w:snapToGrid w:val="0"/>
        <w:spacing w:beforeLines="0" w:afterLines="0" w:line="360" w:lineRule="auto"/>
        <w:rPr>
          <w:rFonts w:ascii="仿宋" w:hAnsi="仿宋" w:eastAsia="仿宋" w:cs="仿宋"/>
          <w:b/>
          <w:color w:val="auto"/>
          <w:sz w:val="24"/>
          <w:highlight w:val="none"/>
        </w:rPr>
      </w:pPr>
    </w:p>
    <w:p w14:paraId="7E7444F1">
      <w:pPr>
        <w:wordWrap w:val="0"/>
        <w:snapToGrid w:val="0"/>
        <w:spacing w:beforeLines="0" w:afterLines="0" w:line="360" w:lineRule="auto"/>
        <w:rPr>
          <w:rFonts w:ascii="仿宋" w:hAnsi="仿宋" w:eastAsia="仿宋" w:cs="仿宋"/>
          <w:b/>
          <w:color w:val="auto"/>
          <w:sz w:val="24"/>
          <w:highlight w:val="none"/>
        </w:rPr>
      </w:pPr>
    </w:p>
    <w:p w14:paraId="25156CF1">
      <w:pPr>
        <w:wordWrap w:val="0"/>
        <w:snapToGrid w:val="0"/>
        <w:spacing w:beforeLines="0" w:afterLines="0" w:line="360" w:lineRule="auto"/>
        <w:rPr>
          <w:rFonts w:ascii="仿宋" w:hAnsi="仿宋" w:eastAsia="仿宋" w:cs="仿宋"/>
          <w:b/>
          <w:color w:val="auto"/>
          <w:sz w:val="24"/>
          <w:highlight w:val="none"/>
        </w:rPr>
      </w:pPr>
    </w:p>
    <w:p w14:paraId="255174BA">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AE6250A">
      <w:pPr>
        <w:wordWrap w:val="0"/>
        <w:snapToGrid w:val="0"/>
        <w:spacing w:beforeLines="0" w:afterLines="0" w:line="360" w:lineRule="auto"/>
        <w:jc w:val="left"/>
        <w:outlineLvl w:val="0"/>
        <w:rPr>
          <w:rFonts w:ascii="仿宋" w:hAnsi="仿宋" w:eastAsia="仿宋" w:cs="仿宋"/>
          <w:b/>
          <w:color w:val="auto"/>
          <w:spacing w:val="6"/>
          <w:sz w:val="32"/>
          <w:szCs w:val="32"/>
          <w:highlight w:val="none"/>
        </w:rPr>
      </w:pPr>
      <w:bookmarkStart w:id="634" w:name="_Toc19664"/>
      <w:bookmarkStart w:id="635" w:name="_Toc10405"/>
      <w:bookmarkStart w:id="636" w:name="_Toc16946"/>
      <w:bookmarkStart w:id="637" w:name="_Toc3891"/>
      <w:bookmarkStart w:id="638" w:name="_Toc16744"/>
      <w:bookmarkStart w:id="639" w:name="_Toc21976"/>
      <w:bookmarkStart w:id="640" w:name="_Toc22640"/>
      <w:bookmarkStart w:id="641" w:name="_Toc25285"/>
      <w:bookmarkStart w:id="642" w:name="_Toc10890"/>
      <w:r>
        <w:rPr>
          <w:rFonts w:hint="eastAsia" w:ascii="仿宋" w:hAnsi="仿宋" w:eastAsia="仿宋" w:cs="仿宋"/>
          <w:b/>
          <w:color w:val="auto"/>
          <w:spacing w:val="6"/>
          <w:sz w:val="32"/>
          <w:szCs w:val="32"/>
          <w:highlight w:val="none"/>
        </w:rPr>
        <w:t>附件2：质疑函范本及制作说明</w:t>
      </w:r>
      <w:bookmarkEnd w:id="634"/>
      <w:bookmarkEnd w:id="635"/>
      <w:bookmarkEnd w:id="636"/>
      <w:bookmarkEnd w:id="637"/>
      <w:bookmarkEnd w:id="638"/>
      <w:bookmarkEnd w:id="639"/>
      <w:bookmarkEnd w:id="640"/>
      <w:bookmarkEnd w:id="641"/>
      <w:bookmarkEnd w:id="642"/>
    </w:p>
    <w:p w14:paraId="5DFB4DC6">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E501426">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06D6922">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3BE573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AA1C70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51F0829">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286E63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A5B653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5647311">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50CC7F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5C9F00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BE065C6">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F0BCAD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5890A1A">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4F7688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87F655F">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86AAB9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28FEA78">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6CDA840">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88EEE01">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0F2FD82">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02DA823">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E58628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2FD649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542CF8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4BD487F">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B71FD40">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067529">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390111">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3E0E83F">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2278032">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90B14E6">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6.质疑供应商为法人或者其他组织的，质疑函应由法定代表人、主要负责人，或者其授权代表签字或者盖章，并加盖公章。</w:t>
      </w:r>
    </w:p>
    <w:p w14:paraId="34BA19C1">
      <w:pPr>
        <w:widowControl/>
        <w:wordWrap w:val="0"/>
        <w:snapToGrid w:val="0"/>
        <w:spacing w:beforeLines="0" w:afterLines="0" w:line="360" w:lineRule="auto"/>
        <w:ind w:firstLine="600" w:firstLineChars="200"/>
        <w:jc w:val="left"/>
        <w:rPr>
          <w:rFonts w:ascii="仿宋" w:hAnsi="仿宋" w:eastAsia="仿宋" w:cs="仿宋"/>
          <w:color w:val="auto"/>
          <w:sz w:val="30"/>
          <w:szCs w:val="30"/>
          <w:highlight w:val="none"/>
        </w:rPr>
      </w:pPr>
    </w:p>
    <w:p w14:paraId="480761C7">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4BEE7303">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5667623E">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14A51E0C">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01BAA1D1">
      <w:pPr>
        <w:rPr>
          <w:rFonts w:hint="eastAsia" w:ascii="仿宋" w:hAnsi="仿宋" w:eastAsia="仿宋" w:cs="仿宋"/>
          <w:b/>
          <w:color w:val="auto"/>
          <w:spacing w:val="6"/>
          <w:sz w:val="32"/>
          <w:szCs w:val="32"/>
          <w:highlight w:val="none"/>
        </w:rPr>
      </w:pPr>
      <w:bookmarkStart w:id="643" w:name="_Toc1796"/>
      <w:bookmarkStart w:id="644" w:name="_Toc19370"/>
      <w:bookmarkStart w:id="645" w:name="_Toc15183"/>
      <w:bookmarkStart w:id="646" w:name="_Toc26395"/>
      <w:bookmarkStart w:id="647" w:name="_Toc13719"/>
      <w:bookmarkStart w:id="648" w:name="_Toc4759"/>
      <w:bookmarkStart w:id="649" w:name="_Toc14739"/>
      <w:bookmarkStart w:id="650" w:name="_Toc23740"/>
      <w:bookmarkStart w:id="651" w:name="_Toc5259"/>
      <w:r>
        <w:rPr>
          <w:rFonts w:hint="eastAsia" w:ascii="仿宋" w:hAnsi="仿宋" w:eastAsia="仿宋" w:cs="仿宋"/>
          <w:b/>
          <w:color w:val="auto"/>
          <w:spacing w:val="6"/>
          <w:sz w:val="32"/>
          <w:szCs w:val="32"/>
          <w:highlight w:val="none"/>
        </w:rPr>
        <w:br w:type="page"/>
      </w:r>
    </w:p>
    <w:p w14:paraId="2BB86CE7">
      <w:pPr>
        <w:wordWrap w:val="0"/>
        <w:snapToGrid w:val="0"/>
        <w:spacing w:beforeLines="0" w:afterLines="0" w:line="360" w:lineRule="auto"/>
        <w:jc w:val="left"/>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bookmarkEnd w:id="643"/>
      <w:bookmarkEnd w:id="644"/>
      <w:bookmarkEnd w:id="645"/>
      <w:bookmarkEnd w:id="646"/>
      <w:bookmarkEnd w:id="647"/>
      <w:bookmarkEnd w:id="648"/>
      <w:bookmarkEnd w:id="649"/>
      <w:bookmarkEnd w:id="650"/>
      <w:bookmarkEnd w:id="651"/>
    </w:p>
    <w:p w14:paraId="0AE6532C">
      <w:pPr>
        <w:wordWrap w:val="0"/>
        <w:snapToGrid w:val="0"/>
        <w:spacing w:beforeLines="0" w:afterLines="0" w:line="360" w:lineRule="auto"/>
        <w:jc w:val="center"/>
        <w:rPr>
          <w:rFonts w:ascii="仿宋" w:hAnsi="仿宋" w:eastAsia="仿宋" w:cs="仿宋"/>
          <w:b/>
          <w:color w:val="auto"/>
          <w:sz w:val="24"/>
          <w:highlight w:val="none"/>
        </w:rPr>
      </w:pPr>
    </w:p>
    <w:p w14:paraId="3D2F15AE">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3E7C327">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9F51C4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E4ACEC7">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B9BA3B">
      <w:pPr>
        <w:tabs>
          <w:tab w:val="left" w:pos="6510"/>
        </w:tabs>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BB12724">
      <w:pPr>
        <w:tabs>
          <w:tab w:val="left" w:pos="6510"/>
        </w:tabs>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2C50A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62D9C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E244F0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CE1E44">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AD3433">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13F62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A3C358F">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38224AC">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911DF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A26C57">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EC656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FE7A240">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9466E3D">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DE49855">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2E2159">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E365858">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7B800CE">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457617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7C58FDA">
      <w:pPr>
        <w:wordWrap w:val="0"/>
        <w:snapToGrid w:val="0"/>
        <w:spacing w:beforeLines="0" w:afterLines="0"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62F9A3D">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FAECA4">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4C4EB1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D20871E">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185582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B63C98A">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319D6BA">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05861B6">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F02949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446E15B">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9A3498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0BFE11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7E6160D">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3B3E1C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7165C78">
      <w:pPr>
        <w:wordWrap w:val="0"/>
        <w:snapToGrid w:val="0"/>
        <w:spacing w:beforeLines="0" w:afterLines="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3F3BBB6">
      <w:pPr>
        <w:pStyle w:val="2"/>
      </w:pPr>
    </w:p>
    <w:p w14:paraId="6E80A113">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D1EF408">
      <w:pPr>
        <w:widowControl/>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0BAC267">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681D02A">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489EA5D">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D051E13">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EA08C8F">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9983736">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7.投诉人为法人或者其他组织的，投诉书应当由法定代表人、主要负责人，或者其授权代表签字或者盖章，并加盖公章。</w:t>
      </w:r>
    </w:p>
    <w:p w14:paraId="725D12E4">
      <w:pPr>
        <w:wordWrap w:val="0"/>
        <w:snapToGrid w:val="0"/>
        <w:spacing w:beforeLines="0" w:afterLines="0" w:line="360" w:lineRule="auto"/>
        <w:rPr>
          <w:rFonts w:ascii="仿宋" w:hAnsi="仿宋" w:eastAsia="仿宋" w:cs="仿宋"/>
          <w:b/>
          <w:color w:val="auto"/>
          <w:sz w:val="24"/>
          <w:highlight w:val="none"/>
        </w:rPr>
      </w:pPr>
    </w:p>
    <w:p w14:paraId="5C796733">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2C5AFEBD">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51523E01">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C8D5C85">
      <w:pPr>
        <w:wordWrap w:val="0"/>
        <w:autoSpaceDE w:val="0"/>
        <w:autoSpaceDN w:val="0"/>
        <w:snapToGrid w:val="0"/>
        <w:spacing w:beforeLines="0" w:afterLines="0" w:line="360" w:lineRule="auto"/>
        <w:jc w:val="left"/>
        <w:outlineLvl w:val="0"/>
        <w:rPr>
          <w:rFonts w:ascii="仿宋" w:hAnsi="仿宋" w:eastAsia="仿宋" w:cs="仿宋"/>
          <w:b/>
          <w:bCs/>
          <w:color w:val="auto"/>
          <w:sz w:val="32"/>
          <w:szCs w:val="32"/>
          <w:highlight w:val="none"/>
        </w:rPr>
      </w:pPr>
      <w:bookmarkStart w:id="652" w:name="_Toc6620"/>
      <w:bookmarkStart w:id="653" w:name="_Toc14277"/>
      <w:bookmarkStart w:id="654" w:name="_Toc13943"/>
      <w:bookmarkStart w:id="655" w:name="_Toc25068"/>
      <w:bookmarkStart w:id="656" w:name="_Toc28414"/>
      <w:bookmarkStart w:id="657" w:name="_Toc30199"/>
      <w:bookmarkStart w:id="658" w:name="_Toc1784"/>
      <w:bookmarkStart w:id="659" w:name="_Toc31326"/>
      <w:bookmarkStart w:id="660" w:name="_Toc19508"/>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652"/>
      <w:bookmarkEnd w:id="653"/>
      <w:bookmarkEnd w:id="654"/>
      <w:bookmarkEnd w:id="655"/>
      <w:bookmarkEnd w:id="656"/>
      <w:bookmarkEnd w:id="657"/>
      <w:bookmarkEnd w:id="658"/>
      <w:bookmarkEnd w:id="659"/>
      <w:bookmarkEnd w:id="660"/>
    </w:p>
    <w:p w14:paraId="3BE7DAB9">
      <w:pPr>
        <w:wordWrap w:val="0"/>
        <w:snapToGrid w:val="0"/>
        <w:spacing w:beforeLines="0" w:afterLines="0" w:line="360" w:lineRule="auto"/>
        <w:rPr>
          <w:rFonts w:ascii="仿宋" w:hAnsi="仿宋" w:eastAsia="仿宋" w:cs="仿宋"/>
          <w:color w:val="auto"/>
          <w:sz w:val="24"/>
          <w:highlight w:val="none"/>
          <w:u w:val="single"/>
        </w:rPr>
      </w:pPr>
    </w:p>
    <w:p w14:paraId="5FB7566F">
      <w:pPr>
        <w:wordWrap w:val="0"/>
        <w:snapToGrid w:val="0"/>
        <w:spacing w:beforeLines="0" w:afterLines="0" w:line="360" w:lineRule="auto"/>
        <w:rPr>
          <w:rFonts w:ascii="仿宋" w:hAnsi="仿宋" w:eastAsia="仿宋" w:cs="仿宋"/>
          <w:color w:val="auto"/>
          <w:sz w:val="24"/>
          <w:highlight w:val="none"/>
          <w:u w:val="single"/>
        </w:rPr>
      </w:pPr>
    </w:p>
    <w:p w14:paraId="13CC40B3">
      <w:pPr>
        <w:wordWrap w:val="0"/>
        <w:snapToGrid w:val="0"/>
        <w:spacing w:beforeLines="0" w:afterLines="0"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p>
    <w:p w14:paraId="521C92E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67B1A08">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87A77A">
      <w:pPr>
        <w:wordWrap w:val="0"/>
        <w:snapToGrid w:val="0"/>
        <w:spacing w:beforeLines="0" w:afterLines="0" w:line="360" w:lineRule="auto"/>
        <w:ind w:firstLine="494"/>
        <w:rPr>
          <w:rFonts w:ascii="仿宋" w:hAnsi="仿宋" w:eastAsia="仿宋" w:cs="仿宋"/>
          <w:color w:val="auto"/>
          <w:sz w:val="24"/>
          <w:highlight w:val="none"/>
        </w:rPr>
      </w:pPr>
    </w:p>
    <w:p w14:paraId="0888CA46">
      <w:pPr>
        <w:wordWrap w:val="0"/>
        <w:snapToGrid w:val="0"/>
        <w:spacing w:beforeLines="0" w:afterLines="0" w:line="360" w:lineRule="auto"/>
        <w:ind w:firstLine="494"/>
        <w:rPr>
          <w:rFonts w:ascii="仿宋" w:hAnsi="仿宋" w:eastAsia="仿宋" w:cs="仿宋"/>
          <w:color w:val="auto"/>
          <w:sz w:val="24"/>
          <w:highlight w:val="none"/>
        </w:rPr>
      </w:pPr>
    </w:p>
    <w:p w14:paraId="0E925A34">
      <w:pPr>
        <w:wordWrap w:val="0"/>
        <w:snapToGrid w:val="0"/>
        <w:spacing w:beforeLines="0" w:afterLines="0" w:line="360" w:lineRule="auto"/>
        <w:ind w:firstLine="494"/>
        <w:rPr>
          <w:rFonts w:ascii="仿宋" w:hAnsi="仿宋" w:eastAsia="仿宋" w:cs="仿宋"/>
          <w:color w:val="auto"/>
          <w:sz w:val="24"/>
          <w:highlight w:val="none"/>
        </w:rPr>
      </w:pPr>
    </w:p>
    <w:p w14:paraId="3DE222DD">
      <w:pPr>
        <w:wordWrap w:val="0"/>
        <w:snapToGrid w:val="0"/>
        <w:spacing w:beforeLines="0" w:afterLines="0" w:line="360" w:lineRule="auto"/>
        <w:ind w:firstLine="494"/>
        <w:rPr>
          <w:rFonts w:ascii="仿宋" w:hAnsi="仿宋" w:eastAsia="仿宋" w:cs="仿宋"/>
          <w:color w:val="auto"/>
          <w:sz w:val="24"/>
          <w:highlight w:val="none"/>
        </w:rPr>
      </w:pPr>
    </w:p>
    <w:p w14:paraId="19C4EC5F">
      <w:pPr>
        <w:wordWrap w:val="0"/>
        <w:snapToGrid w:val="0"/>
        <w:spacing w:beforeLines="0" w:afterLines="0"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43C5748">
      <w:pPr>
        <w:wordWrap w:val="0"/>
        <w:snapToGrid w:val="0"/>
        <w:spacing w:beforeLines="0" w:afterLines="0" w:line="360" w:lineRule="auto"/>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6025D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D326586">
      <w:pPr>
        <w:wordWrap w:val="0"/>
        <w:snapToGrid w:val="0"/>
        <w:spacing w:beforeLines="0" w:afterLines="0"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A198CEA">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C903278">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C9B233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2D2EF64">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22F7F84">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DADC657">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9173E2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53C41E58">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64909731">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9B117FE">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46E22F6">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A35EAAE">
      <w:pPr>
        <w:wordWrap w:val="0"/>
        <w:autoSpaceDE w:val="0"/>
        <w:autoSpaceDN w:val="0"/>
        <w:snapToGrid w:val="0"/>
        <w:spacing w:beforeLines="0" w:afterLines="0" w:line="360" w:lineRule="auto"/>
        <w:outlineLvl w:val="0"/>
        <w:rPr>
          <w:rFonts w:ascii="仿宋" w:hAnsi="仿宋" w:eastAsia="仿宋" w:cs="仿宋"/>
          <w:b/>
          <w:bCs/>
          <w:color w:val="auto"/>
          <w:sz w:val="32"/>
          <w:szCs w:val="32"/>
          <w:highlight w:val="none"/>
        </w:rPr>
      </w:pPr>
      <w:bookmarkStart w:id="661" w:name="_Toc29318"/>
      <w:bookmarkStart w:id="662" w:name="_Toc18469"/>
      <w:bookmarkStart w:id="663" w:name="_Toc31030"/>
      <w:bookmarkStart w:id="664" w:name="_Toc23962"/>
      <w:bookmarkStart w:id="665" w:name="_Toc1904"/>
      <w:bookmarkStart w:id="666" w:name="_Toc23867"/>
      <w:bookmarkStart w:id="667" w:name="_Toc10529"/>
      <w:bookmarkStart w:id="668" w:name="_Toc25308"/>
      <w:bookmarkStart w:id="669" w:name="_Toc13051"/>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61"/>
      <w:bookmarkEnd w:id="662"/>
      <w:bookmarkEnd w:id="663"/>
      <w:bookmarkEnd w:id="664"/>
      <w:bookmarkEnd w:id="665"/>
      <w:bookmarkEnd w:id="666"/>
      <w:bookmarkEnd w:id="667"/>
      <w:bookmarkEnd w:id="668"/>
      <w:bookmarkEnd w:id="669"/>
    </w:p>
    <w:p w14:paraId="4576F5EC">
      <w:pPr>
        <w:wordWrap w:val="0"/>
        <w:snapToGrid w:val="0"/>
        <w:spacing w:beforeLines="0" w:afterLines="0" w:line="360" w:lineRule="auto"/>
        <w:jc w:val="center"/>
        <w:rPr>
          <w:rFonts w:ascii="仿宋" w:hAnsi="仿宋" w:eastAsia="仿宋" w:cs="仿宋"/>
          <w:color w:val="auto"/>
          <w:sz w:val="24"/>
          <w:highlight w:val="none"/>
          <w:u w:val="single"/>
        </w:rPr>
      </w:pPr>
    </w:p>
    <w:p w14:paraId="5FEEFBAB">
      <w:pPr>
        <w:wordWrap w:val="0"/>
        <w:snapToGrid w:val="0"/>
        <w:spacing w:beforeLines="0" w:afterLines="0" w:line="360" w:lineRule="auto"/>
        <w:jc w:val="center"/>
        <w:rPr>
          <w:rFonts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14:paraId="7F0F70F9">
      <w:pPr>
        <w:wordWrap w:val="0"/>
        <w:snapToGrid w:val="0"/>
        <w:spacing w:beforeLines="0" w:afterLines="0"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4CDCC2BD">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u w:val="single"/>
          <w:lang w:val="zh-CN"/>
        </w:rPr>
        <w:t xml:space="preserve">2025-2027年度企业退休人员文娱健身活动服务单位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25C6F9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14:paraId="113FB8DF">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2025-2027年度企业退休人员文娱健身活动服务单位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348C7B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若中标</w:t>
      </w:r>
      <w:r>
        <w:rPr>
          <w:rFonts w:hint="eastAsia" w:ascii="仿宋" w:hAnsi="仿宋" w:eastAsia="仿宋" w:cs="仿宋"/>
          <w:color w:val="auto"/>
          <w:sz w:val="24"/>
          <w:highlight w:val="none"/>
          <w:lang w:val="en-US" w:eastAsia="zh-CN" w:bidi="ar"/>
        </w:rPr>
        <w:t>后</w:t>
      </w:r>
      <w:r>
        <w:rPr>
          <w:rFonts w:hint="eastAsia" w:ascii="仿宋" w:hAnsi="仿宋" w:eastAsia="仿宋" w:cs="仿宋"/>
          <w:color w:val="auto"/>
          <w:sz w:val="24"/>
          <w:highlight w:val="none"/>
          <w:lang w:bidi="ar"/>
        </w:rPr>
        <w:t>拟定分包的，分包企业为中小企业的填写分包企业的情况：</w:t>
      </w:r>
    </w:p>
    <w:p w14:paraId="51F14051">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 xml:space="preserve">2025-2027年度企业退休人员文娱健身活动服务单位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64578D2">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kern w:val="0"/>
          <w:sz w:val="24"/>
          <w:highlight w:val="none"/>
          <w:u w:val="single"/>
          <w:lang w:val="zh-CN"/>
        </w:rPr>
        <w:t xml:space="preserve">2025-2027年度企业退休人员文娱健身活动服务单位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9828A31">
      <w:pPr>
        <w:wordWrap w:val="0"/>
        <w:snapToGrid w:val="0"/>
        <w:spacing w:beforeLines="0" w:afterLines="0" w:line="360" w:lineRule="auto"/>
        <w:ind w:firstLine="480" w:firstLineChars="200"/>
        <w:jc w:val="left"/>
        <w:rPr>
          <w:rFonts w:ascii="仿宋" w:hAnsi="仿宋" w:eastAsia="仿宋" w:cs="仿宋"/>
          <w:color w:val="auto"/>
          <w:sz w:val="24"/>
          <w:highlight w:val="none"/>
        </w:rPr>
      </w:pPr>
    </w:p>
    <w:p w14:paraId="0A966EBF">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733666E">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92893C4">
      <w:pPr>
        <w:wordWrap w:val="0"/>
        <w:snapToGrid w:val="0"/>
        <w:spacing w:beforeLines="0" w:afterLines="0"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9A283D3">
      <w:pPr>
        <w:wordWrap w:val="0"/>
        <w:snapToGrid w:val="0"/>
        <w:spacing w:beforeLines="0" w:afterLines="0"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56BE7A0A">
      <w:pPr>
        <w:wordWrap w:val="0"/>
        <w:snapToGrid w:val="0"/>
        <w:spacing w:beforeLines="0" w:afterLines="0"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29A80C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0545785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F6DF8E">
      <w:pPr>
        <w:wordWrap w:val="0"/>
        <w:snapToGrid w:val="0"/>
        <w:spacing w:beforeLines="0" w:afterLines="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14:paraId="6F6AF39A">
      <w:pPr>
        <w:wordWrap w:val="0"/>
        <w:snapToGrid w:val="0"/>
        <w:spacing w:beforeLines="0" w:afterLines="0" w:line="360" w:lineRule="auto"/>
        <w:ind w:firstLine="482" w:firstLineChars="200"/>
        <w:rPr>
          <w:rFonts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14:paraId="65FB0A9B">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21FA42A">
      <w:pPr>
        <w:wordWrap w:val="0"/>
        <w:snapToGrid w:val="0"/>
        <w:spacing w:before="0" w:beforeLines="0" w:after="0" w:afterLines="0" w:line="360" w:lineRule="auto"/>
        <w:outlineLvl w:val="0"/>
        <w:rPr>
          <w:rFonts w:ascii="仿宋" w:hAnsi="仿宋" w:eastAsia="仿宋" w:cs="仿宋"/>
          <w:b/>
          <w:color w:val="auto"/>
          <w:kern w:val="0"/>
          <w:sz w:val="32"/>
          <w:szCs w:val="32"/>
          <w:highlight w:val="none"/>
        </w:rPr>
      </w:pPr>
      <w:bookmarkStart w:id="670" w:name="_Toc15498"/>
      <w:bookmarkStart w:id="671" w:name="_Toc16741"/>
      <w:bookmarkStart w:id="672" w:name="_Toc8013"/>
      <w:bookmarkStart w:id="673" w:name="_Toc13984"/>
      <w:bookmarkStart w:id="674" w:name="_Toc15843"/>
      <w:bookmarkStart w:id="675" w:name="_Toc25620"/>
      <w:bookmarkStart w:id="676" w:name="_Toc2500"/>
      <w:bookmarkStart w:id="677" w:name="_Toc28870"/>
      <w:bookmarkStart w:id="678" w:name="_Toc19779"/>
      <w:r>
        <w:rPr>
          <w:rFonts w:hint="eastAsia" w:ascii="仿宋" w:hAnsi="仿宋" w:eastAsia="仿宋" w:cs="仿宋"/>
          <w:b/>
          <w:color w:val="auto"/>
          <w:kern w:val="0"/>
          <w:sz w:val="32"/>
          <w:szCs w:val="32"/>
          <w:highlight w:val="none"/>
        </w:rPr>
        <w:t>附件6</w:t>
      </w:r>
      <w:bookmarkEnd w:id="670"/>
      <w:bookmarkEnd w:id="671"/>
      <w:bookmarkEnd w:id="672"/>
      <w:r>
        <w:rPr>
          <w:rFonts w:hint="eastAsia" w:ascii="仿宋" w:hAnsi="仿宋" w:eastAsia="仿宋" w:cs="仿宋"/>
          <w:b/>
          <w:color w:val="auto"/>
          <w:kern w:val="0"/>
          <w:sz w:val="32"/>
          <w:szCs w:val="32"/>
          <w:highlight w:val="none"/>
        </w:rPr>
        <w:t xml:space="preserve"> </w:t>
      </w:r>
      <w:bookmarkEnd w:id="673"/>
      <w:bookmarkEnd w:id="674"/>
      <w:bookmarkEnd w:id="675"/>
      <w:r>
        <w:rPr>
          <w:rFonts w:hint="eastAsia" w:ascii="仿宋" w:hAnsi="仿宋" w:eastAsia="仿宋" w:cs="仿宋"/>
          <w:b/>
          <w:color w:val="auto"/>
          <w:kern w:val="0"/>
          <w:sz w:val="32"/>
          <w:szCs w:val="32"/>
          <w:highlight w:val="none"/>
        </w:rPr>
        <w:t>联合协议</w:t>
      </w:r>
      <w:bookmarkEnd w:id="676"/>
      <w:bookmarkEnd w:id="677"/>
      <w:bookmarkEnd w:id="678"/>
    </w:p>
    <w:p w14:paraId="79180890">
      <w:pPr>
        <w:widowControl/>
        <w:wordWrap w:val="0"/>
        <w:snapToGrid w:val="0"/>
        <w:spacing w:beforeLines="0" w:afterLines="0" w:line="360" w:lineRule="auto"/>
        <w:ind w:firstLine="643" w:firstLineChars="20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7F3A7DA2">
      <w:pPr>
        <w:widowControl/>
        <w:wordWrap w:val="0"/>
        <w:snapToGrid w:val="0"/>
        <w:spacing w:beforeLines="0" w:afterLines="0" w:line="360" w:lineRule="auto"/>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11E5DF9">
      <w:pPr>
        <w:wordWrap w:val="0"/>
        <w:snapToGrid w:val="0"/>
        <w:spacing w:beforeLines="0" w:afterLines="0" w:line="360" w:lineRule="auto"/>
        <w:ind w:firstLine="578"/>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14:paraId="24B1A8EF">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A8D2A17">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3132189">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6357712C">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6280CE81">
      <w:pPr>
        <w:snapToGrid w:val="0"/>
        <w:spacing w:beforeLines="0" w:afterLines="0"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%（不得少于50%）。</w:t>
      </w:r>
    </w:p>
    <w:p w14:paraId="1579BF61">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A91B5CE">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14:paraId="2C7E4F8E">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8118E88">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0EDFC85">
      <w:pPr>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E7224BE">
      <w:pPr>
        <w:snapToGrid w:val="0"/>
        <w:spacing w:beforeLines="0" w:afterLines="0"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4、其他联合体双方约定的事项：</w:t>
      </w:r>
      <w:r>
        <w:rPr>
          <w:rFonts w:hint="eastAsia" w:ascii="仿宋" w:hAnsi="仿宋" w:eastAsia="仿宋" w:cs="仿宋"/>
          <w:color w:val="auto"/>
          <w:kern w:val="0"/>
          <w:sz w:val="24"/>
          <w:highlight w:val="none"/>
          <w:u w:val="single"/>
        </w:rPr>
        <w:t xml:space="preserve">                             </w:t>
      </w:r>
    </w:p>
    <w:p w14:paraId="1A164082">
      <w:pPr>
        <w:pStyle w:val="2"/>
        <w:rPr>
          <w:rFonts w:hint="eastAsia" w:ascii="仿宋" w:hAnsi="仿宋" w:eastAsia="仿宋" w:cs="仿宋"/>
          <w:color w:val="auto"/>
          <w:kern w:val="0"/>
          <w:sz w:val="24"/>
          <w:highlight w:val="none"/>
          <w:u w:val="single"/>
        </w:rPr>
      </w:pPr>
    </w:p>
    <w:p w14:paraId="3A075D82">
      <w:pPr>
        <w:pStyle w:val="2"/>
        <w:rPr>
          <w:rFonts w:hint="eastAsia" w:ascii="仿宋" w:hAnsi="仿宋" w:eastAsia="仿宋" w:cs="仿宋"/>
          <w:color w:val="auto"/>
          <w:kern w:val="0"/>
          <w:sz w:val="24"/>
          <w:highlight w:val="none"/>
          <w:u w:val="single"/>
        </w:rPr>
      </w:pPr>
    </w:p>
    <w:p w14:paraId="6690B3F3">
      <w:pPr>
        <w:pStyle w:val="2"/>
        <w:rPr>
          <w:rFonts w:hint="eastAsia" w:ascii="仿宋" w:hAnsi="仿宋" w:eastAsia="仿宋" w:cs="仿宋"/>
          <w:color w:val="auto"/>
          <w:kern w:val="0"/>
          <w:sz w:val="24"/>
          <w:highlight w:val="none"/>
          <w:u w:val="single"/>
        </w:rPr>
      </w:pPr>
    </w:p>
    <w:p w14:paraId="15288D6B">
      <w:pPr>
        <w:pStyle w:val="2"/>
        <w:rPr>
          <w:rFonts w:hint="eastAsia" w:ascii="仿宋" w:hAnsi="仿宋" w:eastAsia="仿宋" w:cs="仿宋"/>
          <w:color w:val="auto"/>
          <w:kern w:val="0"/>
          <w:sz w:val="24"/>
          <w:highlight w:val="none"/>
          <w:u w:val="single"/>
        </w:rPr>
      </w:pPr>
    </w:p>
    <w:p w14:paraId="5002E249">
      <w:pPr>
        <w:pStyle w:val="2"/>
        <w:rPr>
          <w:rFonts w:hint="eastAsia" w:ascii="仿宋" w:hAnsi="仿宋" w:eastAsia="仿宋" w:cs="仿宋"/>
          <w:color w:val="auto"/>
          <w:kern w:val="0"/>
          <w:sz w:val="24"/>
          <w:highlight w:val="none"/>
          <w:u w:val="single"/>
        </w:rPr>
      </w:pPr>
      <w:bookmarkStart w:id="688" w:name="_GoBack"/>
      <w:bookmarkEnd w:id="688"/>
    </w:p>
    <w:p w14:paraId="3B055B62">
      <w:pPr>
        <w:wordWrap w:val="0"/>
        <w:snapToGrid w:val="0"/>
        <w:spacing w:beforeLines="0" w:afterLines="0"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7BCA12D3">
      <w:pPr>
        <w:wordWrap w:val="0"/>
        <w:autoSpaceDE w:val="0"/>
        <w:autoSpaceDN w:val="0"/>
        <w:snapToGrid w:val="0"/>
        <w:spacing w:beforeLines="0" w:afterLines="0" w:line="360" w:lineRule="auto"/>
        <w:ind w:firstLine="480" w:firstLineChars="200"/>
        <w:rPr>
          <w:rFonts w:ascii="仿宋" w:hAnsi="仿宋" w:eastAsia="仿宋" w:cs="仿宋"/>
          <w:color w:val="auto"/>
          <w:kern w:val="0"/>
          <w:sz w:val="24"/>
          <w:highlight w:val="none"/>
        </w:rPr>
      </w:pPr>
    </w:p>
    <w:p w14:paraId="63859E5E">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0CF2EFE9">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15D24F86">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35209BB3">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5613C4CC">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8E07EF">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D00B75C">
      <w:pPr>
        <w:wordWrap w:val="0"/>
        <w:snapToGrid w:val="0"/>
        <w:spacing w:beforeLines="0" w:afterLines="0" w:line="360" w:lineRule="auto"/>
        <w:outlineLvl w:val="0"/>
        <w:rPr>
          <w:rFonts w:ascii="仿宋" w:hAnsi="仿宋" w:eastAsia="仿宋" w:cs="仿宋"/>
          <w:b/>
          <w:color w:val="auto"/>
          <w:kern w:val="0"/>
          <w:sz w:val="32"/>
          <w:szCs w:val="32"/>
          <w:highlight w:val="none"/>
        </w:rPr>
      </w:pPr>
      <w:bookmarkStart w:id="679" w:name="_Toc32513"/>
      <w:bookmarkStart w:id="680" w:name="_Toc30868"/>
      <w:bookmarkStart w:id="681" w:name="_Toc3992"/>
      <w:bookmarkStart w:id="682" w:name="_Toc26897"/>
      <w:bookmarkStart w:id="683" w:name="_Toc31060"/>
      <w:bookmarkStart w:id="684" w:name="_Toc7222"/>
      <w:bookmarkStart w:id="685" w:name="_Toc3962"/>
      <w:bookmarkStart w:id="686" w:name="_Toc2793"/>
      <w:bookmarkStart w:id="687" w:name="_Toc29153"/>
      <w:r>
        <w:rPr>
          <w:rFonts w:hint="eastAsia" w:ascii="仿宋" w:hAnsi="仿宋" w:eastAsia="仿宋" w:cs="仿宋"/>
          <w:b/>
          <w:color w:val="auto"/>
          <w:kern w:val="0"/>
          <w:sz w:val="32"/>
          <w:szCs w:val="32"/>
          <w:highlight w:val="none"/>
        </w:rPr>
        <w:t>附件7</w:t>
      </w:r>
      <w:bookmarkEnd w:id="679"/>
      <w:bookmarkEnd w:id="680"/>
      <w:bookmarkEnd w:id="681"/>
      <w:r>
        <w:rPr>
          <w:rFonts w:hint="eastAsia" w:ascii="仿宋" w:hAnsi="仿宋" w:eastAsia="仿宋" w:cs="仿宋"/>
          <w:b/>
          <w:color w:val="auto"/>
          <w:kern w:val="0"/>
          <w:sz w:val="32"/>
          <w:szCs w:val="32"/>
          <w:highlight w:val="none"/>
        </w:rPr>
        <w:t xml:space="preserve"> 分包意向协议</w:t>
      </w:r>
      <w:bookmarkEnd w:id="682"/>
      <w:bookmarkEnd w:id="683"/>
      <w:bookmarkEnd w:id="684"/>
      <w:bookmarkEnd w:id="685"/>
      <w:bookmarkEnd w:id="686"/>
      <w:bookmarkEnd w:id="687"/>
    </w:p>
    <w:p w14:paraId="777A68BF">
      <w:pPr>
        <w:wordWrap w:val="0"/>
        <w:snapToGrid w:val="0"/>
        <w:spacing w:beforeLines="0" w:afterLines="0"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0BA527F7">
      <w:pPr>
        <w:wordWrap w:val="0"/>
        <w:snapToGrid w:val="0"/>
        <w:spacing w:beforeLines="0" w:afterLines="0"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5E45BD50">
      <w:pPr>
        <w:widowControl/>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灭四害、隔油池烟道清洗工作分包。若非主体、非关键性工作已由联合体成员承担的，则不允许分包。分包份额不得超过总包单位。投标人中标后以分包方式履行合同的，提供分包意向协议；不以分包方式履行合同的，则无需提供。）</w:t>
      </w:r>
    </w:p>
    <w:p w14:paraId="3DF18161">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7DA9B85">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24AC81E">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DDA33C4">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49EA75BA">
      <w:pPr>
        <w:wordWrap w:val="0"/>
        <w:snapToGrid w:val="0"/>
        <w:spacing w:beforeLines="0" w:afterLines="0"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8B2561B">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39FBB15E">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1EB0F12">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4195DE3C">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9D94659">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B0C6310">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1B60832">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BB81088">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664C88">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4C2FA19C">
      <w:pPr>
        <w:wordWrap w:val="0"/>
        <w:snapToGrid w:val="0"/>
        <w:spacing w:beforeLines="0" w:afterLines="0" w:line="360" w:lineRule="auto"/>
        <w:ind w:firstLine="720" w:firstLineChars="3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DBDEE12">
      <w:pPr>
        <w:wordWrap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E13BC64">
      <w:pPr>
        <w:wordWrap w:val="0"/>
        <w:snapToGrid w:val="0"/>
        <w:spacing w:beforeLines="0" w:afterLines="0" w:line="360" w:lineRule="auto"/>
        <w:ind w:left="5746" w:leftChars="2622" w:hanging="240" w:hanging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67464076">
      <w:pPr>
        <w:wordWrap w:val="0"/>
        <w:snapToGrid w:val="0"/>
        <w:spacing w:beforeLines="0" w:afterLines="0" w:line="360" w:lineRule="auto"/>
        <w:ind w:firstLine="4800" w:firstLine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4D411827">
      <w:pPr>
        <w:wordWrap w:val="0"/>
        <w:snapToGrid w:val="0"/>
        <w:spacing w:beforeLines="0" w:afterLines="0"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01E7445">
      <w:pPr>
        <w:pStyle w:val="26"/>
        <w:wordWrap w:val="0"/>
        <w:snapToGrid w:val="0"/>
        <w:spacing w:beforeLines="0" w:after="0" w:afterLines="0" w:line="360" w:lineRule="auto"/>
        <w:ind w:firstLine="480"/>
        <w:rPr>
          <w:rFonts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307D1370">
      <w:pPr>
        <w:wordWrap w:val="0"/>
        <w:snapToGrid w:val="0"/>
        <w:spacing w:beforeLines="0" w:afterLines="0" w:line="360" w:lineRule="auto"/>
        <w:rPr>
          <w:rFonts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08AD8BC9">
      <w:pPr>
        <w:snapToGrid w:val="0"/>
        <w:spacing w:beforeLines="0" w:afterLines="0" w:line="360" w:lineRule="auto"/>
        <w:rPr>
          <w:rFonts w:hint="eastAsia" w:ascii="仿宋" w:hAnsi="仿宋" w:eastAsia="仿宋" w:cs="仿宋"/>
          <w:color w:val="auto"/>
          <w:highlight w:val="none"/>
        </w:rPr>
      </w:pPr>
    </w:p>
    <w:sectPr>
      <w:pgSz w:w="11905" w:h="16838"/>
      <w:pgMar w:top="652" w:right="1417" w:bottom="680" w:left="1417" w:header="539" w:footer="425"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decorative"/>
    <w:pitch w:val="default"/>
    <w:sig w:usb0="00000000" w:usb1="00000000" w:usb2="00000000" w:usb3="00000000" w:csb0="20000001" w:csb1="00000000"/>
  </w:font>
  <w:font w:name="Helvetica">
    <w:altName w:val="Arial"/>
    <w:panose1 w:val="020B0504020202030204"/>
    <w:charset w:val="00"/>
    <w:family w:val="decorative"/>
    <w:pitch w:val="default"/>
    <w:sig w:usb0="00000000" w:usb1="00000000" w:usb2="00000000" w:usb3="00000000" w:csb0="00000093" w:csb1="00000000"/>
  </w:font>
  <w:font w:name="Futura Bk">
    <w:altName w:val="Segoe Print"/>
    <w:panose1 w:val="00000000000000000000"/>
    <w:charset w:val="00"/>
    <w:family w:val="moder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roman"/>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Times New Roman"/>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swiss"/>
    <w:pitch w:val="default"/>
    <w:sig w:usb0="00000000" w:usb1="00000000" w:usb2="00000016" w:usb3="00000000" w:csb0="00100001" w:csb1="00000000"/>
  </w:font>
  <w:font w:name="Wingdings 2">
    <w:panose1 w:val="05020102010507070707"/>
    <w:charset w:val="02"/>
    <w:family w:val="moder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367F">
    <w:pPr>
      <w:pStyle w:val="41"/>
      <w:framePr w:wrap="around" w:vAnchor="text" w:hAnchor="margin" w:xAlign="right" w:y="1"/>
      <w:rPr>
        <w:rStyle w:val="73"/>
      </w:rPr>
    </w:pPr>
    <w:r>
      <w:fldChar w:fldCharType="begin"/>
    </w:r>
    <w:r>
      <w:rPr>
        <w:rStyle w:val="73"/>
      </w:rPr>
      <w:instrText xml:space="preserve">PAGE  </w:instrText>
    </w:r>
    <w:r>
      <w:fldChar w:fldCharType="end"/>
    </w:r>
  </w:p>
  <w:p w14:paraId="45D57E8D">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1261">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99432">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A99432">
                    <w:pPr>
                      <w:pStyle w:val="41"/>
                    </w:pPr>
                    <w:r>
                      <w:fldChar w:fldCharType="begin"/>
                    </w:r>
                    <w:r>
                      <w:instrText xml:space="preserve"> PAGE  \* MERGEFORMAT </w:instrText>
                    </w:r>
                    <w:r>
                      <w:fldChar w:fldCharType="separate"/>
                    </w:r>
                    <w:r>
                      <w:t>53</w:t>
                    </w:r>
                    <w:r>
                      <w:fldChar w:fldCharType="end"/>
                    </w:r>
                  </w:p>
                </w:txbxContent>
              </v:textbox>
            </v:shape>
          </w:pict>
        </mc:Fallback>
      </mc:AlternateContent>
    </w:r>
  </w:p>
  <w:p w14:paraId="495C6DE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71A2">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45841">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B045841">
                    <w:pPr>
                      <w:pStyle w:val="41"/>
                    </w:pPr>
                    <w:r>
                      <w:fldChar w:fldCharType="begin"/>
                    </w:r>
                    <w:r>
                      <w:instrText xml:space="preserve"> PAGE  \* MERGEFORMAT </w:instrText>
                    </w:r>
                    <w:r>
                      <w:fldChar w:fldCharType="separate"/>
                    </w:r>
                    <w:r>
                      <w:t>48</w:t>
                    </w:r>
                    <w:r>
                      <w:fldChar w:fldCharType="end"/>
                    </w:r>
                  </w:p>
                </w:txbxContent>
              </v:textbox>
            </v:shape>
          </w:pict>
        </mc:Fallback>
      </mc:AlternateContent>
    </w:r>
  </w:p>
  <w:p w14:paraId="4833BC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2E92">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6CE8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46CE8E">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22DA6D5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7034E">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B0484">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A0B0484">
                    <w:pPr>
                      <w:pStyle w:val="4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D7736">
    <w:pPr>
      <w:pStyle w:val="41"/>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29DFE">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D429DFE">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36ED">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35</w:t>
    </w:r>
    <w:r>
      <w:fldChar w:fldCharType="end"/>
    </w:r>
  </w:p>
  <w:p w14:paraId="01E90A6B">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4B80">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224CB">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66224CB">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9B02">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5D3D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6A48">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C9023">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91C9023">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6F88">
    <w:pPr>
      <w:pStyle w:val="41"/>
      <w:jc w:val="center"/>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EFA7B">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FFEFA7B">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7E39">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A4B3E">
                          <w:pPr>
                            <w:pStyle w:val="4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25A4B3E">
                    <w:pPr>
                      <w:pStyle w:val="4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8176">
    <w:pPr>
      <w:pStyle w:val="41"/>
      <w:jc w:val="center"/>
      <w:rPr>
        <w:rFonts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F1925">
                          <w:pPr>
                            <w:pStyle w:val="4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7BF1925">
                    <w:pPr>
                      <w:pStyle w:val="4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8D6A">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6E623">
                          <w:pPr>
                            <w:pStyle w:val="4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9B6E623">
                    <w:pPr>
                      <w:pStyle w:val="4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87FF">
    <w:pPr>
      <w:ind w:firstLine="480"/>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0A05">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51A0A05">
                    <w:pPr>
                      <w:pStyle w:val="4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2002">
    <w:pPr>
      <w:pStyle w:val="42"/>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6A8B">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0C14">
    <w:pPr>
      <w:pStyle w:val="42"/>
      <w:pBdr>
        <w:bottom w:val="none" w:color="auto" w:sz="0" w:space="1"/>
      </w:pBd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D33E">
    <w:pPr>
      <w:pStyle w:val="42"/>
      <w:pBdr>
        <w:bottom w:val="none" w:color="auto" w:sz="0" w:space="1"/>
      </w:pBdr>
      <w:ind w:firstLine="360"/>
      <w:rPr>
        <w:rFonts w:ascii="仿宋_GB2312" w:eastAsia="仿宋_GB2312"/>
        <w:b/>
        <w:bCs/>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4062">
    <w:pPr>
      <w:pStyle w:val="42"/>
      <w:pBdr>
        <w:bottom w:val="none" w:color="auto" w:sz="0" w:space="1"/>
      </w:pBdr>
      <w:rPr>
        <w:rFonts w:ascii="仿宋_GB2312" w:eastAsia="仿宋_GB2312"/>
        <w:b/>
        <w:i/>
        <w:u w:val="single"/>
      </w:rPr>
    </w:pPr>
    <w:r>
      <w:t></w:t>
    </w:r>
    <w:r>
      <w:rPr>
        <w:rFonts w:hint="eastAsia"/>
      </w:rPr>
      <w:t xml:space="preserve">  </w:t>
    </w:r>
  </w:p>
  <w:p w14:paraId="2D39F7E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60651">
    <w:pPr>
      <w:pStyle w:val="42"/>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4C55">
    <w:pPr>
      <w:pStyle w:val="42"/>
      <w:pBdr>
        <w:bottom w:val="none" w:color="auto" w:sz="0" w:space="1"/>
      </w:pBdr>
      <w:jc w:val="right"/>
      <w:rPr>
        <w:rFonts w:ascii="仿宋_GB2312" w:eastAsia="仿宋_GB2312"/>
        <w:b/>
        <w:i/>
        <w:u w:val="single"/>
      </w:rPr>
    </w:pPr>
    <w:r>
      <w:rPr>
        <w:rFonts w:hint="eastAsia"/>
      </w:rPr>
      <w:t xml:space="preserve">                                 </w:t>
    </w:r>
  </w:p>
  <w:p w14:paraId="79DF2E2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A060">
    <w:pPr>
      <w:pStyle w:val="42"/>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C36A">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C6C902EB"/>
    <w:multiLevelType w:val="singleLevel"/>
    <w:tmpl w:val="C6C902EB"/>
    <w:lvl w:ilvl="0" w:tentative="0">
      <w:start w:val="16"/>
      <w:numFmt w:val="decimal"/>
      <w:suff w:val="space"/>
      <w:lvlText w:val="%1."/>
      <w:lvlJc w:val="left"/>
    </w:lvl>
  </w:abstractNum>
  <w:abstractNum w:abstractNumId="3">
    <w:nsid w:val="EEBCB84E"/>
    <w:multiLevelType w:val="singleLevel"/>
    <w:tmpl w:val="EEBCB84E"/>
    <w:lvl w:ilvl="0" w:tentative="0">
      <w:start w:val="1"/>
      <w:numFmt w:val="chineseCounting"/>
      <w:suff w:val="nothing"/>
      <w:lvlText w:val="%1、"/>
      <w:lvlJc w:val="left"/>
      <w:rPr>
        <w:rFonts w:hint="eastAsia"/>
      </w:rPr>
    </w:lvl>
  </w:abstractNum>
  <w:abstractNum w:abstractNumId="4">
    <w:nsid w:val="FE000763"/>
    <w:multiLevelType w:val="singleLevel"/>
    <w:tmpl w:val="FE000763"/>
    <w:lvl w:ilvl="0" w:tentative="0">
      <w:start w:val="8"/>
      <w:numFmt w:val="decimal"/>
      <w:suff w:val="space"/>
      <w:lvlText w:val="%1."/>
      <w:lvlJc w:val="left"/>
    </w:lvl>
  </w:abstractNum>
  <w:abstractNum w:abstractNumId="5">
    <w:nsid w:val="34238E1B"/>
    <w:multiLevelType w:val="singleLevel"/>
    <w:tmpl w:val="34238E1B"/>
    <w:lvl w:ilvl="0" w:tentative="0">
      <w:start w:val="27"/>
      <w:numFmt w:val="decimal"/>
      <w:suff w:val="space"/>
      <w:lvlText w:val="%1."/>
      <w:lvlJc w:val="left"/>
    </w:lvl>
  </w:abstractNum>
  <w:abstractNum w:abstractNumId="6">
    <w:nsid w:val="7625C79A"/>
    <w:multiLevelType w:val="singleLevel"/>
    <w:tmpl w:val="7625C79A"/>
    <w:lvl w:ilvl="0" w:tentative="0">
      <w:start w:val="2"/>
      <w:numFmt w:val="decimal"/>
      <w:suff w:val="space"/>
      <w:lvlText w:val="%1."/>
      <w:lvlJc w:val="left"/>
    </w:lvl>
  </w:abstractNum>
  <w:abstractNum w:abstractNumId="7">
    <w:nsid w:val="792045E3"/>
    <w:multiLevelType w:val="singleLevel"/>
    <w:tmpl w:val="792045E3"/>
    <w:lvl w:ilvl="0" w:tentative="0">
      <w:start w:val="6"/>
      <w:numFmt w:val="chineseCounting"/>
      <w:suff w:val="nothing"/>
      <w:lvlText w:val="%1、"/>
      <w:lvlJc w:val="left"/>
      <w:rPr>
        <w:rFonts w:hint="eastAsia"/>
      </w:r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C7"/>
    <w:rsid w:val="000E4765"/>
    <w:rsid w:val="000E5B7E"/>
    <w:rsid w:val="000E5FF9"/>
    <w:rsid w:val="000E6AE1"/>
    <w:rsid w:val="000E7142"/>
    <w:rsid w:val="000E7632"/>
    <w:rsid w:val="000E7737"/>
    <w:rsid w:val="000E7739"/>
    <w:rsid w:val="000E77EE"/>
    <w:rsid w:val="000F1604"/>
    <w:rsid w:val="000F1EE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43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2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393"/>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28E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92"/>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D1F"/>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BFF"/>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D52"/>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EF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1F"/>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1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CC9"/>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63"/>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F7441"/>
    <w:rsid w:val="01B37585"/>
    <w:rsid w:val="01C240D6"/>
    <w:rsid w:val="01D55165"/>
    <w:rsid w:val="01DF6BF8"/>
    <w:rsid w:val="01EB4811"/>
    <w:rsid w:val="01EC2C57"/>
    <w:rsid w:val="02284DF1"/>
    <w:rsid w:val="02392050"/>
    <w:rsid w:val="026B2E25"/>
    <w:rsid w:val="02824D4D"/>
    <w:rsid w:val="029576BA"/>
    <w:rsid w:val="029C2A86"/>
    <w:rsid w:val="02DA6776"/>
    <w:rsid w:val="02DC4B10"/>
    <w:rsid w:val="02DD76CE"/>
    <w:rsid w:val="02F36323"/>
    <w:rsid w:val="02F5619C"/>
    <w:rsid w:val="03222B47"/>
    <w:rsid w:val="0326446A"/>
    <w:rsid w:val="032D5555"/>
    <w:rsid w:val="033301DC"/>
    <w:rsid w:val="0336740B"/>
    <w:rsid w:val="036634D2"/>
    <w:rsid w:val="036916A9"/>
    <w:rsid w:val="03885263"/>
    <w:rsid w:val="03B629A7"/>
    <w:rsid w:val="03C75283"/>
    <w:rsid w:val="03DD35E4"/>
    <w:rsid w:val="03FC5F2A"/>
    <w:rsid w:val="04076900"/>
    <w:rsid w:val="041A5A3B"/>
    <w:rsid w:val="0421121E"/>
    <w:rsid w:val="042311BA"/>
    <w:rsid w:val="042B157A"/>
    <w:rsid w:val="043E286E"/>
    <w:rsid w:val="044B421A"/>
    <w:rsid w:val="04596E97"/>
    <w:rsid w:val="046C5C2A"/>
    <w:rsid w:val="048F763B"/>
    <w:rsid w:val="049E721D"/>
    <w:rsid w:val="049F330E"/>
    <w:rsid w:val="04AA775C"/>
    <w:rsid w:val="04AF1889"/>
    <w:rsid w:val="04F66F48"/>
    <w:rsid w:val="050909BB"/>
    <w:rsid w:val="0522318E"/>
    <w:rsid w:val="05251E14"/>
    <w:rsid w:val="052845F3"/>
    <w:rsid w:val="05560C2A"/>
    <w:rsid w:val="0559183C"/>
    <w:rsid w:val="055D2919"/>
    <w:rsid w:val="05A16594"/>
    <w:rsid w:val="05A7762D"/>
    <w:rsid w:val="05D05C61"/>
    <w:rsid w:val="060E5941"/>
    <w:rsid w:val="06110FAF"/>
    <w:rsid w:val="06493CA7"/>
    <w:rsid w:val="065A6178"/>
    <w:rsid w:val="06623713"/>
    <w:rsid w:val="066F1CF3"/>
    <w:rsid w:val="06930BB8"/>
    <w:rsid w:val="069F3F4E"/>
    <w:rsid w:val="069F594B"/>
    <w:rsid w:val="06B75E22"/>
    <w:rsid w:val="06C748BA"/>
    <w:rsid w:val="06D23550"/>
    <w:rsid w:val="06D620B4"/>
    <w:rsid w:val="07245D42"/>
    <w:rsid w:val="07264C62"/>
    <w:rsid w:val="0730481D"/>
    <w:rsid w:val="0779354C"/>
    <w:rsid w:val="077A1300"/>
    <w:rsid w:val="07B503AE"/>
    <w:rsid w:val="07FE23B9"/>
    <w:rsid w:val="08061376"/>
    <w:rsid w:val="08163393"/>
    <w:rsid w:val="08452D77"/>
    <w:rsid w:val="086401F8"/>
    <w:rsid w:val="08751CAA"/>
    <w:rsid w:val="087E4C40"/>
    <w:rsid w:val="089A6C96"/>
    <w:rsid w:val="08D66AD6"/>
    <w:rsid w:val="08DA33A3"/>
    <w:rsid w:val="08E80F13"/>
    <w:rsid w:val="08FF26FB"/>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0E0E57"/>
    <w:rsid w:val="0A1C0718"/>
    <w:rsid w:val="0A3E7710"/>
    <w:rsid w:val="0A5B7E63"/>
    <w:rsid w:val="0A627D5C"/>
    <w:rsid w:val="0A67494D"/>
    <w:rsid w:val="0A695A93"/>
    <w:rsid w:val="0A99714B"/>
    <w:rsid w:val="0AA374A5"/>
    <w:rsid w:val="0AAB7649"/>
    <w:rsid w:val="0AB9580F"/>
    <w:rsid w:val="0ABC5606"/>
    <w:rsid w:val="0AC20964"/>
    <w:rsid w:val="0B30404E"/>
    <w:rsid w:val="0B4C6C14"/>
    <w:rsid w:val="0B5E5DFE"/>
    <w:rsid w:val="0B631A88"/>
    <w:rsid w:val="0B683D45"/>
    <w:rsid w:val="0B7F3F11"/>
    <w:rsid w:val="0B884417"/>
    <w:rsid w:val="0BB40AED"/>
    <w:rsid w:val="0BCE0FAA"/>
    <w:rsid w:val="0BD15D72"/>
    <w:rsid w:val="0BF6188C"/>
    <w:rsid w:val="0BF73C91"/>
    <w:rsid w:val="0C0A482C"/>
    <w:rsid w:val="0C170175"/>
    <w:rsid w:val="0C571A41"/>
    <w:rsid w:val="0C5C1171"/>
    <w:rsid w:val="0C5E1CBC"/>
    <w:rsid w:val="0C615B50"/>
    <w:rsid w:val="0C812B51"/>
    <w:rsid w:val="0C8445DA"/>
    <w:rsid w:val="0C87121B"/>
    <w:rsid w:val="0CB007AA"/>
    <w:rsid w:val="0CC007F7"/>
    <w:rsid w:val="0CCE74AD"/>
    <w:rsid w:val="0CD53211"/>
    <w:rsid w:val="0CFE707A"/>
    <w:rsid w:val="0D063BDA"/>
    <w:rsid w:val="0D08375F"/>
    <w:rsid w:val="0D184CFB"/>
    <w:rsid w:val="0D4A7419"/>
    <w:rsid w:val="0D7875D9"/>
    <w:rsid w:val="0D827401"/>
    <w:rsid w:val="0D84094E"/>
    <w:rsid w:val="0D8A00E9"/>
    <w:rsid w:val="0D8D589E"/>
    <w:rsid w:val="0D984282"/>
    <w:rsid w:val="0DA01C73"/>
    <w:rsid w:val="0DD63300"/>
    <w:rsid w:val="0DF50604"/>
    <w:rsid w:val="0DF702FE"/>
    <w:rsid w:val="0E060E51"/>
    <w:rsid w:val="0E0E274D"/>
    <w:rsid w:val="0E410F89"/>
    <w:rsid w:val="0E5604B2"/>
    <w:rsid w:val="0E5C7DF2"/>
    <w:rsid w:val="0E643A94"/>
    <w:rsid w:val="0E6D5D79"/>
    <w:rsid w:val="0E9D0089"/>
    <w:rsid w:val="0EB803EE"/>
    <w:rsid w:val="0ECE7001"/>
    <w:rsid w:val="0EF94D4B"/>
    <w:rsid w:val="0F12144F"/>
    <w:rsid w:val="0F2928DC"/>
    <w:rsid w:val="0F4958DC"/>
    <w:rsid w:val="0F4E001C"/>
    <w:rsid w:val="0F515DF7"/>
    <w:rsid w:val="0F56503F"/>
    <w:rsid w:val="0F596BA8"/>
    <w:rsid w:val="0F6248D2"/>
    <w:rsid w:val="0F6600DC"/>
    <w:rsid w:val="0F693536"/>
    <w:rsid w:val="0F7B0511"/>
    <w:rsid w:val="0F7B76D9"/>
    <w:rsid w:val="0F816ACD"/>
    <w:rsid w:val="0F9832DB"/>
    <w:rsid w:val="0FBF3FD2"/>
    <w:rsid w:val="0FBF7FF3"/>
    <w:rsid w:val="10150A56"/>
    <w:rsid w:val="102313C5"/>
    <w:rsid w:val="10567CA1"/>
    <w:rsid w:val="10646583"/>
    <w:rsid w:val="10770C3A"/>
    <w:rsid w:val="107D4B15"/>
    <w:rsid w:val="108A3C80"/>
    <w:rsid w:val="1097590F"/>
    <w:rsid w:val="10A17219"/>
    <w:rsid w:val="10A673BF"/>
    <w:rsid w:val="10AF7152"/>
    <w:rsid w:val="10C26171"/>
    <w:rsid w:val="10E16B8A"/>
    <w:rsid w:val="10F33360"/>
    <w:rsid w:val="10FC16EA"/>
    <w:rsid w:val="110F1D40"/>
    <w:rsid w:val="11266F33"/>
    <w:rsid w:val="115E6AF7"/>
    <w:rsid w:val="116374F7"/>
    <w:rsid w:val="118963A1"/>
    <w:rsid w:val="11916802"/>
    <w:rsid w:val="11C6522A"/>
    <w:rsid w:val="11CC0423"/>
    <w:rsid w:val="11DB01A5"/>
    <w:rsid w:val="11E104CC"/>
    <w:rsid w:val="11E20309"/>
    <w:rsid w:val="11E44981"/>
    <w:rsid w:val="12255233"/>
    <w:rsid w:val="12530213"/>
    <w:rsid w:val="12594386"/>
    <w:rsid w:val="126A32DB"/>
    <w:rsid w:val="127723A9"/>
    <w:rsid w:val="1277795B"/>
    <w:rsid w:val="12862074"/>
    <w:rsid w:val="1288040F"/>
    <w:rsid w:val="12883966"/>
    <w:rsid w:val="129E45B4"/>
    <w:rsid w:val="12A871B9"/>
    <w:rsid w:val="12A96255"/>
    <w:rsid w:val="12C25741"/>
    <w:rsid w:val="12D22C2E"/>
    <w:rsid w:val="12D81596"/>
    <w:rsid w:val="12EF75D8"/>
    <w:rsid w:val="12FB0490"/>
    <w:rsid w:val="13072A44"/>
    <w:rsid w:val="133B576B"/>
    <w:rsid w:val="135F4BE2"/>
    <w:rsid w:val="138438B5"/>
    <w:rsid w:val="139B107F"/>
    <w:rsid w:val="139B1A0A"/>
    <w:rsid w:val="139D25C7"/>
    <w:rsid w:val="13BF3CE4"/>
    <w:rsid w:val="1403455A"/>
    <w:rsid w:val="141008D8"/>
    <w:rsid w:val="14125FE6"/>
    <w:rsid w:val="144E2788"/>
    <w:rsid w:val="146D271E"/>
    <w:rsid w:val="147B1ABD"/>
    <w:rsid w:val="14931BE5"/>
    <w:rsid w:val="14982588"/>
    <w:rsid w:val="149A5AD9"/>
    <w:rsid w:val="14A7619D"/>
    <w:rsid w:val="14AA11A2"/>
    <w:rsid w:val="14BD159F"/>
    <w:rsid w:val="15026880"/>
    <w:rsid w:val="150536C3"/>
    <w:rsid w:val="150C1963"/>
    <w:rsid w:val="151447A0"/>
    <w:rsid w:val="154A6454"/>
    <w:rsid w:val="15611DD0"/>
    <w:rsid w:val="156F6E5A"/>
    <w:rsid w:val="15762120"/>
    <w:rsid w:val="1592490D"/>
    <w:rsid w:val="15C50FB0"/>
    <w:rsid w:val="15EF4C28"/>
    <w:rsid w:val="16106893"/>
    <w:rsid w:val="16331AEA"/>
    <w:rsid w:val="163B6E92"/>
    <w:rsid w:val="16504E7A"/>
    <w:rsid w:val="1667132F"/>
    <w:rsid w:val="167B4954"/>
    <w:rsid w:val="16822B68"/>
    <w:rsid w:val="16A8729C"/>
    <w:rsid w:val="16B33193"/>
    <w:rsid w:val="16B33777"/>
    <w:rsid w:val="16B8356E"/>
    <w:rsid w:val="16BC70A7"/>
    <w:rsid w:val="16C6339E"/>
    <w:rsid w:val="17125209"/>
    <w:rsid w:val="172C16AC"/>
    <w:rsid w:val="172F2D79"/>
    <w:rsid w:val="17557BEF"/>
    <w:rsid w:val="179C00EE"/>
    <w:rsid w:val="17D349C1"/>
    <w:rsid w:val="17EA5838"/>
    <w:rsid w:val="1830729E"/>
    <w:rsid w:val="1870062C"/>
    <w:rsid w:val="18817102"/>
    <w:rsid w:val="18830A15"/>
    <w:rsid w:val="18852B28"/>
    <w:rsid w:val="188B5321"/>
    <w:rsid w:val="18A31462"/>
    <w:rsid w:val="18D55226"/>
    <w:rsid w:val="19006747"/>
    <w:rsid w:val="193261D5"/>
    <w:rsid w:val="19786FBD"/>
    <w:rsid w:val="19932372"/>
    <w:rsid w:val="19994DF7"/>
    <w:rsid w:val="19A20DD5"/>
    <w:rsid w:val="19AE03F1"/>
    <w:rsid w:val="19B33B02"/>
    <w:rsid w:val="19B962C2"/>
    <w:rsid w:val="19C710EC"/>
    <w:rsid w:val="19C80964"/>
    <w:rsid w:val="19CA4296"/>
    <w:rsid w:val="19D62168"/>
    <w:rsid w:val="19DA04BD"/>
    <w:rsid w:val="19EB547F"/>
    <w:rsid w:val="1A071A03"/>
    <w:rsid w:val="1A0B04A0"/>
    <w:rsid w:val="1A1F16AE"/>
    <w:rsid w:val="1A3B5C77"/>
    <w:rsid w:val="1A4735B7"/>
    <w:rsid w:val="1A984BAD"/>
    <w:rsid w:val="1AB8220E"/>
    <w:rsid w:val="1ADE66E9"/>
    <w:rsid w:val="1AE4166C"/>
    <w:rsid w:val="1AE85900"/>
    <w:rsid w:val="1AE86A6B"/>
    <w:rsid w:val="1AF06CFB"/>
    <w:rsid w:val="1AF11B8D"/>
    <w:rsid w:val="1B11359C"/>
    <w:rsid w:val="1B23297F"/>
    <w:rsid w:val="1B2A271F"/>
    <w:rsid w:val="1B375D9A"/>
    <w:rsid w:val="1B530544"/>
    <w:rsid w:val="1B5643DD"/>
    <w:rsid w:val="1B604104"/>
    <w:rsid w:val="1B713184"/>
    <w:rsid w:val="1BA209CF"/>
    <w:rsid w:val="1BB4777D"/>
    <w:rsid w:val="1BD75AB8"/>
    <w:rsid w:val="1C0459C2"/>
    <w:rsid w:val="1C0B5645"/>
    <w:rsid w:val="1C1B3B4A"/>
    <w:rsid w:val="1C831A57"/>
    <w:rsid w:val="1C88086E"/>
    <w:rsid w:val="1C8C6AE3"/>
    <w:rsid w:val="1CB71C44"/>
    <w:rsid w:val="1CD86393"/>
    <w:rsid w:val="1D266CE1"/>
    <w:rsid w:val="1D315072"/>
    <w:rsid w:val="1D3963AF"/>
    <w:rsid w:val="1D602818"/>
    <w:rsid w:val="1D632D08"/>
    <w:rsid w:val="1D660E3D"/>
    <w:rsid w:val="1D6A673C"/>
    <w:rsid w:val="1D9247AE"/>
    <w:rsid w:val="1DB567EC"/>
    <w:rsid w:val="1DCA7323"/>
    <w:rsid w:val="1DD003DE"/>
    <w:rsid w:val="1DF51A98"/>
    <w:rsid w:val="1E3D060F"/>
    <w:rsid w:val="1E3F7D2E"/>
    <w:rsid w:val="1E4134E4"/>
    <w:rsid w:val="1E5062B3"/>
    <w:rsid w:val="1E523514"/>
    <w:rsid w:val="1E714A66"/>
    <w:rsid w:val="1E802593"/>
    <w:rsid w:val="1EA703CC"/>
    <w:rsid w:val="1EAF519E"/>
    <w:rsid w:val="1EB202A6"/>
    <w:rsid w:val="1EB7330C"/>
    <w:rsid w:val="1EFD29D6"/>
    <w:rsid w:val="1F0A0FF3"/>
    <w:rsid w:val="1F2B5C6B"/>
    <w:rsid w:val="1F5771FF"/>
    <w:rsid w:val="1F6952A2"/>
    <w:rsid w:val="1F772AAB"/>
    <w:rsid w:val="1F986864"/>
    <w:rsid w:val="1FAC3198"/>
    <w:rsid w:val="1FAC5F93"/>
    <w:rsid w:val="1FAF184C"/>
    <w:rsid w:val="1FB160A1"/>
    <w:rsid w:val="1FC94A03"/>
    <w:rsid w:val="1FE868A9"/>
    <w:rsid w:val="20034907"/>
    <w:rsid w:val="20173E4B"/>
    <w:rsid w:val="204E48BC"/>
    <w:rsid w:val="207C5953"/>
    <w:rsid w:val="2089011D"/>
    <w:rsid w:val="208921B3"/>
    <w:rsid w:val="20973DEB"/>
    <w:rsid w:val="209844B3"/>
    <w:rsid w:val="20A16773"/>
    <w:rsid w:val="20B26522"/>
    <w:rsid w:val="20B44310"/>
    <w:rsid w:val="20DB741A"/>
    <w:rsid w:val="210229B5"/>
    <w:rsid w:val="21030097"/>
    <w:rsid w:val="210D7DE1"/>
    <w:rsid w:val="211116EB"/>
    <w:rsid w:val="211C715B"/>
    <w:rsid w:val="215356BC"/>
    <w:rsid w:val="216133FC"/>
    <w:rsid w:val="21746EB6"/>
    <w:rsid w:val="21771570"/>
    <w:rsid w:val="21A5330F"/>
    <w:rsid w:val="21B87027"/>
    <w:rsid w:val="21D56769"/>
    <w:rsid w:val="21E52EF3"/>
    <w:rsid w:val="21E855F1"/>
    <w:rsid w:val="21FB5D7B"/>
    <w:rsid w:val="220601CB"/>
    <w:rsid w:val="220B1C3D"/>
    <w:rsid w:val="221D1D20"/>
    <w:rsid w:val="2229539C"/>
    <w:rsid w:val="22334A87"/>
    <w:rsid w:val="224A1D93"/>
    <w:rsid w:val="22565A1B"/>
    <w:rsid w:val="2264117E"/>
    <w:rsid w:val="229A5E96"/>
    <w:rsid w:val="22BE6801"/>
    <w:rsid w:val="22C502F1"/>
    <w:rsid w:val="22D503AD"/>
    <w:rsid w:val="22E1605C"/>
    <w:rsid w:val="22E51E1F"/>
    <w:rsid w:val="22F35F94"/>
    <w:rsid w:val="233500BF"/>
    <w:rsid w:val="23377FF7"/>
    <w:rsid w:val="23467C9D"/>
    <w:rsid w:val="235B7AB5"/>
    <w:rsid w:val="236B425F"/>
    <w:rsid w:val="23836192"/>
    <w:rsid w:val="23901F29"/>
    <w:rsid w:val="239C0061"/>
    <w:rsid w:val="23B908A4"/>
    <w:rsid w:val="23BA47E3"/>
    <w:rsid w:val="23D909ED"/>
    <w:rsid w:val="23E115E8"/>
    <w:rsid w:val="23E95BEF"/>
    <w:rsid w:val="23FD0064"/>
    <w:rsid w:val="23FD24E3"/>
    <w:rsid w:val="23FD7F20"/>
    <w:rsid w:val="240E37A9"/>
    <w:rsid w:val="245375B0"/>
    <w:rsid w:val="24642C0A"/>
    <w:rsid w:val="246F32AE"/>
    <w:rsid w:val="24B22173"/>
    <w:rsid w:val="24B95AD9"/>
    <w:rsid w:val="24BE24DA"/>
    <w:rsid w:val="24CF5825"/>
    <w:rsid w:val="24D663E6"/>
    <w:rsid w:val="24D77F2B"/>
    <w:rsid w:val="24DB1E16"/>
    <w:rsid w:val="25415818"/>
    <w:rsid w:val="258B00E2"/>
    <w:rsid w:val="259A0F29"/>
    <w:rsid w:val="25A917A6"/>
    <w:rsid w:val="25BE27CC"/>
    <w:rsid w:val="25C920A9"/>
    <w:rsid w:val="25F435D2"/>
    <w:rsid w:val="25F74A5C"/>
    <w:rsid w:val="2609679C"/>
    <w:rsid w:val="261C7718"/>
    <w:rsid w:val="26213859"/>
    <w:rsid w:val="2628662C"/>
    <w:rsid w:val="262D45DE"/>
    <w:rsid w:val="263B60F2"/>
    <w:rsid w:val="26421B0D"/>
    <w:rsid w:val="264749C3"/>
    <w:rsid w:val="264F7292"/>
    <w:rsid w:val="26747CA0"/>
    <w:rsid w:val="26871DAD"/>
    <w:rsid w:val="26A24C38"/>
    <w:rsid w:val="26A34AE3"/>
    <w:rsid w:val="26A53EF9"/>
    <w:rsid w:val="26A94201"/>
    <w:rsid w:val="26AC274F"/>
    <w:rsid w:val="26B67F49"/>
    <w:rsid w:val="26F929A0"/>
    <w:rsid w:val="27044A29"/>
    <w:rsid w:val="27070A20"/>
    <w:rsid w:val="271816CB"/>
    <w:rsid w:val="271D34C8"/>
    <w:rsid w:val="272116A0"/>
    <w:rsid w:val="27466D3F"/>
    <w:rsid w:val="27476D19"/>
    <w:rsid w:val="276142BF"/>
    <w:rsid w:val="27783712"/>
    <w:rsid w:val="27907362"/>
    <w:rsid w:val="27BF157B"/>
    <w:rsid w:val="27C44DE4"/>
    <w:rsid w:val="28333E1D"/>
    <w:rsid w:val="28454BD6"/>
    <w:rsid w:val="28455253"/>
    <w:rsid w:val="28551971"/>
    <w:rsid w:val="285B1C53"/>
    <w:rsid w:val="28651626"/>
    <w:rsid w:val="289F7086"/>
    <w:rsid w:val="28A31469"/>
    <w:rsid w:val="28B523C7"/>
    <w:rsid w:val="28C32028"/>
    <w:rsid w:val="28CC490F"/>
    <w:rsid w:val="28DE40AA"/>
    <w:rsid w:val="28F45EEB"/>
    <w:rsid w:val="29345E77"/>
    <w:rsid w:val="294C65AD"/>
    <w:rsid w:val="294F28E5"/>
    <w:rsid w:val="2956295F"/>
    <w:rsid w:val="29631B1C"/>
    <w:rsid w:val="29806583"/>
    <w:rsid w:val="298505A2"/>
    <w:rsid w:val="298B3C4C"/>
    <w:rsid w:val="29AB289B"/>
    <w:rsid w:val="29D67219"/>
    <w:rsid w:val="29F26D24"/>
    <w:rsid w:val="2A15033F"/>
    <w:rsid w:val="2A1662C1"/>
    <w:rsid w:val="2A1C7367"/>
    <w:rsid w:val="2A2815FA"/>
    <w:rsid w:val="2A4911DF"/>
    <w:rsid w:val="2A5610E8"/>
    <w:rsid w:val="2A656C56"/>
    <w:rsid w:val="2A6D6092"/>
    <w:rsid w:val="2A7D76B4"/>
    <w:rsid w:val="2A9E191C"/>
    <w:rsid w:val="2ACB77CC"/>
    <w:rsid w:val="2AD43590"/>
    <w:rsid w:val="2AE92DF1"/>
    <w:rsid w:val="2B112E1F"/>
    <w:rsid w:val="2B261369"/>
    <w:rsid w:val="2B2A38B2"/>
    <w:rsid w:val="2B437463"/>
    <w:rsid w:val="2B7807EE"/>
    <w:rsid w:val="2BBF00EC"/>
    <w:rsid w:val="2BC04E47"/>
    <w:rsid w:val="2BC37CFD"/>
    <w:rsid w:val="2BD5237F"/>
    <w:rsid w:val="2BD61DD3"/>
    <w:rsid w:val="2BE31C98"/>
    <w:rsid w:val="2BE536CE"/>
    <w:rsid w:val="2BE758D9"/>
    <w:rsid w:val="2C09049E"/>
    <w:rsid w:val="2C0A653C"/>
    <w:rsid w:val="2C191F85"/>
    <w:rsid w:val="2C3058EF"/>
    <w:rsid w:val="2C687127"/>
    <w:rsid w:val="2C873291"/>
    <w:rsid w:val="2CB0513C"/>
    <w:rsid w:val="2CB17563"/>
    <w:rsid w:val="2CB34CDD"/>
    <w:rsid w:val="2CB66EF8"/>
    <w:rsid w:val="2CE82D6F"/>
    <w:rsid w:val="2D1F486A"/>
    <w:rsid w:val="2D2E14F5"/>
    <w:rsid w:val="2D343236"/>
    <w:rsid w:val="2D606C7D"/>
    <w:rsid w:val="2D97550D"/>
    <w:rsid w:val="2DD15014"/>
    <w:rsid w:val="2DE85F18"/>
    <w:rsid w:val="2DF72DE4"/>
    <w:rsid w:val="2E0220AF"/>
    <w:rsid w:val="2E372A37"/>
    <w:rsid w:val="2E4525DD"/>
    <w:rsid w:val="2E4B082A"/>
    <w:rsid w:val="2E5D4E86"/>
    <w:rsid w:val="2E5D790B"/>
    <w:rsid w:val="2E9A3C18"/>
    <w:rsid w:val="2EBB0FEE"/>
    <w:rsid w:val="2EC272E6"/>
    <w:rsid w:val="2EC63002"/>
    <w:rsid w:val="2ECD0C29"/>
    <w:rsid w:val="2EE03233"/>
    <w:rsid w:val="2F0A6B38"/>
    <w:rsid w:val="2F794269"/>
    <w:rsid w:val="2F946CCB"/>
    <w:rsid w:val="2FD25781"/>
    <w:rsid w:val="2FFD7934"/>
    <w:rsid w:val="2FFE2851"/>
    <w:rsid w:val="300967B6"/>
    <w:rsid w:val="303E6135"/>
    <w:rsid w:val="30695D8C"/>
    <w:rsid w:val="30733ACD"/>
    <w:rsid w:val="308C3862"/>
    <w:rsid w:val="309379D8"/>
    <w:rsid w:val="309612E7"/>
    <w:rsid w:val="30A270F7"/>
    <w:rsid w:val="30DF1478"/>
    <w:rsid w:val="30EB428D"/>
    <w:rsid w:val="30EC586F"/>
    <w:rsid w:val="31360D5D"/>
    <w:rsid w:val="3146752E"/>
    <w:rsid w:val="317362BD"/>
    <w:rsid w:val="319C6071"/>
    <w:rsid w:val="31AB5907"/>
    <w:rsid w:val="31AC3820"/>
    <w:rsid w:val="31AC537E"/>
    <w:rsid w:val="31C111F3"/>
    <w:rsid w:val="31E3679B"/>
    <w:rsid w:val="31E732FD"/>
    <w:rsid w:val="31FA3F13"/>
    <w:rsid w:val="323104BD"/>
    <w:rsid w:val="32517576"/>
    <w:rsid w:val="326C2300"/>
    <w:rsid w:val="328D434A"/>
    <w:rsid w:val="32BE5C2C"/>
    <w:rsid w:val="32FB6478"/>
    <w:rsid w:val="332054B8"/>
    <w:rsid w:val="33263B3F"/>
    <w:rsid w:val="335A2AA0"/>
    <w:rsid w:val="336963EB"/>
    <w:rsid w:val="33742EAC"/>
    <w:rsid w:val="33797DE0"/>
    <w:rsid w:val="33816EEB"/>
    <w:rsid w:val="339A5965"/>
    <w:rsid w:val="33AC51E6"/>
    <w:rsid w:val="33BE302F"/>
    <w:rsid w:val="33E06F7D"/>
    <w:rsid w:val="33EB55CD"/>
    <w:rsid w:val="33EC4C02"/>
    <w:rsid w:val="340D2360"/>
    <w:rsid w:val="3410665D"/>
    <w:rsid w:val="34211214"/>
    <w:rsid w:val="342E63AB"/>
    <w:rsid w:val="34401C96"/>
    <w:rsid w:val="344D14A1"/>
    <w:rsid w:val="34950E68"/>
    <w:rsid w:val="34986E94"/>
    <w:rsid w:val="34A727F1"/>
    <w:rsid w:val="34AF62C9"/>
    <w:rsid w:val="34C1304E"/>
    <w:rsid w:val="34CB4388"/>
    <w:rsid w:val="34E04C25"/>
    <w:rsid w:val="34EF3AF5"/>
    <w:rsid w:val="34FA6E12"/>
    <w:rsid w:val="35177D3B"/>
    <w:rsid w:val="358C308A"/>
    <w:rsid w:val="358D5588"/>
    <w:rsid w:val="359D48C8"/>
    <w:rsid w:val="35A82B78"/>
    <w:rsid w:val="35AA049C"/>
    <w:rsid w:val="35B11087"/>
    <w:rsid w:val="35B97034"/>
    <w:rsid w:val="35E34777"/>
    <w:rsid w:val="360A2C3B"/>
    <w:rsid w:val="363A3B40"/>
    <w:rsid w:val="365302AE"/>
    <w:rsid w:val="36607A0A"/>
    <w:rsid w:val="366E227C"/>
    <w:rsid w:val="366F2E0D"/>
    <w:rsid w:val="367A7102"/>
    <w:rsid w:val="367B6A5C"/>
    <w:rsid w:val="36814A92"/>
    <w:rsid w:val="36827AAB"/>
    <w:rsid w:val="36A74ADA"/>
    <w:rsid w:val="36AD60D5"/>
    <w:rsid w:val="36AE3E56"/>
    <w:rsid w:val="36B224F9"/>
    <w:rsid w:val="36DD3259"/>
    <w:rsid w:val="36EC0CC9"/>
    <w:rsid w:val="371E6696"/>
    <w:rsid w:val="373F410B"/>
    <w:rsid w:val="37B15B33"/>
    <w:rsid w:val="37BE68BC"/>
    <w:rsid w:val="37EE7094"/>
    <w:rsid w:val="38296B3F"/>
    <w:rsid w:val="38296C89"/>
    <w:rsid w:val="383002EB"/>
    <w:rsid w:val="38433B03"/>
    <w:rsid w:val="38463C1A"/>
    <w:rsid w:val="38586797"/>
    <w:rsid w:val="385C64C8"/>
    <w:rsid w:val="387951BA"/>
    <w:rsid w:val="388D701A"/>
    <w:rsid w:val="38966328"/>
    <w:rsid w:val="389F5630"/>
    <w:rsid w:val="38B87D9D"/>
    <w:rsid w:val="38BC0149"/>
    <w:rsid w:val="38D87D1C"/>
    <w:rsid w:val="38FA6453"/>
    <w:rsid w:val="394E6C03"/>
    <w:rsid w:val="39636459"/>
    <w:rsid w:val="396B7F6C"/>
    <w:rsid w:val="39B417A9"/>
    <w:rsid w:val="39C56945"/>
    <w:rsid w:val="39FC5695"/>
    <w:rsid w:val="3A006D8E"/>
    <w:rsid w:val="3A3651E5"/>
    <w:rsid w:val="3A3B691F"/>
    <w:rsid w:val="3A56271C"/>
    <w:rsid w:val="3A744481"/>
    <w:rsid w:val="3A8C7BEF"/>
    <w:rsid w:val="3A906246"/>
    <w:rsid w:val="3ACB3A3F"/>
    <w:rsid w:val="3B00217F"/>
    <w:rsid w:val="3B046D3A"/>
    <w:rsid w:val="3B2349B7"/>
    <w:rsid w:val="3B616CFF"/>
    <w:rsid w:val="3B6259F6"/>
    <w:rsid w:val="3B6B6A15"/>
    <w:rsid w:val="3B720250"/>
    <w:rsid w:val="3B870D7E"/>
    <w:rsid w:val="3B8F24B5"/>
    <w:rsid w:val="3B976654"/>
    <w:rsid w:val="3BA90120"/>
    <w:rsid w:val="3BC01EFC"/>
    <w:rsid w:val="3BCA786A"/>
    <w:rsid w:val="3BD31E2F"/>
    <w:rsid w:val="3BEC0AE7"/>
    <w:rsid w:val="3BF15831"/>
    <w:rsid w:val="3C014684"/>
    <w:rsid w:val="3C105946"/>
    <w:rsid w:val="3C297A7F"/>
    <w:rsid w:val="3C332295"/>
    <w:rsid w:val="3C34279E"/>
    <w:rsid w:val="3C471448"/>
    <w:rsid w:val="3C53303F"/>
    <w:rsid w:val="3C5850B9"/>
    <w:rsid w:val="3C5F759A"/>
    <w:rsid w:val="3C6C525A"/>
    <w:rsid w:val="3C7637CB"/>
    <w:rsid w:val="3C8F3836"/>
    <w:rsid w:val="3CA76B12"/>
    <w:rsid w:val="3CA86DA1"/>
    <w:rsid w:val="3CB678A5"/>
    <w:rsid w:val="3CCE23CB"/>
    <w:rsid w:val="3CD17D17"/>
    <w:rsid w:val="3D001AC2"/>
    <w:rsid w:val="3D0512A8"/>
    <w:rsid w:val="3D0C4D62"/>
    <w:rsid w:val="3D330CF2"/>
    <w:rsid w:val="3D3C4F21"/>
    <w:rsid w:val="3D3C7F39"/>
    <w:rsid w:val="3D440F09"/>
    <w:rsid w:val="3D4504A0"/>
    <w:rsid w:val="3D8734BB"/>
    <w:rsid w:val="3D8B1381"/>
    <w:rsid w:val="3D9573AF"/>
    <w:rsid w:val="3D9A11D4"/>
    <w:rsid w:val="3DA16D89"/>
    <w:rsid w:val="3DA364BE"/>
    <w:rsid w:val="3DA57D9A"/>
    <w:rsid w:val="3DB42C81"/>
    <w:rsid w:val="3DCE23CC"/>
    <w:rsid w:val="3DE041CB"/>
    <w:rsid w:val="3E0D48F6"/>
    <w:rsid w:val="3E1868B4"/>
    <w:rsid w:val="3E306F1E"/>
    <w:rsid w:val="3E377251"/>
    <w:rsid w:val="3E42664B"/>
    <w:rsid w:val="3E491747"/>
    <w:rsid w:val="3E5A7334"/>
    <w:rsid w:val="3E6124CE"/>
    <w:rsid w:val="3E7B5D6B"/>
    <w:rsid w:val="3E843E66"/>
    <w:rsid w:val="3E8F51FE"/>
    <w:rsid w:val="3E926F87"/>
    <w:rsid w:val="3E9A59DE"/>
    <w:rsid w:val="3EAF4836"/>
    <w:rsid w:val="3EC33DFA"/>
    <w:rsid w:val="3EC67C9B"/>
    <w:rsid w:val="3ED74DCE"/>
    <w:rsid w:val="3EE63F33"/>
    <w:rsid w:val="3F060E16"/>
    <w:rsid w:val="3F173D45"/>
    <w:rsid w:val="3F1D1096"/>
    <w:rsid w:val="3F2E1E16"/>
    <w:rsid w:val="3F2F0234"/>
    <w:rsid w:val="3F4B3A35"/>
    <w:rsid w:val="3F6363FE"/>
    <w:rsid w:val="3F6A5E19"/>
    <w:rsid w:val="3F756B8F"/>
    <w:rsid w:val="3F95482B"/>
    <w:rsid w:val="3FA5340F"/>
    <w:rsid w:val="3FD85478"/>
    <w:rsid w:val="3FFB7F60"/>
    <w:rsid w:val="3FFD7116"/>
    <w:rsid w:val="401029F0"/>
    <w:rsid w:val="4012098A"/>
    <w:rsid w:val="4019356B"/>
    <w:rsid w:val="40592157"/>
    <w:rsid w:val="406D3E12"/>
    <w:rsid w:val="406E1CAE"/>
    <w:rsid w:val="40A0133A"/>
    <w:rsid w:val="40AE484E"/>
    <w:rsid w:val="40C31A53"/>
    <w:rsid w:val="40E750BB"/>
    <w:rsid w:val="40E83499"/>
    <w:rsid w:val="40EC249B"/>
    <w:rsid w:val="40FF545D"/>
    <w:rsid w:val="410067C8"/>
    <w:rsid w:val="4137139D"/>
    <w:rsid w:val="414E562C"/>
    <w:rsid w:val="418748FA"/>
    <w:rsid w:val="418F0D2A"/>
    <w:rsid w:val="41B810BD"/>
    <w:rsid w:val="41C007E7"/>
    <w:rsid w:val="41D01505"/>
    <w:rsid w:val="41E262A1"/>
    <w:rsid w:val="42095F6E"/>
    <w:rsid w:val="424172D1"/>
    <w:rsid w:val="42474939"/>
    <w:rsid w:val="424C3C57"/>
    <w:rsid w:val="42613FF3"/>
    <w:rsid w:val="42660D96"/>
    <w:rsid w:val="428667D2"/>
    <w:rsid w:val="42891389"/>
    <w:rsid w:val="428C1C2A"/>
    <w:rsid w:val="42920521"/>
    <w:rsid w:val="42975168"/>
    <w:rsid w:val="42A12863"/>
    <w:rsid w:val="42CD1CE0"/>
    <w:rsid w:val="42E1381E"/>
    <w:rsid w:val="42ED6459"/>
    <w:rsid w:val="42FE58DD"/>
    <w:rsid w:val="43174B3D"/>
    <w:rsid w:val="43255987"/>
    <w:rsid w:val="434B790E"/>
    <w:rsid w:val="4360274F"/>
    <w:rsid w:val="43977AB6"/>
    <w:rsid w:val="43A3342B"/>
    <w:rsid w:val="43AE3A19"/>
    <w:rsid w:val="43C77C27"/>
    <w:rsid w:val="43DE09EE"/>
    <w:rsid w:val="44002FAD"/>
    <w:rsid w:val="442C2FF0"/>
    <w:rsid w:val="44781916"/>
    <w:rsid w:val="449101DD"/>
    <w:rsid w:val="44B800F6"/>
    <w:rsid w:val="44BC5DFB"/>
    <w:rsid w:val="44DB5F60"/>
    <w:rsid w:val="44DE1391"/>
    <w:rsid w:val="451B225C"/>
    <w:rsid w:val="452410C9"/>
    <w:rsid w:val="45301009"/>
    <w:rsid w:val="45317DFB"/>
    <w:rsid w:val="45436274"/>
    <w:rsid w:val="456D3CE4"/>
    <w:rsid w:val="4579042C"/>
    <w:rsid w:val="457F0571"/>
    <w:rsid w:val="45851176"/>
    <w:rsid w:val="45C63B94"/>
    <w:rsid w:val="45D249E5"/>
    <w:rsid w:val="45F538A0"/>
    <w:rsid w:val="460E4BB0"/>
    <w:rsid w:val="460E7DA5"/>
    <w:rsid w:val="463257DE"/>
    <w:rsid w:val="46422483"/>
    <w:rsid w:val="464500CB"/>
    <w:rsid w:val="4659254A"/>
    <w:rsid w:val="465B0637"/>
    <w:rsid w:val="465E3F0D"/>
    <w:rsid w:val="466A16E6"/>
    <w:rsid w:val="46893F2B"/>
    <w:rsid w:val="46BA4EE4"/>
    <w:rsid w:val="46C4686E"/>
    <w:rsid w:val="46E35962"/>
    <w:rsid w:val="46E75F49"/>
    <w:rsid w:val="46EB42AF"/>
    <w:rsid w:val="46F21269"/>
    <w:rsid w:val="473723B0"/>
    <w:rsid w:val="477B778F"/>
    <w:rsid w:val="478203EC"/>
    <w:rsid w:val="47B025FA"/>
    <w:rsid w:val="47C73432"/>
    <w:rsid w:val="47D96F7B"/>
    <w:rsid w:val="4809698F"/>
    <w:rsid w:val="4811697D"/>
    <w:rsid w:val="485244BE"/>
    <w:rsid w:val="48733940"/>
    <w:rsid w:val="487A3E25"/>
    <w:rsid w:val="488B5503"/>
    <w:rsid w:val="48937E21"/>
    <w:rsid w:val="489A0361"/>
    <w:rsid w:val="48B94FF3"/>
    <w:rsid w:val="48E37AAB"/>
    <w:rsid w:val="48EF719C"/>
    <w:rsid w:val="48FD4B4C"/>
    <w:rsid w:val="490375D9"/>
    <w:rsid w:val="490A68E0"/>
    <w:rsid w:val="491055FE"/>
    <w:rsid w:val="495F5B3E"/>
    <w:rsid w:val="496F77D7"/>
    <w:rsid w:val="497654FD"/>
    <w:rsid w:val="4989449C"/>
    <w:rsid w:val="499C4B8B"/>
    <w:rsid w:val="49B64211"/>
    <w:rsid w:val="49F6167F"/>
    <w:rsid w:val="4A064FA0"/>
    <w:rsid w:val="4A0B79B4"/>
    <w:rsid w:val="4A16615C"/>
    <w:rsid w:val="4A3F0A96"/>
    <w:rsid w:val="4A4424D7"/>
    <w:rsid w:val="4A571ACA"/>
    <w:rsid w:val="4A88443C"/>
    <w:rsid w:val="4AAA236F"/>
    <w:rsid w:val="4AB033A5"/>
    <w:rsid w:val="4AB77EE6"/>
    <w:rsid w:val="4AB82D0F"/>
    <w:rsid w:val="4AEB7664"/>
    <w:rsid w:val="4AFD7C19"/>
    <w:rsid w:val="4B0567D1"/>
    <w:rsid w:val="4B236AAE"/>
    <w:rsid w:val="4B4136B7"/>
    <w:rsid w:val="4B456459"/>
    <w:rsid w:val="4B5C6BE0"/>
    <w:rsid w:val="4B707271"/>
    <w:rsid w:val="4B721531"/>
    <w:rsid w:val="4B9739F7"/>
    <w:rsid w:val="4BEE2503"/>
    <w:rsid w:val="4C143962"/>
    <w:rsid w:val="4C245A30"/>
    <w:rsid w:val="4C4E180D"/>
    <w:rsid w:val="4C5155B1"/>
    <w:rsid w:val="4C964049"/>
    <w:rsid w:val="4CB6685F"/>
    <w:rsid w:val="4CC367FE"/>
    <w:rsid w:val="4D077F3C"/>
    <w:rsid w:val="4D123355"/>
    <w:rsid w:val="4D2A3B31"/>
    <w:rsid w:val="4D312C52"/>
    <w:rsid w:val="4D363554"/>
    <w:rsid w:val="4D4364EE"/>
    <w:rsid w:val="4D8E14E7"/>
    <w:rsid w:val="4D8F41D8"/>
    <w:rsid w:val="4D905305"/>
    <w:rsid w:val="4D964A72"/>
    <w:rsid w:val="4D9728A8"/>
    <w:rsid w:val="4D9C1254"/>
    <w:rsid w:val="4DAE1E06"/>
    <w:rsid w:val="4DE54634"/>
    <w:rsid w:val="4DF23BA9"/>
    <w:rsid w:val="4DF706F9"/>
    <w:rsid w:val="4E6C5709"/>
    <w:rsid w:val="4E72304A"/>
    <w:rsid w:val="4E793892"/>
    <w:rsid w:val="4E800872"/>
    <w:rsid w:val="4E94015D"/>
    <w:rsid w:val="4EB370CB"/>
    <w:rsid w:val="4EC569ED"/>
    <w:rsid w:val="4ED50EA1"/>
    <w:rsid w:val="4EDFDB55"/>
    <w:rsid w:val="4EEC050C"/>
    <w:rsid w:val="4F104EC3"/>
    <w:rsid w:val="4F376B26"/>
    <w:rsid w:val="4F47354A"/>
    <w:rsid w:val="4F8B7ADC"/>
    <w:rsid w:val="4F911C54"/>
    <w:rsid w:val="4F917FAC"/>
    <w:rsid w:val="4FB11948"/>
    <w:rsid w:val="4FE625E0"/>
    <w:rsid w:val="50011D94"/>
    <w:rsid w:val="50037267"/>
    <w:rsid w:val="501B67F5"/>
    <w:rsid w:val="5021480F"/>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4C3299"/>
    <w:rsid w:val="518832C8"/>
    <w:rsid w:val="518E2D23"/>
    <w:rsid w:val="519D31E6"/>
    <w:rsid w:val="51A0432A"/>
    <w:rsid w:val="51A86090"/>
    <w:rsid w:val="51B7396D"/>
    <w:rsid w:val="51B7477A"/>
    <w:rsid w:val="52170CBE"/>
    <w:rsid w:val="5220355B"/>
    <w:rsid w:val="522E4CC3"/>
    <w:rsid w:val="5244713B"/>
    <w:rsid w:val="52615633"/>
    <w:rsid w:val="52977FD4"/>
    <w:rsid w:val="52A25790"/>
    <w:rsid w:val="52A96B6F"/>
    <w:rsid w:val="52B45975"/>
    <w:rsid w:val="52D94AA4"/>
    <w:rsid w:val="52E10F88"/>
    <w:rsid w:val="52EA3A62"/>
    <w:rsid w:val="52F50BB8"/>
    <w:rsid w:val="52FA12FF"/>
    <w:rsid w:val="53097272"/>
    <w:rsid w:val="533C1349"/>
    <w:rsid w:val="53544462"/>
    <w:rsid w:val="537D468A"/>
    <w:rsid w:val="539262C5"/>
    <w:rsid w:val="5397158E"/>
    <w:rsid w:val="53A416DB"/>
    <w:rsid w:val="54013861"/>
    <w:rsid w:val="54487265"/>
    <w:rsid w:val="544D6070"/>
    <w:rsid w:val="54605E1E"/>
    <w:rsid w:val="5473672B"/>
    <w:rsid w:val="54B3506A"/>
    <w:rsid w:val="54CA0D16"/>
    <w:rsid w:val="54D45DB6"/>
    <w:rsid w:val="54DD4057"/>
    <w:rsid w:val="54E7490F"/>
    <w:rsid w:val="550377CD"/>
    <w:rsid w:val="550764A4"/>
    <w:rsid w:val="550B2BF6"/>
    <w:rsid w:val="550F3998"/>
    <w:rsid w:val="55214EB5"/>
    <w:rsid w:val="55354CFB"/>
    <w:rsid w:val="55364EFD"/>
    <w:rsid w:val="555D4828"/>
    <w:rsid w:val="5562483A"/>
    <w:rsid w:val="55653950"/>
    <w:rsid w:val="557645ED"/>
    <w:rsid w:val="557A4C8B"/>
    <w:rsid w:val="558931E1"/>
    <w:rsid w:val="55923347"/>
    <w:rsid w:val="55925180"/>
    <w:rsid w:val="55983B1B"/>
    <w:rsid w:val="55A014EF"/>
    <w:rsid w:val="55A8376B"/>
    <w:rsid w:val="55DC29B6"/>
    <w:rsid w:val="55DD4241"/>
    <w:rsid w:val="5618423F"/>
    <w:rsid w:val="566B6D1E"/>
    <w:rsid w:val="56796849"/>
    <w:rsid w:val="567D7CFD"/>
    <w:rsid w:val="56861D6A"/>
    <w:rsid w:val="56A60C14"/>
    <w:rsid w:val="56E31D66"/>
    <w:rsid w:val="57032A2C"/>
    <w:rsid w:val="570F5219"/>
    <w:rsid w:val="57144D63"/>
    <w:rsid w:val="57150236"/>
    <w:rsid w:val="571F7486"/>
    <w:rsid w:val="572E7B96"/>
    <w:rsid w:val="5741255F"/>
    <w:rsid w:val="575D12B5"/>
    <w:rsid w:val="57610A87"/>
    <w:rsid w:val="577B1140"/>
    <w:rsid w:val="577B7F21"/>
    <w:rsid w:val="577F181B"/>
    <w:rsid w:val="57921984"/>
    <w:rsid w:val="579737F0"/>
    <w:rsid w:val="57AB627A"/>
    <w:rsid w:val="57AB7B30"/>
    <w:rsid w:val="57AF5251"/>
    <w:rsid w:val="57B26373"/>
    <w:rsid w:val="57B63F04"/>
    <w:rsid w:val="57CD20C2"/>
    <w:rsid w:val="57D03845"/>
    <w:rsid w:val="57D573DB"/>
    <w:rsid w:val="57D675AB"/>
    <w:rsid w:val="57D95FDD"/>
    <w:rsid w:val="57E5652D"/>
    <w:rsid w:val="57EC54BC"/>
    <w:rsid w:val="57F85B5E"/>
    <w:rsid w:val="585B44F2"/>
    <w:rsid w:val="58610451"/>
    <w:rsid w:val="58917D2F"/>
    <w:rsid w:val="5894085C"/>
    <w:rsid w:val="58AE4F0C"/>
    <w:rsid w:val="58B85899"/>
    <w:rsid w:val="58C36E39"/>
    <w:rsid w:val="58C90A05"/>
    <w:rsid w:val="58E363A9"/>
    <w:rsid w:val="59254A57"/>
    <w:rsid w:val="592E25D7"/>
    <w:rsid w:val="595E1678"/>
    <w:rsid w:val="596D5BD4"/>
    <w:rsid w:val="597E0ADA"/>
    <w:rsid w:val="597E3DD8"/>
    <w:rsid w:val="599538BA"/>
    <w:rsid w:val="59C141BA"/>
    <w:rsid w:val="59C52C01"/>
    <w:rsid w:val="59DC694C"/>
    <w:rsid w:val="59E76E3E"/>
    <w:rsid w:val="59F80043"/>
    <w:rsid w:val="5A09252F"/>
    <w:rsid w:val="5A0B2778"/>
    <w:rsid w:val="5A2A7C7B"/>
    <w:rsid w:val="5A3E2560"/>
    <w:rsid w:val="5A5D3B6E"/>
    <w:rsid w:val="5A637A76"/>
    <w:rsid w:val="5A6A482A"/>
    <w:rsid w:val="5A6D33BA"/>
    <w:rsid w:val="5A792B1F"/>
    <w:rsid w:val="5A874767"/>
    <w:rsid w:val="5A881656"/>
    <w:rsid w:val="5AA844A7"/>
    <w:rsid w:val="5AAD6F28"/>
    <w:rsid w:val="5AD10710"/>
    <w:rsid w:val="5AD63A24"/>
    <w:rsid w:val="5B2E1A1D"/>
    <w:rsid w:val="5B8124A7"/>
    <w:rsid w:val="5B843A1C"/>
    <w:rsid w:val="5B873E3F"/>
    <w:rsid w:val="5BD164BB"/>
    <w:rsid w:val="5BD445A4"/>
    <w:rsid w:val="5C02690E"/>
    <w:rsid w:val="5C196DA7"/>
    <w:rsid w:val="5C220A3A"/>
    <w:rsid w:val="5C2A048C"/>
    <w:rsid w:val="5C636D67"/>
    <w:rsid w:val="5C6C4CCA"/>
    <w:rsid w:val="5C6E0D96"/>
    <w:rsid w:val="5C80234E"/>
    <w:rsid w:val="5C8A680C"/>
    <w:rsid w:val="5CA55DCD"/>
    <w:rsid w:val="5D0C4701"/>
    <w:rsid w:val="5D0F0395"/>
    <w:rsid w:val="5D221076"/>
    <w:rsid w:val="5D397964"/>
    <w:rsid w:val="5D491257"/>
    <w:rsid w:val="5D5A391C"/>
    <w:rsid w:val="5D5F10C0"/>
    <w:rsid w:val="5D891B7B"/>
    <w:rsid w:val="5D8B7162"/>
    <w:rsid w:val="5DA45E8A"/>
    <w:rsid w:val="5DA94ECA"/>
    <w:rsid w:val="5DAD38EE"/>
    <w:rsid w:val="5E006862"/>
    <w:rsid w:val="5E0207B9"/>
    <w:rsid w:val="5E13292D"/>
    <w:rsid w:val="5E1834A1"/>
    <w:rsid w:val="5E1E4087"/>
    <w:rsid w:val="5E261785"/>
    <w:rsid w:val="5E4A7017"/>
    <w:rsid w:val="5E550F9B"/>
    <w:rsid w:val="5E552BBA"/>
    <w:rsid w:val="5E611C10"/>
    <w:rsid w:val="5EFC7377"/>
    <w:rsid w:val="5F02557F"/>
    <w:rsid w:val="5F06174D"/>
    <w:rsid w:val="5F071B9D"/>
    <w:rsid w:val="5F13300F"/>
    <w:rsid w:val="5F1C5A05"/>
    <w:rsid w:val="5F3A3602"/>
    <w:rsid w:val="5F57701B"/>
    <w:rsid w:val="5F6277C6"/>
    <w:rsid w:val="5F660ABA"/>
    <w:rsid w:val="5F6D0B1D"/>
    <w:rsid w:val="5F8D0B82"/>
    <w:rsid w:val="5FC3334C"/>
    <w:rsid w:val="5FCC5339"/>
    <w:rsid w:val="5FE078E0"/>
    <w:rsid w:val="5FE34A5B"/>
    <w:rsid w:val="5FFE1E36"/>
    <w:rsid w:val="60232584"/>
    <w:rsid w:val="60326087"/>
    <w:rsid w:val="60576DBD"/>
    <w:rsid w:val="60674F9A"/>
    <w:rsid w:val="607330CE"/>
    <w:rsid w:val="607A419E"/>
    <w:rsid w:val="60825176"/>
    <w:rsid w:val="609F2AC4"/>
    <w:rsid w:val="60B2372C"/>
    <w:rsid w:val="60B65B72"/>
    <w:rsid w:val="60E03D35"/>
    <w:rsid w:val="60FA2EE8"/>
    <w:rsid w:val="60FE42AA"/>
    <w:rsid w:val="60FF3B3D"/>
    <w:rsid w:val="61054A27"/>
    <w:rsid w:val="610A52BC"/>
    <w:rsid w:val="611D2366"/>
    <w:rsid w:val="61421856"/>
    <w:rsid w:val="614E5DAA"/>
    <w:rsid w:val="615227C4"/>
    <w:rsid w:val="61654E3F"/>
    <w:rsid w:val="617678F3"/>
    <w:rsid w:val="617C580C"/>
    <w:rsid w:val="6182292A"/>
    <w:rsid w:val="619117A1"/>
    <w:rsid w:val="61937B14"/>
    <w:rsid w:val="619F7F92"/>
    <w:rsid w:val="61DA33F4"/>
    <w:rsid w:val="61ED1160"/>
    <w:rsid w:val="61F94C26"/>
    <w:rsid w:val="62000E56"/>
    <w:rsid w:val="62227AC4"/>
    <w:rsid w:val="62497A32"/>
    <w:rsid w:val="624F3E49"/>
    <w:rsid w:val="62632286"/>
    <w:rsid w:val="62716C4E"/>
    <w:rsid w:val="62851EC8"/>
    <w:rsid w:val="62885958"/>
    <w:rsid w:val="62CB020A"/>
    <w:rsid w:val="62D83031"/>
    <w:rsid w:val="62EA3015"/>
    <w:rsid w:val="62F40B65"/>
    <w:rsid w:val="62FC2CFE"/>
    <w:rsid w:val="63024505"/>
    <w:rsid w:val="63133CBC"/>
    <w:rsid w:val="633E24CC"/>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E61C88"/>
    <w:rsid w:val="653C3090"/>
    <w:rsid w:val="65421E67"/>
    <w:rsid w:val="654900FB"/>
    <w:rsid w:val="654B52DC"/>
    <w:rsid w:val="6583677A"/>
    <w:rsid w:val="65854376"/>
    <w:rsid w:val="658767BE"/>
    <w:rsid w:val="65892531"/>
    <w:rsid w:val="65F8345E"/>
    <w:rsid w:val="66195831"/>
    <w:rsid w:val="662E75B1"/>
    <w:rsid w:val="66342C2E"/>
    <w:rsid w:val="663E784C"/>
    <w:rsid w:val="665B62E7"/>
    <w:rsid w:val="668B6A45"/>
    <w:rsid w:val="669A71DE"/>
    <w:rsid w:val="669F7E18"/>
    <w:rsid w:val="66B01071"/>
    <w:rsid w:val="66BF7F84"/>
    <w:rsid w:val="66D95049"/>
    <w:rsid w:val="66EA1469"/>
    <w:rsid w:val="671464E6"/>
    <w:rsid w:val="67203BA2"/>
    <w:rsid w:val="67272539"/>
    <w:rsid w:val="672F3F24"/>
    <w:rsid w:val="673E055F"/>
    <w:rsid w:val="67551CE3"/>
    <w:rsid w:val="6772060E"/>
    <w:rsid w:val="67A22552"/>
    <w:rsid w:val="67B22DCC"/>
    <w:rsid w:val="67B67C39"/>
    <w:rsid w:val="67BE71AA"/>
    <w:rsid w:val="67D16BCF"/>
    <w:rsid w:val="67D40535"/>
    <w:rsid w:val="67D90273"/>
    <w:rsid w:val="67DE5875"/>
    <w:rsid w:val="67E55852"/>
    <w:rsid w:val="67E61FFB"/>
    <w:rsid w:val="67EB1AB4"/>
    <w:rsid w:val="67FA1285"/>
    <w:rsid w:val="68263E9E"/>
    <w:rsid w:val="683722ED"/>
    <w:rsid w:val="68464DC5"/>
    <w:rsid w:val="68482B8F"/>
    <w:rsid w:val="68551F4F"/>
    <w:rsid w:val="686F3343"/>
    <w:rsid w:val="687705BA"/>
    <w:rsid w:val="687C10C9"/>
    <w:rsid w:val="68840C16"/>
    <w:rsid w:val="688549D0"/>
    <w:rsid w:val="68876EFB"/>
    <w:rsid w:val="68884654"/>
    <w:rsid w:val="689F444F"/>
    <w:rsid w:val="68B96DBB"/>
    <w:rsid w:val="68BE6186"/>
    <w:rsid w:val="68CA2805"/>
    <w:rsid w:val="68D321AA"/>
    <w:rsid w:val="68E937A3"/>
    <w:rsid w:val="693E15D3"/>
    <w:rsid w:val="69627681"/>
    <w:rsid w:val="696B783B"/>
    <w:rsid w:val="696F140C"/>
    <w:rsid w:val="6977531D"/>
    <w:rsid w:val="69AD46D4"/>
    <w:rsid w:val="69CC2BFF"/>
    <w:rsid w:val="69FD55B8"/>
    <w:rsid w:val="6A0B1C62"/>
    <w:rsid w:val="6A206786"/>
    <w:rsid w:val="6A21712D"/>
    <w:rsid w:val="6A2406C8"/>
    <w:rsid w:val="6A42336B"/>
    <w:rsid w:val="6A4A0458"/>
    <w:rsid w:val="6A6908F7"/>
    <w:rsid w:val="6A7D274A"/>
    <w:rsid w:val="6A962FC7"/>
    <w:rsid w:val="6AB00311"/>
    <w:rsid w:val="6ADE0BD1"/>
    <w:rsid w:val="6AE96859"/>
    <w:rsid w:val="6B147746"/>
    <w:rsid w:val="6B163545"/>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4E5EC8"/>
    <w:rsid w:val="6C552F0B"/>
    <w:rsid w:val="6C7A3314"/>
    <w:rsid w:val="6C802036"/>
    <w:rsid w:val="6C8C67B7"/>
    <w:rsid w:val="6C9D166B"/>
    <w:rsid w:val="6C9D744C"/>
    <w:rsid w:val="6CB95587"/>
    <w:rsid w:val="6CD91762"/>
    <w:rsid w:val="6D08572F"/>
    <w:rsid w:val="6D167928"/>
    <w:rsid w:val="6D1E19E3"/>
    <w:rsid w:val="6D26299B"/>
    <w:rsid w:val="6D2F659C"/>
    <w:rsid w:val="6D4772EC"/>
    <w:rsid w:val="6D8141C3"/>
    <w:rsid w:val="6D9078AF"/>
    <w:rsid w:val="6D9E2FAE"/>
    <w:rsid w:val="6DAA3FEF"/>
    <w:rsid w:val="6DC0172B"/>
    <w:rsid w:val="6DCB690C"/>
    <w:rsid w:val="6DD41A5B"/>
    <w:rsid w:val="6DF43C2E"/>
    <w:rsid w:val="6DF456B4"/>
    <w:rsid w:val="6DF51CA3"/>
    <w:rsid w:val="6E011CE3"/>
    <w:rsid w:val="6E22773B"/>
    <w:rsid w:val="6E24348E"/>
    <w:rsid w:val="6E25722B"/>
    <w:rsid w:val="6E5D0773"/>
    <w:rsid w:val="6E6E43D9"/>
    <w:rsid w:val="6E8335BD"/>
    <w:rsid w:val="6E8C5C36"/>
    <w:rsid w:val="6E8E12EF"/>
    <w:rsid w:val="6E972936"/>
    <w:rsid w:val="6ED446C5"/>
    <w:rsid w:val="6F046601"/>
    <w:rsid w:val="6F202F75"/>
    <w:rsid w:val="6F2A7D94"/>
    <w:rsid w:val="6F4B2014"/>
    <w:rsid w:val="6F8331F1"/>
    <w:rsid w:val="6FAE1A09"/>
    <w:rsid w:val="6FD75BF8"/>
    <w:rsid w:val="7015480C"/>
    <w:rsid w:val="70585DB5"/>
    <w:rsid w:val="707723D0"/>
    <w:rsid w:val="70951DFF"/>
    <w:rsid w:val="70F5661B"/>
    <w:rsid w:val="70FA031E"/>
    <w:rsid w:val="71091281"/>
    <w:rsid w:val="71283699"/>
    <w:rsid w:val="71345422"/>
    <w:rsid w:val="71360107"/>
    <w:rsid w:val="713B688E"/>
    <w:rsid w:val="7170522D"/>
    <w:rsid w:val="71752277"/>
    <w:rsid w:val="71805602"/>
    <w:rsid w:val="71D43752"/>
    <w:rsid w:val="71EE501B"/>
    <w:rsid w:val="71F1796A"/>
    <w:rsid w:val="72154626"/>
    <w:rsid w:val="72262B5D"/>
    <w:rsid w:val="72283FF7"/>
    <w:rsid w:val="722E7212"/>
    <w:rsid w:val="723A0474"/>
    <w:rsid w:val="723F6B0D"/>
    <w:rsid w:val="725923E4"/>
    <w:rsid w:val="72864BF7"/>
    <w:rsid w:val="729023FC"/>
    <w:rsid w:val="72A423C8"/>
    <w:rsid w:val="72AD22E1"/>
    <w:rsid w:val="72B372E1"/>
    <w:rsid w:val="72FA5514"/>
    <w:rsid w:val="731742D0"/>
    <w:rsid w:val="73472C17"/>
    <w:rsid w:val="73810A2E"/>
    <w:rsid w:val="73C0646E"/>
    <w:rsid w:val="73E059CF"/>
    <w:rsid w:val="740340C5"/>
    <w:rsid w:val="742222F5"/>
    <w:rsid w:val="74476126"/>
    <w:rsid w:val="746066F5"/>
    <w:rsid w:val="74706664"/>
    <w:rsid w:val="747F3682"/>
    <w:rsid w:val="749B1299"/>
    <w:rsid w:val="749C4185"/>
    <w:rsid w:val="74B6549D"/>
    <w:rsid w:val="74D2336D"/>
    <w:rsid w:val="75067759"/>
    <w:rsid w:val="752E6DCD"/>
    <w:rsid w:val="75374EE7"/>
    <w:rsid w:val="7551380D"/>
    <w:rsid w:val="755B317E"/>
    <w:rsid w:val="75600BE5"/>
    <w:rsid w:val="7564475C"/>
    <w:rsid w:val="756615CF"/>
    <w:rsid w:val="7583797F"/>
    <w:rsid w:val="758722D4"/>
    <w:rsid w:val="758E3908"/>
    <w:rsid w:val="75D20F1D"/>
    <w:rsid w:val="75DA2C18"/>
    <w:rsid w:val="75E713C0"/>
    <w:rsid w:val="75EE03DC"/>
    <w:rsid w:val="75F54412"/>
    <w:rsid w:val="76125E91"/>
    <w:rsid w:val="761D08E0"/>
    <w:rsid w:val="76393874"/>
    <w:rsid w:val="765D347C"/>
    <w:rsid w:val="766D247A"/>
    <w:rsid w:val="76787555"/>
    <w:rsid w:val="76826699"/>
    <w:rsid w:val="76986431"/>
    <w:rsid w:val="76C87133"/>
    <w:rsid w:val="76CD08D5"/>
    <w:rsid w:val="76D127D4"/>
    <w:rsid w:val="76DB4B92"/>
    <w:rsid w:val="77017403"/>
    <w:rsid w:val="77052AA4"/>
    <w:rsid w:val="77136511"/>
    <w:rsid w:val="77340A39"/>
    <w:rsid w:val="77351FD0"/>
    <w:rsid w:val="7745698E"/>
    <w:rsid w:val="77472422"/>
    <w:rsid w:val="775E5C88"/>
    <w:rsid w:val="777F31F2"/>
    <w:rsid w:val="77930DBD"/>
    <w:rsid w:val="77D1700D"/>
    <w:rsid w:val="77EC04CC"/>
    <w:rsid w:val="77EF5AEB"/>
    <w:rsid w:val="77F83E94"/>
    <w:rsid w:val="780C028E"/>
    <w:rsid w:val="781A1DFC"/>
    <w:rsid w:val="78775729"/>
    <w:rsid w:val="78A42DB0"/>
    <w:rsid w:val="78A656AB"/>
    <w:rsid w:val="78A958E0"/>
    <w:rsid w:val="78B2245C"/>
    <w:rsid w:val="78E172CC"/>
    <w:rsid w:val="78EA1D1F"/>
    <w:rsid w:val="78F93394"/>
    <w:rsid w:val="7904172F"/>
    <w:rsid w:val="790F7E27"/>
    <w:rsid w:val="792A231A"/>
    <w:rsid w:val="79316829"/>
    <w:rsid w:val="79715C01"/>
    <w:rsid w:val="797E66A9"/>
    <w:rsid w:val="79A97383"/>
    <w:rsid w:val="79D21CD2"/>
    <w:rsid w:val="79DD2640"/>
    <w:rsid w:val="79E27E8B"/>
    <w:rsid w:val="79F850CE"/>
    <w:rsid w:val="79FD443C"/>
    <w:rsid w:val="7A1D1975"/>
    <w:rsid w:val="7A3E5150"/>
    <w:rsid w:val="7A4670D6"/>
    <w:rsid w:val="7A4C24CB"/>
    <w:rsid w:val="7A4F2AA8"/>
    <w:rsid w:val="7A534B63"/>
    <w:rsid w:val="7A615382"/>
    <w:rsid w:val="7A656FEE"/>
    <w:rsid w:val="7A67303B"/>
    <w:rsid w:val="7AAB1D04"/>
    <w:rsid w:val="7ABA4368"/>
    <w:rsid w:val="7AD05746"/>
    <w:rsid w:val="7B113533"/>
    <w:rsid w:val="7B257FFD"/>
    <w:rsid w:val="7B343476"/>
    <w:rsid w:val="7B3F7158"/>
    <w:rsid w:val="7B5A2978"/>
    <w:rsid w:val="7B5A7E4C"/>
    <w:rsid w:val="7B667AF9"/>
    <w:rsid w:val="7B737828"/>
    <w:rsid w:val="7B7468F8"/>
    <w:rsid w:val="7B7D4202"/>
    <w:rsid w:val="7BB6739F"/>
    <w:rsid w:val="7BEE0103"/>
    <w:rsid w:val="7C0A0FE4"/>
    <w:rsid w:val="7C254906"/>
    <w:rsid w:val="7C590818"/>
    <w:rsid w:val="7C7037C2"/>
    <w:rsid w:val="7C764345"/>
    <w:rsid w:val="7C7C10F6"/>
    <w:rsid w:val="7C853BEA"/>
    <w:rsid w:val="7C881368"/>
    <w:rsid w:val="7CE27788"/>
    <w:rsid w:val="7CE56A95"/>
    <w:rsid w:val="7D0C32F1"/>
    <w:rsid w:val="7D0F408D"/>
    <w:rsid w:val="7D284070"/>
    <w:rsid w:val="7D491C6C"/>
    <w:rsid w:val="7D5429C0"/>
    <w:rsid w:val="7D6E6D43"/>
    <w:rsid w:val="7D8B2C3C"/>
    <w:rsid w:val="7DAC3CA8"/>
    <w:rsid w:val="7DB57A34"/>
    <w:rsid w:val="7DD2306B"/>
    <w:rsid w:val="7DD77101"/>
    <w:rsid w:val="7DE60973"/>
    <w:rsid w:val="7DE75AA1"/>
    <w:rsid w:val="7DEE5506"/>
    <w:rsid w:val="7DEF0916"/>
    <w:rsid w:val="7DFFECEA"/>
    <w:rsid w:val="7E0368A3"/>
    <w:rsid w:val="7E1E5218"/>
    <w:rsid w:val="7E2A2EFD"/>
    <w:rsid w:val="7E6B60AA"/>
    <w:rsid w:val="7E9A4E1F"/>
    <w:rsid w:val="7EA7723A"/>
    <w:rsid w:val="7EBA2443"/>
    <w:rsid w:val="7EF56FBB"/>
    <w:rsid w:val="7EFD5503"/>
    <w:rsid w:val="7F0768EB"/>
    <w:rsid w:val="7F090DDA"/>
    <w:rsid w:val="7F143BEC"/>
    <w:rsid w:val="7F1A7159"/>
    <w:rsid w:val="7F715AF2"/>
    <w:rsid w:val="7F886E69"/>
    <w:rsid w:val="7F8F7E3F"/>
    <w:rsid w:val="7F977A1B"/>
    <w:rsid w:val="7FCC5E52"/>
    <w:rsid w:val="7FE919F7"/>
    <w:rsid w:val="7FF87E3A"/>
    <w:rsid w:val="88A0D0E6"/>
    <w:rsid w:val="BB7FA927"/>
    <w:rsid w:val="F5FFD31F"/>
    <w:rsid w:val="FFFAD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rPr>
      <w:rFonts w:ascii="仿宋" w:hAnsi="仿宋" w:eastAsia="仿宋" w:cs="仿宋"/>
      <w:color w:val="FF0000"/>
      <w:sz w:val="24"/>
    </w:r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Body Text First Indent 2"/>
    <w:basedOn w:val="25"/>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w:basedOn w:val="24"/>
    <w:link w:val="322"/>
    <w:qFormat/>
    <w:uiPriority w:val="0"/>
    <w:pPr>
      <w:ind w:firstLine="420"/>
    </w:pPr>
    <w:rPr>
      <w:rFonts w:hAnsi="Calibri"/>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rFonts w:ascii="仿宋" w:hAnsi="仿宋" w:eastAsia="仿宋" w:cs="仿宋"/>
      <w:color w:val="FF0000"/>
      <w:kern w:val="2"/>
      <w:sz w:val="24"/>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440"/>
    <w:next w:val="440"/>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40">
    <w:name w:val="第一部分"/>
    <w:basedOn w:val="1"/>
    <w:qFormat/>
    <w:uiPriority w:val="0"/>
    <w:pPr>
      <w:jc w:val="center"/>
    </w:pPr>
    <w:rPr>
      <w:b/>
      <w:sz w:val="36"/>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next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大标题"/>
    <w:basedOn w:val="439"/>
    <w:qFormat/>
    <w:uiPriority w:val="0"/>
    <w:rPr>
      <w:szCs w:val="36"/>
    </w:rPr>
  </w:style>
  <w:style w:type="paragraph" w:customStyle="1" w:styleId="966">
    <w:name w:val="WPSOffice手动目录 1"/>
    <w:qFormat/>
    <w:uiPriority w:val="0"/>
    <w:rPr>
      <w:rFonts w:ascii="Times New Roman" w:hAnsi="Times New Roman" w:eastAsia="宋体" w:cs="Times New Roman"/>
      <w:lang w:val="en-US" w:eastAsia="zh-CN" w:bidi="ar-SA"/>
    </w:rPr>
  </w:style>
  <w:style w:type="paragraph" w:customStyle="1" w:styleId="96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8">
    <w:name w:val="Body text|1"/>
    <w:basedOn w:val="1"/>
    <w:qFormat/>
    <w:uiPriority w:val="0"/>
    <w:pPr>
      <w:spacing w:line="480" w:lineRule="auto"/>
      <w:ind w:firstLine="140"/>
    </w:pPr>
    <w:rPr>
      <w:rFonts w:ascii="宋体" w:hAnsi="宋体" w:cs="宋体"/>
      <w:sz w:val="22"/>
      <w:szCs w:val="22"/>
      <w:lang w:val="zh-TW" w:eastAsia="zh-TW" w:bidi="zh-TW"/>
    </w:rPr>
  </w:style>
  <w:style w:type="character" w:customStyle="1" w:styleId="969">
    <w:name w:val="标题 2 字符1"/>
    <w:qFormat/>
    <w:uiPriority w:val="0"/>
    <w:rPr>
      <w:rFonts w:ascii="Arial" w:hAnsi="Arial" w:eastAsia="宋体"/>
      <w:b/>
      <w:bCs/>
      <w:kern w:val="2"/>
      <w:sz w:val="28"/>
      <w:szCs w:val="32"/>
      <w:lang w:val="en-US" w:eastAsia="zh-CN" w:bidi="ar-SA"/>
    </w:rPr>
  </w:style>
  <w:style w:type="paragraph" w:customStyle="1" w:styleId="970">
    <w:name w:val="正文内容"/>
    <w:basedOn w:val="1"/>
    <w:qFormat/>
    <w:uiPriority w:val="0"/>
    <w:pPr>
      <w:spacing w:line="400" w:lineRule="exact"/>
      <w:ind w:firstLine="560" w:firstLineChars="200"/>
    </w:pPr>
    <w:rPr>
      <w:rFonts w:ascii="宋体" w:hAnsi="宋体" w:cs="黑体"/>
      <w:color w:val="000000"/>
      <w:sz w:val="28"/>
      <w:szCs w:val="28"/>
    </w:rPr>
  </w:style>
  <w:style w:type="paragraph" w:customStyle="1" w:styleId="971">
    <w:name w:val="Normal Indent1"/>
    <w:basedOn w:val="1"/>
    <w:next w:val="24"/>
    <w:qFormat/>
    <w:uiPriority w:val="0"/>
    <w:pPr>
      <w:ind w:firstLine="420" w:firstLineChars="200"/>
    </w:pPr>
  </w:style>
  <w:style w:type="paragraph" w:customStyle="1" w:styleId="972">
    <w:name w:val="Other|1"/>
    <w:basedOn w:val="1"/>
    <w:qFormat/>
    <w:uiPriority w:val="0"/>
    <w:pPr>
      <w:spacing w:line="322" w:lineRule="exact"/>
    </w:pPr>
    <w:rPr>
      <w:rFonts w:ascii="MingLiU" w:hAnsi="MingLiU" w:eastAsia="MingLiU" w:cs="MingLiU"/>
      <w:sz w:val="19"/>
      <w:szCs w:val="19"/>
      <w:lang w:val="zh-TW" w:eastAsia="zh-TW" w:bidi="zh-TW"/>
    </w:rPr>
  </w:style>
  <w:style w:type="table" w:customStyle="1" w:styleId="9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3436</Words>
  <Characters>3931</Characters>
  <Lines>401</Lines>
  <Paragraphs>113</Paragraphs>
  <TotalTime>22</TotalTime>
  <ScaleCrop>false</ScaleCrop>
  <LinksUpToDate>false</LinksUpToDate>
  <CharactersWithSpaces>4032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2024-04-03T09:59:00Z</dcterms:created>
  <dc:creator>玥</dc:creator>
  <cp:lastModifiedBy>这样的</cp:lastModifiedBy>
  <cp:lastPrinted>2024-01-30T01:09:00Z</cp:lastPrinted>
  <dcterms:modified xsi:type="dcterms:W3CDTF">2025-06-20T10:12:26Z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1F082F3CDEF54AC7B0B88E98D6359729_13</vt:lpwstr>
  </property>
  <property fmtid="{D5CDD505-2E9C-101B-9397-08002B2CF9AE}" pid="5" name="KSOTemplateDocerSaveRecord">
    <vt:lpwstr>eyJoZGlkIjoiMDg5ZTU0MTk4NzFlZDA4Y2RmMzhkN2IxMzJlMmRlYTUiLCJ1c2VySWQiOiIxMjg1MTgyMTE1In0=</vt:lpwstr>
  </property>
</Properties>
</file>