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BD36">
      <w:pPr>
        <w:spacing w:line="360" w:lineRule="auto"/>
        <w:jc w:val="center"/>
        <w:rPr>
          <w:rFonts w:ascii="宋体" w:hAnsi="宋体" w:cs="宋体"/>
          <w:b/>
          <w:color w:val="000000" w:themeColor="text1"/>
          <w:sz w:val="24"/>
          <w14:textFill>
            <w14:solidFill>
              <w14:schemeClr w14:val="tx1"/>
            </w14:solidFill>
          </w14:textFill>
        </w:rPr>
      </w:pPr>
    </w:p>
    <w:p w14:paraId="48917B02">
      <w:pPr>
        <w:spacing w:line="360" w:lineRule="auto"/>
        <w:jc w:val="center"/>
        <w:rPr>
          <w:rFonts w:ascii="宋体" w:hAnsi="宋体" w:cs="宋体"/>
          <w:b/>
          <w:color w:val="000000" w:themeColor="text1"/>
          <w:sz w:val="24"/>
          <w14:textFill>
            <w14:solidFill>
              <w14:schemeClr w14:val="tx1"/>
            </w14:solidFill>
          </w14:textFill>
        </w:rPr>
      </w:pPr>
    </w:p>
    <w:p w14:paraId="42D86D5B">
      <w:pPr>
        <w:adjustRightInd/>
        <w:spacing w:line="360" w:lineRule="auto"/>
        <w:jc w:val="center"/>
        <w:rPr>
          <w:rFonts w:ascii="宋体" w:hAnsi="宋体" w:cs="宋体"/>
          <w:b/>
          <w:color w:val="000000" w:themeColor="text1"/>
          <w:sz w:val="44"/>
          <w:szCs w:val="44"/>
          <w14:textFill>
            <w14:solidFill>
              <w14:schemeClr w14:val="tx1"/>
            </w14:solidFill>
          </w14:textFill>
        </w:rPr>
      </w:pPr>
    </w:p>
    <w:p w14:paraId="3793D720">
      <w:pPr>
        <w:spacing w:line="360" w:lineRule="auto"/>
        <w:jc w:val="center"/>
        <w:rPr>
          <w:rFonts w:ascii="宋体" w:hAnsi="宋体" w:cs="宋体"/>
          <w:b/>
          <w:color w:val="000000" w:themeColor="text1"/>
          <w:sz w:val="44"/>
          <w:szCs w:val="44"/>
          <w14:textFill>
            <w14:solidFill>
              <w14:schemeClr w14:val="tx1"/>
            </w14:solidFill>
          </w14:textFill>
        </w:rPr>
      </w:pPr>
    </w:p>
    <w:p w14:paraId="2A88A870">
      <w:pPr>
        <w:adjustRightInd/>
        <w:spacing w:line="360" w:lineRule="auto"/>
        <w:jc w:val="center"/>
        <w:rPr>
          <w:rFonts w:ascii="宋体" w:hAnsi="宋体" w:cs="宋体"/>
          <w:b/>
          <w:color w:val="000000" w:themeColor="text1"/>
          <w:sz w:val="48"/>
          <w:szCs w:val="48"/>
          <w14:textFill>
            <w14:solidFill>
              <w14:schemeClr w14:val="tx1"/>
            </w14:solidFill>
          </w14:textFill>
        </w:rPr>
      </w:pPr>
    </w:p>
    <w:p w14:paraId="532ECE82">
      <w:pPr>
        <w:adjustRightInd/>
        <w:spacing w:line="360" w:lineRule="auto"/>
        <w:jc w:val="center"/>
        <w:rPr>
          <w:rFonts w:hint="eastAsia" w:ascii="宋体" w:hAnsi="宋体" w:eastAsia="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浙江中医药大学滨文校区围墙周界及屋面监控增补项目</w:t>
      </w:r>
    </w:p>
    <w:p w14:paraId="372431DA">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竞争性磋商文件</w:t>
      </w:r>
    </w:p>
    <w:p w14:paraId="67F3DC5C">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（电子交易）</w:t>
      </w:r>
    </w:p>
    <w:p w14:paraId="7AA939D7">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：HSZB-2025-860</w:t>
      </w:r>
    </w:p>
    <w:p w14:paraId="5A3255A3">
      <w:pPr>
        <w:adjustRightInd/>
        <w:spacing w:line="360" w:lineRule="auto"/>
        <w:rPr>
          <w:rFonts w:ascii="宋体" w:hAnsi="宋体" w:cs="宋体"/>
          <w:color w:val="000000" w:themeColor="text1"/>
          <w:sz w:val="28"/>
          <w:szCs w:val="20"/>
          <w14:textFill>
            <w14:solidFill>
              <w14:schemeClr w14:val="tx1"/>
            </w14:solidFill>
          </w14:textFill>
        </w:rPr>
      </w:pPr>
    </w:p>
    <w:p w14:paraId="274783A1">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5F76E0CB">
      <w:pPr>
        <w:spacing w:line="360" w:lineRule="auto"/>
        <w:jc w:val="center"/>
        <w:rPr>
          <w:rFonts w:ascii="宋体" w:hAnsi="宋体" w:cs="宋体"/>
          <w:b/>
          <w:color w:val="000000" w:themeColor="text1"/>
          <w:sz w:val="44"/>
          <w:szCs w:val="44"/>
          <w14:textFill>
            <w14:solidFill>
              <w14:schemeClr w14:val="tx1"/>
            </w14:solidFill>
          </w14:textFill>
        </w:rPr>
      </w:pPr>
    </w:p>
    <w:p w14:paraId="74B35F4A">
      <w:pPr>
        <w:spacing w:line="360" w:lineRule="auto"/>
        <w:jc w:val="center"/>
        <w:rPr>
          <w:rFonts w:ascii="宋体" w:hAnsi="宋体" w:cs="宋体"/>
          <w:color w:val="000000" w:themeColor="text1"/>
          <w:sz w:val="24"/>
          <w14:textFill>
            <w14:solidFill>
              <w14:schemeClr w14:val="tx1"/>
            </w14:solidFill>
          </w14:textFill>
        </w:rPr>
      </w:pPr>
    </w:p>
    <w:p w14:paraId="39552EA1">
      <w:pPr>
        <w:spacing w:line="360" w:lineRule="auto"/>
        <w:jc w:val="center"/>
        <w:rPr>
          <w:rFonts w:ascii="宋体" w:hAnsi="宋体" w:cs="宋体"/>
          <w:color w:val="000000" w:themeColor="text1"/>
          <w:sz w:val="24"/>
          <w14:textFill>
            <w14:solidFill>
              <w14:schemeClr w14:val="tx1"/>
            </w14:solidFill>
          </w14:textFill>
        </w:rPr>
      </w:pPr>
    </w:p>
    <w:p w14:paraId="6053DD84">
      <w:pPr>
        <w:spacing w:line="360" w:lineRule="auto"/>
        <w:rPr>
          <w:rFonts w:ascii="宋体" w:hAnsi="宋体" w:cs="宋体"/>
          <w:color w:val="000000" w:themeColor="text1"/>
          <w:sz w:val="32"/>
          <w:szCs w:val="32"/>
          <w14:textFill>
            <w14:solidFill>
              <w14:schemeClr w14:val="tx1"/>
            </w14:solidFill>
          </w14:textFill>
        </w:rPr>
      </w:pPr>
    </w:p>
    <w:p w14:paraId="2F123971">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浙江中医药大学</w:t>
      </w:r>
    </w:p>
    <w:p w14:paraId="6B4CFF6C">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浙江豪圣建设项目管理有限公司</w:t>
      </w:r>
    </w:p>
    <w:p w14:paraId="1FF5CAAB">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日</w:t>
      </w:r>
    </w:p>
    <w:p w14:paraId="048469A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68B172FF">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sdt>
      <w:sdtPr>
        <w:rPr>
          <w:rFonts w:hint="eastAsia" w:ascii="宋体" w:hAnsi="宋体" w:cs="宋体"/>
          <w:sz w:val="24"/>
        </w:rPr>
        <w:id w:val="147468607"/>
        <w:docPartObj>
          <w:docPartGallery w:val="Table of Contents"/>
          <w:docPartUnique/>
        </w:docPartObj>
      </w:sdtPr>
      <w:sdtEndPr>
        <w:rPr>
          <w:rFonts w:hint="eastAsia" w:ascii="宋体" w:hAnsi="宋体" w:cs="宋体"/>
          <w:color w:val="000000" w:themeColor="text1"/>
          <w:sz w:val="21"/>
          <w:szCs w:val="32"/>
          <w14:textFill>
            <w14:solidFill>
              <w14:schemeClr w14:val="tx1"/>
            </w14:solidFill>
          </w14:textFill>
        </w:rPr>
      </w:sdtEndPr>
      <w:sdtContent>
        <w:p w14:paraId="2C660D42">
          <w:pPr>
            <w:jc w:val="center"/>
            <w:rPr>
              <w:rFonts w:ascii="宋体" w:hAnsi="宋体" w:cs="宋体"/>
              <w:sz w:val="24"/>
            </w:rPr>
          </w:pPr>
        </w:p>
        <w:p w14:paraId="6EE02ADC">
          <w:pPr>
            <w:pStyle w:val="42"/>
            <w:tabs>
              <w:tab w:val="right" w:leader="dot" w:pos="9746"/>
            </w:tabs>
            <w:rPr>
              <w:sz w:val="24"/>
              <w:szCs w:val="32"/>
            </w:rPr>
          </w:pP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TOC \o "1-3" \h \u </w:instrText>
          </w:r>
          <w:r>
            <w:rPr>
              <w:rFonts w:hint="eastAsia" w:ascii="宋体" w:hAnsi="宋体" w:cs="宋体"/>
              <w:color w:val="000000" w:themeColor="text1"/>
              <w:sz w:val="32"/>
              <w:szCs w:val="32"/>
              <w14:textFill>
                <w14:solidFill>
                  <w14:schemeClr w14:val="tx1"/>
                </w14:solidFill>
              </w14:textFill>
            </w:rPr>
            <w:fldChar w:fldCharType="separate"/>
          </w:r>
          <w:r>
            <w:fldChar w:fldCharType="begin"/>
          </w:r>
          <w:r>
            <w:instrText xml:space="preserve"> HYPERLINK \l "_Toc20948" </w:instrText>
          </w:r>
          <w:r>
            <w:fldChar w:fldCharType="separate"/>
          </w:r>
          <w:r>
            <w:rPr>
              <w:rFonts w:hint="eastAsia" w:ascii="宋体" w:hAnsi="宋体" w:cs="宋体"/>
              <w:sz w:val="24"/>
              <w:szCs w:val="22"/>
            </w:rPr>
            <w:t>第一部分 竞争性磋商公告</w:t>
          </w:r>
          <w:r>
            <w:rPr>
              <w:sz w:val="24"/>
              <w:szCs w:val="32"/>
            </w:rPr>
            <w:tab/>
          </w:r>
          <w:r>
            <w:rPr>
              <w:sz w:val="24"/>
              <w:szCs w:val="32"/>
            </w:rPr>
            <w:fldChar w:fldCharType="begin"/>
          </w:r>
          <w:r>
            <w:rPr>
              <w:sz w:val="24"/>
              <w:szCs w:val="32"/>
            </w:rPr>
            <w:instrText xml:space="preserve"> PAGEREF _Toc20948 \h </w:instrText>
          </w:r>
          <w:r>
            <w:rPr>
              <w:sz w:val="24"/>
              <w:szCs w:val="32"/>
            </w:rPr>
            <w:fldChar w:fldCharType="separate"/>
          </w:r>
          <w:r>
            <w:rPr>
              <w:sz w:val="24"/>
              <w:szCs w:val="32"/>
            </w:rPr>
            <w:t>3</w:t>
          </w:r>
          <w:r>
            <w:rPr>
              <w:sz w:val="24"/>
              <w:szCs w:val="32"/>
            </w:rPr>
            <w:fldChar w:fldCharType="end"/>
          </w:r>
          <w:r>
            <w:rPr>
              <w:sz w:val="24"/>
              <w:szCs w:val="32"/>
            </w:rPr>
            <w:fldChar w:fldCharType="end"/>
          </w:r>
        </w:p>
        <w:p w14:paraId="0E92F097">
          <w:pPr>
            <w:pStyle w:val="42"/>
            <w:tabs>
              <w:tab w:val="right" w:leader="dot" w:pos="9746"/>
            </w:tabs>
            <w:rPr>
              <w:sz w:val="24"/>
              <w:szCs w:val="32"/>
            </w:rPr>
          </w:pPr>
          <w:r>
            <w:fldChar w:fldCharType="begin"/>
          </w:r>
          <w:r>
            <w:instrText xml:space="preserve"> HYPERLINK \l "_Toc25555" </w:instrText>
          </w:r>
          <w:r>
            <w:fldChar w:fldCharType="separate"/>
          </w:r>
          <w:r>
            <w:rPr>
              <w:rFonts w:hint="eastAsia" w:hAnsi="宋体" w:cs="宋体"/>
              <w:sz w:val="24"/>
              <w:szCs w:val="22"/>
            </w:rPr>
            <w:t>第二部分 供应商须知</w:t>
          </w:r>
          <w:r>
            <w:rPr>
              <w:sz w:val="24"/>
              <w:szCs w:val="32"/>
            </w:rPr>
            <w:tab/>
          </w:r>
          <w:r>
            <w:rPr>
              <w:sz w:val="24"/>
              <w:szCs w:val="32"/>
            </w:rPr>
            <w:fldChar w:fldCharType="begin"/>
          </w:r>
          <w:r>
            <w:rPr>
              <w:sz w:val="24"/>
              <w:szCs w:val="32"/>
            </w:rPr>
            <w:instrText xml:space="preserve"> PAGEREF _Toc25555 \h </w:instrText>
          </w:r>
          <w:r>
            <w:rPr>
              <w:sz w:val="24"/>
              <w:szCs w:val="32"/>
            </w:rPr>
            <w:fldChar w:fldCharType="separate"/>
          </w:r>
          <w:r>
            <w:rPr>
              <w:sz w:val="24"/>
              <w:szCs w:val="32"/>
            </w:rPr>
            <w:t>8</w:t>
          </w:r>
          <w:r>
            <w:rPr>
              <w:sz w:val="24"/>
              <w:szCs w:val="32"/>
            </w:rPr>
            <w:fldChar w:fldCharType="end"/>
          </w:r>
          <w:r>
            <w:rPr>
              <w:sz w:val="24"/>
              <w:szCs w:val="32"/>
            </w:rPr>
            <w:fldChar w:fldCharType="end"/>
          </w:r>
        </w:p>
        <w:p w14:paraId="11D5B31E">
          <w:pPr>
            <w:pStyle w:val="53"/>
            <w:tabs>
              <w:tab w:val="right" w:leader="dot" w:pos="9746"/>
            </w:tabs>
            <w:rPr>
              <w:sz w:val="24"/>
              <w:szCs w:val="32"/>
            </w:rPr>
          </w:pPr>
          <w:r>
            <w:fldChar w:fldCharType="begin"/>
          </w:r>
          <w:r>
            <w:instrText xml:space="preserve"> HYPERLINK \l "_Toc24711" </w:instrText>
          </w:r>
          <w:r>
            <w:fldChar w:fldCharType="separate"/>
          </w:r>
          <w:r>
            <w:rPr>
              <w:rFonts w:hint="eastAsia" w:ascii="宋体" w:hAnsi="宋体" w:cs="宋体"/>
              <w:sz w:val="24"/>
              <w:szCs w:val="22"/>
            </w:rPr>
            <w:t>前附表</w:t>
          </w:r>
          <w:r>
            <w:rPr>
              <w:sz w:val="24"/>
              <w:szCs w:val="32"/>
            </w:rPr>
            <w:tab/>
          </w:r>
          <w:r>
            <w:rPr>
              <w:sz w:val="24"/>
              <w:szCs w:val="32"/>
            </w:rPr>
            <w:fldChar w:fldCharType="begin"/>
          </w:r>
          <w:r>
            <w:rPr>
              <w:sz w:val="24"/>
              <w:szCs w:val="32"/>
            </w:rPr>
            <w:instrText xml:space="preserve"> PAGEREF _Toc24711 \h </w:instrText>
          </w:r>
          <w:r>
            <w:rPr>
              <w:sz w:val="24"/>
              <w:szCs w:val="32"/>
            </w:rPr>
            <w:fldChar w:fldCharType="separate"/>
          </w:r>
          <w:r>
            <w:rPr>
              <w:sz w:val="24"/>
              <w:szCs w:val="32"/>
            </w:rPr>
            <w:t>8</w:t>
          </w:r>
          <w:r>
            <w:rPr>
              <w:sz w:val="24"/>
              <w:szCs w:val="32"/>
            </w:rPr>
            <w:fldChar w:fldCharType="end"/>
          </w:r>
          <w:r>
            <w:rPr>
              <w:sz w:val="24"/>
              <w:szCs w:val="32"/>
            </w:rPr>
            <w:fldChar w:fldCharType="end"/>
          </w:r>
        </w:p>
        <w:p w14:paraId="48E61B6D">
          <w:pPr>
            <w:pStyle w:val="53"/>
            <w:tabs>
              <w:tab w:val="right" w:leader="dot" w:pos="9746"/>
            </w:tabs>
            <w:rPr>
              <w:sz w:val="24"/>
              <w:szCs w:val="32"/>
            </w:rPr>
          </w:pPr>
          <w:r>
            <w:fldChar w:fldCharType="begin"/>
          </w:r>
          <w:r>
            <w:instrText xml:space="preserve"> HYPERLINK \l "_Toc1923" </w:instrText>
          </w:r>
          <w:r>
            <w:fldChar w:fldCharType="separate"/>
          </w:r>
          <w:r>
            <w:rPr>
              <w:rFonts w:hint="eastAsia" w:ascii="宋体" w:hAnsi="宋体" w:cs="宋体"/>
              <w:sz w:val="24"/>
              <w:szCs w:val="22"/>
            </w:rPr>
            <w:t>一、总则</w:t>
          </w:r>
          <w:r>
            <w:rPr>
              <w:sz w:val="24"/>
              <w:szCs w:val="32"/>
            </w:rPr>
            <w:tab/>
          </w:r>
          <w:r>
            <w:rPr>
              <w:sz w:val="24"/>
              <w:szCs w:val="32"/>
            </w:rPr>
            <w:fldChar w:fldCharType="begin"/>
          </w:r>
          <w:r>
            <w:rPr>
              <w:sz w:val="24"/>
              <w:szCs w:val="32"/>
            </w:rPr>
            <w:instrText xml:space="preserve"> PAGEREF _Toc1923 \h </w:instrText>
          </w:r>
          <w:r>
            <w:rPr>
              <w:sz w:val="24"/>
              <w:szCs w:val="32"/>
            </w:rPr>
            <w:fldChar w:fldCharType="separate"/>
          </w:r>
          <w:r>
            <w:rPr>
              <w:sz w:val="24"/>
              <w:szCs w:val="32"/>
            </w:rPr>
            <w:t>11</w:t>
          </w:r>
          <w:r>
            <w:rPr>
              <w:sz w:val="24"/>
              <w:szCs w:val="32"/>
            </w:rPr>
            <w:fldChar w:fldCharType="end"/>
          </w:r>
          <w:r>
            <w:rPr>
              <w:sz w:val="24"/>
              <w:szCs w:val="32"/>
            </w:rPr>
            <w:fldChar w:fldCharType="end"/>
          </w:r>
        </w:p>
        <w:p w14:paraId="070E0F1D">
          <w:pPr>
            <w:pStyle w:val="53"/>
            <w:tabs>
              <w:tab w:val="right" w:leader="dot" w:pos="9746"/>
            </w:tabs>
            <w:rPr>
              <w:sz w:val="24"/>
              <w:szCs w:val="32"/>
            </w:rPr>
          </w:pPr>
          <w:r>
            <w:fldChar w:fldCharType="begin"/>
          </w:r>
          <w:r>
            <w:instrText xml:space="preserve"> HYPERLINK \l "_Toc6153" </w:instrText>
          </w:r>
          <w:r>
            <w:fldChar w:fldCharType="separate"/>
          </w:r>
          <w:r>
            <w:rPr>
              <w:rFonts w:hint="eastAsia" w:ascii="宋体" w:hAnsi="宋体" w:cs="宋体"/>
              <w:sz w:val="24"/>
              <w:szCs w:val="22"/>
            </w:rPr>
            <w:t>二、采购文件的构成、澄清、修改</w:t>
          </w:r>
          <w:r>
            <w:rPr>
              <w:sz w:val="24"/>
              <w:szCs w:val="32"/>
            </w:rPr>
            <w:tab/>
          </w:r>
          <w:r>
            <w:rPr>
              <w:sz w:val="24"/>
              <w:szCs w:val="32"/>
            </w:rPr>
            <w:fldChar w:fldCharType="begin"/>
          </w:r>
          <w:r>
            <w:rPr>
              <w:sz w:val="24"/>
              <w:szCs w:val="32"/>
            </w:rPr>
            <w:instrText xml:space="preserve"> PAGEREF _Toc6153 \h </w:instrText>
          </w:r>
          <w:r>
            <w:rPr>
              <w:sz w:val="24"/>
              <w:szCs w:val="32"/>
            </w:rPr>
            <w:fldChar w:fldCharType="separate"/>
          </w:r>
          <w:r>
            <w:rPr>
              <w:sz w:val="24"/>
              <w:szCs w:val="32"/>
            </w:rPr>
            <w:t>15</w:t>
          </w:r>
          <w:r>
            <w:rPr>
              <w:sz w:val="24"/>
              <w:szCs w:val="32"/>
            </w:rPr>
            <w:fldChar w:fldCharType="end"/>
          </w:r>
          <w:r>
            <w:rPr>
              <w:sz w:val="24"/>
              <w:szCs w:val="32"/>
            </w:rPr>
            <w:fldChar w:fldCharType="end"/>
          </w:r>
        </w:p>
        <w:p w14:paraId="5C60C424">
          <w:pPr>
            <w:pStyle w:val="53"/>
            <w:tabs>
              <w:tab w:val="right" w:leader="dot" w:pos="9746"/>
            </w:tabs>
            <w:rPr>
              <w:sz w:val="24"/>
              <w:szCs w:val="32"/>
            </w:rPr>
          </w:pPr>
          <w:r>
            <w:fldChar w:fldCharType="begin"/>
          </w:r>
          <w:r>
            <w:instrText xml:space="preserve"> HYPERLINK \l "_Toc23557" </w:instrText>
          </w:r>
          <w:r>
            <w:fldChar w:fldCharType="separate"/>
          </w:r>
          <w:r>
            <w:rPr>
              <w:rFonts w:hint="eastAsia" w:ascii="宋体" w:hAnsi="宋体" w:cs="宋体"/>
              <w:sz w:val="24"/>
              <w:szCs w:val="22"/>
            </w:rPr>
            <w:t>三、提交响应文件</w:t>
          </w:r>
          <w:r>
            <w:rPr>
              <w:sz w:val="24"/>
              <w:szCs w:val="32"/>
            </w:rPr>
            <w:tab/>
          </w:r>
          <w:r>
            <w:rPr>
              <w:sz w:val="24"/>
              <w:szCs w:val="32"/>
            </w:rPr>
            <w:fldChar w:fldCharType="begin"/>
          </w:r>
          <w:r>
            <w:rPr>
              <w:sz w:val="24"/>
              <w:szCs w:val="32"/>
            </w:rPr>
            <w:instrText xml:space="preserve"> PAGEREF _Toc23557 \h </w:instrText>
          </w:r>
          <w:r>
            <w:rPr>
              <w:sz w:val="24"/>
              <w:szCs w:val="32"/>
            </w:rPr>
            <w:fldChar w:fldCharType="separate"/>
          </w:r>
          <w:r>
            <w:rPr>
              <w:sz w:val="24"/>
              <w:szCs w:val="32"/>
            </w:rPr>
            <w:t>16</w:t>
          </w:r>
          <w:r>
            <w:rPr>
              <w:sz w:val="24"/>
              <w:szCs w:val="32"/>
            </w:rPr>
            <w:fldChar w:fldCharType="end"/>
          </w:r>
          <w:r>
            <w:rPr>
              <w:sz w:val="24"/>
              <w:szCs w:val="32"/>
            </w:rPr>
            <w:fldChar w:fldCharType="end"/>
          </w:r>
        </w:p>
        <w:p w14:paraId="60780231">
          <w:pPr>
            <w:pStyle w:val="53"/>
            <w:tabs>
              <w:tab w:val="right" w:leader="dot" w:pos="9746"/>
            </w:tabs>
            <w:rPr>
              <w:sz w:val="24"/>
              <w:szCs w:val="32"/>
            </w:rPr>
          </w:pPr>
          <w:r>
            <w:fldChar w:fldCharType="begin"/>
          </w:r>
          <w:r>
            <w:instrText xml:space="preserve"> HYPERLINK \l "_Toc5722" </w:instrText>
          </w:r>
          <w:r>
            <w:fldChar w:fldCharType="separate"/>
          </w:r>
          <w:r>
            <w:rPr>
              <w:rFonts w:hint="eastAsia" w:ascii="宋体" w:hAnsi="宋体" w:cs="宋体"/>
              <w:sz w:val="24"/>
              <w:szCs w:val="22"/>
            </w:rPr>
            <w:t>四、响应文件开启、资格审查与信用信息查询</w:t>
          </w:r>
          <w:r>
            <w:rPr>
              <w:sz w:val="24"/>
              <w:szCs w:val="32"/>
            </w:rPr>
            <w:tab/>
          </w:r>
          <w:r>
            <w:rPr>
              <w:sz w:val="24"/>
              <w:szCs w:val="32"/>
            </w:rPr>
            <w:fldChar w:fldCharType="begin"/>
          </w:r>
          <w:r>
            <w:rPr>
              <w:sz w:val="24"/>
              <w:szCs w:val="32"/>
            </w:rPr>
            <w:instrText xml:space="preserve"> PAGEREF _Toc5722 \h </w:instrText>
          </w:r>
          <w:r>
            <w:rPr>
              <w:sz w:val="24"/>
              <w:szCs w:val="32"/>
            </w:rPr>
            <w:fldChar w:fldCharType="separate"/>
          </w:r>
          <w:r>
            <w:rPr>
              <w:sz w:val="24"/>
              <w:szCs w:val="32"/>
            </w:rPr>
            <w:t>18</w:t>
          </w:r>
          <w:r>
            <w:rPr>
              <w:sz w:val="24"/>
              <w:szCs w:val="32"/>
            </w:rPr>
            <w:fldChar w:fldCharType="end"/>
          </w:r>
          <w:r>
            <w:rPr>
              <w:sz w:val="24"/>
              <w:szCs w:val="32"/>
            </w:rPr>
            <w:fldChar w:fldCharType="end"/>
          </w:r>
        </w:p>
        <w:p w14:paraId="298F5C17">
          <w:pPr>
            <w:pStyle w:val="53"/>
            <w:tabs>
              <w:tab w:val="right" w:leader="dot" w:pos="9746"/>
            </w:tabs>
            <w:rPr>
              <w:sz w:val="24"/>
              <w:szCs w:val="32"/>
            </w:rPr>
          </w:pPr>
          <w:r>
            <w:fldChar w:fldCharType="begin"/>
          </w:r>
          <w:r>
            <w:instrText xml:space="preserve"> HYPERLINK \l "_Toc24496" </w:instrText>
          </w:r>
          <w:r>
            <w:fldChar w:fldCharType="separate"/>
          </w:r>
          <w:r>
            <w:rPr>
              <w:rFonts w:hint="eastAsia" w:ascii="宋体" w:hAnsi="宋体" w:cs="宋体"/>
              <w:sz w:val="24"/>
              <w:szCs w:val="22"/>
            </w:rPr>
            <w:t>五、评审</w:t>
          </w:r>
          <w:r>
            <w:rPr>
              <w:sz w:val="24"/>
              <w:szCs w:val="32"/>
            </w:rPr>
            <w:tab/>
          </w:r>
          <w:r>
            <w:rPr>
              <w:sz w:val="24"/>
              <w:szCs w:val="32"/>
            </w:rPr>
            <w:fldChar w:fldCharType="begin"/>
          </w:r>
          <w:r>
            <w:rPr>
              <w:sz w:val="24"/>
              <w:szCs w:val="32"/>
            </w:rPr>
            <w:instrText xml:space="preserve"> PAGEREF _Toc24496 \h </w:instrText>
          </w:r>
          <w:r>
            <w:rPr>
              <w:sz w:val="24"/>
              <w:szCs w:val="32"/>
            </w:rPr>
            <w:fldChar w:fldCharType="separate"/>
          </w:r>
          <w:r>
            <w:rPr>
              <w:sz w:val="24"/>
              <w:szCs w:val="32"/>
            </w:rPr>
            <w:t>19</w:t>
          </w:r>
          <w:r>
            <w:rPr>
              <w:sz w:val="24"/>
              <w:szCs w:val="32"/>
            </w:rPr>
            <w:fldChar w:fldCharType="end"/>
          </w:r>
          <w:r>
            <w:rPr>
              <w:sz w:val="24"/>
              <w:szCs w:val="32"/>
            </w:rPr>
            <w:fldChar w:fldCharType="end"/>
          </w:r>
        </w:p>
        <w:p w14:paraId="66C7224C">
          <w:pPr>
            <w:pStyle w:val="53"/>
            <w:tabs>
              <w:tab w:val="right" w:leader="dot" w:pos="9746"/>
            </w:tabs>
            <w:rPr>
              <w:sz w:val="24"/>
              <w:szCs w:val="32"/>
            </w:rPr>
          </w:pPr>
          <w:r>
            <w:fldChar w:fldCharType="begin"/>
          </w:r>
          <w:r>
            <w:instrText xml:space="preserve"> HYPERLINK \l "_Toc14623" </w:instrText>
          </w:r>
          <w:r>
            <w:fldChar w:fldCharType="separate"/>
          </w:r>
          <w:r>
            <w:rPr>
              <w:rFonts w:hint="eastAsia" w:ascii="宋体" w:hAnsi="宋体" w:cs="宋体"/>
              <w:sz w:val="24"/>
              <w:szCs w:val="22"/>
            </w:rPr>
            <w:t>六、成交供应商确定</w:t>
          </w:r>
          <w:r>
            <w:rPr>
              <w:sz w:val="24"/>
              <w:szCs w:val="32"/>
            </w:rPr>
            <w:tab/>
          </w:r>
          <w:r>
            <w:rPr>
              <w:sz w:val="24"/>
              <w:szCs w:val="32"/>
            </w:rPr>
            <w:fldChar w:fldCharType="begin"/>
          </w:r>
          <w:r>
            <w:rPr>
              <w:sz w:val="24"/>
              <w:szCs w:val="32"/>
            </w:rPr>
            <w:instrText xml:space="preserve"> PAGEREF _Toc14623 \h </w:instrText>
          </w:r>
          <w:r>
            <w:rPr>
              <w:sz w:val="24"/>
              <w:szCs w:val="32"/>
            </w:rPr>
            <w:fldChar w:fldCharType="separate"/>
          </w:r>
          <w:r>
            <w:rPr>
              <w:sz w:val="24"/>
              <w:szCs w:val="32"/>
            </w:rPr>
            <w:t>20</w:t>
          </w:r>
          <w:r>
            <w:rPr>
              <w:sz w:val="24"/>
              <w:szCs w:val="32"/>
            </w:rPr>
            <w:fldChar w:fldCharType="end"/>
          </w:r>
          <w:r>
            <w:rPr>
              <w:sz w:val="24"/>
              <w:szCs w:val="32"/>
            </w:rPr>
            <w:fldChar w:fldCharType="end"/>
          </w:r>
        </w:p>
        <w:p w14:paraId="58840FCB">
          <w:pPr>
            <w:pStyle w:val="53"/>
            <w:tabs>
              <w:tab w:val="right" w:leader="dot" w:pos="9746"/>
            </w:tabs>
            <w:rPr>
              <w:sz w:val="24"/>
              <w:szCs w:val="32"/>
            </w:rPr>
          </w:pPr>
          <w:r>
            <w:fldChar w:fldCharType="begin"/>
          </w:r>
          <w:r>
            <w:instrText xml:space="preserve"> HYPERLINK \l "_Toc28972" </w:instrText>
          </w:r>
          <w:r>
            <w:fldChar w:fldCharType="separate"/>
          </w:r>
          <w:r>
            <w:rPr>
              <w:rFonts w:hint="eastAsia" w:ascii="宋体" w:hAnsi="宋体" w:cs="宋体"/>
              <w:sz w:val="24"/>
              <w:szCs w:val="22"/>
            </w:rPr>
            <w:t>七、合同授予</w:t>
          </w:r>
          <w:r>
            <w:rPr>
              <w:sz w:val="24"/>
              <w:szCs w:val="32"/>
            </w:rPr>
            <w:tab/>
          </w:r>
          <w:r>
            <w:rPr>
              <w:sz w:val="24"/>
              <w:szCs w:val="32"/>
            </w:rPr>
            <w:fldChar w:fldCharType="begin"/>
          </w:r>
          <w:r>
            <w:rPr>
              <w:sz w:val="24"/>
              <w:szCs w:val="32"/>
            </w:rPr>
            <w:instrText xml:space="preserve"> PAGEREF _Toc28972 \h </w:instrText>
          </w:r>
          <w:r>
            <w:rPr>
              <w:sz w:val="24"/>
              <w:szCs w:val="32"/>
            </w:rPr>
            <w:fldChar w:fldCharType="separate"/>
          </w:r>
          <w:r>
            <w:rPr>
              <w:sz w:val="24"/>
              <w:szCs w:val="32"/>
            </w:rPr>
            <w:t>20</w:t>
          </w:r>
          <w:r>
            <w:rPr>
              <w:sz w:val="24"/>
              <w:szCs w:val="32"/>
            </w:rPr>
            <w:fldChar w:fldCharType="end"/>
          </w:r>
          <w:r>
            <w:rPr>
              <w:sz w:val="24"/>
              <w:szCs w:val="32"/>
            </w:rPr>
            <w:fldChar w:fldCharType="end"/>
          </w:r>
        </w:p>
        <w:p w14:paraId="6FA2CA13">
          <w:pPr>
            <w:pStyle w:val="53"/>
            <w:tabs>
              <w:tab w:val="right" w:leader="dot" w:pos="9746"/>
            </w:tabs>
            <w:rPr>
              <w:sz w:val="24"/>
              <w:szCs w:val="32"/>
            </w:rPr>
          </w:pPr>
          <w:r>
            <w:fldChar w:fldCharType="begin"/>
          </w:r>
          <w:r>
            <w:instrText xml:space="preserve"> HYPERLINK \l "_Toc3554" </w:instrText>
          </w:r>
          <w:r>
            <w:fldChar w:fldCharType="separate"/>
          </w:r>
          <w:r>
            <w:rPr>
              <w:rFonts w:hint="eastAsia" w:ascii="宋体" w:hAnsi="宋体" w:cs="宋体"/>
              <w:sz w:val="24"/>
              <w:szCs w:val="22"/>
            </w:rPr>
            <w:t>八、电子交易活动的中止</w:t>
          </w:r>
          <w:r>
            <w:rPr>
              <w:sz w:val="24"/>
              <w:szCs w:val="32"/>
            </w:rPr>
            <w:tab/>
          </w:r>
          <w:r>
            <w:rPr>
              <w:sz w:val="24"/>
              <w:szCs w:val="32"/>
            </w:rPr>
            <w:fldChar w:fldCharType="begin"/>
          </w:r>
          <w:r>
            <w:rPr>
              <w:sz w:val="24"/>
              <w:szCs w:val="32"/>
            </w:rPr>
            <w:instrText xml:space="preserve"> PAGEREF _Toc3554 \h </w:instrText>
          </w:r>
          <w:r>
            <w:rPr>
              <w:sz w:val="24"/>
              <w:szCs w:val="32"/>
            </w:rPr>
            <w:fldChar w:fldCharType="separate"/>
          </w:r>
          <w:r>
            <w:rPr>
              <w:sz w:val="24"/>
              <w:szCs w:val="32"/>
            </w:rPr>
            <w:t>22</w:t>
          </w:r>
          <w:r>
            <w:rPr>
              <w:sz w:val="24"/>
              <w:szCs w:val="32"/>
            </w:rPr>
            <w:fldChar w:fldCharType="end"/>
          </w:r>
          <w:r>
            <w:rPr>
              <w:sz w:val="24"/>
              <w:szCs w:val="32"/>
            </w:rPr>
            <w:fldChar w:fldCharType="end"/>
          </w:r>
        </w:p>
        <w:p w14:paraId="6745B146">
          <w:pPr>
            <w:pStyle w:val="53"/>
            <w:tabs>
              <w:tab w:val="right" w:leader="dot" w:pos="9746"/>
            </w:tabs>
            <w:rPr>
              <w:sz w:val="24"/>
              <w:szCs w:val="32"/>
            </w:rPr>
          </w:pPr>
          <w:r>
            <w:fldChar w:fldCharType="begin"/>
          </w:r>
          <w:r>
            <w:instrText xml:space="preserve"> HYPERLINK \l "_Toc29531" </w:instrText>
          </w:r>
          <w:r>
            <w:fldChar w:fldCharType="separate"/>
          </w:r>
          <w:r>
            <w:rPr>
              <w:rFonts w:hint="eastAsia" w:ascii="宋体" w:hAnsi="宋体" w:cs="宋体"/>
              <w:sz w:val="24"/>
              <w:szCs w:val="22"/>
            </w:rPr>
            <w:t>九、验收</w:t>
          </w:r>
          <w:r>
            <w:rPr>
              <w:sz w:val="24"/>
              <w:szCs w:val="32"/>
            </w:rPr>
            <w:tab/>
          </w:r>
          <w:r>
            <w:rPr>
              <w:sz w:val="24"/>
              <w:szCs w:val="32"/>
            </w:rPr>
            <w:fldChar w:fldCharType="begin"/>
          </w:r>
          <w:r>
            <w:rPr>
              <w:sz w:val="24"/>
              <w:szCs w:val="32"/>
            </w:rPr>
            <w:instrText xml:space="preserve"> PAGEREF _Toc29531 \h </w:instrText>
          </w:r>
          <w:r>
            <w:rPr>
              <w:sz w:val="24"/>
              <w:szCs w:val="32"/>
            </w:rPr>
            <w:fldChar w:fldCharType="separate"/>
          </w:r>
          <w:r>
            <w:rPr>
              <w:sz w:val="24"/>
              <w:szCs w:val="32"/>
            </w:rPr>
            <w:t>22</w:t>
          </w:r>
          <w:r>
            <w:rPr>
              <w:sz w:val="24"/>
              <w:szCs w:val="32"/>
            </w:rPr>
            <w:fldChar w:fldCharType="end"/>
          </w:r>
          <w:r>
            <w:rPr>
              <w:sz w:val="24"/>
              <w:szCs w:val="32"/>
            </w:rPr>
            <w:fldChar w:fldCharType="end"/>
          </w:r>
        </w:p>
        <w:p w14:paraId="2B0A17B9">
          <w:pPr>
            <w:pStyle w:val="42"/>
            <w:tabs>
              <w:tab w:val="right" w:leader="dot" w:pos="9746"/>
            </w:tabs>
            <w:rPr>
              <w:sz w:val="24"/>
              <w:szCs w:val="32"/>
            </w:rPr>
          </w:pPr>
          <w:r>
            <w:fldChar w:fldCharType="begin"/>
          </w:r>
          <w:r>
            <w:instrText xml:space="preserve"> HYPERLINK \l "_Toc12691" </w:instrText>
          </w:r>
          <w:r>
            <w:fldChar w:fldCharType="separate"/>
          </w:r>
          <w:r>
            <w:rPr>
              <w:rFonts w:hint="eastAsia" w:hAnsi="宋体" w:cs="宋体"/>
              <w:sz w:val="24"/>
              <w:szCs w:val="22"/>
            </w:rPr>
            <w:t>第三部分 采购需求</w:t>
          </w:r>
          <w:r>
            <w:rPr>
              <w:sz w:val="24"/>
              <w:szCs w:val="32"/>
            </w:rPr>
            <w:tab/>
          </w:r>
          <w:r>
            <w:rPr>
              <w:sz w:val="24"/>
              <w:szCs w:val="32"/>
            </w:rPr>
            <w:fldChar w:fldCharType="begin"/>
          </w:r>
          <w:r>
            <w:rPr>
              <w:sz w:val="24"/>
              <w:szCs w:val="32"/>
            </w:rPr>
            <w:instrText xml:space="preserve"> PAGEREF _Toc12691 \h </w:instrText>
          </w:r>
          <w:r>
            <w:rPr>
              <w:sz w:val="24"/>
              <w:szCs w:val="32"/>
            </w:rPr>
            <w:fldChar w:fldCharType="separate"/>
          </w:r>
          <w:r>
            <w:rPr>
              <w:sz w:val="24"/>
              <w:szCs w:val="32"/>
            </w:rPr>
            <w:t>24</w:t>
          </w:r>
          <w:r>
            <w:rPr>
              <w:sz w:val="24"/>
              <w:szCs w:val="32"/>
            </w:rPr>
            <w:fldChar w:fldCharType="end"/>
          </w:r>
          <w:r>
            <w:rPr>
              <w:sz w:val="24"/>
              <w:szCs w:val="32"/>
            </w:rPr>
            <w:fldChar w:fldCharType="end"/>
          </w:r>
        </w:p>
        <w:p w14:paraId="50A193B8">
          <w:pPr>
            <w:pStyle w:val="53"/>
            <w:tabs>
              <w:tab w:val="right" w:leader="dot" w:pos="9746"/>
            </w:tabs>
            <w:rPr>
              <w:sz w:val="24"/>
              <w:szCs w:val="32"/>
            </w:rPr>
          </w:pPr>
          <w:r>
            <w:fldChar w:fldCharType="begin"/>
          </w:r>
          <w:r>
            <w:instrText xml:space="preserve"> HYPERLINK \l "_Toc1714" </w:instrText>
          </w:r>
          <w:r>
            <w:fldChar w:fldCharType="separate"/>
          </w:r>
          <w:r>
            <w:rPr>
              <w:rFonts w:hint="eastAsia" w:ascii="宋体" w:hAnsi="宋体" w:cs="宋体"/>
              <w:sz w:val="24"/>
              <w:szCs w:val="36"/>
            </w:rPr>
            <w:t>一、项目概况</w:t>
          </w:r>
          <w:r>
            <w:rPr>
              <w:sz w:val="24"/>
              <w:szCs w:val="32"/>
            </w:rPr>
            <w:tab/>
          </w:r>
          <w:r>
            <w:rPr>
              <w:sz w:val="24"/>
              <w:szCs w:val="32"/>
            </w:rPr>
            <w:fldChar w:fldCharType="begin"/>
          </w:r>
          <w:r>
            <w:rPr>
              <w:sz w:val="24"/>
              <w:szCs w:val="32"/>
            </w:rPr>
            <w:instrText xml:space="preserve"> PAGEREF _Toc1714 \h </w:instrText>
          </w:r>
          <w:r>
            <w:rPr>
              <w:sz w:val="24"/>
              <w:szCs w:val="32"/>
            </w:rPr>
            <w:fldChar w:fldCharType="separate"/>
          </w:r>
          <w:r>
            <w:rPr>
              <w:sz w:val="24"/>
              <w:szCs w:val="32"/>
            </w:rPr>
            <w:t>24</w:t>
          </w:r>
          <w:r>
            <w:rPr>
              <w:sz w:val="24"/>
              <w:szCs w:val="32"/>
            </w:rPr>
            <w:fldChar w:fldCharType="end"/>
          </w:r>
          <w:r>
            <w:rPr>
              <w:sz w:val="24"/>
              <w:szCs w:val="32"/>
            </w:rPr>
            <w:fldChar w:fldCharType="end"/>
          </w:r>
        </w:p>
        <w:p w14:paraId="0D00901D">
          <w:pPr>
            <w:pStyle w:val="53"/>
            <w:tabs>
              <w:tab w:val="right" w:leader="dot" w:pos="9746"/>
            </w:tabs>
            <w:rPr>
              <w:sz w:val="24"/>
              <w:szCs w:val="32"/>
            </w:rPr>
          </w:pPr>
          <w:r>
            <w:fldChar w:fldCharType="begin"/>
          </w:r>
          <w:r>
            <w:instrText xml:space="preserve"> HYPERLINK \l "_Toc1266" </w:instrText>
          </w:r>
          <w:r>
            <w:fldChar w:fldCharType="separate"/>
          </w:r>
          <w:r>
            <w:rPr>
              <w:rFonts w:hint="eastAsia" w:ascii="宋体" w:hAnsi="宋体" w:cs="宋体"/>
              <w:sz w:val="24"/>
              <w:szCs w:val="36"/>
            </w:rPr>
            <w:t>二、采购清单及技术要求</w:t>
          </w:r>
          <w:r>
            <w:rPr>
              <w:sz w:val="24"/>
              <w:szCs w:val="32"/>
            </w:rPr>
            <w:tab/>
          </w:r>
          <w:r>
            <w:rPr>
              <w:sz w:val="24"/>
              <w:szCs w:val="32"/>
            </w:rPr>
            <w:fldChar w:fldCharType="begin"/>
          </w:r>
          <w:r>
            <w:rPr>
              <w:sz w:val="24"/>
              <w:szCs w:val="32"/>
            </w:rPr>
            <w:instrText xml:space="preserve"> PAGEREF _Toc1266 \h </w:instrText>
          </w:r>
          <w:r>
            <w:rPr>
              <w:sz w:val="24"/>
              <w:szCs w:val="32"/>
            </w:rPr>
            <w:fldChar w:fldCharType="separate"/>
          </w:r>
          <w:r>
            <w:rPr>
              <w:sz w:val="24"/>
              <w:szCs w:val="32"/>
            </w:rPr>
            <w:t>24</w:t>
          </w:r>
          <w:r>
            <w:rPr>
              <w:sz w:val="24"/>
              <w:szCs w:val="32"/>
            </w:rPr>
            <w:fldChar w:fldCharType="end"/>
          </w:r>
          <w:r>
            <w:rPr>
              <w:sz w:val="24"/>
              <w:szCs w:val="32"/>
            </w:rPr>
            <w:fldChar w:fldCharType="end"/>
          </w:r>
        </w:p>
        <w:p w14:paraId="72C4B123">
          <w:pPr>
            <w:pStyle w:val="53"/>
            <w:tabs>
              <w:tab w:val="right" w:leader="dot" w:pos="9746"/>
            </w:tabs>
            <w:rPr>
              <w:sz w:val="24"/>
              <w:szCs w:val="32"/>
            </w:rPr>
          </w:pPr>
          <w:r>
            <w:fldChar w:fldCharType="begin"/>
          </w:r>
          <w:r>
            <w:instrText xml:space="preserve"> HYPERLINK \l "_Toc19084" </w:instrText>
          </w:r>
          <w:r>
            <w:fldChar w:fldCharType="separate"/>
          </w:r>
          <w:r>
            <w:rPr>
              <w:rFonts w:hint="eastAsia" w:ascii="宋体" w:hAnsi="宋体" w:cs="宋体"/>
              <w:bCs/>
              <w:sz w:val="24"/>
              <w:szCs w:val="36"/>
            </w:rPr>
            <w:t>三、技术要求</w:t>
          </w:r>
          <w:r>
            <w:rPr>
              <w:sz w:val="24"/>
              <w:szCs w:val="32"/>
            </w:rPr>
            <w:tab/>
          </w:r>
          <w:r>
            <w:rPr>
              <w:sz w:val="24"/>
              <w:szCs w:val="32"/>
            </w:rPr>
            <w:fldChar w:fldCharType="begin"/>
          </w:r>
          <w:r>
            <w:rPr>
              <w:sz w:val="24"/>
              <w:szCs w:val="32"/>
            </w:rPr>
            <w:instrText xml:space="preserve"> PAGEREF _Toc19084 \h </w:instrText>
          </w:r>
          <w:r>
            <w:rPr>
              <w:sz w:val="24"/>
              <w:szCs w:val="32"/>
            </w:rPr>
            <w:fldChar w:fldCharType="separate"/>
          </w:r>
          <w:r>
            <w:rPr>
              <w:sz w:val="24"/>
              <w:szCs w:val="32"/>
            </w:rPr>
            <w:t>26</w:t>
          </w:r>
          <w:r>
            <w:rPr>
              <w:sz w:val="24"/>
              <w:szCs w:val="32"/>
            </w:rPr>
            <w:fldChar w:fldCharType="end"/>
          </w:r>
          <w:r>
            <w:rPr>
              <w:sz w:val="24"/>
              <w:szCs w:val="32"/>
            </w:rPr>
            <w:fldChar w:fldCharType="end"/>
          </w:r>
        </w:p>
        <w:p w14:paraId="05A83FAE">
          <w:pPr>
            <w:pStyle w:val="53"/>
            <w:tabs>
              <w:tab w:val="right" w:leader="dot" w:pos="9746"/>
            </w:tabs>
            <w:rPr>
              <w:sz w:val="24"/>
              <w:szCs w:val="32"/>
            </w:rPr>
          </w:pPr>
          <w:r>
            <w:fldChar w:fldCharType="begin"/>
          </w:r>
          <w:r>
            <w:instrText xml:space="preserve"> HYPERLINK \l "_Toc19744" </w:instrText>
          </w:r>
          <w:r>
            <w:fldChar w:fldCharType="separate"/>
          </w:r>
          <w:r>
            <w:rPr>
              <w:rFonts w:hint="eastAsia" w:ascii="宋体" w:hAnsi="宋体" w:cs="宋体"/>
              <w:bCs/>
              <w:sz w:val="24"/>
              <w:szCs w:val="36"/>
            </w:rPr>
            <w:t>四、商务要求</w:t>
          </w:r>
          <w:r>
            <w:rPr>
              <w:sz w:val="24"/>
              <w:szCs w:val="32"/>
            </w:rPr>
            <w:tab/>
          </w:r>
          <w:r>
            <w:rPr>
              <w:sz w:val="24"/>
              <w:szCs w:val="32"/>
            </w:rPr>
            <w:fldChar w:fldCharType="begin"/>
          </w:r>
          <w:r>
            <w:rPr>
              <w:sz w:val="24"/>
              <w:szCs w:val="32"/>
            </w:rPr>
            <w:instrText xml:space="preserve"> PAGEREF _Toc19744 \h </w:instrText>
          </w:r>
          <w:r>
            <w:rPr>
              <w:sz w:val="24"/>
              <w:szCs w:val="32"/>
            </w:rPr>
            <w:fldChar w:fldCharType="separate"/>
          </w:r>
          <w:r>
            <w:rPr>
              <w:sz w:val="24"/>
              <w:szCs w:val="32"/>
            </w:rPr>
            <w:t>31</w:t>
          </w:r>
          <w:r>
            <w:rPr>
              <w:sz w:val="24"/>
              <w:szCs w:val="32"/>
            </w:rPr>
            <w:fldChar w:fldCharType="end"/>
          </w:r>
          <w:r>
            <w:rPr>
              <w:sz w:val="24"/>
              <w:szCs w:val="32"/>
            </w:rPr>
            <w:fldChar w:fldCharType="end"/>
          </w:r>
        </w:p>
        <w:p w14:paraId="43F81AD9">
          <w:pPr>
            <w:pStyle w:val="53"/>
            <w:tabs>
              <w:tab w:val="right" w:leader="dot" w:pos="9746"/>
            </w:tabs>
            <w:rPr>
              <w:sz w:val="24"/>
              <w:szCs w:val="32"/>
            </w:rPr>
          </w:pPr>
          <w:r>
            <w:fldChar w:fldCharType="begin"/>
          </w:r>
          <w:r>
            <w:instrText xml:space="preserve"> HYPERLINK \l "_Toc19953" </w:instrText>
          </w:r>
          <w:r>
            <w:fldChar w:fldCharType="separate"/>
          </w:r>
          <w:r>
            <w:rPr>
              <w:rFonts w:hint="eastAsia" w:ascii="宋体" w:hAnsi="宋体" w:cs="宋体"/>
              <w:bCs/>
              <w:sz w:val="24"/>
              <w:szCs w:val="36"/>
            </w:rPr>
            <w:t>五、施工要求</w:t>
          </w:r>
          <w:r>
            <w:rPr>
              <w:sz w:val="24"/>
              <w:szCs w:val="32"/>
            </w:rPr>
            <w:tab/>
          </w:r>
          <w:r>
            <w:rPr>
              <w:sz w:val="24"/>
              <w:szCs w:val="32"/>
            </w:rPr>
            <w:fldChar w:fldCharType="begin"/>
          </w:r>
          <w:r>
            <w:rPr>
              <w:sz w:val="24"/>
              <w:szCs w:val="32"/>
            </w:rPr>
            <w:instrText xml:space="preserve"> PAGEREF _Toc19953 \h </w:instrText>
          </w:r>
          <w:r>
            <w:rPr>
              <w:sz w:val="24"/>
              <w:szCs w:val="32"/>
            </w:rPr>
            <w:fldChar w:fldCharType="separate"/>
          </w:r>
          <w:r>
            <w:rPr>
              <w:sz w:val="24"/>
              <w:szCs w:val="32"/>
            </w:rPr>
            <w:t>32</w:t>
          </w:r>
          <w:r>
            <w:rPr>
              <w:sz w:val="24"/>
              <w:szCs w:val="32"/>
            </w:rPr>
            <w:fldChar w:fldCharType="end"/>
          </w:r>
          <w:r>
            <w:rPr>
              <w:sz w:val="24"/>
              <w:szCs w:val="32"/>
            </w:rPr>
            <w:fldChar w:fldCharType="end"/>
          </w:r>
        </w:p>
        <w:p w14:paraId="244A3085">
          <w:pPr>
            <w:pStyle w:val="53"/>
            <w:tabs>
              <w:tab w:val="right" w:leader="dot" w:pos="9746"/>
            </w:tabs>
            <w:rPr>
              <w:sz w:val="24"/>
              <w:szCs w:val="32"/>
            </w:rPr>
          </w:pPr>
          <w:r>
            <w:fldChar w:fldCharType="begin"/>
          </w:r>
          <w:r>
            <w:instrText xml:space="preserve"> HYPERLINK \l "_Toc27077" </w:instrText>
          </w:r>
          <w:r>
            <w:fldChar w:fldCharType="separate"/>
          </w:r>
          <w:r>
            <w:rPr>
              <w:rFonts w:hint="eastAsia" w:ascii="宋体" w:hAnsi="宋体" w:cs="宋体"/>
              <w:bCs/>
              <w:sz w:val="24"/>
              <w:szCs w:val="36"/>
            </w:rPr>
            <w:t>六、其他要求</w:t>
          </w:r>
          <w:r>
            <w:rPr>
              <w:sz w:val="24"/>
              <w:szCs w:val="32"/>
            </w:rPr>
            <w:tab/>
          </w:r>
          <w:r>
            <w:rPr>
              <w:sz w:val="24"/>
              <w:szCs w:val="32"/>
            </w:rPr>
            <w:fldChar w:fldCharType="begin"/>
          </w:r>
          <w:r>
            <w:rPr>
              <w:sz w:val="24"/>
              <w:szCs w:val="32"/>
            </w:rPr>
            <w:instrText xml:space="preserve"> PAGEREF _Toc27077 \h </w:instrText>
          </w:r>
          <w:r>
            <w:rPr>
              <w:sz w:val="24"/>
              <w:szCs w:val="32"/>
            </w:rPr>
            <w:fldChar w:fldCharType="separate"/>
          </w:r>
          <w:r>
            <w:rPr>
              <w:sz w:val="24"/>
              <w:szCs w:val="32"/>
            </w:rPr>
            <w:t>34</w:t>
          </w:r>
          <w:r>
            <w:rPr>
              <w:sz w:val="24"/>
              <w:szCs w:val="32"/>
            </w:rPr>
            <w:fldChar w:fldCharType="end"/>
          </w:r>
          <w:r>
            <w:rPr>
              <w:sz w:val="24"/>
              <w:szCs w:val="32"/>
            </w:rPr>
            <w:fldChar w:fldCharType="end"/>
          </w:r>
        </w:p>
        <w:p w14:paraId="23EA162B">
          <w:pPr>
            <w:pStyle w:val="53"/>
            <w:tabs>
              <w:tab w:val="right" w:leader="dot" w:pos="9746"/>
            </w:tabs>
            <w:rPr>
              <w:sz w:val="24"/>
              <w:szCs w:val="32"/>
            </w:rPr>
          </w:pPr>
          <w:r>
            <w:fldChar w:fldCharType="begin"/>
          </w:r>
          <w:r>
            <w:instrText xml:space="preserve"> HYPERLINK \l "_Toc21409" </w:instrText>
          </w:r>
          <w:r>
            <w:fldChar w:fldCharType="separate"/>
          </w:r>
          <w:r>
            <w:rPr>
              <w:rFonts w:hint="eastAsia" w:ascii="宋体" w:hAnsi="宋体" w:cs="宋体"/>
              <w:bCs/>
              <w:sz w:val="24"/>
              <w:szCs w:val="36"/>
            </w:rPr>
            <w:t>七、重要说明</w:t>
          </w:r>
          <w:r>
            <w:rPr>
              <w:sz w:val="24"/>
              <w:szCs w:val="32"/>
            </w:rPr>
            <w:tab/>
          </w:r>
          <w:r>
            <w:rPr>
              <w:sz w:val="24"/>
              <w:szCs w:val="32"/>
            </w:rPr>
            <w:fldChar w:fldCharType="begin"/>
          </w:r>
          <w:r>
            <w:rPr>
              <w:sz w:val="24"/>
              <w:szCs w:val="32"/>
            </w:rPr>
            <w:instrText xml:space="preserve"> PAGEREF _Toc21409 \h </w:instrText>
          </w:r>
          <w:r>
            <w:rPr>
              <w:sz w:val="24"/>
              <w:szCs w:val="32"/>
            </w:rPr>
            <w:fldChar w:fldCharType="separate"/>
          </w:r>
          <w:r>
            <w:rPr>
              <w:sz w:val="24"/>
              <w:szCs w:val="32"/>
            </w:rPr>
            <w:t>35</w:t>
          </w:r>
          <w:r>
            <w:rPr>
              <w:sz w:val="24"/>
              <w:szCs w:val="32"/>
            </w:rPr>
            <w:fldChar w:fldCharType="end"/>
          </w:r>
          <w:r>
            <w:rPr>
              <w:sz w:val="24"/>
              <w:szCs w:val="32"/>
            </w:rPr>
            <w:fldChar w:fldCharType="end"/>
          </w:r>
        </w:p>
        <w:p w14:paraId="10FE6771">
          <w:pPr>
            <w:pStyle w:val="53"/>
            <w:tabs>
              <w:tab w:val="right" w:leader="dot" w:pos="9746"/>
            </w:tabs>
            <w:rPr>
              <w:sz w:val="24"/>
              <w:szCs w:val="32"/>
            </w:rPr>
          </w:pPr>
          <w:r>
            <w:fldChar w:fldCharType="begin"/>
          </w:r>
          <w:r>
            <w:instrText xml:space="preserve"> HYPERLINK \l "_Toc21880" </w:instrText>
          </w:r>
          <w:r>
            <w:fldChar w:fldCharType="separate"/>
          </w:r>
          <w:r>
            <w:rPr>
              <w:rFonts w:hint="eastAsia" w:ascii="宋体" w:hAnsi="宋体" w:cs="宋体"/>
              <w:bCs/>
              <w:sz w:val="24"/>
              <w:szCs w:val="36"/>
            </w:rPr>
            <w:t>八、民事责任</w:t>
          </w:r>
          <w:r>
            <w:rPr>
              <w:sz w:val="24"/>
              <w:szCs w:val="32"/>
            </w:rPr>
            <w:tab/>
          </w:r>
          <w:r>
            <w:rPr>
              <w:sz w:val="24"/>
              <w:szCs w:val="32"/>
            </w:rPr>
            <w:fldChar w:fldCharType="begin"/>
          </w:r>
          <w:r>
            <w:rPr>
              <w:sz w:val="24"/>
              <w:szCs w:val="32"/>
            </w:rPr>
            <w:instrText xml:space="preserve"> PAGEREF _Toc21880 \h </w:instrText>
          </w:r>
          <w:r>
            <w:rPr>
              <w:sz w:val="24"/>
              <w:szCs w:val="32"/>
            </w:rPr>
            <w:fldChar w:fldCharType="separate"/>
          </w:r>
          <w:r>
            <w:rPr>
              <w:sz w:val="24"/>
              <w:szCs w:val="32"/>
            </w:rPr>
            <w:t>35</w:t>
          </w:r>
          <w:r>
            <w:rPr>
              <w:sz w:val="24"/>
              <w:szCs w:val="32"/>
            </w:rPr>
            <w:fldChar w:fldCharType="end"/>
          </w:r>
          <w:r>
            <w:rPr>
              <w:sz w:val="24"/>
              <w:szCs w:val="32"/>
            </w:rPr>
            <w:fldChar w:fldCharType="end"/>
          </w:r>
        </w:p>
        <w:p w14:paraId="709E7540">
          <w:pPr>
            <w:pStyle w:val="53"/>
            <w:tabs>
              <w:tab w:val="right" w:leader="dot" w:pos="9746"/>
            </w:tabs>
            <w:rPr>
              <w:sz w:val="24"/>
              <w:szCs w:val="32"/>
            </w:rPr>
          </w:pPr>
          <w:r>
            <w:fldChar w:fldCharType="begin"/>
          </w:r>
          <w:r>
            <w:instrText xml:space="preserve"> HYPERLINK \l "_Toc27489" </w:instrText>
          </w:r>
          <w:r>
            <w:fldChar w:fldCharType="separate"/>
          </w:r>
          <w:r>
            <w:rPr>
              <w:rFonts w:hint="eastAsia" w:hAnsi="宋体" w:cs="宋体"/>
              <w:sz w:val="24"/>
            </w:rPr>
            <w:t>九、其他详见合同条款</w:t>
          </w:r>
          <w:r>
            <w:rPr>
              <w:sz w:val="24"/>
              <w:szCs w:val="32"/>
            </w:rPr>
            <w:tab/>
          </w:r>
          <w:r>
            <w:rPr>
              <w:sz w:val="24"/>
              <w:szCs w:val="32"/>
            </w:rPr>
            <w:fldChar w:fldCharType="begin"/>
          </w:r>
          <w:r>
            <w:rPr>
              <w:sz w:val="24"/>
              <w:szCs w:val="32"/>
            </w:rPr>
            <w:instrText xml:space="preserve"> PAGEREF _Toc27489 \h </w:instrText>
          </w:r>
          <w:r>
            <w:rPr>
              <w:sz w:val="24"/>
              <w:szCs w:val="32"/>
            </w:rPr>
            <w:fldChar w:fldCharType="separate"/>
          </w:r>
          <w:r>
            <w:rPr>
              <w:sz w:val="24"/>
              <w:szCs w:val="32"/>
            </w:rPr>
            <w:t>36</w:t>
          </w:r>
          <w:r>
            <w:rPr>
              <w:sz w:val="24"/>
              <w:szCs w:val="32"/>
            </w:rPr>
            <w:fldChar w:fldCharType="end"/>
          </w:r>
          <w:r>
            <w:rPr>
              <w:sz w:val="24"/>
              <w:szCs w:val="32"/>
            </w:rPr>
            <w:fldChar w:fldCharType="end"/>
          </w:r>
        </w:p>
        <w:p w14:paraId="76AA9E57">
          <w:pPr>
            <w:pStyle w:val="42"/>
            <w:tabs>
              <w:tab w:val="right" w:leader="dot" w:pos="9746"/>
            </w:tabs>
            <w:rPr>
              <w:sz w:val="24"/>
              <w:szCs w:val="32"/>
            </w:rPr>
          </w:pPr>
          <w:r>
            <w:fldChar w:fldCharType="begin"/>
          </w:r>
          <w:r>
            <w:instrText xml:space="preserve"> HYPERLINK \l "_Toc2631" </w:instrText>
          </w:r>
          <w:r>
            <w:fldChar w:fldCharType="separate"/>
          </w:r>
          <w:r>
            <w:rPr>
              <w:rFonts w:hint="eastAsia" w:ascii="宋体" w:hAnsi="宋体" w:cs="宋体"/>
              <w:sz w:val="24"/>
              <w:szCs w:val="22"/>
            </w:rPr>
            <w:t>第四部分 评审办法</w:t>
          </w:r>
          <w:r>
            <w:rPr>
              <w:sz w:val="24"/>
              <w:szCs w:val="32"/>
            </w:rPr>
            <w:tab/>
          </w:r>
          <w:r>
            <w:rPr>
              <w:sz w:val="24"/>
              <w:szCs w:val="32"/>
            </w:rPr>
            <w:fldChar w:fldCharType="begin"/>
          </w:r>
          <w:r>
            <w:rPr>
              <w:sz w:val="24"/>
              <w:szCs w:val="32"/>
            </w:rPr>
            <w:instrText xml:space="preserve"> PAGEREF _Toc2631 \h </w:instrText>
          </w:r>
          <w:r>
            <w:rPr>
              <w:sz w:val="24"/>
              <w:szCs w:val="32"/>
            </w:rPr>
            <w:fldChar w:fldCharType="separate"/>
          </w:r>
          <w:r>
            <w:rPr>
              <w:sz w:val="24"/>
              <w:szCs w:val="32"/>
            </w:rPr>
            <w:t>37</w:t>
          </w:r>
          <w:r>
            <w:rPr>
              <w:sz w:val="24"/>
              <w:szCs w:val="32"/>
            </w:rPr>
            <w:fldChar w:fldCharType="end"/>
          </w:r>
          <w:r>
            <w:rPr>
              <w:sz w:val="24"/>
              <w:szCs w:val="32"/>
            </w:rPr>
            <w:fldChar w:fldCharType="end"/>
          </w:r>
        </w:p>
        <w:p w14:paraId="196B95FE">
          <w:pPr>
            <w:pStyle w:val="53"/>
            <w:tabs>
              <w:tab w:val="right" w:leader="dot" w:pos="9746"/>
            </w:tabs>
            <w:rPr>
              <w:sz w:val="24"/>
              <w:szCs w:val="32"/>
            </w:rPr>
          </w:pPr>
          <w:r>
            <w:fldChar w:fldCharType="begin"/>
          </w:r>
          <w:r>
            <w:instrText xml:space="preserve"> HYPERLINK \l "_Toc13029" </w:instrText>
          </w:r>
          <w:r>
            <w:fldChar w:fldCharType="separate"/>
          </w:r>
          <w:r>
            <w:rPr>
              <w:rFonts w:hint="eastAsia" w:ascii="宋体" w:hAnsi="宋体" w:cs="宋体"/>
              <w:sz w:val="24"/>
              <w:szCs w:val="22"/>
            </w:rPr>
            <w:t>评审办法前附表</w:t>
          </w:r>
          <w:r>
            <w:rPr>
              <w:sz w:val="24"/>
              <w:szCs w:val="32"/>
            </w:rPr>
            <w:tab/>
          </w:r>
          <w:r>
            <w:rPr>
              <w:sz w:val="24"/>
              <w:szCs w:val="32"/>
            </w:rPr>
            <w:fldChar w:fldCharType="begin"/>
          </w:r>
          <w:r>
            <w:rPr>
              <w:sz w:val="24"/>
              <w:szCs w:val="32"/>
            </w:rPr>
            <w:instrText xml:space="preserve"> PAGEREF _Toc13029 \h </w:instrText>
          </w:r>
          <w:r>
            <w:rPr>
              <w:sz w:val="24"/>
              <w:szCs w:val="32"/>
            </w:rPr>
            <w:fldChar w:fldCharType="separate"/>
          </w:r>
          <w:r>
            <w:rPr>
              <w:sz w:val="24"/>
              <w:szCs w:val="32"/>
            </w:rPr>
            <w:t>37</w:t>
          </w:r>
          <w:r>
            <w:rPr>
              <w:sz w:val="24"/>
              <w:szCs w:val="32"/>
            </w:rPr>
            <w:fldChar w:fldCharType="end"/>
          </w:r>
          <w:r>
            <w:rPr>
              <w:sz w:val="24"/>
              <w:szCs w:val="32"/>
            </w:rPr>
            <w:fldChar w:fldCharType="end"/>
          </w:r>
        </w:p>
        <w:p w14:paraId="7BE6CD2D">
          <w:pPr>
            <w:pStyle w:val="53"/>
            <w:tabs>
              <w:tab w:val="right" w:leader="dot" w:pos="9746"/>
            </w:tabs>
            <w:rPr>
              <w:sz w:val="24"/>
              <w:szCs w:val="32"/>
            </w:rPr>
          </w:pPr>
          <w:r>
            <w:fldChar w:fldCharType="begin"/>
          </w:r>
          <w:r>
            <w:instrText xml:space="preserve"> HYPERLINK \l "_Toc25286" </w:instrText>
          </w:r>
          <w:r>
            <w:fldChar w:fldCharType="separate"/>
          </w:r>
          <w:r>
            <w:rPr>
              <w:rFonts w:hint="eastAsia" w:ascii="宋体" w:hAnsi="宋体" w:cs="宋体"/>
              <w:sz w:val="24"/>
              <w:szCs w:val="32"/>
            </w:rPr>
            <w:t>一、评审方法</w:t>
          </w:r>
          <w:r>
            <w:rPr>
              <w:sz w:val="24"/>
              <w:szCs w:val="32"/>
            </w:rPr>
            <w:tab/>
          </w:r>
          <w:r>
            <w:rPr>
              <w:sz w:val="24"/>
              <w:szCs w:val="32"/>
            </w:rPr>
            <w:fldChar w:fldCharType="begin"/>
          </w:r>
          <w:r>
            <w:rPr>
              <w:sz w:val="24"/>
              <w:szCs w:val="32"/>
            </w:rPr>
            <w:instrText xml:space="preserve"> PAGEREF _Toc25286 \h </w:instrText>
          </w:r>
          <w:r>
            <w:rPr>
              <w:sz w:val="24"/>
              <w:szCs w:val="32"/>
            </w:rPr>
            <w:fldChar w:fldCharType="separate"/>
          </w:r>
          <w:r>
            <w:rPr>
              <w:sz w:val="24"/>
              <w:szCs w:val="32"/>
            </w:rPr>
            <w:t>40</w:t>
          </w:r>
          <w:r>
            <w:rPr>
              <w:sz w:val="24"/>
              <w:szCs w:val="32"/>
            </w:rPr>
            <w:fldChar w:fldCharType="end"/>
          </w:r>
          <w:r>
            <w:rPr>
              <w:sz w:val="24"/>
              <w:szCs w:val="32"/>
            </w:rPr>
            <w:fldChar w:fldCharType="end"/>
          </w:r>
        </w:p>
        <w:p w14:paraId="7CCBE5D3">
          <w:pPr>
            <w:pStyle w:val="53"/>
            <w:tabs>
              <w:tab w:val="right" w:leader="dot" w:pos="9746"/>
            </w:tabs>
            <w:rPr>
              <w:sz w:val="24"/>
              <w:szCs w:val="32"/>
            </w:rPr>
          </w:pPr>
          <w:r>
            <w:fldChar w:fldCharType="begin"/>
          </w:r>
          <w:r>
            <w:instrText xml:space="preserve"> HYPERLINK \l "_Toc8058" </w:instrText>
          </w:r>
          <w:r>
            <w:fldChar w:fldCharType="separate"/>
          </w:r>
          <w:r>
            <w:rPr>
              <w:rFonts w:hint="eastAsia" w:ascii="宋体" w:hAnsi="宋体" w:cs="宋体"/>
              <w:sz w:val="24"/>
              <w:szCs w:val="32"/>
            </w:rPr>
            <w:t>二、评审标准</w:t>
          </w:r>
          <w:r>
            <w:rPr>
              <w:sz w:val="24"/>
              <w:szCs w:val="32"/>
            </w:rPr>
            <w:tab/>
          </w:r>
          <w:r>
            <w:rPr>
              <w:sz w:val="24"/>
              <w:szCs w:val="32"/>
            </w:rPr>
            <w:fldChar w:fldCharType="begin"/>
          </w:r>
          <w:r>
            <w:rPr>
              <w:sz w:val="24"/>
              <w:szCs w:val="32"/>
            </w:rPr>
            <w:instrText xml:space="preserve"> PAGEREF _Toc8058 \h </w:instrText>
          </w:r>
          <w:r>
            <w:rPr>
              <w:sz w:val="24"/>
              <w:szCs w:val="32"/>
            </w:rPr>
            <w:fldChar w:fldCharType="separate"/>
          </w:r>
          <w:r>
            <w:rPr>
              <w:sz w:val="24"/>
              <w:szCs w:val="32"/>
            </w:rPr>
            <w:t>40</w:t>
          </w:r>
          <w:r>
            <w:rPr>
              <w:sz w:val="24"/>
              <w:szCs w:val="32"/>
            </w:rPr>
            <w:fldChar w:fldCharType="end"/>
          </w:r>
          <w:r>
            <w:rPr>
              <w:sz w:val="24"/>
              <w:szCs w:val="32"/>
            </w:rPr>
            <w:fldChar w:fldCharType="end"/>
          </w:r>
        </w:p>
        <w:p w14:paraId="19DBED66">
          <w:pPr>
            <w:pStyle w:val="53"/>
            <w:tabs>
              <w:tab w:val="right" w:leader="dot" w:pos="9746"/>
            </w:tabs>
            <w:rPr>
              <w:sz w:val="24"/>
              <w:szCs w:val="32"/>
            </w:rPr>
          </w:pPr>
          <w:r>
            <w:fldChar w:fldCharType="begin"/>
          </w:r>
          <w:r>
            <w:instrText xml:space="preserve"> HYPERLINK \l "_Toc12388" </w:instrText>
          </w:r>
          <w:r>
            <w:fldChar w:fldCharType="separate"/>
          </w:r>
          <w:r>
            <w:rPr>
              <w:rFonts w:hint="eastAsia" w:ascii="宋体" w:hAnsi="宋体" w:cs="宋体"/>
              <w:sz w:val="24"/>
              <w:szCs w:val="32"/>
            </w:rPr>
            <w:t>三、评审程序</w:t>
          </w:r>
          <w:r>
            <w:rPr>
              <w:sz w:val="24"/>
              <w:szCs w:val="32"/>
            </w:rPr>
            <w:tab/>
          </w:r>
          <w:r>
            <w:rPr>
              <w:sz w:val="24"/>
              <w:szCs w:val="32"/>
            </w:rPr>
            <w:fldChar w:fldCharType="begin"/>
          </w:r>
          <w:r>
            <w:rPr>
              <w:sz w:val="24"/>
              <w:szCs w:val="32"/>
            </w:rPr>
            <w:instrText xml:space="preserve"> PAGEREF _Toc12388 \h </w:instrText>
          </w:r>
          <w:r>
            <w:rPr>
              <w:sz w:val="24"/>
              <w:szCs w:val="32"/>
            </w:rPr>
            <w:fldChar w:fldCharType="separate"/>
          </w:r>
          <w:r>
            <w:rPr>
              <w:sz w:val="24"/>
              <w:szCs w:val="32"/>
            </w:rPr>
            <w:t>40</w:t>
          </w:r>
          <w:r>
            <w:rPr>
              <w:sz w:val="24"/>
              <w:szCs w:val="32"/>
            </w:rPr>
            <w:fldChar w:fldCharType="end"/>
          </w:r>
          <w:r>
            <w:rPr>
              <w:sz w:val="24"/>
              <w:szCs w:val="32"/>
            </w:rPr>
            <w:fldChar w:fldCharType="end"/>
          </w:r>
        </w:p>
        <w:p w14:paraId="69B49935">
          <w:pPr>
            <w:pStyle w:val="53"/>
            <w:tabs>
              <w:tab w:val="right" w:leader="dot" w:pos="9746"/>
            </w:tabs>
            <w:rPr>
              <w:sz w:val="24"/>
              <w:szCs w:val="32"/>
            </w:rPr>
          </w:pPr>
          <w:r>
            <w:fldChar w:fldCharType="begin"/>
          </w:r>
          <w:r>
            <w:instrText xml:space="preserve"> HYPERLINK \l "_Toc13831" </w:instrText>
          </w:r>
          <w:r>
            <w:fldChar w:fldCharType="separate"/>
          </w:r>
          <w:r>
            <w:rPr>
              <w:rFonts w:hint="eastAsia" w:ascii="宋体" w:hAnsi="宋体" w:cs="宋体"/>
              <w:sz w:val="24"/>
              <w:szCs w:val="32"/>
            </w:rPr>
            <w:t>四、评审中的其他事项</w:t>
          </w:r>
          <w:r>
            <w:rPr>
              <w:sz w:val="24"/>
              <w:szCs w:val="32"/>
            </w:rPr>
            <w:tab/>
          </w:r>
          <w:r>
            <w:rPr>
              <w:sz w:val="24"/>
              <w:szCs w:val="32"/>
            </w:rPr>
            <w:fldChar w:fldCharType="begin"/>
          </w:r>
          <w:r>
            <w:rPr>
              <w:sz w:val="24"/>
              <w:szCs w:val="32"/>
            </w:rPr>
            <w:instrText xml:space="preserve"> PAGEREF _Toc13831 \h </w:instrText>
          </w:r>
          <w:r>
            <w:rPr>
              <w:sz w:val="24"/>
              <w:szCs w:val="32"/>
            </w:rPr>
            <w:fldChar w:fldCharType="separate"/>
          </w:r>
          <w:r>
            <w:rPr>
              <w:sz w:val="24"/>
              <w:szCs w:val="32"/>
            </w:rPr>
            <w:t>42</w:t>
          </w:r>
          <w:r>
            <w:rPr>
              <w:sz w:val="24"/>
              <w:szCs w:val="32"/>
            </w:rPr>
            <w:fldChar w:fldCharType="end"/>
          </w:r>
          <w:r>
            <w:rPr>
              <w:sz w:val="24"/>
              <w:szCs w:val="32"/>
            </w:rPr>
            <w:fldChar w:fldCharType="end"/>
          </w:r>
        </w:p>
        <w:p w14:paraId="3F866934">
          <w:pPr>
            <w:pStyle w:val="42"/>
            <w:tabs>
              <w:tab w:val="right" w:leader="dot" w:pos="9746"/>
            </w:tabs>
            <w:rPr>
              <w:sz w:val="24"/>
              <w:szCs w:val="32"/>
            </w:rPr>
          </w:pPr>
          <w:r>
            <w:fldChar w:fldCharType="begin"/>
          </w:r>
          <w:r>
            <w:instrText xml:space="preserve"> HYPERLINK \l "_Toc5032" </w:instrText>
          </w:r>
          <w:r>
            <w:fldChar w:fldCharType="separate"/>
          </w:r>
          <w:r>
            <w:rPr>
              <w:rFonts w:hint="eastAsia" w:ascii="宋体" w:hAnsi="宋体" w:cs="宋体"/>
              <w:sz w:val="24"/>
              <w:szCs w:val="44"/>
            </w:rPr>
            <w:t>第五部分 拟签订的合同文本</w:t>
          </w:r>
          <w:r>
            <w:rPr>
              <w:sz w:val="24"/>
              <w:szCs w:val="32"/>
            </w:rPr>
            <w:tab/>
          </w:r>
          <w:r>
            <w:rPr>
              <w:sz w:val="24"/>
              <w:szCs w:val="32"/>
            </w:rPr>
            <w:fldChar w:fldCharType="begin"/>
          </w:r>
          <w:r>
            <w:rPr>
              <w:sz w:val="24"/>
              <w:szCs w:val="32"/>
            </w:rPr>
            <w:instrText xml:space="preserve"> PAGEREF _Toc5032 \h </w:instrText>
          </w:r>
          <w:r>
            <w:rPr>
              <w:sz w:val="24"/>
              <w:szCs w:val="32"/>
            </w:rPr>
            <w:fldChar w:fldCharType="separate"/>
          </w:r>
          <w:r>
            <w:rPr>
              <w:sz w:val="24"/>
              <w:szCs w:val="32"/>
            </w:rPr>
            <w:t>45</w:t>
          </w:r>
          <w:r>
            <w:rPr>
              <w:sz w:val="24"/>
              <w:szCs w:val="32"/>
            </w:rPr>
            <w:fldChar w:fldCharType="end"/>
          </w:r>
          <w:r>
            <w:rPr>
              <w:sz w:val="24"/>
              <w:szCs w:val="32"/>
            </w:rPr>
            <w:fldChar w:fldCharType="end"/>
          </w:r>
        </w:p>
        <w:p w14:paraId="45E1A51C">
          <w:pPr>
            <w:pStyle w:val="53"/>
            <w:tabs>
              <w:tab w:val="right" w:leader="dot" w:pos="9746"/>
            </w:tabs>
            <w:rPr>
              <w:sz w:val="24"/>
              <w:szCs w:val="32"/>
            </w:rPr>
          </w:pPr>
          <w:r>
            <w:fldChar w:fldCharType="begin"/>
          </w:r>
          <w:r>
            <w:instrText xml:space="preserve"> HYPERLINK \l "_Toc10264" </w:instrText>
          </w:r>
          <w:r>
            <w:fldChar w:fldCharType="separate"/>
          </w:r>
          <w:r>
            <w:rPr>
              <w:rFonts w:hint="eastAsia" w:ascii="宋体" w:hAnsi="宋体" w:cs="宋体"/>
              <w:sz w:val="24"/>
              <w:szCs w:val="36"/>
            </w:rPr>
            <w:t>（以最终签订为准）</w:t>
          </w:r>
          <w:r>
            <w:rPr>
              <w:sz w:val="24"/>
              <w:szCs w:val="32"/>
            </w:rPr>
            <w:tab/>
          </w:r>
          <w:r>
            <w:rPr>
              <w:sz w:val="24"/>
              <w:szCs w:val="32"/>
            </w:rPr>
            <w:fldChar w:fldCharType="begin"/>
          </w:r>
          <w:r>
            <w:rPr>
              <w:sz w:val="24"/>
              <w:szCs w:val="32"/>
            </w:rPr>
            <w:instrText xml:space="preserve"> PAGEREF _Toc10264 \h </w:instrText>
          </w:r>
          <w:r>
            <w:rPr>
              <w:sz w:val="24"/>
              <w:szCs w:val="32"/>
            </w:rPr>
            <w:fldChar w:fldCharType="separate"/>
          </w:r>
          <w:r>
            <w:rPr>
              <w:sz w:val="24"/>
              <w:szCs w:val="32"/>
            </w:rPr>
            <w:t>45</w:t>
          </w:r>
          <w:r>
            <w:rPr>
              <w:sz w:val="24"/>
              <w:szCs w:val="32"/>
            </w:rPr>
            <w:fldChar w:fldCharType="end"/>
          </w:r>
          <w:r>
            <w:rPr>
              <w:sz w:val="24"/>
              <w:szCs w:val="32"/>
            </w:rPr>
            <w:fldChar w:fldCharType="end"/>
          </w:r>
        </w:p>
        <w:p w14:paraId="17103A75">
          <w:pPr>
            <w:pStyle w:val="53"/>
            <w:tabs>
              <w:tab w:val="right" w:leader="dot" w:pos="9746"/>
            </w:tabs>
            <w:rPr>
              <w:sz w:val="24"/>
              <w:szCs w:val="32"/>
            </w:rPr>
          </w:pPr>
          <w:r>
            <w:fldChar w:fldCharType="begin"/>
          </w:r>
          <w:r>
            <w:instrText xml:space="preserve"> HYPERLINK \l "_Toc14334" </w:instrText>
          </w:r>
          <w:r>
            <w:fldChar w:fldCharType="separate"/>
          </w:r>
          <w:r>
            <w:rPr>
              <w:rFonts w:hint="eastAsia" w:ascii="宋体" w:hAnsi="宋体"/>
              <w:sz w:val="24"/>
              <w:szCs w:val="32"/>
              <w:lang w:eastAsia="zh-CN"/>
            </w:rPr>
            <w:t>浙江中医药大学滨文校区围墙周界及屋面监控增补项目</w:t>
          </w:r>
          <w:r>
            <w:rPr>
              <w:rFonts w:hint="eastAsia" w:ascii="宋体" w:hAnsi="宋体"/>
              <w:sz w:val="24"/>
              <w:szCs w:val="32"/>
            </w:rPr>
            <w:t>合同</w:t>
          </w:r>
          <w:r>
            <w:rPr>
              <w:sz w:val="24"/>
              <w:szCs w:val="32"/>
            </w:rPr>
            <w:tab/>
          </w:r>
          <w:r>
            <w:rPr>
              <w:sz w:val="24"/>
              <w:szCs w:val="32"/>
            </w:rPr>
            <w:fldChar w:fldCharType="begin"/>
          </w:r>
          <w:r>
            <w:rPr>
              <w:sz w:val="24"/>
              <w:szCs w:val="32"/>
            </w:rPr>
            <w:instrText xml:space="preserve"> PAGEREF _Toc14334 \h </w:instrText>
          </w:r>
          <w:r>
            <w:rPr>
              <w:sz w:val="24"/>
              <w:szCs w:val="32"/>
            </w:rPr>
            <w:fldChar w:fldCharType="separate"/>
          </w:r>
          <w:r>
            <w:rPr>
              <w:sz w:val="24"/>
              <w:szCs w:val="32"/>
            </w:rPr>
            <w:t>45</w:t>
          </w:r>
          <w:r>
            <w:rPr>
              <w:sz w:val="24"/>
              <w:szCs w:val="32"/>
            </w:rPr>
            <w:fldChar w:fldCharType="end"/>
          </w:r>
          <w:r>
            <w:rPr>
              <w:sz w:val="24"/>
              <w:szCs w:val="32"/>
            </w:rPr>
            <w:fldChar w:fldCharType="end"/>
          </w:r>
        </w:p>
        <w:p w14:paraId="04834FA1">
          <w:pPr>
            <w:pStyle w:val="53"/>
            <w:tabs>
              <w:tab w:val="right" w:leader="dot" w:pos="9746"/>
            </w:tabs>
            <w:rPr>
              <w:sz w:val="24"/>
              <w:szCs w:val="32"/>
            </w:rPr>
          </w:pPr>
          <w:r>
            <w:fldChar w:fldCharType="begin"/>
          </w:r>
          <w:r>
            <w:instrText xml:space="preserve"> HYPERLINK \l "_Toc24859" </w:instrText>
          </w:r>
          <w:r>
            <w:fldChar w:fldCharType="separate"/>
          </w:r>
          <w:r>
            <w:rPr>
              <w:rFonts w:ascii="宋体" w:hAnsi="宋体"/>
              <w:sz w:val="24"/>
              <w:szCs w:val="32"/>
            </w:rPr>
            <w:t xml:space="preserve">第一部分 </w:t>
          </w:r>
          <w:r>
            <w:rPr>
              <w:rFonts w:hint="eastAsia" w:ascii="宋体" w:hAnsi="宋体"/>
              <w:sz w:val="24"/>
              <w:szCs w:val="32"/>
            </w:rPr>
            <w:t>合同</w:t>
          </w:r>
          <w:r>
            <w:rPr>
              <w:rFonts w:ascii="宋体" w:hAnsi="宋体"/>
              <w:sz w:val="24"/>
              <w:szCs w:val="32"/>
            </w:rPr>
            <w:t>协议书</w:t>
          </w:r>
          <w:r>
            <w:rPr>
              <w:sz w:val="24"/>
              <w:szCs w:val="32"/>
            </w:rPr>
            <w:tab/>
          </w:r>
          <w:r>
            <w:rPr>
              <w:sz w:val="24"/>
              <w:szCs w:val="32"/>
            </w:rPr>
            <w:fldChar w:fldCharType="begin"/>
          </w:r>
          <w:r>
            <w:rPr>
              <w:sz w:val="24"/>
              <w:szCs w:val="32"/>
            </w:rPr>
            <w:instrText xml:space="preserve"> PAGEREF _Toc24859 \h </w:instrText>
          </w:r>
          <w:r>
            <w:rPr>
              <w:sz w:val="24"/>
              <w:szCs w:val="32"/>
            </w:rPr>
            <w:fldChar w:fldCharType="separate"/>
          </w:r>
          <w:r>
            <w:rPr>
              <w:sz w:val="24"/>
              <w:szCs w:val="32"/>
            </w:rPr>
            <w:t>45</w:t>
          </w:r>
          <w:r>
            <w:rPr>
              <w:sz w:val="24"/>
              <w:szCs w:val="32"/>
            </w:rPr>
            <w:fldChar w:fldCharType="end"/>
          </w:r>
          <w:r>
            <w:rPr>
              <w:sz w:val="24"/>
              <w:szCs w:val="32"/>
            </w:rPr>
            <w:fldChar w:fldCharType="end"/>
          </w:r>
        </w:p>
        <w:p w14:paraId="3336A974">
          <w:pPr>
            <w:pStyle w:val="53"/>
            <w:tabs>
              <w:tab w:val="right" w:leader="dot" w:pos="9746"/>
            </w:tabs>
            <w:rPr>
              <w:sz w:val="24"/>
              <w:szCs w:val="32"/>
            </w:rPr>
          </w:pPr>
          <w:r>
            <w:fldChar w:fldCharType="begin"/>
          </w:r>
          <w:r>
            <w:instrText xml:space="preserve"> HYPERLINK \l "_Toc23044" </w:instrText>
          </w:r>
          <w:r>
            <w:fldChar w:fldCharType="separate"/>
          </w:r>
          <w:r>
            <w:rPr>
              <w:rFonts w:hint="eastAsia" w:ascii="宋体" w:hAnsi="宋体" w:cs="宋体"/>
              <w:sz w:val="24"/>
              <w:szCs w:val="32"/>
            </w:rPr>
            <w:t>第二部分 通用合同条款（略)</w:t>
          </w:r>
          <w:r>
            <w:rPr>
              <w:sz w:val="24"/>
              <w:szCs w:val="32"/>
            </w:rPr>
            <w:tab/>
          </w:r>
          <w:r>
            <w:rPr>
              <w:sz w:val="24"/>
              <w:szCs w:val="32"/>
            </w:rPr>
            <w:fldChar w:fldCharType="begin"/>
          </w:r>
          <w:r>
            <w:rPr>
              <w:sz w:val="24"/>
              <w:szCs w:val="32"/>
            </w:rPr>
            <w:instrText xml:space="preserve"> PAGEREF _Toc23044 \h </w:instrText>
          </w:r>
          <w:r>
            <w:rPr>
              <w:sz w:val="24"/>
              <w:szCs w:val="32"/>
            </w:rPr>
            <w:fldChar w:fldCharType="separate"/>
          </w:r>
          <w:r>
            <w:rPr>
              <w:sz w:val="24"/>
              <w:szCs w:val="32"/>
            </w:rPr>
            <w:t>49</w:t>
          </w:r>
          <w:r>
            <w:rPr>
              <w:sz w:val="24"/>
              <w:szCs w:val="32"/>
            </w:rPr>
            <w:fldChar w:fldCharType="end"/>
          </w:r>
          <w:r>
            <w:rPr>
              <w:sz w:val="24"/>
              <w:szCs w:val="32"/>
            </w:rPr>
            <w:fldChar w:fldCharType="end"/>
          </w:r>
        </w:p>
        <w:p w14:paraId="06D4D317">
          <w:pPr>
            <w:pStyle w:val="53"/>
            <w:tabs>
              <w:tab w:val="right" w:leader="dot" w:pos="9746"/>
            </w:tabs>
            <w:rPr>
              <w:sz w:val="24"/>
              <w:szCs w:val="32"/>
            </w:rPr>
          </w:pPr>
          <w:r>
            <w:fldChar w:fldCharType="begin"/>
          </w:r>
          <w:r>
            <w:instrText xml:space="preserve"> HYPERLINK \l "_Toc22138" </w:instrText>
          </w:r>
          <w:r>
            <w:fldChar w:fldCharType="separate"/>
          </w:r>
          <w:r>
            <w:rPr>
              <w:rFonts w:hint="eastAsia" w:ascii="宋体" w:hAnsi="宋体" w:cs="宋体"/>
              <w:sz w:val="24"/>
              <w:szCs w:val="32"/>
            </w:rPr>
            <w:t>第三部分 专用合同条款</w:t>
          </w:r>
          <w:r>
            <w:rPr>
              <w:sz w:val="24"/>
              <w:szCs w:val="32"/>
            </w:rPr>
            <w:tab/>
          </w:r>
          <w:r>
            <w:rPr>
              <w:sz w:val="24"/>
              <w:szCs w:val="32"/>
            </w:rPr>
            <w:fldChar w:fldCharType="begin"/>
          </w:r>
          <w:r>
            <w:rPr>
              <w:sz w:val="24"/>
              <w:szCs w:val="32"/>
            </w:rPr>
            <w:instrText xml:space="preserve"> PAGEREF _Toc22138 \h </w:instrText>
          </w:r>
          <w:r>
            <w:rPr>
              <w:sz w:val="24"/>
              <w:szCs w:val="32"/>
            </w:rPr>
            <w:fldChar w:fldCharType="separate"/>
          </w:r>
          <w:r>
            <w:rPr>
              <w:sz w:val="24"/>
              <w:szCs w:val="32"/>
            </w:rPr>
            <w:t>49</w:t>
          </w:r>
          <w:r>
            <w:rPr>
              <w:sz w:val="24"/>
              <w:szCs w:val="32"/>
            </w:rPr>
            <w:fldChar w:fldCharType="end"/>
          </w:r>
          <w:r>
            <w:rPr>
              <w:sz w:val="24"/>
              <w:szCs w:val="32"/>
            </w:rPr>
            <w:fldChar w:fldCharType="end"/>
          </w:r>
        </w:p>
        <w:p w14:paraId="56E9EF15">
          <w:pPr>
            <w:pStyle w:val="42"/>
            <w:tabs>
              <w:tab w:val="right" w:leader="dot" w:pos="9746"/>
            </w:tabs>
            <w:rPr>
              <w:sz w:val="24"/>
              <w:szCs w:val="32"/>
            </w:rPr>
          </w:pPr>
          <w:r>
            <w:fldChar w:fldCharType="begin"/>
          </w:r>
          <w:r>
            <w:instrText xml:space="preserve"> HYPERLINK \l "_Toc8123" </w:instrText>
          </w:r>
          <w:r>
            <w:fldChar w:fldCharType="separate"/>
          </w:r>
          <w:r>
            <w:rPr>
              <w:rFonts w:hint="eastAsia" w:ascii="宋体" w:hAnsi="宋体" w:cs="宋体"/>
              <w:sz w:val="24"/>
              <w:szCs w:val="22"/>
            </w:rPr>
            <w:t>第六部分 应提交的有关格式范例</w:t>
          </w:r>
          <w:r>
            <w:rPr>
              <w:sz w:val="24"/>
              <w:szCs w:val="32"/>
            </w:rPr>
            <w:tab/>
          </w:r>
          <w:r>
            <w:rPr>
              <w:sz w:val="24"/>
              <w:szCs w:val="32"/>
            </w:rPr>
            <w:fldChar w:fldCharType="begin"/>
          </w:r>
          <w:r>
            <w:rPr>
              <w:sz w:val="24"/>
              <w:szCs w:val="32"/>
            </w:rPr>
            <w:instrText xml:space="preserve"> PAGEREF _Toc8123 \h </w:instrText>
          </w:r>
          <w:r>
            <w:rPr>
              <w:sz w:val="24"/>
              <w:szCs w:val="32"/>
            </w:rPr>
            <w:fldChar w:fldCharType="separate"/>
          </w:r>
          <w:r>
            <w:rPr>
              <w:sz w:val="24"/>
              <w:szCs w:val="32"/>
            </w:rPr>
            <w:t>83</w:t>
          </w:r>
          <w:r>
            <w:rPr>
              <w:sz w:val="24"/>
              <w:szCs w:val="32"/>
            </w:rPr>
            <w:fldChar w:fldCharType="end"/>
          </w:r>
          <w:r>
            <w:rPr>
              <w:sz w:val="24"/>
              <w:szCs w:val="32"/>
            </w:rPr>
            <w:fldChar w:fldCharType="end"/>
          </w:r>
        </w:p>
        <w:p w14:paraId="7CCD6199">
          <w:pPr>
            <w:pStyle w:val="53"/>
            <w:tabs>
              <w:tab w:val="right" w:leader="dot" w:pos="9746"/>
            </w:tabs>
            <w:rPr>
              <w:sz w:val="24"/>
              <w:szCs w:val="32"/>
            </w:rPr>
          </w:pPr>
          <w:r>
            <w:fldChar w:fldCharType="begin"/>
          </w:r>
          <w:r>
            <w:instrText xml:space="preserve"> HYPERLINK \l "_Toc27521" </w:instrText>
          </w:r>
          <w:r>
            <w:fldChar w:fldCharType="separate"/>
          </w:r>
          <w:r>
            <w:rPr>
              <w:rFonts w:hint="eastAsia" w:ascii="宋体" w:hAnsi="宋体" w:cs="宋体"/>
              <w:kern w:val="0"/>
              <w:sz w:val="24"/>
              <w:szCs w:val="44"/>
            </w:rPr>
            <w:t>资格文件部分</w:t>
          </w:r>
          <w:r>
            <w:rPr>
              <w:sz w:val="24"/>
              <w:szCs w:val="32"/>
            </w:rPr>
            <w:tab/>
          </w:r>
          <w:r>
            <w:rPr>
              <w:sz w:val="24"/>
              <w:szCs w:val="32"/>
            </w:rPr>
            <w:fldChar w:fldCharType="begin"/>
          </w:r>
          <w:r>
            <w:rPr>
              <w:sz w:val="24"/>
              <w:szCs w:val="32"/>
            </w:rPr>
            <w:instrText xml:space="preserve"> PAGEREF _Toc27521 \h </w:instrText>
          </w:r>
          <w:r>
            <w:rPr>
              <w:sz w:val="24"/>
              <w:szCs w:val="32"/>
            </w:rPr>
            <w:fldChar w:fldCharType="separate"/>
          </w:r>
          <w:r>
            <w:rPr>
              <w:sz w:val="24"/>
              <w:szCs w:val="32"/>
            </w:rPr>
            <w:t>83</w:t>
          </w:r>
          <w:r>
            <w:rPr>
              <w:sz w:val="24"/>
              <w:szCs w:val="32"/>
            </w:rPr>
            <w:fldChar w:fldCharType="end"/>
          </w:r>
          <w:r>
            <w:rPr>
              <w:sz w:val="24"/>
              <w:szCs w:val="32"/>
            </w:rPr>
            <w:fldChar w:fldCharType="end"/>
          </w:r>
        </w:p>
        <w:p w14:paraId="1BA048E3">
          <w:pPr>
            <w:pStyle w:val="53"/>
            <w:tabs>
              <w:tab w:val="right" w:leader="dot" w:pos="9746"/>
            </w:tabs>
            <w:rPr>
              <w:sz w:val="24"/>
              <w:szCs w:val="32"/>
            </w:rPr>
          </w:pPr>
          <w:r>
            <w:fldChar w:fldCharType="begin"/>
          </w:r>
          <w:r>
            <w:instrText xml:space="preserve"> HYPERLINK \l "_Toc10085" </w:instrText>
          </w:r>
          <w:r>
            <w:fldChar w:fldCharType="separate"/>
          </w:r>
          <w:r>
            <w:rPr>
              <w:rFonts w:hint="eastAsia" w:ascii="宋体" w:hAnsi="宋体" w:cs="宋体"/>
              <w:kern w:val="0"/>
              <w:sz w:val="24"/>
              <w:szCs w:val="44"/>
            </w:rPr>
            <w:t>商务技术文件部分</w:t>
          </w:r>
          <w:r>
            <w:rPr>
              <w:sz w:val="24"/>
              <w:szCs w:val="32"/>
            </w:rPr>
            <w:tab/>
          </w:r>
          <w:r>
            <w:rPr>
              <w:sz w:val="24"/>
              <w:szCs w:val="32"/>
            </w:rPr>
            <w:fldChar w:fldCharType="begin"/>
          </w:r>
          <w:r>
            <w:rPr>
              <w:sz w:val="24"/>
              <w:szCs w:val="32"/>
            </w:rPr>
            <w:instrText xml:space="preserve"> PAGEREF _Toc10085 \h </w:instrText>
          </w:r>
          <w:r>
            <w:rPr>
              <w:sz w:val="24"/>
              <w:szCs w:val="32"/>
            </w:rPr>
            <w:fldChar w:fldCharType="separate"/>
          </w:r>
          <w:r>
            <w:rPr>
              <w:sz w:val="24"/>
              <w:szCs w:val="32"/>
            </w:rPr>
            <w:t>87</w:t>
          </w:r>
          <w:r>
            <w:rPr>
              <w:sz w:val="24"/>
              <w:szCs w:val="32"/>
            </w:rPr>
            <w:fldChar w:fldCharType="end"/>
          </w:r>
          <w:r>
            <w:rPr>
              <w:sz w:val="24"/>
              <w:szCs w:val="32"/>
            </w:rPr>
            <w:fldChar w:fldCharType="end"/>
          </w:r>
        </w:p>
        <w:p w14:paraId="4D34D2ED">
          <w:pPr>
            <w:pStyle w:val="53"/>
            <w:tabs>
              <w:tab w:val="right" w:leader="dot" w:pos="9746"/>
            </w:tabs>
            <w:rPr>
              <w:sz w:val="24"/>
              <w:szCs w:val="32"/>
            </w:rPr>
          </w:pPr>
          <w:r>
            <w:fldChar w:fldCharType="begin"/>
          </w:r>
          <w:r>
            <w:instrText xml:space="preserve"> HYPERLINK \l "_Toc483" </w:instrText>
          </w:r>
          <w:r>
            <w:fldChar w:fldCharType="separate"/>
          </w:r>
          <w:r>
            <w:rPr>
              <w:rFonts w:hint="eastAsia" w:ascii="宋体" w:hAnsi="宋体" w:cs="宋体"/>
              <w:kern w:val="0"/>
              <w:sz w:val="24"/>
              <w:szCs w:val="44"/>
            </w:rPr>
            <w:t>报价文件部分</w:t>
          </w:r>
          <w:r>
            <w:rPr>
              <w:sz w:val="24"/>
              <w:szCs w:val="32"/>
            </w:rPr>
            <w:tab/>
          </w:r>
          <w:r>
            <w:rPr>
              <w:sz w:val="24"/>
              <w:szCs w:val="32"/>
            </w:rPr>
            <w:fldChar w:fldCharType="begin"/>
          </w:r>
          <w:r>
            <w:rPr>
              <w:sz w:val="24"/>
              <w:szCs w:val="32"/>
            </w:rPr>
            <w:instrText xml:space="preserve"> PAGEREF _Toc483 \h </w:instrText>
          </w:r>
          <w:r>
            <w:rPr>
              <w:sz w:val="24"/>
              <w:szCs w:val="32"/>
            </w:rPr>
            <w:fldChar w:fldCharType="separate"/>
          </w:r>
          <w:r>
            <w:rPr>
              <w:sz w:val="24"/>
              <w:szCs w:val="32"/>
            </w:rPr>
            <w:t>95</w:t>
          </w:r>
          <w:r>
            <w:rPr>
              <w:sz w:val="24"/>
              <w:szCs w:val="32"/>
            </w:rPr>
            <w:fldChar w:fldCharType="end"/>
          </w:r>
          <w:r>
            <w:rPr>
              <w:sz w:val="24"/>
              <w:szCs w:val="32"/>
            </w:rPr>
            <w:fldChar w:fldCharType="end"/>
          </w:r>
        </w:p>
        <w:p w14:paraId="38F3AD0C">
          <w:pPr>
            <w:pStyle w:val="42"/>
            <w:tabs>
              <w:tab w:val="right" w:leader="dot" w:pos="9746"/>
            </w:tabs>
            <w:rPr>
              <w:sz w:val="24"/>
              <w:szCs w:val="32"/>
            </w:rPr>
          </w:pPr>
          <w:r>
            <w:fldChar w:fldCharType="begin"/>
          </w:r>
          <w:r>
            <w:instrText xml:space="preserve"> HYPERLINK \l "_Toc19335" </w:instrText>
          </w:r>
          <w:r>
            <w:fldChar w:fldCharType="separate"/>
          </w:r>
          <w:r>
            <w:rPr>
              <w:rFonts w:hint="eastAsia" w:ascii="宋体" w:hAnsi="宋体" w:cs="宋体"/>
              <w:sz w:val="24"/>
              <w:szCs w:val="32"/>
            </w:rPr>
            <w:t>附件</w:t>
          </w:r>
          <w:r>
            <w:rPr>
              <w:sz w:val="24"/>
              <w:szCs w:val="32"/>
            </w:rPr>
            <w:tab/>
          </w:r>
          <w:r>
            <w:rPr>
              <w:sz w:val="24"/>
              <w:szCs w:val="32"/>
            </w:rPr>
            <w:fldChar w:fldCharType="begin"/>
          </w:r>
          <w:r>
            <w:rPr>
              <w:sz w:val="24"/>
              <w:szCs w:val="32"/>
            </w:rPr>
            <w:instrText xml:space="preserve"> PAGEREF _Toc19335 \h </w:instrText>
          </w:r>
          <w:r>
            <w:rPr>
              <w:sz w:val="24"/>
              <w:szCs w:val="32"/>
            </w:rPr>
            <w:fldChar w:fldCharType="separate"/>
          </w:r>
          <w:r>
            <w:rPr>
              <w:sz w:val="24"/>
              <w:szCs w:val="32"/>
            </w:rPr>
            <w:t>98</w:t>
          </w:r>
          <w:r>
            <w:rPr>
              <w:sz w:val="24"/>
              <w:szCs w:val="32"/>
            </w:rPr>
            <w:fldChar w:fldCharType="end"/>
          </w:r>
          <w:r>
            <w:rPr>
              <w:sz w:val="24"/>
              <w:szCs w:val="32"/>
            </w:rPr>
            <w:fldChar w:fldCharType="end"/>
          </w:r>
        </w:p>
        <w:p w14:paraId="0D98BE7B">
          <w:pPr>
            <w:spacing w:line="360" w:lineRule="auto"/>
          </w:pPr>
          <w:r>
            <w:rPr>
              <w:rFonts w:hint="eastAsia" w:ascii="宋体" w:hAnsi="宋体" w:cs="宋体"/>
              <w:color w:val="000000" w:themeColor="text1"/>
              <w:sz w:val="24"/>
              <w:szCs w:val="32"/>
              <w14:textFill>
                <w14:solidFill>
                  <w14:schemeClr w14:val="tx1"/>
                </w14:solidFill>
              </w14:textFill>
            </w:rPr>
            <w:fldChar w:fldCharType="end"/>
          </w:r>
        </w:p>
      </w:sdtContent>
    </w:sdt>
    <w:p w14:paraId="6A4DAB9E">
      <w:pPr>
        <w:rPr>
          <w:rFonts w:ascii="宋体" w:hAnsi="宋体" w:cs="宋体"/>
          <w:b/>
          <w:color w:val="000000" w:themeColor="text1"/>
          <w:sz w:val="36"/>
          <w:szCs w:val="20"/>
          <w14:textFill>
            <w14:solidFill>
              <w14:schemeClr w14:val="tx1"/>
            </w14:solidFill>
          </w14:textFill>
        </w:rPr>
      </w:pPr>
      <w:bookmarkStart w:id="1" w:name="_Hlt74649545"/>
      <w:bookmarkEnd w:id="1"/>
      <w:bookmarkStart w:id="2" w:name="_Hlt74728647"/>
      <w:bookmarkEnd w:id="2"/>
      <w:bookmarkStart w:id="3" w:name="_Hlt74729822"/>
      <w:bookmarkEnd w:id="3"/>
      <w:bookmarkStart w:id="4" w:name="_Hlt91233176"/>
      <w:bookmarkEnd w:id="4"/>
      <w:bookmarkStart w:id="5" w:name="_Hlt74707423"/>
      <w:bookmarkEnd w:id="5"/>
      <w:bookmarkStart w:id="6" w:name="_Toc20948"/>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br w:type="page"/>
      </w:r>
    </w:p>
    <w:p w14:paraId="6CC24AF1">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竞争性磋商公告</w:t>
      </w:r>
      <w:bookmarkEnd w:id="6"/>
    </w:p>
    <w:p w14:paraId="0264754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1DAFF8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07月14日09点30分</w:t>
      </w:r>
      <w:r>
        <w:rPr>
          <w:rFonts w:hint="eastAsia" w:ascii="宋体" w:hAnsi="宋体" w:cs="宋体"/>
          <w:bCs/>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14:paraId="2A528B2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A4B2520">
      <w:pPr>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p>
    <w:p w14:paraId="1C4BA743">
      <w:pPr>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p>
    <w:p w14:paraId="1E5C2E50">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w:t>
      </w:r>
      <w:r>
        <w:rPr>
          <w:rFonts w:hint="eastAsia" w:ascii="宋体" w:hAnsi="宋体" w:cs="宋体"/>
          <w:b/>
          <w:color w:val="000000" w:themeColor="text1"/>
          <w:sz w:val="24"/>
          <w:highlight w:val="none"/>
          <w14:textFill>
            <w14:solidFill>
              <w14:schemeClr w14:val="tx1"/>
            </w14:solidFill>
          </w14:textFill>
        </w:rPr>
        <w:t>元）：</w:t>
      </w:r>
      <w:r>
        <w:rPr>
          <w:rFonts w:hint="eastAsia" w:ascii="宋体" w:hAnsi="宋体" w:cs="宋体"/>
          <w:bCs/>
          <w:color w:val="000000" w:themeColor="text1"/>
          <w:sz w:val="24"/>
          <w:highlight w:val="none"/>
          <w:lang w:eastAsia="zh-CN"/>
          <w14:textFill>
            <w14:solidFill>
              <w14:schemeClr w14:val="tx1"/>
            </w14:solidFill>
          </w14:textFill>
        </w:rPr>
        <w:t>300000</w:t>
      </w:r>
      <w:r>
        <w:rPr>
          <w:rFonts w:hint="eastAsia" w:ascii="宋体" w:hAnsi="宋体" w:cs="宋体"/>
          <w:color w:val="000000" w:themeColor="text1"/>
          <w:sz w:val="24"/>
          <w:highlight w:val="none"/>
          <w14:textFill>
            <w14:solidFill>
              <w14:schemeClr w14:val="tx1"/>
            </w14:solidFill>
          </w14:textFill>
        </w:rPr>
        <w:t xml:space="preserve">  </w:t>
      </w:r>
    </w:p>
    <w:p w14:paraId="509B5F3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val="en-US" w:eastAsia="zh-CN"/>
          <w14:textFill>
            <w14:solidFill>
              <w14:schemeClr w14:val="tx1"/>
            </w14:solidFill>
          </w14:textFill>
        </w:rPr>
        <w:t>280000</w:t>
      </w:r>
      <w:r>
        <w:rPr>
          <w:rFonts w:hint="eastAsia" w:ascii="宋体" w:hAnsi="宋体" w:cs="宋体"/>
          <w:color w:val="000000" w:themeColor="text1"/>
          <w:sz w:val="24"/>
          <w:highlight w:val="none"/>
          <w14:textFill>
            <w14:solidFill>
              <w14:schemeClr w14:val="tx1"/>
            </w14:solidFill>
          </w14:textFill>
        </w:rPr>
        <w:t xml:space="preserve"> </w:t>
      </w:r>
    </w:p>
    <w:p w14:paraId="64FF1CF0">
      <w:pPr>
        <w:pStyle w:val="5"/>
        <w:spacing w:line="360" w:lineRule="auto"/>
        <w:ind w:firstLine="482" w:firstLineChars="20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lang w:eastAsia="zh-CN"/>
          <w14:textFill>
            <w14:solidFill>
              <w14:schemeClr w14:val="tx1"/>
            </w14:solidFill>
          </w14:textFill>
        </w:rPr>
        <w:t>浙江中医药大学滨文校区围墙周界及屋面监控增补项目</w:t>
      </w:r>
      <w:r>
        <w:rPr>
          <w:rFonts w:hint="eastAsia" w:hAnsi="宋体" w:cs="宋体"/>
          <w:bCs/>
          <w:snapToGrid/>
          <w:color w:val="000000" w:themeColor="text1"/>
          <w:kern w:val="2"/>
          <w:sz w:val="24"/>
          <w:szCs w:val="24"/>
          <w14:textFill>
            <w14:solidFill>
              <w14:schemeClr w14:val="tx1"/>
            </w14:solidFill>
          </w14:textFill>
        </w:rPr>
        <w:t>主要内容：详见采购文件第三部分采购需求。</w:t>
      </w:r>
    </w:p>
    <w:p w14:paraId="5DE68E6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Theme="minorEastAsia" w:hAnsiTheme="minorEastAsia" w:eastAsiaTheme="minorEastAsia"/>
          <w:color w:val="000000" w:themeColor="text1"/>
          <w14:textFill>
            <w14:solidFill>
              <w14:schemeClr w14:val="tx1"/>
            </w14:solidFill>
          </w14:textFill>
        </w:rPr>
        <w:t>工期：</w:t>
      </w: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olor w:val="000000" w:themeColor="text1"/>
          <w14:textFill>
            <w14:solidFill>
              <w14:schemeClr w14:val="tx1"/>
            </w14:solidFill>
          </w14:textFill>
        </w:rPr>
        <w:t>0日历天。</w:t>
      </w:r>
    </w:p>
    <w:p w14:paraId="5093B554">
      <w:pPr>
        <w:pStyle w:val="5"/>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p w14:paraId="750F5A4B">
      <w:pPr>
        <w:pStyle w:val="5"/>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14:paraId="0AFDCC85">
      <w:pPr>
        <w:pStyle w:val="5"/>
        <w:spacing w:line="360" w:lineRule="auto"/>
        <w:ind w:firstLine="480" w:firstLineChars="200"/>
        <w:rPr>
          <w:rFonts w:hAnsi="宋体" w:cs="宋体"/>
          <w:color w:val="000000" w:themeColor="text1"/>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是；</w:t>
      </w:r>
    </w:p>
    <w:p w14:paraId="400FC28B">
      <w:pPr>
        <w:pStyle w:val="5"/>
        <w:spacing w:line="360" w:lineRule="auto"/>
        <w:ind w:firstLine="480" w:firstLineChars="200"/>
        <w:rPr>
          <w:rFonts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87168129"/>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，不接受联合体理由：</w:t>
      </w:r>
      <w:r>
        <w:rPr>
          <w:rFonts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14:textFill>
            <w14:solidFill>
              <w14:schemeClr w14:val="tx1"/>
            </w14:solidFill>
          </w14:textFill>
        </w:rPr>
        <w:t>。</w:t>
      </w:r>
    </w:p>
    <w:p w14:paraId="66CD152B">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注：不得限制大中型企业与小微企业组成联合体参与。</w:t>
      </w:r>
    </w:p>
    <w:p w14:paraId="5BB3502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0" w:name="_Hlk101132948"/>
      <w:r>
        <w:rPr>
          <w:rFonts w:hint="eastAsia" w:ascii="宋体" w:hAnsi="宋体" w:cs="宋体"/>
          <w:b/>
          <w:color w:val="000000" w:themeColor="text1"/>
          <w:sz w:val="24"/>
          <w14:textFill>
            <w14:solidFill>
              <w14:schemeClr w14:val="tx1"/>
            </w14:solidFill>
          </w14:textFill>
        </w:rPr>
        <w:t>申请人的资格要求</w:t>
      </w:r>
      <w:bookmarkEnd w:id="10"/>
      <w:r>
        <w:rPr>
          <w:rFonts w:hint="eastAsia" w:ascii="宋体" w:hAnsi="宋体" w:cs="宋体"/>
          <w:b/>
          <w:color w:val="000000" w:themeColor="text1"/>
          <w:sz w:val="24"/>
          <w14:textFill>
            <w14:solidFill>
              <w14:schemeClr w14:val="tx1"/>
            </w14:solidFill>
          </w14:textFill>
        </w:rPr>
        <w:t>：</w:t>
      </w:r>
    </w:p>
    <w:p w14:paraId="3CD70500">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AFF572E">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.以联合体形式参与的，提供联合协议(本项目不接受联合体或者供应商不以联合体形式参与的，则不需要提供) ；</w:t>
      </w:r>
    </w:p>
    <w:p w14:paraId="569A4087">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768DA4F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14:paraId="358FF03C">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0915949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218D0158">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281638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工程全部由符合政策要求的中小企业承建，提供中小企业声明函；</w:t>
      </w:r>
    </w:p>
    <w:p w14:paraId="2310B870">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0114385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工程全部由符合政策要求的小微企业承建，提供中小企业声明函；</w:t>
      </w:r>
    </w:p>
    <w:p w14:paraId="270E3F47">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392801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1"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1"/>
    <w:p w14:paraId="42635E5B">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E20049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0C858B7E">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p w14:paraId="237B4A23">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0064844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p>
    <w:p w14:paraId="2B2F879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（1）供应商具有有效的电子与智能化工程专业承包二级</w:t>
      </w:r>
      <w:r>
        <w:rPr>
          <w:rFonts w:hint="eastAsia" w:ascii="宋体" w:hAnsi="宋体" w:cs="宋体"/>
          <w:color w:val="000000" w:themeColor="text1"/>
          <w:sz w:val="24"/>
          <w:lang w:val="en-US" w:eastAsia="zh-CN"/>
          <w14:textFill>
            <w14:solidFill>
              <w14:schemeClr w14:val="tx1"/>
            </w14:solidFill>
          </w14:textFill>
        </w:rPr>
        <w:t>及以上资质</w:t>
      </w:r>
      <w:r>
        <w:rPr>
          <w:rFonts w:hint="eastAsia" w:ascii="宋体" w:hAnsi="宋体" w:cs="宋体"/>
          <w:color w:val="000000" w:themeColor="text1"/>
          <w:sz w:val="24"/>
          <w14:textFill>
            <w14:solidFill>
              <w14:schemeClr w14:val="tx1"/>
            </w14:solidFill>
          </w14:textFill>
        </w:rPr>
        <w:t>；</w:t>
      </w:r>
    </w:p>
    <w:p w14:paraId="1F770D3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（2）供应商具有有效的企业《安全生产许可证》；</w:t>
      </w:r>
    </w:p>
    <w:p w14:paraId="42EF03EE">
      <w:pPr>
        <w:pStyle w:val="24"/>
        <w:spacing w:line="360" w:lineRule="auto"/>
        <w:rPr>
          <w:color w:val="0000FF"/>
        </w:rPr>
      </w:pPr>
      <w:r>
        <w:rPr>
          <w:rFonts w:hint="eastAsia" w:cs="宋体"/>
          <w:color w:val="000000" w:themeColor="text1"/>
          <w14:textFill>
            <w14:solidFill>
              <w14:schemeClr w14:val="tx1"/>
            </w14:solidFill>
          </w14:textFill>
        </w:rPr>
        <w:t>（3）以联合体形式参加本项目磋商的，须签订联合体协议；联合体各方均应满足资格条件。</w:t>
      </w:r>
    </w:p>
    <w:p w14:paraId="33A83D3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F247B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1DBAEC2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14</w:t>
      </w:r>
      <w:bookmarkStart w:id="546" w:name="_GoBack"/>
      <w:bookmarkEnd w:id="546"/>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0997E971">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9DC918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FC580E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159326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14:paraId="4F7A784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eastAsia="zh-CN"/>
          <w14:textFill>
            <w14:solidFill>
              <w14:schemeClr w14:val="tx1"/>
            </w14:solidFill>
          </w14:textFill>
        </w:rPr>
        <w:t>07月14日09点30分</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267C437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F7C3A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14:paraId="16F5488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07月14日09点30分</w:t>
      </w:r>
      <w:r>
        <w:rPr>
          <w:rFonts w:hint="eastAsia" w:ascii="宋体" w:hAnsi="宋体" w:cs="宋体"/>
          <w:bCs/>
          <w:color w:val="000000" w:themeColor="text1"/>
          <w:sz w:val="24"/>
          <w:u w:val="single"/>
          <w14:textFill>
            <w14:solidFill>
              <w14:schemeClr w14:val="tx1"/>
            </w14:solidFill>
          </w14:textFill>
        </w:rPr>
        <w:t xml:space="preserve"> </w:t>
      </w:r>
    </w:p>
    <w:p w14:paraId="21D9D12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14:paraId="74DCDB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6201E3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47C2BD8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5CC988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0473BA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5AC02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8758D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32E7CE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00D3D848">
      <w:pPr>
        <w:spacing w:line="360" w:lineRule="auto"/>
        <w:ind w:firstLine="482" w:firstLineChars="200"/>
        <w:rPr>
          <w:rFonts w:ascii="宋体" w:hAnsi="宋体" w:cs="宋体" w:eastAsiaTheme="minorEastAsia"/>
          <w:b/>
          <w:bCs/>
          <w:color w:val="000000" w:themeColor="text1"/>
          <w:sz w:val="24"/>
          <w14:textFill>
            <w14:solidFill>
              <w14:schemeClr w14:val="tx1"/>
            </w14:solidFill>
          </w14:textFill>
        </w:rPr>
      </w:pPr>
      <w:bookmarkStart w:id="12" w:name="_Toc28359019"/>
      <w:bookmarkStart w:id="13" w:name="_Toc28359096"/>
      <w:bookmarkStart w:id="14" w:name="_Toc35393637"/>
      <w:bookmarkStart w:id="15" w:name="_Toc35393806"/>
      <w:r>
        <w:rPr>
          <w:rFonts w:hint="eastAsia" w:ascii="宋体" w:hAnsi="宋体" w:cs="宋体" w:eastAsiaTheme="minorEastAsia"/>
          <w:b/>
          <w:bCs/>
          <w:color w:val="000000" w:themeColor="text1"/>
          <w:sz w:val="24"/>
          <w14:textFill>
            <w14:solidFill>
              <w14:schemeClr w14:val="tx1"/>
            </w14:solidFill>
          </w14:textFill>
        </w:rPr>
        <w:t>1.采购人信息</w:t>
      </w:r>
      <w:bookmarkEnd w:id="12"/>
      <w:bookmarkEnd w:id="13"/>
      <w:bookmarkEnd w:id="14"/>
      <w:bookmarkEnd w:id="15"/>
      <w:r>
        <w:rPr>
          <w:rFonts w:hint="eastAsia" w:ascii="宋体" w:hAnsi="宋体" w:cs="宋体" w:eastAsiaTheme="minorEastAsia"/>
          <w:b/>
          <w:bCs/>
          <w:color w:val="000000" w:themeColor="text1"/>
          <w:sz w:val="24"/>
          <w14:textFill>
            <w14:solidFill>
              <w14:schemeClr w14:val="tx1"/>
            </w14:solidFill>
          </w14:textFill>
        </w:rPr>
        <w:t>：</w:t>
      </w:r>
    </w:p>
    <w:p w14:paraId="429FC816">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称：浙江中医药大学</w:t>
      </w:r>
    </w:p>
    <w:p w14:paraId="2BF09F3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地    址：浙江省</w:t>
      </w:r>
      <w:r>
        <w:rPr>
          <w:rFonts w:hint="eastAsia" w:asciiTheme="minorEastAsia" w:hAnsiTheme="minorEastAsia" w:eastAsiaTheme="minorEastAsia"/>
          <w:color w:val="000000" w:themeColor="text1"/>
          <w:sz w:val="24"/>
          <w14:textFill>
            <w14:solidFill>
              <w14:schemeClr w14:val="tx1"/>
            </w14:solidFill>
          </w14:textFill>
        </w:rPr>
        <w:t>杭州市滨江滨文路548号</w:t>
      </w:r>
    </w:p>
    <w:p w14:paraId="3CFF33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    真：/</w:t>
      </w:r>
    </w:p>
    <w:p w14:paraId="69E18B71">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w:t>
      </w:r>
      <w:r>
        <w:rPr>
          <w:rFonts w:hint="eastAsia" w:asciiTheme="minorEastAsia" w:hAnsiTheme="minorEastAsia" w:eastAsiaTheme="minorEastAsia"/>
          <w:color w:val="000000" w:themeColor="text1"/>
          <w:sz w:val="24"/>
          <w:lang w:val="en-US" w:eastAsia="zh-CN"/>
          <w14:textFill>
            <w14:solidFill>
              <w14:schemeClr w14:val="tx1"/>
            </w14:solidFill>
          </w14:textFill>
        </w:rPr>
        <w:t>丁</w:t>
      </w:r>
      <w:r>
        <w:rPr>
          <w:rFonts w:hint="eastAsia" w:asciiTheme="minorEastAsia" w:hAnsiTheme="minorEastAsia" w:eastAsiaTheme="minorEastAsia"/>
          <w:color w:val="000000" w:themeColor="text1"/>
          <w:sz w:val="24"/>
          <w14:textFill>
            <w14:solidFill>
              <w14:schemeClr w14:val="tx1"/>
            </w14:solidFill>
          </w14:textFill>
        </w:rPr>
        <w:t xml:space="preserve">老师 </w:t>
      </w:r>
    </w:p>
    <w:p w14:paraId="75B74A6A">
      <w:pPr>
        <w:spacing w:line="360" w:lineRule="auto"/>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w:t>
      </w:r>
      <w:r>
        <w:rPr>
          <w:rFonts w:hint="eastAsia" w:asciiTheme="minorEastAsia" w:hAnsiTheme="minorEastAsia" w:eastAsiaTheme="minorEastAsia"/>
          <w:color w:val="000000" w:themeColor="text1"/>
          <w:sz w:val="24"/>
          <w:highlight w:val="none"/>
          <w14:textFill>
            <w14:solidFill>
              <w14:schemeClr w14:val="tx1"/>
            </w14:solidFill>
          </w14:textFill>
        </w:rPr>
        <w:t>）：0571-86613571</w:t>
      </w:r>
    </w:p>
    <w:p w14:paraId="759D2498">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质疑联系人：刘清明 </w:t>
      </w:r>
    </w:p>
    <w:p w14:paraId="6E5EF1AF">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质疑联系方式：0571-86658089 </w:t>
      </w:r>
    </w:p>
    <w:p w14:paraId="190AA118">
      <w:pPr>
        <w:spacing w:line="360" w:lineRule="auto"/>
        <w:ind w:firstLine="482" w:firstLineChars="200"/>
        <w:rPr>
          <w:rFonts w:ascii="宋体" w:hAnsi="宋体" w:cs="宋体" w:eastAsiaTheme="minorEastAsia"/>
          <w:b/>
          <w:bCs/>
          <w:color w:val="000000" w:themeColor="text1"/>
          <w:sz w:val="24"/>
          <w14:textFill>
            <w14:solidFill>
              <w14:schemeClr w14:val="tx1"/>
            </w14:solidFill>
          </w14:textFill>
        </w:rPr>
      </w:pPr>
      <w:bookmarkStart w:id="16" w:name="_Toc35393807"/>
      <w:bookmarkStart w:id="17" w:name="_Toc35393638"/>
      <w:bookmarkStart w:id="18" w:name="_Toc28359097"/>
      <w:bookmarkStart w:id="19" w:name="_Toc28359020"/>
      <w:r>
        <w:rPr>
          <w:rFonts w:hint="eastAsia" w:ascii="宋体" w:hAnsi="宋体" w:cs="宋体" w:eastAsiaTheme="minorEastAsia"/>
          <w:b/>
          <w:bCs/>
          <w:color w:val="000000" w:themeColor="text1"/>
          <w:sz w:val="24"/>
          <w14:textFill>
            <w14:solidFill>
              <w14:schemeClr w14:val="tx1"/>
            </w14:solidFill>
          </w14:textFill>
        </w:rPr>
        <w:t>2.采购代理机构信息</w:t>
      </w:r>
      <w:bookmarkEnd w:id="16"/>
      <w:bookmarkEnd w:id="17"/>
      <w:bookmarkEnd w:id="18"/>
      <w:bookmarkEnd w:id="19"/>
      <w:r>
        <w:rPr>
          <w:rFonts w:hint="eastAsia" w:ascii="宋体" w:hAnsi="宋体" w:cs="宋体" w:eastAsiaTheme="minorEastAsia"/>
          <w:b/>
          <w:bCs/>
          <w:color w:val="000000" w:themeColor="text1"/>
          <w:sz w:val="24"/>
          <w14:textFill>
            <w14:solidFill>
              <w14:schemeClr w14:val="tx1"/>
            </w14:solidFill>
          </w14:textFill>
        </w:rPr>
        <w:t>：</w:t>
      </w:r>
    </w:p>
    <w:p w14:paraId="2794F16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称：浙江豪圣</w:t>
      </w:r>
      <w:r>
        <w:rPr>
          <w:rFonts w:hint="eastAsia" w:asciiTheme="minorEastAsia" w:hAnsiTheme="minorEastAsia" w:eastAsiaTheme="minorEastAsia"/>
          <w:color w:val="000000" w:themeColor="text1"/>
          <w:sz w:val="24"/>
          <w14:textFill>
            <w14:solidFill>
              <w14:schemeClr w14:val="tx1"/>
            </w14:solidFill>
          </w14:textFill>
        </w:rPr>
        <w:t xml:space="preserve">建设项目管理有限公司             </w:t>
      </w:r>
    </w:p>
    <w:p w14:paraId="7D40F91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址：杭州市拱墅区大关路179号远洋国际中心A座17楼1706室</w:t>
      </w:r>
      <w:r>
        <w:rPr>
          <w:rFonts w:asciiTheme="minorEastAsia" w:hAnsiTheme="minorEastAsia" w:eastAsiaTheme="minorEastAsia"/>
          <w:color w:val="000000" w:themeColor="text1"/>
          <w:sz w:val="24"/>
          <w14:textFill>
            <w14:solidFill>
              <w14:schemeClr w14:val="tx1"/>
            </w14:solidFill>
          </w14:textFill>
        </w:rPr>
        <w:t xml:space="preserve"> </w:t>
      </w:r>
    </w:p>
    <w:p w14:paraId="309A7ACC">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传    真：/             </w:t>
      </w:r>
    </w:p>
    <w:p w14:paraId="4BE286AD">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项目联系人（询问）：赵邵东、杨男、</w:t>
      </w:r>
      <w:r>
        <w:rPr>
          <w:rFonts w:hint="eastAsia" w:ascii="宋体" w:hAnsi="宋体" w:cs="宋体"/>
          <w:color w:val="000000"/>
          <w:sz w:val="24"/>
        </w:rPr>
        <w:t>曹剑斌、陈敏娇</w:t>
      </w:r>
    </w:p>
    <w:p w14:paraId="0C0999C5">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项目联系方式（询问）：0571-87981527 </w:t>
      </w:r>
    </w:p>
    <w:p w14:paraId="4B4DA599">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质疑联系人：桑国坚             </w:t>
      </w:r>
    </w:p>
    <w:p w14:paraId="7A8EB7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质疑联系方式：0571-56386096</w:t>
      </w:r>
    </w:p>
    <w:p w14:paraId="1713E1A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3.本项目由采购人处理采购争议。质疑环节，采购人委托采购代理机构处理的，可由采购代理机构答复。对质疑答复不满意的，向采购人内部设置的采购监督机构反映。</w:t>
      </w:r>
    </w:p>
    <w:p w14:paraId="674CE32E">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691A863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政策咨询：何一平、冯华，0571-87058424、87055741     </w:t>
      </w:r>
    </w:p>
    <w:p w14:paraId="588B5B3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3236FF43">
      <w:pPr>
        <w:snapToGrid w:val="0"/>
        <w:spacing w:line="360" w:lineRule="auto"/>
        <w:ind w:firstLine="480" w:firstLineChars="200"/>
        <w:rPr>
          <w:rFonts w:ascii="宋体" w:hAnsi="宋体" w:cs="宋体"/>
          <w:color w:val="000000" w:themeColor="text1"/>
          <w:sz w:val="24"/>
          <w14:textFill>
            <w14:solidFill>
              <w14:schemeClr w14:val="tx1"/>
            </w14:solidFill>
          </w14:textFill>
        </w:rPr>
        <w:sectPr>
          <w:footerReference r:id="rId5" w:type="first"/>
          <w:footerReference r:id="rId3" w:type="default"/>
          <w:footerReference r:id="rId4"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62AC9161">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20" w:name="_Toc25555"/>
      <w:r>
        <w:rPr>
          <w:rFonts w:hint="eastAsia" w:hAnsi="宋体" w:cs="宋体"/>
          <w:b/>
          <w:snapToGrid/>
          <w:color w:val="000000" w:themeColor="text1"/>
          <w:sz w:val="36"/>
          <w:szCs w:val="20"/>
          <w14:textFill>
            <w14:solidFill>
              <w14:schemeClr w14:val="tx1"/>
            </w14:solidFill>
          </w14:textFill>
        </w:rPr>
        <w:t>第二部分</w:t>
      </w:r>
      <w:bookmarkEnd w:id="7"/>
      <w:r>
        <w:rPr>
          <w:rFonts w:hint="eastAsia" w:hAnsi="宋体" w:cs="宋体"/>
          <w:b/>
          <w:snapToGrid/>
          <w:color w:val="000000" w:themeColor="text1"/>
          <w:sz w:val="36"/>
          <w:szCs w:val="20"/>
          <w14:textFill>
            <w14:solidFill>
              <w14:schemeClr w14:val="tx1"/>
            </w14:solidFill>
          </w14:textFill>
        </w:rPr>
        <w:t xml:space="preserve"> 供应商须知</w:t>
      </w:r>
      <w:bookmarkEnd w:id="8"/>
      <w:bookmarkEnd w:id="20"/>
    </w:p>
    <w:p w14:paraId="199FF431">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1" w:name="_Toc24711"/>
      <w:r>
        <w:rPr>
          <w:rFonts w:hint="eastAsia" w:ascii="宋体" w:hAnsi="宋体" w:cs="宋体"/>
          <w:b/>
          <w:color w:val="000000" w:themeColor="text1"/>
          <w:sz w:val="32"/>
          <w:szCs w:val="20"/>
          <w14:textFill>
            <w14:solidFill>
              <w14:schemeClr w14:val="tx1"/>
            </w14:solidFill>
          </w14:textFill>
        </w:rPr>
        <w:t>前附表</w:t>
      </w:r>
      <w:bookmarkEnd w:id="21"/>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1D1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tcPr>
          <w:p w14:paraId="28EBCF5B">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93" w:type="dxa"/>
            <w:vAlign w:val="center"/>
          </w:tcPr>
          <w:p w14:paraId="3E9AC96E">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927" w:type="dxa"/>
            <w:vAlign w:val="center"/>
          </w:tcPr>
          <w:p w14:paraId="3095C08B">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6F81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14" w:type="dxa"/>
            <w:vAlign w:val="center"/>
          </w:tcPr>
          <w:p w14:paraId="44786D1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93" w:type="dxa"/>
            <w:vAlign w:val="center"/>
          </w:tcPr>
          <w:p w14:paraId="0DBC29B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927" w:type="dxa"/>
            <w:vAlign w:val="center"/>
          </w:tcPr>
          <w:p w14:paraId="10B410C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w:t>
            </w:r>
            <w:r>
              <w:rPr>
                <w:rFonts w:hint="eastAsia" w:ascii="宋体" w:hAnsi="宋体" w:cs="宋体"/>
                <w:color w:val="000000" w:themeColor="text1"/>
                <w:sz w:val="24"/>
                <w14:textFill>
                  <w14:solidFill>
                    <w14:schemeClr w14:val="tx1"/>
                  </w14:solidFill>
                </w14:textFill>
              </w:rPr>
              <w:t>类</w:t>
            </w:r>
          </w:p>
        </w:tc>
      </w:tr>
      <w:tr w14:paraId="6429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CCB19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93" w:type="dxa"/>
            <w:vAlign w:val="center"/>
          </w:tcPr>
          <w:p w14:paraId="1AF10DA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927" w:type="dxa"/>
            <w:vAlign w:val="center"/>
          </w:tcPr>
          <w:p w14:paraId="083AD753">
            <w:pPr>
              <w:pStyle w:val="3"/>
              <w:spacing w:line="240" w:lineRule="auto"/>
              <w:ind w:left="0" w:firstLine="0"/>
              <w:rPr>
                <w:rFonts w:ascii="宋体" w:hAnsi="宋体" w:eastAsia="宋体" w:cs="宋体"/>
                <w:color w:val="000000" w:themeColor="text1"/>
                <w:kern w:val="0"/>
                <w:sz w:val="24"/>
                <w14:textFill>
                  <w14:solidFill>
                    <w14:schemeClr w14:val="tx1"/>
                  </w14:solidFill>
                </w14:textFill>
              </w:rPr>
            </w:pPr>
            <w:bookmarkStart w:id="22" w:name="_Toc22789"/>
            <w:bookmarkStart w:id="23" w:name="_Toc19396"/>
            <w:r>
              <w:rPr>
                <w:rFonts w:hint="eastAsia" w:ascii="宋体" w:hAnsi="宋体" w:eastAsia="宋体" w:cs="宋体"/>
                <w:color w:val="000000" w:themeColor="text1"/>
                <w:kern w:val="0"/>
                <w:sz w:val="24"/>
                <w14:textFill>
                  <w14:solidFill>
                    <w14:schemeClr w14:val="tx1"/>
                  </w14:solidFill>
                </w14:textFill>
              </w:rPr>
              <w:t>（1）标的：</w:t>
            </w:r>
            <w:r>
              <w:rPr>
                <w:rFonts w:hint="eastAsia" w:ascii="宋体" w:hAnsi="宋体" w:eastAsia="宋体" w:cs="宋体"/>
                <w:color w:val="000000" w:themeColor="text1"/>
                <w:kern w:val="0"/>
                <w:sz w:val="24"/>
                <w:u w:val="single"/>
                <w:lang w:eastAsia="zh-CN"/>
                <w14:textFill>
                  <w14:solidFill>
                    <w14:schemeClr w14:val="tx1"/>
                  </w14:solidFill>
                </w14:textFill>
              </w:rPr>
              <w:t>浙江中医药大学滨文校区围墙周界及屋面监控增补项目</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 xml:space="preserve"> 建筑业 </w:t>
            </w:r>
            <w:r>
              <w:rPr>
                <w:rFonts w:hint="eastAsia" w:ascii="宋体" w:hAnsi="宋体" w:eastAsia="宋体" w:cs="宋体"/>
                <w:color w:val="000000" w:themeColor="text1"/>
                <w:kern w:val="0"/>
                <w:sz w:val="24"/>
                <w14:textFill>
                  <w14:solidFill>
                    <w14:schemeClr w14:val="tx1"/>
                  </w14:solidFill>
                </w14:textFill>
              </w:rPr>
              <w:t>行业；</w:t>
            </w:r>
            <w:bookmarkEnd w:id="22"/>
            <w:bookmarkEnd w:id="23"/>
          </w:p>
          <w:p w14:paraId="4240ADD6">
            <w:pPr>
              <w:pStyle w:val="3"/>
              <w:spacing w:line="240" w:lineRule="auto"/>
              <w:ind w:left="0" w:firstLine="0"/>
              <w:rPr>
                <w:rFonts w:ascii="宋体" w:hAnsi="宋体" w:eastAsia="宋体" w:cs="宋体"/>
                <w:color w:val="000000" w:themeColor="text1"/>
                <w:lang w:val="en-US"/>
                <w14:textFill>
                  <w14:solidFill>
                    <w14:schemeClr w14:val="tx1"/>
                  </w14:solidFill>
                </w14:textFill>
              </w:rPr>
            </w:pPr>
            <w:bookmarkStart w:id="24" w:name="_Toc17433"/>
            <w:bookmarkStart w:id="25" w:name="_Toc20396"/>
            <w:r>
              <w:rPr>
                <w:rFonts w:hint="eastAsia" w:ascii="宋体" w:hAnsi="宋体" w:eastAsia="宋体" w:cs="宋体"/>
                <w:b w:val="0"/>
                <w:bCs w:val="0"/>
                <w:color w:val="000000" w:themeColor="text1"/>
                <w:kern w:val="0"/>
                <w:sz w:val="24"/>
                <w:szCs w:val="24"/>
                <w:lang w:val="en-US"/>
                <w14:textFill>
                  <w14:solidFill>
                    <w14:schemeClr w14:val="tx1"/>
                  </w14:solidFill>
                </w14:textFill>
              </w:rPr>
              <w:t>（2）根据《关于印发中小企业划型标准规定的通知》（工信部联企业〔2011〕300号）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24"/>
            <w:bookmarkEnd w:id="25"/>
          </w:p>
        </w:tc>
      </w:tr>
      <w:tr w14:paraId="2CC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FA3B9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93" w:type="dxa"/>
            <w:vAlign w:val="center"/>
          </w:tcPr>
          <w:p w14:paraId="29CA9DE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927" w:type="dxa"/>
            <w:vAlign w:val="center"/>
          </w:tcPr>
          <w:p w14:paraId="3F969933">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934812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0E759E62">
            <w:pPr>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3424903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7E42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97779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93" w:type="dxa"/>
            <w:vAlign w:val="center"/>
          </w:tcPr>
          <w:p w14:paraId="5F75264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927" w:type="dxa"/>
            <w:vAlign w:val="center"/>
          </w:tcPr>
          <w:p w14:paraId="735F9FBE">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3050787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sz w:val="24"/>
                <w:u w:val="single"/>
              </w:rPr>
              <w:t>材料运输</w:t>
            </w:r>
            <w:r>
              <w:rPr>
                <w:rFonts w:hint="eastAsia" w:ascii="宋体" w:hAnsi="宋体" w:cs="宋体"/>
                <w:color w:val="000000" w:themeColor="text1"/>
                <w:sz w:val="24"/>
                <w14:textFill>
                  <w14:solidFill>
                    <w14:schemeClr w14:val="tx1"/>
                  </w14:solidFill>
                </w14:textFill>
              </w:rPr>
              <w:t>工作分包。</w:t>
            </w:r>
          </w:p>
          <w:p w14:paraId="54511DF7">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957932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不同意分包，具体理由：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C12D16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65EB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01F8E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93" w:type="dxa"/>
            <w:vAlign w:val="center"/>
          </w:tcPr>
          <w:p w14:paraId="76F6B92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磋商前答疑会或现场考察</w:t>
            </w:r>
          </w:p>
        </w:tc>
        <w:tc>
          <w:tcPr>
            <w:tcW w:w="6927" w:type="dxa"/>
            <w:vAlign w:val="center"/>
          </w:tcPr>
          <w:p w14:paraId="5A77A85C">
            <w:pPr>
              <w:pStyle w:val="79"/>
              <w:spacing w:line="240" w:lineRule="auto"/>
              <w:ind w:firstLine="0" w:firstLineChars="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688692135"/>
                <w14:checkbox>
                  <w14:checked w14:val="1"/>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A不组织。</w:t>
            </w:r>
          </w:p>
          <w:p w14:paraId="5DE869E2">
            <w:pPr>
              <w:pStyle w:val="79"/>
              <w:spacing w:line="240" w:lineRule="auto"/>
              <w:ind w:firstLine="0" w:firstLineChars="0"/>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374731186"/>
                <w14:checkbox>
                  <w14:checked w14:val="0"/>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B组织，时间：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w:t>
            </w:r>
          </w:p>
          <w:p w14:paraId="7C95B687">
            <w:pPr>
              <w:pStyle w:val="79"/>
              <w:spacing w:line="240" w:lineRule="auto"/>
              <w:ind w:firstLine="0" w:firstLineChars="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C不统一组织，供应商在获取采购文件后，自行至项目现场考察。地点： ，联系人： ，联系方式： 。</w:t>
            </w:r>
          </w:p>
        </w:tc>
      </w:tr>
      <w:tr w14:paraId="7A09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CAA22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93" w:type="dxa"/>
            <w:vAlign w:val="center"/>
          </w:tcPr>
          <w:p w14:paraId="19033111">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927" w:type="dxa"/>
            <w:vAlign w:val="center"/>
          </w:tcPr>
          <w:p w14:paraId="0BE32509">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8621118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78B6D99">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1AEDC96F">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napToGrid w:val="0"/>
                <w:kern w:val="28"/>
                <w:sz w:val="24"/>
                <w:u w:val="single"/>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E43E779">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4E6D629B">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评审办法</w:t>
            </w:r>
            <w:r>
              <w:rPr>
                <w:rFonts w:hint="eastAsia" w:ascii="宋体" w:hAnsi="宋体" w:cs="宋体"/>
                <w:color w:val="000000" w:themeColor="text1"/>
                <w:kern w:val="0"/>
                <w:sz w:val="24"/>
                <w14:textFill>
                  <w14:solidFill>
                    <w14:schemeClr w14:val="tx1"/>
                  </w14:solidFill>
                </w14:textFill>
              </w:rPr>
              <w:t>；</w:t>
            </w:r>
          </w:p>
          <w:p w14:paraId="0E5CD216">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183EE3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开标截止时间前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杭州市拱墅区大关路179号远洋国际中心A座17楼1705室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赵邵东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0571-87981527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6B4E974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7174BEE">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14:paraId="5AC3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DA67C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93" w:type="dxa"/>
            <w:vAlign w:val="center"/>
          </w:tcPr>
          <w:p w14:paraId="03B2E644">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927" w:type="dxa"/>
            <w:vAlign w:val="center"/>
          </w:tcPr>
          <w:p w14:paraId="650D2A90">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545689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78A6BC6">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4AB01A47">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人。讲解演示结束后按要求解答磋商小组提问。</w:t>
            </w:r>
          </w:p>
          <w:p w14:paraId="644C32F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33A1970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方式一：政采云平台在线讲解演示。政采云平台在线讲解需供应商根据政采云平台操作要求做好准备工作，提前完善软硬件配置环境。</w:t>
            </w:r>
          </w:p>
          <w:p w14:paraId="4FA1795F">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32E56C85">
            <w:pPr>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76F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72F9207">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93" w:type="dxa"/>
            <w:vMerge w:val="restart"/>
            <w:vAlign w:val="center"/>
          </w:tcPr>
          <w:p w14:paraId="220CEB5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927" w:type="dxa"/>
            <w:vAlign w:val="center"/>
          </w:tcPr>
          <w:p w14:paraId="310D678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10692268">
            <w:pPr>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供应商未提供有效的资格证明文件的，视为供应商不具备采购文件中规定的资格要求，响应文件无效。</w:t>
            </w:r>
          </w:p>
        </w:tc>
      </w:tr>
      <w:tr w14:paraId="1466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70C4DA6">
            <w:pPr>
              <w:snapToGrid w:val="0"/>
              <w:jc w:val="center"/>
              <w:rPr>
                <w:rFonts w:ascii="宋体" w:hAnsi="宋体" w:cs="宋体"/>
                <w:color w:val="000000" w:themeColor="text1"/>
                <w:sz w:val="24"/>
                <w14:textFill>
                  <w14:solidFill>
                    <w14:schemeClr w14:val="tx1"/>
                  </w14:solidFill>
                </w14:textFill>
              </w:rPr>
            </w:pPr>
          </w:p>
        </w:tc>
        <w:tc>
          <w:tcPr>
            <w:tcW w:w="2093" w:type="dxa"/>
            <w:vMerge w:val="continue"/>
            <w:vAlign w:val="center"/>
          </w:tcPr>
          <w:p w14:paraId="0B17E3D8">
            <w:pPr>
              <w:snapToGrid w:val="0"/>
              <w:jc w:val="center"/>
              <w:rPr>
                <w:rFonts w:ascii="宋体" w:hAnsi="宋体" w:cs="宋体"/>
                <w:b/>
                <w:color w:val="000000" w:themeColor="text1"/>
                <w:sz w:val="24"/>
                <w14:textFill>
                  <w14:solidFill>
                    <w14:schemeClr w14:val="tx1"/>
                  </w14:solidFill>
                </w14:textFill>
              </w:rPr>
            </w:pPr>
          </w:p>
        </w:tc>
        <w:tc>
          <w:tcPr>
            <w:tcW w:w="6927" w:type="dxa"/>
            <w:vAlign w:val="center"/>
          </w:tcPr>
          <w:p w14:paraId="392BA19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（2）资信证明文件：根据采购文件第四部分评审标准提供。</w:t>
            </w:r>
          </w:p>
        </w:tc>
      </w:tr>
      <w:tr w14:paraId="711B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19FCD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93" w:type="dxa"/>
            <w:vAlign w:val="center"/>
          </w:tcPr>
          <w:p w14:paraId="2C47F3C5">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927" w:type="dxa"/>
            <w:vAlign w:val="center"/>
          </w:tcPr>
          <w:p w14:paraId="77C1011D">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A2599A">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MS Gothic" w:hAnsi="MS Gothic"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强制采购节能产品。产品：</w:t>
            </w:r>
          </w:p>
          <w:p w14:paraId="33EEF82F">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1A63FFCB">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32769076">
            <w:pPr>
              <w:pStyle w:val="79"/>
              <w:spacing w:line="240" w:lineRule="auto"/>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26C9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38E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93" w:type="dxa"/>
            <w:vAlign w:val="center"/>
          </w:tcPr>
          <w:p w14:paraId="4DECB24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927" w:type="dxa"/>
            <w:vAlign w:val="center"/>
          </w:tcPr>
          <w:p w14:paraId="3F853CA4">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报价单是报价的唯一载体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w:t>
            </w:r>
            <w:r>
              <w:rPr>
                <w:rFonts w:hint="eastAsia" w:ascii="宋体" w:hAnsi="宋体" w:cs="宋体"/>
                <w:color w:val="000000" w:themeColor="text1"/>
                <w:kern w:val="0"/>
                <w:sz w:val="24"/>
                <w14:textFill>
                  <w14:solidFill>
                    <w14:schemeClr w14:val="tx1"/>
                  </w14:solidFill>
                </w14:textFill>
              </w:rPr>
              <w:t>折扣</w:t>
            </w:r>
            <w:r>
              <w:rPr>
                <w:rFonts w:hint="eastAsia" w:ascii="宋体" w:hAnsi="宋体" w:cs="宋体"/>
                <w:color w:val="000000" w:themeColor="text1"/>
                <w:kern w:val="0"/>
                <w:sz w:val="24"/>
                <w:lang w:val="zh-CN"/>
                <w14:textFill>
                  <w14:solidFill>
                    <w14:schemeClr w14:val="tx1"/>
                  </w14:solidFill>
                </w14:textFill>
              </w:rPr>
              <w:t>报价。采购文件未列明，而供应商认为必需的费用也需列入报价。</w:t>
            </w:r>
          </w:p>
          <w:p w14:paraId="42E6007E">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最后报价出现下列情形的，响应文件无效：</w:t>
            </w:r>
          </w:p>
          <w:p w14:paraId="4C9EC745">
            <w:pPr>
              <w:snapToGrid w:val="0"/>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响应文件出现不是唯一的、有选择性最后报价的；</w:t>
            </w:r>
          </w:p>
          <w:p w14:paraId="5474BAE6">
            <w:pPr>
              <w:snapToGrid w:val="0"/>
              <w:ind w:firstLine="241" w:firstLineChars="100"/>
              <w:jc w:val="left"/>
              <w:rPr>
                <w:color w:val="000000" w:themeColor="text1"/>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最后报价超过采购文件中规定的预算金额或者最高限价的；</w:t>
            </w:r>
          </w:p>
          <w:p w14:paraId="2097B5CC">
            <w:pPr>
              <w:ind w:firstLine="241" w:firstLineChars="100"/>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kern w:val="0"/>
                <w:sz w:val="24"/>
              </w:rPr>
              <w:t>供应商不得进行影响产品质量或者诚信履约的恶意报价如供应商响应报价低于最高限价50%的，应当在报价文件中详细阐述不影响产品质量或者诚信履约的具体原因以及相应证明材料，以备评审小组核查。如供应商未按要求提供相关说明及证明材料的，评审小组将对其响应文件作为无效响应处理；</w:t>
            </w:r>
          </w:p>
          <w:p w14:paraId="13578CA8">
            <w:pPr>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1868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017684">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93" w:type="dxa"/>
            <w:vAlign w:val="center"/>
          </w:tcPr>
          <w:p w14:paraId="0CFF97D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备份响应文件送达地点和签收人员</w:t>
            </w:r>
          </w:p>
        </w:tc>
        <w:tc>
          <w:tcPr>
            <w:tcW w:w="6927" w:type="dxa"/>
            <w:vAlign w:val="center"/>
          </w:tcPr>
          <w:p w14:paraId="76A34DD6">
            <w:pPr>
              <w:pStyle w:val="32"/>
              <w:rPr>
                <w:rFonts w:hAnsi="宋体" w:cs="宋体"/>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备份响应文件送达地点：</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杭州市拱墅区远洋国际A座17楼1705室</w:t>
            </w: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u w:val="single"/>
                <w14:textFill>
                  <w14:solidFill>
                    <w14:schemeClr w14:val="tx1"/>
                  </w14:solidFill>
                </w14:textFill>
              </w:rPr>
              <w:t>赵邵东，0571-87981527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b/>
                <w:color w:val="000000" w:themeColor="text1"/>
                <w:sz w:val="24"/>
                <w:szCs w:val="24"/>
                <w14:textFill>
                  <w14:solidFill>
                    <w14:schemeClr w14:val="tx1"/>
                  </w14:solidFill>
                </w14:textFill>
              </w:rPr>
              <w:t>采购人、采购代理机构不强制或变相强制供应商提交备份响应文件。</w:t>
            </w:r>
          </w:p>
        </w:tc>
      </w:tr>
      <w:tr w14:paraId="0487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D0D45BA">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93" w:type="dxa"/>
            <w:vAlign w:val="center"/>
          </w:tcPr>
          <w:p w14:paraId="58A5858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其它说明</w:t>
            </w:r>
          </w:p>
        </w:tc>
        <w:tc>
          <w:tcPr>
            <w:tcW w:w="6927" w:type="dxa"/>
            <w:vAlign w:val="center"/>
          </w:tcPr>
          <w:p w14:paraId="1ABE2E30">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14:textFill>
                  <w14:solidFill>
                    <w14:schemeClr w14:val="tx1"/>
                  </w14:solidFill>
                </w14:textFill>
              </w:rPr>
              <w:t>。</w:t>
            </w:r>
          </w:p>
        </w:tc>
      </w:tr>
      <w:tr w14:paraId="00ED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vAlign w:val="center"/>
          </w:tcPr>
          <w:p w14:paraId="4D2285E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93" w:type="dxa"/>
            <w:vAlign w:val="center"/>
          </w:tcPr>
          <w:p w14:paraId="2CDFB19C">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成交候选人数量</w:t>
            </w:r>
          </w:p>
        </w:tc>
        <w:tc>
          <w:tcPr>
            <w:tcW w:w="6927" w:type="dxa"/>
            <w:vAlign w:val="center"/>
          </w:tcPr>
          <w:p w14:paraId="3242FD6B">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本项目推荐的成交候选人数量：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tc>
      </w:tr>
      <w:tr w14:paraId="679D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BEF27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93" w:type="dxa"/>
            <w:vAlign w:val="center"/>
          </w:tcPr>
          <w:p w14:paraId="507E0A6B">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代理费用收取方式及标准</w:t>
            </w:r>
          </w:p>
        </w:tc>
        <w:tc>
          <w:tcPr>
            <w:tcW w:w="6927" w:type="dxa"/>
            <w:vAlign w:val="center"/>
          </w:tcPr>
          <w:p w14:paraId="60E1578C">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采购代理费按《招标代理服务收费管理暂行办法》（计价格〔2002〕1980 号）文件规定的收费标准×50%。不足2000元时按2000元收取，以</w:t>
            </w:r>
            <w:r>
              <w:rPr>
                <w:rFonts w:hint="eastAsia" w:ascii="宋体" w:hAnsi="宋体" w:cs="宋体"/>
                <w:color w:val="000000" w:themeColor="text1"/>
                <w:kern w:val="0"/>
                <w:sz w:val="24"/>
                <w14:textFill>
                  <w14:solidFill>
                    <w14:schemeClr w14:val="tx1"/>
                  </w14:solidFill>
                </w14:textFill>
              </w:rPr>
              <w:t>成交价</w:t>
            </w:r>
            <w:r>
              <w:rPr>
                <w:rFonts w:hint="eastAsia" w:ascii="宋体" w:hAnsi="宋体" w:cs="宋体"/>
                <w:color w:val="000000" w:themeColor="text1"/>
                <w:kern w:val="0"/>
                <w:sz w:val="24"/>
                <w:lang w:val="en"/>
                <w14:textFill>
                  <w14:solidFill>
                    <w14:schemeClr w14:val="tx1"/>
                  </w14:solidFill>
                </w14:textFill>
              </w:rPr>
              <w:t>为计算基数。由成交供应商在领取成交通知书时支付给</w:t>
            </w: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en"/>
                <w14:textFill>
                  <w14:solidFill>
                    <w14:schemeClr w14:val="tx1"/>
                  </w14:solidFill>
                </w14:textFill>
              </w:rPr>
              <w:t>代理机构。</w:t>
            </w:r>
          </w:p>
        </w:tc>
      </w:tr>
      <w:tr w14:paraId="3BA2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A176AD2">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2093" w:type="dxa"/>
            <w:vAlign w:val="center"/>
          </w:tcPr>
          <w:p w14:paraId="4E5007AA">
            <w:pPr>
              <w:snapToGrid w:val="0"/>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重要提醒</w:t>
            </w:r>
          </w:p>
        </w:tc>
        <w:tc>
          <w:tcPr>
            <w:tcW w:w="6927" w:type="dxa"/>
            <w:vAlign w:val="center"/>
          </w:tcPr>
          <w:p w14:paraId="1DBC1980">
            <w:pPr>
              <w:rPr>
                <w:rFonts w:ascii="宋体" w:hAnsi="宋体" w:cs="宋体"/>
                <w:color w:val="000000" w:themeColor="text1"/>
                <w:kern w:val="0"/>
                <w:sz w:val="24"/>
                <w:lang w:val="en"/>
                <w14:textFill>
                  <w14:solidFill>
                    <w14:schemeClr w14:val="tx1"/>
                  </w14:solidFill>
                </w14:textFill>
              </w:rPr>
            </w:pPr>
            <w:r>
              <w:rPr>
                <w:rFonts w:hint="eastAsia" w:ascii="宋体" w:hAnsi="宋体" w:cs="宋体"/>
                <w:b/>
                <w:bCs/>
                <w:color w:val="000000" w:themeColor="text1"/>
                <w:kern w:val="0"/>
                <w:sz w:val="24"/>
                <w:lang w:val="en"/>
                <w14:textFill>
                  <w14:solidFill>
                    <w14:schemeClr w14:val="tx1"/>
                  </w14:solidFill>
                </w14:textFill>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0A701BCC">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4F4A7F1D">
      <w:pPr>
        <w:widowControl/>
        <w:adjustRightInd/>
        <w:jc w:val="left"/>
        <w:rPr>
          <w:rFonts w:ascii="宋体" w:hAnsi="宋体" w:cs="宋体"/>
          <w:b/>
          <w:color w:val="000000" w:themeColor="text1"/>
          <w:sz w:val="32"/>
          <w:szCs w:val="20"/>
          <w14:textFill>
            <w14:solidFill>
              <w14:schemeClr w14:val="tx1"/>
            </w14:solidFill>
          </w14:textFill>
        </w:rPr>
      </w:pPr>
      <w:bookmarkStart w:id="26" w:name="_Toc164416483"/>
      <w:bookmarkStart w:id="27" w:name="第三部分"/>
      <w:r>
        <w:rPr>
          <w:rFonts w:hint="eastAsia" w:ascii="宋体" w:hAnsi="宋体" w:cs="宋体"/>
          <w:b/>
          <w:color w:val="000000" w:themeColor="text1"/>
          <w:sz w:val="32"/>
          <w:szCs w:val="20"/>
          <w14:textFill>
            <w14:solidFill>
              <w14:schemeClr w14:val="tx1"/>
            </w14:solidFill>
          </w14:textFill>
        </w:rPr>
        <w:br w:type="page"/>
      </w:r>
    </w:p>
    <w:p w14:paraId="64AE070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8" w:name="_Toc1923"/>
      <w:r>
        <w:rPr>
          <w:rFonts w:hint="eastAsia" w:ascii="宋体" w:hAnsi="宋体" w:cs="宋体"/>
          <w:b/>
          <w:color w:val="000000" w:themeColor="text1"/>
          <w:sz w:val="32"/>
          <w:szCs w:val="20"/>
          <w14:textFill>
            <w14:solidFill>
              <w14:schemeClr w14:val="tx1"/>
            </w14:solidFill>
          </w14:textFill>
        </w:rPr>
        <w:t>一、总则</w:t>
      </w:r>
      <w:bookmarkEnd w:id="28"/>
    </w:p>
    <w:p w14:paraId="1FE00A8C">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5DEF47A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FCB4817">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764C9CA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“采购人”系指竞争性磋商公告中载明的本项目的采购人。</w:t>
      </w:r>
    </w:p>
    <w:p w14:paraId="156F28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“采购代理机构”系指竞争性磋商公告中载明的本项目的采购代理机构。</w:t>
      </w:r>
    </w:p>
    <w:p w14:paraId="3A20D3B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“供应商”系指是指提交响应文件和报价、参与竞争性磋商采购活动的法人、其他组织或者自然人。</w:t>
      </w:r>
    </w:p>
    <w:p w14:paraId="6E902D7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26AD25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DAEAED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02722C5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系指不适用本项目的要求，“※”系指磋商过程中可能实质性变动的内容。</w:t>
      </w:r>
    </w:p>
    <w:p w14:paraId="24F2B267">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1C3454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38A0606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3728B08F">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21CB7F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8E36D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0D4B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E888E0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328E186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4BE9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34462BBB">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14:textFill>
            <w14:solidFill>
              <w14:schemeClr w14:val="tx1"/>
            </w14:solidFill>
          </w14:textFill>
        </w:rPr>
        <w:t>。</w:t>
      </w:r>
    </w:p>
    <w:p w14:paraId="54D332C0">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6DF29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9"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29"/>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1F626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D9CAD7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0F73D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w:t>
      </w:r>
      <w:r>
        <w:rPr>
          <w:rFonts w:hint="eastAsia" w:cs="宋体" w:asciiTheme="minorEastAsia" w:hAnsiTheme="minorEastAsia" w:eastAsiaTheme="minorEastAsia"/>
          <w:color w:val="000000" w:themeColor="text1"/>
          <w:sz w:val="24"/>
          <w:lang w:val="en"/>
          <w14:textFill>
            <w14:solidFill>
              <w14:schemeClr w14:val="tx1"/>
            </w14:solidFill>
          </w14:textFill>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000000" w:themeColor="text1"/>
          <w:sz w:val="24"/>
          <w14:textFill>
            <w14:solidFill>
              <w14:schemeClr w14:val="tx1"/>
            </w14:solidFill>
          </w14:textFill>
        </w:rPr>
        <w:t>。</w:t>
      </w:r>
    </w:p>
    <w:p w14:paraId="37D10DE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w:t>
      </w:r>
      <w:r>
        <w:rPr>
          <w:rFonts w:hint="eastAsia" w:cs="宋体" w:asciiTheme="minorEastAsia" w:hAnsiTheme="minorEastAsia" w:eastAsiaTheme="minorEastAsia"/>
          <w:color w:val="000000" w:themeColor="text1"/>
          <w:sz w:val="24"/>
          <w14:textFill>
            <w14:solidFill>
              <w14:schemeClr w14:val="tx1"/>
            </w14:solidFill>
          </w14:textFill>
        </w:rPr>
        <w:t>业，中型企业不得将合同分包给大型企业。</w:t>
      </w:r>
    </w:p>
    <w:p w14:paraId="7909038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3.4支持创新发展</w:t>
      </w:r>
    </w:p>
    <w:p w14:paraId="6645F0B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3.4.1 首台套、“制造精品”、“专精特新”等创新产品按规定享受政府采购支持政策。</w:t>
      </w:r>
    </w:p>
    <w:p w14:paraId="661ADE0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3.4.2 采购人应当贯彻落实知识产权保护相关法律法规，应当采购使用正版软件。</w:t>
      </w:r>
    </w:p>
    <w:p w14:paraId="2D0706B2">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4EA28319">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0C8517B8">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4.1在线询问、质疑、投诉</w:t>
      </w:r>
    </w:p>
    <w:p w14:paraId="5F0FFB0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4B96CB">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50D60C13">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8931F4">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1229521B">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65FC535C">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E6374E2">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2CA65495">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5A210D04">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64DB92C5">
      <w:pPr>
        <w:pStyle w:val="32"/>
        <w:snapToGrid w:val="0"/>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6F04A9BA">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32066E98">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472BB48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0823B8EC">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3D03DBFF">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62FC711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3B480DA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06496E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16A3A13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766DE422">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28466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7F54C95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17D503B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D82653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5D29C67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2FBA1720">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0959EAB4">
      <w:pPr>
        <w:pStyle w:val="891"/>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4.4.5</w:t>
      </w:r>
      <w:r>
        <w:rPr>
          <w:rFonts w:hint="eastAsia"/>
          <w:color w:val="000000" w:themeColor="text1"/>
          <w14:textFill>
            <w14:solidFill>
              <w14:schemeClr w14:val="tx1"/>
            </w14:solidFill>
          </w14:textFill>
        </w:rPr>
        <w:t>根据政府采购行政裁决省市区三级联动试点工作安排，政府采购项目投诉材料可寄送至浙江省政府采购行政裁决服务中心（杭州），地址：杭州市上城区清泰街549号城建综合大楼11楼（快递仅限ems或顺丰），收件人：匡老师，电话：0571-87807798</w:t>
      </w:r>
      <w:r>
        <w:rPr>
          <w:rFonts w:hint="eastAsia" w:cs="仿宋"/>
          <w:color w:val="000000" w:themeColor="text1"/>
          <w14:textFill>
            <w14:solidFill>
              <w14:schemeClr w14:val="tx1"/>
            </w14:solidFill>
          </w14:textFill>
        </w:rPr>
        <w:t>。</w:t>
      </w:r>
    </w:p>
    <w:p w14:paraId="733B4C2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69AA6366">
      <w:pPr>
        <w:pStyle w:val="131"/>
        <w:snapToGrid w:val="0"/>
        <w:spacing w:before="0"/>
        <w:ind w:firstLine="360"/>
        <w:rPr>
          <w:rFonts w:ascii="宋体" w:hAnsi="宋体" w:cs="宋体"/>
          <w:color w:val="000000" w:themeColor="text1"/>
          <w:sz w:val="18"/>
          <w:szCs w:val="18"/>
          <w14:textFill>
            <w14:solidFill>
              <w14:schemeClr w14:val="tx1"/>
            </w14:solidFill>
          </w14:textFill>
        </w:rPr>
      </w:pPr>
    </w:p>
    <w:p w14:paraId="6229AEDC">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0" w:name="_Toc6153"/>
      <w:r>
        <w:rPr>
          <w:rFonts w:hint="eastAsia" w:ascii="宋体" w:hAnsi="宋体" w:cs="宋体"/>
          <w:b/>
          <w:color w:val="000000" w:themeColor="text1"/>
          <w:sz w:val="32"/>
          <w:szCs w:val="20"/>
          <w14:textFill>
            <w14:solidFill>
              <w14:schemeClr w14:val="tx1"/>
            </w14:solidFill>
          </w14:textFill>
        </w:rPr>
        <w:t>二、采购文件的构成、澄清、修改</w:t>
      </w:r>
      <w:bookmarkEnd w:id="30"/>
    </w:p>
    <w:p w14:paraId="1901420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14:paraId="48F3D72C">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5C6690A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5.1.1竞争性磋商公告；</w:t>
      </w:r>
    </w:p>
    <w:p w14:paraId="583B8CF9">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5.1.2供应商须知；</w:t>
      </w:r>
    </w:p>
    <w:p w14:paraId="70530C0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77C047A1">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5.1.4评审办法；</w:t>
      </w:r>
    </w:p>
    <w:p w14:paraId="5BC153A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99CD342">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3C8EAD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1DFEDF46">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采购文件的澄清、修改</w:t>
      </w:r>
    </w:p>
    <w:p w14:paraId="54D1906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6.1已获取采购文件的潜在供应商，若有问题需要澄清，应于响应文件提交（上传）截止时间前，以书面形式向采购代理机构提出。</w:t>
      </w:r>
    </w:p>
    <w:p w14:paraId="4F085BD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837FC99">
      <w:pPr>
        <w:pStyle w:val="23"/>
        <w:rPr>
          <w:rFonts w:hAnsi="宋体" w:cs="宋体"/>
          <w:color w:val="000000" w:themeColor="text1"/>
          <w:sz w:val="18"/>
          <w:szCs w:val="18"/>
          <w:lang w:val="en-US"/>
          <w14:textFill>
            <w14:solidFill>
              <w14:schemeClr w14:val="tx1"/>
            </w14:solidFill>
          </w14:textFill>
        </w:rPr>
      </w:pPr>
    </w:p>
    <w:p w14:paraId="6090EE4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1" w:name="_Toc23557"/>
      <w:r>
        <w:rPr>
          <w:rFonts w:hint="eastAsia" w:ascii="宋体" w:hAnsi="宋体" w:cs="宋体"/>
          <w:b/>
          <w:color w:val="000000" w:themeColor="text1"/>
          <w:sz w:val="32"/>
          <w:szCs w:val="20"/>
          <w14:textFill>
            <w14:solidFill>
              <w14:schemeClr w14:val="tx1"/>
            </w14:solidFill>
          </w14:textFill>
        </w:rPr>
        <w:t>三、提交响应文件</w:t>
      </w:r>
      <w:bookmarkEnd w:id="31"/>
    </w:p>
    <w:p w14:paraId="2BE20B30">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采购文件的获取</w:t>
      </w:r>
    </w:p>
    <w:p w14:paraId="0CF9B34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14:paraId="7952F35B">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8.磋商前答疑会或现场考察</w:t>
      </w:r>
    </w:p>
    <w:p w14:paraId="2F23A5D5">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59245D77">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9.磋商保证金</w:t>
      </w:r>
    </w:p>
    <w:p w14:paraId="5740BE0B">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本项目不需缴纳磋商保证金。</w:t>
      </w:r>
    </w:p>
    <w:p w14:paraId="60B97D20">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响应文件的语言</w:t>
      </w:r>
    </w:p>
    <w:p w14:paraId="0AC65B1A">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响应文件及供应商与采购有关的来往通知、函件和文件均应使用中文。</w:t>
      </w:r>
    </w:p>
    <w:p w14:paraId="1021E55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响应文件的组成</w:t>
      </w:r>
    </w:p>
    <w:p w14:paraId="0255458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529225C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525F345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32"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Start w:id="33" w:name="_Hlk101257010"/>
      <w:r>
        <w:rPr>
          <w:rFonts w:hint="eastAsia" w:ascii="宋体" w:hAnsi="宋体" w:cs="宋体"/>
          <w:snapToGrid w:val="0"/>
          <w:color w:val="000000" w:themeColor="text1"/>
          <w:kern w:val="28"/>
          <w:sz w:val="24"/>
          <w:szCs w:val="20"/>
          <w14:textFill>
            <w14:solidFill>
              <w14:schemeClr w14:val="tx1"/>
            </w14:solidFill>
          </w14:textFill>
        </w:rPr>
        <w:t>（如果有)</w:t>
      </w:r>
      <w:bookmarkEnd w:id="32"/>
      <w:bookmarkEnd w:id="33"/>
      <w:r>
        <w:rPr>
          <w:rFonts w:hint="eastAsia" w:ascii="宋体" w:hAnsi="宋体" w:cs="宋体"/>
          <w:snapToGrid w:val="0"/>
          <w:color w:val="000000" w:themeColor="text1"/>
          <w:kern w:val="28"/>
          <w:sz w:val="24"/>
          <w:szCs w:val="20"/>
          <w14:textFill>
            <w14:solidFill>
              <w14:schemeClr w14:val="tx1"/>
            </w14:solidFill>
          </w14:textFill>
        </w:rPr>
        <w:t>；</w:t>
      </w:r>
    </w:p>
    <w:p w14:paraId="7B0A135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p>
    <w:p w14:paraId="7128CB0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44879CF9">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7DCD268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11.2.1响应函；</w:t>
      </w:r>
      <w:r>
        <w:rPr>
          <w:rFonts w:hint="eastAsia" w:ascii="宋体" w:hAnsi="宋体" w:cs="宋体"/>
          <w:color w:val="000000" w:themeColor="text1"/>
          <w:sz w:val="24"/>
          <w:lang w:val="zh-CN"/>
          <w14:textFill>
            <w14:solidFill>
              <w14:schemeClr w14:val="tx1"/>
            </w14:solidFill>
          </w14:textFill>
        </w:rPr>
        <w:t xml:space="preserve"> </w:t>
      </w:r>
    </w:p>
    <w:p w14:paraId="2E77295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3985A66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11.2.3分包意向协议（如果有)；</w:t>
      </w:r>
    </w:p>
    <w:p w14:paraId="2CF5D72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35F3614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11.2.5评审标准相应的商务技术资料；</w:t>
      </w:r>
    </w:p>
    <w:p w14:paraId="270A181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p>
    <w:p w14:paraId="5FC0426E">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275D6573">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7D9D25F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11.3.1报价单；</w:t>
      </w:r>
    </w:p>
    <w:p w14:paraId="763612F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11.3.2初次报价明细表。</w:t>
      </w:r>
    </w:p>
    <w:p w14:paraId="05BCCE8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1155A2E5">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供应商提供虚假材料的，响应文件无效。</w:t>
      </w:r>
    </w:p>
    <w:p w14:paraId="160CA109">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5ED97792">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p>
    <w:p w14:paraId="33DAA2E6">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EAB741E">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488C3227">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CEDFAD0">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14:paraId="58500B0F">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14:textFill>
            <w14:solidFill>
              <w14:schemeClr w14:val="tx1"/>
            </w14:solidFill>
          </w14:textFill>
        </w:rPr>
        <w:t>。</w:t>
      </w:r>
    </w:p>
    <w:p w14:paraId="2C0C308C">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7D2B6854">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13.3采购文件对响应文件签署、盖章的要求适用于电子签名。</w:t>
      </w:r>
    </w:p>
    <w:p w14:paraId="0D4833F5">
      <w:pPr>
        <w:pStyle w:val="131"/>
        <w:snapToGrid w:val="0"/>
        <w:spacing w:before="0"/>
        <w:ind w:firstLine="0" w:firstLineChars="0"/>
        <w:rPr>
          <w:rFonts w:ascii="宋体" w:hAnsi="宋体" w:cs="宋体"/>
          <w:b/>
          <w:color w:val="000000" w:themeColor="text1"/>
          <w:szCs w:val="24"/>
          <w14:textFill>
            <w14:solidFill>
              <w14:schemeClr w14:val="tx1"/>
            </w14:solidFill>
          </w14:textFill>
        </w:rPr>
      </w:pPr>
    </w:p>
    <w:p w14:paraId="6382CB55">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响应文件的提交、补充、修改、撤回</w:t>
      </w:r>
    </w:p>
    <w:p w14:paraId="052EE7A2">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0C1EA48">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0640187B">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DDD3760">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14:paraId="68EB53A4">
      <w:pPr>
        <w:pStyle w:val="32"/>
        <w:snapToGrid w:val="0"/>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但采购人、采购代理机构不强制或变相强制供应商提交备份响应文件。</w:t>
      </w:r>
    </w:p>
    <w:p w14:paraId="4432623E">
      <w:pPr>
        <w:pStyle w:val="32"/>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14:paraId="2D6449E6">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21DEE66">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F7C7626">
      <w:pPr>
        <w:pStyle w:val="32"/>
        <w:snapToGrid w:val="0"/>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14:paraId="3A354E43">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14:paraId="1C1095CD">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的情形之一的，响应文件无效：</w:t>
      </w:r>
    </w:p>
    <w:p w14:paraId="2061DFA9">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17.响应文件有效期</w:t>
      </w:r>
    </w:p>
    <w:p w14:paraId="20B1A234">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诺的响应文件有效期少于采购文件中载明的响应文件有效期的，响应文件无效。</w:t>
      </w:r>
    </w:p>
    <w:p w14:paraId="1085823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17.2响应文件合格投递后，自响应文件提交截止时间起，在响应文件有效期内有效。</w:t>
      </w:r>
    </w:p>
    <w:p w14:paraId="2BDD2F56">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E064E90">
      <w:pPr>
        <w:pStyle w:val="131"/>
        <w:spacing w:before="0"/>
        <w:ind w:firstLine="640"/>
        <w:rPr>
          <w:rFonts w:ascii="宋体" w:hAnsi="宋体" w:cs="宋体"/>
          <w:b/>
          <w:color w:val="000000" w:themeColor="text1"/>
          <w:sz w:val="32"/>
          <w14:textFill>
            <w14:solidFill>
              <w14:schemeClr w14:val="tx1"/>
            </w14:solidFill>
          </w14:textFill>
        </w:rPr>
      </w:pPr>
    </w:p>
    <w:p w14:paraId="466D393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4" w:name="_Toc5722"/>
      <w:r>
        <w:rPr>
          <w:rFonts w:hint="eastAsia" w:ascii="宋体" w:hAnsi="宋体" w:cs="宋体"/>
          <w:b/>
          <w:color w:val="000000" w:themeColor="text1"/>
          <w:sz w:val="32"/>
          <w:szCs w:val="20"/>
          <w14:textFill>
            <w14:solidFill>
              <w14:schemeClr w14:val="tx1"/>
            </w14:solidFill>
          </w14:textFill>
        </w:rPr>
        <w:t>四、响应文件开启、资格审查与信用信息查询</w:t>
      </w:r>
      <w:bookmarkEnd w:id="34"/>
    </w:p>
    <w:p w14:paraId="24D624E3">
      <w:pPr>
        <w:pStyle w:val="559"/>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18.响应文件开启</w:t>
      </w:r>
      <w:r>
        <w:rPr>
          <w:rFonts w:hint="eastAsia" w:ascii="宋体" w:hAnsi="宋体" w:cs="宋体"/>
          <w:color w:val="000000" w:themeColor="text1"/>
          <w:sz w:val="24"/>
          <w14:textFill>
            <w14:solidFill>
              <w14:schemeClr w14:val="tx1"/>
            </w14:solidFill>
          </w14:textFill>
        </w:rPr>
        <w:t xml:space="preserve"> </w:t>
      </w:r>
    </w:p>
    <w:p w14:paraId="76C6265D">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18.1采购代理机构按照采购文件规定的时间通过电子交易平台组织响应文件开启，所有供应商均应当准时在线参加。供应商不足3家的，不得开启。</w:t>
      </w:r>
    </w:p>
    <w:p w14:paraId="3F040E81">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18.2响应文件开启时，电子交易平台按响应文件开启时间自动提取所有响应文件。采购代理机构依托电子交易平台发起开始解密指令，供应商按照平台提示和采购文件的规定在半小时内完成在线解密。</w:t>
      </w:r>
    </w:p>
    <w:p w14:paraId="24CC4317">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65FA97A3">
      <w:pPr>
        <w:pStyle w:val="559"/>
        <w:spacing w:before="0" w:line="360" w:lineRule="auto"/>
        <w:ind w:left="0" w:firstLine="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19.资格审查</w:t>
      </w:r>
    </w:p>
    <w:p w14:paraId="54E643B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采购人、采购代理机构或磋商小组依据法律法规和采购文件的规定，对供应商的资格进行审查。</w:t>
      </w:r>
    </w:p>
    <w:p w14:paraId="10B4C461">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19.2供应商未按照采购文件要求提供与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供应商不具备采购文件中规定的资格要求，其响应文件无效。</w:t>
      </w:r>
    </w:p>
    <w:p w14:paraId="22D63C90">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3对未通过资格审查的供应商，采购人或采购代理机构告知其未通过的原因。</w:t>
      </w:r>
    </w:p>
    <w:p w14:paraId="5D1E47A1">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4合格供应商不足3家的，不再评审。</w:t>
      </w:r>
    </w:p>
    <w:p w14:paraId="4C893C84">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7AA1C8EF">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14:paraId="51BB1A6D">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14:paraId="24285BF8">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BA487EF">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614DAEF">
      <w:pPr>
        <w:pStyle w:val="131"/>
        <w:spacing w:before="0"/>
        <w:ind w:firstLine="0" w:firstLineChars="0"/>
        <w:rPr>
          <w:rFonts w:ascii="宋体" w:hAnsi="宋体" w:cs="宋体"/>
          <w:color w:val="000000" w:themeColor="text1"/>
          <w:kern w:val="0"/>
          <w:szCs w:val="24"/>
          <w14:textFill>
            <w14:solidFill>
              <w14:schemeClr w14:val="tx1"/>
            </w14:solidFill>
          </w14:textFill>
        </w:rPr>
      </w:pPr>
    </w:p>
    <w:p w14:paraId="02F7DEE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5" w:name="_Toc24496"/>
      <w:r>
        <w:rPr>
          <w:rFonts w:hint="eastAsia" w:ascii="宋体" w:hAnsi="宋体" w:cs="宋体"/>
          <w:b/>
          <w:color w:val="000000" w:themeColor="text1"/>
          <w:sz w:val="32"/>
          <w:szCs w:val="20"/>
          <w14:textFill>
            <w14:solidFill>
              <w14:schemeClr w14:val="tx1"/>
            </w14:solidFill>
          </w14:textFill>
        </w:rPr>
        <w:t>五、评审</w:t>
      </w:r>
      <w:bookmarkEnd w:id="35"/>
    </w:p>
    <w:p w14:paraId="11761FBF">
      <w:pPr>
        <w:spacing w:line="360" w:lineRule="auto"/>
        <w:rPr>
          <w:rFonts w:ascii="宋体" w:hAnsi="宋体" w:cs="宋体"/>
          <w:b/>
          <w:color w:val="000000" w:themeColor="text1"/>
          <w:sz w:val="24"/>
          <w14:textFill>
            <w14:solidFill>
              <w14:schemeClr w14:val="tx1"/>
            </w14:solidFill>
          </w14:textFill>
        </w:rPr>
      </w:pPr>
      <w:bookmarkStart w:id="36"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14:textFill>
            <w14:solidFill>
              <w14:schemeClr w14:val="tx1"/>
            </w14:solidFill>
          </w14:textFill>
        </w:rPr>
        <w:t>详见采购文件第四部分评审办法。</w:t>
      </w:r>
    </w:p>
    <w:p w14:paraId="1ED0D3A9">
      <w:pPr>
        <w:spacing w:line="360" w:lineRule="auto"/>
        <w:rPr>
          <w:rFonts w:ascii="宋体" w:hAnsi="宋体" w:cs="宋体"/>
          <w:b/>
          <w:color w:val="000000" w:themeColor="text1"/>
          <w:sz w:val="24"/>
          <w14:textFill>
            <w14:solidFill>
              <w14:schemeClr w14:val="tx1"/>
            </w14:solidFill>
          </w14:textFill>
        </w:rPr>
      </w:pPr>
    </w:p>
    <w:p w14:paraId="1C896BB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7" w:name="_Toc14623"/>
      <w:r>
        <w:rPr>
          <w:rFonts w:hint="eastAsia" w:ascii="宋体" w:hAnsi="宋体" w:cs="宋体"/>
          <w:b/>
          <w:color w:val="000000" w:themeColor="text1"/>
          <w:sz w:val="32"/>
          <w:szCs w:val="20"/>
          <w14:textFill>
            <w14:solidFill>
              <w14:schemeClr w14:val="tx1"/>
            </w14:solidFill>
          </w14:textFill>
        </w:rPr>
        <w:t>六、成交供应商确定</w:t>
      </w:r>
      <w:bookmarkEnd w:id="37"/>
    </w:p>
    <w:p w14:paraId="40C359CD">
      <w:pPr>
        <w:pStyle w:val="24"/>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22.确定成交供应商</w:t>
      </w:r>
    </w:p>
    <w:p w14:paraId="50476E4C">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1515437">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23.成交通知与成交结果公告</w:t>
      </w:r>
    </w:p>
    <w:p w14:paraId="245A015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14:paraId="06DCD5D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4C9953">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6B3A397E">
      <w:pPr>
        <w:widowControl/>
        <w:shd w:val="clear" w:color="auto" w:fill="FFFFFF"/>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23.4由于成交供应商原因导致重新采购的，应当承担支付代理费和专家评审费等费用在内的赔偿责任。</w:t>
      </w:r>
    </w:p>
    <w:p w14:paraId="402B3F65">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557842C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8" w:name="_Toc28972"/>
      <w:r>
        <w:rPr>
          <w:rFonts w:hint="eastAsia" w:ascii="宋体" w:hAnsi="宋体" w:cs="宋体"/>
          <w:b/>
          <w:color w:val="000000" w:themeColor="text1"/>
          <w:sz w:val="32"/>
          <w:szCs w:val="20"/>
          <w14:textFill>
            <w14:solidFill>
              <w14:schemeClr w14:val="tx1"/>
            </w14:solidFill>
          </w14:textFill>
        </w:rPr>
        <w:t>七、合同授予</w:t>
      </w:r>
      <w:bookmarkEnd w:id="38"/>
    </w:p>
    <w:p w14:paraId="1AB7AA62">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合同主要条款详见第五部分拟签订的合同文本。</w:t>
      </w:r>
    </w:p>
    <w:p w14:paraId="7196DB98">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25.合同的签订</w:t>
      </w:r>
    </w:p>
    <w:p w14:paraId="08D61BD5">
      <w:pPr>
        <w:widowControl/>
        <w:shd w:val="clear" w:color="auto" w:fill="FFFFFF"/>
        <w:snapToGrid w:val="0"/>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三十日内，与成交供应商按照采购文件确定的事项签订政府采购合同。</w:t>
      </w:r>
    </w:p>
    <w:p w14:paraId="1D90B3A4">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73B272E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0A2F5DC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D042BF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14:paraId="203E9CE7">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163793AF">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杭州市政府采购网公布的供应商履约评价为满分的供应商，采购单位应当免收履约保证金。确需收取履约保证金的，履约保证金缴纳最高比例由不超过合同金额的2%，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25D1BE3">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C31B39E">
      <w:pPr>
        <w:tabs>
          <w:tab w:val="left" w:pos="0"/>
        </w:tabs>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27.预付款</w:t>
      </w:r>
    </w:p>
    <w:p w14:paraId="61651055">
      <w:pPr>
        <w:tabs>
          <w:tab w:val="left" w:pos="0"/>
        </w:tabs>
        <w:snapToGrid w:val="0"/>
        <w:spacing w:line="360" w:lineRule="auto"/>
        <w:ind w:firstLine="482"/>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采购单位应当在政府采购合同中约定预付款，对中小企业合同预付款比例原则上不低于合同金额的40％，不</w:t>
      </w:r>
      <w:r>
        <w:rPr>
          <w:rFonts w:hint="eastAsia" w:ascii="宋体" w:hAnsi="宋体"/>
          <w:color w:val="000000" w:themeColor="text1"/>
          <w:sz w:val="24"/>
          <w14:textFill>
            <w14:solidFill>
              <w14:schemeClr w14:val="tx1"/>
            </w14:solidFill>
          </w14:textFill>
        </w:rPr>
        <w:t>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5BAE12C0">
      <w:pPr>
        <w:rPr>
          <w:color w:val="000000" w:themeColor="text1"/>
          <w14:textFill>
            <w14:solidFill>
              <w14:schemeClr w14:val="tx1"/>
            </w14:solidFill>
          </w14:textFill>
        </w:rPr>
      </w:pPr>
    </w:p>
    <w:p w14:paraId="6D7496CA">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2565409B">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9" w:name="_Toc3554"/>
      <w:r>
        <w:rPr>
          <w:rFonts w:hint="eastAsia" w:ascii="宋体" w:hAnsi="宋体" w:cs="宋体"/>
          <w:b/>
          <w:color w:val="000000" w:themeColor="text1"/>
          <w:sz w:val="32"/>
          <w:szCs w:val="20"/>
          <w14:textFill>
            <w14:solidFill>
              <w14:schemeClr w14:val="tx1"/>
            </w14:solidFill>
          </w14:textFill>
        </w:rPr>
        <w:t>八、电子交易活动的中止</w:t>
      </w:r>
      <w:bookmarkEnd w:id="39"/>
    </w:p>
    <w:p w14:paraId="76DB7CEE">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00381D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009C37D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11EB998A">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20E5A83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51CF989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7784DFB2">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489638">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4F0792F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0" w:name="_Toc29531"/>
      <w:r>
        <w:rPr>
          <w:rFonts w:hint="eastAsia" w:ascii="宋体" w:hAnsi="宋体" w:cs="宋体"/>
          <w:b/>
          <w:color w:val="000000" w:themeColor="text1"/>
          <w:sz w:val="32"/>
          <w:szCs w:val="20"/>
          <w14:textFill>
            <w14:solidFill>
              <w14:schemeClr w14:val="tx1"/>
            </w14:solidFill>
          </w14:textFill>
        </w:rPr>
        <w:t>九、验收</w:t>
      </w:r>
      <w:bookmarkEnd w:id="40"/>
    </w:p>
    <w:p w14:paraId="5575D028">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27EBFB18">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834B5C">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CF66C5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83E47F">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010E2A5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bookmarkStart w:id="41" w:name="_Hlt68072990"/>
      <w:bookmarkEnd w:id="41"/>
      <w:bookmarkStart w:id="42" w:name="_Hlt75236290"/>
      <w:bookmarkEnd w:id="42"/>
      <w:bookmarkStart w:id="43" w:name="_Hlt68403820"/>
      <w:bookmarkEnd w:id="43"/>
      <w:bookmarkStart w:id="44" w:name="_Hlt74714665"/>
      <w:bookmarkEnd w:id="44"/>
      <w:bookmarkStart w:id="45" w:name="_Hlt68057669"/>
      <w:bookmarkEnd w:id="45"/>
      <w:bookmarkStart w:id="46" w:name="_Hlt75236101"/>
      <w:bookmarkEnd w:id="46"/>
      <w:bookmarkStart w:id="47" w:name="_Hlt75236011"/>
      <w:bookmarkEnd w:id="47"/>
      <w:bookmarkStart w:id="48" w:name="_Hlt74707468"/>
      <w:bookmarkEnd w:id="48"/>
      <w:bookmarkStart w:id="49" w:name="_Hlt68072998"/>
      <w:bookmarkEnd w:id="49"/>
      <w:bookmarkStart w:id="50" w:name="_Hlt74730295"/>
      <w:bookmarkEnd w:id="50"/>
      <w:bookmarkStart w:id="51" w:name="_Hlt74729768"/>
      <w:bookmarkEnd w:id="51"/>
      <w:bookmarkStart w:id="52" w:name="_Hlt68073093"/>
      <w:bookmarkEnd w:id="52"/>
      <w:r>
        <w:rPr>
          <w:rFonts w:hint="eastAsia" w:ascii="宋体" w:hAnsi="宋体" w:cs="宋体"/>
          <w:color w:val="000000" w:themeColor="text1"/>
          <w:kern w:val="0"/>
          <w:sz w:val="24"/>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C72A6B9">
      <w:pPr>
        <w:pStyle w:val="80"/>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26"/>
    <w:bookmarkEnd w:id="27"/>
    <w:p w14:paraId="5AF533F0">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53" w:name="_Toc12691"/>
      <w:bookmarkStart w:id="54" w:name="第四部分"/>
      <w:r>
        <w:rPr>
          <w:rFonts w:hint="eastAsia" w:hAnsi="宋体" w:cs="宋体"/>
          <w:b/>
          <w:snapToGrid/>
          <w:color w:val="000000" w:themeColor="text1"/>
          <w:sz w:val="36"/>
          <w:szCs w:val="20"/>
          <w14:textFill>
            <w14:solidFill>
              <w14:schemeClr w14:val="tx1"/>
            </w14:solidFill>
          </w14:textFill>
        </w:rPr>
        <w:t>第三部分 采购需求</w:t>
      </w:r>
      <w:bookmarkEnd w:id="53"/>
    </w:p>
    <w:p w14:paraId="478056F6">
      <w:pPr>
        <w:adjustRightInd/>
        <w:spacing w:line="360" w:lineRule="auto"/>
        <w:jc w:val="left"/>
        <w:outlineLvl w:val="1"/>
        <w:rPr>
          <w:rFonts w:ascii="宋体" w:hAnsi="宋体" w:cs="宋体"/>
          <w:b/>
          <w:color w:val="000000" w:themeColor="text1"/>
          <w:sz w:val="28"/>
          <w:szCs w:val="28"/>
          <w14:textFill>
            <w14:solidFill>
              <w14:schemeClr w14:val="tx1"/>
            </w14:solidFill>
          </w14:textFill>
        </w:rPr>
      </w:pPr>
      <w:bookmarkStart w:id="55" w:name="_Toc1714"/>
      <w:r>
        <w:rPr>
          <w:rFonts w:hint="eastAsia" w:ascii="宋体" w:hAnsi="宋体" w:cs="宋体"/>
          <w:b/>
          <w:color w:val="000000" w:themeColor="text1"/>
          <w:sz w:val="28"/>
          <w:szCs w:val="28"/>
          <w14:textFill>
            <w14:solidFill>
              <w14:schemeClr w14:val="tx1"/>
            </w14:solidFill>
          </w14:textFill>
        </w:rPr>
        <w:t>一、项目概况</w:t>
      </w:r>
      <w:bookmarkEnd w:id="55"/>
    </w:p>
    <w:p w14:paraId="15832D89">
      <w:pPr>
        <w:spacing w:line="360" w:lineRule="auto"/>
        <w:ind w:firstLine="480" w:firstLineChars="200"/>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减少学校监控盲区，提高预警能力，在学校围墙和屋面区域，增加部分监控摄像机。具体详见清单</w:t>
      </w:r>
      <w:r>
        <w:rPr>
          <w:rFonts w:hint="eastAsia" w:ascii="宋体" w:hAnsi="宋体" w:cs="宋体"/>
          <w:b w:val="0"/>
          <w:bCs/>
          <w:color w:val="000000" w:themeColor="text1"/>
          <w:sz w:val="24"/>
          <w:szCs w:val="24"/>
          <w:lang w:val="en-US" w:eastAsia="zh-CN"/>
          <w14:textFill>
            <w14:solidFill>
              <w14:schemeClr w14:val="tx1"/>
            </w14:solidFill>
          </w14:textFill>
        </w:rPr>
        <w:t>及</w:t>
      </w:r>
      <w:r>
        <w:rPr>
          <w:rFonts w:hint="eastAsia" w:ascii="宋体" w:hAnsi="宋体" w:cs="宋体"/>
          <w:b w:val="0"/>
          <w:bCs/>
          <w:color w:val="000000" w:themeColor="text1"/>
          <w:sz w:val="24"/>
          <w:szCs w:val="24"/>
          <w14:textFill>
            <w14:solidFill>
              <w14:schemeClr w14:val="tx1"/>
            </w14:solidFill>
          </w14:textFill>
        </w:rPr>
        <w:t>图纸。</w:t>
      </w:r>
    </w:p>
    <w:p w14:paraId="09EFF8BB">
      <w:pPr>
        <w:numPr>
          <w:ilvl w:val="0"/>
          <w:numId w:val="0"/>
        </w:numPr>
        <w:adjustRightInd/>
        <w:spacing w:line="360" w:lineRule="auto"/>
        <w:jc w:val="left"/>
        <w:outlineLvl w:val="1"/>
        <w:rPr>
          <w:rFonts w:hint="eastAsia" w:ascii="宋体" w:hAnsi="宋体" w:cs="宋体"/>
          <w:b/>
          <w:color w:val="000000" w:themeColor="text1"/>
          <w:sz w:val="28"/>
          <w:szCs w:val="28"/>
          <w14:textFill>
            <w14:solidFill>
              <w14:schemeClr w14:val="tx1"/>
            </w14:solidFill>
          </w14:textFill>
        </w:rPr>
      </w:pPr>
      <w:bookmarkStart w:id="56" w:name="_Toc1266"/>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cs="宋体"/>
          <w:b/>
          <w:color w:val="000000" w:themeColor="text1"/>
          <w:sz w:val="28"/>
          <w:szCs w:val="28"/>
          <w14:textFill>
            <w14:solidFill>
              <w14:schemeClr w14:val="tx1"/>
            </w14:solidFill>
          </w14:textFill>
        </w:rPr>
        <w:t>采购清单</w:t>
      </w:r>
      <w:bookmarkEnd w:id="56"/>
    </w:p>
    <w:tbl>
      <w:tblPr>
        <w:tblStyle w:val="62"/>
        <w:tblW w:w="37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3183"/>
        <w:gridCol w:w="1587"/>
        <w:gridCol w:w="1666"/>
      </w:tblGrid>
      <w:tr w14:paraId="5FA4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36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1C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53" w:type="pct"/>
            <w:tcBorders>
              <w:top w:val="single" w:color="000000" w:sz="4" w:space="0"/>
              <w:left w:val="single" w:color="000000" w:sz="4" w:space="0"/>
              <w:bottom w:val="nil"/>
              <w:right w:val="single" w:color="000000" w:sz="4" w:space="0"/>
            </w:tcBorders>
            <w:shd w:val="clear" w:color="auto" w:fill="auto"/>
            <w:vAlign w:val="center"/>
          </w:tcPr>
          <w:p w14:paraId="0A0E26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F8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519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90A74E">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23号楼屋顶</w:t>
            </w:r>
          </w:p>
        </w:tc>
      </w:tr>
      <w:tr w14:paraId="6143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B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8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2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F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451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D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9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E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8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7F8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32BC4">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17-22号楼屋顶</w:t>
            </w:r>
          </w:p>
        </w:tc>
      </w:tr>
      <w:tr w14:paraId="231A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C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0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6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B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50A7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5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C6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B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4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1D10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81739F">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10号楼屋顶</w:t>
            </w:r>
          </w:p>
        </w:tc>
      </w:tr>
      <w:tr w14:paraId="777F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4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A2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9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3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184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0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7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0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D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55E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17B72">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1号楼屋顶</w:t>
            </w:r>
          </w:p>
        </w:tc>
      </w:tr>
      <w:tr w14:paraId="0EEC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6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D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5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A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BC4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E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0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6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D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D54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4C177">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6-9号楼屋顶</w:t>
            </w:r>
          </w:p>
        </w:tc>
      </w:tr>
      <w:tr w14:paraId="3BF5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6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7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2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5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051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2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E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9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7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17A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07119">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24号楼屋顶</w:t>
            </w:r>
          </w:p>
        </w:tc>
      </w:tr>
      <w:tr w14:paraId="400D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F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F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C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0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765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5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0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9B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80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C41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D814E">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周界围墙</w:t>
            </w:r>
          </w:p>
        </w:tc>
      </w:tr>
      <w:tr w14:paraId="5DC7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0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D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1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B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347B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C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9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7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7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DF9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3C65E3">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机房</w:t>
            </w:r>
          </w:p>
        </w:tc>
      </w:tr>
      <w:tr w14:paraId="3AC6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9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1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平台对接软件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3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1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6F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C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2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存储服务器</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5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D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45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5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12" w:type="pct"/>
            <w:tcBorders>
              <w:top w:val="single" w:color="000000" w:sz="4" w:space="0"/>
              <w:left w:val="single" w:color="000000" w:sz="4" w:space="0"/>
              <w:bottom w:val="nil"/>
              <w:right w:val="single" w:color="000000" w:sz="4" w:space="0"/>
            </w:tcBorders>
            <w:shd w:val="clear" w:color="auto" w:fill="auto"/>
            <w:vAlign w:val="center"/>
          </w:tcPr>
          <w:p w14:paraId="5183C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B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6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04AB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5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12" w:type="pct"/>
            <w:tcBorders>
              <w:top w:val="single" w:color="000000" w:sz="4" w:space="0"/>
              <w:left w:val="single" w:color="000000" w:sz="4" w:space="0"/>
              <w:bottom w:val="nil"/>
              <w:right w:val="single" w:color="000000" w:sz="4" w:space="0"/>
            </w:tcBorders>
            <w:shd w:val="clear" w:color="auto" w:fill="auto"/>
            <w:vAlign w:val="center"/>
          </w:tcPr>
          <w:p w14:paraId="035FC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交换机（24口千兆）</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F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7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31C8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F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E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交换机（8口千兆）</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9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3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B20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F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0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交换机（48口千兆）</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3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8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B14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0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4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0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0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2B08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A6FF4">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管线</w:t>
            </w:r>
          </w:p>
        </w:tc>
      </w:tr>
      <w:tr w14:paraId="4760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E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18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8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E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2730</w:t>
            </w:r>
          </w:p>
        </w:tc>
      </w:tr>
      <w:tr w14:paraId="3F08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6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B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网线（防水）</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B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6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r>
      <w:tr w14:paraId="0623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5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F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B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5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2730</w:t>
            </w:r>
          </w:p>
        </w:tc>
      </w:tr>
      <w:tr w14:paraId="411A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4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2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室外光纤</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9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4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9B4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F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4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光纤配线架</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0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0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06D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B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E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光纤跳线</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D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4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147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4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9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9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7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0DDB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6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F8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C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9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A78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C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1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室外箱</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6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6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540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4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7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室内壁挂箱</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0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2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1BA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E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4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室外管PE32</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76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4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6EEA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E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9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管PVC25</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D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5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4730</w:t>
            </w:r>
          </w:p>
        </w:tc>
      </w:tr>
      <w:tr w14:paraId="5CBE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A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6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室外井</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C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4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65D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E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3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接线盒</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7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7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7829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9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E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C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30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r>
      <w:tr w14:paraId="3EB3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1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8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8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7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14:paraId="4888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1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D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B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1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bl>
    <w:p w14:paraId="66497954">
      <w:pPr>
        <w:pStyle w:val="23"/>
        <w:numPr>
          <w:ilvl w:val="0"/>
          <w:numId w:val="0"/>
        </w:numPr>
      </w:pPr>
    </w:p>
    <w:p w14:paraId="2B68EDF9">
      <w:pPr>
        <w:numPr>
          <w:ilvl w:val="0"/>
          <w:numId w:val="0"/>
        </w:numPr>
        <w:adjustRightInd/>
        <w:spacing w:line="360" w:lineRule="auto"/>
        <w:jc w:val="left"/>
        <w:outlineLvl w:val="1"/>
        <w:rPr>
          <w:rFonts w:hint="default"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三、技术要求</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2"/>
        <w:gridCol w:w="2148"/>
        <w:gridCol w:w="6969"/>
      </w:tblGrid>
      <w:tr w14:paraId="48A2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23" w:type="pct"/>
            <w:shd w:val="clear" w:color="auto" w:fill="auto"/>
            <w:vAlign w:val="center"/>
          </w:tcPr>
          <w:p w14:paraId="55D493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78" w:type="pct"/>
            <w:shd w:val="clear" w:color="auto" w:fill="auto"/>
            <w:vAlign w:val="center"/>
          </w:tcPr>
          <w:p w14:paraId="4B8DD9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498" w:type="pct"/>
            <w:shd w:val="clear" w:color="auto" w:fill="auto"/>
            <w:vAlign w:val="center"/>
          </w:tcPr>
          <w:p w14:paraId="0639385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技术参数及要求</w:t>
            </w:r>
          </w:p>
        </w:tc>
      </w:tr>
      <w:tr w14:paraId="031E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23" w:type="pct"/>
            <w:shd w:val="clear" w:color="auto" w:fill="auto"/>
            <w:vAlign w:val="center"/>
          </w:tcPr>
          <w:p w14:paraId="449A0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8" w:type="pct"/>
            <w:shd w:val="clear" w:color="auto" w:fill="auto"/>
            <w:vAlign w:val="center"/>
          </w:tcPr>
          <w:p w14:paraId="24A09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警戒摄像机</w:t>
            </w:r>
          </w:p>
        </w:tc>
        <w:tc>
          <w:tcPr>
            <w:tcW w:w="3498" w:type="pct"/>
            <w:shd w:val="clear" w:color="auto" w:fill="auto"/>
            <w:vAlign w:val="center"/>
          </w:tcPr>
          <w:p w14:paraId="389619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传感器类型：1/2.7英寸CMOS；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最大补光距离：80m（红外视频监控距离）；50m（暖光视频监控距离）；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补光灯：2颗（红外灯）;2颗（暖光灯）；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镜头类型：定焦；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镜头焦距：3.6mm；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镜头光圈：F1.6；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视场角：水平：84°；垂直：42°；对角：101°；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通用行为分析：物品遗留；物品搬移；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周界防范：绊线入侵；区域入侵；徘徊检测；人员聚集；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智能编码：H.264:支持；H.265:支持；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AI编码：H.264:支持（压缩率≥25%）；H.265:支持（压缩率≥25%）；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走廊模式：90°/270°（在1080P分辨率及以下支持）；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内置MIC：支持，内置1个MIC；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内置扬声器：支持；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报警事件：网络断开；IP冲突；非法访问；动态检测；视频遮挡；绊线入侵；区域入侵；徘徊检测；人员聚集；音频异常侦测；电压检测；SMD；安全异常；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接入标准：ONVIF（Profile S &amp; Profile T）；CGI；GB/T28181-2022（双国标）；大华云联；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预览最大用户数：20个（总带宽：48M）；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其他功能：声光警戒；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防护等级：IP67</w:t>
            </w:r>
          </w:p>
        </w:tc>
      </w:tr>
      <w:tr w14:paraId="15BD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423" w:type="pct"/>
            <w:shd w:val="clear" w:color="auto" w:fill="auto"/>
            <w:vAlign w:val="center"/>
          </w:tcPr>
          <w:p w14:paraId="1AD3B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8" w:type="pct"/>
            <w:shd w:val="clear" w:color="auto" w:fill="auto"/>
            <w:vAlign w:val="center"/>
          </w:tcPr>
          <w:p w14:paraId="5B407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摄像机支架</w:t>
            </w:r>
          </w:p>
        </w:tc>
        <w:tc>
          <w:tcPr>
            <w:tcW w:w="3498" w:type="pct"/>
            <w:shd w:val="clear" w:color="auto" w:fill="auto"/>
            <w:vAlign w:val="center"/>
          </w:tcPr>
          <w:p w14:paraId="4553C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w:t>
            </w:r>
          </w:p>
        </w:tc>
      </w:tr>
      <w:tr w14:paraId="7D34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5005C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8" w:type="pct"/>
            <w:shd w:val="clear" w:color="auto" w:fill="auto"/>
            <w:vAlign w:val="center"/>
          </w:tcPr>
          <w:p w14:paraId="5369F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平台对接软件</w:t>
            </w:r>
          </w:p>
        </w:tc>
        <w:tc>
          <w:tcPr>
            <w:tcW w:w="3498" w:type="pct"/>
            <w:shd w:val="clear" w:color="auto" w:fill="auto"/>
            <w:vAlign w:val="center"/>
          </w:tcPr>
          <w:p w14:paraId="0AD693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配套，实现平台报警弹窗，大屏显示功能，以及配套需要的软硬件设备</w:t>
            </w:r>
          </w:p>
        </w:tc>
      </w:tr>
      <w:tr w14:paraId="7CC0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23" w:type="pct"/>
            <w:shd w:val="clear" w:color="auto" w:fill="auto"/>
            <w:vAlign w:val="center"/>
          </w:tcPr>
          <w:p w14:paraId="1BD5D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8" w:type="pct"/>
            <w:shd w:val="clear" w:color="auto" w:fill="auto"/>
            <w:vAlign w:val="center"/>
          </w:tcPr>
          <w:p w14:paraId="2584B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存储服务器</w:t>
            </w:r>
          </w:p>
        </w:tc>
        <w:tc>
          <w:tcPr>
            <w:tcW w:w="3498" w:type="pct"/>
            <w:shd w:val="clear" w:color="auto" w:fill="auto"/>
            <w:vAlign w:val="center"/>
          </w:tcPr>
          <w:p w14:paraId="008AD2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磁盘阵列要求接入校园原有安防平台，并提供无缝对接证明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主处理器：64位高性能多核处理器；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操作系统：国产操作系统；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控制器：单控制器；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高速缓存：标配8GB，可扩展至64GB；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视频直存（私有协议）：320路（800Mbps）接入，320路（800Mbps） 存储，320路（800Mbps） 转发，32路（64Mbps）网络回放；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硬盘接口：48个；SATA；单盘最大支持20TB；支持热插拔；支持CMR；（硬盘型号参考配套产品）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▲支持接入 SMR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混合支持 SATA 磁盘、 SAS 磁盘、 SSD磁盘、 NVME 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样机在工作状态下， 可独立对每个硬盘进行热插拔维护， 磁盘可自动识别，接入过程中有提示信息；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可接入 2.5 英寸以及 3.5 英寸硬盘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 NL-SAS 硬盘、 空气硬盘、 14T、16T、 18T、 20T、 22T 氦气硬盘接入；支持接入容量为 1TB、 2TB、 3TB、 4TB、5TB、 6TB、 8TB、 10TB、 12TB、 14TB、16TB、 18T、 20T、 22T 的 SATA/SAS 磁盘；▲可在客户端界面查看数据重构状态，样机的磁盘或节点离线并重新插回后，可在界面显示离线磁盘或节点的数据重构过程，离线前数据不丢失</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▲可根据业务需要配置重构速度，支持低速（业务优先）、中速（自适应）、高速（负载均衡）和全速（同步优先）4种重构速度配置，可通过客户端软件显示重构速度；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RAID模式下，当RAID内某一块硬盘发生故障，样机可将数据自动存储至热备盘，更换该硬盘或热备盘替换时，数据不应丢失且磁盘阵列可自动进行RAID重构；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支持全局重构、局部重构、区域重构和不重构4种模式，当RAID处于降级或重构状态下，不影响数据写入；可将损坏RAID按照RAID损坏等级进行重构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▲可通过客户端软件搜索录像文件，搜索结果中每段录像文件以一张图片为代表展示，拖动图片进行录像回放；支持-1/256、-1/128、-1/64、-1/32、-1/16、-1/8、-1/4、-1/2、-1、-2、-4、 -8、-16、-32、-64、-128、-256、1/256、1/128、1/64、1/32、1/16、1/8、1/4、1/2、1、2、4、8、16、32、64、128、256倍速度回放录像文件；</w:t>
            </w:r>
          </w:p>
        </w:tc>
      </w:tr>
      <w:tr w14:paraId="0F24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423" w:type="pct"/>
            <w:shd w:val="clear" w:color="auto" w:fill="auto"/>
            <w:vAlign w:val="center"/>
          </w:tcPr>
          <w:p w14:paraId="6F5C8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8" w:type="pct"/>
            <w:shd w:val="clear" w:color="auto" w:fill="auto"/>
            <w:vAlign w:val="center"/>
          </w:tcPr>
          <w:p w14:paraId="5E2D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3498" w:type="pct"/>
            <w:shd w:val="clear" w:color="auto" w:fill="auto"/>
            <w:vAlign w:val="center"/>
          </w:tcPr>
          <w:p w14:paraId="7B51B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监控专用硬盘8T</w:t>
            </w:r>
          </w:p>
        </w:tc>
      </w:tr>
      <w:tr w14:paraId="6140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6CD8B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8" w:type="pct"/>
            <w:shd w:val="clear" w:color="auto" w:fill="auto"/>
            <w:vAlign w:val="center"/>
          </w:tcPr>
          <w:p w14:paraId="0922E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交换机（24口千兆）</w:t>
            </w:r>
          </w:p>
        </w:tc>
        <w:tc>
          <w:tcPr>
            <w:tcW w:w="3498" w:type="pct"/>
            <w:shd w:val="clear" w:color="auto" w:fill="auto"/>
            <w:vAlign w:val="center"/>
          </w:tcPr>
          <w:p w14:paraId="263EA0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24口千兆POE交换机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背板带宽：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256Gbps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包转发率：</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51Mpps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24*10/100/1000Base-T以太网端口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4*100/1000 Base-X SFP光口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PoE+供电：支持POE+，整机最大输出370W，端口最大输出30W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含模块</w:t>
            </w:r>
          </w:p>
        </w:tc>
      </w:tr>
      <w:tr w14:paraId="71A1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3" w:type="pct"/>
            <w:shd w:val="clear" w:color="auto" w:fill="auto"/>
            <w:vAlign w:val="center"/>
          </w:tcPr>
          <w:p w14:paraId="6BAFC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78" w:type="pct"/>
            <w:shd w:val="clear" w:color="auto" w:fill="auto"/>
            <w:vAlign w:val="center"/>
          </w:tcPr>
          <w:p w14:paraId="79EB7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口千兆）</w:t>
            </w:r>
          </w:p>
        </w:tc>
        <w:tc>
          <w:tcPr>
            <w:tcW w:w="3498" w:type="pct"/>
            <w:shd w:val="clear" w:color="auto" w:fill="auto"/>
            <w:vAlign w:val="center"/>
          </w:tcPr>
          <w:p w14:paraId="30414A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8口千兆交换机，全千兆端口</w:t>
            </w:r>
          </w:p>
        </w:tc>
      </w:tr>
      <w:tr w14:paraId="07AE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345E5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78" w:type="pct"/>
            <w:shd w:val="clear" w:color="auto" w:fill="auto"/>
            <w:vAlign w:val="center"/>
          </w:tcPr>
          <w:p w14:paraId="677A7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r>
              <w:rPr>
                <w:rFonts w:hint="eastAsia" w:ascii="宋体" w:hAnsi="宋体" w:cs="宋体"/>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口千兆）</w:t>
            </w:r>
          </w:p>
        </w:tc>
        <w:tc>
          <w:tcPr>
            <w:tcW w:w="3498" w:type="pct"/>
            <w:shd w:val="clear" w:color="auto" w:fill="auto"/>
            <w:vAlign w:val="center"/>
          </w:tcPr>
          <w:p w14:paraId="4EEC5A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48口千兆交换机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背板带宽：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256Gbps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包转发率：</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51Mpps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28*10/100/1000Base-T以太网端口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4*100/1000 Base-X SFP光口</w:t>
            </w:r>
          </w:p>
        </w:tc>
      </w:tr>
      <w:tr w14:paraId="17A3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378E0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78" w:type="pct"/>
            <w:shd w:val="clear" w:color="auto" w:fill="auto"/>
            <w:vAlign w:val="center"/>
          </w:tcPr>
          <w:p w14:paraId="3511D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摄像机电源</w:t>
            </w:r>
          </w:p>
        </w:tc>
        <w:tc>
          <w:tcPr>
            <w:tcW w:w="3498" w:type="pct"/>
            <w:shd w:val="clear" w:color="auto" w:fill="auto"/>
            <w:vAlign w:val="center"/>
          </w:tcPr>
          <w:p w14:paraId="54CD80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12V2A</w:t>
            </w:r>
          </w:p>
        </w:tc>
      </w:tr>
      <w:tr w14:paraId="6D57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1AAFC00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078" w:type="pct"/>
            <w:shd w:val="clear" w:color="auto" w:fill="auto"/>
            <w:vAlign w:val="center"/>
          </w:tcPr>
          <w:p w14:paraId="22BF8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3498" w:type="pct"/>
            <w:shd w:val="clear" w:color="auto" w:fill="auto"/>
            <w:vAlign w:val="center"/>
          </w:tcPr>
          <w:p w14:paraId="45EFF1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w:t>
            </w:r>
          </w:p>
        </w:tc>
      </w:tr>
      <w:tr w14:paraId="07ED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09CF1D3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078" w:type="pct"/>
            <w:shd w:val="clear" w:color="auto" w:fill="auto"/>
            <w:vAlign w:val="center"/>
          </w:tcPr>
          <w:p w14:paraId="3A979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网线（防水）</w:t>
            </w:r>
          </w:p>
        </w:tc>
        <w:tc>
          <w:tcPr>
            <w:tcW w:w="3498" w:type="pct"/>
            <w:shd w:val="clear" w:color="auto" w:fill="auto"/>
            <w:vAlign w:val="center"/>
          </w:tcPr>
          <w:p w14:paraId="682D09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防水网线CAT6</w:t>
            </w:r>
          </w:p>
        </w:tc>
      </w:tr>
      <w:tr w14:paraId="4B32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4532ADE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078" w:type="pct"/>
            <w:shd w:val="clear" w:color="auto" w:fill="auto"/>
            <w:vAlign w:val="center"/>
          </w:tcPr>
          <w:p w14:paraId="65CA7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3498" w:type="pct"/>
            <w:shd w:val="clear" w:color="auto" w:fill="auto"/>
            <w:vAlign w:val="center"/>
          </w:tcPr>
          <w:p w14:paraId="6975F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RVV2*1.5</w:t>
            </w:r>
          </w:p>
        </w:tc>
      </w:tr>
      <w:tr w14:paraId="2DD6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414ADA5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078" w:type="pct"/>
            <w:shd w:val="clear" w:color="auto" w:fill="auto"/>
            <w:vAlign w:val="center"/>
          </w:tcPr>
          <w:p w14:paraId="7B327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室外光纤</w:t>
            </w:r>
          </w:p>
        </w:tc>
        <w:tc>
          <w:tcPr>
            <w:tcW w:w="3498" w:type="pct"/>
            <w:shd w:val="clear" w:color="auto" w:fill="auto"/>
            <w:vAlign w:val="center"/>
          </w:tcPr>
          <w:p w14:paraId="2A2226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8芯单模</w:t>
            </w:r>
          </w:p>
        </w:tc>
      </w:tr>
      <w:tr w14:paraId="66FC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038269D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1078" w:type="pct"/>
            <w:shd w:val="clear" w:color="auto" w:fill="auto"/>
            <w:vAlign w:val="center"/>
          </w:tcPr>
          <w:p w14:paraId="0AC82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光纤配线架</w:t>
            </w:r>
          </w:p>
        </w:tc>
        <w:tc>
          <w:tcPr>
            <w:tcW w:w="3498" w:type="pct"/>
            <w:shd w:val="clear" w:color="auto" w:fill="auto"/>
            <w:vAlign w:val="center"/>
          </w:tcPr>
          <w:p w14:paraId="7B8A26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满配耦合器、尾线等</w:t>
            </w:r>
          </w:p>
        </w:tc>
      </w:tr>
      <w:tr w14:paraId="13D6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03E05E8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078" w:type="pct"/>
            <w:shd w:val="clear" w:color="auto" w:fill="auto"/>
            <w:vAlign w:val="center"/>
          </w:tcPr>
          <w:p w14:paraId="582C8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光纤跳线</w:t>
            </w:r>
          </w:p>
        </w:tc>
        <w:tc>
          <w:tcPr>
            <w:tcW w:w="3498" w:type="pct"/>
            <w:shd w:val="clear" w:color="auto" w:fill="auto"/>
            <w:vAlign w:val="center"/>
          </w:tcPr>
          <w:p w14:paraId="30ADD54B">
            <w:pPr>
              <w:jc w:val="left"/>
              <w:rPr>
                <w:rFonts w:hint="eastAsia" w:ascii="宋体" w:hAnsi="宋体" w:eastAsia="宋体" w:cs="宋体"/>
                <w:i w:val="0"/>
                <w:iCs w:val="0"/>
                <w:color w:val="000000"/>
                <w:sz w:val="24"/>
                <w:szCs w:val="24"/>
                <w:u w:val="none"/>
              </w:rPr>
            </w:pPr>
          </w:p>
        </w:tc>
      </w:tr>
      <w:tr w14:paraId="38FE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63495A6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1078" w:type="pct"/>
            <w:shd w:val="clear" w:color="auto" w:fill="auto"/>
            <w:vAlign w:val="center"/>
          </w:tcPr>
          <w:p w14:paraId="6DB70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w:t>
            </w:r>
          </w:p>
        </w:tc>
        <w:tc>
          <w:tcPr>
            <w:tcW w:w="3498" w:type="pct"/>
            <w:shd w:val="clear" w:color="auto" w:fill="auto"/>
            <w:vAlign w:val="center"/>
          </w:tcPr>
          <w:p w14:paraId="41EEF996">
            <w:pPr>
              <w:jc w:val="left"/>
              <w:rPr>
                <w:rFonts w:hint="eastAsia" w:ascii="宋体" w:hAnsi="宋体" w:eastAsia="宋体" w:cs="宋体"/>
                <w:i w:val="0"/>
                <w:iCs w:val="0"/>
                <w:color w:val="000000"/>
                <w:sz w:val="24"/>
                <w:szCs w:val="24"/>
                <w:u w:val="none"/>
              </w:rPr>
            </w:pPr>
          </w:p>
        </w:tc>
      </w:tr>
      <w:tr w14:paraId="5C6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220E906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1078" w:type="pct"/>
            <w:shd w:val="clear" w:color="auto" w:fill="auto"/>
            <w:vAlign w:val="center"/>
          </w:tcPr>
          <w:p w14:paraId="5DB6B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3498" w:type="pct"/>
            <w:shd w:val="clear" w:color="auto" w:fill="auto"/>
            <w:vAlign w:val="center"/>
          </w:tcPr>
          <w:p w14:paraId="76D32DC9">
            <w:pPr>
              <w:jc w:val="left"/>
              <w:rPr>
                <w:rFonts w:hint="eastAsia" w:ascii="宋体" w:hAnsi="宋体" w:eastAsia="宋体" w:cs="宋体"/>
                <w:i w:val="0"/>
                <w:iCs w:val="0"/>
                <w:color w:val="000000"/>
                <w:sz w:val="24"/>
                <w:szCs w:val="24"/>
                <w:u w:val="none"/>
              </w:rPr>
            </w:pPr>
          </w:p>
        </w:tc>
      </w:tr>
      <w:tr w14:paraId="36C3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116D5F3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1078" w:type="pct"/>
            <w:shd w:val="clear" w:color="auto" w:fill="auto"/>
            <w:vAlign w:val="center"/>
          </w:tcPr>
          <w:p w14:paraId="05412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室外箱</w:t>
            </w:r>
          </w:p>
        </w:tc>
        <w:tc>
          <w:tcPr>
            <w:tcW w:w="3498" w:type="pct"/>
            <w:shd w:val="clear" w:color="auto" w:fill="auto"/>
            <w:vAlign w:val="center"/>
          </w:tcPr>
          <w:p w14:paraId="0E88F3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600*450*600</w:t>
            </w:r>
            <w:r>
              <w:rPr>
                <w:rFonts w:hint="eastAsia"/>
                <w:lang w:val="en-US" w:eastAsia="zh-CN"/>
              </w:rPr>
              <w:t>mm</w:t>
            </w:r>
          </w:p>
        </w:tc>
      </w:tr>
      <w:tr w14:paraId="4E26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70CA6B0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1078" w:type="pct"/>
            <w:shd w:val="clear" w:color="auto" w:fill="auto"/>
            <w:vAlign w:val="center"/>
          </w:tcPr>
          <w:p w14:paraId="16F3C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室内壁挂箱</w:t>
            </w:r>
          </w:p>
        </w:tc>
        <w:tc>
          <w:tcPr>
            <w:tcW w:w="3498" w:type="pct"/>
            <w:shd w:val="clear" w:color="auto" w:fill="auto"/>
            <w:vAlign w:val="center"/>
          </w:tcPr>
          <w:p w14:paraId="3AC61F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r>
      <w:tr w14:paraId="6A0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1BB818D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1078" w:type="pct"/>
            <w:shd w:val="clear" w:color="auto" w:fill="auto"/>
            <w:vAlign w:val="center"/>
          </w:tcPr>
          <w:p w14:paraId="3E795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室外管PE32</w:t>
            </w:r>
          </w:p>
        </w:tc>
        <w:tc>
          <w:tcPr>
            <w:tcW w:w="3498" w:type="pct"/>
            <w:shd w:val="clear" w:color="auto" w:fill="auto"/>
            <w:vAlign w:val="center"/>
          </w:tcPr>
          <w:p w14:paraId="5CD574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PE32</w:t>
            </w:r>
          </w:p>
        </w:tc>
      </w:tr>
      <w:tr w14:paraId="414F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61D918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c>
          <w:tcPr>
            <w:tcW w:w="1078" w:type="pct"/>
            <w:shd w:val="clear" w:color="auto" w:fill="auto"/>
            <w:vAlign w:val="center"/>
          </w:tcPr>
          <w:p w14:paraId="2C678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管PVC25</w:t>
            </w:r>
          </w:p>
        </w:tc>
        <w:tc>
          <w:tcPr>
            <w:tcW w:w="3498" w:type="pct"/>
            <w:shd w:val="clear" w:color="auto" w:fill="auto"/>
            <w:vAlign w:val="center"/>
          </w:tcPr>
          <w:p w14:paraId="2D6DD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PVC25</w:t>
            </w:r>
          </w:p>
        </w:tc>
      </w:tr>
      <w:tr w14:paraId="1731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6568D5D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w:t>
            </w:r>
          </w:p>
        </w:tc>
        <w:tc>
          <w:tcPr>
            <w:tcW w:w="1078" w:type="pct"/>
            <w:shd w:val="clear" w:color="auto" w:fill="auto"/>
            <w:vAlign w:val="center"/>
          </w:tcPr>
          <w:p w14:paraId="4C1A7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室外井</w:t>
            </w:r>
          </w:p>
        </w:tc>
        <w:tc>
          <w:tcPr>
            <w:tcW w:w="3498" w:type="pct"/>
            <w:shd w:val="clear" w:color="auto" w:fill="auto"/>
            <w:vAlign w:val="center"/>
          </w:tcPr>
          <w:p w14:paraId="05D16F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600*600*300</w:t>
            </w:r>
            <w:r>
              <w:rPr>
                <w:rFonts w:hint="eastAsia"/>
                <w:lang w:val="en-US" w:eastAsia="zh-CN"/>
              </w:rPr>
              <w:t>mm</w:t>
            </w:r>
          </w:p>
        </w:tc>
      </w:tr>
      <w:tr w14:paraId="7CDE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5AA5641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c>
          <w:tcPr>
            <w:tcW w:w="1078" w:type="pct"/>
            <w:shd w:val="clear" w:color="auto" w:fill="auto"/>
            <w:vAlign w:val="center"/>
          </w:tcPr>
          <w:p w14:paraId="112CF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接线盒</w:t>
            </w:r>
          </w:p>
        </w:tc>
        <w:tc>
          <w:tcPr>
            <w:tcW w:w="3498" w:type="pct"/>
            <w:shd w:val="clear" w:color="auto" w:fill="auto"/>
            <w:vAlign w:val="center"/>
          </w:tcPr>
          <w:p w14:paraId="1A8AB0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1.塑料接线盒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2.安装方式：</w:t>
            </w:r>
            <w:r>
              <w:rPr>
                <w:rFonts w:hint="eastAsia"/>
                <w:sz w:val="24"/>
                <w:szCs w:val="32"/>
                <w:lang w:val="en-US" w:eastAsia="zh-CN"/>
              </w:rPr>
              <w:t>根据现场实际情况为准</w:t>
            </w:r>
          </w:p>
        </w:tc>
      </w:tr>
      <w:tr w14:paraId="0FD3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0C3387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w:t>
            </w:r>
          </w:p>
        </w:tc>
        <w:tc>
          <w:tcPr>
            <w:tcW w:w="1078" w:type="pct"/>
            <w:shd w:val="clear" w:color="auto" w:fill="auto"/>
            <w:vAlign w:val="center"/>
          </w:tcPr>
          <w:p w14:paraId="3B198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p>
        </w:tc>
        <w:tc>
          <w:tcPr>
            <w:tcW w:w="3498" w:type="pct"/>
            <w:shd w:val="clear" w:color="auto" w:fill="auto"/>
            <w:vAlign w:val="center"/>
          </w:tcPr>
          <w:p w14:paraId="0636E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1.路面开挖及恢复、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2.含绿植破坏及恢复等，根据现场实际情况为准</w:t>
            </w:r>
          </w:p>
        </w:tc>
      </w:tr>
      <w:tr w14:paraId="0104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78C2114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1078" w:type="pct"/>
            <w:shd w:val="clear" w:color="auto" w:fill="auto"/>
            <w:vAlign w:val="center"/>
          </w:tcPr>
          <w:p w14:paraId="1F465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p>
        </w:tc>
        <w:tc>
          <w:tcPr>
            <w:tcW w:w="3498" w:type="pct"/>
            <w:shd w:val="clear" w:color="auto" w:fill="auto"/>
            <w:vAlign w:val="center"/>
          </w:tcPr>
          <w:p w14:paraId="15C44A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1.素土回填，密实度满足设计要求</w:t>
            </w:r>
          </w:p>
        </w:tc>
      </w:tr>
      <w:tr w14:paraId="0795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3" w:type="pct"/>
            <w:shd w:val="clear" w:color="auto" w:fill="auto"/>
            <w:vAlign w:val="center"/>
          </w:tcPr>
          <w:p w14:paraId="2EE3856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p>
        </w:tc>
        <w:tc>
          <w:tcPr>
            <w:tcW w:w="1078" w:type="pct"/>
            <w:shd w:val="clear" w:color="auto" w:fill="auto"/>
            <w:vAlign w:val="center"/>
          </w:tcPr>
          <w:p w14:paraId="75EF7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w:t>
            </w:r>
          </w:p>
        </w:tc>
        <w:tc>
          <w:tcPr>
            <w:tcW w:w="3498" w:type="pct"/>
            <w:shd w:val="clear" w:color="auto" w:fill="auto"/>
            <w:vAlign w:val="center"/>
          </w:tcPr>
          <w:p w14:paraId="46CA79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1、渣土废弃料种类：详见图纸，供应商综合考虑。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2、从余方点装料运输至消纳场地，投标人自行考虑运距。</w:t>
            </w:r>
          </w:p>
        </w:tc>
      </w:tr>
    </w:tbl>
    <w:p w14:paraId="6BEFF2FD">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p>
    <w:p w14:paraId="5BA4E085">
      <w:pPr>
        <w:spacing w:line="312" w:lineRule="auto"/>
        <w:outlineLvl w:val="1"/>
        <w:rPr>
          <w:rFonts w:hint="default" w:ascii="宋体" w:hAnsi="宋体" w:eastAsia="宋体" w:cs="宋体"/>
          <w:b/>
          <w:bCs/>
          <w:sz w:val="28"/>
          <w:szCs w:val="28"/>
          <w:lang w:val="en-US" w:eastAsia="zh-CN"/>
        </w:rPr>
      </w:pPr>
      <w:bookmarkStart w:id="57" w:name="_Toc19084"/>
      <w:r>
        <w:rPr>
          <w:rFonts w:hint="eastAsia" w:ascii="宋体" w:hAnsi="宋体" w:cs="宋体"/>
          <w:b/>
          <w:bCs/>
          <w:sz w:val="28"/>
          <w:szCs w:val="28"/>
          <w:lang w:val="en-US" w:eastAsia="zh-CN"/>
        </w:rPr>
        <w:t>四</w:t>
      </w:r>
      <w:r>
        <w:rPr>
          <w:rFonts w:hint="eastAsia" w:ascii="宋体" w:hAnsi="宋体" w:cs="宋体"/>
          <w:b/>
          <w:bCs/>
          <w:sz w:val="28"/>
          <w:szCs w:val="28"/>
        </w:rPr>
        <w:t>、</w:t>
      </w:r>
      <w:bookmarkEnd w:id="57"/>
      <w:r>
        <w:rPr>
          <w:rFonts w:hint="eastAsia" w:ascii="宋体" w:hAnsi="宋体" w:cs="宋体"/>
          <w:b/>
          <w:bCs/>
          <w:sz w:val="28"/>
          <w:szCs w:val="28"/>
          <w:lang w:val="en-US" w:eastAsia="zh-CN"/>
        </w:rPr>
        <w:t>主要材料推荐品牌</w:t>
      </w:r>
    </w:p>
    <w:tbl>
      <w:tblPr>
        <w:tblStyle w:val="62"/>
        <w:tblW w:w="4776" w:type="pct"/>
        <w:jc w:val="center"/>
        <w:tblLayout w:type="autofit"/>
        <w:tblCellMar>
          <w:top w:w="0" w:type="dxa"/>
          <w:left w:w="108" w:type="dxa"/>
          <w:bottom w:w="0" w:type="dxa"/>
          <w:right w:w="108" w:type="dxa"/>
        </w:tblCellMar>
      </w:tblPr>
      <w:tblGrid>
        <w:gridCol w:w="973"/>
        <w:gridCol w:w="2517"/>
        <w:gridCol w:w="3626"/>
        <w:gridCol w:w="2401"/>
      </w:tblGrid>
      <w:tr w14:paraId="2AB0C13F">
        <w:tblPrEx>
          <w:tblCellMar>
            <w:top w:w="0" w:type="dxa"/>
            <w:left w:w="108" w:type="dxa"/>
            <w:bottom w:w="0" w:type="dxa"/>
            <w:right w:w="108" w:type="dxa"/>
          </w:tblCellMar>
        </w:tblPrEx>
        <w:trPr>
          <w:trHeight w:val="519" w:hRule="atLeast"/>
          <w:tblHeader/>
          <w:jc w:val="center"/>
        </w:trPr>
        <w:tc>
          <w:tcPr>
            <w:tcW w:w="511" w:type="pct"/>
            <w:tcBorders>
              <w:top w:val="single" w:color="000000" w:sz="4" w:space="0"/>
              <w:left w:val="single" w:color="000000" w:sz="4" w:space="0"/>
              <w:bottom w:val="single" w:color="000000" w:sz="4" w:space="0"/>
              <w:right w:val="single" w:color="000000" w:sz="4" w:space="0"/>
            </w:tcBorders>
            <w:vAlign w:val="center"/>
          </w:tcPr>
          <w:p w14:paraId="1BA05B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322" w:type="pct"/>
            <w:tcBorders>
              <w:top w:val="single" w:color="000000" w:sz="4" w:space="0"/>
              <w:left w:val="nil"/>
              <w:bottom w:val="single" w:color="000000" w:sz="4" w:space="0"/>
              <w:right w:val="single" w:color="000000" w:sz="4" w:space="0"/>
            </w:tcBorders>
            <w:vAlign w:val="center"/>
          </w:tcPr>
          <w:p w14:paraId="736B8F1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材料（设备）名称</w:t>
            </w:r>
          </w:p>
        </w:tc>
        <w:tc>
          <w:tcPr>
            <w:tcW w:w="1904" w:type="pct"/>
            <w:tcBorders>
              <w:top w:val="single" w:color="000000" w:sz="4" w:space="0"/>
              <w:left w:val="nil"/>
              <w:bottom w:val="single" w:color="000000" w:sz="4" w:space="0"/>
              <w:right w:val="single" w:color="000000" w:sz="4" w:space="0"/>
            </w:tcBorders>
            <w:vAlign w:val="center"/>
          </w:tcPr>
          <w:p w14:paraId="1AC304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采购人推荐生产厂或品牌</w:t>
            </w:r>
          </w:p>
        </w:tc>
        <w:tc>
          <w:tcPr>
            <w:tcW w:w="1261" w:type="pct"/>
            <w:tcBorders>
              <w:top w:val="single" w:color="000000" w:sz="4" w:space="0"/>
              <w:left w:val="nil"/>
              <w:bottom w:val="single" w:color="000000" w:sz="4" w:space="0"/>
              <w:right w:val="single" w:color="000000" w:sz="4" w:space="0"/>
            </w:tcBorders>
            <w:vAlign w:val="center"/>
          </w:tcPr>
          <w:p w14:paraId="6EC2F9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备注及技术要求</w:t>
            </w:r>
          </w:p>
        </w:tc>
      </w:tr>
      <w:tr w14:paraId="4743EFE0">
        <w:tblPrEx>
          <w:tblCellMar>
            <w:top w:w="0" w:type="dxa"/>
            <w:left w:w="108" w:type="dxa"/>
            <w:bottom w:w="0" w:type="dxa"/>
            <w:right w:w="108" w:type="dxa"/>
          </w:tblCellMar>
        </w:tblPrEx>
        <w:trPr>
          <w:trHeight w:val="455" w:hRule="atLeast"/>
          <w:jc w:val="center"/>
        </w:trPr>
        <w:tc>
          <w:tcPr>
            <w:tcW w:w="511" w:type="pct"/>
            <w:tcBorders>
              <w:top w:val="nil"/>
              <w:left w:val="single" w:color="000000" w:sz="4" w:space="0"/>
              <w:bottom w:val="single" w:color="000000" w:sz="4" w:space="0"/>
              <w:right w:val="single" w:color="000000" w:sz="4" w:space="0"/>
            </w:tcBorders>
            <w:vAlign w:val="center"/>
          </w:tcPr>
          <w:p w14:paraId="3B628851">
            <w:pPr>
              <w:jc w:val="center"/>
              <w:rPr>
                <w:rFonts w:hint="eastAsia" w:ascii="宋体" w:hAnsi="宋体" w:eastAsia="宋体" w:cs="宋体"/>
                <w:kern w:val="0"/>
                <w:sz w:val="24"/>
                <w:szCs w:val="24"/>
              </w:rPr>
            </w:pPr>
            <w:r>
              <w:rPr>
                <w:rFonts w:hint="eastAsia" w:ascii="宋体" w:hAnsi="宋体" w:eastAsia="宋体" w:cs="宋体"/>
                <w:color w:val="000000"/>
                <w:sz w:val="24"/>
                <w:szCs w:val="24"/>
              </w:rPr>
              <w:t>1</w:t>
            </w:r>
          </w:p>
        </w:tc>
        <w:tc>
          <w:tcPr>
            <w:tcW w:w="1322" w:type="pct"/>
            <w:tcBorders>
              <w:top w:val="nil"/>
              <w:left w:val="nil"/>
              <w:bottom w:val="single" w:color="000000" w:sz="4" w:space="0"/>
              <w:right w:val="single" w:color="000000" w:sz="4" w:space="0"/>
            </w:tcBorders>
            <w:vAlign w:val="center"/>
          </w:tcPr>
          <w:p w14:paraId="4FFF2017">
            <w:pPr>
              <w:keepNext w:val="0"/>
              <w:keepLines w:val="0"/>
              <w:widowControl/>
              <w:suppressLineNumbers w:val="0"/>
              <w:jc w:val="center"/>
              <w:textAlignment w:val="center"/>
              <w:rPr>
                <w:rFonts w:hint="eastAsia" w:ascii="宋体" w:hAnsi="宋体" w:eastAsia="宋体" w:cs="宋体"/>
                <w:spacing w:val="-2"/>
                <w:sz w:val="24"/>
                <w:szCs w:val="24"/>
              </w:rPr>
            </w:pPr>
            <w:r>
              <w:rPr>
                <w:rFonts w:hint="eastAsia" w:ascii="宋体" w:hAnsi="宋体" w:eastAsia="宋体" w:cs="宋体"/>
                <w:i w:val="0"/>
                <w:iCs w:val="0"/>
                <w:color w:val="000000"/>
                <w:kern w:val="0"/>
                <w:sz w:val="24"/>
                <w:szCs w:val="24"/>
                <w:u w:val="none"/>
                <w:lang w:val="en-US" w:eastAsia="zh-CN" w:bidi="ar"/>
              </w:rPr>
              <w:t>警戒摄像机</w:t>
            </w:r>
          </w:p>
        </w:tc>
        <w:tc>
          <w:tcPr>
            <w:tcW w:w="1904" w:type="pct"/>
            <w:tcBorders>
              <w:top w:val="nil"/>
              <w:left w:val="nil"/>
              <w:bottom w:val="single" w:color="000000" w:sz="4" w:space="0"/>
              <w:right w:val="single" w:color="000000" w:sz="4" w:space="0"/>
            </w:tcBorders>
            <w:vAlign w:val="center"/>
          </w:tcPr>
          <w:p w14:paraId="0034C6AE">
            <w:pPr>
              <w:ind w:firstLine="238" w:firstLineChars="100"/>
              <w:jc w:val="center"/>
              <w:rPr>
                <w:rFonts w:hint="eastAsia" w:ascii="宋体" w:hAnsi="宋体" w:eastAsia="宋体" w:cs="宋体"/>
                <w:spacing w:val="-2"/>
                <w:sz w:val="24"/>
                <w:szCs w:val="24"/>
              </w:rPr>
            </w:pPr>
            <w:r>
              <w:rPr>
                <w:rFonts w:hint="eastAsia" w:ascii="宋体" w:hAnsi="宋体" w:eastAsia="宋体" w:cs="宋体"/>
                <w:spacing w:val="-1"/>
                <w:sz w:val="24"/>
                <w:szCs w:val="24"/>
                <w:lang w:val="en-US" w:eastAsia="zh-CN"/>
              </w:rPr>
              <w:t>大华</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海康</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宇视</w:t>
            </w:r>
          </w:p>
        </w:tc>
        <w:tc>
          <w:tcPr>
            <w:tcW w:w="1261" w:type="pct"/>
            <w:tcBorders>
              <w:top w:val="nil"/>
              <w:left w:val="nil"/>
              <w:bottom w:val="single" w:color="000000" w:sz="4" w:space="0"/>
              <w:right w:val="single" w:color="000000" w:sz="4" w:space="0"/>
            </w:tcBorders>
            <w:vAlign w:val="center"/>
          </w:tcPr>
          <w:p w14:paraId="2304997D">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14:paraId="22C861F4">
        <w:tblPrEx>
          <w:tblCellMar>
            <w:top w:w="0" w:type="dxa"/>
            <w:left w:w="108" w:type="dxa"/>
            <w:bottom w:w="0" w:type="dxa"/>
            <w:right w:w="108" w:type="dxa"/>
          </w:tblCellMar>
        </w:tblPrEx>
        <w:trPr>
          <w:trHeight w:val="431" w:hRule="atLeast"/>
          <w:jc w:val="center"/>
        </w:trPr>
        <w:tc>
          <w:tcPr>
            <w:tcW w:w="511" w:type="pct"/>
            <w:tcBorders>
              <w:top w:val="nil"/>
              <w:left w:val="single" w:color="000000" w:sz="4" w:space="0"/>
              <w:bottom w:val="single" w:color="000000" w:sz="4" w:space="0"/>
              <w:right w:val="single" w:color="000000" w:sz="4" w:space="0"/>
            </w:tcBorders>
            <w:vAlign w:val="center"/>
          </w:tcPr>
          <w:p w14:paraId="074BB4CA">
            <w:pPr>
              <w:jc w:val="center"/>
              <w:rPr>
                <w:rFonts w:hint="eastAsia" w:ascii="宋体" w:hAnsi="宋体" w:eastAsia="宋体" w:cs="宋体"/>
                <w:kern w:val="0"/>
                <w:sz w:val="24"/>
                <w:szCs w:val="24"/>
              </w:rPr>
            </w:pPr>
            <w:r>
              <w:rPr>
                <w:rFonts w:hint="eastAsia" w:ascii="宋体" w:hAnsi="宋体" w:eastAsia="宋体" w:cs="宋体"/>
                <w:color w:val="000000"/>
                <w:sz w:val="24"/>
                <w:szCs w:val="24"/>
              </w:rPr>
              <w:t>2</w:t>
            </w:r>
          </w:p>
        </w:tc>
        <w:tc>
          <w:tcPr>
            <w:tcW w:w="1322" w:type="pct"/>
            <w:tcBorders>
              <w:top w:val="nil"/>
              <w:left w:val="nil"/>
              <w:bottom w:val="single" w:color="000000" w:sz="4" w:space="0"/>
              <w:right w:val="single" w:color="000000" w:sz="4" w:space="0"/>
            </w:tcBorders>
            <w:vAlign w:val="center"/>
          </w:tcPr>
          <w:p w14:paraId="25CC23BB">
            <w:pPr>
              <w:jc w:val="center"/>
              <w:rPr>
                <w:rFonts w:hint="eastAsia" w:ascii="宋体" w:hAnsi="宋体" w:eastAsia="宋体" w:cs="宋体"/>
                <w:spacing w:val="-2"/>
                <w:sz w:val="24"/>
                <w:szCs w:val="24"/>
              </w:rPr>
            </w:pPr>
            <w:r>
              <w:rPr>
                <w:rFonts w:hint="eastAsia" w:ascii="宋体" w:hAnsi="宋体" w:eastAsia="宋体" w:cs="宋体"/>
                <w:color w:val="000000"/>
                <w:sz w:val="24"/>
                <w:szCs w:val="24"/>
              </w:rPr>
              <w:t>交换机</w:t>
            </w:r>
          </w:p>
        </w:tc>
        <w:tc>
          <w:tcPr>
            <w:tcW w:w="1904" w:type="pct"/>
            <w:tcBorders>
              <w:top w:val="nil"/>
              <w:left w:val="nil"/>
              <w:bottom w:val="single" w:color="000000" w:sz="4" w:space="0"/>
              <w:right w:val="single" w:color="000000" w:sz="4" w:space="0"/>
            </w:tcBorders>
            <w:vAlign w:val="center"/>
          </w:tcPr>
          <w:p w14:paraId="7D076C35">
            <w:pPr>
              <w:ind w:firstLine="238" w:firstLineChars="100"/>
              <w:jc w:val="center"/>
              <w:rPr>
                <w:rFonts w:hint="eastAsia" w:ascii="宋体" w:hAnsi="宋体" w:eastAsia="宋体" w:cs="宋体"/>
                <w:spacing w:val="-2"/>
                <w:sz w:val="24"/>
                <w:szCs w:val="24"/>
              </w:rPr>
            </w:pPr>
            <w:r>
              <w:rPr>
                <w:rFonts w:hint="eastAsia" w:ascii="宋体" w:hAnsi="宋体" w:eastAsia="宋体" w:cs="宋体"/>
                <w:spacing w:val="-1"/>
                <w:sz w:val="24"/>
                <w:szCs w:val="24"/>
                <w:lang w:val="en-US" w:eastAsia="zh-CN"/>
              </w:rPr>
              <w:t>华为</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中兴</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H3C</w:t>
            </w:r>
          </w:p>
        </w:tc>
        <w:tc>
          <w:tcPr>
            <w:tcW w:w="1261" w:type="pct"/>
            <w:tcBorders>
              <w:top w:val="nil"/>
              <w:left w:val="nil"/>
              <w:bottom w:val="single" w:color="000000" w:sz="4" w:space="0"/>
              <w:right w:val="single" w:color="000000" w:sz="4" w:space="0"/>
            </w:tcBorders>
            <w:vAlign w:val="center"/>
          </w:tcPr>
          <w:p w14:paraId="247A0A1D">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14:paraId="5F867CC0">
        <w:tblPrEx>
          <w:tblCellMar>
            <w:top w:w="0" w:type="dxa"/>
            <w:left w:w="108" w:type="dxa"/>
            <w:bottom w:w="0" w:type="dxa"/>
            <w:right w:w="108" w:type="dxa"/>
          </w:tblCellMar>
        </w:tblPrEx>
        <w:trPr>
          <w:trHeight w:val="477" w:hRule="atLeast"/>
          <w:jc w:val="center"/>
        </w:trPr>
        <w:tc>
          <w:tcPr>
            <w:tcW w:w="511" w:type="pct"/>
            <w:tcBorders>
              <w:top w:val="nil"/>
              <w:left w:val="single" w:color="000000" w:sz="4" w:space="0"/>
              <w:bottom w:val="single" w:color="000000" w:sz="4" w:space="0"/>
              <w:right w:val="single" w:color="000000" w:sz="4" w:space="0"/>
            </w:tcBorders>
            <w:vAlign w:val="center"/>
          </w:tcPr>
          <w:p w14:paraId="58C4C13C">
            <w:pPr>
              <w:jc w:val="center"/>
              <w:rPr>
                <w:rFonts w:hint="eastAsia" w:ascii="宋体" w:hAnsi="宋体" w:eastAsia="宋体" w:cs="宋体"/>
                <w:kern w:val="0"/>
                <w:sz w:val="24"/>
                <w:szCs w:val="24"/>
              </w:rPr>
            </w:pPr>
            <w:r>
              <w:rPr>
                <w:rFonts w:hint="eastAsia" w:ascii="宋体" w:hAnsi="宋体" w:eastAsia="宋体" w:cs="宋体"/>
                <w:color w:val="000000"/>
                <w:sz w:val="24"/>
                <w:szCs w:val="24"/>
              </w:rPr>
              <w:t>3</w:t>
            </w:r>
          </w:p>
        </w:tc>
        <w:tc>
          <w:tcPr>
            <w:tcW w:w="1322" w:type="pct"/>
            <w:tcBorders>
              <w:top w:val="nil"/>
              <w:left w:val="nil"/>
              <w:bottom w:val="single" w:color="000000" w:sz="4" w:space="0"/>
              <w:right w:val="single" w:color="000000" w:sz="4" w:space="0"/>
            </w:tcBorders>
            <w:shd w:val="clear" w:color="auto" w:fill="auto"/>
            <w:vAlign w:val="center"/>
          </w:tcPr>
          <w:p w14:paraId="3CE71A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存储服务器</w:t>
            </w:r>
          </w:p>
        </w:tc>
        <w:tc>
          <w:tcPr>
            <w:tcW w:w="1904" w:type="pct"/>
            <w:tcBorders>
              <w:top w:val="nil"/>
              <w:left w:val="nil"/>
              <w:bottom w:val="single" w:color="000000" w:sz="4" w:space="0"/>
              <w:right w:val="single" w:color="000000" w:sz="4" w:space="0"/>
            </w:tcBorders>
            <w:vAlign w:val="center"/>
          </w:tcPr>
          <w:p w14:paraId="66176892">
            <w:pPr>
              <w:ind w:firstLine="238" w:firstLineChars="100"/>
              <w:jc w:val="center"/>
              <w:rPr>
                <w:rFonts w:hint="eastAsia" w:ascii="宋体" w:hAnsi="宋体" w:eastAsia="宋体" w:cs="宋体"/>
                <w:spacing w:val="-2"/>
                <w:sz w:val="24"/>
                <w:szCs w:val="24"/>
              </w:rPr>
            </w:pPr>
            <w:r>
              <w:rPr>
                <w:rFonts w:hint="eastAsia" w:ascii="宋体" w:hAnsi="宋体" w:eastAsia="宋体" w:cs="宋体"/>
                <w:spacing w:val="-1"/>
                <w:sz w:val="24"/>
                <w:szCs w:val="24"/>
                <w:lang w:val="en-US" w:eastAsia="zh-CN"/>
              </w:rPr>
              <w:t>大华</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海康</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宇视</w:t>
            </w:r>
          </w:p>
        </w:tc>
        <w:tc>
          <w:tcPr>
            <w:tcW w:w="1261" w:type="pct"/>
            <w:tcBorders>
              <w:top w:val="nil"/>
              <w:left w:val="nil"/>
              <w:bottom w:val="single" w:color="000000" w:sz="4" w:space="0"/>
              <w:right w:val="single" w:color="000000" w:sz="4" w:space="0"/>
            </w:tcBorders>
            <w:vAlign w:val="center"/>
          </w:tcPr>
          <w:p w14:paraId="34C75F35">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bl>
    <w:p w14:paraId="705B546B">
      <w:pPr>
        <w:spacing w:line="312" w:lineRule="auto"/>
        <w:ind w:firstLine="482" w:firstLineChars="200"/>
        <w:rPr>
          <w:rFonts w:ascii="宋体" w:hAnsi="宋体" w:cs="宋体"/>
          <w:b/>
          <w:bCs/>
          <w:sz w:val="24"/>
        </w:rPr>
      </w:pPr>
    </w:p>
    <w:p w14:paraId="2DA83407">
      <w:pPr>
        <w:spacing w:line="312" w:lineRule="auto"/>
        <w:outlineLvl w:val="1"/>
        <w:rPr>
          <w:rFonts w:ascii="宋体" w:hAnsi="宋体" w:cs="宋体"/>
          <w:b/>
          <w:bCs/>
          <w:sz w:val="28"/>
          <w:szCs w:val="28"/>
        </w:rPr>
      </w:pPr>
      <w:bookmarkStart w:id="58" w:name="_Toc19744"/>
      <w:r>
        <w:rPr>
          <w:rFonts w:hint="eastAsia" w:ascii="宋体" w:hAnsi="宋体" w:cs="宋体"/>
          <w:b/>
          <w:bCs/>
          <w:sz w:val="28"/>
          <w:szCs w:val="28"/>
          <w:lang w:val="en-US" w:eastAsia="zh-CN"/>
        </w:rPr>
        <w:t>五</w:t>
      </w:r>
      <w:r>
        <w:rPr>
          <w:rFonts w:hint="eastAsia" w:ascii="宋体" w:hAnsi="宋体" w:cs="宋体"/>
          <w:b/>
          <w:bCs/>
          <w:sz w:val="28"/>
          <w:szCs w:val="28"/>
        </w:rPr>
        <w:t>、商务要求</w:t>
      </w:r>
      <w:bookmarkEnd w:id="58"/>
    </w:p>
    <w:p w14:paraId="138AC4C4">
      <w:pPr>
        <w:spacing w:line="312" w:lineRule="auto"/>
        <w:ind w:firstLine="241" w:firstLineChars="100"/>
        <w:rPr>
          <w:rFonts w:ascii="宋体" w:hAnsi="宋体" w:cs="宋体"/>
          <w:sz w:val="24"/>
        </w:rPr>
      </w:pPr>
      <w:r>
        <w:rPr>
          <w:rFonts w:hint="eastAsia" w:ascii="宋体" w:hAnsi="宋体" w:cs="宋体"/>
          <w:b/>
          <w:bCs/>
          <w:sz w:val="24"/>
        </w:rPr>
        <w:t>1、质保期：</w:t>
      </w:r>
      <w:r>
        <w:rPr>
          <w:rFonts w:hint="eastAsia" w:ascii="宋体" w:hAnsi="宋体" w:cs="宋体"/>
          <w:spacing w:val="-6"/>
          <w:sz w:val="24"/>
          <w:lang w:bidi="ar"/>
        </w:rPr>
        <w:t>自验收合格日期算起计算，质保期不少于3年（如特定设备质保期长于3年的，按设备厂家的质保期执行）。</w:t>
      </w:r>
    </w:p>
    <w:p w14:paraId="605CC222">
      <w:pPr>
        <w:spacing w:line="312" w:lineRule="auto"/>
        <w:ind w:firstLine="421"/>
        <w:rPr>
          <w:rFonts w:ascii="宋体" w:hAnsi="宋体" w:cs="宋体"/>
          <w:sz w:val="24"/>
        </w:rPr>
      </w:pPr>
      <w:r>
        <w:rPr>
          <w:rFonts w:hint="eastAsia" w:ascii="宋体" w:hAnsi="宋体" w:cs="宋体"/>
          <w:sz w:val="24"/>
        </w:rPr>
        <w:t>保修期内需免费提供技术指导和维修服务，提供7*24小时响应机制。</w:t>
      </w:r>
    </w:p>
    <w:p w14:paraId="7C2E5936">
      <w:pPr>
        <w:spacing w:line="312" w:lineRule="auto"/>
        <w:ind w:firstLine="421"/>
        <w:rPr>
          <w:rFonts w:ascii="宋体" w:hAnsi="宋体" w:cs="宋体"/>
          <w:sz w:val="24"/>
        </w:rPr>
      </w:pPr>
      <w:r>
        <w:rPr>
          <w:rFonts w:hint="eastAsia" w:ascii="宋体" w:hAnsi="宋体" w:cs="宋体"/>
          <w:b/>
          <w:bCs/>
          <w:sz w:val="24"/>
        </w:rPr>
        <w:t>实施地点：</w:t>
      </w:r>
      <w:r>
        <w:rPr>
          <w:rFonts w:hint="eastAsia" w:ascii="宋体" w:hAnsi="宋体" w:cs="宋体"/>
          <w:sz w:val="24"/>
        </w:rPr>
        <w:t>采购人指定地点；</w:t>
      </w:r>
    </w:p>
    <w:p w14:paraId="0323CD3C">
      <w:pPr>
        <w:spacing w:line="312" w:lineRule="auto"/>
        <w:ind w:firstLine="421"/>
        <w:rPr>
          <w:rFonts w:hint="eastAsia" w:ascii="宋体" w:hAnsi="宋体" w:cs="宋体"/>
          <w:sz w:val="24"/>
        </w:rPr>
      </w:pPr>
      <w:r>
        <w:rPr>
          <w:rFonts w:hint="eastAsia" w:ascii="宋体" w:hAnsi="宋体" w:cs="宋体"/>
          <w:b/>
          <w:bCs/>
          <w:sz w:val="24"/>
        </w:rPr>
        <w:t>实施周期：</w:t>
      </w:r>
      <w:r>
        <w:rPr>
          <w:rFonts w:hint="eastAsia" w:ascii="宋体" w:hAnsi="宋体" w:cs="宋体"/>
          <w:spacing w:val="-6"/>
          <w:sz w:val="24"/>
          <w:lang w:val="en-US" w:eastAsia="zh-CN" w:bidi="ar"/>
        </w:rPr>
        <w:t>3</w:t>
      </w:r>
      <w:r>
        <w:rPr>
          <w:rFonts w:hint="eastAsia" w:ascii="宋体" w:hAnsi="宋体" w:cs="宋体"/>
          <w:spacing w:val="-6"/>
          <w:sz w:val="24"/>
          <w:lang w:bidi="ar"/>
        </w:rPr>
        <w:t>0日历天</w:t>
      </w:r>
      <w:r>
        <w:rPr>
          <w:rFonts w:hint="eastAsia" w:ascii="宋体" w:hAnsi="宋体" w:cs="宋体"/>
          <w:sz w:val="24"/>
        </w:rPr>
        <w:t>；</w:t>
      </w:r>
    </w:p>
    <w:p w14:paraId="0994C949">
      <w:pPr>
        <w:spacing w:line="312" w:lineRule="auto"/>
        <w:ind w:firstLine="241" w:firstLineChars="100"/>
        <w:rPr>
          <w:rFonts w:ascii="宋体" w:hAnsi="宋体" w:cs="宋体"/>
          <w:b/>
          <w:bCs/>
          <w:sz w:val="24"/>
        </w:rPr>
      </w:pPr>
      <w:r>
        <w:rPr>
          <w:rFonts w:hint="eastAsia" w:ascii="宋体" w:hAnsi="宋体" w:cs="宋体"/>
          <w:b/>
          <w:bCs/>
          <w:sz w:val="24"/>
        </w:rPr>
        <w:t>2、履约保证金</w:t>
      </w:r>
    </w:p>
    <w:p w14:paraId="6827D2B6">
      <w:pPr>
        <w:spacing w:line="312" w:lineRule="auto"/>
        <w:ind w:firstLine="421"/>
        <w:rPr>
          <w:rFonts w:ascii="宋体" w:hAnsi="宋体" w:cs="宋体"/>
          <w:sz w:val="24"/>
        </w:rPr>
      </w:pPr>
      <w:r>
        <w:rPr>
          <w:rFonts w:hint="eastAsia" w:ascii="宋体" w:hAnsi="宋体" w:cs="宋体"/>
          <w:sz w:val="24"/>
        </w:rPr>
        <w:t>本合同总价款的2%作为履约保证金，本合同签订后七个工作日内由成交供应商支付给采购人，质保期满后经采购人书面确认无质量问题、无售后服务问题和成交供应商无违约行为后，由采购人无息退回成交供应商（遇寒暑假及国定假日顺延）。</w:t>
      </w:r>
    </w:p>
    <w:p w14:paraId="11C2659D">
      <w:pPr>
        <w:spacing w:line="288" w:lineRule="auto"/>
        <w:ind w:firstLine="241" w:firstLineChars="100"/>
        <w:rPr>
          <w:rFonts w:ascii="宋体" w:hAnsi="宋体"/>
          <w:b/>
          <w:sz w:val="24"/>
          <w:szCs w:val="22"/>
        </w:rPr>
      </w:pPr>
      <w:r>
        <w:rPr>
          <w:rFonts w:hint="eastAsia" w:ascii="宋体" w:hAnsi="宋体" w:cs="宋体"/>
          <w:b/>
          <w:bCs/>
          <w:sz w:val="24"/>
        </w:rPr>
        <w:t>3、</w:t>
      </w:r>
      <w:bookmarkStart w:id="59" w:name="_Toc7996"/>
      <w:r>
        <w:rPr>
          <w:rFonts w:hint="eastAsia" w:ascii="宋体" w:hAnsi="宋体"/>
          <w:b/>
          <w:sz w:val="24"/>
          <w:szCs w:val="22"/>
        </w:rPr>
        <w:t>采购资金的支付方式、时间、条件</w:t>
      </w:r>
      <w:bookmarkEnd w:id="59"/>
    </w:p>
    <w:p w14:paraId="6F16B862">
      <w:pPr>
        <w:spacing w:line="312" w:lineRule="auto"/>
        <w:ind w:firstLine="421"/>
        <w:rPr>
          <w:rFonts w:ascii="宋体" w:hAnsi="宋体" w:cs="宋体"/>
          <w:sz w:val="24"/>
        </w:rPr>
      </w:pPr>
      <w:r>
        <w:rPr>
          <w:rFonts w:hint="eastAsia" w:ascii="宋体" w:hAnsi="宋体" w:cs="宋体"/>
          <w:sz w:val="24"/>
        </w:rPr>
        <w:t>成交供应商提交履约保证金和正规发票后，采购人向成交供应商支付本合同暂定总价的40%作为预付款。</w:t>
      </w:r>
    </w:p>
    <w:p w14:paraId="33548548">
      <w:pPr>
        <w:spacing w:line="312" w:lineRule="auto"/>
        <w:ind w:firstLine="421"/>
        <w:rPr>
          <w:rFonts w:ascii="宋体" w:hAnsi="宋体" w:cs="宋体"/>
          <w:sz w:val="24"/>
        </w:rPr>
      </w:pPr>
      <w:r>
        <w:rPr>
          <w:rFonts w:hint="eastAsia" w:ascii="宋体" w:hAnsi="宋体" w:cs="宋体"/>
          <w:sz w:val="24"/>
        </w:rPr>
        <w:t>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5AE8CE61">
      <w:pPr>
        <w:spacing w:line="312" w:lineRule="auto"/>
        <w:ind w:firstLine="241" w:firstLineChars="100"/>
        <w:rPr>
          <w:rFonts w:ascii="宋体" w:hAnsi="宋体" w:cs="宋体"/>
          <w:b/>
          <w:bCs/>
          <w:sz w:val="24"/>
        </w:rPr>
      </w:pPr>
      <w:r>
        <w:rPr>
          <w:rFonts w:hint="eastAsia" w:ascii="宋体" w:hAnsi="宋体" w:cs="宋体"/>
          <w:b/>
          <w:bCs/>
          <w:sz w:val="24"/>
        </w:rPr>
        <w:t>4、验收及培训</w:t>
      </w:r>
    </w:p>
    <w:p w14:paraId="33AF4F2F">
      <w:pPr>
        <w:spacing w:line="312" w:lineRule="auto"/>
        <w:ind w:firstLine="421"/>
        <w:rPr>
          <w:rFonts w:ascii="宋体" w:hAnsi="宋体" w:cs="宋体"/>
          <w:sz w:val="24"/>
        </w:rPr>
      </w:pPr>
      <w:r>
        <w:rPr>
          <w:rFonts w:hint="eastAsia" w:ascii="宋体" w:hAnsi="宋体" w:cs="宋体"/>
          <w:b/>
          <w:bCs/>
          <w:sz w:val="24"/>
        </w:rPr>
        <w:t>到货验收：</w:t>
      </w:r>
      <w:r>
        <w:rPr>
          <w:rFonts w:hint="eastAsia" w:ascii="宋体" w:hAnsi="宋体" w:cs="宋体"/>
          <w:sz w:val="24"/>
        </w:rPr>
        <w:t>系统到货前应将安装环境要求书面通知给用户，并与采购人协商足够准备时间。到货时需按采购人要求免费将设备在双方商定的时间运到指定安装位置。</w:t>
      </w:r>
    </w:p>
    <w:p w14:paraId="23811A81">
      <w:pPr>
        <w:spacing w:line="312" w:lineRule="auto"/>
        <w:ind w:firstLine="421"/>
        <w:rPr>
          <w:rFonts w:ascii="宋体" w:hAnsi="宋体" w:cs="宋体"/>
          <w:sz w:val="24"/>
        </w:rPr>
      </w:pPr>
      <w:r>
        <w:rPr>
          <w:rFonts w:hint="eastAsia" w:ascii="宋体" w:hAnsi="宋体" w:cs="宋体"/>
          <w:sz w:val="24"/>
        </w:rPr>
        <w:t>到货后，采购人对货物的品牌、数量、包装等方面进行验收。供应商提供的所有单独包装的货物均应具有原始的完好的标准包装。如遇交付前已拆封的货物，采购人有权拒绝或要求更换。</w:t>
      </w:r>
    </w:p>
    <w:p w14:paraId="5F1462FB">
      <w:pPr>
        <w:spacing w:line="312" w:lineRule="auto"/>
        <w:ind w:firstLine="421"/>
        <w:rPr>
          <w:rFonts w:ascii="宋体" w:hAnsi="宋体" w:cs="宋体"/>
          <w:sz w:val="24"/>
        </w:rPr>
      </w:pPr>
      <w:r>
        <w:rPr>
          <w:rFonts w:hint="eastAsia" w:ascii="宋体" w:hAnsi="宋体" w:cs="宋体"/>
          <w:sz w:val="24"/>
        </w:rPr>
        <w:t>设备的表观应完好（有无受潮、锈蚀、损伤等），备品备件齐全（列出清单、数量），使用说明书、技术资料齐全，设备名称、型号规格配置等应与合同相符。</w:t>
      </w:r>
    </w:p>
    <w:p w14:paraId="3828A5AB">
      <w:pPr>
        <w:spacing w:line="312" w:lineRule="auto"/>
        <w:ind w:firstLine="421"/>
        <w:rPr>
          <w:rFonts w:ascii="宋体" w:hAnsi="宋体" w:cs="宋体"/>
          <w:sz w:val="24"/>
        </w:rPr>
      </w:pPr>
      <w:r>
        <w:rPr>
          <w:rFonts w:hint="eastAsia" w:ascii="宋体" w:hAnsi="宋体" w:cs="宋体"/>
          <w:b/>
          <w:bCs/>
          <w:sz w:val="24"/>
        </w:rPr>
        <w:t>安装调试：</w:t>
      </w:r>
      <w:r>
        <w:rPr>
          <w:rFonts w:hint="eastAsia" w:ascii="宋体" w:hAnsi="宋体" w:cs="宋体"/>
          <w:sz w:val="24"/>
        </w:rPr>
        <w:t>供应商根据采购人现有安装条件具体设计。在采购人通知后专职工程师免费上门安装、调试。由采购人进行使用性能方面的确认，设备的性能应符合供应商响应文件中承诺的技术指标。</w:t>
      </w:r>
    </w:p>
    <w:p w14:paraId="41898EF8">
      <w:pPr>
        <w:spacing w:line="312" w:lineRule="auto"/>
        <w:ind w:firstLine="421"/>
        <w:rPr>
          <w:rFonts w:ascii="宋体" w:hAnsi="宋体" w:cs="宋体"/>
          <w:sz w:val="24"/>
        </w:rPr>
      </w:pPr>
      <w:r>
        <w:rPr>
          <w:rFonts w:hint="eastAsia" w:ascii="宋体" w:hAnsi="宋体" w:cs="宋体"/>
          <w:b/>
          <w:bCs/>
          <w:sz w:val="24"/>
        </w:rPr>
        <w:t>培训：</w:t>
      </w:r>
      <w:r>
        <w:rPr>
          <w:rFonts w:hint="eastAsia" w:ascii="宋体" w:hAnsi="宋体" w:cs="宋体"/>
          <w:sz w:val="24"/>
        </w:rPr>
        <w:t>安装调试之后，供应商到采购人现场进行现场免费培训，培训内容为维护、工作原理、基本操作等，直至采购人掌握怎样使用设备为止。</w:t>
      </w:r>
    </w:p>
    <w:p w14:paraId="46EFD7F4">
      <w:pPr>
        <w:spacing w:line="312" w:lineRule="auto"/>
        <w:ind w:firstLine="421"/>
        <w:rPr>
          <w:rFonts w:ascii="宋体" w:hAnsi="宋体" w:cs="宋体"/>
          <w:sz w:val="24"/>
        </w:rPr>
      </w:pPr>
      <w:r>
        <w:rPr>
          <w:rFonts w:hint="eastAsia" w:ascii="宋体" w:hAnsi="宋体" w:cs="宋体"/>
          <w:b/>
          <w:bCs/>
          <w:sz w:val="24"/>
        </w:rPr>
        <w:t>验收：</w:t>
      </w:r>
      <w:r>
        <w:rPr>
          <w:rFonts w:hint="eastAsia" w:ascii="宋体" w:hAnsi="宋体" w:cs="宋体"/>
          <w:sz w:val="24"/>
        </w:rPr>
        <w:t>采购人将组织相关人员及专家对采购项目进行验收，验收标准按照采购文件、成交供应商响应文件及国家相关规范进行，验收意见作为验收书的参考资料存档备查，验收将严格按照采购文件的规定和响应文件的响应及承诺执行。</w:t>
      </w:r>
    </w:p>
    <w:p w14:paraId="4F7A661D">
      <w:pPr>
        <w:spacing w:line="360" w:lineRule="auto"/>
        <w:outlineLvl w:val="1"/>
        <w:rPr>
          <w:rFonts w:ascii="宋体" w:hAnsi="宋体" w:cs="宋体"/>
          <w:b/>
          <w:bCs/>
          <w:sz w:val="24"/>
        </w:rPr>
      </w:pPr>
      <w:bookmarkStart w:id="60" w:name="_Toc19953"/>
      <w:r>
        <w:rPr>
          <w:rFonts w:hint="eastAsia" w:ascii="宋体" w:hAnsi="宋体" w:cs="宋体"/>
          <w:b/>
          <w:bCs/>
          <w:sz w:val="28"/>
          <w:szCs w:val="28"/>
          <w:lang w:val="en-US" w:eastAsia="zh-CN"/>
        </w:rPr>
        <w:t>六</w:t>
      </w:r>
      <w:r>
        <w:rPr>
          <w:rFonts w:hint="eastAsia" w:ascii="宋体" w:hAnsi="宋体" w:cs="宋体"/>
          <w:b/>
          <w:bCs/>
          <w:sz w:val="28"/>
          <w:szCs w:val="28"/>
        </w:rPr>
        <w:t>、施工要求</w:t>
      </w:r>
      <w:bookmarkEnd w:id="60"/>
    </w:p>
    <w:p w14:paraId="09687BBA">
      <w:pPr>
        <w:spacing w:line="360" w:lineRule="auto"/>
        <w:ind w:firstLine="480" w:firstLineChars="200"/>
        <w:outlineLvl w:val="9"/>
        <w:rPr>
          <w:rFonts w:hint="eastAsia" w:ascii="宋体" w:hAnsi="宋体" w:cs="宋体"/>
          <w:b w:val="0"/>
          <w:bCs w:val="0"/>
          <w:sz w:val="24"/>
          <w:szCs w:val="24"/>
        </w:rPr>
      </w:pPr>
      <w:bookmarkStart w:id="61" w:name="_Toc21409"/>
      <w:r>
        <w:rPr>
          <w:rFonts w:hint="eastAsia" w:ascii="宋体" w:hAnsi="宋体" w:cs="宋体"/>
          <w:b w:val="0"/>
          <w:bCs w:val="0"/>
          <w:sz w:val="24"/>
          <w:szCs w:val="24"/>
        </w:rPr>
        <w:t>1.本工程发包范围内的工程项目，不得转包，未经采购人同意一律不得分包。一经发现立即取消承包资格，作违约处理，并承担由此引起的一切经济损失。</w:t>
      </w:r>
    </w:p>
    <w:p w14:paraId="7AD09963">
      <w:pPr>
        <w:spacing w:line="360" w:lineRule="auto"/>
        <w:ind w:firstLine="480" w:firstLineChars="200"/>
        <w:outlineLvl w:val="9"/>
        <w:rPr>
          <w:rFonts w:hint="eastAsia" w:ascii="宋体" w:hAnsi="宋体" w:cs="宋体"/>
          <w:b w:val="0"/>
          <w:bCs w:val="0"/>
          <w:sz w:val="24"/>
          <w:szCs w:val="24"/>
        </w:rPr>
      </w:pPr>
      <w:r>
        <w:rPr>
          <w:rFonts w:hint="eastAsia" w:ascii="宋体" w:hAnsi="宋体" w:cs="宋体"/>
          <w:b w:val="0"/>
          <w:bCs w:val="0"/>
          <w:sz w:val="24"/>
          <w:szCs w:val="24"/>
        </w:rPr>
        <w:t>2.供应商应严格按磋商文件和已确认的施工技术方案组织施工，并无条件地接受采购人或其委托的监理单位（如有）对施工质量、进度、安全、投资的监督和管理。</w:t>
      </w:r>
    </w:p>
    <w:p w14:paraId="51CC0330">
      <w:pPr>
        <w:spacing w:line="360" w:lineRule="auto"/>
        <w:ind w:firstLine="480" w:firstLineChars="200"/>
        <w:outlineLvl w:val="9"/>
        <w:rPr>
          <w:rFonts w:hint="eastAsia" w:ascii="宋体" w:hAnsi="宋体" w:cs="宋体"/>
          <w:b w:val="0"/>
          <w:bCs w:val="0"/>
          <w:sz w:val="24"/>
          <w:szCs w:val="24"/>
        </w:rPr>
      </w:pPr>
      <w:r>
        <w:rPr>
          <w:rFonts w:hint="eastAsia" w:ascii="宋体" w:hAnsi="宋体" w:cs="宋体"/>
          <w:b w:val="0"/>
          <w:bCs w:val="0"/>
          <w:sz w:val="24"/>
          <w:szCs w:val="24"/>
        </w:rPr>
        <w:t>3.供应商在响应文件中承诺的管理人员未经采购人同意，供应商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14:paraId="1EBA71B8">
      <w:pPr>
        <w:spacing w:line="360" w:lineRule="auto"/>
        <w:ind w:firstLine="480" w:firstLineChars="200"/>
        <w:outlineLvl w:val="9"/>
        <w:rPr>
          <w:rFonts w:hint="eastAsia" w:ascii="宋体" w:hAnsi="宋体" w:cs="宋体"/>
          <w:b/>
          <w:bCs/>
          <w:sz w:val="28"/>
          <w:szCs w:val="28"/>
        </w:rPr>
      </w:pPr>
      <w:r>
        <w:rPr>
          <w:rFonts w:hint="eastAsia" w:ascii="宋体" w:hAnsi="宋体" w:cs="宋体"/>
          <w:b w:val="0"/>
          <w:bCs w:val="0"/>
          <w:sz w:val="24"/>
          <w:szCs w:val="24"/>
        </w:rPr>
        <w:t>4.在施工期间，成交供应商必须注意院内人员安全，加强安全措施，并对施工人员进行安全教育。施工人员必须持证上岗。因采购人工作的特殊性，要求中标供应商在施工中做到封闭性施工。</w:t>
      </w:r>
    </w:p>
    <w:p w14:paraId="124B2105">
      <w:pPr>
        <w:spacing w:line="360" w:lineRule="auto"/>
        <w:outlineLvl w:val="1"/>
        <w:rPr>
          <w:rFonts w:ascii="宋体" w:hAnsi="宋体" w:cs="宋体"/>
          <w:b/>
          <w:bCs/>
          <w:sz w:val="28"/>
          <w:szCs w:val="28"/>
        </w:rPr>
      </w:pPr>
      <w:r>
        <w:rPr>
          <w:rFonts w:hint="eastAsia" w:ascii="宋体" w:hAnsi="宋体" w:cs="宋体"/>
          <w:b/>
          <w:bCs/>
          <w:sz w:val="28"/>
          <w:szCs w:val="28"/>
          <w:lang w:val="en-US" w:eastAsia="zh-CN"/>
        </w:rPr>
        <w:t>七</w:t>
      </w:r>
      <w:r>
        <w:rPr>
          <w:rFonts w:hint="eastAsia" w:ascii="宋体" w:hAnsi="宋体" w:cs="宋体"/>
          <w:b/>
          <w:bCs/>
          <w:sz w:val="28"/>
          <w:szCs w:val="28"/>
        </w:rPr>
        <w:t>、重要说明</w:t>
      </w:r>
      <w:bookmarkEnd w:id="61"/>
    </w:p>
    <w:p w14:paraId="1AD60D02">
      <w:pPr>
        <w:spacing w:line="312" w:lineRule="auto"/>
        <w:ind w:firstLine="421"/>
        <w:rPr>
          <w:rFonts w:ascii="宋体" w:hAnsi="宋体" w:cs="宋体"/>
          <w:bCs/>
          <w:sz w:val="24"/>
        </w:rPr>
      </w:pPr>
      <w:r>
        <w:rPr>
          <w:rFonts w:hint="eastAsia" w:ascii="宋体" w:hAnsi="宋体" w:cs="宋体"/>
          <w:bCs/>
          <w:sz w:val="24"/>
        </w:rPr>
        <w:t>1.供应商必须根据采购人提供的信息予以响应，质量必须达到或高于采购的要求。</w:t>
      </w:r>
    </w:p>
    <w:p w14:paraId="13B1D563">
      <w:pPr>
        <w:spacing w:line="312" w:lineRule="auto"/>
        <w:ind w:firstLine="421"/>
        <w:rPr>
          <w:rFonts w:ascii="宋体" w:hAnsi="宋体" w:cs="宋体"/>
          <w:bCs/>
          <w:sz w:val="24"/>
        </w:rPr>
      </w:pPr>
      <w:r>
        <w:rPr>
          <w:rFonts w:hint="eastAsia" w:ascii="宋体" w:hAnsi="宋体" w:cs="宋体"/>
          <w:bCs/>
          <w:sz w:val="24"/>
        </w:rPr>
        <w:t>2.采购文件中的技术参数只是采购人提出的一些原则性参数，并不是详尽的要求，供应商有责任完善所提供产品的品牌、参数说明或相关技术规格。</w:t>
      </w:r>
    </w:p>
    <w:p w14:paraId="251970C5">
      <w:pPr>
        <w:spacing w:line="312" w:lineRule="auto"/>
        <w:ind w:firstLine="421"/>
        <w:rPr>
          <w:rFonts w:ascii="宋体" w:hAnsi="宋体" w:cs="宋体"/>
          <w:bCs/>
          <w:sz w:val="24"/>
        </w:rPr>
      </w:pPr>
      <w:r>
        <w:rPr>
          <w:rFonts w:hint="eastAsia" w:ascii="宋体" w:hAnsi="宋体" w:cs="宋体"/>
          <w:bCs/>
          <w:sz w:val="24"/>
        </w:rPr>
        <w:t>3.供应商提供的产品在使用过程中因质量问题影响采购人的正常使用，要负相应责任，并向采购人赔偿损失，采购人有权向相关管理部门进行投诉。</w:t>
      </w:r>
    </w:p>
    <w:p w14:paraId="233E09CA">
      <w:pPr>
        <w:spacing w:line="312" w:lineRule="auto"/>
        <w:ind w:firstLine="421"/>
        <w:rPr>
          <w:rFonts w:ascii="宋体" w:hAnsi="宋体" w:cs="宋体"/>
          <w:bCs/>
          <w:sz w:val="24"/>
        </w:rPr>
      </w:pPr>
      <w:r>
        <w:rPr>
          <w:rFonts w:hint="eastAsia" w:ascii="宋体" w:hAnsi="宋体" w:cs="宋体"/>
          <w:bCs/>
          <w:sz w:val="24"/>
        </w:rPr>
        <w:t>4.供应商须保证所提供的产品包括相关附件为相应厂家原装正品，符合国家有关规定。供应商须保证所提供产品具有合法的版权或使用权，应由供应商负责，采购人和代理机构不承担责任。</w:t>
      </w:r>
    </w:p>
    <w:p w14:paraId="230FD84D">
      <w:pPr>
        <w:spacing w:line="312" w:lineRule="auto"/>
        <w:ind w:firstLine="421"/>
        <w:rPr>
          <w:rFonts w:ascii="宋体" w:hAnsi="宋体" w:cs="宋体"/>
          <w:bCs/>
          <w:sz w:val="24"/>
        </w:rPr>
      </w:pPr>
      <w:r>
        <w:rPr>
          <w:rFonts w:hint="eastAsia" w:ascii="宋体" w:hAnsi="宋体" w:cs="宋体"/>
          <w:bCs/>
          <w:sz w:val="24"/>
        </w:rPr>
        <w:t>5.项目实施完成后，供应商提交一份完整的产品安装验收单或验收报告，由项目单位进行验收。成交供应商达不到采购人要求及各项服务承诺，采购人有权要求其整改，直至扣款或终止合同。</w:t>
      </w:r>
    </w:p>
    <w:p w14:paraId="6EB0FFE4">
      <w:pPr>
        <w:spacing w:line="360" w:lineRule="auto"/>
        <w:outlineLvl w:val="1"/>
        <w:rPr>
          <w:rFonts w:ascii="宋体" w:hAnsi="宋体" w:cs="宋体"/>
          <w:b/>
          <w:bCs/>
          <w:sz w:val="28"/>
          <w:szCs w:val="28"/>
        </w:rPr>
      </w:pPr>
      <w:bookmarkStart w:id="62" w:name="_Toc21880"/>
      <w:r>
        <w:rPr>
          <w:rFonts w:hint="eastAsia" w:ascii="宋体" w:hAnsi="宋体" w:cs="宋体"/>
          <w:b/>
          <w:bCs/>
          <w:sz w:val="28"/>
          <w:szCs w:val="28"/>
          <w:lang w:val="en-US" w:eastAsia="zh-CN"/>
        </w:rPr>
        <w:t>八</w:t>
      </w:r>
      <w:r>
        <w:rPr>
          <w:rFonts w:hint="eastAsia" w:ascii="宋体" w:hAnsi="宋体" w:cs="宋体"/>
          <w:b/>
          <w:bCs/>
          <w:sz w:val="28"/>
          <w:szCs w:val="28"/>
        </w:rPr>
        <w:t>、民事责任</w:t>
      </w:r>
      <w:bookmarkEnd w:id="62"/>
    </w:p>
    <w:p w14:paraId="096532B8">
      <w:pPr>
        <w:pStyle w:val="23"/>
        <w:ind w:firstLine="480" w:firstLineChars="200"/>
        <w:rPr>
          <w:lang w:val="en-US"/>
        </w:rPr>
      </w:pPr>
      <w:r>
        <w:rPr>
          <w:rFonts w:hint="eastAsia"/>
          <w:lang w:val="en-US"/>
        </w:rPr>
        <w:t>1.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35312656">
      <w:pPr>
        <w:pStyle w:val="23"/>
        <w:ind w:firstLine="480" w:firstLineChars="200"/>
        <w:rPr>
          <w:lang w:val="en-US"/>
        </w:rPr>
      </w:pPr>
      <w:r>
        <w:rPr>
          <w:rFonts w:hint="eastAsia"/>
          <w:lang w:val="en-US"/>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5AB5E347">
      <w:pPr>
        <w:pStyle w:val="23"/>
        <w:ind w:firstLine="480" w:firstLineChars="200"/>
        <w:rPr>
          <w:rFonts w:hAnsi="宋体" w:cs="宋体"/>
          <w:b/>
          <w:lang w:val="en-US"/>
        </w:rPr>
      </w:pPr>
      <w:r>
        <w:rPr>
          <w:rFonts w:hint="eastAsia"/>
          <w:lang w:val="en-US"/>
        </w:rPr>
        <w:t>3.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7C943023">
      <w:pPr>
        <w:pStyle w:val="60"/>
        <w:ind w:firstLine="0"/>
        <w:outlineLvl w:val="1"/>
        <w:rPr>
          <w:b/>
          <w:sz w:val="28"/>
          <w:szCs w:val="21"/>
          <w:lang w:val="en-US"/>
        </w:rPr>
      </w:pPr>
      <w:bookmarkStart w:id="63" w:name="_Toc27489"/>
      <w:r>
        <w:rPr>
          <w:rFonts w:hint="eastAsia" w:hAnsi="宋体" w:cs="宋体"/>
          <w:b/>
          <w:color w:val="000000" w:themeColor="text1"/>
          <w:sz w:val="28"/>
          <w:szCs w:val="21"/>
          <w:lang w:val="en-US" w:eastAsia="zh-CN"/>
          <w14:textFill>
            <w14:solidFill>
              <w14:schemeClr w14:val="tx1"/>
            </w14:solidFill>
          </w14:textFill>
        </w:rPr>
        <w:t>九</w:t>
      </w:r>
      <w:r>
        <w:rPr>
          <w:rFonts w:hint="eastAsia" w:hAnsi="宋体" w:cs="宋体"/>
          <w:b/>
          <w:color w:val="000000" w:themeColor="text1"/>
          <w:sz w:val="28"/>
          <w:szCs w:val="21"/>
          <w:lang w:val="en-US"/>
          <w14:textFill>
            <w14:solidFill>
              <w14:schemeClr w14:val="tx1"/>
            </w14:solidFill>
          </w14:textFill>
        </w:rPr>
        <w:t>、其他详见合同条款</w:t>
      </w:r>
      <w:bookmarkEnd w:id="63"/>
    </w:p>
    <w:p w14:paraId="352F7D33">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14:paraId="5878ACA6">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64" w:name="_Toc2631"/>
      <w:r>
        <w:rPr>
          <w:rFonts w:hint="eastAsia" w:ascii="宋体" w:hAnsi="宋体" w:cs="宋体"/>
          <w:b/>
          <w:color w:val="000000" w:themeColor="text1"/>
          <w:sz w:val="36"/>
          <w:szCs w:val="20"/>
          <w14:textFill>
            <w14:solidFill>
              <w14:schemeClr w14:val="tx1"/>
            </w14:solidFill>
          </w14:textFill>
        </w:rPr>
        <w:t>第四部分</w:t>
      </w:r>
      <w:bookmarkStart w:id="65" w:name="_Toc184308054"/>
      <w:bookmarkEnd w:id="65"/>
      <w:bookmarkStart w:id="66" w:name="_Toc184308043"/>
      <w:bookmarkEnd w:id="66"/>
      <w:bookmarkStart w:id="67" w:name="_Toc184308060"/>
      <w:bookmarkEnd w:id="67"/>
      <w:bookmarkStart w:id="68" w:name="_Toc184310310"/>
      <w:bookmarkEnd w:id="68"/>
      <w:bookmarkStart w:id="69" w:name="_Toc184308076"/>
      <w:bookmarkEnd w:id="69"/>
      <w:bookmarkStart w:id="70" w:name="_Toc184312133"/>
      <w:bookmarkEnd w:id="70"/>
      <w:bookmarkStart w:id="71" w:name="_Toc184314449"/>
      <w:bookmarkEnd w:id="71"/>
      <w:bookmarkStart w:id="72" w:name="_Toc184312087"/>
      <w:bookmarkEnd w:id="72"/>
      <w:bookmarkStart w:id="73" w:name="_Toc184308086"/>
      <w:bookmarkEnd w:id="73"/>
      <w:bookmarkStart w:id="74" w:name="_Toc184310313"/>
      <w:bookmarkEnd w:id="74"/>
      <w:bookmarkStart w:id="75" w:name="_Toc184308059"/>
      <w:bookmarkEnd w:id="75"/>
      <w:bookmarkStart w:id="76" w:name="_Toc184312123"/>
      <w:bookmarkEnd w:id="76"/>
      <w:bookmarkStart w:id="77" w:name="_Toc184310315"/>
      <w:bookmarkEnd w:id="77"/>
      <w:bookmarkStart w:id="78" w:name="_Toc184312083"/>
      <w:bookmarkEnd w:id="78"/>
      <w:bookmarkStart w:id="79" w:name="_Toc184308099"/>
      <w:bookmarkEnd w:id="79"/>
      <w:bookmarkStart w:id="80" w:name="_Toc184312108"/>
      <w:bookmarkEnd w:id="80"/>
      <w:bookmarkStart w:id="81" w:name="_Toc184308065"/>
      <w:bookmarkEnd w:id="81"/>
      <w:bookmarkStart w:id="82" w:name="_Toc184308092"/>
      <w:bookmarkEnd w:id="82"/>
      <w:bookmarkStart w:id="83" w:name="_Toc184308102"/>
      <w:bookmarkEnd w:id="83"/>
      <w:bookmarkStart w:id="84" w:name="_Toc184308036"/>
      <w:bookmarkEnd w:id="84"/>
      <w:bookmarkStart w:id="85" w:name="_Toc184308067"/>
      <w:bookmarkEnd w:id="85"/>
      <w:bookmarkStart w:id="86" w:name="_Toc184313282"/>
      <w:bookmarkEnd w:id="86"/>
      <w:bookmarkStart w:id="87" w:name="_Toc184312067"/>
      <w:bookmarkEnd w:id="87"/>
      <w:bookmarkStart w:id="88" w:name="_Toc184313302"/>
      <w:bookmarkEnd w:id="88"/>
      <w:bookmarkStart w:id="89" w:name="_Toc184310303"/>
      <w:bookmarkEnd w:id="89"/>
      <w:bookmarkStart w:id="90" w:name="_Toc184313276"/>
      <w:bookmarkEnd w:id="90"/>
      <w:bookmarkStart w:id="91" w:name="_Toc184308081"/>
      <w:bookmarkEnd w:id="91"/>
      <w:bookmarkStart w:id="92" w:name="_Toc184314424"/>
      <w:bookmarkEnd w:id="92"/>
      <w:bookmarkStart w:id="93" w:name="_Toc184313256"/>
      <w:bookmarkEnd w:id="93"/>
      <w:bookmarkStart w:id="94" w:name="_Toc184312069"/>
      <w:bookmarkEnd w:id="94"/>
      <w:bookmarkStart w:id="95" w:name="_Toc184314442"/>
      <w:bookmarkEnd w:id="95"/>
      <w:bookmarkStart w:id="96" w:name="_Toc184312107"/>
      <w:bookmarkEnd w:id="96"/>
      <w:bookmarkStart w:id="97" w:name="_Toc184313278"/>
      <w:bookmarkEnd w:id="97"/>
      <w:bookmarkStart w:id="98" w:name="_Toc184310285"/>
      <w:bookmarkEnd w:id="98"/>
      <w:bookmarkStart w:id="99" w:name="_Toc184313299"/>
      <w:bookmarkEnd w:id="99"/>
      <w:bookmarkStart w:id="100" w:name="_Toc184312078"/>
      <w:bookmarkEnd w:id="100"/>
      <w:bookmarkStart w:id="101" w:name="_Toc184310332"/>
      <w:bookmarkEnd w:id="101"/>
      <w:bookmarkStart w:id="102" w:name="_Toc184308083"/>
      <w:bookmarkEnd w:id="102"/>
      <w:bookmarkStart w:id="103" w:name="_Toc184314476"/>
      <w:bookmarkEnd w:id="103"/>
      <w:bookmarkStart w:id="104" w:name="_Toc184310290"/>
      <w:bookmarkEnd w:id="104"/>
      <w:bookmarkStart w:id="105" w:name="_Toc184314428"/>
      <w:bookmarkEnd w:id="105"/>
      <w:bookmarkStart w:id="106" w:name="_Toc184310327"/>
      <w:bookmarkEnd w:id="106"/>
      <w:bookmarkStart w:id="107" w:name="_Toc184313274"/>
      <w:bookmarkEnd w:id="107"/>
      <w:bookmarkStart w:id="108" w:name="_Toc184314460"/>
      <w:bookmarkEnd w:id="108"/>
      <w:bookmarkStart w:id="109" w:name="_Toc184314465"/>
      <w:bookmarkEnd w:id="109"/>
      <w:bookmarkStart w:id="110" w:name="_Toc184314454"/>
      <w:bookmarkEnd w:id="110"/>
      <w:bookmarkStart w:id="111" w:name="_Toc184308070"/>
      <w:bookmarkEnd w:id="111"/>
      <w:bookmarkStart w:id="112" w:name="_Toc184313272"/>
      <w:bookmarkEnd w:id="112"/>
      <w:bookmarkStart w:id="113" w:name="_Toc184310321"/>
      <w:bookmarkEnd w:id="113"/>
      <w:bookmarkStart w:id="114" w:name="_Toc184314445"/>
      <w:bookmarkEnd w:id="114"/>
      <w:bookmarkStart w:id="115" w:name="_Toc184314410"/>
      <w:bookmarkEnd w:id="115"/>
      <w:bookmarkStart w:id="116" w:name="_Toc184313298"/>
      <w:bookmarkEnd w:id="116"/>
      <w:bookmarkStart w:id="117" w:name="_Toc184310312"/>
      <w:bookmarkEnd w:id="117"/>
      <w:bookmarkStart w:id="118" w:name="_Toc184314456"/>
      <w:bookmarkEnd w:id="118"/>
      <w:bookmarkStart w:id="119" w:name="_Toc184313257"/>
      <w:bookmarkEnd w:id="119"/>
      <w:bookmarkStart w:id="120" w:name="_Toc184310286"/>
      <w:bookmarkEnd w:id="120"/>
      <w:bookmarkStart w:id="121" w:name="_Toc184310307"/>
      <w:bookmarkEnd w:id="121"/>
      <w:bookmarkStart w:id="122" w:name="_Toc184314462"/>
      <w:bookmarkEnd w:id="122"/>
      <w:bookmarkStart w:id="123" w:name="_Toc184312109"/>
      <w:bookmarkEnd w:id="123"/>
      <w:bookmarkStart w:id="124" w:name="_Toc184308064"/>
      <w:bookmarkEnd w:id="124"/>
      <w:bookmarkStart w:id="125" w:name="_Toc184313305"/>
      <w:bookmarkEnd w:id="125"/>
      <w:bookmarkStart w:id="126" w:name="_Toc184310320"/>
      <w:bookmarkEnd w:id="126"/>
      <w:bookmarkStart w:id="127" w:name="_Toc184308090"/>
      <w:bookmarkEnd w:id="127"/>
      <w:bookmarkStart w:id="128" w:name="_Toc184310323"/>
      <w:bookmarkEnd w:id="128"/>
      <w:bookmarkStart w:id="129" w:name="_Toc184310319"/>
      <w:bookmarkEnd w:id="129"/>
      <w:bookmarkStart w:id="130" w:name="_Toc184314480"/>
      <w:bookmarkEnd w:id="130"/>
      <w:bookmarkStart w:id="131" w:name="_Toc184312114"/>
      <w:bookmarkEnd w:id="131"/>
      <w:bookmarkStart w:id="132" w:name="_Toc184308048"/>
      <w:bookmarkEnd w:id="132"/>
      <w:bookmarkStart w:id="133" w:name="_Toc184312103"/>
      <w:bookmarkEnd w:id="133"/>
      <w:bookmarkStart w:id="134" w:name="_Toc184308072"/>
      <w:bookmarkEnd w:id="134"/>
      <w:bookmarkStart w:id="135" w:name="_Toc184308093"/>
      <w:bookmarkEnd w:id="135"/>
      <w:bookmarkStart w:id="136" w:name="_Toc184313289"/>
      <w:bookmarkEnd w:id="136"/>
      <w:bookmarkStart w:id="137" w:name="_Toc184308046"/>
      <w:bookmarkEnd w:id="137"/>
      <w:bookmarkStart w:id="138" w:name="_Toc184314439"/>
      <w:bookmarkEnd w:id="138"/>
      <w:bookmarkStart w:id="139" w:name="_Toc184314451"/>
      <w:bookmarkEnd w:id="139"/>
      <w:bookmarkStart w:id="140" w:name="_Toc184314422"/>
      <w:bookmarkEnd w:id="140"/>
      <w:bookmarkStart w:id="141" w:name="_Toc184308049"/>
      <w:bookmarkEnd w:id="141"/>
      <w:bookmarkStart w:id="142" w:name="_Toc184308038"/>
      <w:bookmarkEnd w:id="142"/>
      <w:bookmarkStart w:id="143" w:name="_Toc184313290"/>
      <w:bookmarkEnd w:id="143"/>
      <w:bookmarkStart w:id="144" w:name="_Toc184314470"/>
      <w:bookmarkEnd w:id="144"/>
      <w:bookmarkStart w:id="145" w:name="_Toc184314447"/>
      <w:bookmarkEnd w:id="145"/>
      <w:bookmarkStart w:id="146" w:name="_Toc184313281"/>
      <w:bookmarkEnd w:id="146"/>
      <w:bookmarkStart w:id="147" w:name="_Toc184308104"/>
      <w:bookmarkEnd w:id="147"/>
      <w:bookmarkStart w:id="148" w:name="_Toc184314418"/>
      <w:bookmarkEnd w:id="148"/>
      <w:bookmarkStart w:id="149" w:name="_Toc184308101"/>
      <w:bookmarkEnd w:id="149"/>
      <w:bookmarkStart w:id="150" w:name="_Toc184314472"/>
      <w:bookmarkEnd w:id="150"/>
      <w:bookmarkStart w:id="151" w:name="_Toc184314453"/>
      <w:bookmarkEnd w:id="151"/>
      <w:bookmarkStart w:id="152" w:name="_Toc184313251"/>
      <w:bookmarkEnd w:id="152"/>
      <w:bookmarkStart w:id="153" w:name="_Toc184314448"/>
      <w:bookmarkEnd w:id="153"/>
      <w:bookmarkStart w:id="154" w:name="_Toc184308097"/>
      <w:bookmarkEnd w:id="154"/>
      <w:bookmarkStart w:id="155" w:name="_Toc184313280"/>
      <w:bookmarkEnd w:id="155"/>
      <w:bookmarkStart w:id="156" w:name="_Toc184310295"/>
      <w:bookmarkEnd w:id="156"/>
      <w:bookmarkStart w:id="157" w:name="_Toc184314471"/>
      <w:bookmarkEnd w:id="157"/>
      <w:bookmarkStart w:id="158" w:name="_Toc184314435"/>
      <w:bookmarkEnd w:id="158"/>
      <w:bookmarkStart w:id="159" w:name="_Toc184308045"/>
      <w:bookmarkEnd w:id="159"/>
      <w:bookmarkStart w:id="160" w:name="_Toc184308042"/>
      <w:bookmarkEnd w:id="160"/>
      <w:bookmarkStart w:id="161" w:name="_Toc184312071"/>
      <w:bookmarkEnd w:id="161"/>
      <w:bookmarkStart w:id="162" w:name="_Toc184314423"/>
      <w:bookmarkEnd w:id="162"/>
      <w:bookmarkStart w:id="163" w:name="_Toc184310304"/>
      <w:bookmarkEnd w:id="163"/>
      <w:bookmarkStart w:id="164" w:name="_Toc184314440"/>
      <w:bookmarkEnd w:id="164"/>
      <w:bookmarkStart w:id="165" w:name="_Toc184313303"/>
      <w:bookmarkEnd w:id="165"/>
      <w:bookmarkStart w:id="166" w:name="_Toc184310343"/>
      <w:bookmarkEnd w:id="166"/>
      <w:bookmarkStart w:id="167" w:name="_Toc184312101"/>
      <w:bookmarkEnd w:id="167"/>
      <w:bookmarkStart w:id="168" w:name="_Toc184313266"/>
      <w:bookmarkEnd w:id="168"/>
      <w:bookmarkStart w:id="169" w:name="_Toc184313300"/>
      <w:bookmarkEnd w:id="169"/>
      <w:bookmarkStart w:id="170" w:name="_Toc184310277"/>
      <w:bookmarkEnd w:id="170"/>
      <w:bookmarkStart w:id="171" w:name="_Toc184310291"/>
      <w:bookmarkEnd w:id="171"/>
      <w:bookmarkStart w:id="172" w:name="_Toc184308040"/>
      <w:bookmarkEnd w:id="172"/>
      <w:bookmarkStart w:id="173" w:name="_Toc184313285"/>
      <w:bookmarkEnd w:id="173"/>
      <w:bookmarkStart w:id="174" w:name="_Toc184310337"/>
      <w:bookmarkEnd w:id="174"/>
      <w:bookmarkStart w:id="175" w:name="_Toc184314481"/>
      <w:bookmarkEnd w:id="175"/>
      <w:bookmarkStart w:id="176" w:name="_Toc184314434"/>
      <w:bookmarkEnd w:id="176"/>
      <w:bookmarkStart w:id="177" w:name="_Toc184308037"/>
      <w:bookmarkEnd w:id="177"/>
      <w:bookmarkStart w:id="178" w:name="_Toc184310340"/>
      <w:bookmarkEnd w:id="178"/>
      <w:bookmarkStart w:id="179" w:name="_Toc184312085"/>
      <w:bookmarkEnd w:id="179"/>
      <w:bookmarkStart w:id="180" w:name="_Toc184314438"/>
      <w:bookmarkEnd w:id="180"/>
      <w:bookmarkStart w:id="181" w:name="_Toc184310283"/>
      <w:bookmarkEnd w:id="181"/>
      <w:bookmarkStart w:id="182" w:name="_Toc184313240"/>
      <w:bookmarkEnd w:id="182"/>
      <w:bookmarkStart w:id="183" w:name="_Toc184313295"/>
      <w:bookmarkEnd w:id="183"/>
      <w:bookmarkStart w:id="184" w:name="_Toc184308084"/>
      <w:bookmarkEnd w:id="184"/>
      <w:bookmarkStart w:id="185" w:name="_Toc184314452"/>
      <w:bookmarkEnd w:id="185"/>
      <w:bookmarkStart w:id="186" w:name="_Toc184308050"/>
      <w:bookmarkEnd w:id="186"/>
      <w:bookmarkStart w:id="187" w:name="_Toc184312139"/>
      <w:bookmarkEnd w:id="187"/>
      <w:bookmarkStart w:id="188" w:name="_Toc184312084"/>
      <w:bookmarkEnd w:id="188"/>
      <w:bookmarkStart w:id="189" w:name="_Toc184314467"/>
      <w:bookmarkEnd w:id="189"/>
      <w:bookmarkStart w:id="190" w:name="_Toc184308061"/>
      <w:bookmarkEnd w:id="190"/>
      <w:bookmarkStart w:id="191" w:name="_Toc184310326"/>
      <w:bookmarkEnd w:id="191"/>
      <w:bookmarkStart w:id="192" w:name="_Toc184310336"/>
      <w:bookmarkEnd w:id="192"/>
      <w:bookmarkStart w:id="193" w:name="_Toc184312086"/>
      <w:bookmarkEnd w:id="193"/>
      <w:bookmarkStart w:id="194" w:name="_Toc184312095"/>
      <w:bookmarkEnd w:id="194"/>
      <w:bookmarkStart w:id="195" w:name="_Toc184312132"/>
      <w:bookmarkEnd w:id="195"/>
      <w:bookmarkStart w:id="196" w:name="_Toc184308051"/>
      <w:bookmarkEnd w:id="196"/>
      <w:bookmarkStart w:id="197" w:name="_Toc184308066"/>
      <w:bookmarkEnd w:id="197"/>
      <w:bookmarkStart w:id="198" w:name="_Toc184312072"/>
      <w:bookmarkEnd w:id="198"/>
      <w:bookmarkStart w:id="199" w:name="_Toc184310273"/>
      <w:bookmarkEnd w:id="199"/>
      <w:bookmarkStart w:id="200" w:name="_Toc184310318"/>
      <w:bookmarkEnd w:id="200"/>
      <w:bookmarkStart w:id="201" w:name="_Toc184308062"/>
      <w:bookmarkEnd w:id="201"/>
      <w:bookmarkStart w:id="202" w:name="_Toc184313306"/>
      <w:bookmarkEnd w:id="202"/>
      <w:bookmarkStart w:id="203" w:name="_Toc184308089"/>
      <w:bookmarkEnd w:id="203"/>
      <w:bookmarkStart w:id="204" w:name="_Toc184313273"/>
      <w:bookmarkEnd w:id="204"/>
      <w:bookmarkStart w:id="205" w:name="_Toc184312130"/>
      <w:bookmarkEnd w:id="205"/>
      <w:bookmarkStart w:id="206" w:name="_Toc184310280"/>
      <w:bookmarkEnd w:id="206"/>
      <w:bookmarkStart w:id="207" w:name="_Toc184312075"/>
      <w:bookmarkEnd w:id="207"/>
      <w:bookmarkStart w:id="208" w:name="_Toc184312136"/>
      <w:bookmarkEnd w:id="208"/>
      <w:bookmarkStart w:id="209" w:name="_Toc184312121"/>
      <w:bookmarkEnd w:id="209"/>
      <w:bookmarkStart w:id="210" w:name="_Toc184310281"/>
      <w:bookmarkEnd w:id="210"/>
      <w:bookmarkStart w:id="211" w:name="_Toc184312080"/>
      <w:bookmarkEnd w:id="211"/>
      <w:bookmarkStart w:id="212" w:name="_Toc184308077"/>
      <w:bookmarkEnd w:id="212"/>
      <w:bookmarkStart w:id="213" w:name="_Toc184314432"/>
      <w:bookmarkEnd w:id="213"/>
      <w:bookmarkStart w:id="214" w:name="_Toc184313271"/>
      <w:bookmarkEnd w:id="214"/>
      <w:bookmarkStart w:id="215" w:name="_Toc184308053"/>
      <w:bookmarkEnd w:id="215"/>
      <w:bookmarkStart w:id="216" w:name="_Toc184313310"/>
      <w:bookmarkEnd w:id="216"/>
      <w:bookmarkStart w:id="217" w:name="_Toc184312128"/>
      <w:bookmarkEnd w:id="217"/>
      <w:bookmarkStart w:id="218" w:name="_Toc184312068"/>
      <w:bookmarkEnd w:id="218"/>
      <w:bookmarkStart w:id="219" w:name="_Toc184313268"/>
      <w:bookmarkEnd w:id="219"/>
      <w:bookmarkStart w:id="220" w:name="_Toc184310331"/>
      <w:bookmarkEnd w:id="220"/>
      <w:bookmarkStart w:id="221" w:name="_Toc184312119"/>
      <w:bookmarkEnd w:id="221"/>
      <w:bookmarkStart w:id="222" w:name="_Toc184313238"/>
      <w:bookmarkEnd w:id="222"/>
      <w:bookmarkStart w:id="223" w:name="_Toc184310276"/>
      <w:bookmarkEnd w:id="223"/>
      <w:bookmarkStart w:id="224" w:name="_Toc184308079"/>
      <w:bookmarkEnd w:id="224"/>
      <w:bookmarkStart w:id="225" w:name="_Toc184312113"/>
      <w:bookmarkEnd w:id="225"/>
      <w:bookmarkStart w:id="226" w:name="_Toc184312100"/>
      <w:bookmarkEnd w:id="226"/>
      <w:bookmarkStart w:id="227" w:name="_Toc184310300"/>
      <w:bookmarkEnd w:id="227"/>
      <w:bookmarkStart w:id="228" w:name="_Toc184310296"/>
      <w:bookmarkEnd w:id="228"/>
      <w:bookmarkStart w:id="229" w:name="_Toc184312093"/>
      <w:bookmarkEnd w:id="229"/>
      <w:bookmarkStart w:id="230" w:name="_Toc184312110"/>
      <w:bookmarkEnd w:id="230"/>
      <w:bookmarkStart w:id="231" w:name="_Toc184314426"/>
      <w:bookmarkEnd w:id="231"/>
      <w:bookmarkStart w:id="232" w:name="_Toc184314459"/>
      <w:bookmarkEnd w:id="232"/>
      <w:bookmarkStart w:id="233" w:name="_Toc184314414"/>
      <w:bookmarkEnd w:id="233"/>
      <w:bookmarkStart w:id="234" w:name="_Toc184312088"/>
      <w:bookmarkEnd w:id="234"/>
      <w:bookmarkStart w:id="235" w:name="_Toc184314420"/>
      <w:bookmarkEnd w:id="235"/>
      <w:bookmarkStart w:id="236" w:name="_Toc184313288"/>
      <w:bookmarkEnd w:id="236"/>
      <w:bookmarkStart w:id="237" w:name="_Toc184313241"/>
      <w:bookmarkEnd w:id="237"/>
      <w:bookmarkStart w:id="238" w:name="_Toc184314413"/>
      <w:bookmarkEnd w:id="238"/>
      <w:bookmarkStart w:id="239" w:name="_Toc184310297"/>
      <w:bookmarkEnd w:id="239"/>
      <w:bookmarkStart w:id="240" w:name="_Toc184312081"/>
      <w:bookmarkEnd w:id="240"/>
      <w:bookmarkStart w:id="241" w:name="_Toc184310339"/>
      <w:bookmarkEnd w:id="241"/>
      <w:bookmarkStart w:id="242" w:name="_Toc184313260"/>
      <w:bookmarkEnd w:id="242"/>
      <w:bookmarkStart w:id="243" w:name="_Toc184313277"/>
      <w:bookmarkEnd w:id="243"/>
      <w:bookmarkStart w:id="244" w:name="_Toc184313294"/>
      <w:bookmarkEnd w:id="244"/>
      <w:bookmarkStart w:id="245" w:name="_Toc184310279"/>
      <w:bookmarkEnd w:id="245"/>
      <w:bookmarkStart w:id="246" w:name="_Toc184310278"/>
      <w:bookmarkEnd w:id="246"/>
      <w:bookmarkStart w:id="247" w:name="_Toc184313252"/>
      <w:bookmarkEnd w:id="247"/>
      <w:bookmarkStart w:id="248" w:name="_Toc184308063"/>
      <w:bookmarkEnd w:id="248"/>
      <w:bookmarkStart w:id="249" w:name="_Toc184312106"/>
      <w:bookmarkEnd w:id="249"/>
      <w:bookmarkStart w:id="250" w:name="_Toc184313308"/>
      <w:bookmarkEnd w:id="250"/>
      <w:bookmarkStart w:id="251" w:name="_Toc184313247"/>
      <w:bookmarkEnd w:id="251"/>
      <w:bookmarkStart w:id="252" w:name="_Toc184310292"/>
      <w:bookmarkEnd w:id="252"/>
      <w:bookmarkStart w:id="253" w:name="_Toc184310329"/>
      <w:bookmarkEnd w:id="253"/>
      <w:bookmarkStart w:id="254" w:name="_Toc184314457"/>
      <w:bookmarkEnd w:id="254"/>
      <w:bookmarkStart w:id="255" w:name="_Toc184308074"/>
      <w:bookmarkEnd w:id="255"/>
      <w:bookmarkStart w:id="256" w:name="_Toc184310342"/>
      <w:bookmarkEnd w:id="256"/>
      <w:bookmarkStart w:id="257" w:name="_Toc184308088"/>
      <w:bookmarkEnd w:id="257"/>
      <w:bookmarkStart w:id="258" w:name="_Toc184313301"/>
      <w:bookmarkEnd w:id="258"/>
      <w:bookmarkStart w:id="259" w:name="_Toc184310309"/>
      <w:bookmarkEnd w:id="259"/>
      <w:bookmarkStart w:id="260" w:name="_Toc184308087"/>
      <w:bookmarkEnd w:id="260"/>
      <w:bookmarkStart w:id="261" w:name="_Toc184314482"/>
      <w:bookmarkEnd w:id="261"/>
      <w:bookmarkStart w:id="262" w:name="_Toc184314421"/>
      <w:bookmarkEnd w:id="262"/>
      <w:bookmarkStart w:id="263" w:name="_Toc184314479"/>
      <w:bookmarkEnd w:id="263"/>
      <w:bookmarkStart w:id="264" w:name="_Toc184310324"/>
      <w:bookmarkEnd w:id="264"/>
      <w:bookmarkStart w:id="265" w:name="_Toc184313269"/>
      <w:bookmarkEnd w:id="265"/>
      <w:bookmarkStart w:id="266" w:name="_Toc184312102"/>
      <w:bookmarkEnd w:id="266"/>
      <w:bookmarkStart w:id="267" w:name="_Toc184308108"/>
      <w:bookmarkEnd w:id="267"/>
      <w:bookmarkStart w:id="268" w:name="_Toc184310335"/>
      <w:bookmarkEnd w:id="268"/>
      <w:bookmarkStart w:id="269" w:name="_Toc184313265"/>
      <w:bookmarkEnd w:id="269"/>
      <w:bookmarkStart w:id="270" w:name="_Toc184308057"/>
      <w:bookmarkEnd w:id="270"/>
      <w:bookmarkStart w:id="271" w:name="_Toc184314450"/>
      <w:bookmarkEnd w:id="271"/>
      <w:bookmarkStart w:id="272" w:name="_Toc184312073"/>
      <w:bookmarkEnd w:id="272"/>
      <w:bookmarkStart w:id="273" w:name="_Toc184313284"/>
      <w:bookmarkEnd w:id="273"/>
      <w:bookmarkStart w:id="274" w:name="_Toc184313259"/>
      <w:bookmarkEnd w:id="274"/>
      <w:bookmarkStart w:id="275" w:name="_Toc184310294"/>
      <w:bookmarkEnd w:id="275"/>
      <w:bookmarkStart w:id="276" w:name="_Toc184313249"/>
      <w:bookmarkEnd w:id="276"/>
      <w:bookmarkStart w:id="277" w:name="_Toc184308071"/>
      <w:bookmarkEnd w:id="277"/>
      <w:bookmarkStart w:id="278" w:name="_Toc184313258"/>
      <w:bookmarkEnd w:id="278"/>
      <w:bookmarkStart w:id="279" w:name="_Toc184312116"/>
      <w:bookmarkEnd w:id="279"/>
      <w:bookmarkStart w:id="280" w:name="_Toc184313244"/>
      <w:bookmarkEnd w:id="280"/>
      <w:bookmarkStart w:id="281" w:name="_Toc184314444"/>
      <w:bookmarkEnd w:id="281"/>
      <w:bookmarkStart w:id="282" w:name="_Toc184308105"/>
      <w:bookmarkEnd w:id="282"/>
      <w:bookmarkStart w:id="283" w:name="_Toc184308096"/>
      <w:bookmarkEnd w:id="283"/>
      <w:bookmarkStart w:id="284" w:name="_Toc184313307"/>
      <w:bookmarkEnd w:id="284"/>
      <w:bookmarkStart w:id="285" w:name="_Toc184314443"/>
      <w:bookmarkEnd w:id="285"/>
      <w:bookmarkStart w:id="286" w:name="_Toc184313264"/>
      <w:bookmarkEnd w:id="286"/>
      <w:bookmarkStart w:id="287" w:name="_Toc184314417"/>
      <w:bookmarkEnd w:id="287"/>
      <w:bookmarkStart w:id="288" w:name="_Toc184314455"/>
      <w:bookmarkEnd w:id="288"/>
      <w:bookmarkStart w:id="289" w:name="_Toc184310282"/>
      <w:bookmarkEnd w:id="289"/>
      <w:bookmarkStart w:id="290" w:name="_Toc184308075"/>
      <w:bookmarkEnd w:id="290"/>
      <w:bookmarkStart w:id="291" w:name="_Toc184310338"/>
      <w:bookmarkEnd w:id="291"/>
      <w:bookmarkStart w:id="292" w:name="_Toc184310311"/>
      <w:bookmarkEnd w:id="292"/>
      <w:bookmarkStart w:id="293" w:name="_Toc184308107"/>
      <w:bookmarkEnd w:id="293"/>
      <w:bookmarkStart w:id="294" w:name="_Toc184308091"/>
      <w:bookmarkEnd w:id="294"/>
      <w:bookmarkStart w:id="295" w:name="_Toc184308069"/>
      <w:bookmarkEnd w:id="295"/>
      <w:bookmarkStart w:id="296" w:name="_Toc184308073"/>
      <w:bookmarkEnd w:id="296"/>
      <w:bookmarkStart w:id="297" w:name="_Toc184314478"/>
      <w:bookmarkEnd w:id="297"/>
      <w:bookmarkStart w:id="298" w:name="_Toc184314412"/>
      <w:bookmarkEnd w:id="298"/>
      <w:bookmarkStart w:id="299" w:name="_Toc184313239"/>
      <w:bookmarkEnd w:id="299"/>
      <w:bookmarkStart w:id="300" w:name="_Toc184310322"/>
      <w:bookmarkEnd w:id="300"/>
      <w:bookmarkStart w:id="301" w:name="_Toc184313253"/>
      <w:bookmarkEnd w:id="301"/>
      <w:bookmarkStart w:id="302" w:name="_Toc184312090"/>
      <w:bookmarkEnd w:id="302"/>
      <w:bookmarkStart w:id="303" w:name="_Toc184314446"/>
      <w:bookmarkEnd w:id="303"/>
      <w:bookmarkStart w:id="304" w:name="_Toc184314427"/>
      <w:bookmarkEnd w:id="304"/>
      <w:bookmarkStart w:id="305" w:name="_Toc184313291"/>
      <w:bookmarkEnd w:id="305"/>
      <w:bookmarkStart w:id="306" w:name="_Toc184312076"/>
      <w:bookmarkEnd w:id="306"/>
      <w:bookmarkStart w:id="307" w:name="_Toc184312118"/>
      <w:bookmarkEnd w:id="307"/>
      <w:bookmarkStart w:id="308" w:name="_Toc184313287"/>
      <w:bookmarkEnd w:id="308"/>
      <w:bookmarkStart w:id="309" w:name="_Toc184312129"/>
      <w:bookmarkEnd w:id="309"/>
      <w:bookmarkStart w:id="310" w:name="_Toc184314469"/>
      <w:bookmarkEnd w:id="310"/>
      <w:bookmarkStart w:id="311" w:name="_Toc184314416"/>
      <w:bookmarkEnd w:id="311"/>
      <w:bookmarkStart w:id="312" w:name="_Toc184308100"/>
      <w:bookmarkEnd w:id="312"/>
      <w:bookmarkStart w:id="313" w:name="_Toc184312138"/>
      <w:bookmarkEnd w:id="313"/>
      <w:bookmarkStart w:id="314" w:name="_Toc184308041"/>
      <w:bookmarkEnd w:id="314"/>
      <w:bookmarkStart w:id="315" w:name="_Toc184310330"/>
      <w:bookmarkEnd w:id="315"/>
      <w:bookmarkStart w:id="316" w:name="_Toc184310293"/>
      <w:bookmarkEnd w:id="316"/>
      <w:bookmarkStart w:id="317" w:name="_Toc184313286"/>
      <w:bookmarkEnd w:id="317"/>
      <w:bookmarkStart w:id="318" w:name="_Toc184310314"/>
      <w:bookmarkEnd w:id="318"/>
      <w:bookmarkStart w:id="319" w:name="_Toc184310272"/>
      <w:bookmarkEnd w:id="319"/>
      <w:bookmarkStart w:id="320" w:name="_Toc184308103"/>
      <w:bookmarkEnd w:id="320"/>
      <w:bookmarkStart w:id="321" w:name="_Toc184310289"/>
      <w:bookmarkEnd w:id="321"/>
      <w:bookmarkStart w:id="322" w:name="_Toc184313248"/>
      <w:bookmarkEnd w:id="322"/>
      <w:bookmarkStart w:id="323" w:name="_Toc184312074"/>
      <w:bookmarkEnd w:id="323"/>
      <w:bookmarkStart w:id="324" w:name="_Toc184308056"/>
      <w:bookmarkEnd w:id="324"/>
      <w:bookmarkStart w:id="325" w:name="_Toc184314477"/>
      <w:bookmarkEnd w:id="325"/>
      <w:bookmarkStart w:id="326" w:name="_Toc184314419"/>
      <w:bookmarkEnd w:id="326"/>
      <w:bookmarkStart w:id="327" w:name="_Toc184312122"/>
      <w:bookmarkEnd w:id="327"/>
      <w:bookmarkStart w:id="328" w:name="_Toc184314441"/>
      <w:bookmarkEnd w:id="328"/>
      <w:bookmarkStart w:id="329" w:name="_Toc184310334"/>
      <w:bookmarkEnd w:id="329"/>
      <w:bookmarkStart w:id="330" w:name="_Toc184312137"/>
      <w:bookmarkEnd w:id="330"/>
      <w:bookmarkStart w:id="331" w:name="_Toc184313283"/>
      <w:bookmarkEnd w:id="331"/>
      <w:bookmarkStart w:id="332" w:name="_Toc184308080"/>
      <w:bookmarkEnd w:id="332"/>
      <w:bookmarkStart w:id="333" w:name="_Toc184310325"/>
      <w:bookmarkEnd w:id="333"/>
      <w:bookmarkStart w:id="334" w:name="_Toc184313261"/>
      <w:bookmarkEnd w:id="334"/>
      <w:bookmarkStart w:id="335" w:name="_Toc184314425"/>
      <w:bookmarkEnd w:id="335"/>
      <w:bookmarkStart w:id="336" w:name="_Toc184314474"/>
      <w:bookmarkEnd w:id="336"/>
      <w:bookmarkStart w:id="337" w:name="_Toc184313270"/>
      <w:bookmarkEnd w:id="337"/>
      <w:bookmarkStart w:id="338" w:name="_Toc184312097"/>
      <w:bookmarkEnd w:id="338"/>
      <w:bookmarkStart w:id="339" w:name="_Toc184308085"/>
      <w:bookmarkEnd w:id="339"/>
      <w:bookmarkStart w:id="340" w:name="_Toc184312099"/>
      <w:bookmarkEnd w:id="340"/>
      <w:bookmarkStart w:id="341" w:name="_Toc184310305"/>
      <w:bookmarkEnd w:id="341"/>
      <w:bookmarkStart w:id="342" w:name="_Toc184310316"/>
      <w:bookmarkEnd w:id="342"/>
      <w:bookmarkStart w:id="343" w:name="_Toc184310328"/>
      <w:bookmarkEnd w:id="343"/>
      <w:bookmarkStart w:id="344" w:name="_Toc184312131"/>
      <w:bookmarkEnd w:id="344"/>
      <w:bookmarkStart w:id="345" w:name="_Toc184313297"/>
      <w:bookmarkEnd w:id="345"/>
      <w:bookmarkStart w:id="346" w:name="_Toc184312115"/>
      <w:bookmarkEnd w:id="346"/>
      <w:bookmarkStart w:id="347" w:name="_Toc184312117"/>
      <w:bookmarkEnd w:id="347"/>
      <w:bookmarkStart w:id="348" w:name="_Toc184314433"/>
      <w:bookmarkEnd w:id="348"/>
      <w:bookmarkStart w:id="349" w:name="_Toc184313279"/>
      <w:bookmarkEnd w:id="349"/>
      <w:bookmarkStart w:id="350" w:name="_Toc184313243"/>
      <w:bookmarkEnd w:id="350"/>
      <w:bookmarkStart w:id="351" w:name="_Toc184314429"/>
      <w:bookmarkEnd w:id="351"/>
      <w:bookmarkStart w:id="352" w:name="_Toc184314411"/>
      <w:bookmarkEnd w:id="352"/>
      <w:bookmarkStart w:id="353" w:name="_Toc184312120"/>
      <w:bookmarkEnd w:id="353"/>
      <w:bookmarkStart w:id="354" w:name="_Toc184310302"/>
      <w:bookmarkEnd w:id="354"/>
      <w:bookmarkStart w:id="355" w:name="_Toc184314473"/>
      <w:bookmarkEnd w:id="355"/>
      <w:bookmarkStart w:id="356" w:name="_Toc184312135"/>
      <w:bookmarkEnd w:id="356"/>
      <w:bookmarkStart w:id="357" w:name="_Toc184312096"/>
      <w:bookmarkEnd w:id="357"/>
      <w:bookmarkStart w:id="358" w:name="_Toc184310275"/>
      <w:bookmarkEnd w:id="358"/>
      <w:bookmarkStart w:id="359" w:name="_Toc184314475"/>
      <w:bookmarkEnd w:id="359"/>
      <w:bookmarkStart w:id="360" w:name="_Toc184313255"/>
      <w:bookmarkEnd w:id="360"/>
      <w:bookmarkStart w:id="361" w:name="_Toc184312104"/>
      <w:bookmarkEnd w:id="361"/>
      <w:bookmarkStart w:id="362" w:name="_Toc184310301"/>
      <w:bookmarkEnd w:id="362"/>
      <w:bookmarkStart w:id="363" w:name="_Toc184310317"/>
      <w:bookmarkEnd w:id="363"/>
      <w:bookmarkStart w:id="364" w:name="_Toc184312091"/>
      <w:bookmarkEnd w:id="364"/>
      <w:bookmarkStart w:id="365" w:name="_Toc184314415"/>
      <w:bookmarkEnd w:id="365"/>
      <w:bookmarkStart w:id="366" w:name="_Toc184314458"/>
      <w:bookmarkEnd w:id="366"/>
      <w:bookmarkStart w:id="367" w:name="_Toc184308047"/>
      <w:bookmarkEnd w:id="367"/>
      <w:bookmarkStart w:id="368" w:name="_Toc184312112"/>
      <w:bookmarkEnd w:id="368"/>
      <w:bookmarkStart w:id="369" w:name="_Toc184312070"/>
      <w:bookmarkEnd w:id="369"/>
      <w:bookmarkStart w:id="370" w:name="_Toc184314466"/>
      <w:bookmarkEnd w:id="370"/>
      <w:bookmarkStart w:id="371" w:name="_Toc184314430"/>
      <w:bookmarkEnd w:id="371"/>
      <w:bookmarkStart w:id="372" w:name="_Toc184308044"/>
      <w:bookmarkEnd w:id="372"/>
      <w:bookmarkStart w:id="373" w:name="_Toc184310333"/>
      <w:bookmarkEnd w:id="373"/>
      <w:bookmarkStart w:id="374" w:name="_Toc184312077"/>
      <w:bookmarkEnd w:id="374"/>
      <w:bookmarkStart w:id="375" w:name="_Toc184312124"/>
      <w:bookmarkEnd w:id="375"/>
      <w:bookmarkStart w:id="376" w:name="_Toc184310306"/>
      <w:bookmarkEnd w:id="376"/>
      <w:bookmarkStart w:id="377" w:name="_Toc184313263"/>
      <w:bookmarkEnd w:id="377"/>
      <w:bookmarkStart w:id="378" w:name="_Toc184312098"/>
      <w:bookmarkEnd w:id="378"/>
      <w:bookmarkStart w:id="379" w:name="_Toc184308068"/>
      <w:bookmarkEnd w:id="379"/>
      <w:bookmarkStart w:id="380" w:name="_Toc184314436"/>
      <w:bookmarkEnd w:id="380"/>
      <w:bookmarkStart w:id="381" w:name="_Toc184312134"/>
      <w:bookmarkEnd w:id="381"/>
      <w:bookmarkStart w:id="382" w:name="_Toc184313309"/>
      <w:bookmarkEnd w:id="382"/>
      <w:bookmarkStart w:id="383" w:name="_Toc184308039"/>
      <w:bookmarkEnd w:id="383"/>
      <w:bookmarkStart w:id="384" w:name="_Toc184310288"/>
      <w:bookmarkEnd w:id="384"/>
      <w:bookmarkStart w:id="385" w:name="_Toc184308055"/>
      <w:bookmarkEnd w:id="385"/>
      <w:bookmarkStart w:id="386" w:name="_Toc184310341"/>
      <w:bookmarkEnd w:id="386"/>
      <w:bookmarkStart w:id="387" w:name="_Toc184313250"/>
      <w:bookmarkEnd w:id="387"/>
      <w:bookmarkStart w:id="388" w:name="_Toc184312092"/>
      <w:bookmarkEnd w:id="388"/>
      <w:bookmarkStart w:id="389" w:name="_Toc184313292"/>
      <w:bookmarkEnd w:id="389"/>
      <w:bookmarkStart w:id="390" w:name="_Toc184312079"/>
      <w:bookmarkEnd w:id="390"/>
      <w:bookmarkStart w:id="391" w:name="_Toc184313246"/>
      <w:bookmarkEnd w:id="391"/>
      <w:bookmarkStart w:id="392" w:name="_Toc184310284"/>
      <w:bookmarkEnd w:id="392"/>
      <w:bookmarkStart w:id="393" w:name="_Toc184312126"/>
      <w:bookmarkEnd w:id="393"/>
      <w:bookmarkStart w:id="394" w:name="_Toc184313304"/>
      <w:bookmarkEnd w:id="394"/>
      <w:bookmarkStart w:id="395" w:name="_Toc184308082"/>
      <w:bookmarkEnd w:id="395"/>
      <w:bookmarkStart w:id="396" w:name="_Toc184314463"/>
      <w:bookmarkEnd w:id="396"/>
      <w:bookmarkStart w:id="397" w:name="_Toc184310299"/>
      <w:bookmarkEnd w:id="397"/>
      <w:bookmarkStart w:id="398" w:name="_Toc184312094"/>
      <w:bookmarkEnd w:id="398"/>
      <w:bookmarkStart w:id="399" w:name="_Toc184308058"/>
      <w:bookmarkEnd w:id="399"/>
      <w:bookmarkStart w:id="400" w:name="_Toc184308098"/>
      <w:bookmarkEnd w:id="400"/>
      <w:bookmarkStart w:id="401" w:name="_Toc184310344"/>
      <w:bookmarkEnd w:id="401"/>
      <w:bookmarkStart w:id="402" w:name="_Toc184313245"/>
      <w:bookmarkEnd w:id="402"/>
      <w:bookmarkStart w:id="403" w:name="_Toc184310274"/>
      <w:bookmarkEnd w:id="403"/>
      <w:bookmarkStart w:id="404" w:name="_Toc184308094"/>
      <w:bookmarkEnd w:id="404"/>
      <w:bookmarkStart w:id="405" w:name="_Toc184308106"/>
      <w:bookmarkEnd w:id="405"/>
      <w:bookmarkStart w:id="406" w:name="_Toc184314431"/>
      <w:bookmarkEnd w:id="406"/>
      <w:bookmarkStart w:id="407" w:name="_Toc184312082"/>
      <w:bookmarkEnd w:id="407"/>
      <w:bookmarkStart w:id="408" w:name="_Toc184308078"/>
      <w:bookmarkEnd w:id="408"/>
      <w:bookmarkStart w:id="409" w:name="_Toc184308095"/>
      <w:bookmarkEnd w:id="409"/>
      <w:bookmarkStart w:id="410" w:name="_Toc184308052"/>
      <w:bookmarkEnd w:id="410"/>
      <w:bookmarkStart w:id="411" w:name="_Toc184313293"/>
      <w:bookmarkEnd w:id="411"/>
      <w:bookmarkStart w:id="412" w:name="_Toc184312089"/>
      <w:bookmarkEnd w:id="412"/>
      <w:bookmarkStart w:id="413" w:name="_Toc184314468"/>
      <w:bookmarkEnd w:id="413"/>
      <w:bookmarkStart w:id="414" w:name="_Toc184312105"/>
      <w:bookmarkEnd w:id="414"/>
      <w:bookmarkStart w:id="415" w:name="_Toc184314437"/>
      <w:bookmarkEnd w:id="415"/>
      <w:bookmarkStart w:id="416" w:name="_Toc184310308"/>
      <w:bookmarkEnd w:id="416"/>
      <w:bookmarkStart w:id="417" w:name="_Toc184313275"/>
      <w:bookmarkEnd w:id="417"/>
      <w:bookmarkStart w:id="418" w:name="_Toc184313262"/>
      <w:bookmarkEnd w:id="418"/>
      <w:bookmarkStart w:id="419" w:name="_Toc184313242"/>
      <w:bookmarkEnd w:id="419"/>
      <w:bookmarkStart w:id="420" w:name="_Toc184314461"/>
      <w:bookmarkEnd w:id="420"/>
      <w:bookmarkStart w:id="421" w:name="_Toc184313267"/>
      <w:bookmarkEnd w:id="421"/>
      <w:bookmarkStart w:id="422" w:name="_Toc184312127"/>
      <w:bookmarkEnd w:id="422"/>
      <w:bookmarkStart w:id="423" w:name="_Toc184312125"/>
      <w:bookmarkEnd w:id="423"/>
      <w:bookmarkStart w:id="424" w:name="_Toc184313254"/>
      <w:bookmarkEnd w:id="424"/>
      <w:bookmarkStart w:id="425" w:name="_Toc184314464"/>
      <w:bookmarkEnd w:id="425"/>
      <w:bookmarkStart w:id="426" w:name="_Toc184310287"/>
      <w:bookmarkEnd w:id="426"/>
      <w:bookmarkStart w:id="427" w:name="_Toc184313296"/>
      <w:bookmarkEnd w:id="427"/>
      <w:bookmarkStart w:id="428" w:name="_Toc184312111"/>
      <w:bookmarkEnd w:id="428"/>
      <w:bookmarkStart w:id="429" w:name="_Toc184310298"/>
      <w:bookmarkEnd w:id="429"/>
      <w:r>
        <w:rPr>
          <w:rFonts w:hint="eastAsia" w:ascii="宋体" w:hAnsi="宋体" w:cs="宋体"/>
          <w:b/>
          <w:color w:val="000000" w:themeColor="text1"/>
          <w:sz w:val="36"/>
          <w:szCs w:val="20"/>
          <w14:textFill>
            <w14:solidFill>
              <w14:schemeClr w14:val="tx1"/>
            </w14:solidFill>
          </w14:textFill>
        </w:rPr>
        <w:t xml:space="preserve"> 评审办法</w:t>
      </w:r>
      <w:bookmarkEnd w:id="64"/>
    </w:p>
    <w:p w14:paraId="3B0945A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30" w:name="_Toc13029"/>
      <w:r>
        <w:rPr>
          <w:rFonts w:hint="eastAsia" w:ascii="宋体" w:hAnsi="宋体" w:cs="宋体"/>
          <w:b/>
          <w:color w:val="000000" w:themeColor="text1"/>
          <w:sz w:val="32"/>
          <w:szCs w:val="20"/>
          <w14:textFill>
            <w14:solidFill>
              <w14:schemeClr w14:val="tx1"/>
            </w14:solidFill>
          </w14:textFill>
        </w:rPr>
        <w:t>评审办法前附表</w:t>
      </w:r>
      <w:bookmarkEnd w:id="430"/>
    </w:p>
    <w:tbl>
      <w:tblPr>
        <w:tblStyle w:val="63"/>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5867"/>
        <w:gridCol w:w="805"/>
        <w:gridCol w:w="1073"/>
        <w:gridCol w:w="1487"/>
      </w:tblGrid>
      <w:tr w14:paraId="7C0A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15E4DB4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序号</w:t>
            </w:r>
          </w:p>
        </w:tc>
        <w:tc>
          <w:tcPr>
            <w:tcW w:w="2952" w:type="pct"/>
            <w:vAlign w:val="center"/>
          </w:tcPr>
          <w:p w14:paraId="66C1FB52">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评审标准</w:t>
            </w:r>
          </w:p>
        </w:tc>
        <w:tc>
          <w:tcPr>
            <w:tcW w:w="405" w:type="pct"/>
            <w:vAlign w:val="center"/>
          </w:tcPr>
          <w:p w14:paraId="466183FF">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权重</w:t>
            </w:r>
          </w:p>
        </w:tc>
        <w:tc>
          <w:tcPr>
            <w:tcW w:w="540" w:type="pct"/>
            <w:vAlign w:val="center"/>
          </w:tcPr>
          <w:p w14:paraId="1C0E7DD3">
            <w:pPr>
              <w:pStyle w:val="131"/>
              <w:spacing w:before="0" w:line="240" w:lineRule="auto"/>
              <w:ind w:firstLine="0" w:firstLineChars="0"/>
              <w:jc w:val="center"/>
              <w:rPr>
                <w:rFonts w:ascii="宋体" w:hAnsi="宋体" w:cs="宋体"/>
                <w:bCs/>
                <w:szCs w:val="24"/>
              </w:rPr>
            </w:pPr>
            <w:r>
              <w:rPr>
                <w:rFonts w:hint="eastAsia" w:ascii="宋体" w:hAnsi="宋体" w:cs="宋体"/>
                <w:bCs/>
                <w:szCs w:val="24"/>
              </w:rPr>
              <w:t>主观分/客观分属性</w:t>
            </w:r>
          </w:p>
        </w:tc>
        <w:tc>
          <w:tcPr>
            <w:tcW w:w="748" w:type="pct"/>
            <w:vAlign w:val="center"/>
          </w:tcPr>
          <w:p w14:paraId="0C51ECFE">
            <w:pPr>
              <w:pStyle w:val="131"/>
              <w:spacing w:before="0" w:line="240" w:lineRule="auto"/>
              <w:ind w:firstLine="0" w:firstLineChars="0"/>
              <w:jc w:val="center"/>
              <w:rPr>
                <w:rFonts w:ascii="宋体" w:hAnsi="宋体" w:cs="仿宋_GB2312"/>
                <w:szCs w:val="24"/>
              </w:rPr>
            </w:pPr>
            <w:r>
              <w:rPr>
                <w:rFonts w:hint="eastAsia" w:ascii="宋体" w:hAnsi="宋体" w:cs="宋体"/>
                <w:bCs/>
                <w:szCs w:val="24"/>
              </w:rPr>
              <w:t>磋商文件中评审标准相应的商务技术资料目录</w:t>
            </w:r>
            <w:r>
              <w:rPr>
                <w:rFonts w:hint="eastAsia" w:ascii="宋体" w:hAnsi="宋体" w:cs="宋体"/>
                <w:szCs w:val="24"/>
                <w:shd w:val="clear" w:color="auto" w:fill="FFFFFF"/>
              </w:rPr>
              <w:t>*</w:t>
            </w:r>
          </w:p>
        </w:tc>
      </w:tr>
      <w:tr w14:paraId="570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08887E69">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w:t>
            </w:r>
          </w:p>
        </w:tc>
        <w:tc>
          <w:tcPr>
            <w:tcW w:w="2952" w:type="pct"/>
            <w:vAlign w:val="center"/>
          </w:tcPr>
          <w:p w14:paraId="58673F5E">
            <w:pPr>
              <w:widowControl/>
              <w:textAlignment w:val="center"/>
              <w:rPr>
                <w:rFonts w:ascii="宋体" w:hAnsi="宋体" w:cs="宋体"/>
                <w:sz w:val="24"/>
              </w:rPr>
            </w:pPr>
            <w:r>
              <w:rPr>
                <w:rFonts w:hint="eastAsia" w:ascii="宋体" w:hAnsi="宋体" w:cs="宋体"/>
                <w:color w:val="000000" w:themeColor="text1"/>
                <w:sz w:val="24"/>
                <w14:textFill>
                  <w14:solidFill>
                    <w14:schemeClr w14:val="tx1"/>
                  </w14:solidFill>
                </w14:textFill>
              </w:rPr>
              <w:t>供应商自2022年1月1日以来（以合同签订时间为准）完成过类似项目业绩，每提供1份得0.5分，最高得1分。（同时提供施工合同及竣工验收报告</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件，未提供不得分）。</w:t>
            </w:r>
          </w:p>
        </w:tc>
        <w:tc>
          <w:tcPr>
            <w:tcW w:w="405" w:type="pct"/>
            <w:vAlign w:val="center"/>
          </w:tcPr>
          <w:p w14:paraId="1538D927">
            <w:pPr>
              <w:widowControl/>
              <w:jc w:val="center"/>
              <w:textAlignment w:val="center"/>
              <w:rPr>
                <w:rFonts w:ascii="宋体" w:hAnsi="宋体" w:cs="仿宋_GB2312"/>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2853A59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客观分</w:t>
            </w:r>
          </w:p>
        </w:tc>
        <w:tc>
          <w:tcPr>
            <w:tcW w:w="748" w:type="pct"/>
            <w:vAlign w:val="center"/>
          </w:tcPr>
          <w:p w14:paraId="78EAADF6">
            <w:pPr>
              <w:pStyle w:val="131"/>
              <w:spacing w:before="0" w:line="240" w:lineRule="auto"/>
              <w:ind w:firstLine="0" w:firstLineChars="0"/>
              <w:jc w:val="center"/>
              <w:rPr>
                <w:rFonts w:ascii="宋体" w:hAnsi="宋体" w:cs="仿宋_GB2312"/>
                <w:szCs w:val="24"/>
              </w:rPr>
            </w:pPr>
          </w:p>
        </w:tc>
      </w:tr>
      <w:tr w14:paraId="30AA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2DB99760">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2</w:t>
            </w:r>
          </w:p>
        </w:tc>
        <w:tc>
          <w:tcPr>
            <w:tcW w:w="2952" w:type="pct"/>
            <w:vAlign w:val="center"/>
          </w:tcPr>
          <w:p w14:paraId="093256FB">
            <w:pPr>
              <w:widowControl/>
              <w:textAlignment w:val="center"/>
              <w:rPr>
                <w:rFonts w:hint="eastAsia" w:eastAsia="宋体"/>
                <w:lang w:eastAsia="zh-CN"/>
              </w:rPr>
            </w:pPr>
            <w:r>
              <w:rPr>
                <w:rFonts w:hint="eastAsia" w:ascii="宋体" w:hAnsi="宋体" w:cs="宋体"/>
                <w:color w:val="000000" w:themeColor="text1"/>
                <w:kern w:val="0"/>
                <w:sz w:val="24"/>
                <w14:textFill>
                  <w14:solidFill>
                    <w14:schemeClr w14:val="tx1"/>
                  </w14:solidFill>
                </w14:textFill>
              </w:rPr>
              <w:t>供应商具有有效的质量管理体系认证、环境管理体系认证、职业健康安全体系认证证书，每提供1个得1分，最高得</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b/>
                <w:bCs/>
                <w:color w:val="000000" w:themeColor="text1"/>
                <w:kern w:val="0"/>
                <w:sz w:val="24"/>
                <w14:textFill>
                  <w14:solidFill>
                    <w14:schemeClr w14:val="tx1"/>
                  </w14:solidFill>
                </w14:textFill>
              </w:rPr>
              <w:t>注：需提供相关认证证书扫描件及www.cnca.gov.cn“认证结果”查询截图并加盖公章，否则不得分。</w:t>
            </w:r>
          </w:p>
        </w:tc>
        <w:tc>
          <w:tcPr>
            <w:tcW w:w="405" w:type="pct"/>
            <w:vAlign w:val="center"/>
          </w:tcPr>
          <w:p w14:paraId="3D4A510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17031B69">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7EC7E18E">
            <w:pPr>
              <w:pStyle w:val="131"/>
              <w:spacing w:before="0" w:line="240" w:lineRule="auto"/>
              <w:ind w:firstLine="0" w:firstLineChars="0"/>
              <w:jc w:val="center"/>
              <w:rPr>
                <w:rFonts w:ascii="宋体" w:hAnsi="宋体" w:cs="仿宋_GB2312"/>
                <w:szCs w:val="24"/>
              </w:rPr>
            </w:pPr>
          </w:p>
        </w:tc>
      </w:tr>
      <w:tr w14:paraId="41EC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212C309D">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w:t>
            </w:r>
          </w:p>
        </w:tc>
        <w:tc>
          <w:tcPr>
            <w:tcW w:w="2952" w:type="pct"/>
            <w:vAlign w:val="center"/>
          </w:tcPr>
          <w:p w14:paraId="3DFF1CB6">
            <w:pPr>
              <w:widowControl/>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不符合（负偏离）采购需求中标注“▲”条款（不可偏离）的响应无效；低于采购需求（负偏离）的每项扣1分</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扣完为止。</w:t>
            </w:r>
          </w:p>
        </w:tc>
        <w:tc>
          <w:tcPr>
            <w:tcW w:w="405" w:type="pct"/>
            <w:vAlign w:val="center"/>
          </w:tcPr>
          <w:p w14:paraId="3F1FCF8F">
            <w:pPr>
              <w:widowControl/>
              <w:jc w:val="center"/>
              <w:textAlignment w:val="center"/>
              <w:rPr>
                <w:rFonts w:hint="default" w:ascii="宋体" w:hAnsi="宋体" w:eastAsia="宋体" w:cs="仿宋_GB2312"/>
                <w:color w:val="000000"/>
                <w:sz w:val="24"/>
                <w:lang w:val="en-US" w:eastAsia="zh-CN"/>
              </w:rPr>
            </w:pPr>
            <w:r>
              <w:rPr>
                <w:rFonts w:hint="eastAsia" w:ascii="宋体" w:hAnsi="宋体" w:cs="宋体"/>
                <w:color w:val="000000" w:themeColor="text1"/>
                <w:kern w:val="0"/>
                <w:sz w:val="24"/>
                <w:lang w:val="en-US" w:eastAsia="zh-CN" w:bidi="ar"/>
                <w14:textFill>
                  <w14:solidFill>
                    <w14:schemeClr w14:val="tx1"/>
                  </w14:solidFill>
                </w14:textFill>
              </w:rPr>
              <w:t>12</w:t>
            </w:r>
          </w:p>
        </w:tc>
        <w:tc>
          <w:tcPr>
            <w:tcW w:w="540" w:type="pct"/>
            <w:vAlign w:val="center"/>
          </w:tcPr>
          <w:p w14:paraId="6176895C">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495876C1">
            <w:pPr>
              <w:pStyle w:val="131"/>
              <w:spacing w:before="0" w:line="240" w:lineRule="auto"/>
              <w:ind w:firstLine="0" w:firstLineChars="0"/>
              <w:jc w:val="center"/>
              <w:rPr>
                <w:rFonts w:ascii="宋体" w:hAnsi="宋体" w:cs="仿宋_GB2312"/>
                <w:szCs w:val="24"/>
              </w:rPr>
            </w:pPr>
          </w:p>
        </w:tc>
      </w:tr>
      <w:tr w14:paraId="0B1E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406B34F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4</w:t>
            </w:r>
          </w:p>
        </w:tc>
        <w:tc>
          <w:tcPr>
            <w:tcW w:w="2952" w:type="pct"/>
            <w:vAlign w:val="center"/>
          </w:tcPr>
          <w:p w14:paraId="2BA7839A">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供应商提出合理的项目整体实施及进度方案，阐明实施节点以及各阶段工作内容，含有供货进度实施、工期控制及保障措施方案。方案内容完整、清晰、明确，且具备可行性。</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1D4386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06BFC52B">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38121D67">
            <w:pPr>
              <w:pStyle w:val="131"/>
              <w:spacing w:before="0" w:line="240" w:lineRule="auto"/>
              <w:ind w:firstLine="0" w:firstLineChars="0"/>
              <w:jc w:val="center"/>
              <w:rPr>
                <w:rFonts w:ascii="宋体" w:hAnsi="宋体" w:cs="仿宋_GB2312"/>
                <w:szCs w:val="24"/>
              </w:rPr>
            </w:pPr>
          </w:p>
        </w:tc>
      </w:tr>
      <w:tr w14:paraId="4832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2AA7FBD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5</w:t>
            </w:r>
          </w:p>
        </w:tc>
        <w:tc>
          <w:tcPr>
            <w:tcW w:w="2952" w:type="pct"/>
            <w:vAlign w:val="center"/>
          </w:tcPr>
          <w:p w14:paraId="1EA9B6B6">
            <w:pPr>
              <w:widowControl/>
              <w:textAlignment w:val="top"/>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各阶段劳动力安排计划及保证措施，内容完善、合理、可行。</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AE37569">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5E8B341A">
            <w:pPr>
              <w:jc w:val="center"/>
              <w:rPr>
                <w:rFonts w:ascii="宋体" w:hAnsi="宋体" w:cs="仿宋_GB2312"/>
                <w:sz w:val="24"/>
              </w:rPr>
            </w:pPr>
            <w:r>
              <w:rPr>
                <w:rFonts w:hint="eastAsia" w:ascii="宋体" w:hAnsi="宋体" w:cs="宋体"/>
                <w:bCs/>
                <w:sz w:val="24"/>
              </w:rPr>
              <w:t>主观分</w:t>
            </w:r>
          </w:p>
        </w:tc>
        <w:tc>
          <w:tcPr>
            <w:tcW w:w="748" w:type="pct"/>
            <w:vAlign w:val="center"/>
          </w:tcPr>
          <w:p w14:paraId="2E34C761">
            <w:pPr>
              <w:pStyle w:val="131"/>
              <w:spacing w:before="0" w:line="240" w:lineRule="auto"/>
              <w:ind w:firstLine="0" w:firstLineChars="0"/>
              <w:jc w:val="center"/>
              <w:rPr>
                <w:rFonts w:ascii="宋体" w:hAnsi="宋体" w:cs="仿宋_GB2312"/>
                <w:szCs w:val="24"/>
              </w:rPr>
            </w:pPr>
          </w:p>
        </w:tc>
      </w:tr>
      <w:tr w14:paraId="11F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5A43C18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6</w:t>
            </w:r>
          </w:p>
        </w:tc>
        <w:tc>
          <w:tcPr>
            <w:tcW w:w="2952" w:type="pct"/>
            <w:vAlign w:val="center"/>
          </w:tcPr>
          <w:p w14:paraId="724FE1B6">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供应商根据自身对本项目需求理解分析的结论，结合自身经验，对本项目的实施重点和难点进行阐述和说明。项目实施重点和难点阐述完整、全面且具有合理性。</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028D17DB">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72A79A8D">
            <w:pPr>
              <w:jc w:val="center"/>
              <w:rPr>
                <w:rFonts w:ascii="宋体" w:hAnsi="宋体" w:cs="仿宋_GB2312"/>
                <w:sz w:val="24"/>
              </w:rPr>
            </w:pPr>
            <w:r>
              <w:rPr>
                <w:rFonts w:hint="eastAsia" w:ascii="宋体" w:hAnsi="宋体" w:cs="宋体"/>
                <w:bCs/>
                <w:sz w:val="24"/>
              </w:rPr>
              <w:t>主观分</w:t>
            </w:r>
          </w:p>
        </w:tc>
        <w:tc>
          <w:tcPr>
            <w:tcW w:w="748" w:type="pct"/>
            <w:vAlign w:val="center"/>
          </w:tcPr>
          <w:p w14:paraId="375F9EEA">
            <w:pPr>
              <w:pStyle w:val="131"/>
              <w:spacing w:before="0" w:line="240" w:lineRule="auto"/>
              <w:ind w:firstLine="0" w:firstLineChars="0"/>
              <w:jc w:val="center"/>
              <w:rPr>
                <w:rFonts w:ascii="宋体" w:hAnsi="宋体" w:cs="仿宋_GB2312"/>
                <w:szCs w:val="24"/>
              </w:rPr>
            </w:pPr>
          </w:p>
        </w:tc>
      </w:tr>
      <w:tr w14:paraId="5E43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1C3A3409">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7</w:t>
            </w:r>
          </w:p>
        </w:tc>
        <w:tc>
          <w:tcPr>
            <w:tcW w:w="2952" w:type="pct"/>
            <w:vAlign w:val="center"/>
          </w:tcPr>
          <w:p w14:paraId="1D60E54D">
            <w:pPr>
              <w:widowControl/>
              <w:textAlignment w:val="top"/>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质量管理和保障措施，主要工序质量技术保证措施及手段，自控体系完整，能有效保证技术质量，达到承诺的质量标准。严禁使用（利旧）其他工程的材料的相关承诺及措施，内容完善、合理、可行。</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339CD318">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46C08997">
            <w:pPr>
              <w:jc w:val="center"/>
              <w:rPr>
                <w:rFonts w:ascii="宋体" w:hAnsi="宋体" w:cs="仿宋_GB2312"/>
                <w:sz w:val="24"/>
              </w:rPr>
            </w:pPr>
            <w:r>
              <w:rPr>
                <w:rFonts w:hint="eastAsia" w:ascii="宋体" w:hAnsi="宋体" w:cs="宋体"/>
                <w:bCs/>
                <w:sz w:val="24"/>
              </w:rPr>
              <w:t>主观分</w:t>
            </w:r>
          </w:p>
        </w:tc>
        <w:tc>
          <w:tcPr>
            <w:tcW w:w="748" w:type="pct"/>
            <w:vAlign w:val="center"/>
          </w:tcPr>
          <w:p w14:paraId="65636675">
            <w:pPr>
              <w:pStyle w:val="131"/>
              <w:spacing w:before="0" w:line="240" w:lineRule="auto"/>
              <w:ind w:firstLine="0" w:firstLineChars="0"/>
              <w:jc w:val="center"/>
              <w:rPr>
                <w:rFonts w:ascii="宋体" w:hAnsi="宋体" w:cs="仿宋_GB2312"/>
                <w:szCs w:val="24"/>
              </w:rPr>
            </w:pPr>
          </w:p>
        </w:tc>
      </w:tr>
      <w:tr w14:paraId="6932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592617E7">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8</w:t>
            </w:r>
          </w:p>
        </w:tc>
        <w:tc>
          <w:tcPr>
            <w:tcW w:w="2952" w:type="pct"/>
            <w:vAlign w:val="center"/>
          </w:tcPr>
          <w:p w14:paraId="698F0684">
            <w:pPr>
              <w:widowControl/>
              <w:textAlignment w:val="top"/>
              <w:rPr>
                <w:rFonts w:ascii="宋体" w:hAnsi="宋体" w:cs="宋体"/>
                <w:color w:val="000000"/>
                <w:sz w:val="24"/>
              </w:rPr>
            </w:pPr>
            <w:r>
              <w:rPr>
                <w:rFonts w:hint="eastAsia" w:ascii="宋体" w:hAnsi="宋体" w:cs="宋体"/>
                <w:color w:val="000000"/>
                <w:sz w:val="24"/>
              </w:rPr>
              <w:t>供应商根据设备清单及现场情况提供设备整体设计点位表，及整体的网络架构图，内容完善、合理、可行。（评审分值0,1,2,3</w:t>
            </w:r>
            <w:r>
              <w:rPr>
                <w:rFonts w:hint="eastAsia" w:ascii="宋体" w:hAnsi="宋体" w:cs="宋体"/>
                <w:color w:val="000000"/>
                <w:sz w:val="24"/>
                <w:lang w:val="en-US" w:eastAsia="zh-CN"/>
              </w:rPr>
              <w:t>,4,5</w:t>
            </w:r>
            <w:r>
              <w:rPr>
                <w:rFonts w:hint="eastAsia" w:ascii="宋体" w:hAnsi="宋体" w:cs="宋体"/>
                <w:color w:val="000000"/>
                <w:sz w:val="24"/>
              </w:rPr>
              <w:t>）</w:t>
            </w:r>
          </w:p>
        </w:tc>
        <w:tc>
          <w:tcPr>
            <w:tcW w:w="405" w:type="pct"/>
            <w:vAlign w:val="center"/>
          </w:tcPr>
          <w:p w14:paraId="28DB33D4">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5F96EAF0">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24CC8E8C">
            <w:pPr>
              <w:pStyle w:val="131"/>
              <w:spacing w:before="0" w:line="240" w:lineRule="auto"/>
              <w:ind w:firstLine="0" w:firstLineChars="0"/>
              <w:jc w:val="center"/>
              <w:rPr>
                <w:rFonts w:ascii="宋体" w:hAnsi="宋体" w:cs="仿宋_GB2312"/>
                <w:szCs w:val="24"/>
              </w:rPr>
            </w:pPr>
          </w:p>
        </w:tc>
      </w:tr>
      <w:tr w14:paraId="1FE1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3EBC962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9</w:t>
            </w:r>
          </w:p>
        </w:tc>
        <w:tc>
          <w:tcPr>
            <w:tcW w:w="2952" w:type="pct"/>
            <w:vAlign w:val="center"/>
          </w:tcPr>
          <w:p w14:paraId="4FB61977">
            <w:pPr>
              <w:widowControl/>
              <w:textAlignment w:val="top"/>
              <w:rPr>
                <w:rFonts w:ascii="宋体" w:hAnsi="宋体" w:cs="宋体"/>
                <w:color w:val="000000"/>
                <w:sz w:val="24"/>
              </w:rPr>
            </w:pPr>
            <w:r>
              <w:rPr>
                <w:rFonts w:hint="eastAsia" w:ascii="宋体" w:hAnsi="宋体" w:cs="宋体"/>
                <w:color w:val="000000"/>
                <w:sz w:val="24"/>
              </w:rPr>
              <w:t>供应商提供原有安防管理平台现状分析、对接方案及对接承诺函</w:t>
            </w:r>
            <w:r>
              <w:rPr>
                <w:rFonts w:hint="eastAsia" w:ascii="宋体" w:hAnsi="宋体" w:cs="宋体"/>
                <w:color w:val="000000"/>
                <w:sz w:val="24"/>
                <w:lang w:val="en-US" w:eastAsia="zh-CN"/>
              </w:rPr>
              <w:t>,</w:t>
            </w:r>
            <w:r>
              <w:rPr>
                <w:rFonts w:hint="eastAsia" w:ascii="宋体" w:hAnsi="宋体" w:cs="宋体"/>
                <w:color w:val="000000"/>
                <w:sz w:val="24"/>
              </w:rPr>
              <w:t>内容完善、合理、可行。（评审分值0,1,2,3</w:t>
            </w:r>
            <w:r>
              <w:rPr>
                <w:rFonts w:hint="eastAsia" w:ascii="宋体" w:hAnsi="宋体" w:cs="宋体"/>
                <w:color w:val="000000"/>
                <w:sz w:val="24"/>
                <w:lang w:val="en-US" w:eastAsia="zh-CN"/>
              </w:rPr>
              <w:t>,4,5</w:t>
            </w:r>
            <w:r>
              <w:rPr>
                <w:rFonts w:hint="eastAsia" w:ascii="宋体" w:hAnsi="宋体" w:cs="宋体"/>
                <w:color w:val="000000"/>
                <w:sz w:val="24"/>
              </w:rPr>
              <w:t>）</w:t>
            </w:r>
          </w:p>
        </w:tc>
        <w:tc>
          <w:tcPr>
            <w:tcW w:w="405" w:type="pct"/>
            <w:vAlign w:val="center"/>
          </w:tcPr>
          <w:p w14:paraId="2A1425C3">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6C80490C">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F194782">
            <w:pPr>
              <w:pStyle w:val="131"/>
              <w:spacing w:before="0" w:line="240" w:lineRule="auto"/>
              <w:ind w:firstLine="0" w:firstLineChars="0"/>
              <w:jc w:val="center"/>
              <w:rPr>
                <w:rFonts w:ascii="宋体" w:hAnsi="宋体" w:cs="仿宋_GB2312"/>
                <w:szCs w:val="24"/>
              </w:rPr>
            </w:pPr>
          </w:p>
        </w:tc>
      </w:tr>
      <w:tr w14:paraId="4C1B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181F716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10</w:t>
            </w:r>
          </w:p>
        </w:tc>
        <w:tc>
          <w:tcPr>
            <w:tcW w:w="2952" w:type="pct"/>
            <w:vAlign w:val="center"/>
          </w:tcPr>
          <w:p w14:paraId="38A0CAD4">
            <w:pPr>
              <w:widowControl/>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拟投入本次项目的项目负责人：包括①工作履历、技术能力②职称、类似项目经验等：</w:t>
            </w:r>
          </w:p>
          <w:p w14:paraId="10DA4EF2">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根据拟投入本次项目负责人综合实力情况进行评审（评审分值0,1,2,3），未提供不得分 （提供履历表和相关资料、证书、供应商为其缴纳的社保）</w:t>
            </w:r>
          </w:p>
        </w:tc>
        <w:tc>
          <w:tcPr>
            <w:tcW w:w="405" w:type="pct"/>
            <w:vAlign w:val="center"/>
          </w:tcPr>
          <w:p w14:paraId="363082EB">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14437216">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0D077011">
            <w:pPr>
              <w:pStyle w:val="131"/>
              <w:spacing w:before="0" w:line="240" w:lineRule="auto"/>
              <w:ind w:firstLine="0" w:firstLineChars="0"/>
              <w:jc w:val="center"/>
              <w:rPr>
                <w:rFonts w:ascii="宋体" w:hAnsi="宋体" w:cs="仿宋_GB2312"/>
                <w:szCs w:val="24"/>
              </w:rPr>
            </w:pPr>
          </w:p>
        </w:tc>
      </w:tr>
      <w:tr w14:paraId="7196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0EFF29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11</w:t>
            </w:r>
          </w:p>
        </w:tc>
        <w:tc>
          <w:tcPr>
            <w:tcW w:w="2952" w:type="pct"/>
            <w:vAlign w:val="center"/>
          </w:tcPr>
          <w:p w14:paraId="173D4090">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项目组实施人员：包括①项目小组整体人员的技术能力、②专业分布、类似项目经验等情况；根据拟投入本次项目项目组实施人员配置合理性，人员经验、技术能力等综合实力情况进行评审（评审分值0,1,2,3</w:t>
            </w:r>
            <w:r>
              <w:rPr>
                <w:rFonts w:hint="eastAsia" w:ascii="宋体" w:hAnsi="宋体" w:cs="宋体"/>
                <w:color w:val="000000" w:themeColor="text1"/>
                <w:kern w:val="0"/>
                <w:sz w:val="24"/>
                <w:lang w:val="en-US" w:eastAsia="zh-CN" w:bidi="ar"/>
                <w14:textFill>
                  <w14:solidFill>
                    <w14:schemeClr w14:val="tx1"/>
                  </w14:solidFill>
                </w14:textFill>
              </w:rPr>
              <w:t>,4,5</w:t>
            </w:r>
            <w:r>
              <w:rPr>
                <w:rFonts w:hint="eastAsia" w:ascii="宋体" w:hAnsi="宋体" w:cs="宋体"/>
                <w:color w:val="000000" w:themeColor="text1"/>
                <w:kern w:val="0"/>
                <w:sz w:val="24"/>
                <w:lang w:bidi="ar"/>
                <w14:textFill>
                  <w14:solidFill>
                    <w14:schemeClr w14:val="tx1"/>
                  </w14:solidFill>
                </w14:textFill>
              </w:rPr>
              <w:t>），未提供不得分 （提供履历表和相关资料、证书、供应商为其缴纳的社保）</w:t>
            </w:r>
          </w:p>
        </w:tc>
        <w:tc>
          <w:tcPr>
            <w:tcW w:w="405" w:type="pct"/>
            <w:vAlign w:val="center"/>
          </w:tcPr>
          <w:p w14:paraId="3D95FF45">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387ED049">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42529A1">
            <w:pPr>
              <w:pStyle w:val="131"/>
              <w:spacing w:before="0" w:line="240" w:lineRule="auto"/>
              <w:ind w:firstLine="0" w:firstLineChars="0"/>
              <w:jc w:val="center"/>
              <w:rPr>
                <w:rFonts w:ascii="宋体" w:hAnsi="宋体" w:cs="仿宋_GB2312"/>
                <w:szCs w:val="24"/>
              </w:rPr>
            </w:pPr>
          </w:p>
        </w:tc>
      </w:tr>
      <w:tr w14:paraId="2582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6BBF755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12</w:t>
            </w:r>
          </w:p>
        </w:tc>
        <w:tc>
          <w:tcPr>
            <w:tcW w:w="2952" w:type="pct"/>
            <w:vAlign w:val="center"/>
          </w:tcPr>
          <w:p w14:paraId="1C3DBFB9">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供应商售后服务方案措施力度和可行性：根据供应商服务内容、服务人员配备、服务网点情况、服务响应时效等情况评分。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4EBB4D0">
            <w:pPr>
              <w:widowControl/>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5</w:t>
            </w:r>
          </w:p>
        </w:tc>
        <w:tc>
          <w:tcPr>
            <w:tcW w:w="540" w:type="pct"/>
            <w:vAlign w:val="center"/>
          </w:tcPr>
          <w:p w14:paraId="1430494A">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56D6C0D6">
            <w:pPr>
              <w:pStyle w:val="131"/>
              <w:spacing w:before="0" w:line="240" w:lineRule="auto"/>
              <w:ind w:firstLine="0" w:firstLineChars="0"/>
              <w:jc w:val="center"/>
              <w:rPr>
                <w:rFonts w:ascii="宋体" w:hAnsi="宋体" w:cs="仿宋_GB2312"/>
                <w:szCs w:val="24"/>
              </w:rPr>
            </w:pPr>
          </w:p>
        </w:tc>
      </w:tr>
      <w:tr w14:paraId="6B13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3088D9E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13</w:t>
            </w:r>
          </w:p>
        </w:tc>
        <w:tc>
          <w:tcPr>
            <w:tcW w:w="2952" w:type="pct"/>
            <w:vAlign w:val="center"/>
          </w:tcPr>
          <w:p w14:paraId="72EDD2EF">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供应商具备较强的应急保障能力，可提供7*24小时的保障服务，根据服务人员响应到场的时效和人员数量、技术能力、应急保障车辆、应急服务保障经验评分。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w:t>
            </w:r>
          </w:p>
        </w:tc>
        <w:tc>
          <w:tcPr>
            <w:tcW w:w="405" w:type="pct"/>
            <w:vAlign w:val="center"/>
          </w:tcPr>
          <w:p w14:paraId="347C29FD">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2FC12E87">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168DC33">
            <w:pPr>
              <w:pStyle w:val="131"/>
              <w:spacing w:before="0" w:line="240" w:lineRule="auto"/>
              <w:ind w:firstLine="0" w:firstLineChars="0"/>
              <w:jc w:val="center"/>
              <w:rPr>
                <w:rFonts w:ascii="宋体" w:hAnsi="宋体" w:cs="仿宋_GB2312"/>
                <w:szCs w:val="24"/>
              </w:rPr>
            </w:pPr>
          </w:p>
        </w:tc>
      </w:tr>
      <w:tr w14:paraId="6EF6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3CD82E6E">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14</w:t>
            </w:r>
          </w:p>
        </w:tc>
        <w:tc>
          <w:tcPr>
            <w:tcW w:w="2952" w:type="pct"/>
            <w:vAlign w:val="center"/>
          </w:tcPr>
          <w:p w14:paraId="1C74B7A9">
            <w:pPr>
              <w:widowControl/>
              <w:textAlignment w:val="top"/>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培训计划（包括培训流程、培训方式、培训对象、培训内容、培训日程等））</w:t>
            </w:r>
            <w:r>
              <w:rPr>
                <w:rFonts w:hint="eastAsia" w:ascii="宋体" w:hAnsi="宋体" w:cs="宋体"/>
                <w:color w:val="000000" w:themeColor="text1"/>
                <w:kern w:val="0"/>
                <w:sz w:val="24"/>
                <w:lang w:val="en-US" w:eastAsia="zh-CN" w:bidi="ar"/>
                <w14:textFill>
                  <w14:solidFill>
                    <w14:schemeClr w14:val="tx1"/>
                  </w14:solidFill>
                </w14:textFill>
              </w:rPr>
              <w:t>,</w:t>
            </w:r>
            <w:r>
              <w:rPr>
                <w:rFonts w:hint="eastAsia" w:ascii="宋体" w:hAnsi="宋体" w:cs="宋体"/>
                <w:color w:val="000000"/>
                <w:sz w:val="24"/>
              </w:rPr>
              <w:t>内容完善、</w:t>
            </w:r>
            <w:r>
              <w:rPr>
                <w:rFonts w:hint="eastAsia" w:ascii="宋体" w:hAnsi="宋体" w:cs="宋体"/>
                <w:color w:val="000000"/>
                <w:sz w:val="24"/>
                <w:lang w:val="en-US" w:eastAsia="zh-CN"/>
              </w:rPr>
              <w:t>全面、</w:t>
            </w:r>
            <w:r>
              <w:rPr>
                <w:rFonts w:hint="eastAsia" w:ascii="宋体" w:hAnsi="宋体" w:cs="宋体"/>
                <w:color w:val="000000"/>
                <w:sz w:val="24"/>
              </w:rPr>
              <w:t>合理、可行</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（评审分值0,1,2</w:t>
            </w:r>
            <w:r>
              <w:rPr>
                <w:rFonts w:hint="eastAsia" w:ascii="宋体" w:hAnsi="宋体" w:cs="宋体"/>
                <w:color w:val="000000" w:themeColor="text1"/>
                <w:sz w:val="24"/>
                <w:lang w:val="en-US" w:eastAsia="zh-CN"/>
                <w14:textFill>
                  <w14:solidFill>
                    <w14:schemeClr w14:val="tx1"/>
                  </w14:solidFill>
                </w14:textFill>
              </w:rPr>
              <w:t>,3,4,5</w:t>
            </w:r>
            <w:r>
              <w:rPr>
                <w:rFonts w:hint="eastAsia" w:ascii="宋体" w:hAnsi="宋体" w:cs="宋体"/>
                <w:color w:val="000000" w:themeColor="text1"/>
                <w:sz w:val="24"/>
                <w14:textFill>
                  <w14:solidFill>
                    <w14:schemeClr w14:val="tx1"/>
                  </w14:solidFill>
                </w14:textFill>
              </w:rPr>
              <w:t>）</w:t>
            </w:r>
          </w:p>
        </w:tc>
        <w:tc>
          <w:tcPr>
            <w:tcW w:w="405" w:type="pct"/>
            <w:vAlign w:val="center"/>
          </w:tcPr>
          <w:p w14:paraId="113CBA56">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6A9FB565">
            <w:pPr>
              <w:jc w:val="center"/>
              <w:rPr>
                <w:rFonts w:ascii="宋体" w:hAnsi="宋体" w:cs="宋体"/>
                <w:bCs/>
                <w:sz w:val="24"/>
              </w:rPr>
            </w:pPr>
            <w:r>
              <w:rPr>
                <w:rFonts w:hint="eastAsia" w:ascii="宋体" w:hAnsi="宋体" w:cs="宋体"/>
                <w:bCs/>
                <w:sz w:val="24"/>
              </w:rPr>
              <w:t>主观分</w:t>
            </w:r>
          </w:p>
        </w:tc>
        <w:tc>
          <w:tcPr>
            <w:tcW w:w="748" w:type="pct"/>
            <w:vAlign w:val="center"/>
          </w:tcPr>
          <w:p w14:paraId="39F7021F">
            <w:pPr>
              <w:pStyle w:val="131"/>
              <w:spacing w:before="0" w:line="240" w:lineRule="auto"/>
              <w:ind w:firstLine="0" w:firstLineChars="0"/>
              <w:jc w:val="center"/>
              <w:rPr>
                <w:rFonts w:ascii="宋体" w:hAnsi="宋体" w:cs="仿宋_GB2312"/>
                <w:szCs w:val="24"/>
              </w:rPr>
            </w:pPr>
          </w:p>
        </w:tc>
      </w:tr>
      <w:tr w14:paraId="160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756AC57A">
            <w:pPr>
              <w:pStyle w:val="131"/>
              <w:spacing w:before="0" w:line="240" w:lineRule="auto"/>
              <w:ind w:firstLine="0" w:firstLineChars="0"/>
              <w:jc w:val="center"/>
              <w:rPr>
                <w:rFonts w:hint="eastAsia" w:ascii="宋体" w:hAnsi="宋体" w:eastAsia="宋体" w:cs="仿宋_GB2312"/>
                <w:szCs w:val="24"/>
                <w:lang w:eastAsia="zh-CN"/>
              </w:rPr>
            </w:pPr>
            <w:r>
              <w:rPr>
                <w:rFonts w:hint="eastAsia" w:ascii="宋体" w:hAnsi="宋体" w:cs="仿宋_GB2312"/>
                <w:szCs w:val="24"/>
              </w:rPr>
              <w:t>1</w:t>
            </w:r>
            <w:r>
              <w:rPr>
                <w:rFonts w:hint="eastAsia" w:ascii="宋体" w:hAnsi="宋体" w:cs="仿宋_GB2312"/>
                <w:szCs w:val="24"/>
                <w:lang w:val="en-US" w:eastAsia="zh-CN"/>
              </w:rPr>
              <w:t>5</w:t>
            </w:r>
          </w:p>
        </w:tc>
        <w:tc>
          <w:tcPr>
            <w:tcW w:w="2952" w:type="pct"/>
            <w:vAlign w:val="center"/>
          </w:tcPr>
          <w:p w14:paraId="1E5E49A9">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1.所投产品取得有效的节能产品认证证书的得0.5分（列入强制采购节能产品清单目录的产品不计分）；</w:t>
            </w:r>
          </w:p>
          <w:p w14:paraId="671356BA">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2.所投产品取得有效的环境标志产品认证证书的得0.5分。</w:t>
            </w:r>
          </w:p>
          <w:p w14:paraId="5D6D9F09">
            <w:pPr>
              <w:widowControl/>
              <w:textAlignment w:val="top"/>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“证明材料：提供国家确定的认证机构出具的、处于有效期之内的认证证书</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件加盖公章。</w:t>
            </w:r>
          </w:p>
        </w:tc>
        <w:tc>
          <w:tcPr>
            <w:tcW w:w="405" w:type="pct"/>
            <w:vAlign w:val="center"/>
          </w:tcPr>
          <w:p w14:paraId="63F69442">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209FF6CF">
            <w:pPr>
              <w:jc w:val="center"/>
              <w:rPr>
                <w:rFonts w:ascii="宋体" w:hAnsi="宋体" w:cs="宋体"/>
                <w:bCs/>
                <w:sz w:val="24"/>
              </w:rPr>
            </w:pPr>
            <w:r>
              <w:rPr>
                <w:rFonts w:hint="eastAsia" w:ascii="宋体" w:hAnsi="宋体" w:cs="宋体"/>
                <w:bCs/>
                <w:sz w:val="24"/>
              </w:rPr>
              <w:t>客观分</w:t>
            </w:r>
          </w:p>
        </w:tc>
        <w:tc>
          <w:tcPr>
            <w:tcW w:w="748" w:type="pct"/>
            <w:vAlign w:val="center"/>
          </w:tcPr>
          <w:p w14:paraId="496F35AD">
            <w:pPr>
              <w:pStyle w:val="131"/>
              <w:spacing w:before="0" w:line="240" w:lineRule="auto"/>
              <w:ind w:firstLine="0" w:firstLineChars="0"/>
              <w:jc w:val="center"/>
              <w:rPr>
                <w:rFonts w:ascii="宋体" w:hAnsi="宋体" w:cs="仿宋_GB2312"/>
                <w:szCs w:val="24"/>
              </w:rPr>
            </w:pPr>
          </w:p>
        </w:tc>
      </w:tr>
      <w:tr w14:paraId="7B54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6908B0D9">
            <w:pPr>
              <w:pStyle w:val="131"/>
              <w:spacing w:before="0" w:line="240" w:lineRule="auto"/>
              <w:ind w:firstLine="0" w:firstLineChars="0"/>
              <w:jc w:val="center"/>
              <w:rPr>
                <w:rFonts w:hint="eastAsia" w:ascii="宋体" w:hAnsi="宋体" w:eastAsia="宋体" w:cs="仿宋_GB2312"/>
                <w:szCs w:val="24"/>
                <w:lang w:eastAsia="zh-CN"/>
              </w:rPr>
            </w:pPr>
            <w:r>
              <w:rPr>
                <w:rFonts w:hint="eastAsia" w:ascii="宋体" w:hAnsi="宋体" w:cs="仿宋_GB2312"/>
                <w:szCs w:val="24"/>
              </w:rPr>
              <w:t>1</w:t>
            </w:r>
            <w:r>
              <w:rPr>
                <w:rFonts w:hint="eastAsia" w:ascii="宋体" w:hAnsi="宋体" w:cs="仿宋_GB2312"/>
                <w:szCs w:val="24"/>
                <w:lang w:val="en-US" w:eastAsia="zh-CN"/>
              </w:rPr>
              <w:t>6</w:t>
            </w:r>
          </w:p>
        </w:tc>
        <w:tc>
          <w:tcPr>
            <w:tcW w:w="2952" w:type="pct"/>
            <w:vAlign w:val="center"/>
          </w:tcPr>
          <w:p w14:paraId="60B94816">
            <w:pPr>
              <w:jc w:val="left"/>
              <w:outlineLvl w:val="0"/>
            </w:pPr>
            <w:bookmarkStart w:id="431" w:name="_Toc29580"/>
            <w:bookmarkStart w:id="432" w:name="_Toc12845"/>
            <w:r>
              <w:rPr>
                <w:rFonts w:hint="eastAsia" w:ascii="宋体" w:hAnsi="宋体" w:cs="宋体"/>
                <w:sz w:val="24"/>
              </w:rPr>
              <w:t>有效最后报价的最低价作为评审基准价，其最低报价为满分；按［最后报价得分=（评审基准价/最后报价）*权重］的计算公式计算。</w:t>
            </w:r>
            <w:bookmarkEnd w:id="431"/>
            <w:bookmarkEnd w:id="432"/>
          </w:p>
        </w:tc>
        <w:tc>
          <w:tcPr>
            <w:tcW w:w="405" w:type="pct"/>
            <w:vAlign w:val="center"/>
          </w:tcPr>
          <w:p w14:paraId="029E1B13">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30</w:t>
            </w:r>
          </w:p>
        </w:tc>
        <w:tc>
          <w:tcPr>
            <w:tcW w:w="540" w:type="pct"/>
            <w:vAlign w:val="center"/>
          </w:tcPr>
          <w:p w14:paraId="35C06C41">
            <w:pPr>
              <w:pStyle w:val="131"/>
              <w:spacing w:before="0" w:line="240" w:lineRule="auto"/>
              <w:ind w:firstLine="0" w:firstLineChars="0"/>
              <w:jc w:val="center"/>
              <w:rPr>
                <w:rFonts w:ascii="宋体" w:hAnsi="宋体" w:cs="仿宋_GB2312"/>
                <w:szCs w:val="24"/>
              </w:rPr>
            </w:pPr>
            <w:r>
              <w:rPr>
                <w:rFonts w:hint="eastAsia" w:ascii="宋体" w:hAnsi="宋体" w:cs="宋体"/>
                <w:bCs/>
                <w:sz w:val="24"/>
              </w:rPr>
              <w:t>客观分</w:t>
            </w:r>
          </w:p>
        </w:tc>
        <w:tc>
          <w:tcPr>
            <w:tcW w:w="748" w:type="pct"/>
            <w:vAlign w:val="center"/>
          </w:tcPr>
          <w:p w14:paraId="70FA89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r>
    </w:tbl>
    <w:p w14:paraId="2E472D5E">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供应商编制响应文件（商务技术文件部分）时，建议按此目录（序号和内容）提供评审标准相应的商务技术资料。 </w:t>
      </w:r>
    </w:p>
    <w:p w14:paraId="4751EEF2">
      <w:pPr>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14:paraId="7BD99461">
      <w:pPr>
        <w:snapToGrid w:val="0"/>
        <w:spacing w:line="360" w:lineRule="auto"/>
        <w:jc w:val="center"/>
        <w:outlineLvl w:val="1"/>
        <w:rPr>
          <w:rFonts w:ascii="宋体" w:hAnsi="宋体" w:cs="宋体"/>
          <w:b/>
          <w:color w:val="000000" w:themeColor="text1"/>
          <w:sz w:val="28"/>
          <w:szCs w:val="28"/>
          <w14:textFill>
            <w14:solidFill>
              <w14:schemeClr w14:val="tx1"/>
            </w14:solidFill>
          </w14:textFill>
        </w:rPr>
      </w:pPr>
      <w:bookmarkStart w:id="433" w:name="_Toc25286"/>
      <w:r>
        <w:rPr>
          <w:rFonts w:hint="eastAsia" w:ascii="宋体" w:hAnsi="宋体" w:cs="宋体"/>
          <w:b/>
          <w:color w:val="000000" w:themeColor="text1"/>
          <w:sz w:val="32"/>
          <w14:textFill>
            <w14:solidFill>
              <w14:schemeClr w14:val="tx1"/>
            </w14:solidFill>
          </w14:textFill>
        </w:rPr>
        <w:t>一、评审方法</w:t>
      </w:r>
      <w:bookmarkEnd w:id="433"/>
    </w:p>
    <w:p w14:paraId="2F464391">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757279A9">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4" w:name="_Toc8058"/>
      <w:r>
        <w:rPr>
          <w:rFonts w:hint="eastAsia" w:ascii="宋体" w:hAnsi="宋体" w:cs="宋体"/>
          <w:b/>
          <w:color w:val="000000" w:themeColor="text1"/>
          <w:sz w:val="32"/>
          <w14:textFill>
            <w14:solidFill>
              <w14:schemeClr w14:val="tx1"/>
            </w14:solidFill>
          </w14:textFill>
        </w:rPr>
        <w:t>二、评审标准</w:t>
      </w:r>
      <w:bookmarkEnd w:id="434"/>
    </w:p>
    <w:p w14:paraId="0639792D">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见评审办法前附表。</w:t>
      </w:r>
    </w:p>
    <w:p w14:paraId="17E01BCA">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5" w:name="_Toc12388"/>
      <w:r>
        <w:rPr>
          <w:rFonts w:hint="eastAsia" w:ascii="宋体" w:hAnsi="宋体" w:cs="宋体"/>
          <w:b/>
          <w:color w:val="000000" w:themeColor="text1"/>
          <w:sz w:val="32"/>
          <w14:textFill>
            <w14:solidFill>
              <w14:schemeClr w14:val="tx1"/>
            </w14:solidFill>
          </w14:textFill>
        </w:rPr>
        <w:t>三、评审程序</w:t>
      </w:r>
      <w:bookmarkEnd w:id="435"/>
    </w:p>
    <w:p w14:paraId="55B4194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584A38D">
      <w:pPr>
        <w:spacing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磋商。</w:t>
      </w:r>
      <w:r>
        <w:rPr>
          <w:rFonts w:hint="eastAsia" w:ascii="宋体" w:hAnsi="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供应商逐一进行磋商。</w:t>
      </w:r>
    </w:p>
    <w:p w14:paraId="10AEBE7F">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3.2.1 </w:t>
      </w:r>
      <w:r>
        <w:rPr>
          <w:rFonts w:hint="eastAsia" w:ascii="宋体" w:hAnsi="宋体" w:cs="宋体"/>
          <w:color w:val="000000" w:themeColor="text1"/>
          <w:sz w:val="24"/>
          <w14:textFill>
            <w14:solidFill>
              <w14:schemeClr w14:val="tx1"/>
            </w14:solidFill>
          </w14:textFill>
        </w:rPr>
        <w:t>供应商逐家回答磋商小组的提问；</w:t>
      </w:r>
      <w:r>
        <w:rPr>
          <w:rFonts w:hint="eastAsia" w:ascii="宋体" w:hAnsi="宋体" w:cs="宋体"/>
          <w:b/>
          <w:color w:val="000000" w:themeColor="text1"/>
          <w:sz w:val="24"/>
          <w14:textFill>
            <w14:solidFill>
              <w14:schemeClr w14:val="tx1"/>
            </w14:solidFill>
          </w14:textFill>
        </w:rPr>
        <w:t>逐家磋商一次为一个轮次，磋商轮次根据实际情况进行。</w:t>
      </w:r>
    </w:p>
    <w:p w14:paraId="1698248E">
      <w:pPr>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29BF7D9E">
      <w:pPr>
        <w:spacing w:line="360" w:lineRule="auto"/>
        <w:ind w:firstLine="470" w:firstLineChars="196"/>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3.2.3 </w:t>
      </w:r>
      <w:r>
        <w:rPr>
          <w:rFonts w:hint="eastAsia" w:ascii="宋体" w:hAnsi="宋体" w:cs="宋体"/>
          <w:b/>
          <w:bCs/>
          <w:color w:val="000000" w:themeColor="text1"/>
          <w:sz w:val="24"/>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 xml:space="preserve">供应商。 </w:t>
      </w:r>
    </w:p>
    <w:p w14:paraId="04C09195">
      <w:pPr>
        <w:spacing w:line="360" w:lineRule="auto"/>
        <w:ind w:firstLine="472" w:firstLineChars="196"/>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3.3最后报价</w:t>
      </w:r>
    </w:p>
    <w:p w14:paraId="5438A946">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4264E3C4">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965ACAF">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3.3.3 已提交响应文件的供应商，在提交最后报价之前，可以根据磋商情况退出磋商</w:t>
      </w:r>
    </w:p>
    <w:p w14:paraId="3C52C6F4">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 综合评分。</w:t>
      </w:r>
      <w:r>
        <w:rPr>
          <w:rFonts w:hint="eastAsia" w:ascii="宋体" w:hAnsi="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5F0245A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3.5汇总商务技术得分。</w:t>
      </w:r>
      <w:r>
        <w:rPr>
          <w:rFonts w:hint="eastAsia" w:ascii="宋体" w:hAnsi="宋体" w:cs="宋体"/>
          <w:color w:val="000000" w:themeColor="text1"/>
          <w:kern w:val="0"/>
          <w:sz w:val="24"/>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73E3210">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3.6报价评审。</w:t>
      </w:r>
    </w:p>
    <w:p w14:paraId="6996F19A">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14:paraId="07B8BDFA">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p>
    <w:p w14:paraId="3A06F809">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p>
    <w:p w14:paraId="122E8D5C">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p>
    <w:p w14:paraId="3B98F052">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14:paraId="27E02F45">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14:paraId="3731148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14:paraId="4B97569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14:paraId="2680C511">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6E9BBAA">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3.7排序与推荐。</w:t>
      </w:r>
      <w:r>
        <w:rPr>
          <w:rFonts w:hint="eastAsia" w:ascii="宋体" w:hAnsi="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p w14:paraId="0D9DC45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3.8编写评审报告。</w:t>
      </w:r>
      <w:r>
        <w:rPr>
          <w:rFonts w:hint="eastAsia" w:ascii="宋体" w:hAnsi="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E8BAEDE">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36" w:name="_Toc13831"/>
      <w:r>
        <w:rPr>
          <w:rFonts w:hint="eastAsia" w:ascii="宋体" w:hAnsi="宋体" w:cs="宋体"/>
          <w:b/>
          <w:color w:val="000000" w:themeColor="text1"/>
          <w:sz w:val="32"/>
          <w14:textFill>
            <w14:solidFill>
              <w14:schemeClr w14:val="tx1"/>
            </w14:solidFill>
          </w14:textFill>
        </w:rPr>
        <w:t>四、评审中的其他事项</w:t>
      </w:r>
      <w:bookmarkEnd w:id="436"/>
    </w:p>
    <w:p w14:paraId="1B955985">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1658DA">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4.2响应文件无效。</w:t>
      </w:r>
      <w:r>
        <w:rPr>
          <w:rFonts w:hint="eastAsia" w:cs="宋体"/>
          <w:color w:val="000000" w:themeColor="text1"/>
          <w:szCs w:val="21"/>
          <w14:textFill>
            <w14:solidFill>
              <w14:schemeClr w14:val="tx1"/>
            </w14:solidFill>
          </w14:textFill>
        </w:rPr>
        <w:t>有下列情形之一的，响应文件无效：</w:t>
      </w:r>
    </w:p>
    <w:p w14:paraId="724ED79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p>
    <w:p w14:paraId="68F23D7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4.2.2响应文件未按照采购文件要求签署、盖章的；</w:t>
      </w:r>
    </w:p>
    <w:p w14:paraId="5C2EA06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2E0B1D6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4.2.4响应文件含有采购人不能接受的附加条件的；</w:t>
      </w:r>
    </w:p>
    <w:p w14:paraId="2EFD62A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4.2.5响应文件中承诺的响应文件有效期少于采购文件中载明的响应文件有效期的；</w:t>
      </w:r>
    </w:p>
    <w:p w14:paraId="045D595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4.2.6响应文件出现不是唯一的、有选择性最后报价的;</w:t>
      </w:r>
    </w:p>
    <w:p w14:paraId="219307D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4.2.7最后报价超过采购文件中规定的预算金额或者最高限价的;</w:t>
      </w:r>
    </w:p>
    <w:p w14:paraId="232D1F0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4.2.8供应商对根据修正原则修正后的报价不确认的；</w:t>
      </w:r>
    </w:p>
    <w:p w14:paraId="4FBE857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w:t>
      </w:r>
      <w:r>
        <w:rPr>
          <w:rFonts w:hint="eastAsia" w:asciiTheme="minorEastAsia" w:hAnsiTheme="minorEastAsia" w:eastAsiaTheme="minorEastAsia"/>
          <w:sz w:val="24"/>
        </w:rPr>
        <w:t>供应商</w:t>
      </w:r>
      <w:r>
        <w:rPr>
          <w:rFonts w:hint="eastAsia" w:ascii="宋体" w:hAnsi="宋体" w:cs="宋体"/>
          <w:sz w:val="24"/>
          <w:lang w:val="zh-CN"/>
        </w:rPr>
        <w:t>不得进行影响产品质量或者诚信履约的恶意报价如</w:t>
      </w:r>
      <w:r>
        <w:rPr>
          <w:rFonts w:hint="eastAsia" w:asciiTheme="minorEastAsia" w:hAnsiTheme="minorEastAsia" w:eastAsiaTheme="minorEastAsia"/>
          <w:sz w:val="24"/>
        </w:rPr>
        <w:t>供应商</w:t>
      </w:r>
      <w:r>
        <w:rPr>
          <w:rFonts w:hint="eastAsia" w:ascii="宋体" w:hAnsi="宋体" w:cs="宋体"/>
          <w:sz w:val="24"/>
        </w:rPr>
        <w:t>响应</w:t>
      </w:r>
      <w:r>
        <w:rPr>
          <w:rFonts w:hint="eastAsia" w:ascii="宋体" w:hAnsi="宋体" w:cs="宋体"/>
          <w:sz w:val="24"/>
          <w:lang w:val="zh-CN"/>
        </w:rPr>
        <w:t>报价低于</w:t>
      </w:r>
      <w:r>
        <w:rPr>
          <w:rFonts w:hint="eastAsia" w:ascii="宋体" w:hAnsi="宋体" w:cs="宋体"/>
          <w:sz w:val="24"/>
        </w:rPr>
        <w:t>最高限价</w:t>
      </w:r>
      <w:r>
        <w:rPr>
          <w:rFonts w:hint="eastAsia" w:ascii="宋体" w:hAnsi="宋体" w:cs="宋体"/>
          <w:sz w:val="24"/>
          <w:lang w:val="zh-CN"/>
        </w:rPr>
        <w:t>50%的，应当在报价文件中详细阐述不影响产品质量或者诚信履约的具体原因以及相应证明材料，以备评</w:t>
      </w:r>
      <w:r>
        <w:rPr>
          <w:rFonts w:hint="eastAsia" w:ascii="宋体" w:hAnsi="宋体" w:cs="宋体"/>
          <w:sz w:val="24"/>
        </w:rPr>
        <w:t>审</w:t>
      </w:r>
      <w:r>
        <w:rPr>
          <w:rFonts w:hint="eastAsia" w:ascii="宋体" w:hAnsi="宋体" w:cs="宋体"/>
          <w:sz w:val="24"/>
          <w:lang w:val="zh-CN"/>
        </w:rPr>
        <w:t>小组核查。如</w:t>
      </w:r>
      <w:r>
        <w:rPr>
          <w:rFonts w:hint="eastAsia" w:asciiTheme="minorEastAsia" w:hAnsiTheme="minorEastAsia" w:eastAsiaTheme="minorEastAsia"/>
          <w:sz w:val="24"/>
        </w:rPr>
        <w:t>供应商</w:t>
      </w:r>
      <w:r>
        <w:rPr>
          <w:rFonts w:hint="eastAsia" w:ascii="宋体" w:hAnsi="宋体" w:cs="宋体"/>
          <w:sz w:val="24"/>
          <w:lang w:val="zh-CN"/>
        </w:rPr>
        <w:t>未按要求提供相关说明及证明材料的，评</w:t>
      </w:r>
      <w:r>
        <w:rPr>
          <w:rFonts w:hint="eastAsia" w:ascii="宋体" w:hAnsi="宋体" w:cs="宋体"/>
          <w:sz w:val="24"/>
        </w:rPr>
        <w:t>审</w:t>
      </w:r>
      <w:r>
        <w:rPr>
          <w:rFonts w:hint="eastAsia" w:ascii="宋体" w:hAnsi="宋体" w:cs="宋体"/>
          <w:sz w:val="24"/>
          <w:lang w:val="zh-CN"/>
        </w:rPr>
        <w:t>小组将对其</w:t>
      </w:r>
      <w:r>
        <w:rPr>
          <w:rFonts w:hint="eastAsia" w:ascii="宋体" w:hAnsi="宋体" w:cs="宋体"/>
          <w:sz w:val="24"/>
        </w:rPr>
        <w:t>响应</w:t>
      </w:r>
      <w:r>
        <w:rPr>
          <w:rFonts w:hint="eastAsia" w:ascii="宋体" w:hAnsi="宋体" w:cs="宋体"/>
          <w:sz w:val="24"/>
          <w:lang w:val="zh-CN"/>
        </w:rPr>
        <w:t>文件作为无效</w:t>
      </w:r>
      <w:r>
        <w:rPr>
          <w:rFonts w:hint="eastAsia" w:ascii="宋体" w:hAnsi="宋体" w:cs="宋体"/>
          <w:sz w:val="24"/>
        </w:rPr>
        <w:t>响应</w:t>
      </w:r>
      <w:r>
        <w:rPr>
          <w:rFonts w:hint="eastAsia" w:ascii="宋体" w:hAnsi="宋体" w:cs="宋体"/>
          <w:sz w:val="24"/>
          <w:lang w:val="zh-CN"/>
        </w:rPr>
        <w:t>处理；</w:t>
      </w:r>
    </w:p>
    <w:p w14:paraId="3152C6E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4.2.10供应商提供虚假材料响应的；</w:t>
      </w:r>
    </w:p>
    <w:p w14:paraId="7524A1B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4.2.11供应商有恶意串通、妨碍其他供应商的竞争行为、损害采购人或者其他供应商的合法权益情形的；</w:t>
      </w:r>
    </w:p>
    <w:p w14:paraId="34C26AB7">
      <w:pPr>
        <w:pStyle w:val="79"/>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4.2.12</w:t>
      </w:r>
      <w:r>
        <w:rPr>
          <w:rFonts w:hint="eastAsia" w:ascii="宋体" w:hAnsi="宋体" w:eastAsia="宋体" w:cs="宋体"/>
          <w:color w:val="000000" w:themeColor="text1"/>
          <w:sz w:val="24"/>
          <w:szCs w:val="24"/>
          <w:lang w:val="en"/>
          <w14:textFill>
            <w14:solidFill>
              <w14:schemeClr w14:val="tx1"/>
            </w14:solidFill>
          </w14:textFill>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AF243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4.2.13供应商仅提交备份响应文件，未在电子交易平台传输递交响应文件的，响应文件无效；</w:t>
      </w:r>
    </w:p>
    <w:p w14:paraId="7A82126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4.2.14响应文件不满足采购文件的其它实质性要求的；</w:t>
      </w:r>
    </w:p>
    <w:p w14:paraId="5F0DB9A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7B9F2D5D">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5.终止竞争性磋商采购活动。</w:t>
      </w:r>
      <w:r>
        <w:rPr>
          <w:rFonts w:hint="eastAsia"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14:paraId="62569E6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5.1因情况变化，不再符合规定的竞争性磋商采购方式适用情形的；</w:t>
      </w:r>
    </w:p>
    <w:p w14:paraId="23779DDB">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74EA044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5.3除本办法第二十一条第三款规定的情形外，在采购过程中符合要求的供应商或者报价未超过采购预算的供应商不足3家的。</w:t>
      </w:r>
    </w:p>
    <w:p w14:paraId="12533D6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3E5AA70A">
      <w:pPr>
        <w:pStyle w:val="24"/>
        <w:snapToGrid w:val="0"/>
        <w:spacing w:line="360" w:lineRule="auto"/>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6.重新开展采购。</w:t>
      </w:r>
      <w:r>
        <w:rPr>
          <w:rFonts w:hint="eastAsia" w:cs="宋体"/>
          <w:color w:val="000000" w:themeColor="text1"/>
          <w14:textFill>
            <w14:solidFill>
              <w14:schemeClr w14:val="tx1"/>
            </w14:solidFill>
          </w14:textFill>
        </w:rPr>
        <w:t>有政府采购法第七十一条、第七十二条规定的违法行为之一，影响或者可能影响成交结果的，依照下列规定处理：</w:t>
      </w:r>
    </w:p>
    <w:p w14:paraId="2F61C529">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6.1未确定成交供应商的，终止本次政府采购活动，重新开展政府采购活动。</w:t>
      </w:r>
    </w:p>
    <w:p w14:paraId="14AE6F2F">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1616017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287F116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6.4政府采购合同已经履行，给采购人、供应商造成损失的，由责任人承担赔偿责任。</w:t>
      </w:r>
    </w:p>
    <w:p w14:paraId="5BCE3EE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5882BC3B">
      <w:pPr>
        <w:pStyle w:val="24"/>
        <w:snapToGrid w:val="0"/>
        <w:spacing w:line="360" w:lineRule="auto"/>
        <w:ind w:firstLine="0" w:firstLineChars="0"/>
        <w:rPr>
          <w:rFonts w:cs="宋体"/>
          <w:color w:val="000000" w:themeColor="text1"/>
          <w14:textFill>
            <w14:solidFill>
              <w14:schemeClr w14:val="tx1"/>
            </w14:solidFill>
          </w14:textFill>
        </w:rPr>
        <w:sectPr>
          <w:pgSz w:w="11907" w:h="16840"/>
          <w:pgMar w:top="1440" w:right="1080" w:bottom="1440" w:left="1080" w:header="851" w:footer="851" w:gutter="0"/>
          <w:cols w:space="720" w:num="1"/>
        </w:sectPr>
      </w:pPr>
    </w:p>
    <w:bookmarkEnd w:id="54"/>
    <w:p w14:paraId="789F33BE">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37" w:name="_Toc5032"/>
      <w:bookmarkStart w:id="438" w:name="第五部分"/>
      <w:bookmarkStart w:id="439" w:name="_Toc86217003"/>
      <w:r>
        <w:rPr>
          <w:rFonts w:hint="eastAsia" w:ascii="宋体" w:hAnsi="宋体" w:cs="宋体"/>
          <w:b/>
          <w:color w:val="000000" w:themeColor="text1"/>
          <w:sz w:val="36"/>
          <w:szCs w:val="36"/>
          <w14:textFill>
            <w14:solidFill>
              <w14:schemeClr w14:val="tx1"/>
            </w14:solidFill>
          </w14:textFill>
        </w:rPr>
        <w:t>第五部分 拟签订的合同文本</w:t>
      </w:r>
      <w:bookmarkEnd w:id="437"/>
    </w:p>
    <w:p w14:paraId="403F49C2">
      <w:pPr>
        <w:adjustRightInd/>
        <w:spacing w:line="300" w:lineRule="auto"/>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 xml:space="preserve">             </w:t>
      </w:r>
    </w:p>
    <w:p w14:paraId="7F42B98E">
      <w:pPr>
        <w:pStyle w:val="3"/>
        <w:autoSpaceDN w:val="0"/>
        <w:spacing w:before="360"/>
        <w:ind w:firstLine="281" w:firstLineChars="100"/>
        <w:jc w:val="center"/>
        <w:rPr>
          <w:rFonts w:ascii="宋体" w:hAnsi="宋体" w:eastAsia="宋体" w:cs="宋体"/>
          <w:sz w:val="28"/>
          <w:szCs w:val="28"/>
        </w:rPr>
      </w:pPr>
      <w:bookmarkStart w:id="440" w:name="_Toc30675"/>
      <w:bookmarkStart w:id="441" w:name="_Toc1459"/>
      <w:bookmarkStart w:id="442" w:name="_Toc3509"/>
      <w:bookmarkStart w:id="443" w:name="_Toc10264"/>
      <w:bookmarkStart w:id="444" w:name="_Toc5550"/>
      <w:r>
        <w:rPr>
          <w:rFonts w:hint="eastAsia" w:ascii="宋体" w:hAnsi="宋体" w:eastAsia="宋体" w:cs="宋体"/>
          <w:sz w:val="28"/>
          <w:szCs w:val="28"/>
        </w:rPr>
        <w:t>（以最终签订为准）</w:t>
      </w:r>
      <w:bookmarkEnd w:id="440"/>
      <w:bookmarkEnd w:id="441"/>
      <w:bookmarkEnd w:id="442"/>
      <w:bookmarkEnd w:id="443"/>
      <w:bookmarkEnd w:id="444"/>
    </w:p>
    <w:p w14:paraId="47630BE8">
      <w:pPr>
        <w:spacing w:line="360" w:lineRule="auto"/>
        <w:ind w:firstLine="480" w:firstLineChars="200"/>
        <w:rPr>
          <w:rFonts w:ascii="宋体" w:hAnsi="宋体"/>
          <w:kern w:val="0"/>
          <w:sz w:val="24"/>
          <w:szCs w:val="20"/>
        </w:rPr>
      </w:pPr>
      <w:r>
        <w:rPr>
          <w:rFonts w:hint="eastAsia" w:ascii="宋体" w:hAnsi="宋体"/>
          <w:kern w:val="0"/>
          <w:sz w:val="24"/>
          <w:szCs w:val="20"/>
        </w:rPr>
        <w:t>使用住房城乡建设部、国家工商行政管理总局制定的《建设工程施工合同（示范文本）》（GF-2017-0201）。</w:t>
      </w:r>
    </w:p>
    <w:p w14:paraId="64FB7DE7">
      <w:pPr>
        <w:spacing w:line="360" w:lineRule="auto"/>
        <w:jc w:val="center"/>
        <w:outlineLvl w:val="1"/>
        <w:rPr>
          <w:rFonts w:ascii="宋体" w:hAnsi="宋体"/>
          <w:b/>
          <w:sz w:val="28"/>
        </w:rPr>
      </w:pPr>
      <w:bookmarkStart w:id="445" w:name="_Toc19942"/>
      <w:bookmarkStart w:id="446" w:name="_Toc9906"/>
      <w:bookmarkStart w:id="447" w:name="_Toc14917"/>
      <w:bookmarkStart w:id="448" w:name="_Toc14334"/>
      <w:bookmarkStart w:id="449" w:name="_Toc16202"/>
      <w:bookmarkStart w:id="450" w:name="_Toc2472"/>
      <w:bookmarkStart w:id="451" w:name="_Toc13285"/>
      <w:bookmarkStart w:id="452" w:name="_Toc23993"/>
      <w:bookmarkStart w:id="453" w:name="_Toc26844"/>
      <w:bookmarkStart w:id="454" w:name="_Toc29132"/>
      <w:r>
        <w:rPr>
          <w:rFonts w:hint="eastAsia" w:ascii="宋体" w:hAnsi="宋体"/>
          <w:b/>
          <w:sz w:val="28"/>
          <w:lang w:eastAsia="zh-CN"/>
        </w:rPr>
        <w:t>浙江中医药大学滨文校区围墙周界及屋面监控增补项目</w:t>
      </w:r>
      <w:r>
        <w:rPr>
          <w:rFonts w:hint="eastAsia" w:ascii="宋体" w:hAnsi="宋体"/>
          <w:b/>
          <w:sz w:val="28"/>
        </w:rPr>
        <w:t>合同</w:t>
      </w:r>
      <w:bookmarkEnd w:id="445"/>
      <w:bookmarkEnd w:id="446"/>
      <w:bookmarkEnd w:id="447"/>
      <w:bookmarkEnd w:id="448"/>
    </w:p>
    <w:p w14:paraId="5605E3CD">
      <w:pPr>
        <w:pStyle w:val="24"/>
      </w:pPr>
    </w:p>
    <w:p w14:paraId="416B5F5A">
      <w:pPr>
        <w:spacing w:line="360" w:lineRule="auto"/>
        <w:jc w:val="center"/>
        <w:outlineLvl w:val="1"/>
        <w:rPr>
          <w:rFonts w:ascii="宋体" w:hAnsi="宋体"/>
          <w:b/>
          <w:sz w:val="28"/>
        </w:rPr>
      </w:pPr>
      <w:bookmarkStart w:id="455" w:name="_Toc7494"/>
      <w:bookmarkStart w:id="456" w:name="_Toc24859"/>
      <w:r>
        <w:rPr>
          <w:rFonts w:ascii="宋体" w:hAnsi="宋体"/>
          <w:b/>
          <w:sz w:val="28"/>
        </w:rPr>
        <w:t xml:space="preserve">第一部分 </w:t>
      </w:r>
      <w:r>
        <w:rPr>
          <w:rFonts w:hint="eastAsia" w:ascii="宋体" w:hAnsi="宋体"/>
          <w:b/>
          <w:sz w:val="28"/>
        </w:rPr>
        <w:t>合同</w:t>
      </w:r>
      <w:r>
        <w:rPr>
          <w:rFonts w:ascii="宋体" w:hAnsi="宋体"/>
          <w:b/>
          <w:sz w:val="28"/>
        </w:rPr>
        <w:t>协议书</w:t>
      </w:r>
      <w:bookmarkEnd w:id="449"/>
      <w:bookmarkEnd w:id="450"/>
      <w:bookmarkEnd w:id="451"/>
      <w:bookmarkEnd w:id="452"/>
      <w:bookmarkEnd w:id="453"/>
      <w:bookmarkEnd w:id="454"/>
      <w:bookmarkEnd w:id="455"/>
      <w:bookmarkEnd w:id="456"/>
    </w:p>
    <w:p w14:paraId="3754F5F0">
      <w:pPr>
        <w:spacing w:line="360" w:lineRule="auto"/>
        <w:rPr>
          <w:rFonts w:ascii="宋体" w:hAnsi="宋体" w:cs="宋体"/>
          <w:b/>
          <w:sz w:val="24"/>
        </w:rPr>
      </w:pPr>
      <w:bookmarkStart w:id="457" w:name="_Hlk70081597"/>
      <w:bookmarkStart w:id="458" w:name="_Hlk62322485"/>
      <w:r>
        <w:rPr>
          <w:rFonts w:hint="eastAsia" w:ascii="宋体" w:hAnsi="宋体" w:cs="宋体"/>
          <w:b/>
          <w:sz w:val="24"/>
        </w:rPr>
        <w:t>项目编号：</w:t>
      </w:r>
    </w:p>
    <w:p w14:paraId="26DAB92D">
      <w:pPr>
        <w:spacing w:line="360" w:lineRule="auto"/>
        <w:rPr>
          <w:rFonts w:ascii="宋体" w:hAnsi="宋体" w:cs="宋体"/>
          <w:b/>
          <w:sz w:val="24"/>
        </w:rPr>
      </w:pPr>
      <w:r>
        <w:rPr>
          <w:rFonts w:hint="eastAsia" w:ascii="宋体" w:hAnsi="宋体" w:cs="宋体"/>
          <w:b/>
          <w:sz w:val="24"/>
        </w:rPr>
        <w:t xml:space="preserve">确认书编号：  </w:t>
      </w:r>
    </w:p>
    <w:p w14:paraId="50B7D4AC">
      <w:pPr>
        <w:spacing w:line="36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浙江中医药大学</w:t>
      </w:r>
    </w:p>
    <w:p w14:paraId="63686A57">
      <w:pPr>
        <w:spacing w:line="360" w:lineRule="auto"/>
        <w:rPr>
          <w:rFonts w:ascii="宋体" w:hAnsi="宋体" w:cs="宋体"/>
          <w:b/>
          <w:sz w:val="24"/>
          <w:u w:val="single"/>
        </w:rPr>
      </w:pPr>
      <w:r>
        <w:rPr>
          <w:rFonts w:hint="eastAsia" w:ascii="宋体" w:hAnsi="宋体" w:cs="宋体"/>
          <w:b/>
          <w:sz w:val="24"/>
        </w:rPr>
        <w:t>承包人（全称）：</w:t>
      </w:r>
      <w:bookmarkStart w:id="459" w:name="_Hlk106098821"/>
      <w:r>
        <w:rPr>
          <w:rFonts w:hint="eastAsia" w:ascii="宋体" w:hAnsi="宋体" w:cs="宋体"/>
          <w:b/>
          <w:sz w:val="24"/>
          <w:u w:val="single"/>
        </w:rPr>
        <w:t xml:space="preserve">             </w:t>
      </w:r>
      <w:bookmarkEnd w:id="459"/>
      <w:r>
        <w:rPr>
          <w:rFonts w:hint="eastAsia" w:ascii="宋体" w:hAnsi="宋体" w:cs="宋体"/>
          <w:b/>
          <w:sz w:val="24"/>
          <w:u w:val="single"/>
        </w:rPr>
        <w:t xml:space="preserve"> </w:t>
      </w:r>
    </w:p>
    <w:p w14:paraId="6C2415A2">
      <w:pPr>
        <w:shd w:val="clear" w:color="auto" w:fill="FFFFFF"/>
        <w:snapToGrid w:val="0"/>
        <w:spacing w:line="360" w:lineRule="auto"/>
        <w:ind w:firstLine="420"/>
        <w:rPr>
          <w:rFonts w:ascii="宋体" w:hAnsi="宋体" w:cs="宋体"/>
          <w:sz w:val="24"/>
          <w:shd w:val="clear" w:color="auto" w:fill="FFFFFF"/>
        </w:rPr>
      </w:pPr>
    </w:p>
    <w:p w14:paraId="2DF1D177">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kern w:val="0"/>
          <w:sz w:val="24"/>
          <w:shd w:val="clear" w:color="auto" w:fill="FFFFFF"/>
        </w:rPr>
        <w:t>根据《中华人民共和国民法典》等有关法律规定，遵循平等、自愿、公平和诚实信用的原则，</w:t>
      </w:r>
      <w:r>
        <w:rPr>
          <w:rFonts w:hint="eastAsia" w:ascii="宋体" w:hAnsi="宋体" w:cs="宋体"/>
          <w:kern w:val="0"/>
          <w:sz w:val="24"/>
        </w:rPr>
        <w:t>经招标代理机构浙江豪圣建设项目管理有限公司对</w:t>
      </w:r>
      <w:r>
        <w:rPr>
          <w:rFonts w:hint="eastAsia" w:ascii="宋体" w:hAnsi="宋体" w:cs="宋体"/>
          <w:kern w:val="0"/>
          <w:sz w:val="24"/>
          <w:u w:val="single"/>
        </w:rPr>
        <w:t xml:space="preserve"> </w:t>
      </w:r>
      <w:r>
        <w:rPr>
          <w:rFonts w:hint="eastAsia" w:ascii="宋体" w:hAnsi="宋体" w:cs="宋体"/>
          <w:kern w:val="0"/>
          <w:sz w:val="24"/>
          <w:u w:val="single"/>
          <w:lang w:eastAsia="zh-CN"/>
        </w:rPr>
        <w:t>浙江中医药大学滨文校区围墙周界及屋面监控增补项目</w:t>
      </w:r>
      <w:r>
        <w:rPr>
          <w:rFonts w:hint="eastAsia" w:ascii="宋体" w:hAnsi="宋体" w:cs="宋体"/>
          <w:kern w:val="0"/>
          <w:sz w:val="24"/>
        </w:rPr>
        <w:t>通过</w:t>
      </w:r>
      <w:r>
        <w:rPr>
          <w:rFonts w:hint="eastAsia" w:ascii="宋体" w:hAnsi="宋体" w:cs="宋体"/>
          <w:kern w:val="0"/>
          <w:sz w:val="24"/>
          <w:u w:val="single"/>
        </w:rPr>
        <w:t>竞争性磋商</w:t>
      </w:r>
      <w:r>
        <w:rPr>
          <w:rFonts w:hint="eastAsia" w:ascii="宋体" w:hAnsi="宋体" w:cs="宋体"/>
          <w:kern w:val="0"/>
          <w:sz w:val="24"/>
        </w:rPr>
        <w:t>方式采购，确定</w:t>
      </w:r>
      <w:r>
        <w:rPr>
          <w:rFonts w:hint="eastAsia" w:ascii="宋体" w:hAnsi="宋体" w:cs="宋体"/>
          <w:kern w:val="0"/>
          <w:sz w:val="24"/>
          <w:u w:val="single"/>
        </w:rPr>
        <w:t xml:space="preserve"> </w:t>
      </w:r>
      <w:r>
        <w:rPr>
          <w:rFonts w:hint="eastAsia" w:ascii="宋体" w:hAnsi="宋体" w:cs="宋体"/>
          <w:b/>
          <w:sz w:val="24"/>
          <w:u w:val="single"/>
        </w:rPr>
        <w:t xml:space="preserve">    </w:t>
      </w:r>
      <w:r>
        <w:rPr>
          <w:rFonts w:hint="eastAsia" w:ascii="宋体" w:hAnsi="宋体" w:cs="宋体"/>
          <w:bCs/>
          <w:snapToGrid w:val="0"/>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为本工程成交人，</w:t>
      </w:r>
      <w:r>
        <w:rPr>
          <w:rFonts w:hint="eastAsia" w:ascii="宋体" w:hAnsi="宋体" w:cs="宋体"/>
          <w:kern w:val="0"/>
          <w:sz w:val="24"/>
          <w:shd w:val="clear" w:color="auto" w:fill="FFFFFF"/>
        </w:rPr>
        <w:t>双方协商一致，共同达成如下协议：</w:t>
      </w:r>
    </w:p>
    <w:p w14:paraId="399DBE0B">
      <w:pPr>
        <w:spacing w:line="360" w:lineRule="auto"/>
        <w:rPr>
          <w:rFonts w:ascii="宋体" w:hAnsi="宋体" w:cs="宋体"/>
          <w:b/>
          <w:sz w:val="24"/>
        </w:rPr>
      </w:pPr>
      <w:r>
        <w:rPr>
          <w:rFonts w:hint="eastAsia" w:ascii="宋体" w:hAnsi="宋体" w:cs="宋体"/>
          <w:b/>
          <w:sz w:val="24"/>
        </w:rPr>
        <w:t xml:space="preserve">    一、工程概况</w:t>
      </w:r>
    </w:p>
    <w:p w14:paraId="73CC27E9">
      <w:pPr>
        <w:shd w:val="clear" w:color="auto" w:fill="FFFFFF"/>
        <w:snapToGrid w:val="0"/>
        <w:spacing w:line="360" w:lineRule="auto"/>
        <w:ind w:firstLine="420"/>
        <w:rPr>
          <w:rFonts w:hint="eastAsia" w:ascii="宋体" w:hAnsi="宋体" w:eastAsia="宋体" w:cs="宋体"/>
          <w:b/>
          <w:kern w:val="0"/>
          <w:sz w:val="24"/>
          <w:shd w:val="clear" w:color="auto" w:fill="FFFFFF"/>
          <w:lang w:eastAsia="zh-CN"/>
        </w:rPr>
      </w:pPr>
      <w:r>
        <w:rPr>
          <w:rFonts w:hint="eastAsia" w:ascii="宋体" w:hAnsi="宋体" w:cs="宋体"/>
          <w:sz w:val="24"/>
          <w:shd w:val="clear" w:color="auto" w:fill="FFFFFF"/>
        </w:rPr>
        <w:t>1.工程名称：</w:t>
      </w:r>
      <w:r>
        <w:rPr>
          <w:rFonts w:hint="eastAsia" w:ascii="宋体" w:hAnsi="宋体" w:cs="宋体"/>
          <w:sz w:val="24"/>
          <w:u w:val="single"/>
          <w:shd w:val="clear" w:color="auto" w:fill="FFFFFF"/>
          <w:lang w:eastAsia="zh-CN"/>
        </w:rPr>
        <w:t>浙江中医药大学滨文校区围墙周界及屋面监控增补项目</w:t>
      </w:r>
    </w:p>
    <w:p w14:paraId="4F3FA132">
      <w:pPr>
        <w:spacing w:line="360" w:lineRule="auto"/>
        <w:ind w:firstLine="470" w:firstLineChars="196"/>
        <w:rPr>
          <w:rFonts w:ascii="宋体" w:hAnsi="宋体" w:cs="宋体"/>
          <w:bCs/>
          <w:sz w:val="24"/>
        </w:rPr>
      </w:pPr>
      <w:r>
        <w:rPr>
          <w:rFonts w:hint="eastAsia" w:ascii="宋体" w:hAnsi="宋体" w:cs="宋体"/>
          <w:bCs/>
          <w:sz w:val="24"/>
        </w:rPr>
        <w:t>2.工程地点：浙江中医药大学项目指定地点</w:t>
      </w:r>
    </w:p>
    <w:p w14:paraId="62547A21">
      <w:pPr>
        <w:spacing w:line="360" w:lineRule="auto"/>
        <w:ind w:firstLine="470" w:firstLineChars="196"/>
        <w:rPr>
          <w:rFonts w:ascii="宋体" w:hAnsi="宋体" w:cs="宋体"/>
          <w:bCs/>
          <w:sz w:val="24"/>
        </w:rPr>
      </w:pPr>
      <w:r>
        <w:rPr>
          <w:rFonts w:hint="eastAsia" w:ascii="宋体" w:hAnsi="宋体" w:cs="宋体"/>
          <w:bCs/>
          <w:sz w:val="24"/>
        </w:rPr>
        <w:t>3.工程立项批准文号：</w:t>
      </w:r>
      <w:r>
        <w:rPr>
          <w:rFonts w:hint="eastAsia" w:ascii="宋体" w:hAnsi="宋体" w:cs="宋体"/>
          <w:sz w:val="24"/>
          <w:u w:val="single"/>
        </w:rPr>
        <w:t>  /   </w:t>
      </w:r>
    </w:p>
    <w:p w14:paraId="5A9848B3">
      <w:pPr>
        <w:spacing w:line="36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w:t>
      </w:r>
      <w:r>
        <w:rPr>
          <w:rFonts w:hint="eastAsia" w:ascii="宋体" w:hAnsi="宋体" w:cs="宋体"/>
          <w:kern w:val="0"/>
          <w:sz w:val="24"/>
          <w:u w:val="single"/>
        </w:rPr>
        <w:t>财政资金</w:t>
      </w:r>
      <w:r>
        <w:rPr>
          <w:rFonts w:hint="eastAsia" w:ascii="宋体" w:hAnsi="宋体" w:cs="宋体"/>
          <w:sz w:val="24"/>
          <w:u w:val="single"/>
        </w:rPr>
        <w:t xml:space="preserve"> </w:t>
      </w:r>
      <w:r>
        <w:rPr>
          <w:rFonts w:hint="eastAsia" w:ascii="宋体" w:hAnsi="宋体" w:cs="宋体"/>
          <w:bCs/>
          <w:sz w:val="24"/>
        </w:rPr>
        <w:t>。</w:t>
      </w:r>
    </w:p>
    <w:p w14:paraId="5751CF8C">
      <w:pPr>
        <w:spacing w:line="360" w:lineRule="auto"/>
        <w:ind w:firstLine="480" w:firstLineChars="200"/>
        <w:rPr>
          <w:rFonts w:ascii="宋体" w:hAnsi="宋体" w:cs="宋体"/>
          <w:kern w:val="0"/>
          <w:sz w:val="24"/>
          <w:u w:val="single"/>
          <w:shd w:val="clear" w:color="auto" w:fill="FFFFFF"/>
        </w:rPr>
      </w:pPr>
      <w:r>
        <w:rPr>
          <w:rFonts w:hint="eastAsia" w:ascii="宋体" w:hAnsi="宋体" w:cs="宋体"/>
          <w:bCs/>
          <w:sz w:val="24"/>
        </w:rPr>
        <w:t>5.工程内容：</w:t>
      </w:r>
      <w:r>
        <w:rPr>
          <w:rFonts w:hint="eastAsia" w:ascii="宋体" w:hAnsi="宋体" w:cs="宋体"/>
          <w:bCs/>
          <w:sz w:val="24"/>
          <w:u w:val="single"/>
        </w:rPr>
        <w:t>包括</w:t>
      </w:r>
      <w:r>
        <w:rPr>
          <w:rFonts w:hint="eastAsia" w:ascii="宋体" w:hAnsi="宋体" w:cs="宋体"/>
          <w:kern w:val="0"/>
          <w:sz w:val="24"/>
          <w:u w:val="single"/>
          <w:lang w:eastAsia="zh-CN"/>
        </w:rPr>
        <w:t>浙江中医药大学滨文校区围墙周界及屋面监控增补项目</w:t>
      </w:r>
      <w:r>
        <w:rPr>
          <w:rFonts w:hint="eastAsia" w:ascii="宋体" w:hAnsi="宋体" w:cs="宋体"/>
          <w:kern w:val="0"/>
          <w:sz w:val="24"/>
          <w:u w:val="single"/>
        </w:rPr>
        <w:t>施工内容</w:t>
      </w:r>
    </w:p>
    <w:p w14:paraId="3BFC8D03">
      <w:pPr>
        <w:spacing w:line="360" w:lineRule="auto"/>
        <w:ind w:firstLine="480" w:firstLineChars="200"/>
        <w:rPr>
          <w:rFonts w:ascii="宋体" w:hAnsi="宋体" w:cs="宋体"/>
          <w:sz w:val="24"/>
          <w:u w:val="single"/>
        </w:rPr>
      </w:pPr>
      <w:r>
        <w:rPr>
          <w:rFonts w:hint="eastAsia" w:ascii="宋体" w:hAnsi="宋体" w:cs="宋体"/>
          <w:bCs/>
          <w:sz w:val="24"/>
        </w:rPr>
        <w:t>6.工程承包范围：</w:t>
      </w:r>
      <w:r>
        <w:rPr>
          <w:rFonts w:hint="eastAsia" w:ascii="宋体" w:hAnsi="宋体" w:cs="宋体"/>
          <w:sz w:val="24"/>
          <w:u w:val="single"/>
        </w:rPr>
        <w:t>1）详见磋商文件和需求清单。</w:t>
      </w:r>
    </w:p>
    <w:p w14:paraId="0575BC06">
      <w:pPr>
        <w:spacing w:line="360" w:lineRule="auto"/>
        <w:ind w:firstLine="480" w:firstLineChars="200"/>
        <w:rPr>
          <w:rFonts w:ascii="宋体" w:hAnsi="宋体" w:cs="宋体"/>
          <w:sz w:val="24"/>
          <w:u w:val="single"/>
        </w:rPr>
      </w:pPr>
      <w:r>
        <w:rPr>
          <w:rFonts w:hint="eastAsia" w:ascii="宋体" w:hAnsi="宋体" w:cs="宋体"/>
          <w:sz w:val="24"/>
          <w:u w:val="single"/>
        </w:rPr>
        <w:t>2）可能出现的施工图修改引起的工程量增减以及根据发包人明确指令需在招标范围外增加的工程量及招标范围内减少的工程量。</w:t>
      </w:r>
    </w:p>
    <w:p w14:paraId="788C5D9F">
      <w:pPr>
        <w:spacing w:line="360" w:lineRule="auto"/>
        <w:rPr>
          <w:rFonts w:ascii="宋体" w:hAnsi="宋体" w:cs="宋体"/>
          <w:b/>
          <w:sz w:val="24"/>
        </w:rPr>
      </w:pPr>
      <w:r>
        <w:rPr>
          <w:rFonts w:hint="eastAsia" w:ascii="宋体" w:hAnsi="宋体" w:cs="宋体"/>
          <w:b/>
          <w:sz w:val="24"/>
        </w:rPr>
        <w:t xml:space="preserve">   二、合同工期</w:t>
      </w:r>
    </w:p>
    <w:p w14:paraId="6DF96573">
      <w:pPr>
        <w:spacing w:line="360" w:lineRule="auto"/>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日（以开工令为准）。</w:t>
      </w:r>
    </w:p>
    <w:p w14:paraId="44BC620F">
      <w:pPr>
        <w:spacing w:line="360" w:lineRule="auto"/>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4778E2AF">
      <w:pPr>
        <w:spacing w:line="360" w:lineRule="auto"/>
        <w:ind w:firstLine="459"/>
        <w:rPr>
          <w:rFonts w:ascii="宋体" w:hAnsi="宋体" w:cs="宋体"/>
          <w:sz w:val="24"/>
        </w:rPr>
      </w:pPr>
      <w:r>
        <w:rPr>
          <w:rFonts w:hint="eastAsia" w:ascii="宋体" w:hAnsi="宋体" w:cs="宋体"/>
          <w:sz w:val="24"/>
        </w:rPr>
        <w:t>计划总工期：</w:t>
      </w:r>
      <w:r>
        <w:rPr>
          <w:rFonts w:hint="eastAsia" w:ascii="宋体" w:hAnsi="宋体" w:cs="宋体"/>
          <w:sz w:val="24"/>
          <w:u w:val="single"/>
        </w:rPr>
        <w:t xml:space="preserve">     </w:t>
      </w:r>
      <w:r>
        <w:rPr>
          <w:rFonts w:hint="eastAsia" w:ascii="宋体" w:hAnsi="宋体" w:cs="宋体"/>
          <w:sz w:val="24"/>
        </w:rPr>
        <w:t>天，自发包人通知开工之日起算。工期总日历天数与根据前述计划开竣工日期计算的工期天数不一致的，以工期总日历天数为准。</w:t>
      </w:r>
    </w:p>
    <w:p w14:paraId="072D8561">
      <w:pPr>
        <w:spacing w:line="360" w:lineRule="auto"/>
        <w:rPr>
          <w:rFonts w:ascii="宋体" w:hAnsi="宋体" w:cs="宋体"/>
          <w:b/>
          <w:sz w:val="24"/>
        </w:rPr>
      </w:pPr>
      <w:r>
        <w:rPr>
          <w:rFonts w:hint="eastAsia" w:ascii="宋体" w:hAnsi="宋体" w:cs="宋体"/>
          <w:b/>
          <w:sz w:val="24"/>
        </w:rPr>
        <w:t xml:space="preserve">    三、质量标准</w:t>
      </w:r>
    </w:p>
    <w:p w14:paraId="4EF9F7B0">
      <w:pPr>
        <w:spacing w:line="36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b/>
          <w:sz w:val="24"/>
          <w:u w:val="single"/>
        </w:rPr>
        <w:t>国家验收规范合格</w:t>
      </w:r>
      <w:r>
        <w:rPr>
          <w:rFonts w:hint="eastAsia" w:ascii="宋体" w:hAnsi="宋体" w:cs="宋体"/>
          <w:sz w:val="24"/>
        </w:rPr>
        <w:t>标准，达到国家有关技术标准、规范、规程要求。</w:t>
      </w:r>
    </w:p>
    <w:p w14:paraId="1F483B92">
      <w:pPr>
        <w:spacing w:line="360" w:lineRule="auto"/>
        <w:rPr>
          <w:rFonts w:ascii="宋体" w:hAnsi="宋体" w:cs="宋体"/>
          <w:b/>
          <w:sz w:val="24"/>
        </w:rPr>
      </w:pPr>
      <w:r>
        <w:rPr>
          <w:rFonts w:hint="eastAsia" w:ascii="宋体" w:hAnsi="宋体" w:cs="宋体"/>
          <w:b/>
          <w:sz w:val="24"/>
        </w:rPr>
        <w:t xml:space="preserve">    四、签约合同价与合同价格形式</w:t>
      </w:r>
      <w:r>
        <w:rPr>
          <w:rFonts w:hint="eastAsia" w:ascii="宋体" w:hAnsi="宋体" w:cs="宋体"/>
          <w:b/>
          <w:sz w:val="24"/>
        </w:rPr>
        <w:tab/>
      </w:r>
    </w:p>
    <w:p w14:paraId="2340315F">
      <w:pPr>
        <w:tabs>
          <w:tab w:val="left" w:pos="2410"/>
        </w:tabs>
        <w:snapToGrid w:val="0"/>
        <w:spacing w:line="360" w:lineRule="auto"/>
        <w:ind w:firstLine="480" w:firstLineChars="200"/>
        <w:rPr>
          <w:rFonts w:ascii="宋体" w:hAnsi="宋体" w:cs="宋体"/>
          <w:sz w:val="24"/>
        </w:rPr>
      </w:pPr>
      <w:r>
        <w:rPr>
          <w:rFonts w:hint="eastAsia" w:ascii="宋体" w:hAnsi="宋体" w:cs="宋体"/>
          <w:sz w:val="24"/>
        </w:rPr>
        <w:t>1.暂定合同总价为：</w:t>
      </w:r>
    </w:p>
    <w:p w14:paraId="30DB4EAF">
      <w:pPr>
        <w:snapToGrid w:val="0"/>
        <w:spacing w:line="360" w:lineRule="auto"/>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元)；</w:t>
      </w:r>
    </w:p>
    <w:p w14:paraId="2FD371E8">
      <w:pPr>
        <w:snapToGrid w:val="0"/>
        <w:spacing w:line="36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b/>
          <w:sz w:val="24"/>
          <w:u w:val="single"/>
        </w:rPr>
        <w:t>工程量清单固定综合单价合同</w:t>
      </w:r>
      <w:r>
        <w:rPr>
          <w:rFonts w:hint="eastAsia" w:ascii="宋体" w:hAnsi="宋体" w:cs="宋体"/>
          <w:sz w:val="24"/>
        </w:rPr>
        <w:t>。</w:t>
      </w:r>
    </w:p>
    <w:p w14:paraId="35A1822C">
      <w:pPr>
        <w:spacing w:line="360" w:lineRule="auto"/>
        <w:rPr>
          <w:rFonts w:ascii="宋体" w:hAnsi="宋体" w:cs="宋体"/>
          <w:b/>
          <w:sz w:val="24"/>
        </w:rPr>
      </w:pPr>
      <w:r>
        <w:rPr>
          <w:rFonts w:hint="eastAsia" w:ascii="宋体" w:hAnsi="宋体" w:cs="宋体"/>
          <w:b/>
          <w:sz w:val="24"/>
        </w:rPr>
        <w:t xml:space="preserve">    五、项目经理</w:t>
      </w:r>
    </w:p>
    <w:p w14:paraId="1484855A">
      <w:pPr>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49B9BEE6">
      <w:pPr>
        <w:spacing w:line="360" w:lineRule="auto"/>
        <w:rPr>
          <w:rFonts w:ascii="宋体" w:hAnsi="宋体" w:cs="宋体"/>
          <w:b/>
          <w:sz w:val="24"/>
        </w:rPr>
      </w:pPr>
      <w:r>
        <w:rPr>
          <w:rFonts w:hint="eastAsia" w:ascii="宋体" w:hAnsi="宋体" w:cs="宋体"/>
          <w:b/>
          <w:sz w:val="24"/>
        </w:rPr>
        <w:t xml:space="preserve">    六、合同文件构成</w:t>
      </w:r>
    </w:p>
    <w:p w14:paraId="6F2F6AFD">
      <w:pPr>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14:paraId="07FAF404">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（1）成交通知书；</w:t>
      </w:r>
    </w:p>
    <w:p w14:paraId="6055B12A">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（2）投标函及附录； </w:t>
      </w:r>
    </w:p>
    <w:p w14:paraId="60CBCD51">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（3）专用合同条款及其附件； </w:t>
      </w:r>
    </w:p>
    <w:p w14:paraId="190EFAF7">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（4）通用合同条款；</w:t>
      </w:r>
    </w:p>
    <w:p w14:paraId="14B10209">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（5）技术标准和要求；</w:t>
      </w:r>
    </w:p>
    <w:p w14:paraId="1AE018E2">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（6）图纸（如有）；</w:t>
      </w:r>
    </w:p>
    <w:p w14:paraId="22E51D48">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（7）已标价工程量清单或预算书；</w:t>
      </w:r>
    </w:p>
    <w:p w14:paraId="1F8CEA4C">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（8）工程质量保修书；</w:t>
      </w:r>
    </w:p>
    <w:p w14:paraId="619E0A3F">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（9）通用合同条款；</w:t>
      </w:r>
    </w:p>
    <w:p w14:paraId="0A9E5A95">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（10）其他合同文件。</w:t>
      </w:r>
    </w:p>
    <w:p w14:paraId="137DE453">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14:paraId="416DAF26">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上述各项合同文件包括合同当事人就该项合同文件所作出的补充和变更，属于同一类内容的文件，应以最新签署的为准。各项文件及其附件须经合同当事人签字和盖章。</w:t>
      </w:r>
    </w:p>
    <w:p w14:paraId="22839E3E">
      <w:pPr>
        <w:spacing w:line="360" w:lineRule="auto"/>
        <w:ind w:firstLine="482" w:firstLineChars="200"/>
        <w:rPr>
          <w:rFonts w:ascii="宋体" w:hAnsi="宋体" w:cs="宋体"/>
          <w:b/>
          <w:sz w:val="24"/>
        </w:rPr>
      </w:pPr>
      <w:r>
        <w:rPr>
          <w:rFonts w:hint="eastAsia" w:ascii="宋体" w:hAnsi="宋体" w:cs="宋体"/>
          <w:b/>
          <w:sz w:val="24"/>
        </w:rPr>
        <w:t>七、承诺</w:t>
      </w:r>
    </w:p>
    <w:p w14:paraId="4636C9FE">
      <w:pPr>
        <w:spacing w:line="360" w:lineRule="auto"/>
        <w:ind w:firstLine="480" w:firstLineChars="200"/>
        <w:rPr>
          <w:rFonts w:ascii="宋体" w:hAnsi="宋体" w:cs="宋体"/>
          <w:sz w:val="24"/>
        </w:rPr>
      </w:pPr>
      <w:r>
        <w:rPr>
          <w:rFonts w:hint="eastAsia" w:ascii="宋体" w:hAnsi="宋体" w:cs="宋体"/>
          <w:bCs/>
          <w:sz w:val="24"/>
        </w:rPr>
        <w:t>1.发包人承诺按照法律规定履行项目审批手续、筹集工程建设资金并按照合同约定的期限和方式支付合同价款。</w:t>
      </w:r>
    </w:p>
    <w:p w14:paraId="5A0F8EB0">
      <w:pPr>
        <w:spacing w:line="360" w:lineRule="auto"/>
        <w:ind w:firstLine="480" w:firstLineChars="200"/>
        <w:rPr>
          <w:rFonts w:ascii="宋体" w:hAnsi="宋体" w:cs="宋体"/>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14:paraId="0E7C45A7">
      <w:pPr>
        <w:spacing w:line="360" w:lineRule="auto"/>
        <w:ind w:firstLine="480" w:firstLineChars="200"/>
        <w:rPr>
          <w:rFonts w:ascii="宋体" w:hAnsi="宋体" w:cs="宋体"/>
          <w:sz w:val="24"/>
        </w:rPr>
      </w:pPr>
      <w:r>
        <w:rPr>
          <w:rFonts w:hint="eastAsia" w:ascii="宋体" w:hAnsi="宋体" w:cs="宋体"/>
          <w:bCs/>
          <w:sz w:val="24"/>
        </w:rPr>
        <w:t>3.发包人和承包人通过招投标形式签订合同的，双方理解并承诺不再就同一工程另行签订与合同实质性内容相背离的协议。</w:t>
      </w:r>
    </w:p>
    <w:p w14:paraId="6790D8AE">
      <w:pPr>
        <w:spacing w:line="360" w:lineRule="auto"/>
        <w:ind w:firstLine="437"/>
        <w:rPr>
          <w:rFonts w:ascii="宋体" w:hAnsi="宋体" w:cs="宋体"/>
          <w:sz w:val="24"/>
        </w:rPr>
      </w:pPr>
      <w:r>
        <w:rPr>
          <w:rFonts w:hint="eastAsia" w:ascii="宋体" w:hAnsi="宋体" w:cs="宋体"/>
          <w:b/>
          <w:sz w:val="24"/>
        </w:rPr>
        <w:t>八、词语含义</w:t>
      </w:r>
    </w:p>
    <w:p w14:paraId="540BD225">
      <w:pPr>
        <w:spacing w:line="360" w:lineRule="auto"/>
        <w:ind w:firstLine="437"/>
        <w:rPr>
          <w:rFonts w:ascii="宋体" w:hAnsi="宋体" w:cs="宋体"/>
          <w:bCs/>
          <w:sz w:val="24"/>
        </w:rPr>
      </w:pPr>
      <w:r>
        <w:rPr>
          <w:rFonts w:hint="eastAsia" w:ascii="宋体" w:hAnsi="宋体" w:cs="宋体"/>
          <w:bCs/>
          <w:sz w:val="24"/>
        </w:rPr>
        <w:t>本协议书中词语含义与第二部分通用合同条款中赋予的含义相同。</w:t>
      </w:r>
    </w:p>
    <w:p w14:paraId="09B5CA25">
      <w:pPr>
        <w:spacing w:line="360" w:lineRule="auto"/>
        <w:ind w:firstLine="437"/>
        <w:rPr>
          <w:rFonts w:ascii="宋体" w:hAnsi="宋体" w:cs="宋体"/>
          <w:b/>
          <w:sz w:val="24"/>
        </w:rPr>
      </w:pPr>
      <w:r>
        <w:rPr>
          <w:rFonts w:hint="eastAsia" w:ascii="宋体" w:hAnsi="宋体" w:cs="宋体"/>
          <w:b/>
          <w:sz w:val="24"/>
        </w:rPr>
        <w:t>九、签订时间</w:t>
      </w:r>
    </w:p>
    <w:p w14:paraId="1E818B23">
      <w:pPr>
        <w:spacing w:line="360" w:lineRule="auto"/>
        <w:ind w:firstLine="437"/>
        <w:rPr>
          <w:rFonts w:ascii="宋体" w:hAnsi="宋体" w:cs="宋体"/>
          <w:b/>
          <w:sz w:val="24"/>
        </w:rPr>
      </w:pPr>
      <w:r>
        <w:rPr>
          <w:rFonts w:hint="eastAsia" w:ascii="宋体" w:hAnsi="宋体" w:cs="宋体"/>
          <w:bCs/>
          <w:sz w:val="24"/>
        </w:rPr>
        <w:t>本合同于</w:t>
      </w:r>
      <w:r>
        <w:rPr>
          <w:rFonts w:hint="eastAsia" w:ascii="宋体" w:hAnsi="宋体" w:cs="宋体"/>
          <w:sz w:val="24"/>
          <w:u w:val="single"/>
        </w:rPr>
        <w:t xml:space="preserve"> </w:t>
      </w:r>
      <w:r>
        <w:rPr>
          <w:rFonts w:hint="eastAsia" w:ascii="宋体" w:hAnsi="宋体" w:cs="宋体"/>
          <w:bCs/>
          <w:sz w:val="24"/>
          <w:u w:val="single"/>
        </w:rPr>
        <w:t xml:space="preserve"> 2025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14:paraId="05B9C553">
      <w:pPr>
        <w:spacing w:line="360" w:lineRule="auto"/>
        <w:ind w:firstLine="437"/>
        <w:rPr>
          <w:rFonts w:ascii="宋体" w:hAnsi="宋体" w:cs="宋体"/>
          <w:b/>
          <w:sz w:val="24"/>
        </w:rPr>
      </w:pPr>
      <w:r>
        <w:rPr>
          <w:rFonts w:hint="eastAsia" w:ascii="宋体" w:hAnsi="宋体" w:cs="宋体"/>
          <w:b/>
          <w:sz w:val="24"/>
        </w:rPr>
        <w:t>十、签订地点</w:t>
      </w:r>
    </w:p>
    <w:p w14:paraId="389F825C">
      <w:pPr>
        <w:spacing w:line="360" w:lineRule="auto"/>
        <w:ind w:firstLine="437"/>
        <w:rPr>
          <w:rFonts w:ascii="宋体" w:hAnsi="宋体" w:cs="宋体"/>
          <w:b/>
          <w:sz w:val="24"/>
        </w:rPr>
      </w:pPr>
      <w:r>
        <w:rPr>
          <w:rFonts w:hint="eastAsia" w:ascii="宋体" w:hAnsi="宋体" w:cs="宋体"/>
          <w:bCs/>
          <w:sz w:val="24"/>
        </w:rPr>
        <w:t>本合同在</w:t>
      </w:r>
      <w:r>
        <w:rPr>
          <w:rFonts w:hint="eastAsia" w:ascii="宋体" w:hAnsi="宋体" w:cs="宋体"/>
          <w:sz w:val="24"/>
          <w:u w:val="single"/>
        </w:rPr>
        <w:t xml:space="preserve">杭州市 </w:t>
      </w:r>
      <w:r>
        <w:rPr>
          <w:rFonts w:hint="eastAsia" w:ascii="宋体" w:hAnsi="宋体" w:cs="宋体"/>
          <w:bCs/>
          <w:sz w:val="24"/>
        </w:rPr>
        <w:t>签订。</w:t>
      </w:r>
    </w:p>
    <w:p w14:paraId="6E853304">
      <w:pPr>
        <w:spacing w:line="360" w:lineRule="auto"/>
        <w:ind w:firstLine="437"/>
        <w:rPr>
          <w:rFonts w:ascii="宋体" w:hAnsi="宋体" w:cs="宋体"/>
          <w:b/>
          <w:sz w:val="24"/>
        </w:rPr>
      </w:pPr>
      <w:r>
        <w:rPr>
          <w:rFonts w:hint="eastAsia" w:ascii="宋体" w:hAnsi="宋体" w:cs="宋体"/>
          <w:b/>
          <w:sz w:val="24"/>
        </w:rPr>
        <w:t>十一、补充协议</w:t>
      </w:r>
    </w:p>
    <w:p w14:paraId="3E534A0E">
      <w:pPr>
        <w:spacing w:line="360" w:lineRule="auto"/>
        <w:ind w:firstLine="437"/>
        <w:rPr>
          <w:rFonts w:ascii="宋体" w:hAnsi="宋体" w:cs="宋体"/>
          <w:b/>
          <w:sz w:val="24"/>
        </w:rPr>
      </w:pPr>
      <w:r>
        <w:rPr>
          <w:rFonts w:hint="eastAsia" w:ascii="宋体" w:hAnsi="宋体" w:cs="宋体"/>
          <w:bCs/>
          <w:sz w:val="24"/>
        </w:rPr>
        <w:t>合同未尽事宜，合同当事人另行签订补充协议，补充协议是合同的组成部分。</w:t>
      </w:r>
    </w:p>
    <w:p w14:paraId="151A519F">
      <w:pPr>
        <w:spacing w:line="360" w:lineRule="auto"/>
        <w:ind w:firstLine="437"/>
        <w:rPr>
          <w:rFonts w:ascii="宋体" w:hAnsi="宋体" w:cs="宋体"/>
          <w:b/>
          <w:sz w:val="24"/>
        </w:rPr>
      </w:pPr>
      <w:r>
        <w:rPr>
          <w:rFonts w:hint="eastAsia" w:ascii="宋体" w:hAnsi="宋体" w:cs="宋体"/>
          <w:b/>
          <w:sz w:val="24"/>
        </w:rPr>
        <w:t>十二、合同生效</w:t>
      </w:r>
    </w:p>
    <w:p w14:paraId="644004DC">
      <w:pPr>
        <w:spacing w:line="360" w:lineRule="auto"/>
        <w:ind w:firstLine="437"/>
        <w:rPr>
          <w:rFonts w:ascii="宋体" w:hAnsi="宋体" w:cs="宋体"/>
          <w:b/>
          <w:sz w:val="24"/>
        </w:rPr>
      </w:pPr>
      <w:r>
        <w:rPr>
          <w:rFonts w:hint="eastAsia" w:ascii="宋体" w:hAnsi="宋体" w:cs="宋体"/>
          <w:bCs/>
          <w:sz w:val="24"/>
        </w:rPr>
        <w:t>本合同自</w:t>
      </w:r>
      <w:r>
        <w:rPr>
          <w:rFonts w:hint="eastAsia" w:ascii="宋体" w:hAnsi="宋体" w:cs="宋体"/>
          <w:sz w:val="24"/>
          <w:u w:val="single"/>
        </w:rPr>
        <w:t xml:space="preserve">  </w:t>
      </w:r>
      <w:r>
        <w:rPr>
          <w:rFonts w:hint="eastAsia" w:ascii="宋体" w:hAnsi="宋体" w:cs="宋体"/>
          <w:b/>
          <w:sz w:val="24"/>
          <w:u w:val="single"/>
        </w:rPr>
        <w:t>双方签字、盖章且承包人提交履约保证金后</w:t>
      </w:r>
      <w:r>
        <w:rPr>
          <w:rFonts w:hint="eastAsia" w:ascii="宋体" w:hAnsi="宋体" w:cs="宋体"/>
          <w:bCs/>
          <w:sz w:val="24"/>
        </w:rPr>
        <w:t>生效。</w:t>
      </w:r>
    </w:p>
    <w:p w14:paraId="19A1A390">
      <w:pPr>
        <w:spacing w:line="360" w:lineRule="auto"/>
        <w:ind w:firstLine="437"/>
        <w:rPr>
          <w:rFonts w:ascii="宋体" w:hAnsi="宋体" w:cs="宋体"/>
          <w:b/>
          <w:sz w:val="24"/>
        </w:rPr>
      </w:pPr>
      <w:r>
        <w:rPr>
          <w:rFonts w:hint="eastAsia" w:ascii="宋体" w:hAnsi="宋体" w:cs="宋体"/>
          <w:b/>
          <w:sz w:val="24"/>
        </w:rPr>
        <w:t>十三、合同份数</w:t>
      </w:r>
    </w:p>
    <w:p w14:paraId="66EDD88D">
      <w:pPr>
        <w:spacing w:line="360" w:lineRule="auto"/>
        <w:ind w:firstLine="437"/>
        <w:rPr>
          <w:rFonts w:ascii="宋体" w:hAnsi="宋体" w:cs="宋体"/>
          <w:b/>
          <w:sz w:val="24"/>
        </w:rPr>
      </w:pPr>
      <w:r>
        <w:rPr>
          <w:rFonts w:hint="eastAsia" w:ascii="宋体" w:hAnsi="宋体" w:cs="宋体"/>
          <w:bCs/>
          <w:sz w:val="24"/>
        </w:rPr>
        <w:t>本合同一式</w:t>
      </w:r>
      <w:r>
        <w:rPr>
          <w:rFonts w:hint="eastAsia" w:ascii="宋体" w:hAnsi="宋体" w:cs="宋体"/>
          <w:sz w:val="24"/>
          <w:u w:val="single"/>
        </w:rPr>
        <w:t>捌</w:t>
      </w:r>
      <w:r>
        <w:rPr>
          <w:rFonts w:hint="eastAsia" w:ascii="宋体" w:hAnsi="宋体" w:cs="宋体"/>
          <w:bCs/>
          <w:sz w:val="24"/>
        </w:rPr>
        <w:t>份，均具有同等法律效力，发包人执</w:t>
      </w:r>
      <w:r>
        <w:rPr>
          <w:rFonts w:hint="eastAsia" w:ascii="宋体" w:hAnsi="宋体" w:cs="宋体"/>
          <w:sz w:val="24"/>
          <w:u w:val="single"/>
        </w:rPr>
        <w:t>肆</w:t>
      </w:r>
      <w:r>
        <w:rPr>
          <w:rFonts w:hint="eastAsia" w:ascii="宋体" w:hAnsi="宋体" w:cs="宋体"/>
          <w:bCs/>
          <w:sz w:val="24"/>
        </w:rPr>
        <w:t>份，承包人执</w:t>
      </w:r>
      <w:r>
        <w:rPr>
          <w:rFonts w:hint="eastAsia" w:ascii="宋体" w:hAnsi="宋体" w:cs="宋体"/>
          <w:sz w:val="24"/>
          <w:u w:val="single"/>
        </w:rPr>
        <w:t>肆</w:t>
      </w:r>
      <w:r>
        <w:rPr>
          <w:rFonts w:hint="eastAsia" w:ascii="宋体" w:hAnsi="宋体" w:cs="宋体"/>
          <w:bCs/>
          <w:sz w:val="24"/>
        </w:rPr>
        <w:t>份。</w:t>
      </w:r>
    </w:p>
    <w:p w14:paraId="5F9E8F81">
      <w:pPr>
        <w:snapToGrid w:val="0"/>
        <w:spacing w:line="360" w:lineRule="auto"/>
        <w:ind w:right="-624" w:rightChars="-297"/>
        <w:rPr>
          <w:rFonts w:ascii="宋体" w:hAnsi="宋体" w:cs="宋体"/>
          <w:sz w:val="24"/>
        </w:rPr>
      </w:pPr>
    </w:p>
    <w:p w14:paraId="32A1A295">
      <w:pPr>
        <w:snapToGrid w:val="0"/>
        <w:spacing w:line="360" w:lineRule="auto"/>
        <w:ind w:right="-624" w:rightChars="-297"/>
        <w:rPr>
          <w:rFonts w:ascii="宋体" w:hAnsi="宋体" w:cs="宋体"/>
          <w:kern w:val="0"/>
          <w:sz w:val="24"/>
        </w:rPr>
      </w:pPr>
      <w:bookmarkStart w:id="460" w:name="_Toc351203494"/>
      <w:r>
        <w:rPr>
          <w:rFonts w:hint="eastAsia" w:ascii="宋体" w:hAnsi="宋体" w:cs="宋体"/>
          <w:sz w:val="24"/>
        </w:rPr>
        <w:t>发包人：</w:t>
      </w:r>
      <w:r>
        <w:rPr>
          <w:rFonts w:hint="eastAsia" w:ascii="宋体" w:hAnsi="宋体" w:cs="宋体"/>
          <w:kern w:val="0"/>
          <w:sz w:val="24"/>
          <w:u w:val="single"/>
        </w:rPr>
        <w:t xml:space="preserve">   浙江中医药大学           </w:t>
      </w:r>
      <w:r>
        <w:rPr>
          <w:rFonts w:hint="eastAsia" w:ascii="宋体" w:hAnsi="宋体" w:cs="宋体"/>
          <w:kern w:val="0"/>
          <w:sz w:val="24"/>
        </w:rPr>
        <w:t>（盖章）      承包人：</w:t>
      </w:r>
      <w:bookmarkStart w:id="461" w:name="_Hlk106096075"/>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bookmarkEnd w:id="461"/>
      <w:r>
        <w:rPr>
          <w:rFonts w:hint="eastAsia" w:ascii="宋体" w:hAnsi="宋体" w:cs="宋体"/>
          <w:kern w:val="0"/>
          <w:sz w:val="24"/>
          <w:u w:val="single"/>
        </w:rPr>
        <w:t xml:space="preserve">  </w:t>
      </w:r>
      <w:r>
        <w:rPr>
          <w:rFonts w:hint="eastAsia" w:ascii="宋体" w:hAnsi="宋体" w:cs="宋体"/>
          <w:kern w:val="0"/>
          <w:sz w:val="24"/>
        </w:rPr>
        <w:t>（盖章）</w:t>
      </w:r>
    </w:p>
    <w:p w14:paraId="568F1A9A">
      <w:pPr>
        <w:spacing w:line="360" w:lineRule="auto"/>
        <w:rPr>
          <w:rFonts w:ascii="宋体" w:hAnsi="宋体" w:cs="宋体"/>
          <w:sz w:val="24"/>
        </w:rPr>
      </w:pPr>
      <w:r>
        <w:rPr>
          <w:rFonts w:hint="eastAsia" w:ascii="宋体" w:hAnsi="宋体" w:cs="宋体"/>
          <w:sz w:val="24"/>
        </w:rPr>
        <w:t>法定代表人或其委托代理人：（签字）              法定代表人或其委托代理人：（签字）</w:t>
      </w:r>
    </w:p>
    <w:p w14:paraId="7E154670">
      <w:pPr>
        <w:tabs>
          <w:tab w:val="left" w:pos="4410"/>
        </w:tabs>
        <w:spacing w:line="360" w:lineRule="auto"/>
        <w:ind w:right="-624" w:rightChars="-297"/>
        <w:rPr>
          <w:rFonts w:ascii="宋体" w:hAnsi="宋体" w:cs="宋体"/>
          <w:sz w:val="24"/>
        </w:rPr>
      </w:pPr>
      <w:r>
        <w:rPr>
          <w:rFonts w:hint="eastAsia" w:ascii="宋体" w:hAnsi="宋体" w:cs="宋体"/>
          <w:sz w:val="24"/>
        </w:rPr>
        <w:t>组织机构代码：</w:t>
      </w:r>
      <w:r>
        <w:rPr>
          <w:rFonts w:hint="eastAsia" w:ascii="宋体" w:hAnsi="宋体" w:cs="宋体"/>
          <w:sz w:val="24"/>
          <w:u w:val="single"/>
        </w:rPr>
        <w:t>12330000470004110Q</w:t>
      </w:r>
      <w:r>
        <w:rPr>
          <w:rFonts w:hint="eastAsia" w:ascii="宋体" w:hAnsi="宋体" w:cs="宋体"/>
          <w:sz w:val="24"/>
        </w:rPr>
        <w:t xml:space="preserve">               组织机构代码：</w:t>
      </w:r>
      <w:r>
        <w:rPr>
          <w:rFonts w:hint="eastAsia" w:ascii="宋体" w:hAnsi="宋体" w:cs="宋体"/>
          <w:kern w:val="0"/>
          <w:sz w:val="24"/>
          <w:u w:val="single"/>
        </w:rPr>
        <w:t xml:space="preserve">                </w:t>
      </w:r>
    </w:p>
    <w:p w14:paraId="43921ADD">
      <w:pPr>
        <w:spacing w:line="360" w:lineRule="auto"/>
        <w:ind w:right="-624" w:rightChars="-297"/>
        <w:rPr>
          <w:rFonts w:ascii="宋体" w:hAnsi="宋体" w:cs="宋体"/>
          <w:sz w:val="24"/>
          <w:u w:val="single"/>
        </w:rPr>
      </w:pPr>
      <w:bookmarkStart w:id="462" w:name="_Hlk74481236"/>
      <w:r>
        <w:rPr>
          <w:rFonts w:hint="eastAsia" w:ascii="宋体" w:hAnsi="宋体" w:cs="宋体"/>
          <w:sz w:val="24"/>
        </w:rPr>
        <w:t>地  址：</w:t>
      </w:r>
      <w:r>
        <w:rPr>
          <w:rFonts w:hint="eastAsia" w:ascii="宋体" w:hAnsi="宋体" w:cs="宋体"/>
          <w:sz w:val="24"/>
          <w:u w:val="single"/>
        </w:rPr>
        <w:t xml:space="preserve"> 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bookmarkEnd w:id="462"/>
    <w:p w14:paraId="36EAED8B">
      <w:pPr>
        <w:spacing w:line="360" w:lineRule="auto"/>
        <w:ind w:right="-624" w:rightChars="-297"/>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kern w:val="0"/>
          <w:sz w:val="24"/>
          <w:u w:val="single"/>
        </w:rPr>
        <w:t xml:space="preserve">                </w:t>
      </w:r>
      <w:r>
        <w:rPr>
          <w:rFonts w:hint="eastAsia" w:ascii="宋体" w:hAnsi="宋体" w:cs="宋体"/>
          <w:sz w:val="24"/>
          <w:u w:val="single"/>
        </w:rPr>
        <w:t xml:space="preserve">  </w:t>
      </w:r>
    </w:p>
    <w:p w14:paraId="7215778F">
      <w:pPr>
        <w:spacing w:line="360" w:lineRule="auto"/>
        <w:ind w:right="-624" w:rightChars="-297"/>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14:paraId="4BD7638F">
      <w:pPr>
        <w:spacing w:line="360" w:lineRule="auto"/>
        <w:ind w:right="-624" w:rightChars="-297"/>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       </w:t>
      </w:r>
      <w:r>
        <w:rPr>
          <w:rFonts w:hint="eastAsia" w:ascii="宋体" w:hAnsi="宋体" w:cs="宋体"/>
          <w:sz w:val="24"/>
        </w:rPr>
        <w:t xml:space="preserve">                     委托代理人：</w:t>
      </w:r>
      <w:r>
        <w:rPr>
          <w:rFonts w:hint="eastAsia" w:ascii="宋体" w:hAnsi="宋体" w:cs="宋体"/>
          <w:sz w:val="24"/>
          <w:u w:val="single"/>
        </w:rPr>
        <w:t xml:space="preserve">   /       </w:t>
      </w:r>
    </w:p>
    <w:p w14:paraId="1D9881AA">
      <w:pPr>
        <w:spacing w:line="360" w:lineRule="auto"/>
        <w:ind w:right="-624" w:rightChars="-297"/>
        <w:rPr>
          <w:rFonts w:ascii="宋体" w:hAnsi="宋体" w:cs="宋体"/>
          <w:sz w:val="24"/>
        </w:rPr>
      </w:pPr>
      <w:r>
        <w:rPr>
          <w:rFonts w:hint="eastAsia" w:ascii="宋体" w:hAnsi="宋体" w:cs="宋体"/>
          <w:sz w:val="24"/>
        </w:rPr>
        <w:t>电  话：</w:t>
      </w:r>
      <w:r>
        <w:rPr>
          <w:rFonts w:hint="eastAsia" w:ascii="宋体" w:hAnsi="宋体" w:cs="宋体"/>
          <w:sz w:val="24"/>
          <w:u w:val="single"/>
        </w:rPr>
        <w:t></w:t>
      </w:r>
      <w:bookmarkStart w:id="463" w:name="_Hlk74481252"/>
      <w:r>
        <w:rPr>
          <w:rFonts w:hint="eastAsia" w:ascii="宋体" w:hAnsi="宋体" w:cs="宋体"/>
          <w:kern w:val="0"/>
          <w:sz w:val="24"/>
          <w:u w:val="single"/>
        </w:rPr>
        <w:t xml:space="preserve">            </w:t>
      </w:r>
      <w:bookmarkEnd w:id="463"/>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78216676">
      <w:pPr>
        <w:spacing w:line="360" w:lineRule="auto"/>
        <w:ind w:right="-624" w:rightChars="-297"/>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6034A2EE">
      <w:pPr>
        <w:spacing w:line="360" w:lineRule="auto"/>
        <w:ind w:right="-624" w:rightChars="-297"/>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kern w:val="0"/>
          <w:sz w:val="24"/>
          <w:u w:val="single"/>
        </w:rPr>
        <w:t xml:space="preserve">                </w:t>
      </w:r>
    </w:p>
    <w:p w14:paraId="03DDDFBF">
      <w:pPr>
        <w:spacing w:line="360" w:lineRule="auto"/>
        <w:ind w:right="-624" w:rightChars="-297"/>
        <w:rPr>
          <w:rFonts w:ascii="宋体" w:hAnsi="宋体" w:cs="宋体"/>
          <w:sz w:val="24"/>
        </w:rPr>
      </w:pPr>
      <w:bookmarkStart w:id="464" w:name="_Hlk74481263"/>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6B7199D5">
      <w:pPr>
        <w:spacing w:line="360" w:lineRule="auto"/>
        <w:ind w:right="-624" w:rightChars="-29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0F8E6114">
      <w:pPr>
        <w:autoSpaceDE w:val="0"/>
        <w:autoSpaceDN w:val="0"/>
        <w:jc w:val="left"/>
        <w:rPr>
          <w:rFonts w:ascii="宋体" w:hAnsi="宋体" w:cs="宋体"/>
          <w:kern w:val="0"/>
          <w:sz w:val="24"/>
        </w:rPr>
      </w:pPr>
    </w:p>
    <w:p w14:paraId="19218F27">
      <w:pPr>
        <w:spacing w:line="360" w:lineRule="auto"/>
        <w:rPr>
          <w:rFonts w:ascii="宋体" w:hAnsi="宋体" w:cs="宋体"/>
          <w:sz w:val="24"/>
        </w:rPr>
      </w:pPr>
      <w:r>
        <w:rPr>
          <w:rFonts w:hint="eastAsia" w:ascii="宋体" w:hAnsi="宋体" w:cs="宋体"/>
          <w:sz w:val="24"/>
        </w:rPr>
        <w:t>鉴证单位：</w:t>
      </w:r>
      <w:r>
        <w:rPr>
          <w:rFonts w:hint="eastAsia" w:ascii="宋体" w:hAnsi="宋体" w:cs="宋体"/>
          <w:sz w:val="24"/>
          <w:u w:val="single"/>
        </w:rPr>
        <w:t>浙江豪圣建设项目管理有限公司（盖章）</w:t>
      </w:r>
    </w:p>
    <w:p w14:paraId="04D09993">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日   期： </w:t>
      </w:r>
    </w:p>
    <w:bookmarkEnd w:id="464"/>
    <w:p w14:paraId="49836D89">
      <w:pPr>
        <w:spacing w:line="360" w:lineRule="auto"/>
        <w:jc w:val="center"/>
        <w:outlineLvl w:val="1"/>
        <w:rPr>
          <w:rFonts w:ascii="宋体" w:hAnsi="宋体" w:cs="宋体"/>
          <w:b/>
          <w:sz w:val="24"/>
        </w:rPr>
      </w:pPr>
      <w:r>
        <w:rPr>
          <w:rFonts w:hint="eastAsia" w:ascii="宋体" w:hAnsi="宋体" w:cs="宋体"/>
          <w:b/>
          <w:sz w:val="24"/>
        </w:rPr>
        <w:br w:type="page"/>
      </w:r>
      <w:bookmarkStart w:id="465" w:name="_Toc7177"/>
      <w:bookmarkStart w:id="466" w:name="_Toc23858"/>
      <w:bookmarkStart w:id="467" w:name="_Toc65855222"/>
      <w:bookmarkStart w:id="468" w:name="_Toc30683"/>
      <w:bookmarkStart w:id="469" w:name="_Toc9670"/>
      <w:bookmarkStart w:id="470" w:name="_Toc31843"/>
      <w:bookmarkStart w:id="471" w:name="_Toc31859"/>
      <w:bookmarkStart w:id="472" w:name="_Toc22109"/>
      <w:bookmarkStart w:id="473" w:name="_Toc23044"/>
      <w:bookmarkStart w:id="474" w:name="_Toc22728"/>
      <w:bookmarkStart w:id="475" w:name="_Toc25343"/>
      <w:bookmarkStart w:id="476" w:name="_Toc21340"/>
      <w:bookmarkStart w:id="477" w:name="_Toc31148"/>
      <w:bookmarkStart w:id="478" w:name="_Hlk62485489"/>
      <w:r>
        <w:rPr>
          <w:rFonts w:hint="eastAsia" w:ascii="宋体" w:hAnsi="宋体" w:cs="宋体"/>
          <w:b/>
          <w:sz w:val="24"/>
        </w:rPr>
        <w:t>第二部分 通用合同条款</w:t>
      </w:r>
      <w:bookmarkEnd w:id="460"/>
      <w:r>
        <w:rPr>
          <w:rFonts w:hint="eastAsia" w:ascii="宋体" w:hAnsi="宋体" w:cs="宋体"/>
          <w:b/>
          <w:sz w:val="24"/>
        </w:rPr>
        <w:t>（略)</w:t>
      </w:r>
      <w:bookmarkEnd w:id="465"/>
      <w:bookmarkEnd w:id="466"/>
      <w:bookmarkEnd w:id="467"/>
      <w:bookmarkEnd w:id="468"/>
      <w:bookmarkEnd w:id="469"/>
      <w:bookmarkEnd w:id="470"/>
      <w:bookmarkEnd w:id="471"/>
      <w:bookmarkEnd w:id="472"/>
      <w:bookmarkEnd w:id="473"/>
      <w:bookmarkEnd w:id="474"/>
      <w:bookmarkEnd w:id="475"/>
      <w:bookmarkEnd w:id="476"/>
      <w:bookmarkEnd w:id="477"/>
    </w:p>
    <w:p w14:paraId="4CB6E157">
      <w:pPr>
        <w:spacing w:line="360" w:lineRule="auto"/>
        <w:ind w:firstLine="480" w:firstLineChars="200"/>
        <w:jc w:val="center"/>
        <w:rPr>
          <w:rFonts w:ascii="宋体" w:hAnsi="宋体" w:cs="宋体"/>
          <w:sz w:val="24"/>
        </w:rPr>
      </w:pPr>
      <w:r>
        <w:rPr>
          <w:rFonts w:hint="eastAsia" w:ascii="宋体" w:hAnsi="宋体" w:cs="宋体"/>
          <w:sz w:val="24"/>
        </w:rPr>
        <w:t>同《建设工程施工合同》(示范文本)GF-2017-0201</w:t>
      </w:r>
    </w:p>
    <w:p w14:paraId="0E97FF5A">
      <w:pPr>
        <w:spacing w:line="360" w:lineRule="auto"/>
        <w:jc w:val="center"/>
        <w:outlineLvl w:val="1"/>
        <w:rPr>
          <w:rFonts w:ascii="宋体" w:hAnsi="宋体" w:cs="宋体"/>
          <w:b/>
          <w:sz w:val="24"/>
        </w:rPr>
      </w:pPr>
      <w:bookmarkStart w:id="479" w:name="_Toc2535"/>
      <w:bookmarkStart w:id="480" w:name="_Toc65855223"/>
      <w:bookmarkStart w:id="481" w:name="_Toc6686"/>
      <w:bookmarkStart w:id="482" w:name="_Toc31887"/>
      <w:bookmarkStart w:id="483" w:name="_Toc5929"/>
      <w:bookmarkStart w:id="484" w:name="_Toc28378"/>
      <w:bookmarkStart w:id="485" w:name="_Toc12431"/>
      <w:bookmarkStart w:id="486" w:name="_Toc22444"/>
      <w:bookmarkStart w:id="487" w:name="_Toc8688"/>
      <w:bookmarkStart w:id="488" w:name="_Toc22755"/>
      <w:bookmarkStart w:id="489" w:name="_Toc22138"/>
      <w:bookmarkStart w:id="490" w:name="_Toc10024"/>
      <w:bookmarkStart w:id="491" w:name="_Toc351203632"/>
      <w:bookmarkStart w:id="492" w:name="_Toc26970"/>
      <w:r>
        <w:rPr>
          <w:rFonts w:hint="eastAsia" w:ascii="宋体" w:hAnsi="宋体" w:cs="宋体"/>
          <w:b/>
          <w:sz w:val="24"/>
        </w:rPr>
        <w:t>第三部分 专用合同条款</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bookmarkEnd w:id="457"/>
    <w:bookmarkEnd w:id="478"/>
    <w:p w14:paraId="0F63490D">
      <w:pPr>
        <w:topLinePunct/>
        <w:spacing w:line="360" w:lineRule="auto"/>
        <w:ind w:firstLine="420"/>
        <w:rPr>
          <w:rFonts w:ascii="宋体" w:hAnsi="宋体" w:cs="宋体"/>
          <w:b/>
          <w:sz w:val="24"/>
        </w:rPr>
      </w:pPr>
      <w:r>
        <w:rPr>
          <w:rFonts w:hint="eastAsia" w:ascii="宋体" w:hAnsi="宋体" w:cs="宋体"/>
          <w:b/>
          <w:sz w:val="24"/>
        </w:rPr>
        <w:t>1.一般约定</w:t>
      </w:r>
    </w:p>
    <w:p w14:paraId="02F51D54">
      <w:pPr>
        <w:spacing w:line="360" w:lineRule="auto"/>
        <w:ind w:firstLine="480" w:firstLineChars="200"/>
        <w:rPr>
          <w:rFonts w:ascii="宋体" w:hAnsi="宋体" w:cs="宋体"/>
          <w:sz w:val="24"/>
        </w:rPr>
      </w:pPr>
      <w:r>
        <w:rPr>
          <w:rFonts w:hint="eastAsia" w:ascii="宋体" w:hAnsi="宋体" w:cs="宋体"/>
          <w:sz w:val="24"/>
        </w:rPr>
        <w:t>1.1 词语定义</w:t>
      </w:r>
    </w:p>
    <w:p w14:paraId="22F9A1CF">
      <w:pPr>
        <w:spacing w:line="360" w:lineRule="auto"/>
        <w:ind w:firstLine="480" w:firstLineChars="200"/>
        <w:rPr>
          <w:rFonts w:ascii="宋体" w:hAnsi="宋体" w:cs="宋体"/>
          <w:sz w:val="24"/>
        </w:rPr>
      </w:pPr>
      <w:r>
        <w:rPr>
          <w:rFonts w:hint="eastAsia" w:ascii="宋体" w:hAnsi="宋体" w:cs="宋体"/>
          <w:sz w:val="24"/>
        </w:rPr>
        <w:t>1.1.1合同</w:t>
      </w:r>
    </w:p>
    <w:p w14:paraId="31E1D6BF">
      <w:pPr>
        <w:spacing w:line="360" w:lineRule="auto"/>
        <w:ind w:firstLine="480" w:firstLineChars="200"/>
        <w:rPr>
          <w:rFonts w:ascii="宋体" w:hAnsi="宋体" w:cs="宋体"/>
          <w:sz w:val="24"/>
        </w:rPr>
      </w:pPr>
      <w:r>
        <w:rPr>
          <w:rFonts w:hint="eastAsia" w:ascii="宋体" w:hAnsi="宋体" w:cs="宋体"/>
          <w:sz w:val="24"/>
        </w:rPr>
        <w:t>1.1.1.10其他合同文件包括：</w:t>
      </w:r>
    </w:p>
    <w:p w14:paraId="0127A6DA">
      <w:pPr>
        <w:spacing w:line="360" w:lineRule="auto"/>
        <w:ind w:left="-315" w:leftChars="-150" w:firstLine="840" w:firstLineChars="350"/>
        <w:rPr>
          <w:rFonts w:ascii="宋体" w:hAnsi="宋体" w:cs="宋体"/>
          <w:sz w:val="24"/>
          <w:u w:val="single"/>
        </w:rPr>
      </w:pPr>
      <w:r>
        <w:rPr>
          <w:rFonts w:hint="eastAsia" w:ascii="宋体" w:hAnsi="宋体" w:cs="宋体"/>
          <w:sz w:val="24"/>
          <w:u w:val="single"/>
        </w:rPr>
        <w:t>施工组织设计：施工组织设计是用来指导施工项目全过程各项活动的技术、经济和组织的综合性文件。</w:t>
      </w:r>
    </w:p>
    <w:p w14:paraId="0AA26FE1">
      <w:pPr>
        <w:spacing w:line="360" w:lineRule="auto"/>
        <w:ind w:firstLine="480" w:firstLineChars="200"/>
        <w:rPr>
          <w:rFonts w:ascii="宋体" w:hAnsi="宋体" w:cs="宋体"/>
          <w:sz w:val="24"/>
        </w:rPr>
      </w:pPr>
      <w:r>
        <w:rPr>
          <w:rFonts w:hint="eastAsia" w:ascii="宋体" w:hAnsi="宋体" w:cs="宋体"/>
          <w:sz w:val="24"/>
        </w:rPr>
        <w:t>1.1.2 合同当事人及其他相关方</w:t>
      </w:r>
    </w:p>
    <w:p w14:paraId="4AE82320">
      <w:pPr>
        <w:spacing w:line="360" w:lineRule="auto"/>
        <w:ind w:firstLine="480" w:firstLineChars="200"/>
        <w:rPr>
          <w:rFonts w:ascii="宋体" w:hAnsi="宋体" w:cs="宋体"/>
          <w:sz w:val="24"/>
        </w:rPr>
      </w:pPr>
      <w:r>
        <w:rPr>
          <w:rFonts w:hint="eastAsia" w:ascii="宋体" w:hAnsi="宋体" w:cs="宋体"/>
          <w:sz w:val="24"/>
        </w:rPr>
        <w:t>1.1.2.4监理人：</w:t>
      </w:r>
    </w:p>
    <w:p w14:paraId="00D8C274">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w:t>
      </w:r>
    </w:p>
    <w:p w14:paraId="79329FFF">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   ；</w:t>
      </w:r>
    </w:p>
    <w:p w14:paraId="2979A286">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p>
    <w:p w14:paraId="58A542A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w:t>
      </w:r>
    </w:p>
    <w:p w14:paraId="69AC8750">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  ；</w:t>
      </w:r>
    </w:p>
    <w:p w14:paraId="5BCA446A">
      <w:pPr>
        <w:spacing w:line="360" w:lineRule="auto"/>
        <w:ind w:firstLine="480" w:firstLineChars="200"/>
        <w:rPr>
          <w:rFonts w:ascii="宋体" w:hAnsi="宋体" w:cs="宋体"/>
          <w:sz w:val="24"/>
        </w:rPr>
      </w:pPr>
      <w:r>
        <w:rPr>
          <w:rFonts w:hint="eastAsia" w:ascii="宋体" w:hAnsi="宋体" w:cs="宋体"/>
          <w:sz w:val="24"/>
        </w:rPr>
        <w:t>1.1.2.5 设计人：</w:t>
      </w:r>
    </w:p>
    <w:p w14:paraId="12F7F5EF">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w:t>
      </w:r>
    </w:p>
    <w:p w14:paraId="63176F2E">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w:t>
      </w:r>
    </w:p>
    <w:p w14:paraId="7F651F9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18A0ED64">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w:t>
      </w:r>
    </w:p>
    <w:p w14:paraId="5D50B21C">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w:t>
      </w:r>
    </w:p>
    <w:p w14:paraId="7C44C7A5">
      <w:pPr>
        <w:spacing w:line="360" w:lineRule="auto"/>
        <w:ind w:firstLine="480" w:firstLineChars="200"/>
        <w:rPr>
          <w:rFonts w:ascii="宋体" w:hAnsi="宋体" w:cs="宋体"/>
          <w:sz w:val="24"/>
        </w:rPr>
      </w:pPr>
      <w:r>
        <w:rPr>
          <w:rFonts w:hint="eastAsia" w:ascii="宋体" w:hAnsi="宋体" w:cs="宋体"/>
          <w:sz w:val="24"/>
        </w:rPr>
        <w:t>1.1.3 工程和设备</w:t>
      </w:r>
    </w:p>
    <w:p w14:paraId="7365E104">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w:t>
      </w:r>
    </w:p>
    <w:p w14:paraId="14D91798">
      <w:pPr>
        <w:spacing w:line="360" w:lineRule="auto"/>
        <w:ind w:firstLine="480" w:firstLineChars="200"/>
        <w:rPr>
          <w:rFonts w:ascii="宋体" w:hAnsi="宋体" w:cs="宋体"/>
          <w:kern w:val="0"/>
          <w:sz w:val="24"/>
        </w:rPr>
      </w:pPr>
      <w:r>
        <w:rPr>
          <w:rFonts w:hint="eastAsia" w:ascii="宋体" w:hAnsi="宋体" w:cs="宋体"/>
          <w:sz w:val="24"/>
        </w:rPr>
        <w:t>1.1.3.9 永久占地包括：</w:t>
      </w:r>
      <w:r>
        <w:rPr>
          <w:rFonts w:hint="eastAsia" w:ascii="宋体" w:hAnsi="宋体" w:cs="宋体"/>
          <w:sz w:val="24"/>
          <w:u w:val="single"/>
        </w:rPr>
        <w:t>/。</w:t>
      </w:r>
    </w:p>
    <w:p w14:paraId="266087B5">
      <w:pPr>
        <w:spacing w:line="360" w:lineRule="auto"/>
        <w:ind w:firstLine="480" w:firstLineChars="200"/>
        <w:rPr>
          <w:rFonts w:ascii="宋体" w:hAnsi="宋体" w:cs="宋体"/>
          <w:sz w:val="24"/>
          <w:u w:val="single"/>
        </w:rPr>
      </w:pPr>
      <w:r>
        <w:rPr>
          <w:rFonts w:hint="eastAsia" w:ascii="宋体" w:hAnsi="宋体" w:cs="宋体"/>
          <w:sz w:val="24"/>
        </w:rPr>
        <w:t>1.1.3.10 临时占地包括：</w:t>
      </w:r>
      <w:r>
        <w:rPr>
          <w:rFonts w:hint="eastAsia" w:ascii="宋体" w:hAnsi="宋体" w:cs="宋体"/>
          <w:sz w:val="24"/>
          <w:u w:val="single"/>
        </w:rPr>
        <w:t xml:space="preserve"> /。</w:t>
      </w:r>
    </w:p>
    <w:p w14:paraId="297FD631">
      <w:pPr>
        <w:spacing w:line="360" w:lineRule="auto"/>
        <w:ind w:firstLine="480" w:firstLineChars="200"/>
        <w:rPr>
          <w:rFonts w:ascii="宋体" w:hAnsi="宋体" w:cs="宋体"/>
          <w:sz w:val="24"/>
        </w:rPr>
      </w:pPr>
      <w:r>
        <w:rPr>
          <w:rFonts w:hint="eastAsia" w:ascii="宋体" w:hAnsi="宋体" w:cs="宋体"/>
          <w:sz w:val="24"/>
        </w:rPr>
        <w:t xml:space="preserve">1.3法律 </w:t>
      </w:r>
    </w:p>
    <w:p w14:paraId="146B7564">
      <w:pPr>
        <w:autoSpaceDE w:val="0"/>
        <w:autoSpaceDN w:val="0"/>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434C161B">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u w:val="single"/>
        </w:rPr>
        <w:t>（1）《杭州市建设工程工程量清单计价实施细则》</w:t>
      </w:r>
    </w:p>
    <w:p w14:paraId="50E7F37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（2）《关于进一步加强建筑施工领域企业安全生产工作的实施意见》的通知（杭建工发〔2011〕130号）</w:t>
      </w:r>
    </w:p>
    <w:p w14:paraId="750EB58C">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（3）《关于进一步加强建设工程安全质量物联网管理应用平台建设的通知》（</w:t>
      </w:r>
      <w:r>
        <w:rPr>
          <w:rFonts w:hint="eastAsia" w:ascii="宋体" w:hAnsi="宋体" w:cs="宋体"/>
          <w:kern w:val="0"/>
          <w:sz w:val="24"/>
          <w:u w:val="single"/>
        </w:rPr>
        <w:t>杭建工发【2012】426号）</w:t>
      </w:r>
    </w:p>
    <w:p w14:paraId="68683D4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（4）《杭州市人民政府办公厅关于印发杭州市建设工程推广应用预拌砂浆管理办法的通知》（杭政办函（2011）32号）</w:t>
      </w:r>
    </w:p>
    <w:p w14:paraId="2FB65FD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（5）</w:t>
      </w:r>
      <w:r>
        <w:rPr>
          <w:rFonts w:hint="eastAsia" w:ascii="宋体" w:hAnsi="宋体" w:cs="宋体"/>
          <w:kern w:val="0"/>
          <w:sz w:val="24"/>
          <w:u w:val="single"/>
        </w:rPr>
        <w:t>《关于落实建筑工棚安装空调事宜的通知》（</w:t>
      </w:r>
      <w:r>
        <w:rPr>
          <w:rFonts w:hint="eastAsia" w:ascii="宋体" w:hAnsi="宋体" w:cs="宋体"/>
          <w:sz w:val="24"/>
          <w:u w:val="single"/>
        </w:rPr>
        <w:t>杭建工发【2011】237号）</w:t>
      </w:r>
    </w:p>
    <w:p w14:paraId="4C1C2B9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（6</w:t>
      </w:r>
      <w:r>
        <w:rPr>
          <w:rFonts w:hint="eastAsia" w:ascii="宋体" w:hAnsi="宋体" w:cs="宋体"/>
          <w:kern w:val="0"/>
          <w:sz w:val="24"/>
          <w:u w:val="single"/>
        </w:rPr>
        <w:t>）《关于进一步加强杭州市建设工程市场要素价格动态管理的指导意见》（杭建市【2018】579号）</w:t>
      </w:r>
    </w:p>
    <w:p w14:paraId="0F3F2EC0">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（7）《关于贯彻执行浙江省建设工程计价依据（2018版）的通知》（杭建市【2018】164号）</w:t>
      </w:r>
    </w:p>
    <w:p w14:paraId="19BEC7E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（8）其他：省、市、区行政主管部门颁发的其他规范性文件。</w:t>
      </w:r>
    </w:p>
    <w:p w14:paraId="3E8C0EF8">
      <w:pPr>
        <w:spacing w:line="360" w:lineRule="auto"/>
        <w:ind w:firstLine="480" w:firstLineChars="200"/>
        <w:rPr>
          <w:rFonts w:ascii="宋体" w:hAnsi="宋体" w:cs="宋体"/>
          <w:sz w:val="24"/>
        </w:rPr>
      </w:pPr>
      <w:r>
        <w:rPr>
          <w:rFonts w:hint="eastAsia" w:ascii="宋体" w:hAnsi="宋体" w:cs="宋体"/>
          <w:sz w:val="24"/>
        </w:rPr>
        <w:t>1.4 标准和规范</w:t>
      </w:r>
    </w:p>
    <w:p w14:paraId="2DDAE962">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按通用条款约定；</w:t>
      </w:r>
    </w:p>
    <w:p w14:paraId="1B1B9327">
      <w:pPr>
        <w:spacing w:line="360" w:lineRule="auto"/>
        <w:ind w:firstLine="480" w:firstLineChars="200"/>
        <w:rPr>
          <w:rFonts w:ascii="宋体" w:hAnsi="宋体" w:cs="宋体"/>
          <w:sz w:val="24"/>
          <w:u w:val="single"/>
        </w:rPr>
      </w:pPr>
      <w:r>
        <w:rPr>
          <w:rFonts w:hint="eastAsia" w:ascii="宋体" w:hAnsi="宋体" w:cs="宋体"/>
          <w:sz w:val="24"/>
        </w:rPr>
        <w:t xml:space="preserve">1.4.2 发包人提供国外标准、规范的名称： </w:t>
      </w:r>
      <w:r>
        <w:rPr>
          <w:rFonts w:hint="eastAsia" w:ascii="宋体" w:hAnsi="宋体" w:cs="宋体"/>
          <w:sz w:val="24"/>
          <w:u w:val="single"/>
        </w:rPr>
        <w:t xml:space="preserve"> /；</w:t>
      </w:r>
    </w:p>
    <w:p w14:paraId="682BB4CE">
      <w:pPr>
        <w:spacing w:line="360" w:lineRule="auto"/>
        <w:ind w:firstLine="480" w:firstLineChars="200"/>
        <w:rPr>
          <w:rFonts w:ascii="宋体" w:hAnsi="宋体" w:cs="宋体"/>
          <w:kern w:val="0"/>
          <w:sz w:val="24"/>
        </w:rPr>
      </w:pPr>
      <w:r>
        <w:rPr>
          <w:rFonts w:hint="eastAsia" w:ascii="宋体" w:hAnsi="宋体" w:cs="宋体"/>
          <w:sz w:val="24"/>
        </w:rPr>
        <w:t>发包人提供国外标准、规范的份数：</w:t>
      </w:r>
      <w:r>
        <w:rPr>
          <w:rFonts w:hint="eastAsia" w:ascii="宋体" w:hAnsi="宋体" w:cs="宋体"/>
          <w:sz w:val="24"/>
          <w:u w:val="single"/>
        </w:rPr>
        <w:t>/；</w:t>
      </w:r>
    </w:p>
    <w:p w14:paraId="4B490F42">
      <w:pPr>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w:t>
      </w:r>
    </w:p>
    <w:p w14:paraId="688C49BC">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详见设计文件和招标技术要求。</w:t>
      </w:r>
    </w:p>
    <w:p w14:paraId="1C3F94E3">
      <w:pPr>
        <w:spacing w:line="360" w:lineRule="auto"/>
        <w:ind w:firstLine="480" w:firstLineChars="200"/>
        <w:rPr>
          <w:rFonts w:ascii="宋体" w:hAnsi="宋体" w:cs="宋体"/>
          <w:sz w:val="24"/>
        </w:rPr>
      </w:pPr>
      <w:r>
        <w:rPr>
          <w:rFonts w:hint="eastAsia" w:ascii="宋体" w:hAnsi="宋体" w:cs="宋体"/>
          <w:sz w:val="24"/>
        </w:rPr>
        <w:t>1.5 合同文件的优先顺序</w:t>
      </w:r>
    </w:p>
    <w:p w14:paraId="17FE1F49">
      <w:pPr>
        <w:spacing w:line="360" w:lineRule="auto"/>
        <w:ind w:firstLine="480" w:firstLineChars="200"/>
        <w:rPr>
          <w:rFonts w:ascii="宋体" w:hAnsi="宋体" w:cs="宋体"/>
          <w:sz w:val="24"/>
          <w:u w:val="single"/>
        </w:rPr>
      </w:pPr>
      <w:r>
        <w:rPr>
          <w:rFonts w:hint="eastAsia" w:ascii="宋体" w:hAnsi="宋体" w:cs="宋体"/>
          <w:sz w:val="24"/>
        </w:rPr>
        <w:t>合同文件组成及优先顺序为：</w:t>
      </w:r>
      <w:r>
        <w:rPr>
          <w:rFonts w:hint="eastAsia" w:ascii="宋体" w:hAnsi="宋体" w:cs="宋体"/>
          <w:sz w:val="24"/>
          <w:u w:val="single"/>
        </w:rPr>
        <w:t>（1）合同协议书；（2）专用合同条款及附件；（3）成交通知书；（4）投标函及附录；（5）询标纪要；（6）磋商文件及其补充文件（含工程量清单及招标控制价）；（7）除投标函及附录外的其他响应文件；（8）技术标准及要求；（9）图纸（如有）；（10）合同通用条款；（11）已标价的工程量清单；（12）其他合同文件。</w:t>
      </w:r>
    </w:p>
    <w:p w14:paraId="4A1F7DC5">
      <w:pPr>
        <w:spacing w:line="360" w:lineRule="auto"/>
        <w:ind w:firstLine="480" w:firstLineChars="200"/>
        <w:rPr>
          <w:rFonts w:ascii="宋体" w:hAnsi="宋体" w:cs="宋体"/>
          <w:sz w:val="24"/>
        </w:rPr>
      </w:pPr>
      <w:r>
        <w:rPr>
          <w:rFonts w:hint="eastAsia" w:ascii="宋体" w:hAnsi="宋体" w:cs="宋体"/>
          <w:sz w:val="24"/>
        </w:rPr>
        <w:t>1.6 图纸和承包人文件</w:t>
      </w:r>
    </w:p>
    <w:p w14:paraId="13B7BDF8">
      <w:pPr>
        <w:spacing w:line="360" w:lineRule="auto"/>
        <w:ind w:firstLine="480" w:firstLineChars="200"/>
        <w:rPr>
          <w:rFonts w:ascii="宋体" w:hAnsi="宋体" w:cs="宋体"/>
          <w:sz w:val="24"/>
        </w:rPr>
      </w:pPr>
      <w:r>
        <w:rPr>
          <w:rFonts w:hint="eastAsia" w:ascii="宋体" w:hAnsi="宋体" w:cs="宋体"/>
          <w:sz w:val="24"/>
        </w:rPr>
        <w:t>1.6.1 图纸的提供</w:t>
      </w:r>
    </w:p>
    <w:p w14:paraId="2BDC7233">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本合同签订后7天内；</w:t>
      </w:r>
    </w:p>
    <w:p w14:paraId="3602D6A8">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陆套（包括制作竣工图的原始施工图），如承包人额外需要提供施工图纸的，则额外增加的施工图纸的制作费由承包人承担；</w:t>
      </w:r>
    </w:p>
    <w:p w14:paraId="203C77F8">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施工图（详见签收表）。</w:t>
      </w:r>
    </w:p>
    <w:p w14:paraId="0A9BC795">
      <w:pPr>
        <w:spacing w:line="360" w:lineRule="auto"/>
        <w:ind w:firstLine="480" w:firstLineChars="200"/>
        <w:rPr>
          <w:rFonts w:ascii="宋体" w:hAnsi="宋体" w:cs="宋体"/>
          <w:sz w:val="24"/>
        </w:rPr>
      </w:pPr>
      <w:r>
        <w:rPr>
          <w:rFonts w:hint="eastAsia" w:ascii="宋体" w:hAnsi="宋体" w:cs="宋体"/>
          <w:sz w:val="24"/>
        </w:rPr>
        <w:t>1.6.4 承包人文件</w:t>
      </w:r>
    </w:p>
    <w:p w14:paraId="3CC1F9FC">
      <w:pPr>
        <w:tabs>
          <w:tab w:val="left" w:pos="4680"/>
        </w:tabs>
        <w:spacing w:line="360" w:lineRule="auto"/>
        <w:ind w:firstLine="480" w:firstLineChars="200"/>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施工组织设计、进度计划、发包人和政府规定要求必须提供的其他文件。</w:t>
      </w:r>
    </w:p>
    <w:p w14:paraId="0A0405A8">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发包人提出要求后3天内。</w:t>
      </w:r>
    </w:p>
    <w:p w14:paraId="243DEF45">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双方协商确定；</w:t>
      </w:r>
    </w:p>
    <w:p w14:paraId="3F48A0C5">
      <w:pPr>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按发包人要求；</w:t>
      </w:r>
    </w:p>
    <w:p w14:paraId="6288348C">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 xml:space="preserve"> 收到后7天内。</w:t>
      </w:r>
    </w:p>
    <w:p w14:paraId="09596C72">
      <w:pPr>
        <w:spacing w:line="360" w:lineRule="auto"/>
        <w:ind w:firstLine="480" w:firstLineChars="200"/>
        <w:rPr>
          <w:rFonts w:ascii="宋体" w:hAnsi="宋体" w:cs="宋体"/>
          <w:sz w:val="24"/>
        </w:rPr>
      </w:pPr>
      <w:r>
        <w:rPr>
          <w:rFonts w:hint="eastAsia" w:ascii="宋体" w:hAnsi="宋体" w:cs="宋体"/>
          <w:sz w:val="24"/>
        </w:rPr>
        <w:t>1.6.5 现场图纸准备</w:t>
      </w:r>
    </w:p>
    <w:p w14:paraId="603C6AF8">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发包人、监理人及有关人员进行工程检查时使用的图纸由承包人提供。</w:t>
      </w:r>
    </w:p>
    <w:p w14:paraId="19E3878A">
      <w:pPr>
        <w:spacing w:line="360" w:lineRule="auto"/>
        <w:ind w:firstLine="480" w:firstLineChars="200"/>
        <w:rPr>
          <w:rFonts w:ascii="宋体" w:hAnsi="宋体" w:cs="宋体"/>
          <w:sz w:val="24"/>
        </w:rPr>
      </w:pPr>
      <w:r>
        <w:rPr>
          <w:rFonts w:hint="eastAsia" w:ascii="宋体" w:hAnsi="宋体" w:cs="宋体"/>
          <w:sz w:val="24"/>
        </w:rPr>
        <w:t>1.7 联络</w:t>
      </w:r>
    </w:p>
    <w:p w14:paraId="5F79BE8D">
      <w:pPr>
        <w:spacing w:line="360" w:lineRule="auto"/>
        <w:ind w:firstLine="480" w:firstLineChars="200"/>
        <w:rPr>
          <w:rFonts w:ascii="宋体" w:hAnsi="宋体" w:cs="宋体"/>
          <w:sz w:val="24"/>
        </w:rPr>
      </w:pPr>
      <w:r>
        <w:rPr>
          <w:rFonts w:hint="eastAsia" w:ascii="宋体" w:hAnsi="宋体" w:cs="宋体"/>
          <w:sz w:val="24"/>
        </w:rPr>
        <w:t>1.7.1发包人和承包人应当在</w:t>
      </w:r>
      <w:r>
        <w:rPr>
          <w:rFonts w:hint="eastAsia" w:ascii="宋体" w:hAnsi="宋体" w:cs="宋体"/>
          <w:sz w:val="24"/>
          <w:u w:val="single"/>
        </w:rPr>
        <w:t xml:space="preserve"> 3 </w:t>
      </w:r>
      <w:r>
        <w:rPr>
          <w:rFonts w:hint="eastAsia" w:ascii="宋体" w:hAnsi="宋体" w:cs="宋体"/>
          <w:sz w:val="24"/>
        </w:rPr>
        <w:t>天内将与合同有关的通知、批准、证明、证书、指示、指令、要求、请求、同意、意见、确定和决定等书面函件送达对方当事人。</w:t>
      </w:r>
    </w:p>
    <w:p w14:paraId="0D3B7BC8">
      <w:pPr>
        <w:spacing w:line="360" w:lineRule="auto"/>
        <w:ind w:firstLine="480" w:firstLineChars="200"/>
        <w:rPr>
          <w:rFonts w:ascii="宋体" w:hAnsi="宋体" w:cs="宋体"/>
          <w:kern w:val="0"/>
          <w:sz w:val="24"/>
        </w:rPr>
      </w:pPr>
      <w:r>
        <w:rPr>
          <w:rFonts w:hint="eastAsia" w:ascii="宋体" w:hAnsi="宋体" w:cs="宋体"/>
          <w:sz w:val="24"/>
        </w:rPr>
        <w:t>1.7.2 发包人接收文件的地点：</w:t>
      </w:r>
      <w:r>
        <w:rPr>
          <w:rFonts w:hint="eastAsia" w:ascii="宋体" w:hAnsi="宋体" w:cs="宋体"/>
          <w:sz w:val="24"/>
          <w:u w:val="single"/>
        </w:rPr>
        <w:t>  发包人办公室  </w:t>
      </w:r>
      <w:r>
        <w:rPr>
          <w:rFonts w:hint="eastAsia" w:ascii="宋体" w:hAnsi="宋体" w:cs="宋体"/>
          <w:sz w:val="24"/>
        </w:rPr>
        <w:t>；</w:t>
      </w:r>
    </w:p>
    <w:p w14:paraId="3EFD86A4">
      <w:pPr>
        <w:spacing w:line="360" w:lineRule="auto"/>
        <w:ind w:firstLine="480" w:firstLineChars="200"/>
        <w:rPr>
          <w:rFonts w:ascii="宋体" w:hAnsi="宋体" w:cs="宋体"/>
          <w:kern w:val="0"/>
          <w:sz w:val="24"/>
        </w:rPr>
      </w:pPr>
      <w:r>
        <w:rPr>
          <w:rFonts w:hint="eastAsia" w:ascii="宋体" w:hAnsi="宋体" w:cs="宋体"/>
          <w:sz w:val="24"/>
        </w:rPr>
        <w:t>发包人指定的接收人为：</w:t>
      </w:r>
      <w:r>
        <w:rPr>
          <w:rFonts w:hint="eastAsia" w:ascii="宋体" w:hAnsi="宋体" w:cs="宋体"/>
          <w:sz w:val="24"/>
          <w:u w:val="single"/>
        </w:rPr>
        <w:t>待定         ；</w:t>
      </w:r>
    </w:p>
    <w:p w14:paraId="5E62C636">
      <w:pPr>
        <w:spacing w:line="360" w:lineRule="auto"/>
        <w:ind w:firstLine="480" w:firstLineChars="200"/>
        <w:rPr>
          <w:rFonts w:ascii="宋体" w:hAnsi="宋体" w:cs="宋体"/>
          <w:kern w:val="0"/>
          <w:sz w:val="24"/>
        </w:rPr>
      </w:pPr>
      <w:r>
        <w:rPr>
          <w:rFonts w:hint="eastAsia" w:ascii="宋体" w:hAnsi="宋体" w:cs="宋体"/>
          <w:sz w:val="24"/>
        </w:rPr>
        <w:t>承包人接收文件的地点：</w:t>
      </w:r>
      <w:r>
        <w:rPr>
          <w:rFonts w:hint="eastAsia" w:ascii="宋体" w:hAnsi="宋体" w:cs="宋体"/>
          <w:sz w:val="24"/>
          <w:u w:val="single"/>
        </w:rPr>
        <w:t>  承包人办公室  ；</w:t>
      </w:r>
    </w:p>
    <w:p w14:paraId="15659C0D">
      <w:pPr>
        <w:spacing w:line="360" w:lineRule="auto"/>
        <w:ind w:firstLine="480" w:firstLineChars="200"/>
        <w:rPr>
          <w:rFonts w:ascii="宋体" w:hAnsi="宋体" w:cs="宋体"/>
          <w:kern w:val="0"/>
          <w:sz w:val="24"/>
        </w:rPr>
      </w:pPr>
      <w:r>
        <w:rPr>
          <w:rFonts w:hint="eastAsia" w:ascii="宋体" w:hAnsi="宋体" w:cs="宋体"/>
          <w:sz w:val="24"/>
        </w:rPr>
        <w:t>承包人指定的接收人为：</w:t>
      </w:r>
      <w:r>
        <w:rPr>
          <w:rFonts w:hint="eastAsia" w:ascii="宋体" w:hAnsi="宋体" w:cs="宋体"/>
          <w:sz w:val="24"/>
          <w:u w:val="single"/>
        </w:rPr>
        <w:t> 待定      。</w:t>
      </w:r>
    </w:p>
    <w:p w14:paraId="0590E3DE">
      <w:pPr>
        <w:spacing w:line="360" w:lineRule="auto"/>
        <w:ind w:firstLine="480" w:firstLineChars="200"/>
        <w:rPr>
          <w:rFonts w:ascii="宋体" w:hAnsi="宋体" w:cs="宋体"/>
          <w:kern w:val="0"/>
          <w:sz w:val="24"/>
        </w:rPr>
      </w:pPr>
      <w:r>
        <w:rPr>
          <w:rFonts w:hint="eastAsia" w:ascii="宋体" w:hAnsi="宋体" w:cs="宋体"/>
          <w:sz w:val="24"/>
        </w:rPr>
        <w:t>监理人接收文件的地点：</w:t>
      </w:r>
      <w:r>
        <w:rPr>
          <w:rFonts w:hint="eastAsia" w:ascii="宋体" w:hAnsi="宋体" w:cs="宋体"/>
          <w:sz w:val="24"/>
          <w:u w:val="single"/>
        </w:rPr>
        <w:t>  /  ；</w:t>
      </w:r>
    </w:p>
    <w:p w14:paraId="39715A4E">
      <w:pPr>
        <w:spacing w:line="360" w:lineRule="auto"/>
        <w:ind w:firstLine="480" w:firstLineChars="200"/>
        <w:rPr>
          <w:rFonts w:ascii="宋体" w:hAnsi="宋体" w:cs="宋体"/>
          <w:kern w:val="0"/>
          <w:sz w:val="24"/>
        </w:rPr>
      </w:pPr>
      <w:r>
        <w:rPr>
          <w:rFonts w:hint="eastAsia" w:ascii="宋体" w:hAnsi="宋体" w:cs="宋体"/>
          <w:sz w:val="24"/>
        </w:rPr>
        <w:t>监理人指定的接收人为：</w:t>
      </w:r>
      <w:r>
        <w:rPr>
          <w:rFonts w:hint="eastAsia" w:ascii="宋体" w:hAnsi="宋体" w:cs="宋体"/>
          <w:sz w:val="24"/>
          <w:u w:val="single"/>
        </w:rPr>
        <w:t>/    。</w:t>
      </w:r>
    </w:p>
    <w:p w14:paraId="4535B165">
      <w:pPr>
        <w:spacing w:line="360" w:lineRule="auto"/>
        <w:ind w:firstLine="480" w:firstLineChars="200"/>
        <w:rPr>
          <w:rFonts w:ascii="宋体" w:hAnsi="宋体" w:cs="宋体"/>
          <w:sz w:val="24"/>
        </w:rPr>
      </w:pPr>
      <w:r>
        <w:rPr>
          <w:rFonts w:hint="eastAsia" w:ascii="宋体" w:hAnsi="宋体" w:cs="宋体"/>
          <w:sz w:val="24"/>
        </w:rPr>
        <w:t>1.10 交通运输</w:t>
      </w:r>
    </w:p>
    <w:p w14:paraId="5BED7123">
      <w:pPr>
        <w:spacing w:line="360" w:lineRule="auto"/>
        <w:ind w:firstLine="480" w:firstLineChars="200"/>
        <w:rPr>
          <w:rFonts w:ascii="宋体" w:hAnsi="宋体" w:cs="宋体"/>
          <w:sz w:val="24"/>
        </w:rPr>
      </w:pPr>
      <w:r>
        <w:rPr>
          <w:rFonts w:hint="eastAsia" w:ascii="宋体" w:hAnsi="宋体" w:cs="宋体"/>
          <w:sz w:val="24"/>
        </w:rPr>
        <w:t>1.10.1 出入现场的权利</w:t>
      </w:r>
    </w:p>
    <w:p w14:paraId="75B40441">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按通用条款执行。</w:t>
      </w:r>
    </w:p>
    <w:p w14:paraId="0733BDAD">
      <w:pPr>
        <w:spacing w:line="360" w:lineRule="auto"/>
        <w:ind w:firstLine="480" w:firstLineChars="200"/>
        <w:rPr>
          <w:rFonts w:ascii="宋体" w:hAnsi="宋体" w:cs="宋体"/>
          <w:sz w:val="24"/>
        </w:rPr>
      </w:pPr>
      <w:r>
        <w:rPr>
          <w:rFonts w:hint="eastAsia" w:ascii="宋体" w:hAnsi="宋体" w:cs="宋体"/>
          <w:sz w:val="24"/>
        </w:rPr>
        <w:t>1.10.3 场内交通</w:t>
      </w:r>
    </w:p>
    <w:p w14:paraId="7D48D7C2">
      <w:pPr>
        <w:spacing w:line="360" w:lineRule="auto"/>
        <w:ind w:firstLine="480" w:firstLineChars="200"/>
        <w:rPr>
          <w:rFonts w:ascii="宋体" w:hAnsi="宋体" w:cs="宋体"/>
          <w:kern w:val="0"/>
          <w:sz w:val="24"/>
        </w:rPr>
      </w:pPr>
      <w:r>
        <w:rPr>
          <w:rFonts w:hint="eastAsia" w:ascii="宋体" w:hAnsi="宋体" w:cs="宋体"/>
          <w:sz w:val="24"/>
        </w:rPr>
        <w:t>关于场外交通和场内交通的边界的约定：</w:t>
      </w:r>
      <w:r>
        <w:rPr>
          <w:rFonts w:hint="eastAsia" w:ascii="宋体" w:hAnsi="宋体" w:cs="宋体"/>
          <w:sz w:val="24"/>
          <w:u w:val="single"/>
        </w:rPr>
        <w:t xml:space="preserve">     /      。</w:t>
      </w:r>
    </w:p>
    <w:p w14:paraId="34732879">
      <w:pPr>
        <w:spacing w:line="360" w:lineRule="auto"/>
        <w:ind w:firstLine="480" w:firstLineChars="200"/>
        <w:rPr>
          <w:rFonts w:ascii="宋体" w:hAnsi="宋体" w:cs="宋体"/>
          <w:sz w:val="24"/>
          <w:u w:val="single"/>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利用现有的场内道路和交通设施。</w:t>
      </w:r>
    </w:p>
    <w:p w14:paraId="567461B5">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6E634CCB">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 </w:t>
      </w:r>
      <w:r>
        <w:rPr>
          <w:rFonts w:hint="eastAsia" w:ascii="宋体" w:hAnsi="宋体" w:cs="宋体"/>
          <w:sz w:val="24"/>
        </w:rPr>
        <w:t>承担。</w:t>
      </w:r>
    </w:p>
    <w:p w14:paraId="664D9BD3">
      <w:pPr>
        <w:snapToGrid w:val="0"/>
        <w:spacing w:line="360" w:lineRule="auto"/>
        <w:ind w:firstLine="480" w:firstLineChars="200"/>
        <w:rPr>
          <w:rFonts w:ascii="宋体" w:hAnsi="宋体" w:cs="宋体"/>
          <w:sz w:val="24"/>
        </w:rPr>
      </w:pPr>
      <w:r>
        <w:rPr>
          <w:rFonts w:hint="eastAsia" w:ascii="宋体" w:hAnsi="宋体" w:cs="宋体"/>
          <w:sz w:val="24"/>
        </w:rPr>
        <w:t>本工程的超大件：</w:t>
      </w:r>
      <w:r>
        <w:rPr>
          <w:rFonts w:hint="eastAsia" w:ascii="宋体" w:hAnsi="宋体" w:cs="宋体"/>
          <w:sz w:val="24"/>
          <w:u w:val="single"/>
        </w:rPr>
        <w:t xml:space="preserve">   /    </w:t>
      </w:r>
    </w:p>
    <w:p w14:paraId="09FE2CEE">
      <w:pPr>
        <w:snapToGrid w:val="0"/>
        <w:spacing w:line="360" w:lineRule="auto"/>
        <w:ind w:firstLine="480" w:firstLineChars="200"/>
        <w:rPr>
          <w:rFonts w:ascii="宋体" w:hAnsi="宋体" w:cs="宋体"/>
          <w:sz w:val="24"/>
        </w:rPr>
      </w:pPr>
      <w:r>
        <w:rPr>
          <w:rFonts w:hint="eastAsia" w:ascii="宋体" w:hAnsi="宋体" w:cs="宋体"/>
          <w:sz w:val="24"/>
        </w:rPr>
        <w:t>本工程的超重件：</w:t>
      </w:r>
      <w:r>
        <w:rPr>
          <w:rFonts w:hint="eastAsia" w:ascii="宋体" w:hAnsi="宋体" w:cs="宋体"/>
          <w:sz w:val="24"/>
          <w:u w:val="single"/>
        </w:rPr>
        <w:t xml:space="preserve">   /    </w:t>
      </w:r>
    </w:p>
    <w:p w14:paraId="3C7B1675">
      <w:pPr>
        <w:spacing w:line="360" w:lineRule="auto"/>
        <w:ind w:firstLine="480" w:firstLineChars="200"/>
        <w:rPr>
          <w:rFonts w:ascii="宋体" w:hAnsi="宋体" w:cs="宋体"/>
          <w:sz w:val="24"/>
        </w:rPr>
      </w:pPr>
      <w:r>
        <w:rPr>
          <w:rFonts w:hint="eastAsia" w:ascii="宋体" w:hAnsi="宋体" w:cs="宋体"/>
          <w:sz w:val="24"/>
        </w:rPr>
        <w:t>1.11 知识产权</w:t>
      </w:r>
    </w:p>
    <w:p w14:paraId="79EF749E">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按通用条款执行。 </w:t>
      </w:r>
    </w:p>
    <w:p w14:paraId="65776FB5">
      <w:pPr>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  按通用条款执行。</w:t>
      </w:r>
    </w:p>
    <w:p w14:paraId="24DA2079">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按通用条款执行。</w:t>
      </w:r>
    </w:p>
    <w:p w14:paraId="1F30892F">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按通用条款执行。</w:t>
      </w:r>
    </w:p>
    <w:p w14:paraId="4532BA87">
      <w:pPr>
        <w:spacing w:line="360" w:lineRule="auto"/>
        <w:ind w:firstLine="480" w:firstLineChars="20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 </w:t>
      </w:r>
      <w:r>
        <w:rPr>
          <w:rFonts w:hint="eastAsia" w:ascii="宋体" w:hAnsi="宋体" w:cs="宋体"/>
          <w:kern w:val="0"/>
          <w:sz w:val="24"/>
          <w:u w:val="single"/>
        </w:rPr>
        <w:t>。</w:t>
      </w:r>
    </w:p>
    <w:p w14:paraId="06F0D8C7">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6910205E">
      <w:pPr>
        <w:spacing w:line="360" w:lineRule="auto"/>
        <w:ind w:firstLine="480" w:firstLineChars="200"/>
        <w:rPr>
          <w:rFonts w:ascii="宋体" w:hAnsi="宋体" w:cs="宋体"/>
          <w:sz w:val="24"/>
          <w:u w:val="single"/>
        </w:rPr>
      </w:pPr>
      <w:r>
        <w:rPr>
          <w:rFonts w:hint="eastAsia" w:ascii="宋体" w:hAnsi="宋体" w:cs="宋体"/>
          <w:sz w:val="24"/>
        </w:rPr>
        <w:t>出现工程量清单错误时，是否调整合同价格：</w:t>
      </w:r>
      <w:r>
        <w:rPr>
          <w:rFonts w:hint="eastAsia" w:ascii="宋体" w:hAnsi="宋体" w:cs="宋体"/>
          <w:kern w:val="0"/>
          <w:sz w:val="24"/>
          <w:u w:val="single"/>
        </w:rPr>
        <w:t>是</w:t>
      </w:r>
      <w:r>
        <w:rPr>
          <w:rFonts w:hint="eastAsia" w:ascii="宋体" w:hAnsi="宋体" w:cs="宋体"/>
          <w:sz w:val="24"/>
          <w:u w:val="single"/>
        </w:rPr>
        <w:t>。</w:t>
      </w:r>
    </w:p>
    <w:p w14:paraId="2C4CBD53">
      <w:pPr>
        <w:spacing w:line="360" w:lineRule="auto"/>
        <w:ind w:firstLine="480" w:firstLineChars="200"/>
        <w:rPr>
          <w:rFonts w:ascii="宋体" w:hAnsi="宋体" w:cs="宋体"/>
          <w:kern w:val="0"/>
          <w:sz w:val="24"/>
          <w:u w:val="single"/>
        </w:rPr>
      </w:pPr>
      <w:r>
        <w:rPr>
          <w:rFonts w:hint="eastAsia" w:ascii="宋体" w:hAnsi="宋体" w:cs="宋体"/>
          <w:sz w:val="24"/>
        </w:rPr>
        <w:t>允许调整合同价格的工程量偏差范围：</w:t>
      </w:r>
      <w:r>
        <w:rPr>
          <w:rFonts w:hint="eastAsia" w:ascii="宋体" w:hAnsi="宋体" w:cs="宋体"/>
          <w:kern w:val="0"/>
          <w:sz w:val="24"/>
          <w:u w:val="single"/>
        </w:rPr>
        <w:t>经合同双方书面确认后按实调整。</w:t>
      </w:r>
      <w:r>
        <w:rPr>
          <w:rFonts w:hint="eastAsia" w:ascii="宋体" w:hAnsi="宋体" w:cs="宋体"/>
          <w:sz w:val="24"/>
          <w:u w:val="single"/>
        </w:rPr>
        <w:t>在工程量清单内已列入的材料设备单价不予调整，其他</w:t>
      </w:r>
      <w:r>
        <w:rPr>
          <w:rFonts w:hint="eastAsia" w:ascii="宋体" w:hAnsi="宋体" w:cs="宋体"/>
          <w:kern w:val="0"/>
          <w:sz w:val="24"/>
          <w:u w:val="single"/>
        </w:rPr>
        <w:t>调整按专用条款10.4.1执行。</w:t>
      </w:r>
    </w:p>
    <w:p w14:paraId="7BA5AE42">
      <w:pPr>
        <w:spacing w:line="360" w:lineRule="auto"/>
        <w:ind w:firstLine="480" w:firstLineChars="200"/>
        <w:rPr>
          <w:rFonts w:ascii="宋体" w:hAnsi="宋体" w:cs="宋体"/>
          <w:sz w:val="24"/>
        </w:rPr>
      </w:pPr>
      <w:r>
        <w:rPr>
          <w:rFonts w:hint="eastAsia" w:ascii="宋体" w:hAnsi="宋体" w:cs="宋体"/>
          <w:sz w:val="24"/>
        </w:rPr>
        <w:t>调整合同价格的</w:t>
      </w:r>
      <w:r>
        <w:rPr>
          <w:rFonts w:hint="eastAsia" w:ascii="宋体" w:hAnsi="宋体" w:cs="宋体"/>
          <w:kern w:val="0"/>
          <w:sz w:val="24"/>
        </w:rPr>
        <w:t>修正时间：</w:t>
      </w:r>
      <w:r>
        <w:rPr>
          <w:rFonts w:hint="eastAsia" w:ascii="宋体" w:hAnsi="宋体" w:cs="宋体"/>
          <w:sz w:val="24"/>
          <w:u w:val="single"/>
        </w:rPr>
        <w:t>在工程结算审核时调整。</w:t>
      </w:r>
    </w:p>
    <w:p w14:paraId="1F5DBD8B">
      <w:pPr>
        <w:topLinePunct/>
        <w:spacing w:line="360" w:lineRule="auto"/>
        <w:ind w:firstLine="420"/>
        <w:rPr>
          <w:rFonts w:ascii="宋体" w:hAnsi="宋体" w:cs="宋体"/>
          <w:b/>
          <w:sz w:val="24"/>
        </w:rPr>
      </w:pPr>
      <w:r>
        <w:rPr>
          <w:rFonts w:hint="eastAsia" w:ascii="宋体" w:hAnsi="宋体" w:cs="宋体"/>
          <w:b/>
          <w:sz w:val="24"/>
        </w:rPr>
        <w:t>2.发包人</w:t>
      </w:r>
    </w:p>
    <w:p w14:paraId="64951642">
      <w:pPr>
        <w:spacing w:line="360" w:lineRule="auto"/>
        <w:ind w:firstLine="480" w:firstLineChars="200"/>
        <w:rPr>
          <w:rFonts w:ascii="宋体" w:hAnsi="宋体" w:cs="宋体"/>
          <w:sz w:val="24"/>
        </w:rPr>
      </w:pPr>
      <w:r>
        <w:rPr>
          <w:rFonts w:hint="eastAsia" w:ascii="宋体" w:hAnsi="宋体" w:cs="宋体"/>
          <w:sz w:val="24"/>
        </w:rPr>
        <w:t>发包人应根据工程所需配备发包人代表，同时配备1名相关人员到岗履职。</w:t>
      </w:r>
    </w:p>
    <w:p w14:paraId="77766DC9">
      <w:pPr>
        <w:spacing w:line="360" w:lineRule="auto"/>
        <w:ind w:firstLine="480" w:firstLineChars="200"/>
        <w:rPr>
          <w:rFonts w:ascii="宋体" w:hAnsi="宋体" w:cs="宋体"/>
          <w:sz w:val="24"/>
        </w:rPr>
      </w:pPr>
      <w:r>
        <w:rPr>
          <w:rFonts w:hint="eastAsia" w:ascii="宋体" w:hAnsi="宋体" w:cs="宋体"/>
          <w:sz w:val="24"/>
        </w:rPr>
        <w:t>2.2 发包人代表</w:t>
      </w:r>
    </w:p>
    <w:p w14:paraId="36A859CA">
      <w:pPr>
        <w:spacing w:line="360" w:lineRule="auto"/>
        <w:ind w:firstLine="480" w:firstLineChars="200"/>
        <w:rPr>
          <w:rFonts w:ascii="宋体" w:hAnsi="宋体" w:cs="宋体"/>
          <w:sz w:val="24"/>
        </w:rPr>
      </w:pPr>
      <w:r>
        <w:rPr>
          <w:rFonts w:hint="eastAsia" w:ascii="宋体" w:hAnsi="宋体" w:cs="宋体"/>
          <w:sz w:val="24"/>
        </w:rPr>
        <w:t>发包人代表：</w:t>
      </w:r>
    </w:p>
    <w:p w14:paraId="6DD2042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kern w:val="0"/>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p>
    <w:p w14:paraId="36A36809">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kern w:val="0"/>
          <w:sz w:val="24"/>
          <w:u w:val="single"/>
        </w:rPr>
        <w:t>/      ；</w:t>
      </w:r>
    </w:p>
    <w:p w14:paraId="40A7A1F1">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kern w:val="0"/>
          <w:sz w:val="24"/>
          <w:u w:val="single"/>
        </w:rPr>
        <w:t>          /                ；</w:t>
      </w:r>
    </w:p>
    <w:p w14:paraId="0003591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kern w:val="0"/>
          <w:sz w:val="24"/>
          <w:u w:val="single"/>
        </w:rPr>
        <w:t>   ；</w:t>
      </w:r>
    </w:p>
    <w:p w14:paraId="01614CD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kern w:val="0"/>
          <w:sz w:val="24"/>
          <w:u w:val="single"/>
        </w:rPr>
        <w:t>      /    ；</w:t>
      </w:r>
    </w:p>
    <w:p w14:paraId="494A7CC8">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杭州市滨文路548号浙江中医药大学</w:t>
      </w:r>
      <w:r>
        <w:rPr>
          <w:rFonts w:hint="eastAsia" w:ascii="宋体" w:hAnsi="宋体" w:cs="宋体"/>
          <w:kern w:val="0"/>
          <w:sz w:val="24"/>
          <w:u w:val="single"/>
        </w:rPr>
        <w:t>。</w:t>
      </w:r>
    </w:p>
    <w:p w14:paraId="193E2D0D">
      <w:pPr>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对质量、成本、安全、进度进行全面管理，涉及合同价格变更、安全事故、质量事故等重大事项的处理须经发包人领导班子签字同意并加盖发包人公章后方能生效</w:t>
      </w:r>
      <w:r>
        <w:rPr>
          <w:rFonts w:hint="eastAsia" w:ascii="宋体" w:hAnsi="宋体" w:cs="宋体"/>
          <w:sz w:val="24"/>
        </w:rPr>
        <w:t>。</w:t>
      </w:r>
    </w:p>
    <w:p w14:paraId="633D1ADC">
      <w:pPr>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14:paraId="3B7370C6">
      <w:pPr>
        <w:spacing w:line="360" w:lineRule="auto"/>
        <w:ind w:firstLine="480" w:firstLineChars="200"/>
        <w:rPr>
          <w:rFonts w:ascii="宋体" w:hAnsi="宋体" w:cs="宋体"/>
          <w:sz w:val="24"/>
        </w:rPr>
      </w:pPr>
      <w:r>
        <w:rPr>
          <w:rFonts w:hint="eastAsia" w:ascii="宋体" w:hAnsi="宋体" w:cs="宋体"/>
          <w:sz w:val="24"/>
        </w:rPr>
        <w:t>2.4.1 提供施工现场</w:t>
      </w:r>
    </w:p>
    <w:p w14:paraId="4AFEA9F5">
      <w:pPr>
        <w:spacing w:line="360" w:lineRule="auto"/>
        <w:ind w:firstLine="480" w:firstLineChars="200"/>
        <w:rPr>
          <w:rFonts w:ascii="宋体" w:hAnsi="宋体" w:cs="宋体"/>
          <w:sz w:val="24"/>
          <w:u w:val="single"/>
        </w:rPr>
      </w:pPr>
      <w:r>
        <w:rPr>
          <w:rFonts w:hint="eastAsia" w:ascii="宋体" w:hAnsi="宋体" w:cs="宋体"/>
          <w:sz w:val="24"/>
        </w:rPr>
        <w:t>关于发包人移交施工现场的期限要求：</w:t>
      </w:r>
      <w:r>
        <w:rPr>
          <w:rFonts w:hint="eastAsia" w:ascii="宋体" w:hAnsi="宋体" w:cs="宋体"/>
          <w:sz w:val="24"/>
          <w:u w:val="single"/>
        </w:rPr>
        <w:t xml:space="preserve">    /      </w:t>
      </w:r>
      <w:r>
        <w:rPr>
          <w:rFonts w:hint="eastAsia" w:ascii="宋体" w:hAnsi="宋体" w:cs="宋体"/>
          <w:sz w:val="24"/>
        </w:rPr>
        <w:t>。</w:t>
      </w:r>
    </w:p>
    <w:p w14:paraId="3CF21859">
      <w:pPr>
        <w:spacing w:line="360" w:lineRule="auto"/>
        <w:ind w:firstLine="480" w:firstLineChars="200"/>
        <w:rPr>
          <w:rFonts w:ascii="宋体" w:hAnsi="宋体" w:cs="宋体"/>
          <w:sz w:val="24"/>
        </w:rPr>
      </w:pPr>
      <w:r>
        <w:rPr>
          <w:rFonts w:hint="eastAsia" w:ascii="宋体" w:hAnsi="宋体" w:cs="宋体"/>
          <w:sz w:val="24"/>
        </w:rPr>
        <w:t>2.4.2 提供施工条件</w:t>
      </w:r>
    </w:p>
    <w:p w14:paraId="6C70EE08">
      <w:pPr>
        <w:spacing w:line="360" w:lineRule="auto"/>
        <w:ind w:firstLine="480" w:firstLineChars="200"/>
        <w:rPr>
          <w:rFonts w:ascii="宋体" w:hAnsi="宋体" w:cs="宋体"/>
          <w:sz w:val="24"/>
        </w:rPr>
      </w:pPr>
      <w:r>
        <w:rPr>
          <w:rFonts w:hint="eastAsia" w:ascii="宋体" w:hAnsi="宋体" w:cs="宋体"/>
          <w:sz w:val="24"/>
        </w:rPr>
        <w:t>关于发包人应负责提供施工所需要的条件，包括：</w:t>
      </w:r>
      <w:bookmarkStart w:id="493" w:name="_Hlk74471726"/>
      <w:r>
        <w:rPr>
          <w:rFonts w:hint="eastAsia" w:ascii="宋体" w:hAnsi="宋体" w:cs="宋体"/>
          <w:sz w:val="24"/>
        </w:rPr>
        <w:t xml:space="preserve"> </w:t>
      </w:r>
      <w:r>
        <w:rPr>
          <w:rFonts w:hint="eastAsia" w:ascii="宋体" w:hAnsi="宋体" w:cs="宋体"/>
          <w:sz w:val="24"/>
          <w:u w:val="single"/>
        </w:rPr>
        <w:t>（1）施工场地具备施工条件的要求及完成的时间：场地已具备施工条件。</w:t>
      </w:r>
    </w:p>
    <w:p w14:paraId="49A25DD7">
      <w:pPr>
        <w:topLinePunct/>
        <w:spacing w:line="360" w:lineRule="auto"/>
        <w:ind w:firstLine="480" w:firstLineChars="200"/>
        <w:rPr>
          <w:rFonts w:ascii="宋体" w:hAnsi="宋体" w:cs="宋体"/>
          <w:sz w:val="24"/>
          <w:u w:val="single"/>
        </w:rPr>
      </w:pPr>
      <w:r>
        <w:rPr>
          <w:rFonts w:hint="eastAsia" w:ascii="宋体" w:hAnsi="宋体" w:cs="宋体"/>
          <w:sz w:val="24"/>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p>
    <w:bookmarkEnd w:id="493"/>
    <w:p w14:paraId="6882FBDA">
      <w:pPr>
        <w:spacing w:line="360" w:lineRule="auto"/>
        <w:ind w:firstLine="480" w:firstLineChars="200"/>
        <w:rPr>
          <w:rFonts w:ascii="宋体" w:hAnsi="宋体" w:cs="宋体"/>
          <w:sz w:val="24"/>
        </w:rPr>
      </w:pPr>
      <w:r>
        <w:rPr>
          <w:rFonts w:hint="eastAsia" w:ascii="宋体" w:hAnsi="宋体" w:cs="宋体"/>
          <w:sz w:val="24"/>
        </w:rPr>
        <w:t>2.5 资金来源证明及支付担保</w:t>
      </w:r>
    </w:p>
    <w:p w14:paraId="5AED0DCF">
      <w:pPr>
        <w:spacing w:line="360" w:lineRule="auto"/>
        <w:ind w:firstLine="480" w:firstLineChars="200"/>
        <w:rPr>
          <w:rFonts w:ascii="宋体" w:hAnsi="宋体" w:cs="宋体"/>
          <w:sz w:val="24"/>
          <w:u w:val="single"/>
        </w:rPr>
      </w:pPr>
      <w:r>
        <w:rPr>
          <w:rFonts w:hint="eastAsia" w:ascii="宋体" w:hAnsi="宋体" w:cs="宋体"/>
          <w:sz w:val="24"/>
        </w:rPr>
        <w:t>发包人提供资金来源证明的期限要求：</w:t>
      </w:r>
      <w:r>
        <w:rPr>
          <w:rFonts w:hint="eastAsia" w:ascii="宋体" w:hAnsi="宋体" w:cs="宋体"/>
          <w:sz w:val="24"/>
          <w:u w:val="single"/>
        </w:rPr>
        <w:t>/。</w:t>
      </w:r>
    </w:p>
    <w:p w14:paraId="670029C7">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w:t>
      </w:r>
    </w:p>
    <w:p w14:paraId="3A1BA1FA">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w:t>
      </w:r>
    </w:p>
    <w:p w14:paraId="5CDE7B74">
      <w:pPr>
        <w:topLinePunct/>
        <w:spacing w:line="360" w:lineRule="auto"/>
        <w:ind w:firstLine="420"/>
        <w:rPr>
          <w:rFonts w:ascii="宋体" w:hAnsi="宋体" w:cs="宋体"/>
          <w:b/>
          <w:sz w:val="24"/>
        </w:rPr>
      </w:pPr>
      <w:r>
        <w:rPr>
          <w:rFonts w:hint="eastAsia" w:ascii="宋体" w:hAnsi="宋体" w:cs="宋体"/>
          <w:b/>
          <w:sz w:val="24"/>
        </w:rPr>
        <w:t>3.承包人</w:t>
      </w:r>
    </w:p>
    <w:p w14:paraId="22FD4325">
      <w:pPr>
        <w:spacing w:line="360" w:lineRule="auto"/>
        <w:ind w:firstLine="480" w:firstLineChars="200"/>
        <w:rPr>
          <w:rFonts w:ascii="宋体" w:hAnsi="宋体" w:cs="宋体"/>
          <w:sz w:val="24"/>
        </w:rPr>
      </w:pPr>
      <w:r>
        <w:rPr>
          <w:rFonts w:hint="eastAsia" w:ascii="宋体" w:hAnsi="宋体" w:cs="宋体"/>
          <w:sz w:val="24"/>
        </w:rPr>
        <w:t>3.1 承包人的一般义务</w:t>
      </w:r>
    </w:p>
    <w:p w14:paraId="29D72C69">
      <w:pPr>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kern w:val="0"/>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宋体"/>
          <w:sz w:val="24"/>
          <w:u w:val="single"/>
        </w:rPr>
        <w:t>。</w:t>
      </w:r>
    </w:p>
    <w:p w14:paraId="7F3C0492">
      <w:pPr>
        <w:spacing w:line="360" w:lineRule="auto"/>
        <w:ind w:firstLine="480" w:firstLineChars="200"/>
        <w:rPr>
          <w:rFonts w:ascii="宋体" w:hAnsi="宋体" w:cs="宋体"/>
          <w:sz w:val="24"/>
        </w:rPr>
      </w:pPr>
      <w:r>
        <w:rPr>
          <w:rFonts w:hint="eastAsia" w:ascii="宋体" w:hAnsi="宋体" w:cs="宋体"/>
          <w:sz w:val="24"/>
        </w:rPr>
        <w:t xml:space="preserve">承包人需要提交的竣工资料套数： </w:t>
      </w:r>
      <w:r>
        <w:rPr>
          <w:rFonts w:hint="eastAsia" w:ascii="宋体" w:hAnsi="宋体" w:cs="宋体"/>
          <w:sz w:val="24"/>
          <w:u w:val="single"/>
        </w:rPr>
        <w:t xml:space="preserve"> </w:t>
      </w:r>
      <w:r>
        <w:rPr>
          <w:rFonts w:hint="eastAsia" w:ascii="宋体" w:hAnsi="宋体" w:cs="宋体"/>
          <w:kern w:val="0"/>
          <w:sz w:val="24"/>
          <w:u w:val="single"/>
        </w:rPr>
        <w:t>一式陆份，同时提供电子文档</w:t>
      </w:r>
      <w:r>
        <w:rPr>
          <w:rFonts w:hint="eastAsia" w:ascii="宋体" w:hAnsi="宋体" w:cs="宋体"/>
          <w:sz w:val="24"/>
          <w:u w:val="single"/>
        </w:rPr>
        <w:t>。</w:t>
      </w:r>
    </w:p>
    <w:p w14:paraId="7B693BF7">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承包人承担  。</w:t>
      </w:r>
    </w:p>
    <w:p w14:paraId="1486DC53">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工程竣工验收合格后，承包人必须在竣工验收合格之日起30天内将审查合格的工程竣工档案移交给发包人。如承包人未能按期提交竣工资料并因此导致发包人无法按期竣工验收并交付使用的，则承包人须对由此产生的损失费用承担赔偿责任包括但不限于投产运营的实际收入费用及预期收入。</w:t>
      </w:r>
    </w:p>
    <w:p w14:paraId="39BEE361">
      <w:pPr>
        <w:spacing w:line="360" w:lineRule="auto"/>
        <w:ind w:firstLine="480" w:firstLineChars="200"/>
        <w:rPr>
          <w:rFonts w:ascii="宋体" w:hAnsi="宋体" w:cs="宋体"/>
          <w:sz w:val="24"/>
          <w:u w:val="single"/>
        </w:rPr>
      </w:pPr>
      <w:r>
        <w:rPr>
          <w:rFonts w:hint="eastAsia" w:ascii="宋体" w:hAnsi="宋体" w:cs="宋体"/>
          <w:sz w:val="24"/>
        </w:rPr>
        <w:t>承包人提交的竣工资料形式要求：</w:t>
      </w:r>
      <w:r>
        <w:rPr>
          <w:rFonts w:hint="eastAsia" w:ascii="宋体" w:hAnsi="宋体" w:cs="宋体"/>
          <w:sz w:val="24"/>
          <w:u w:val="single"/>
        </w:rPr>
        <w:t xml:space="preserve">  向发包方提供竣工资料及竣工验收报告，并附光盘（含影像资料、图片等）。</w:t>
      </w:r>
    </w:p>
    <w:p w14:paraId="5FD4B361">
      <w:pPr>
        <w:autoSpaceDE w:val="0"/>
        <w:autoSpaceDN w:val="0"/>
        <w:snapToGrid w:val="0"/>
        <w:spacing w:line="360" w:lineRule="auto"/>
        <w:ind w:left="422"/>
        <w:rPr>
          <w:rFonts w:ascii="宋体" w:hAnsi="宋体" w:cs="宋体"/>
          <w:sz w:val="24"/>
        </w:rPr>
      </w:pPr>
      <w:r>
        <w:rPr>
          <w:rFonts w:hint="eastAsia" w:ascii="宋体" w:hAnsi="宋体" w:cs="宋体"/>
          <w:sz w:val="24"/>
        </w:rPr>
        <w:t xml:space="preserve">（10）承包人应履行的其他义务： </w:t>
      </w:r>
    </w:p>
    <w:p w14:paraId="134160E8">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根据工程需要，提供和维修非夜间施工使用的照明、围栏设施，并负责安全保卫。</w:t>
      </w:r>
    </w:p>
    <w:p w14:paraId="1E12BC2A">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5299DC5D">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112E91E6">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36EC0154">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参加发包人召开的与本工程相关的会议，并作好会前有关资料的准备。在保修期内要及时做好回访工作，属保修责任范围的事项应及时按质检标准修好。</w:t>
      </w:r>
    </w:p>
    <w:p w14:paraId="5FB3CB61">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4D19D659">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由于承包人施工原因，引起第三方与发包人或承包人的纠纷或第三方向发包人或承包人提出的索赔等，由承包人全权负责解决并承担全部责任，由此引起的一切后果与发包人无关。</w:t>
      </w:r>
    </w:p>
    <w:p w14:paraId="7D6FC39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施工过程中，如遇临界其他工程施工有冲突的，配合发包人的管理，积极与其他工程的承包人协商配合施工，避免因此导致的工期延误。（此条款适用于有临界工程的项目）</w:t>
      </w:r>
    </w:p>
    <w:p w14:paraId="1CC2852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在工程实施过程中，严格执行省、市颁发的相关规定，切实加强外来务工人员管理，保障农民工的合法权益。若在施工期间，由于承包人的责任发生违法、违规事件，后果由承包人自负。</w:t>
      </w:r>
    </w:p>
    <w:p w14:paraId="26F1B602">
      <w:pPr>
        <w:tabs>
          <w:tab w:val="right" w:pos="9202"/>
        </w:tabs>
        <w:spacing w:line="360" w:lineRule="auto"/>
        <w:ind w:firstLine="420"/>
        <w:rPr>
          <w:rFonts w:ascii="宋体" w:hAnsi="宋体" w:cs="宋体"/>
          <w:sz w:val="24"/>
        </w:rPr>
      </w:pPr>
      <w:r>
        <w:rPr>
          <w:rFonts w:hint="eastAsia" w:ascii="宋体" w:hAnsi="宋体" w:cs="宋体"/>
          <w:sz w:val="24"/>
        </w:rPr>
        <w:t>3.2 项目经理</w:t>
      </w:r>
    </w:p>
    <w:p w14:paraId="48988CBD">
      <w:pPr>
        <w:spacing w:line="360" w:lineRule="auto"/>
        <w:ind w:firstLine="480" w:firstLineChars="200"/>
        <w:rPr>
          <w:rFonts w:ascii="宋体" w:hAnsi="宋体" w:cs="宋体"/>
          <w:sz w:val="24"/>
        </w:rPr>
      </w:pPr>
      <w:r>
        <w:rPr>
          <w:rFonts w:hint="eastAsia" w:ascii="宋体" w:hAnsi="宋体" w:cs="宋体"/>
          <w:sz w:val="24"/>
        </w:rPr>
        <w:t>3.2.1 项目经理：</w:t>
      </w:r>
    </w:p>
    <w:p w14:paraId="796103B3">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7D4D0E6C">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5E6F4B05">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p>
    <w:p w14:paraId="10D7C4BC">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w:t>
      </w:r>
    </w:p>
    <w:p w14:paraId="1723C417">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p>
    <w:p w14:paraId="57361287">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5B7EFF90">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B73FDA8">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A04A64E">
      <w:pPr>
        <w:spacing w:line="360" w:lineRule="auto"/>
        <w:ind w:firstLine="480" w:firstLineChars="200"/>
        <w:rPr>
          <w:rFonts w:ascii="宋体" w:hAnsi="宋体" w:cs="宋体"/>
          <w:sz w:val="24"/>
          <w:u w:val="single"/>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0BC3D63">
      <w:pPr>
        <w:spacing w:line="360" w:lineRule="auto"/>
        <w:ind w:firstLine="480" w:firstLineChars="200"/>
        <w:rPr>
          <w:rFonts w:ascii="宋体" w:hAnsi="宋体" w:cs="宋体"/>
          <w:sz w:val="24"/>
          <w:u w:val="single"/>
        </w:rPr>
      </w:pPr>
      <w:r>
        <w:rPr>
          <w:rFonts w:hint="eastAsia" w:ascii="宋体" w:hAnsi="宋体" w:cs="宋体"/>
          <w:sz w:val="24"/>
        </w:rPr>
        <w:t>承包人对项目经理的授权范围如下：</w:t>
      </w:r>
      <w:r>
        <w:rPr>
          <w:rFonts w:hint="eastAsia" w:ascii="宋体" w:hAnsi="宋体" w:cs="宋体"/>
          <w:sz w:val="24"/>
          <w:u w:val="single"/>
        </w:rPr>
        <w:t>项目经理需对本工程质量、</w:t>
      </w:r>
      <w:r>
        <w:fldChar w:fldCharType="begin"/>
      </w:r>
      <w:r>
        <w:instrText xml:space="preserve"> HYPERLINK "http://baike.baidu.com/subview/4547/8036693.htm" \t "_blank" </w:instrText>
      </w:r>
      <w:r>
        <w:fldChar w:fldCharType="separate"/>
      </w:r>
      <w:r>
        <w:rPr>
          <w:rFonts w:hint="eastAsia" w:ascii="宋体" w:hAnsi="宋体" w:cs="宋体"/>
          <w:sz w:val="24"/>
          <w:u w:val="single"/>
        </w:rPr>
        <w:t>安全</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"http://baike.baidu.com/view/716226.htm" \t "_blank" </w:instrText>
      </w:r>
      <w:r>
        <w:fldChar w:fldCharType="separate"/>
      </w:r>
      <w:r>
        <w:rPr>
          <w:rFonts w:hint="eastAsia" w:ascii="宋体" w:hAnsi="宋体" w:cs="宋体"/>
          <w:sz w:val="24"/>
          <w:u w:val="single"/>
        </w:rPr>
        <w:t>进度</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"http://baike.baidu.com/view/45395.htm" \t "_blank" </w:instrText>
      </w:r>
      <w:r>
        <w:fldChar w:fldCharType="separate"/>
      </w:r>
      <w:r>
        <w:rPr>
          <w:rFonts w:hint="eastAsia" w:ascii="宋体" w:hAnsi="宋体" w:cs="宋体"/>
          <w:sz w:val="24"/>
          <w:u w:val="single"/>
        </w:rPr>
        <w:t>成本</w:t>
      </w:r>
      <w:r>
        <w:rPr>
          <w:rFonts w:hint="eastAsia" w:ascii="宋体" w:hAnsi="宋体" w:cs="宋体"/>
          <w:sz w:val="24"/>
          <w:u w:val="single"/>
        </w:rPr>
        <w:fldChar w:fldCharType="end"/>
      </w:r>
      <w:r>
        <w:rPr>
          <w:rFonts w:hint="eastAsia" w:ascii="宋体" w:hAnsi="宋体" w:cs="宋体"/>
          <w:sz w:val="24"/>
          <w:u w:val="single"/>
        </w:rPr>
        <w:t>、文明施工等全权负责，在开工日期3天前，承包人应将其委托的项目经理的授权范围明细以书面形式送交发包人。</w:t>
      </w:r>
    </w:p>
    <w:p w14:paraId="2E983EF5">
      <w:pPr>
        <w:spacing w:line="360" w:lineRule="auto"/>
        <w:ind w:firstLine="480" w:firstLineChars="200"/>
        <w:rPr>
          <w:rFonts w:ascii="宋体" w:hAnsi="宋体" w:cs="宋体"/>
          <w:kern w:val="0"/>
          <w:sz w:val="24"/>
        </w:rPr>
      </w:pPr>
      <w:r>
        <w:rPr>
          <w:rFonts w:hint="eastAsia" w:ascii="宋体" w:hAnsi="宋体" w:cs="宋体"/>
          <w:sz w:val="24"/>
        </w:rPr>
        <w:t>关于项目经理每月在施工现场的时间要求：</w:t>
      </w:r>
      <w:r>
        <w:rPr>
          <w:rFonts w:hint="eastAsia" w:ascii="宋体" w:hAnsi="宋体" w:cs="宋体"/>
          <w:sz w:val="24"/>
          <w:u w:val="single"/>
        </w:rPr>
        <w:t>到位率85%，重要施工工序或环节时项目经理、技术负责人等必须到场</w:t>
      </w:r>
      <w:r>
        <w:rPr>
          <w:rFonts w:hint="eastAsia" w:ascii="宋体" w:hAnsi="宋体" w:cs="宋体"/>
          <w:sz w:val="24"/>
        </w:rPr>
        <w:t>。</w:t>
      </w:r>
    </w:p>
    <w:p w14:paraId="2E642534">
      <w:pPr>
        <w:spacing w:line="360" w:lineRule="auto"/>
        <w:ind w:firstLine="480" w:firstLineChars="200"/>
        <w:rPr>
          <w:rFonts w:ascii="宋体" w:hAnsi="宋体" w:cs="宋体"/>
          <w:sz w:val="24"/>
          <w:u w:val="single"/>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发包人有权要求终止合同并由承包人赔偿由此造成的一切损失。</w:t>
      </w:r>
    </w:p>
    <w:p w14:paraId="0F4C07CD">
      <w:pPr>
        <w:tabs>
          <w:tab w:val="left" w:pos="720"/>
        </w:tabs>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按违约金人民币1000元/天或1000元/次从结算款中扣除</w:t>
      </w:r>
      <w:r>
        <w:rPr>
          <w:rFonts w:hint="eastAsia" w:ascii="宋体" w:hAnsi="宋体" w:cs="宋体"/>
          <w:sz w:val="24"/>
        </w:rPr>
        <w:t>。</w:t>
      </w:r>
    </w:p>
    <w:p w14:paraId="0DEF4595">
      <w:pPr>
        <w:spacing w:line="360" w:lineRule="auto"/>
        <w:ind w:firstLine="360" w:firstLineChars="150"/>
        <w:rPr>
          <w:rFonts w:ascii="宋体" w:hAnsi="宋体" w:cs="宋体"/>
          <w:sz w:val="24"/>
          <w:u w:val="single"/>
        </w:rPr>
      </w:pPr>
      <w:r>
        <w:rPr>
          <w:rFonts w:hint="eastAsia" w:ascii="宋体" w:hAnsi="宋体" w:cs="宋体"/>
          <w:sz w:val="24"/>
        </w:rPr>
        <w:t>3.2.3 承包人擅自更换项目经理的违约责任：</w:t>
      </w:r>
    </w:p>
    <w:p w14:paraId="77A2552E">
      <w:pPr>
        <w:snapToGrid w:val="0"/>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kern w:val="0"/>
          <w:sz w:val="24"/>
        </w:rPr>
        <w:t>承包人确需更换项目经理的，继任项目经理注册执业资格、管理经验的约定：</w:t>
      </w:r>
      <w:r>
        <w:rPr>
          <w:rFonts w:hint="eastAsia" w:ascii="宋体" w:hAnsi="宋体" w:cs="宋体"/>
          <w:kern w:val="0"/>
          <w:sz w:val="24"/>
          <w:u w:val="single"/>
        </w:rPr>
        <w:t xml:space="preserve"> </w:t>
      </w:r>
      <w:r>
        <w:rPr>
          <w:rFonts w:hint="eastAsia" w:ascii="宋体" w:hAnsi="宋体" w:cs="宋体"/>
          <w:sz w:val="24"/>
          <w:u w:val="single"/>
        </w:rPr>
        <w:t>不得低于原项目经理的注册执业资格、管理经验</w:t>
      </w:r>
      <w:r>
        <w:rPr>
          <w:rFonts w:hint="eastAsia" w:ascii="宋体" w:hAnsi="宋体" w:cs="宋体"/>
          <w:kern w:val="0"/>
          <w:sz w:val="24"/>
          <w:u w:val="single"/>
        </w:rPr>
        <w:t xml:space="preserve"> </w:t>
      </w:r>
      <w:r>
        <w:rPr>
          <w:rFonts w:hint="eastAsia" w:ascii="宋体" w:hAnsi="宋体" w:cs="宋体"/>
          <w:kern w:val="0"/>
          <w:sz w:val="24"/>
        </w:rPr>
        <w:t>。</w:t>
      </w:r>
    </w:p>
    <w:p w14:paraId="764CF7B1">
      <w:pPr>
        <w:snapToGrid w:val="0"/>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sz w:val="24"/>
          <w:u w:val="single"/>
        </w:rPr>
        <w:t>在施工期间不准更换，特殊情况要求更换的项目经理的，须经发包人同意。承包人更换项目经理的将被视为承包人违约，并按照0.5万元/人/次付给发包人违约。</w:t>
      </w:r>
    </w:p>
    <w:p w14:paraId="4F4BC712">
      <w:pPr>
        <w:snapToGrid w:val="0"/>
        <w:spacing w:line="360" w:lineRule="auto"/>
        <w:ind w:firstLine="480" w:firstLineChars="2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从结算款中扣除0.5万元/人/次的违约金。</w:t>
      </w:r>
    </w:p>
    <w:p w14:paraId="215591E7">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4B7ADAD2">
      <w:pPr>
        <w:spacing w:line="360" w:lineRule="auto"/>
        <w:ind w:firstLine="480" w:firstLineChars="200"/>
        <w:rPr>
          <w:rFonts w:ascii="宋体" w:hAnsi="宋体" w:cs="宋体"/>
          <w:sz w:val="24"/>
          <w:u w:val="single"/>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合同签订后7天内。</w:t>
      </w:r>
    </w:p>
    <w:p w14:paraId="002CB301">
      <w:pPr>
        <w:snapToGrid w:val="0"/>
        <w:spacing w:line="360" w:lineRule="auto"/>
        <w:ind w:firstLine="480" w:firstLineChars="200"/>
        <w:rPr>
          <w:rFonts w:ascii="宋体" w:hAnsi="宋体" w:cs="宋体"/>
          <w:sz w:val="24"/>
        </w:rPr>
      </w:pPr>
      <w:r>
        <w:rPr>
          <w:rFonts w:hint="eastAsia" w:ascii="宋体" w:hAnsi="宋体" w:cs="宋体"/>
          <w:sz w:val="24"/>
        </w:rPr>
        <w:t>3.3.2 承包人需更换主要施工管理人员的，继任人员的数量、注册执业资格、管理经验的约定：</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不得低于原主要施工管理人员的数量、注册执业资格、管理经验</w:t>
      </w:r>
      <w:r>
        <w:rPr>
          <w:rFonts w:hint="eastAsia" w:ascii="宋体" w:hAnsi="宋体" w:cs="宋体"/>
          <w:kern w:val="0"/>
          <w:sz w:val="24"/>
          <w:u w:val="single"/>
        </w:rPr>
        <w:t xml:space="preserve"> </w:t>
      </w:r>
      <w:r>
        <w:rPr>
          <w:rFonts w:hint="eastAsia" w:ascii="宋体" w:hAnsi="宋体" w:cs="宋体"/>
          <w:sz w:val="24"/>
        </w:rPr>
        <w:t>。</w:t>
      </w:r>
    </w:p>
    <w:p w14:paraId="48977383">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从结算款中扣除2000元/人/次的违约金。</w:t>
      </w:r>
    </w:p>
    <w:p w14:paraId="2DC0C48A">
      <w:pPr>
        <w:spacing w:line="360" w:lineRule="auto"/>
        <w:ind w:firstLine="480" w:firstLineChars="200"/>
        <w:rPr>
          <w:rFonts w:ascii="宋体" w:hAnsi="宋体" w:cs="宋体"/>
          <w:sz w:val="24"/>
        </w:rPr>
      </w:pPr>
      <w:r>
        <w:rPr>
          <w:rFonts w:hint="eastAsia" w:ascii="宋体" w:hAnsi="宋体" w:cs="宋体"/>
          <w:sz w:val="24"/>
        </w:rPr>
        <w:t>3.3.4 承包人主要施工管理人员离开施工现场的批准要求：</w:t>
      </w:r>
      <w:r>
        <w:rPr>
          <w:rFonts w:hint="eastAsia" w:ascii="宋体" w:hAnsi="宋体" w:cs="宋体"/>
          <w:sz w:val="24"/>
          <w:u w:val="single"/>
        </w:rPr>
        <w:t>按500元/人/次向发包人支付违约金。</w:t>
      </w:r>
    </w:p>
    <w:p w14:paraId="1A9A26A3">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在施工期间不准更换，特殊情况要求更换的，须经发包人同意。承包人更换技术负责人、施工员的将被视为承包人违约，并按照1000元/人/次付给发包人违约金。</w:t>
      </w:r>
    </w:p>
    <w:p w14:paraId="3E79461F">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若技术负责人、施工员出勤率不足投标承诺，支付违约金800元人民币/天/人；安全员、质检员、材料员出勤率不足投标承诺，支付违约金300元人民币/天/人。</w:t>
      </w:r>
    </w:p>
    <w:p w14:paraId="13F2E5D0">
      <w:pPr>
        <w:spacing w:line="360" w:lineRule="auto"/>
        <w:ind w:firstLine="480" w:firstLineChars="200"/>
        <w:rPr>
          <w:rFonts w:ascii="宋体" w:hAnsi="宋体" w:cs="宋体"/>
          <w:sz w:val="24"/>
        </w:rPr>
      </w:pPr>
      <w:r>
        <w:rPr>
          <w:rFonts w:hint="eastAsia" w:ascii="宋体" w:hAnsi="宋体" w:cs="宋体"/>
          <w:sz w:val="24"/>
        </w:rPr>
        <w:t>3.5 分包</w:t>
      </w:r>
    </w:p>
    <w:p w14:paraId="441A64AA">
      <w:pPr>
        <w:spacing w:line="360" w:lineRule="auto"/>
        <w:ind w:firstLine="480" w:firstLineChars="200"/>
        <w:rPr>
          <w:rFonts w:ascii="宋体" w:hAnsi="宋体" w:cs="宋体"/>
          <w:sz w:val="24"/>
        </w:rPr>
      </w:pPr>
      <w:r>
        <w:rPr>
          <w:rFonts w:hint="eastAsia" w:ascii="宋体" w:hAnsi="宋体" w:cs="宋体"/>
          <w:sz w:val="24"/>
        </w:rPr>
        <w:t>3.5.1 分包的一般约定</w:t>
      </w:r>
    </w:p>
    <w:p w14:paraId="27A57BDF">
      <w:pPr>
        <w:spacing w:line="360" w:lineRule="auto"/>
        <w:ind w:firstLine="480" w:firstLineChars="200"/>
        <w:rPr>
          <w:rFonts w:ascii="宋体" w:hAnsi="宋体" w:cs="宋体"/>
          <w:sz w:val="24"/>
          <w:u w:val="single"/>
        </w:rPr>
      </w:pPr>
      <w:r>
        <w:rPr>
          <w:rFonts w:hint="eastAsia" w:ascii="宋体" w:hAnsi="宋体" w:cs="宋体"/>
          <w:sz w:val="24"/>
        </w:rPr>
        <w:t>禁止分包的工程包括：</w:t>
      </w:r>
      <w:r>
        <w:rPr>
          <w:rFonts w:hint="eastAsia" w:ascii="宋体" w:hAnsi="宋体" w:cs="宋体"/>
          <w:sz w:val="24"/>
          <w:u w:val="single"/>
        </w:rPr>
        <w:t>本合同所有施工内容</w:t>
      </w:r>
    </w:p>
    <w:p w14:paraId="7CA4E522">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w:t>
      </w:r>
    </w:p>
    <w:p w14:paraId="5D4892AA">
      <w:pPr>
        <w:spacing w:line="360" w:lineRule="auto"/>
        <w:rPr>
          <w:rFonts w:ascii="宋体" w:hAnsi="宋体" w:cs="宋体"/>
          <w:sz w:val="24"/>
        </w:rPr>
      </w:pPr>
      <w:r>
        <w:rPr>
          <w:rFonts w:hint="eastAsia" w:ascii="宋体" w:hAnsi="宋体" w:cs="宋体"/>
          <w:sz w:val="24"/>
        </w:rPr>
        <w:t xml:space="preserve">    3.5.2分包的确定</w:t>
      </w:r>
    </w:p>
    <w:p w14:paraId="1F20ACAC">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无。</w:t>
      </w:r>
    </w:p>
    <w:p w14:paraId="668CE137">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承包人不得以任何形式进行转包或分包本合同所有施工内容，否则，发包人有权解除本合同、拒付（或要求承包人退还已收）工程款，承包人还应按合同总价款的20%向发包人支付违约金。</w:t>
      </w:r>
    </w:p>
    <w:p w14:paraId="3435FBC4">
      <w:pPr>
        <w:spacing w:line="360" w:lineRule="auto"/>
        <w:ind w:firstLine="480" w:firstLineChars="200"/>
        <w:rPr>
          <w:rFonts w:ascii="宋体" w:hAnsi="宋体" w:cs="宋体"/>
          <w:sz w:val="24"/>
        </w:rPr>
      </w:pPr>
      <w:r>
        <w:rPr>
          <w:rFonts w:hint="eastAsia" w:ascii="宋体" w:hAnsi="宋体" w:cs="宋体"/>
          <w:sz w:val="24"/>
        </w:rPr>
        <w:t>3.5.4 分包合同价款</w:t>
      </w:r>
    </w:p>
    <w:p w14:paraId="62737D66">
      <w:pPr>
        <w:spacing w:line="360" w:lineRule="auto"/>
        <w:ind w:firstLine="480" w:firstLineChars="200"/>
        <w:rPr>
          <w:rFonts w:ascii="宋体" w:hAnsi="宋体" w:cs="宋体"/>
          <w:sz w:val="24"/>
          <w:u w:val="single"/>
        </w:rPr>
      </w:pPr>
      <w:r>
        <w:rPr>
          <w:rFonts w:hint="eastAsia" w:ascii="宋体" w:hAnsi="宋体" w:cs="宋体"/>
          <w:sz w:val="24"/>
        </w:rPr>
        <w:t>关于分包合同价款支付的约定：</w:t>
      </w:r>
      <w:r>
        <w:rPr>
          <w:rFonts w:hint="eastAsia" w:ascii="宋体" w:hAnsi="宋体" w:cs="宋体"/>
          <w:sz w:val="24"/>
          <w:u w:val="single"/>
        </w:rPr>
        <w:t xml:space="preserve">  /  </w:t>
      </w:r>
    </w:p>
    <w:p w14:paraId="0CDF415E">
      <w:pPr>
        <w:spacing w:line="360" w:lineRule="auto"/>
        <w:ind w:firstLine="480" w:firstLineChars="200"/>
        <w:rPr>
          <w:rFonts w:ascii="宋体" w:hAnsi="宋体" w:cs="宋体"/>
          <w:sz w:val="24"/>
        </w:rPr>
      </w:pPr>
      <w:r>
        <w:rPr>
          <w:rFonts w:hint="eastAsia" w:ascii="宋体" w:hAnsi="宋体" w:cs="宋体"/>
          <w:sz w:val="24"/>
        </w:rPr>
        <w:t>3.6 工程照管与成品、半成品保护：</w:t>
      </w:r>
      <w:r>
        <w:rPr>
          <w:rFonts w:hint="eastAsia" w:ascii="宋体" w:hAnsi="宋体" w:cs="宋体"/>
          <w:sz w:val="24"/>
          <w:u w:val="single"/>
        </w:rPr>
        <w:t>承包人负责照管工程及工程相关的材料、工程设备的起始时间：已完工程和设备未交付发包人之前，承包人负责与承包内容相关的所有成品和设备的保护工作，保护期间发生损坏，承包人承担修复费用。由发包人造成的损坏，发包人承担费用，修复工作由承包人负责，因此造成关键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92549D0">
      <w:pPr>
        <w:spacing w:line="360" w:lineRule="auto"/>
        <w:ind w:firstLine="480" w:firstLineChars="200"/>
        <w:rPr>
          <w:rFonts w:ascii="宋体" w:hAnsi="宋体" w:cs="宋体"/>
          <w:sz w:val="24"/>
        </w:rPr>
      </w:pPr>
      <w:r>
        <w:rPr>
          <w:rFonts w:hint="eastAsia" w:ascii="宋体" w:hAnsi="宋体" w:cs="宋体"/>
          <w:sz w:val="24"/>
        </w:rPr>
        <w:t>3.7 履约担保</w:t>
      </w:r>
    </w:p>
    <w:p w14:paraId="25C8208E">
      <w:pPr>
        <w:spacing w:line="360" w:lineRule="auto"/>
        <w:ind w:firstLine="480" w:firstLineChars="200"/>
        <w:rPr>
          <w:rFonts w:ascii="宋体" w:hAnsi="宋体" w:cs="宋体"/>
          <w:sz w:val="24"/>
          <w:u w:val="single"/>
        </w:rPr>
      </w:pPr>
      <w:r>
        <w:rPr>
          <w:rFonts w:hint="eastAsia" w:ascii="宋体" w:hAnsi="宋体" w:cs="宋体"/>
          <w:sz w:val="24"/>
        </w:rPr>
        <w:t>承包人是否提供履约担保：</w:t>
      </w:r>
      <w:r>
        <w:rPr>
          <w:rFonts w:hint="eastAsia" w:ascii="宋体" w:hAnsi="宋体" w:cs="宋体"/>
          <w:sz w:val="24"/>
          <w:u w:val="single"/>
        </w:rPr>
        <w:t xml:space="preserve"> 是 。</w:t>
      </w:r>
    </w:p>
    <w:p w14:paraId="4288E0C7">
      <w:pPr>
        <w:spacing w:line="360" w:lineRule="auto"/>
        <w:ind w:firstLine="480" w:firstLineChars="200"/>
        <w:rPr>
          <w:rFonts w:ascii="宋体" w:hAnsi="宋体" w:cs="宋体"/>
          <w:sz w:val="24"/>
          <w:u w:val="single"/>
        </w:rPr>
      </w:pPr>
      <w:r>
        <w:rPr>
          <w:rFonts w:hint="eastAsia" w:ascii="宋体" w:hAnsi="宋体" w:cs="宋体"/>
          <w:sz w:val="24"/>
        </w:rPr>
        <w:t>履约担保的形式：</w:t>
      </w:r>
      <w:r>
        <w:rPr>
          <w:rFonts w:hint="eastAsia" w:ascii="宋体" w:hAnsi="宋体" w:cs="宋体"/>
          <w:sz w:val="24"/>
          <w:u w:val="single"/>
        </w:rPr>
        <w:t xml:space="preserve"> 履约保证金。</w:t>
      </w:r>
    </w:p>
    <w:p w14:paraId="61D0641A">
      <w:pPr>
        <w:spacing w:line="360" w:lineRule="auto"/>
        <w:ind w:firstLine="480" w:firstLineChars="200"/>
        <w:rPr>
          <w:rFonts w:ascii="宋体" w:hAnsi="宋体" w:cs="宋体"/>
          <w:sz w:val="24"/>
          <w:u w:val="single"/>
        </w:rPr>
      </w:pPr>
      <w:r>
        <w:rPr>
          <w:rFonts w:hint="eastAsia" w:ascii="宋体" w:hAnsi="宋体" w:cs="宋体"/>
          <w:sz w:val="24"/>
        </w:rPr>
        <w:t>履约担保的金额：</w:t>
      </w:r>
      <w:r>
        <w:rPr>
          <w:rFonts w:hint="eastAsia" w:ascii="宋体" w:hAnsi="宋体" w:cs="宋体"/>
          <w:sz w:val="24"/>
          <w:u w:val="single"/>
        </w:rPr>
        <w:t>本合同总价的2%作为履约保证金，由承包人于本合同签订后7日内以支票、汇票或银行转账向发包人支付。</w:t>
      </w:r>
    </w:p>
    <w:p w14:paraId="07265D82">
      <w:pPr>
        <w:spacing w:line="360" w:lineRule="auto"/>
        <w:ind w:firstLine="480" w:firstLineChars="200"/>
        <w:rPr>
          <w:rFonts w:ascii="宋体" w:hAnsi="宋体" w:cs="宋体"/>
          <w:sz w:val="24"/>
        </w:rPr>
      </w:pPr>
      <w:r>
        <w:rPr>
          <w:rFonts w:hint="eastAsia" w:ascii="宋体" w:hAnsi="宋体" w:cs="宋体"/>
          <w:sz w:val="24"/>
        </w:rPr>
        <w:t>履约担保的期限：</w:t>
      </w:r>
      <w:r>
        <w:rPr>
          <w:rFonts w:hint="eastAsia" w:ascii="宋体" w:hAnsi="宋体" w:cs="宋体"/>
          <w:sz w:val="24"/>
          <w:u w:val="single"/>
        </w:rPr>
        <w:t>工程竣工验收合格并交付发包人使用前保持有效</w:t>
      </w:r>
      <w:r>
        <w:rPr>
          <w:rFonts w:hint="eastAsia" w:ascii="宋体" w:hAnsi="宋体" w:cs="宋体"/>
          <w:sz w:val="24"/>
        </w:rPr>
        <w:t>。</w:t>
      </w:r>
    </w:p>
    <w:p w14:paraId="47E9ADC8">
      <w:pPr>
        <w:topLinePunct/>
        <w:spacing w:line="360" w:lineRule="auto"/>
        <w:ind w:firstLine="420"/>
        <w:rPr>
          <w:rFonts w:ascii="宋体" w:hAnsi="宋体" w:cs="宋体"/>
          <w:b/>
          <w:sz w:val="24"/>
        </w:rPr>
      </w:pPr>
      <w:r>
        <w:rPr>
          <w:rFonts w:hint="eastAsia" w:ascii="宋体" w:hAnsi="宋体" w:cs="宋体"/>
          <w:b/>
          <w:sz w:val="24"/>
        </w:rPr>
        <w:t>4.监理人</w:t>
      </w:r>
    </w:p>
    <w:p w14:paraId="34EECA7D">
      <w:pPr>
        <w:spacing w:line="360" w:lineRule="auto"/>
        <w:ind w:firstLine="480" w:firstLineChars="200"/>
        <w:rPr>
          <w:rFonts w:ascii="宋体" w:hAnsi="宋体" w:cs="宋体"/>
          <w:sz w:val="24"/>
        </w:rPr>
      </w:pPr>
      <w:r>
        <w:rPr>
          <w:rFonts w:hint="eastAsia" w:ascii="宋体" w:hAnsi="宋体" w:cs="宋体"/>
          <w:sz w:val="24"/>
        </w:rPr>
        <w:t>4.1监理人的一般规定</w:t>
      </w:r>
    </w:p>
    <w:p w14:paraId="70A5F93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关于监理人的监理内容：</w:t>
      </w:r>
      <w:r>
        <w:rPr>
          <w:rFonts w:hint="eastAsia" w:ascii="宋体" w:hAnsi="宋体" w:cs="宋体"/>
          <w:sz w:val="24"/>
          <w:u w:val="single"/>
        </w:rPr>
        <w:t>/</w:t>
      </w:r>
      <w:r>
        <w:rPr>
          <w:rFonts w:hint="eastAsia" w:ascii="宋体" w:hAnsi="宋体" w:cs="宋体"/>
          <w:sz w:val="24"/>
        </w:rPr>
        <w:t>。</w:t>
      </w:r>
    </w:p>
    <w:p w14:paraId="1DA82807">
      <w:pPr>
        <w:spacing w:line="360" w:lineRule="auto"/>
        <w:ind w:firstLine="480" w:firstLineChars="200"/>
        <w:rPr>
          <w:rFonts w:ascii="宋体" w:hAnsi="宋体" w:cs="宋体"/>
          <w:sz w:val="24"/>
          <w:u w:val="single"/>
        </w:rPr>
      </w:pPr>
      <w:r>
        <w:rPr>
          <w:rFonts w:hint="eastAsia" w:ascii="宋体" w:hAnsi="宋体" w:cs="宋体"/>
          <w:sz w:val="24"/>
        </w:rPr>
        <w:t>关于监理人的监理权限：</w:t>
      </w:r>
      <w:r>
        <w:rPr>
          <w:rFonts w:hint="eastAsia" w:ascii="宋体" w:hAnsi="宋体" w:cs="宋体"/>
          <w:sz w:val="24"/>
          <w:u w:val="single"/>
        </w:rPr>
        <w:t>/。</w:t>
      </w:r>
    </w:p>
    <w:p w14:paraId="1BBBE77D">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w:t>
      </w:r>
    </w:p>
    <w:p w14:paraId="0A840C85">
      <w:pPr>
        <w:spacing w:line="360" w:lineRule="auto"/>
        <w:ind w:firstLine="480" w:firstLineChars="200"/>
        <w:rPr>
          <w:rFonts w:ascii="宋体" w:hAnsi="宋体" w:cs="宋体"/>
          <w:sz w:val="24"/>
        </w:rPr>
      </w:pPr>
      <w:r>
        <w:rPr>
          <w:rFonts w:hint="eastAsia" w:ascii="宋体" w:hAnsi="宋体" w:cs="宋体"/>
          <w:sz w:val="24"/>
        </w:rPr>
        <w:t>4.2 监理人员</w:t>
      </w:r>
    </w:p>
    <w:p w14:paraId="7B097F7F">
      <w:pPr>
        <w:spacing w:line="360" w:lineRule="auto"/>
        <w:ind w:firstLine="480" w:firstLineChars="200"/>
        <w:rPr>
          <w:rFonts w:ascii="宋体" w:hAnsi="宋体" w:cs="宋体"/>
          <w:sz w:val="24"/>
        </w:rPr>
      </w:pPr>
      <w:r>
        <w:rPr>
          <w:rFonts w:hint="eastAsia" w:ascii="宋体" w:hAnsi="宋体" w:cs="宋体"/>
          <w:sz w:val="24"/>
        </w:rPr>
        <w:t>总监理工程师：</w:t>
      </w:r>
    </w:p>
    <w:p w14:paraId="0AD70D9F">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p>
    <w:p w14:paraId="53965A83">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64FF0EF8">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xml:space="preserve">  /；</w:t>
      </w:r>
    </w:p>
    <w:p w14:paraId="7EB98C1C">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347C3232">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p>
    <w:p w14:paraId="067F86C1">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p>
    <w:p w14:paraId="67827072">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w:t>
      </w:r>
    </w:p>
    <w:p w14:paraId="14851925">
      <w:pPr>
        <w:spacing w:line="360" w:lineRule="auto"/>
        <w:ind w:firstLine="480" w:firstLineChars="200"/>
        <w:rPr>
          <w:rFonts w:ascii="宋体" w:hAnsi="宋体" w:cs="宋体"/>
          <w:sz w:val="24"/>
        </w:rPr>
      </w:pPr>
      <w:r>
        <w:rPr>
          <w:rFonts w:hint="eastAsia" w:ascii="宋体" w:hAnsi="宋体" w:cs="宋体"/>
          <w:sz w:val="24"/>
        </w:rPr>
        <w:t>4.4 商定或确定</w:t>
      </w:r>
    </w:p>
    <w:p w14:paraId="24E64477">
      <w:pPr>
        <w:spacing w:line="360" w:lineRule="auto"/>
        <w:ind w:firstLine="480" w:firstLineChars="200"/>
        <w:rPr>
          <w:rFonts w:ascii="宋体" w:hAnsi="宋体" w:cs="宋体"/>
          <w:kern w:val="0"/>
          <w:sz w:val="24"/>
        </w:rPr>
      </w:pPr>
      <w:r>
        <w:rPr>
          <w:rFonts w:hint="eastAsia" w:ascii="宋体" w:hAnsi="宋体" w:cs="宋体"/>
          <w:sz w:val="24"/>
        </w:rPr>
        <w:t>在发包人和承包人不能通过协商达成一致意见时，发包人授权监理人对以下事项进行确定：</w:t>
      </w:r>
      <w:r>
        <w:rPr>
          <w:rFonts w:hint="eastAsia" w:ascii="宋体" w:hAnsi="宋体" w:cs="宋体"/>
          <w:sz w:val="24"/>
          <w:u w:val="single"/>
        </w:rPr>
        <w:t xml:space="preserve">  / ；</w:t>
      </w:r>
    </w:p>
    <w:p w14:paraId="59D12139">
      <w:pPr>
        <w:topLinePunct/>
        <w:spacing w:line="360" w:lineRule="auto"/>
        <w:ind w:firstLine="420"/>
        <w:rPr>
          <w:rFonts w:ascii="宋体" w:hAnsi="宋体" w:cs="宋体"/>
          <w:b/>
          <w:sz w:val="24"/>
        </w:rPr>
      </w:pPr>
      <w:r>
        <w:rPr>
          <w:rFonts w:hint="eastAsia" w:ascii="宋体" w:hAnsi="宋体" w:cs="宋体"/>
          <w:b/>
          <w:sz w:val="24"/>
        </w:rPr>
        <w:t>5.工程质量</w:t>
      </w:r>
    </w:p>
    <w:p w14:paraId="01B477CD">
      <w:pPr>
        <w:spacing w:line="360" w:lineRule="auto"/>
        <w:ind w:firstLine="480" w:firstLineChars="200"/>
        <w:rPr>
          <w:rFonts w:ascii="宋体" w:hAnsi="宋体" w:cs="宋体"/>
          <w:sz w:val="24"/>
        </w:rPr>
      </w:pPr>
      <w:r>
        <w:rPr>
          <w:rFonts w:hint="eastAsia" w:ascii="宋体" w:hAnsi="宋体" w:cs="宋体"/>
          <w:sz w:val="24"/>
        </w:rPr>
        <w:t>5.1 质量要求</w:t>
      </w:r>
    </w:p>
    <w:p w14:paraId="19FADB4C">
      <w:pPr>
        <w:spacing w:line="360" w:lineRule="auto"/>
        <w:ind w:firstLine="480" w:firstLineChars="200"/>
        <w:rPr>
          <w:rFonts w:ascii="宋体" w:hAnsi="宋体" w:cs="宋体"/>
          <w:sz w:val="24"/>
          <w:u w:val="single"/>
        </w:rPr>
      </w:pPr>
      <w:r>
        <w:rPr>
          <w:rFonts w:hint="eastAsia" w:ascii="宋体" w:hAnsi="宋体" w:cs="宋体"/>
          <w:sz w:val="24"/>
        </w:rPr>
        <w:t>5.1.1 特殊质量标准和要求：</w:t>
      </w:r>
      <w:r>
        <w:rPr>
          <w:rFonts w:hint="eastAsia" w:ascii="宋体" w:hAnsi="宋体" w:cs="宋体"/>
          <w:sz w:val="24"/>
          <w:u w:val="single"/>
        </w:rPr>
        <w:t>除通用条款约定外，要达到设计及国家、地方和建筑行业现行的有关规范和标准的质量要求。</w:t>
      </w:r>
    </w:p>
    <w:p w14:paraId="4B5A1FB8">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（1）承包人在工程施工中涉及的重要部位、关键节点、工艺、材料应用等，承包人应在专业工程施工前10天提供主要材料样品、施工详细实施方案给发包人及监理人（如有）审核，经审核同意后方可实施。</w:t>
      </w:r>
    </w:p>
    <w:p w14:paraId="4D6B5139">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5F42B8CC">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p>
    <w:p w14:paraId="4BC14981">
      <w:pPr>
        <w:spacing w:line="360" w:lineRule="auto"/>
        <w:ind w:firstLine="480" w:firstLineChars="200"/>
        <w:rPr>
          <w:rFonts w:ascii="宋体" w:hAnsi="宋体" w:cs="宋体"/>
          <w:sz w:val="24"/>
        </w:rPr>
      </w:pPr>
      <w:r>
        <w:rPr>
          <w:rFonts w:hint="eastAsia" w:ascii="宋体" w:hAnsi="宋体" w:cs="宋体"/>
          <w:sz w:val="24"/>
        </w:rPr>
        <w:t>5.3 隐蔽工程检查</w:t>
      </w:r>
    </w:p>
    <w:p w14:paraId="1E87B19B">
      <w:pPr>
        <w:spacing w:line="360" w:lineRule="auto"/>
        <w:ind w:firstLine="480" w:firstLineChars="200"/>
        <w:rPr>
          <w:rFonts w:ascii="宋体" w:hAnsi="宋体" w:cs="宋体"/>
          <w:sz w:val="24"/>
          <w:u w:val="single"/>
        </w:rPr>
      </w:pPr>
      <w:r>
        <w:rPr>
          <w:rFonts w:hint="eastAsia" w:ascii="宋体" w:hAnsi="宋体" w:cs="宋体"/>
          <w:sz w:val="24"/>
        </w:rPr>
        <w:t>5.3.2承包人提前通知监理人隐蔽工程检查的期限的约定：</w:t>
      </w:r>
      <w:r>
        <w:rPr>
          <w:rFonts w:hint="eastAsia" w:ascii="宋体" w:hAnsi="宋体" w:cs="宋体"/>
          <w:sz w:val="24"/>
          <w:u w:val="single"/>
        </w:rPr>
        <w:t>承包人应当在共同检查前48小时书面通知监理人（如有）和发包人进行检查，即隐蔽工程通知对象增加发包人。</w:t>
      </w:r>
    </w:p>
    <w:p w14:paraId="280099B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14:paraId="36E5F9D5">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403329CE">
      <w:pPr>
        <w:topLinePunct/>
        <w:spacing w:line="360" w:lineRule="auto"/>
        <w:ind w:firstLine="241" w:firstLineChars="100"/>
        <w:rPr>
          <w:rFonts w:ascii="宋体" w:hAnsi="宋体" w:cs="宋体"/>
          <w:b/>
          <w:sz w:val="24"/>
        </w:rPr>
      </w:pPr>
      <w:r>
        <w:rPr>
          <w:rFonts w:hint="eastAsia" w:ascii="宋体" w:hAnsi="宋体" w:cs="宋体"/>
          <w:b/>
          <w:sz w:val="24"/>
        </w:rPr>
        <w:t>6.安全文明施工与环境保护</w:t>
      </w:r>
    </w:p>
    <w:p w14:paraId="7F2335BC">
      <w:pPr>
        <w:spacing w:line="360" w:lineRule="auto"/>
        <w:ind w:firstLine="480" w:firstLineChars="200"/>
        <w:rPr>
          <w:rFonts w:ascii="宋体" w:hAnsi="宋体" w:cs="宋体"/>
          <w:sz w:val="24"/>
        </w:rPr>
      </w:pPr>
      <w:r>
        <w:rPr>
          <w:rFonts w:hint="eastAsia" w:ascii="宋体" w:hAnsi="宋体" w:cs="宋体"/>
          <w:sz w:val="24"/>
        </w:rPr>
        <w:t>6.1安全文明施工</w:t>
      </w:r>
    </w:p>
    <w:p w14:paraId="2E7CFB69">
      <w:pPr>
        <w:spacing w:line="360" w:lineRule="auto"/>
        <w:ind w:firstLine="480" w:firstLineChars="200"/>
        <w:rPr>
          <w:rFonts w:ascii="宋体" w:hAnsi="宋体" w:cs="宋体"/>
          <w:sz w:val="24"/>
          <w:u w:val="single"/>
        </w:rPr>
      </w:pPr>
      <w:r>
        <w:rPr>
          <w:rFonts w:hint="eastAsia" w:ascii="宋体" w:hAnsi="宋体" w:cs="宋体"/>
          <w:sz w:val="24"/>
        </w:rPr>
        <w:t>6.1.1 项目安全生产的达标目标及相应事项的约定：</w:t>
      </w:r>
      <w:r>
        <w:rPr>
          <w:rFonts w:hint="eastAsia" w:ascii="宋体" w:hAnsi="宋体" w:cs="宋体"/>
          <w:sz w:val="24"/>
          <w:u w:val="single"/>
        </w:rPr>
        <w:t>施工现场按照《建筑施工安全检查标准》（JGJ59-2011）评定达到“合格”标准。</w:t>
      </w:r>
    </w:p>
    <w:p w14:paraId="66B297A9">
      <w:pPr>
        <w:spacing w:line="360" w:lineRule="auto"/>
        <w:ind w:firstLine="480" w:firstLineChars="200"/>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按通用条款执行。</w:t>
      </w:r>
    </w:p>
    <w:p w14:paraId="64EF60F7">
      <w:pPr>
        <w:spacing w:line="360" w:lineRule="auto"/>
        <w:ind w:firstLine="480" w:firstLineChars="200"/>
        <w:rPr>
          <w:rFonts w:ascii="宋体" w:hAnsi="宋体" w:cs="宋体"/>
          <w:sz w:val="24"/>
          <w:u w:val="single"/>
        </w:rPr>
      </w:pPr>
      <w:r>
        <w:rPr>
          <w:rFonts w:hint="eastAsia" w:ascii="宋体" w:hAnsi="宋体" w:cs="宋体"/>
          <w:sz w:val="24"/>
        </w:rPr>
        <w:t>关于编制施工场地治安管理计划的约定：</w:t>
      </w:r>
      <w:r>
        <w:rPr>
          <w:rFonts w:hint="eastAsia" w:ascii="宋体" w:hAnsi="宋体" w:cs="宋体"/>
          <w:sz w:val="24"/>
          <w:u w:val="single"/>
        </w:rPr>
        <w:t>按通用条款执行。</w:t>
      </w:r>
    </w:p>
    <w:p w14:paraId="3D16FADB">
      <w:pPr>
        <w:spacing w:line="360" w:lineRule="auto"/>
        <w:ind w:firstLine="480" w:firstLineChars="200"/>
        <w:rPr>
          <w:rFonts w:ascii="宋体" w:hAnsi="宋体" w:cs="宋体"/>
          <w:sz w:val="24"/>
        </w:rPr>
      </w:pPr>
      <w:r>
        <w:rPr>
          <w:rFonts w:hint="eastAsia" w:ascii="宋体" w:hAnsi="宋体" w:cs="宋体"/>
          <w:sz w:val="24"/>
        </w:rPr>
        <w:t>6.1.5 文明施工</w:t>
      </w:r>
    </w:p>
    <w:p w14:paraId="1FAF2726">
      <w:pPr>
        <w:spacing w:line="360" w:lineRule="auto"/>
        <w:ind w:firstLine="475" w:firstLineChars="198"/>
        <w:rPr>
          <w:rFonts w:ascii="宋体" w:hAnsi="宋体" w:cs="宋体"/>
          <w:sz w:val="24"/>
        </w:rPr>
      </w:pPr>
      <w:r>
        <w:rPr>
          <w:rFonts w:hint="eastAsia" w:ascii="宋体" w:hAnsi="宋体" w:cs="宋体"/>
          <w:sz w:val="24"/>
        </w:rPr>
        <w:t>合同当事人对文明施工的要求：</w:t>
      </w:r>
    </w:p>
    <w:p w14:paraId="430AE61C">
      <w:pPr>
        <w:spacing w:line="360" w:lineRule="auto"/>
        <w:ind w:firstLine="475" w:firstLineChars="198"/>
        <w:rPr>
          <w:rFonts w:ascii="宋体" w:hAnsi="宋体" w:cs="宋体"/>
          <w:sz w:val="24"/>
          <w:u w:val="single"/>
        </w:rPr>
      </w:pPr>
      <w:r>
        <w:rPr>
          <w:rFonts w:hint="eastAsia" w:ascii="宋体" w:hAnsi="宋体" w:cs="宋体"/>
          <w:sz w:val="24"/>
          <w:u w:val="single"/>
        </w:rPr>
        <w:t>（1）遵守地方政府和有关部门对施工场地交通、环卫、安全和施工噪音等管理规定，并办理相关审批手续。</w:t>
      </w:r>
    </w:p>
    <w:p w14:paraId="7A2BB0E5">
      <w:pPr>
        <w:spacing w:line="360" w:lineRule="auto"/>
        <w:ind w:firstLine="475" w:firstLineChars="198"/>
        <w:rPr>
          <w:rFonts w:ascii="宋体" w:hAnsi="宋体" w:cs="宋体"/>
          <w:sz w:val="24"/>
          <w:u w:val="single"/>
        </w:rPr>
      </w:pPr>
      <w:r>
        <w:rPr>
          <w:rFonts w:hint="eastAsia" w:ascii="宋体" w:hAnsi="宋体" w:cs="宋体"/>
          <w:sz w:val="24"/>
          <w:u w:val="single"/>
        </w:rPr>
        <w:t>（2）承包人应采取有效措施尽量减小尘土和噪音污染，需要进行夜间作业时应经有关部门批准。</w:t>
      </w:r>
    </w:p>
    <w:p w14:paraId="5AA036D5">
      <w:pPr>
        <w:spacing w:line="360" w:lineRule="auto"/>
        <w:ind w:firstLine="475" w:firstLineChars="198"/>
        <w:rPr>
          <w:rFonts w:ascii="宋体" w:hAnsi="宋体" w:cs="宋体"/>
          <w:sz w:val="24"/>
          <w:u w:val="single"/>
        </w:rPr>
      </w:pPr>
      <w:r>
        <w:rPr>
          <w:rFonts w:hint="eastAsia" w:ascii="宋体" w:hAnsi="宋体" w:cs="宋体"/>
          <w:sz w:val="24"/>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55F04AE3">
      <w:pPr>
        <w:spacing w:line="360" w:lineRule="auto"/>
        <w:ind w:firstLine="475" w:firstLineChars="198"/>
        <w:rPr>
          <w:rFonts w:ascii="宋体" w:hAnsi="宋体" w:cs="宋体"/>
          <w:sz w:val="24"/>
          <w:u w:val="single"/>
        </w:rPr>
      </w:pPr>
      <w:r>
        <w:rPr>
          <w:rFonts w:hint="eastAsia" w:ascii="宋体" w:hAnsi="宋体" w:cs="宋体"/>
          <w:sz w:val="24"/>
          <w:u w:val="single"/>
        </w:rPr>
        <w:t>（4）上述手续办理费用约定如下：由承包人支付。</w:t>
      </w:r>
    </w:p>
    <w:p w14:paraId="796DBA77">
      <w:pPr>
        <w:spacing w:line="360" w:lineRule="auto"/>
        <w:ind w:firstLine="480" w:firstLineChars="200"/>
        <w:rPr>
          <w:rFonts w:ascii="宋体" w:hAnsi="宋体" w:cs="宋体"/>
          <w:sz w:val="24"/>
        </w:rPr>
      </w:pPr>
      <w:r>
        <w:rPr>
          <w:rFonts w:hint="eastAsia" w:ascii="宋体" w:hAnsi="宋体" w:cs="宋体"/>
          <w:sz w:val="24"/>
        </w:rPr>
        <w:t>6.1.6 关于安全文明施工费支付比例和支付期限的约定：按一下第</w:t>
      </w:r>
      <w:r>
        <w:rPr>
          <w:rFonts w:hint="eastAsia" w:ascii="宋体" w:hAnsi="宋体" w:cs="宋体"/>
          <w:sz w:val="24"/>
          <w:u w:val="single"/>
        </w:rPr>
        <w:t>（1）</w:t>
      </w:r>
      <w:r>
        <w:rPr>
          <w:rFonts w:hint="eastAsia" w:ascii="宋体" w:hAnsi="宋体" w:cs="宋体"/>
          <w:sz w:val="24"/>
        </w:rPr>
        <w:t>种方式约定：</w:t>
      </w:r>
    </w:p>
    <w:p w14:paraId="74D7CCA5">
      <w:pPr>
        <w:spacing w:line="360" w:lineRule="auto"/>
        <w:ind w:firstLine="480" w:firstLineChars="200"/>
        <w:rPr>
          <w:rFonts w:ascii="宋体" w:hAnsi="宋体" w:cs="宋体"/>
          <w:sz w:val="24"/>
          <w:u w:val="single"/>
        </w:rPr>
      </w:pPr>
      <w:r>
        <w:rPr>
          <w:rFonts w:hint="eastAsia" w:ascii="宋体" w:hAnsi="宋体" w:cs="宋体"/>
          <w:sz w:val="24"/>
          <w:u w:val="single"/>
        </w:rPr>
        <w:t>（1）安全文明施工费按以下第（①）种方式约定：</w:t>
      </w:r>
    </w:p>
    <w:p w14:paraId="0661B0CC">
      <w:pPr>
        <w:spacing w:line="360" w:lineRule="auto"/>
        <w:ind w:firstLine="480" w:firstLineChars="200"/>
        <w:rPr>
          <w:rFonts w:ascii="宋体" w:hAnsi="宋体" w:cs="宋体"/>
          <w:sz w:val="24"/>
          <w:u w:val="single"/>
        </w:rPr>
      </w:pPr>
      <w:r>
        <w:rPr>
          <w:rFonts w:hint="eastAsia" w:ascii="宋体" w:hAnsi="宋体" w:cs="宋体"/>
          <w:sz w:val="24"/>
          <w:u w:val="single"/>
        </w:rPr>
        <w:t>① 与进度款同比例同期支付。</w:t>
      </w:r>
    </w:p>
    <w:p w14:paraId="34F12482">
      <w:pPr>
        <w:spacing w:line="360" w:lineRule="auto"/>
        <w:ind w:firstLine="480" w:firstLineChars="200"/>
        <w:rPr>
          <w:rFonts w:ascii="宋体" w:hAnsi="宋体" w:cs="宋体"/>
          <w:sz w:val="24"/>
          <w:u w:val="single"/>
        </w:rPr>
      </w:pPr>
      <w:r>
        <w:rPr>
          <w:rFonts w:hint="eastAsia" w:ascii="宋体" w:hAnsi="宋体" w:cs="宋体"/>
          <w:sz w:val="24"/>
          <w:u w:val="single"/>
        </w:rPr>
        <w:t>② 其他：  /    。</w:t>
      </w:r>
    </w:p>
    <w:p w14:paraId="1E91E48B">
      <w:pPr>
        <w:spacing w:line="360" w:lineRule="auto"/>
        <w:ind w:firstLine="480" w:firstLineChars="200"/>
        <w:rPr>
          <w:rFonts w:ascii="宋体" w:hAnsi="宋体" w:cs="宋体"/>
          <w:sz w:val="24"/>
          <w:u w:val="single"/>
        </w:rPr>
      </w:pPr>
      <w:r>
        <w:rPr>
          <w:rFonts w:hint="eastAsia" w:ascii="宋体" w:hAnsi="宋体" w:cs="宋体"/>
          <w:sz w:val="24"/>
          <w:u w:val="single"/>
        </w:rPr>
        <w:t>6.1.10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5B9887E8">
      <w:pPr>
        <w:topLinePunct/>
        <w:spacing w:line="360" w:lineRule="auto"/>
        <w:ind w:firstLine="200"/>
        <w:rPr>
          <w:rFonts w:ascii="宋体" w:hAnsi="宋体" w:cs="宋体"/>
          <w:b/>
          <w:sz w:val="24"/>
        </w:rPr>
      </w:pPr>
      <w:r>
        <w:rPr>
          <w:rFonts w:hint="eastAsia" w:ascii="宋体" w:hAnsi="宋体" w:cs="宋体"/>
          <w:b/>
          <w:sz w:val="24"/>
        </w:rPr>
        <w:t>7.工期和进度</w:t>
      </w:r>
    </w:p>
    <w:p w14:paraId="7E47A06F">
      <w:pPr>
        <w:spacing w:line="360" w:lineRule="auto"/>
        <w:ind w:firstLine="480" w:firstLineChars="200"/>
        <w:rPr>
          <w:rFonts w:ascii="宋体" w:hAnsi="宋体" w:cs="宋体"/>
          <w:sz w:val="24"/>
        </w:rPr>
      </w:pPr>
      <w:r>
        <w:rPr>
          <w:rFonts w:hint="eastAsia" w:ascii="宋体" w:hAnsi="宋体" w:cs="宋体"/>
          <w:sz w:val="24"/>
        </w:rPr>
        <w:t>7.1 施工组织设计</w:t>
      </w:r>
    </w:p>
    <w:p w14:paraId="5E6C847D">
      <w:pPr>
        <w:spacing w:line="360" w:lineRule="auto"/>
        <w:ind w:firstLine="480" w:firstLineChars="200"/>
        <w:rPr>
          <w:rFonts w:ascii="宋体" w:hAnsi="宋体" w:cs="宋体"/>
          <w:sz w:val="24"/>
          <w:u w:val="single"/>
        </w:rPr>
      </w:pPr>
      <w:r>
        <w:rPr>
          <w:rFonts w:hint="eastAsia" w:ascii="宋体" w:hAnsi="宋体" w:cs="宋体"/>
          <w:sz w:val="24"/>
        </w:rPr>
        <w:t>7.1.1 合同当事人约定的施工组织设计应包括的其他内容：</w:t>
      </w:r>
      <w:r>
        <w:rPr>
          <w:rFonts w:hint="eastAsia" w:ascii="宋体" w:hAnsi="宋体" w:cs="宋体"/>
          <w:sz w:val="24"/>
          <w:u w:val="single"/>
        </w:rPr>
        <w:t>按通用条款执行。</w:t>
      </w:r>
    </w:p>
    <w:p w14:paraId="5388410A">
      <w:pPr>
        <w:autoSpaceDE w:val="0"/>
        <w:autoSpaceDN w:val="0"/>
        <w:spacing w:line="360" w:lineRule="auto"/>
        <w:ind w:firstLine="480" w:firstLineChars="200"/>
        <w:rPr>
          <w:rFonts w:ascii="宋体" w:hAnsi="宋体" w:cs="宋体"/>
          <w:sz w:val="24"/>
        </w:rPr>
      </w:pPr>
      <w:r>
        <w:rPr>
          <w:rFonts w:hint="eastAsia" w:ascii="宋体" w:hAnsi="宋体" w:cs="宋体"/>
          <w:sz w:val="24"/>
        </w:rPr>
        <w:t>7.1.2 施工组织设计的提交和修改</w:t>
      </w:r>
    </w:p>
    <w:p w14:paraId="118CA956">
      <w:pPr>
        <w:autoSpaceDE w:val="0"/>
        <w:autoSpaceDN w:val="0"/>
        <w:spacing w:line="360" w:lineRule="auto"/>
        <w:ind w:firstLine="480" w:firstLineChars="200"/>
        <w:rPr>
          <w:rFonts w:ascii="宋体" w:hAnsi="宋体" w:cs="宋体"/>
          <w:sz w:val="24"/>
        </w:rPr>
      </w:pPr>
      <w:r>
        <w:rPr>
          <w:rFonts w:hint="eastAsia" w:ascii="宋体" w:hAnsi="宋体" w:cs="宋体"/>
          <w:sz w:val="24"/>
        </w:rPr>
        <w:t>承包人提交详细施工组织设计的期限的约定：</w:t>
      </w:r>
      <w:r>
        <w:rPr>
          <w:rFonts w:hint="eastAsia" w:ascii="宋体" w:hAnsi="宋体" w:cs="宋体"/>
          <w:sz w:val="24"/>
          <w:u w:val="single"/>
        </w:rPr>
        <w:t xml:space="preserve"> 本合同签订后（3）天内提供详细施工组织设计（施工方案）和进度计划 </w:t>
      </w:r>
      <w:r>
        <w:rPr>
          <w:rFonts w:hint="eastAsia" w:ascii="宋体" w:hAnsi="宋体" w:cs="宋体"/>
          <w:sz w:val="24"/>
        </w:rPr>
        <w:t>。</w:t>
      </w:r>
    </w:p>
    <w:p w14:paraId="59A89A25">
      <w:pPr>
        <w:spacing w:line="360" w:lineRule="auto"/>
        <w:ind w:firstLine="480" w:firstLineChars="200"/>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收到施工组织设计后 7天内。</w:t>
      </w:r>
    </w:p>
    <w:p w14:paraId="16DBDF3E">
      <w:pPr>
        <w:spacing w:line="360" w:lineRule="auto"/>
        <w:ind w:firstLine="480" w:firstLineChars="200"/>
        <w:rPr>
          <w:rFonts w:ascii="宋体" w:hAnsi="宋体" w:cs="宋体"/>
          <w:sz w:val="24"/>
        </w:rPr>
      </w:pPr>
      <w:r>
        <w:rPr>
          <w:rFonts w:hint="eastAsia" w:ascii="宋体" w:hAnsi="宋体" w:cs="宋体"/>
          <w:sz w:val="24"/>
        </w:rPr>
        <w:t>7.2 施工进度计划</w:t>
      </w:r>
    </w:p>
    <w:p w14:paraId="499D8CA7">
      <w:pPr>
        <w:spacing w:line="360" w:lineRule="auto"/>
        <w:ind w:firstLine="480" w:firstLineChars="200"/>
        <w:rPr>
          <w:rFonts w:ascii="宋体" w:hAnsi="宋体" w:cs="宋体"/>
          <w:sz w:val="24"/>
        </w:rPr>
      </w:pPr>
      <w:r>
        <w:rPr>
          <w:rFonts w:hint="eastAsia" w:ascii="宋体" w:hAnsi="宋体" w:cs="宋体"/>
          <w:sz w:val="24"/>
        </w:rPr>
        <w:t>7.2.2 施工进度计划的修订</w:t>
      </w:r>
    </w:p>
    <w:p w14:paraId="6B704EF8">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收到修订的施工进度计划后7天内。</w:t>
      </w:r>
    </w:p>
    <w:p w14:paraId="32A16B6A">
      <w:pPr>
        <w:spacing w:line="360" w:lineRule="auto"/>
        <w:ind w:firstLine="480" w:firstLineChars="200"/>
        <w:rPr>
          <w:rFonts w:ascii="宋体" w:hAnsi="宋体" w:cs="宋体"/>
          <w:sz w:val="24"/>
        </w:rPr>
      </w:pPr>
      <w:r>
        <w:rPr>
          <w:rFonts w:hint="eastAsia" w:ascii="宋体" w:hAnsi="宋体" w:cs="宋体"/>
          <w:sz w:val="24"/>
        </w:rPr>
        <w:t>7.3 开工</w:t>
      </w:r>
    </w:p>
    <w:p w14:paraId="4014D1E2">
      <w:pPr>
        <w:spacing w:line="360" w:lineRule="auto"/>
        <w:ind w:firstLine="480" w:firstLineChars="200"/>
        <w:rPr>
          <w:rFonts w:ascii="宋体" w:hAnsi="宋体" w:cs="宋体"/>
          <w:sz w:val="24"/>
        </w:rPr>
      </w:pPr>
      <w:r>
        <w:rPr>
          <w:rFonts w:hint="eastAsia" w:ascii="宋体" w:hAnsi="宋体" w:cs="宋体"/>
          <w:sz w:val="24"/>
        </w:rPr>
        <w:t>7.3.1 开工准备</w:t>
      </w:r>
    </w:p>
    <w:p w14:paraId="027E45CA">
      <w:pPr>
        <w:spacing w:line="360" w:lineRule="auto"/>
        <w:ind w:firstLine="480" w:firstLineChars="200"/>
        <w:rPr>
          <w:rFonts w:ascii="宋体" w:hAnsi="宋体" w:cs="宋体"/>
          <w:sz w:val="24"/>
          <w:u w:val="single"/>
        </w:rPr>
      </w:pPr>
      <w:r>
        <w:rPr>
          <w:rFonts w:hint="eastAsia" w:ascii="宋体" w:hAnsi="宋体" w:cs="宋体"/>
          <w:sz w:val="24"/>
        </w:rPr>
        <w:t>关于承包人提交工程开工报审表的期限：</w:t>
      </w:r>
      <w:r>
        <w:rPr>
          <w:rFonts w:hint="eastAsia" w:ascii="宋体" w:hAnsi="宋体" w:cs="宋体"/>
          <w:sz w:val="24"/>
          <w:u w:val="single"/>
        </w:rPr>
        <w:t>开工前3天。</w:t>
      </w:r>
    </w:p>
    <w:p w14:paraId="2EB13C0A">
      <w:pPr>
        <w:spacing w:line="360" w:lineRule="auto"/>
        <w:ind w:firstLine="480" w:firstLineChars="200"/>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开工前3天。</w:t>
      </w:r>
    </w:p>
    <w:p w14:paraId="0EE2E3A1">
      <w:pPr>
        <w:spacing w:line="360" w:lineRule="auto"/>
        <w:ind w:firstLine="480" w:firstLineChars="200"/>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开工前3天</w:t>
      </w:r>
      <w:r>
        <w:rPr>
          <w:rFonts w:hint="eastAsia" w:ascii="宋体" w:hAnsi="宋体" w:cs="宋体"/>
          <w:sz w:val="24"/>
        </w:rPr>
        <w:t xml:space="preserve">。     </w:t>
      </w:r>
    </w:p>
    <w:p w14:paraId="70BB4255">
      <w:pPr>
        <w:spacing w:line="360" w:lineRule="auto"/>
        <w:ind w:firstLine="480" w:firstLineChars="200"/>
        <w:rPr>
          <w:rFonts w:ascii="宋体" w:hAnsi="宋体" w:cs="宋体"/>
          <w:sz w:val="24"/>
        </w:rPr>
      </w:pPr>
      <w:r>
        <w:rPr>
          <w:rFonts w:hint="eastAsia" w:ascii="宋体" w:hAnsi="宋体" w:cs="宋体"/>
          <w:sz w:val="24"/>
        </w:rPr>
        <w:t>7.3.2开工通知</w:t>
      </w:r>
    </w:p>
    <w:p w14:paraId="7D6D9475">
      <w:pPr>
        <w:spacing w:line="360" w:lineRule="auto"/>
        <w:ind w:firstLine="480" w:firstLineChars="200"/>
        <w:rPr>
          <w:rFonts w:ascii="宋体" w:hAnsi="宋体" w:cs="宋体"/>
          <w:sz w:val="24"/>
        </w:rPr>
      </w:pPr>
      <w:r>
        <w:rPr>
          <w:rFonts w:hint="eastAsia" w:ascii="宋体" w:hAnsi="宋体" w:cs="宋体"/>
          <w:sz w:val="24"/>
        </w:rPr>
        <w:t>因发包人原因造成未能在计划开工日期之日起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p w14:paraId="33017C4D">
      <w:pPr>
        <w:spacing w:line="360" w:lineRule="auto"/>
        <w:ind w:firstLine="480" w:firstLineChars="200"/>
        <w:rPr>
          <w:rFonts w:ascii="宋体" w:hAnsi="宋体" w:cs="宋体"/>
          <w:sz w:val="24"/>
        </w:rPr>
      </w:pPr>
      <w:r>
        <w:rPr>
          <w:rFonts w:hint="eastAsia" w:ascii="宋体" w:hAnsi="宋体" w:cs="宋体"/>
          <w:sz w:val="24"/>
        </w:rPr>
        <w:t>7.4 测量放线</w:t>
      </w:r>
    </w:p>
    <w:p w14:paraId="4AA66C52">
      <w:pPr>
        <w:spacing w:line="360" w:lineRule="auto"/>
        <w:ind w:firstLine="480" w:firstLineChars="200"/>
        <w:rPr>
          <w:rFonts w:ascii="宋体" w:hAnsi="宋体" w:cs="宋体"/>
          <w:sz w:val="24"/>
          <w:u w:val="single"/>
        </w:rPr>
      </w:pPr>
      <w:r>
        <w:rPr>
          <w:rFonts w:hint="eastAsia" w:ascii="宋体" w:hAnsi="宋体" w:cs="宋体"/>
          <w:sz w:val="24"/>
        </w:rPr>
        <w:t>7.4.1发包人向承包人提供测量基准点、基准线和水准点及其书面资料的期限：</w:t>
      </w:r>
      <w:r>
        <w:rPr>
          <w:rFonts w:hint="eastAsia" w:ascii="宋体" w:hAnsi="宋体" w:cs="宋体"/>
          <w:sz w:val="24"/>
          <w:u w:val="single"/>
        </w:rPr>
        <w:t xml:space="preserve"> / </w:t>
      </w:r>
    </w:p>
    <w:p w14:paraId="10E60CC5">
      <w:pPr>
        <w:spacing w:line="360" w:lineRule="auto"/>
        <w:ind w:firstLine="480" w:firstLineChars="200"/>
        <w:rPr>
          <w:rFonts w:ascii="宋体" w:hAnsi="宋体" w:cs="宋体"/>
          <w:sz w:val="24"/>
        </w:rPr>
      </w:pPr>
      <w:r>
        <w:rPr>
          <w:rFonts w:hint="eastAsia" w:ascii="宋体" w:hAnsi="宋体" w:cs="宋体"/>
          <w:sz w:val="24"/>
        </w:rPr>
        <w:t>7.5 工期延误</w:t>
      </w:r>
    </w:p>
    <w:p w14:paraId="10E5F60E">
      <w:pPr>
        <w:spacing w:line="360" w:lineRule="auto"/>
        <w:ind w:firstLine="480" w:firstLineChars="200"/>
        <w:rPr>
          <w:rFonts w:ascii="宋体" w:hAnsi="宋体" w:cs="宋体"/>
          <w:sz w:val="24"/>
        </w:rPr>
      </w:pPr>
      <w:r>
        <w:rPr>
          <w:rFonts w:hint="eastAsia" w:ascii="宋体" w:hAnsi="宋体" w:cs="宋体"/>
          <w:sz w:val="24"/>
        </w:rPr>
        <w:t>7.5.1 因发包人原因导致工期延误</w:t>
      </w:r>
    </w:p>
    <w:p w14:paraId="26C007F7">
      <w:pPr>
        <w:spacing w:line="360" w:lineRule="auto"/>
        <w:ind w:firstLine="480"/>
        <w:rPr>
          <w:rFonts w:ascii="宋体" w:hAnsi="宋体" w:cs="宋体"/>
          <w:sz w:val="24"/>
          <w:u w:val="single"/>
        </w:rPr>
      </w:pPr>
      <w:r>
        <w:rPr>
          <w:rFonts w:hint="eastAsia" w:ascii="宋体" w:hAnsi="宋体" w:cs="宋体"/>
          <w:sz w:val="24"/>
        </w:rPr>
        <w:t>（7）因发包人原因导致工期延误的其他情形：</w:t>
      </w:r>
    </w:p>
    <w:p w14:paraId="56D7F2B5">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1）重大设计变更引起的工期延误；</w:t>
      </w:r>
    </w:p>
    <w:p w14:paraId="1127A8DF">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2）其他：因发包人原因直接造成的工期延误；</w:t>
      </w:r>
    </w:p>
    <w:p w14:paraId="24B56945">
      <w:pPr>
        <w:spacing w:line="360" w:lineRule="auto"/>
        <w:ind w:firstLine="480" w:firstLineChars="200"/>
        <w:rPr>
          <w:rFonts w:ascii="宋体" w:hAnsi="宋体" w:cs="宋体"/>
          <w:sz w:val="24"/>
          <w:u w:val="single"/>
        </w:rPr>
      </w:pPr>
      <w:r>
        <w:rPr>
          <w:rFonts w:hint="eastAsia" w:ascii="宋体" w:hAnsi="宋体" w:cs="宋体"/>
          <w:sz w:val="24"/>
          <w:u w:val="single"/>
        </w:rPr>
        <w:t>非承包人原因引起的，发包人、承包人和监理单位（如有）共同确认需要延长工期的，可按双方协商一致后的书面签证予以顺延。</w:t>
      </w:r>
    </w:p>
    <w:p w14:paraId="0A185CB5">
      <w:pPr>
        <w:spacing w:line="360" w:lineRule="auto"/>
        <w:ind w:firstLine="480" w:firstLineChars="200"/>
        <w:rPr>
          <w:rFonts w:ascii="宋体" w:hAnsi="宋体" w:cs="宋体"/>
          <w:sz w:val="24"/>
        </w:rPr>
      </w:pPr>
      <w:r>
        <w:rPr>
          <w:rFonts w:hint="eastAsia" w:ascii="宋体" w:hAnsi="宋体" w:cs="宋体"/>
          <w:sz w:val="24"/>
        </w:rPr>
        <w:t>7.5.2 因承包人原因导致工期延误</w:t>
      </w:r>
    </w:p>
    <w:p w14:paraId="17F12EF6">
      <w:pPr>
        <w:spacing w:line="360" w:lineRule="auto"/>
        <w:ind w:firstLine="480" w:firstLineChars="200"/>
        <w:rPr>
          <w:rFonts w:ascii="宋体" w:hAnsi="宋体" w:cs="宋体"/>
          <w:sz w:val="24"/>
          <w:u w:val="single"/>
        </w:rPr>
      </w:pPr>
      <w:r>
        <w:rPr>
          <w:rFonts w:hint="eastAsia" w:ascii="宋体" w:hAnsi="宋体" w:cs="宋体"/>
          <w:sz w:val="24"/>
        </w:rPr>
        <w:t>因承包人原因造成工期延误，逾期竣工违约金的计算方法为：</w:t>
      </w:r>
      <w:r>
        <w:rPr>
          <w:rFonts w:hint="eastAsia" w:ascii="宋体" w:hAnsi="宋体" w:cs="宋体"/>
          <w:sz w:val="24"/>
          <w:u w:val="single"/>
        </w:rPr>
        <w:t>①、因承包人原因工程不能按合同约定工期竣工，每延误一天，承包人应按人民币0.3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20天（含20天）的，发包人有权解除合同，也有权仍选择由承包人继续履行合同，如发包人选择由承包人继续履行合同的，竣工工期超过20天后每延误一天，承包人应按人民币0.6万元向发包人支付违约金。</w:t>
      </w:r>
    </w:p>
    <w:p w14:paraId="35258659">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sz w:val="24"/>
          <w:u w:val="single"/>
        </w:rPr>
        <w:t xml:space="preserve"> 不设上限，工期延误违约金发包人有权直接从履约担保中扣除，不足部分从工程款中扣除 </w:t>
      </w:r>
      <w:r>
        <w:rPr>
          <w:rFonts w:hint="eastAsia" w:ascii="宋体" w:hAnsi="宋体" w:cs="宋体"/>
          <w:sz w:val="24"/>
        </w:rPr>
        <w:t>。</w:t>
      </w:r>
    </w:p>
    <w:p w14:paraId="5AE68A3B">
      <w:pPr>
        <w:spacing w:line="360" w:lineRule="auto"/>
        <w:ind w:firstLine="480" w:firstLineChars="200"/>
        <w:rPr>
          <w:rFonts w:ascii="宋体" w:hAnsi="宋体" w:cs="宋体"/>
          <w:sz w:val="24"/>
        </w:rPr>
      </w:pPr>
      <w:r>
        <w:rPr>
          <w:rFonts w:hint="eastAsia" w:ascii="宋体" w:hAnsi="宋体" w:cs="宋体"/>
          <w:sz w:val="24"/>
        </w:rPr>
        <w:t>7.6 不利物质条件</w:t>
      </w:r>
    </w:p>
    <w:p w14:paraId="1F58D132">
      <w:pPr>
        <w:spacing w:line="360" w:lineRule="auto"/>
        <w:ind w:firstLine="475" w:firstLineChars="198"/>
        <w:rPr>
          <w:rFonts w:ascii="宋体" w:hAnsi="宋体" w:cs="宋体"/>
          <w:sz w:val="24"/>
        </w:rPr>
      </w:pPr>
      <w:r>
        <w:rPr>
          <w:rFonts w:hint="eastAsia" w:ascii="宋体" w:hAnsi="宋体" w:cs="宋体"/>
          <w:sz w:val="24"/>
        </w:rPr>
        <w:t>不利物质条件的其他情形和有关约定：</w:t>
      </w:r>
      <w:r>
        <w:rPr>
          <w:rFonts w:hint="eastAsia" w:ascii="宋体" w:hAnsi="宋体" w:cs="宋体"/>
          <w:sz w:val="24"/>
          <w:u w:val="single"/>
        </w:rPr>
        <w:t xml:space="preserve"> / ；</w:t>
      </w:r>
    </w:p>
    <w:p w14:paraId="7D379E7C">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3B629C93">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发包人和承包人同意以下情形视为异常恶劣的气候条件：</w:t>
      </w:r>
      <w:r>
        <w:rPr>
          <w:rFonts w:hint="eastAsia" w:ascii="宋体" w:hAnsi="宋体" w:cs="宋体"/>
          <w:sz w:val="24"/>
          <w:u w:val="single"/>
        </w:rPr>
        <w:t>日最高气温达到40度及以上的天气；启动台风橙色及以上的预警的天气；启动防汛预案一级响应的天气；启动防冻预案一级响应的天气。</w:t>
      </w:r>
    </w:p>
    <w:p w14:paraId="0EAD7FA5">
      <w:pPr>
        <w:spacing w:line="360" w:lineRule="auto"/>
        <w:ind w:firstLine="480" w:firstLineChars="200"/>
        <w:rPr>
          <w:rFonts w:ascii="宋体" w:hAnsi="宋体" w:cs="宋体"/>
          <w:sz w:val="24"/>
        </w:rPr>
      </w:pPr>
      <w:r>
        <w:rPr>
          <w:rFonts w:hint="eastAsia" w:ascii="宋体" w:hAnsi="宋体" w:cs="宋体"/>
          <w:sz w:val="24"/>
        </w:rPr>
        <w:t>7.9 提前竣工的奖励</w:t>
      </w:r>
    </w:p>
    <w:p w14:paraId="5837D9BD">
      <w:pPr>
        <w:spacing w:line="360" w:lineRule="auto"/>
        <w:ind w:firstLine="480" w:firstLineChars="200"/>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14:paraId="761C7A65">
      <w:pPr>
        <w:topLinePunct/>
        <w:spacing w:line="360" w:lineRule="auto"/>
        <w:ind w:firstLine="420"/>
        <w:rPr>
          <w:rFonts w:ascii="宋体" w:hAnsi="宋体" w:cs="宋体"/>
          <w:b/>
          <w:sz w:val="24"/>
        </w:rPr>
      </w:pPr>
      <w:r>
        <w:rPr>
          <w:rFonts w:hint="eastAsia" w:ascii="宋体" w:hAnsi="宋体" w:cs="宋体"/>
          <w:b/>
          <w:sz w:val="24"/>
        </w:rPr>
        <w:t>8. 材料与设备</w:t>
      </w:r>
    </w:p>
    <w:p w14:paraId="6F35129F">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206F8EC6">
      <w:pPr>
        <w:spacing w:line="360" w:lineRule="auto"/>
        <w:ind w:firstLine="480" w:firstLineChars="200"/>
        <w:rPr>
          <w:rFonts w:ascii="宋体" w:hAnsi="宋体" w:cs="宋体"/>
          <w:sz w:val="24"/>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p>
    <w:p w14:paraId="71E77185">
      <w:pPr>
        <w:spacing w:line="360" w:lineRule="auto"/>
        <w:ind w:firstLine="480" w:firstLineChars="200"/>
        <w:rPr>
          <w:rFonts w:ascii="宋体" w:hAnsi="宋体" w:cs="宋体"/>
          <w:sz w:val="24"/>
        </w:rPr>
      </w:pPr>
      <w:r>
        <w:rPr>
          <w:rFonts w:hint="eastAsia" w:ascii="宋体" w:hAnsi="宋体" w:cs="宋体"/>
          <w:sz w:val="24"/>
        </w:rPr>
        <w:t>8.6 样品</w:t>
      </w:r>
    </w:p>
    <w:p w14:paraId="14FA987A">
      <w:pPr>
        <w:spacing w:line="360" w:lineRule="auto"/>
        <w:ind w:firstLine="480" w:firstLineChars="200"/>
        <w:rPr>
          <w:rFonts w:ascii="宋体" w:hAnsi="宋体" w:cs="宋体"/>
          <w:sz w:val="24"/>
        </w:rPr>
      </w:pPr>
      <w:r>
        <w:rPr>
          <w:rFonts w:hint="eastAsia" w:ascii="宋体" w:hAnsi="宋体" w:cs="宋体"/>
          <w:sz w:val="24"/>
        </w:rPr>
        <w:t>8.6.1 样品的报送与封存</w:t>
      </w:r>
    </w:p>
    <w:p w14:paraId="1B103A81">
      <w:pPr>
        <w:tabs>
          <w:tab w:val="left" w:pos="482"/>
          <w:tab w:val="left" w:pos="2183"/>
          <w:tab w:val="left" w:pos="3884"/>
          <w:tab w:val="left" w:pos="5585"/>
        </w:tabs>
        <w:autoSpaceDE w:val="0"/>
        <w:autoSpaceDN w:val="0"/>
        <w:spacing w:line="360" w:lineRule="auto"/>
        <w:ind w:firstLine="480" w:firstLineChars="200"/>
        <w:rPr>
          <w:rFonts w:ascii="宋体" w:hAnsi="宋体" w:cs="宋体"/>
          <w:sz w:val="24"/>
          <w:u w:val="single"/>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按有关规定和监理人（如有）要求执行。</w:t>
      </w:r>
    </w:p>
    <w:p w14:paraId="33B0AB61">
      <w:pPr>
        <w:spacing w:line="360" w:lineRule="auto"/>
        <w:ind w:firstLine="480" w:firstLineChars="200"/>
        <w:rPr>
          <w:rFonts w:ascii="宋体" w:hAnsi="宋体" w:cs="宋体"/>
          <w:sz w:val="24"/>
        </w:rPr>
      </w:pPr>
      <w:r>
        <w:rPr>
          <w:rFonts w:hint="eastAsia" w:ascii="宋体" w:hAnsi="宋体" w:cs="宋体"/>
          <w:sz w:val="24"/>
        </w:rPr>
        <w:t>8.8 施工设备和临时设施</w:t>
      </w:r>
    </w:p>
    <w:p w14:paraId="2A5F6630">
      <w:pPr>
        <w:spacing w:line="360" w:lineRule="auto"/>
        <w:ind w:firstLine="480" w:firstLineChars="200"/>
        <w:rPr>
          <w:rFonts w:ascii="宋体" w:hAnsi="宋体" w:cs="宋体"/>
          <w:sz w:val="24"/>
        </w:rPr>
      </w:pPr>
      <w:r>
        <w:rPr>
          <w:rFonts w:hint="eastAsia" w:ascii="宋体" w:hAnsi="宋体" w:cs="宋体"/>
          <w:sz w:val="24"/>
        </w:rPr>
        <w:t>8.8.1 承包人提供的施工设备和临时设施</w:t>
      </w:r>
    </w:p>
    <w:p w14:paraId="6435A0D8">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 xml:space="preserve">   /   </w:t>
      </w:r>
    </w:p>
    <w:p w14:paraId="6C166EF0">
      <w:pPr>
        <w:topLinePunct/>
        <w:spacing w:line="360" w:lineRule="auto"/>
        <w:ind w:firstLine="420"/>
        <w:rPr>
          <w:rFonts w:ascii="宋体" w:hAnsi="宋体" w:cs="宋体"/>
          <w:b/>
          <w:sz w:val="24"/>
        </w:rPr>
      </w:pPr>
      <w:r>
        <w:rPr>
          <w:rFonts w:hint="eastAsia" w:ascii="宋体" w:hAnsi="宋体" w:cs="宋体"/>
          <w:b/>
          <w:sz w:val="24"/>
        </w:rPr>
        <w:t>9. 试验与检验</w:t>
      </w:r>
    </w:p>
    <w:p w14:paraId="2559457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718BBA75">
      <w:pPr>
        <w:spacing w:line="360" w:lineRule="auto"/>
        <w:ind w:firstLine="480" w:firstLineChars="200"/>
        <w:rPr>
          <w:rFonts w:ascii="宋体" w:hAnsi="宋体" w:cs="宋体"/>
          <w:sz w:val="24"/>
        </w:rPr>
      </w:pPr>
      <w:r>
        <w:rPr>
          <w:rFonts w:hint="eastAsia" w:ascii="宋体" w:hAnsi="宋体" w:cs="宋体"/>
          <w:sz w:val="24"/>
        </w:rPr>
        <w:t>9.1.2 试验设备</w:t>
      </w:r>
    </w:p>
    <w:p w14:paraId="4BDDC524">
      <w:pPr>
        <w:spacing w:line="360" w:lineRule="auto"/>
        <w:ind w:firstLine="480" w:firstLineChars="200"/>
        <w:rPr>
          <w:rFonts w:ascii="宋体" w:hAnsi="宋体" w:cs="宋体"/>
          <w:sz w:val="24"/>
        </w:rPr>
      </w:pPr>
      <w:r>
        <w:rPr>
          <w:rFonts w:hint="eastAsia" w:ascii="宋体" w:hAnsi="宋体" w:cs="宋体"/>
          <w:sz w:val="24"/>
        </w:rPr>
        <w:t>施工现场需要配置的试验场所：</w:t>
      </w:r>
      <w:r>
        <w:rPr>
          <w:rFonts w:hint="eastAsia" w:ascii="宋体" w:hAnsi="宋体" w:cs="宋体"/>
          <w:sz w:val="24"/>
          <w:u w:val="single"/>
        </w:rPr>
        <w:t xml:space="preserve"> 按有关规定和监理人要求执行</w:t>
      </w:r>
      <w:r>
        <w:rPr>
          <w:rFonts w:hint="eastAsia" w:ascii="宋体" w:hAnsi="宋体" w:cs="宋体"/>
          <w:sz w:val="24"/>
        </w:rPr>
        <w:t xml:space="preserve">。 </w:t>
      </w:r>
    </w:p>
    <w:p w14:paraId="33CF8152">
      <w:pPr>
        <w:spacing w:line="360" w:lineRule="auto"/>
        <w:ind w:firstLine="480" w:firstLineChars="200"/>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按有关规定和监理人要求执行</w:t>
      </w:r>
      <w:r>
        <w:rPr>
          <w:rFonts w:hint="eastAsia" w:ascii="宋体" w:hAnsi="宋体" w:cs="宋体"/>
          <w:sz w:val="24"/>
        </w:rPr>
        <w:t>。</w:t>
      </w:r>
    </w:p>
    <w:p w14:paraId="5D6F73BD">
      <w:pPr>
        <w:spacing w:line="360" w:lineRule="auto"/>
        <w:ind w:firstLine="480" w:firstLineChars="200"/>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按有关规定和监理人要求执行</w:t>
      </w:r>
      <w:r>
        <w:rPr>
          <w:rFonts w:hint="eastAsia" w:ascii="宋体" w:hAnsi="宋体" w:cs="宋体"/>
          <w:sz w:val="24"/>
        </w:rPr>
        <w:t>。</w:t>
      </w:r>
    </w:p>
    <w:p w14:paraId="5AF6B64D">
      <w:pPr>
        <w:snapToGrid w:val="0"/>
        <w:spacing w:line="360" w:lineRule="auto"/>
        <w:ind w:firstLine="480" w:firstLineChars="200"/>
        <w:rPr>
          <w:rFonts w:ascii="宋体" w:hAnsi="宋体" w:cs="宋体"/>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52F0C28C">
      <w:pPr>
        <w:snapToGrid w:val="0"/>
        <w:spacing w:line="360" w:lineRule="auto"/>
        <w:ind w:firstLine="480" w:firstLineChars="200"/>
        <w:rPr>
          <w:rFonts w:ascii="宋体" w:hAnsi="宋体" w:cs="宋体"/>
          <w:sz w:val="24"/>
          <w:u w:val="single"/>
        </w:rPr>
      </w:pPr>
      <w:r>
        <w:rPr>
          <w:rFonts w:hint="eastAsia" w:ascii="宋体" w:hAnsi="宋体" w:cs="宋体"/>
          <w:kern w:val="0"/>
          <w:sz w:val="24"/>
        </w:rPr>
        <w:t>试验、检测单位资质条件约定：</w:t>
      </w:r>
      <w:r>
        <w:rPr>
          <w:rFonts w:hint="eastAsia" w:ascii="宋体" w:hAnsi="宋体" w:cs="宋体"/>
          <w:sz w:val="24"/>
          <w:u w:val="single"/>
        </w:rPr>
        <w:t>按有关规定和监理人要求执行</w:t>
      </w:r>
      <w:r>
        <w:rPr>
          <w:rFonts w:hint="eastAsia" w:ascii="宋体" w:hAnsi="宋体" w:cs="宋体"/>
          <w:sz w:val="24"/>
        </w:rPr>
        <w:t>。</w:t>
      </w:r>
    </w:p>
    <w:p w14:paraId="73A8E739">
      <w:pPr>
        <w:snapToGrid w:val="0"/>
        <w:spacing w:line="360" w:lineRule="auto"/>
        <w:ind w:firstLine="480" w:firstLineChars="200"/>
        <w:rPr>
          <w:rFonts w:ascii="宋体" w:hAnsi="宋体" w:cs="宋体"/>
          <w:sz w:val="24"/>
        </w:rPr>
      </w:pPr>
      <w:r>
        <w:rPr>
          <w:rFonts w:hint="eastAsia" w:ascii="宋体" w:hAnsi="宋体" w:cs="宋体"/>
          <w:kern w:val="0"/>
          <w:sz w:val="24"/>
        </w:rPr>
        <w:t>试验、检测单位选择约定：</w:t>
      </w:r>
      <w:r>
        <w:rPr>
          <w:rFonts w:hint="eastAsia" w:ascii="宋体" w:hAnsi="宋体" w:cs="宋体"/>
          <w:sz w:val="24"/>
          <w:u w:val="single"/>
        </w:rPr>
        <w:t>按有关规定和监理人要求执行</w:t>
      </w:r>
      <w:r>
        <w:rPr>
          <w:rFonts w:hint="eastAsia" w:ascii="宋体" w:hAnsi="宋体" w:cs="宋体"/>
          <w:sz w:val="24"/>
        </w:rPr>
        <w:t>。</w:t>
      </w:r>
    </w:p>
    <w:p w14:paraId="71B67228">
      <w:pPr>
        <w:spacing w:line="360" w:lineRule="auto"/>
        <w:ind w:firstLine="420"/>
        <w:rPr>
          <w:rFonts w:ascii="宋体" w:hAnsi="宋体" w:cs="宋体"/>
          <w:caps/>
          <w:kern w:val="0"/>
          <w:sz w:val="24"/>
        </w:rPr>
      </w:pPr>
      <w:r>
        <w:rPr>
          <w:rFonts w:hint="eastAsia" w:ascii="宋体" w:hAnsi="宋体" w:cs="宋体"/>
          <w:caps/>
          <w:kern w:val="0"/>
          <w:sz w:val="24"/>
        </w:rPr>
        <w:t>试验、检测费用约定：</w:t>
      </w:r>
      <w:r>
        <w:rPr>
          <w:rFonts w:hint="eastAsia" w:ascii="宋体" w:hAnsi="宋体" w:cs="宋体"/>
          <w:caps/>
          <w:kern w:val="0"/>
          <w:sz w:val="24"/>
          <w:u w:val="single"/>
        </w:rPr>
        <w:t xml:space="preserve"> 所有工程测验、检测费用由承包人承担，并已包含在合同价款中，不再另行计算。</w:t>
      </w:r>
    </w:p>
    <w:p w14:paraId="61EA4434">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6D68BD55">
      <w:pPr>
        <w:spacing w:line="360" w:lineRule="auto"/>
        <w:ind w:firstLine="480" w:firstLineChars="200"/>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按有关规定和监理人要求执行</w:t>
      </w:r>
    </w:p>
    <w:p w14:paraId="6F3F0FBD">
      <w:pPr>
        <w:topLinePunct/>
        <w:spacing w:line="360" w:lineRule="auto"/>
        <w:ind w:firstLine="420"/>
        <w:rPr>
          <w:rFonts w:ascii="宋体" w:hAnsi="宋体" w:cs="宋体"/>
          <w:b/>
          <w:sz w:val="24"/>
        </w:rPr>
      </w:pPr>
      <w:r>
        <w:rPr>
          <w:rFonts w:hint="eastAsia" w:ascii="宋体" w:hAnsi="宋体" w:cs="宋体"/>
          <w:b/>
          <w:sz w:val="24"/>
        </w:rPr>
        <w:t>10.变更</w:t>
      </w:r>
    </w:p>
    <w:p w14:paraId="6676A7F5">
      <w:pPr>
        <w:spacing w:line="360" w:lineRule="auto"/>
        <w:ind w:firstLine="480" w:firstLineChars="200"/>
        <w:rPr>
          <w:rFonts w:ascii="宋体" w:hAnsi="宋体" w:cs="宋体"/>
          <w:sz w:val="24"/>
        </w:rPr>
      </w:pPr>
      <w:r>
        <w:rPr>
          <w:rFonts w:hint="eastAsia" w:ascii="宋体" w:hAnsi="宋体" w:cs="宋体"/>
          <w:sz w:val="24"/>
        </w:rPr>
        <w:t>10.1变更的范围</w:t>
      </w:r>
    </w:p>
    <w:p w14:paraId="72CFB9B5">
      <w:pPr>
        <w:snapToGrid w:val="0"/>
        <w:spacing w:line="360" w:lineRule="auto"/>
        <w:ind w:firstLine="480" w:firstLineChars="200"/>
        <w:rPr>
          <w:rFonts w:ascii="宋体" w:hAnsi="宋体" w:cs="宋体"/>
          <w:sz w:val="24"/>
        </w:rPr>
      </w:pPr>
      <w:r>
        <w:rPr>
          <w:rFonts w:hint="eastAsia" w:ascii="宋体" w:hAnsi="宋体" w:cs="宋体"/>
          <w:sz w:val="24"/>
        </w:rPr>
        <w:t>关于变更的范围的约定：</w:t>
      </w:r>
      <w:r>
        <w:rPr>
          <w:rFonts w:hint="eastAsia" w:ascii="宋体" w:hAnsi="宋体" w:cs="宋体"/>
          <w:sz w:val="24"/>
          <w:u w:val="single"/>
        </w:rPr>
        <w:t xml:space="preserve"> 按通用合同条款约定。</w:t>
      </w:r>
    </w:p>
    <w:p w14:paraId="209963C8">
      <w:pPr>
        <w:snapToGrid w:val="0"/>
        <w:spacing w:line="360" w:lineRule="auto"/>
        <w:ind w:firstLine="480" w:firstLineChars="200"/>
        <w:rPr>
          <w:rFonts w:ascii="宋体" w:hAnsi="宋体" w:cs="宋体"/>
          <w:sz w:val="24"/>
        </w:rPr>
      </w:pPr>
      <w:r>
        <w:rPr>
          <w:rFonts w:hint="eastAsia" w:ascii="宋体" w:hAnsi="宋体" w:cs="宋体"/>
          <w:sz w:val="24"/>
        </w:rPr>
        <w:t>10.1.2因承包人擅自变更设计发生的费用和由此导致发包人的直接损失，由承包人承担，延误的工期不予顺延。</w:t>
      </w:r>
    </w:p>
    <w:p w14:paraId="79DF6684">
      <w:pPr>
        <w:snapToGrid w:val="0"/>
        <w:spacing w:line="360" w:lineRule="auto"/>
        <w:ind w:firstLine="480" w:firstLineChars="200"/>
        <w:rPr>
          <w:rFonts w:ascii="宋体" w:hAnsi="宋体" w:cs="宋体"/>
          <w:sz w:val="24"/>
        </w:rPr>
      </w:pPr>
      <w:r>
        <w:rPr>
          <w:rFonts w:hint="eastAsia" w:ascii="宋体" w:hAnsi="宋体" w:cs="宋体"/>
          <w:sz w:val="24"/>
        </w:rPr>
        <w:t>10.1.3承包人提出的合理化建议涉及到的工程变更，须经发包人同意并办理相关变更审查手续。未经同意擅自更改的，承包人承担由此产生的费用，并赔偿发包人的有关损失，延误的工期不予顺延。</w:t>
      </w:r>
    </w:p>
    <w:p w14:paraId="34B63027">
      <w:pPr>
        <w:spacing w:line="360" w:lineRule="auto"/>
        <w:ind w:firstLine="480" w:firstLineChars="200"/>
        <w:rPr>
          <w:rFonts w:ascii="宋体" w:hAnsi="宋体" w:cs="宋体"/>
          <w:sz w:val="24"/>
        </w:rPr>
      </w:pPr>
      <w:r>
        <w:rPr>
          <w:rFonts w:hint="eastAsia" w:ascii="宋体" w:hAnsi="宋体" w:cs="宋体"/>
          <w:sz w:val="24"/>
        </w:rPr>
        <w:t>10.4 变更估价</w:t>
      </w:r>
    </w:p>
    <w:p w14:paraId="252BEA82">
      <w:pPr>
        <w:snapToGrid w:val="0"/>
        <w:spacing w:line="360" w:lineRule="auto"/>
        <w:ind w:firstLine="480" w:firstLineChars="200"/>
        <w:rPr>
          <w:rFonts w:ascii="宋体" w:hAnsi="宋体" w:cs="宋体"/>
          <w:sz w:val="24"/>
        </w:rPr>
      </w:pPr>
      <w:r>
        <w:rPr>
          <w:rFonts w:hint="eastAsia" w:ascii="宋体" w:hAnsi="宋体" w:cs="宋体"/>
          <w:sz w:val="24"/>
        </w:rPr>
        <w:t>10.4.1 变更估价原则</w:t>
      </w:r>
    </w:p>
    <w:p w14:paraId="5866F56B">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6D1EBDA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（1）已标价工程量清单或预算书有相同项目的，按照相同项目单价确定。</w:t>
      </w:r>
    </w:p>
    <w:p w14:paraId="6FE9B4C6">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（2）无标价工程量清单或预算书中无相同项目，但有类似项目的，参照类似项目的单价确定。</w:t>
      </w:r>
    </w:p>
    <w:p w14:paraId="266B55C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（3）无标价工程量清单或预算书中无相同项目及类似项目单价的，其单价的确定，按以下约定：</w:t>
      </w:r>
    </w:p>
    <w:p w14:paraId="17099E5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①工程量根据联系单，按照《建设工程工程量清单计价规范》（GB50500-2013）计算，结算工程量应首先报监理及发包人初审。</w:t>
      </w:r>
    </w:p>
    <w:p w14:paraId="271F8AE5">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②清单项目中项目特征或工程内容发生部分变更的，</w:t>
      </w:r>
      <w:bookmarkStart w:id="494" w:name="_Hlk74986282"/>
      <w:r>
        <w:rPr>
          <w:rFonts w:hint="eastAsia" w:ascii="宋体" w:hAnsi="宋体" w:cs="宋体"/>
          <w:kern w:val="0"/>
          <w:sz w:val="24"/>
          <w:u w:val="single"/>
        </w:rPr>
        <w:t>材料价格有投标价的执行投标价，无投标价的执行施工期间的信息价平均值，对工程所在地信息价正刊没有公布的材料，发包人应在充分市场询价基础上，参照同期同类材料市场价格水平。</w:t>
      </w:r>
      <w:bookmarkEnd w:id="494"/>
    </w:p>
    <w:p w14:paraId="78725D4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③合同中没有适用或类似工程项目单价的：变更后综合单价=按工程招标时招标控制价组价口径计算的综合单价*优惠率（优惠率为=成交价÷招标控制价)。</w:t>
      </w:r>
    </w:p>
    <w:p w14:paraId="2E12E0C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④本工程清单内按项计入的措施费用均为一次性包干使用，成交后不再作调整；</w:t>
      </w:r>
      <w:r>
        <w:rPr>
          <w:rFonts w:hint="eastAsia" w:ascii="宋体" w:hAnsi="宋体" w:cs="宋体"/>
          <w:sz w:val="24"/>
          <w:u w:val="single"/>
        </w:rPr>
        <w:t>磋商响应文件中对措施费用的漏报或者少报，视作对本项目的优惠</w:t>
      </w:r>
      <w:r>
        <w:rPr>
          <w:rFonts w:hint="eastAsia" w:ascii="宋体" w:hAnsi="宋体" w:cs="宋体"/>
          <w:kern w:val="0"/>
          <w:sz w:val="24"/>
          <w:u w:val="single"/>
        </w:rPr>
        <w:t>。</w:t>
      </w:r>
    </w:p>
    <w:p w14:paraId="6D54E0E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71FD6E70">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2DA0F545">
      <w:pPr>
        <w:spacing w:line="360" w:lineRule="auto"/>
        <w:ind w:firstLine="480" w:firstLineChars="200"/>
        <w:rPr>
          <w:rFonts w:ascii="宋体" w:hAnsi="宋体" w:cs="宋体"/>
          <w:sz w:val="24"/>
          <w:u w:val="single"/>
        </w:rPr>
      </w:pPr>
      <w:r>
        <w:rPr>
          <w:rFonts w:hint="eastAsia" w:ascii="宋体" w:hAnsi="宋体" w:cs="宋体"/>
          <w:sz w:val="24"/>
        </w:rPr>
        <w:t>监理人审查承包人合理化建议的期限：</w:t>
      </w:r>
      <w:r>
        <w:rPr>
          <w:rFonts w:hint="eastAsia" w:ascii="宋体" w:hAnsi="宋体" w:cs="宋体"/>
          <w:sz w:val="24"/>
          <w:u w:val="single"/>
        </w:rPr>
        <w:t>按通用条款执行。</w:t>
      </w:r>
    </w:p>
    <w:p w14:paraId="5C05645A">
      <w:pPr>
        <w:spacing w:line="360" w:lineRule="auto"/>
        <w:ind w:firstLine="480" w:firstLineChars="200"/>
        <w:rPr>
          <w:rFonts w:ascii="宋体" w:hAnsi="宋体" w:cs="宋体"/>
          <w:sz w:val="24"/>
          <w:u w:val="single"/>
        </w:rPr>
      </w:pPr>
      <w:r>
        <w:rPr>
          <w:rFonts w:hint="eastAsia" w:ascii="宋体" w:hAnsi="宋体" w:cs="宋体"/>
          <w:sz w:val="24"/>
        </w:rPr>
        <w:t>发包人审批承包人合理化建议的期限：</w:t>
      </w:r>
      <w:r>
        <w:rPr>
          <w:rFonts w:hint="eastAsia" w:ascii="宋体" w:hAnsi="宋体" w:cs="宋体"/>
          <w:sz w:val="24"/>
          <w:u w:val="single"/>
        </w:rPr>
        <w:t>按通用条款执行。</w:t>
      </w:r>
    </w:p>
    <w:p w14:paraId="1B9E5A83">
      <w:pPr>
        <w:spacing w:line="360" w:lineRule="auto"/>
        <w:ind w:firstLine="480" w:firstLineChars="200"/>
        <w:rPr>
          <w:rFonts w:ascii="宋体" w:hAnsi="宋体" w:cs="宋体"/>
          <w:sz w:val="24"/>
          <w:u w:val="single"/>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 。</w:t>
      </w:r>
    </w:p>
    <w:p w14:paraId="3247668F">
      <w:pPr>
        <w:spacing w:line="360" w:lineRule="auto"/>
        <w:ind w:firstLine="480" w:firstLineChars="200"/>
        <w:rPr>
          <w:rFonts w:ascii="宋体" w:hAnsi="宋体" w:cs="宋体"/>
          <w:sz w:val="24"/>
          <w:u w:val="single"/>
        </w:rPr>
      </w:pPr>
      <w:r>
        <w:rPr>
          <w:rFonts w:hint="eastAsia" w:ascii="宋体" w:hAnsi="宋体" w:cs="宋体"/>
          <w:sz w:val="24"/>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17476741">
      <w:pPr>
        <w:spacing w:line="360" w:lineRule="auto"/>
        <w:ind w:firstLine="480" w:firstLineChars="200"/>
        <w:rPr>
          <w:rFonts w:ascii="宋体" w:hAnsi="宋体" w:cs="宋体"/>
          <w:sz w:val="24"/>
        </w:rPr>
      </w:pPr>
      <w:r>
        <w:rPr>
          <w:rFonts w:hint="eastAsia" w:ascii="宋体" w:hAnsi="宋体" w:cs="宋体"/>
          <w:sz w:val="24"/>
        </w:rPr>
        <w:t>10.7 暂估价</w:t>
      </w:r>
    </w:p>
    <w:p w14:paraId="75D1D701">
      <w:pPr>
        <w:spacing w:line="360" w:lineRule="auto"/>
        <w:ind w:firstLine="480" w:firstLineChars="200"/>
        <w:rPr>
          <w:rFonts w:ascii="宋体" w:hAnsi="宋体" w:cs="宋体"/>
          <w:sz w:val="24"/>
        </w:rPr>
      </w:pPr>
      <w:r>
        <w:rPr>
          <w:rFonts w:hint="eastAsia" w:ascii="宋体" w:hAnsi="宋体" w:cs="宋体"/>
          <w:sz w:val="24"/>
        </w:rPr>
        <w:t>暂估价材料和工程设备：</w:t>
      </w:r>
      <w:r>
        <w:rPr>
          <w:rFonts w:hint="eastAsia" w:ascii="宋体" w:hAnsi="宋体" w:cs="宋体"/>
          <w:sz w:val="24"/>
          <w:u w:val="single"/>
        </w:rPr>
        <w:t>/。</w:t>
      </w:r>
    </w:p>
    <w:p w14:paraId="2E99C6B3">
      <w:pPr>
        <w:spacing w:line="360" w:lineRule="auto"/>
        <w:ind w:firstLine="480" w:firstLineChars="200"/>
        <w:rPr>
          <w:rFonts w:ascii="宋体" w:hAnsi="宋体" w:cs="宋体"/>
          <w:sz w:val="24"/>
        </w:rPr>
      </w:pPr>
      <w:r>
        <w:rPr>
          <w:rFonts w:hint="eastAsia" w:ascii="宋体" w:hAnsi="宋体" w:cs="宋体"/>
          <w:sz w:val="24"/>
        </w:rPr>
        <w:t>10.7.1 依法必须招标的暂估价项目</w:t>
      </w:r>
    </w:p>
    <w:p w14:paraId="7A46A0B4">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01DC5BC2">
      <w:pPr>
        <w:spacing w:line="360" w:lineRule="auto"/>
        <w:ind w:firstLine="480" w:firstLineChars="200"/>
        <w:rPr>
          <w:rFonts w:ascii="宋体" w:hAnsi="宋体" w:cs="宋体"/>
          <w:sz w:val="24"/>
        </w:rPr>
      </w:pPr>
      <w:r>
        <w:rPr>
          <w:rFonts w:hint="eastAsia" w:ascii="宋体" w:hAnsi="宋体" w:cs="宋体"/>
          <w:sz w:val="24"/>
        </w:rPr>
        <w:t>10.7.2 不属于依法必须招标的暂估价项目</w:t>
      </w:r>
    </w:p>
    <w:p w14:paraId="057629C4">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w:t>
      </w:r>
      <w:r>
        <w:rPr>
          <w:rFonts w:hint="eastAsia" w:ascii="宋体" w:hAnsi="宋体" w:cs="宋体"/>
          <w:sz w:val="24"/>
        </w:rPr>
        <w:t>种方式确定。</w:t>
      </w:r>
    </w:p>
    <w:p w14:paraId="2A508DAD">
      <w:pPr>
        <w:spacing w:line="360" w:lineRule="auto"/>
        <w:ind w:firstLine="480" w:firstLineChars="200"/>
        <w:rPr>
          <w:rFonts w:ascii="宋体" w:hAnsi="宋体" w:cs="宋体"/>
          <w:sz w:val="24"/>
        </w:rPr>
      </w:pPr>
      <w:r>
        <w:rPr>
          <w:rFonts w:hint="eastAsia" w:ascii="宋体" w:hAnsi="宋体" w:cs="宋体"/>
          <w:sz w:val="24"/>
        </w:rPr>
        <w:t>10.8 暂列金额</w:t>
      </w:r>
    </w:p>
    <w:p w14:paraId="57F9A3BF">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合同当事人关于暂列金额使用的约定：</w:t>
      </w:r>
      <w:r>
        <w:rPr>
          <w:rFonts w:hint="eastAsia" w:ascii="宋体" w:hAnsi="宋体" w:cs="宋体"/>
          <w:sz w:val="24"/>
          <w:u w:val="single"/>
        </w:rPr>
        <w:t>/。</w:t>
      </w:r>
    </w:p>
    <w:p w14:paraId="2AB4E210">
      <w:pPr>
        <w:topLinePunct/>
        <w:spacing w:line="360" w:lineRule="auto"/>
        <w:ind w:firstLine="420"/>
        <w:rPr>
          <w:rFonts w:ascii="宋体" w:hAnsi="宋体" w:cs="宋体"/>
          <w:b/>
          <w:sz w:val="24"/>
        </w:rPr>
      </w:pPr>
      <w:r>
        <w:rPr>
          <w:rFonts w:hint="eastAsia" w:ascii="宋体" w:hAnsi="宋体" w:cs="宋体"/>
          <w:b/>
          <w:sz w:val="24"/>
        </w:rPr>
        <w:t>11.价格调整</w:t>
      </w:r>
    </w:p>
    <w:p w14:paraId="0508E405">
      <w:pPr>
        <w:spacing w:line="360" w:lineRule="auto"/>
        <w:ind w:firstLine="480" w:firstLineChars="200"/>
        <w:rPr>
          <w:rFonts w:ascii="宋体" w:hAnsi="宋体" w:cs="宋体"/>
          <w:sz w:val="24"/>
        </w:rPr>
      </w:pPr>
      <w:r>
        <w:rPr>
          <w:rFonts w:hint="eastAsia" w:ascii="宋体" w:hAnsi="宋体" w:cs="宋体"/>
          <w:sz w:val="24"/>
        </w:rPr>
        <w:t>11.1 市场价格波动引起的调整</w:t>
      </w:r>
    </w:p>
    <w:p w14:paraId="5A766EF8">
      <w:pPr>
        <w:spacing w:line="360" w:lineRule="auto"/>
        <w:ind w:firstLine="480" w:firstLineChars="200"/>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否。</w:t>
      </w:r>
    </w:p>
    <w:p w14:paraId="4ADD32B3">
      <w:pPr>
        <w:topLinePunct/>
        <w:spacing w:line="360" w:lineRule="auto"/>
        <w:ind w:firstLine="420"/>
        <w:rPr>
          <w:rFonts w:ascii="宋体" w:hAnsi="宋体" w:cs="宋体"/>
          <w:b/>
          <w:sz w:val="24"/>
        </w:rPr>
      </w:pPr>
      <w:r>
        <w:rPr>
          <w:rFonts w:hint="eastAsia" w:ascii="宋体" w:hAnsi="宋体" w:cs="宋体"/>
          <w:b/>
          <w:sz w:val="24"/>
        </w:rPr>
        <w:t>12.合同价格、计量与支付</w:t>
      </w:r>
    </w:p>
    <w:p w14:paraId="2852708F">
      <w:pPr>
        <w:spacing w:line="360" w:lineRule="auto"/>
        <w:ind w:firstLine="480" w:firstLineChars="200"/>
        <w:rPr>
          <w:rFonts w:ascii="宋体" w:hAnsi="宋体" w:cs="宋体"/>
          <w:sz w:val="24"/>
        </w:rPr>
      </w:pPr>
      <w:r>
        <w:rPr>
          <w:rFonts w:hint="eastAsia" w:ascii="宋体" w:hAnsi="宋体" w:cs="宋体"/>
          <w:sz w:val="24"/>
        </w:rPr>
        <w:t>12.1 合同价格形式</w:t>
      </w:r>
    </w:p>
    <w:p w14:paraId="69B1CF5B">
      <w:pPr>
        <w:spacing w:line="360" w:lineRule="auto"/>
        <w:ind w:firstLine="480" w:firstLineChars="200"/>
        <w:rPr>
          <w:rFonts w:ascii="宋体" w:hAnsi="宋体" w:cs="宋体"/>
          <w:sz w:val="24"/>
        </w:rPr>
      </w:pPr>
      <w:r>
        <w:rPr>
          <w:rFonts w:hint="eastAsia" w:ascii="宋体" w:hAnsi="宋体" w:cs="宋体"/>
          <w:sz w:val="24"/>
        </w:rPr>
        <w:t>1、固定综合单价合同。</w:t>
      </w:r>
    </w:p>
    <w:p w14:paraId="23E53C2C">
      <w:pPr>
        <w:snapToGrid w:val="0"/>
        <w:spacing w:line="360" w:lineRule="auto"/>
        <w:ind w:firstLine="448" w:firstLineChars="187"/>
        <w:rPr>
          <w:rFonts w:ascii="宋体" w:hAnsi="宋体" w:cs="宋体"/>
          <w:sz w:val="24"/>
        </w:rPr>
      </w:pPr>
      <w:r>
        <w:rPr>
          <w:rFonts w:hint="eastAsia" w:ascii="宋体" w:hAnsi="宋体" w:cs="宋体"/>
          <w:sz w:val="24"/>
        </w:rPr>
        <w:t>综合单价包含的风险范围：</w:t>
      </w:r>
    </w:p>
    <w:p w14:paraId="2707AA48">
      <w:pPr>
        <w:snapToGrid w:val="0"/>
        <w:spacing w:line="360" w:lineRule="auto"/>
        <w:ind w:firstLine="448" w:firstLineChars="187"/>
        <w:rPr>
          <w:rFonts w:ascii="宋体" w:hAnsi="宋体" w:cs="宋体"/>
          <w:sz w:val="24"/>
          <w:u w:val="single"/>
        </w:rPr>
      </w:pPr>
      <w:bookmarkStart w:id="495" w:name="_Hlk74661457"/>
      <w:r>
        <w:rPr>
          <w:rFonts w:hint="eastAsia" w:ascii="宋体" w:hAnsi="宋体" w:cs="宋体"/>
          <w:sz w:val="24"/>
          <w:u w:val="single"/>
        </w:rPr>
        <w:t>√本合同中包括的风险范围为合同执行期内，国家有关工程建设的政策变化；</w:t>
      </w:r>
    </w:p>
    <w:p w14:paraId="5ECBE0EB">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√合同执行期内，工程造价管理部门公布的价格变化；</w:t>
      </w:r>
    </w:p>
    <w:p w14:paraId="50384421">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√合同执行期内，材料价格、人工及机械价格的市场变化；</w:t>
      </w:r>
    </w:p>
    <w:p w14:paraId="54B9B955">
      <w:pPr>
        <w:snapToGrid w:val="0"/>
        <w:spacing w:line="360" w:lineRule="auto"/>
        <w:ind w:firstLine="448" w:firstLineChars="187"/>
        <w:rPr>
          <w:rFonts w:ascii="宋体" w:hAnsi="宋体" w:cs="宋体"/>
          <w:sz w:val="24"/>
          <w:u w:val="single"/>
        </w:rPr>
      </w:pPr>
      <w:r>
        <w:rPr>
          <w:rFonts w:hint="eastAsia" w:ascii="宋体" w:hAnsi="宋体" w:cs="宋体"/>
          <w:sz w:val="24"/>
          <w:u w:val="single"/>
        </w:rPr>
        <w:t>√现行预算定额未描述到,但又是完成分项工程必须有的工作内容,均应包含在报价内；</w:t>
      </w:r>
    </w:p>
    <w:p w14:paraId="06C9B7B4">
      <w:pPr>
        <w:snapToGrid w:val="0"/>
        <w:spacing w:line="360" w:lineRule="auto"/>
        <w:ind w:firstLine="448" w:firstLineChars="187"/>
        <w:rPr>
          <w:rFonts w:ascii="宋体" w:hAnsi="宋体" w:cs="宋体"/>
          <w:sz w:val="24"/>
          <w:u w:val="single"/>
        </w:rPr>
      </w:pPr>
      <w:r>
        <w:rPr>
          <w:rFonts w:hint="eastAsia" w:ascii="宋体" w:hAnsi="宋体" w:cs="宋体"/>
          <w:sz w:val="24"/>
          <w:u w:val="single"/>
        </w:rPr>
        <w:t>√周边环境影响风险；</w:t>
      </w:r>
    </w:p>
    <w:p w14:paraId="0368DD72">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√合同执行期内，施工临时停电、停水造成的停工；</w:t>
      </w:r>
    </w:p>
    <w:p w14:paraId="23086632">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√合同执行期内，因客观原因造成承包人停工、窝工；</w:t>
      </w:r>
    </w:p>
    <w:p w14:paraId="156D2061">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√合同执行期内可能发生的其他费用，包括市政、市容、环保、交通、治安等；有经验的承包商应能预计的其他费用。</w:t>
      </w:r>
    </w:p>
    <w:p w14:paraId="3CFFA4B8">
      <w:pPr>
        <w:spacing w:line="360" w:lineRule="auto"/>
        <w:ind w:firstLine="480" w:firstLineChars="200"/>
        <w:rPr>
          <w:rFonts w:ascii="宋体" w:hAnsi="宋体" w:cs="宋体"/>
          <w:sz w:val="24"/>
          <w:u w:val="single"/>
        </w:rPr>
      </w:pPr>
      <w:r>
        <w:rPr>
          <w:rFonts w:hint="eastAsia" w:ascii="宋体" w:hAnsi="宋体" w:cs="宋体"/>
          <w:sz w:val="24"/>
        </w:rPr>
        <w:t>风险费用的计算方法：</w:t>
      </w:r>
      <w:bookmarkEnd w:id="495"/>
      <w:r>
        <w:rPr>
          <w:rFonts w:hint="eastAsia" w:ascii="宋体" w:hAnsi="宋体" w:cs="宋体"/>
          <w:sz w:val="24"/>
          <w:u w:val="single"/>
        </w:rPr>
        <w:t>本合同应由承包人承担的工、料、机在投标编制期或预算书编制期与合同实施期间所发生的市场价格波动造成风险费用已包含在签约合同价款中，费用由承包人自行承担，不得再另行计取。</w:t>
      </w:r>
    </w:p>
    <w:p w14:paraId="7B5AAB15">
      <w:pPr>
        <w:spacing w:line="360" w:lineRule="auto"/>
        <w:ind w:firstLine="501" w:firstLineChars="209"/>
        <w:rPr>
          <w:rFonts w:ascii="宋体" w:hAnsi="宋体" w:cs="宋体"/>
          <w:sz w:val="24"/>
          <w:u w:val="single"/>
        </w:rPr>
      </w:pPr>
      <w:r>
        <w:rPr>
          <w:rFonts w:hint="eastAsia" w:ascii="宋体" w:hAnsi="宋体" w:cs="宋体"/>
          <w:sz w:val="24"/>
        </w:rPr>
        <w:t>风险范围以外合同价格的调整方法：</w:t>
      </w:r>
      <w:r>
        <w:rPr>
          <w:rFonts w:hint="eastAsia" w:ascii="宋体" w:hAnsi="宋体" w:cs="宋体"/>
          <w:sz w:val="24"/>
          <w:u w:val="single"/>
        </w:rPr>
        <w:t>1）实物工程量数量按实调整。2）重大设计变更引起的技术措施变更，如发包人批准其相应费用调整，竣工结算按照本合同专用条款10.4.1条款约定执行。3）变更估价按本合同10.4.1 的约定计算。</w:t>
      </w:r>
    </w:p>
    <w:p w14:paraId="50542AD2">
      <w:pPr>
        <w:spacing w:line="360" w:lineRule="auto"/>
        <w:ind w:firstLine="480" w:firstLineChars="200"/>
        <w:rPr>
          <w:rFonts w:ascii="宋体" w:hAnsi="宋体" w:cs="宋体"/>
          <w:sz w:val="24"/>
        </w:rPr>
      </w:pPr>
      <w:r>
        <w:rPr>
          <w:rFonts w:hint="eastAsia" w:ascii="宋体" w:hAnsi="宋体" w:cs="宋体"/>
          <w:sz w:val="24"/>
        </w:rPr>
        <w:t>2、总价合同。</w:t>
      </w:r>
    </w:p>
    <w:p w14:paraId="0E301582">
      <w:pPr>
        <w:spacing w:line="360" w:lineRule="auto"/>
        <w:ind w:firstLine="480" w:firstLineChars="200"/>
        <w:rPr>
          <w:rFonts w:ascii="宋体" w:hAnsi="宋体" w:cs="宋体"/>
          <w:sz w:val="24"/>
          <w:u w:val="single"/>
        </w:rPr>
      </w:pPr>
      <w:r>
        <w:rPr>
          <w:rFonts w:hint="eastAsia" w:ascii="宋体" w:hAnsi="宋体" w:cs="宋体"/>
          <w:sz w:val="24"/>
        </w:rPr>
        <w:t>总价包含的风险范围：</w:t>
      </w:r>
      <w:r>
        <w:rPr>
          <w:rFonts w:hint="eastAsia" w:ascii="宋体" w:hAnsi="宋体" w:cs="宋体"/>
          <w:sz w:val="24"/>
          <w:u w:val="single"/>
        </w:rPr>
        <w:t>/</w:t>
      </w:r>
      <w:r>
        <w:rPr>
          <w:rFonts w:hint="eastAsia" w:ascii="宋体" w:hAnsi="宋体" w:cs="宋体"/>
          <w:sz w:val="24"/>
        </w:rPr>
        <w:t>。</w:t>
      </w:r>
    </w:p>
    <w:p w14:paraId="1EF9B19D">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w:t>
      </w:r>
      <w:r>
        <w:rPr>
          <w:rFonts w:hint="eastAsia" w:ascii="宋体" w:hAnsi="宋体" w:cs="宋体"/>
          <w:sz w:val="24"/>
        </w:rPr>
        <w:t>。</w:t>
      </w:r>
    </w:p>
    <w:p w14:paraId="538114E8">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w:t>
      </w:r>
      <w:r>
        <w:rPr>
          <w:rFonts w:hint="eastAsia" w:ascii="宋体" w:hAnsi="宋体" w:cs="宋体"/>
          <w:sz w:val="24"/>
        </w:rPr>
        <w:t>。</w:t>
      </w:r>
    </w:p>
    <w:p w14:paraId="1EB31E23">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w:t>
      </w:r>
      <w:r>
        <w:rPr>
          <w:rFonts w:hint="eastAsia" w:ascii="宋体" w:hAnsi="宋体" w:cs="宋体"/>
          <w:sz w:val="24"/>
        </w:rPr>
        <w:t>。</w:t>
      </w:r>
    </w:p>
    <w:p w14:paraId="17747E33">
      <w:pPr>
        <w:spacing w:line="360" w:lineRule="auto"/>
        <w:ind w:firstLine="480" w:firstLineChars="200"/>
        <w:rPr>
          <w:rFonts w:ascii="宋体" w:hAnsi="宋体" w:cs="宋体"/>
          <w:sz w:val="24"/>
        </w:rPr>
      </w:pPr>
      <w:r>
        <w:rPr>
          <w:rFonts w:hint="eastAsia" w:ascii="宋体" w:hAnsi="宋体" w:cs="宋体"/>
          <w:sz w:val="24"/>
        </w:rPr>
        <w:t>12.2 预付款</w:t>
      </w:r>
    </w:p>
    <w:p w14:paraId="7C61F081">
      <w:pPr>
        <w:spacing w:line="360" w:lineRule="auto"/>
        <w:ind w:firstLine="480" w:firstLineChars="200"/>
        <w:rPr>
          <w:rFonts w:ascii="宋体" w:hAnsi="宋体" w:cs="宋体"/>
          <w:sz w:val="24"/>
        </w:rPr>
      </w:pPr>
      <w:r>
        <w:rPr>
          <w:rFonts w:hint="eastAsia" w:ascii="宋体" w:hAnsi="宋体" w:cs="宋体"/>
          <w:sz w:val="24"/>
        </w:rPr>
        <w:t>12.2.1预付款的支付</w:t>
      </w:r>
    </w:p>
    <w:p w14:paraId="1207FB35">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本合同总价40%的工程预付款。</w:t>
      </w:r>
    </w:p>
    <w:p w14:paraId="5E5A3871">
      <w:pPr>
        <w:spacing w:line="360" w:lineRule="auto"/>
        <w:ind w:firstLine="480" w:firstLineChars="200"/>
        <w:rPr>
          <w:rFonts w:ascii="宋体" w:hAnsi="宋体" w:cs="宋体"/>
          <w:sz w:val="24"/>
          <w:u w:val="single"/>
        </w:rPr>
      </w:pPr>
      <w:r>
        <w:rPr>
          <w:rFonts w:hint="eastAsia" w:ascii="宋体" w:hAnsi="宋体" w:cs="宋体"/>
          <w:sz w:val="24"/>
        </w:rPr>
        <w:t>预付款支付期限：</w:t>
      </w:r>
      <w:r>
        <w:rPr>
          <w:rFonts w:hint="eastAsia" w:ascii="宋体" w:hAnsi="宋体" w:cs="宋体"/>
          <w:sz w:val="24"/>
          <w:u w:val="single"/>
        </w:rPr>
        <w:t>在合同生效以及具备实施条件后7个工作日内支付。</w:t>
      </w:r>
    </w:p>
    <w:p w14:paraId="6FCB3BD8">
      <w:pPr>
        <w:spacing w:line="360" w:lineRule="auto"/>
        <w:ind w:firstLine="480" w:firstLineChars="200"/>
        <w:rPr>
          <w:rFonts w:ascii="宋体" w:hAnsi="宋体" w:cs="宋体"/>
          <w:sz w:val="24"/>
          <w:u w:val="single"/>
        </w:rPr>
      </w:pPr>
      <w:r>
        <w:rPr>
          <w:rFonts w:hint="eastAsia" w:ascii="宋体" w:hAnsi="宋体" w:cs="宋体"/>
          <w:sz w:val="24"/>
        </w:rPr>
        <w:t>预付款扣回的方式：</w:t>
      </w:r>
      <w:r>
        <w:rPr>
          <w:rFonts w:hint="eastAsia" w:ascii="宋体" w:hAnsi="宋体" w:cs="宋体"/>
          <w:sz w:val="24"/>
          <w:u w:val="single"/>
        </w:rPr>
        <w:t>/。</w:t>
      </w:r>
    </w:p>
    <w:p w14:paraId="3F2007DD">
      <w:pPr>
        <w:spacing w:line="360" w:lineRule="auto"/>
        <w:ind w:firstLine="480" w:firstLineChars="200"/>
        <w:rPr>
          <w:rFonts w:ascii="宋体" w:hAnsi="宋体" w:cs="宋体"/>
          <w:sz w:val="24"/>
        </w:rPr>
      </w:pPr>
      <w:r>
        <w:rPr>
          <w:rFonts w:hint="eastAsia" w:ascii="宋体" w:hAnsi="宋体" w:cs="宋体"/>
          <w:sz w:val="24"/>
        </w:rPr>
        <w:t>12.2.2 预付款担保</w:t>
      </w:r>
    </w:p>
    <w:p w14:paraId="799314B5">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无。</w:t>
      </w:r>
    </w:p>
    <w:p w14:paraId="23E939B3">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无。</w:t>
      </w:r>
    </w:p>
    <w:p w14:paraId="1B5C04DA">
      <w:pPr>
        <w:spacing w:line="360" w:lineRule="auto"/>
        <w:ind w:firstLine="480" w:firstLineChars="200"/>
        <w:rPr>
          <w:rFonts w:ascii="宋体" w:hAnsi="宋体" w:cs="宋体"/>
          <w:sz w:val="24"/>
        </w:rPr>
      </w:pPr>
      <w:r>
        <w:rPr>
          <w:rFonts w:hint="eastAsia" w:ascii="宋体" w:hAnsi="宋体" w:cs="宋体"/>
          <w:sz w:val="24"/>
        </w:rPr>
        <w:t>12.3 计量</w:t>
      </w:r>
    </w:p>
    <w:p w14:paraId="420AA865">
      <w:pPr>
        <w:spacing w:line="360" w:lineRule="auto"/>
        <w:ind w:firstLine="480" w:firstLineChars="200"/>
        <w:rPr>
          <w:rFonts w:ascii="宋体" w:hAnsi="宋体" w:cs="宋体"/>
          <w:sz w:val="24"/>
        </w:rPr>
      </w:pPr>
      <w:r>
        <w:rPr>
          <w:rFonts w:hint="eastAsia" w:ascii="宋体" w:hAnsi="宋体" w:cs="宋体"/>
          <w:sz w:val="24"/>
        </w:rPr>
        <w:t>12.3.1 计量原则</w:t>
      </w:r>
    </w:p>
    <w:p w14:paraId="095F4A07">
      <w:pPr>
        <w:spacing w:line="360" w:lineRule="auto"/>
        <w:ind w:firstLine="480" w:firstLineChars="200"/>
        <w:rPr>
          <w:rFonts w:ascii="宋体" w:hAnsi="宋体" w:cs="宋体"/>
          <w:sz w:val="24"/>
        </w:rPr>
      </w:pPr>
      <w:r>
        <w:rPr>
          <w:rFonts w:hint="eastAsia" w:ascii="宋体" w:hAnsi="宋体" w:cs="宋体"/>
          <w:sz w:val="24"/>
        </w:rPr>
        <w:t>工程量计算规则：</w:t>
      </w:r>
    </w:p>
    <w:p w14:paraId="292915A7">
      <w:pPr>
        <w:spacing w:line="360" w:lineRule="auto"/>
        <w:ind w:firstLine="480" w:firstLineChars="200"/>
        <w:rPr>
          <w:rFonts w:ascii="宋体" w:hAnsi="宋体" w:cs="宋体"/>
          <w:sz w:val="24"/>
          <w:u w:val="single"/>
        </w:rPr>
      </w:pPr>
      <w:r>
        <w:rPr>
          <w:rFonts w:hint="eastAsia" w:ascii="宋体" w:hAnsi="宋体" w:cs="宋体"/>
          <w:sz w:val="24"/>
          <w:u w:val="single"/>
        </w:rPr>
        <w:t>（1）实行工程量清单计价的工程项目，其工程量的计算规则应按国家标准工程量计算规范及省级行业主管部门颁布的补充规定执行。</w:t>
      </w:r>
    </w:p>
    <w:p w14:paraId="713BFFCF">
      <w:pPr>
        <w:spacing w:line="360" w:lineRule="auto"/>
        <w:ind w:firstLine="480" w:firstLineChars="200"/>
        <w:rPr>
          <w:rFonts w:ascii="宋体" w:hAnsi="宋体" w:cs="宋体"/>
          <w:sz w:val="24"/>
          <w:u w:val="single"/>
        </w:rPr>
      </w:pPr>
      <w:r>
        <w:rPr>
          <w:rFonts w:hint="eastAsia" w:ascii="宋体" w:hAnsi="宋体" w:cs="宋体"/>
          <w:sz w:val="24"/>
          <w:u w:val="single"/>
        </w:rPr>
        <w:t>（2）不实行工程量清单计价的工程项目，工程量的计算规则应按省、市行业主管部门颁布的各专业工程定额的工程量计算规则执行。</w:t>
      </w:r>
    </w:p>
    <w:p w14:paraId="71257E4F">
      <w:pPr>
        <w:spacing w:line="360" w:lineRule="auto"/>
        <w:ind w:firstLine="480" w:firstLineChars="200"/>
        <w:rPr>
          <w:rFonts w:ascii="宋体" w:hAnsi="宋体" w:cs="宋体"/>
          <w:sz w:val="24"/>
        </w:rPr>
      </w:pPr>
      <w:r>
        <w:rPr>
          <w:rFonts w:hint="eastAsia" w:ascii="宋体" w:hAnsi="宋体" w:cs="宋体"/>
          <w:sz w:val="24"/>
        </w:rPr>
        <w:t>12.3.2 计量周期</w:t>
      </w:r>
    </w:p>
    <w:p w14:paraId="3BFFCB76">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w:t>
      </w:r>
      <w:r>
        <w:rPr>
          <w:rFonts w:hint="eastAsia" w:ascii="宋体" w:hAnsi="宋体" w:cs="宋体"/>
          <w:kern w:val="0"/>
          <w:sz w:val="24"/>
          <w:u w:val="single"/>
        </w:rPr>
        <w:t>按通用条款执行</w:t>
      </w:r>
      <w:r>
        <w:rPr>
          <w:rFonts w:hint="eastAsia" w:ascii="宋体" w:hAnsi="宋体" w:cs="宋体"/>
          <w:sz w:val="24"/>
        </w:rPr>
        <w:t>。</w:t>
      </w:r>
    </w:p>
    <w:p w14:paraId="38851A2E">
      <w:pPr>
        <w:spacing w:line="360" w:lineRule="auto"/>
        <w:ind w:firstLine="480" w:firstLineChars="200"/>
        <w:rPr>
          <w:rFonts w:ascii="宋体" w:hAnsi="宋体" w:cs="宋体"/>
          <w:sz w:val="24"/>
        </w:rPr>
      </w:pPr>
      <w:r>
        <w:rPr>
          <w:rFonts w:hint="eastAsia" w:ascii="宋体" w:hAnsi="宋体" w:cs="宋体"/>
          <w:sz w:val="24"/>
        </w:rPr>
        <w:t>12.3.3 单价合同的计量</w:t>
      </w:r>
    </w:p>
    <w:p w14:paraId="1822252D">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kern w:val="0"/>
          <w:sz w:val="24"/>
          <w:u w:val="single"/>
        </w:rPr>
        <w:t>按通用条款执行</w:t>
      </w:r>
      <w:r>
        <w:rPr>
          <w:rFonts w:hint="eastAsia" w:ascii="宋体" w:hAnsi="宋体" w:cs="宋体"/>
          <w:sz w:val="24"/>
          <w:u w:val="single"/>
        </w:rPr>
        <w:t>。</w:t>
      </w:r>
    </w:p>
    <w:p w14:paraId="06BF206C">
      <w:pPr>
        <w:spacing w:line="360" w:lineRule="auto"/>
        <w:ind w:firstLine="480" w:firstLineChars="200"/>
        <w:rPr>
          <w:rFonts w:ascii="宋体" w:hAnsi="宋体" w:cs="宋体"/>
          <w:sz w:val="24"/>
        </w:rPr>
      </w:pPr>
      <w:r>
        <w:rPr>
          <w:rFonts w:hint="eastAsia" w:ascii="宋体" w:hAnsi="宋体" w:cs="宋体"/>
          <w:sz w:val="24"/>
        </w:rPr>
        <w:t>12.3.4 总价合同的计量</w:t>
      </w:r>
    </w:p>
    <w:p w14:paraId="523927DC">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w:t>
      </w:r>
      <w:r>
        <w:rPr>
          <w:rFonts w:hint="eastAsia" w:ascii="宋体" w:hAnsi="宋体" w:cs="宋体"/>
          <w:sz w:val="24"/>
        </w:rPr>
        <w:t>。</w:t>
      </w:r>
    </w:p>
    <w:p w14:paraId="185C7816">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w:t>
      </w:r>
      <w:r>
        <w:rPr>
          <w:rFonts w:hint="eastAsia" w:ascii="宋体" w:hAnsi="宋体" w:cs="宋体"/>
          <w:sz w:val="24"/>
        </w:rPr>
        <w:t>。</w:t>
      </w:r>
    </w:p>
    <w:p w14:paraId="58A4FCEB">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5CBE4AFF">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w:t>
      </w:r>
    </w:p>
    <w:p w14:paraId="6504DBDB">
      <w:pPr>
        <w:spacing w:line="360" w:lineRule="auto"/>
        <w:ind w:firstLine="480" w:firstLineChars="200"/>
        <w:rPr>
          <w:rFonts w:ascii="宋体" w:hAnsi="宋体" w:cs="宋体"/>
          <w:sz w:val="24"/>
        </w:rPr>
      </w:pPr>
      <w:r>
        <w:rPr>
          <w:rFonts w:hint="eastAsia" w:ascii="宋体" w:hAnsi="宋体" w:cs="宋体"/>
          <w:sz w:val="24"/>
        </w:rPr>
        <w:t>12.4 工程进度款支付</w:t>
      </w:r>
    </w:p>
    <w:p w14:paraId="564B4F20">
      <w:pPr>
        <w:spacing w:line="360" w:lineRule="auto"/>
        <w:ind w:firstLine="480" w:firstLineChars="200"/>
        <w:rPr>
          <w:rFonts w:ascii="宋体" w:hAnsi="宋体" w:cs="宋体"/>
          <w:sz w:val="24"/>
        </w:rPr>
      </w:pPr>
      <w:r>
        <w:rPr>
          <w:rFonts w:hint="eastAsia" w:ascii="宋体" w:hAnsi="宋体" w:cs="宋体"/>
          <w:sz w:val="24"/>
        </w:rPr>
        <w:t>12.4.1 付款周期</w:t>
      </w:r>
    </w:p>
    <w:p w14:paraId="6FAEC1FC">
      <w:pPr>
        <w:spacing w:line="360" w:lineRule="auto"/>
        <w:ind w:firstLine="480" w:firstLineChars="200"/>
        <w:rPr>
          <w:rFonts w:ascii="宋体" w:hAnsi="宋体" w:cs="宋体"/>
          <w:sz w:val="24"/>
        </w:rPr>
      </w:pPr>
      <w:r>
        <w:rPr>
          <w:rFonts w:hint="eastAsia" w:ascii="宋体" w:hAnsi="宋体" w:cs="宋体"/>
          <w:sz w:val="24"/>
        </w:rPr>
        <w:t>（1）暂定合同总价人民币      元，本合同暂定总价的2%作为履约保证金，本合同签订后七个工作日内由承包人支付给发包人，待工程竣工验收合格并交付发包人使用后，由发包人无息退回承包人（遇寒暑假及国定假日顺延）。待缺陷责任期终止后经发包人书面确认工程无质量问题、无售后服务问题和承包人无违约行为后，由发包人无息退回承包人（遇寒暑假及国定假日顺延）。</w:t>
      </w:r>
    </w:p>
    <w:p w14:paraId="7237EDCF">
      <w:pPr>
        <w:spacing w:line="360" w:lineRule="auto"/>
        <w:ind w:firstLine="480" w:firstLineChars="200"/>
        <w:rPr>
          <w:rFonts w:ascii="宋体" w:hAnsi="宋体" w:cs="宋体"/>
          <w:sz w:val="24"/>
        </w:rPr>
      </w:pPr>
      <w:r>
        <w:rPr>
          <w:rFonts w:hint="eastAsia" w:ascii="宋体" w:hAnsi="宋体" w:cs="宋体"/>
          <w:sz w:val="24"/>
        </w:rPr>
        <w:t>（2）承包人提交履约保证金和正规发票后，发包人向承包人支付本合同暂定总价的40%作为预付款。</w:t>
      </w:r>
    </w:p>
    <w:p w14:paraId="0C460A1D">
      <w:pPr>
        <w:spacing w:line="360" w:lineRule="auto"/>
        <w:ind w:firstLine="480" w:firstLineChars="200"/>
        <w:rPr>
          <w:rFonts w:ascii="宋体" w:hAnsi="宋体" w:cs="宋体"/>
          <w:sz w:val="24"/>
        </w:rPr>
      </w:pPr>
      <w:r>
        <w:rPr>
          <w:rFonts w:hint="eastAsia" w:ascii="宋体" w:hAnsi="宋体" w:cs="宋体"/>
          <w:sz w:val="24"/>
        </w:rPr>
        <w:t>（3）全部工程竣工验收合格并交付发包人正常使用后7日内，且发包人收到承包人开具的正规发票后7日内向承包人支付本合同已完成工作量的85%。发包人委托第三方对工程造价结算审价完毕后，发包人收到承包人开具的正规发票和审定总价1.5%的质量保证金（以支票、汇票、银行转账或保函形式）后7日内，发包人向承包人支付至审定总价的100%（多退少补）；工程造价结算审价时间以发包人委托的第三方实际审价时间为准，不依通用条款规定时间执行。造价审核核增部分的审计费及核减超过5%（含）的审计费由承包人承担。</w:t>
      </w:r>
    </w:p>
    <w:p w14:paraId="76C2C122">
      <w:pPr>
        <w:spacing w:line="360" w:lineRule="auto"/>
        <w:ind w:firstLine="480" w:firstLineChars="200"/>
        <w:rPr>
          <w:rFonts w:ascii="宋体" w:hAnsi="宋体" w:cs="宋体"/>
          <w:sz w:val="24"/>
        </w:rPr>
      </w:pPr>
      <w:r>
        <w:rPr>
          <w:rFonts w:hint="eastAsia" w:ascii="宋体" w:hAnsi="宋体" w:cs="宋体"/>
          <w:sz w:val="24"/>
        </w:rPr>
        <w:t>（4）发包人每次付款前，承包人必须开具并交付相应金额的增值税专用发票，作为发包人付款的前提条件之一。</w:t>
      </w:r>
    </w:p>
    <w:p w14:paraId="1B0C4085">
      <w:pPr>
        <w:spacing w:line="360" w:lineRule="auto"/>
        <w:ind w:firstLine="480" w:firstLineChars="200"/>
        <w:rPr>
          <w:rFonts w:ascii="宋体" w:hAnsi="宋体" w:cs="宋体"/>
          <w:sz w:val="24"/>
        </w:rPr>
      </w:pPr>
      <w:r>
        <w:rPr>
          <w:rFonts w:hint="eastAsia" w:ascii="宋体" w:hAnsi="宋体" w:cs="宋体"/>
          <w:sz w:val="24"/>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514AFAC9">
      <w:pPr>
        <w:spacing w:line="360" w:lineRule="auto"/>
        <w:ind w:firstLine="480" w:firstLineChars="200"/>
        <w:rPr>
          <w:rFonts w:ascii="宋体" w:hAnsi="宋体" w:cs="宋体"/>
          <w:sz w:val="24"/>
        </w:rPr>
      </w:pPr>
      <w:r>
        <w:rPr>
          <w:rFonts w:hint="eastAsia" w:ascii="宋体" w:hAnsi="宋体" w:cs="宋体"/>
          <w:sz w:val="24"/>
        </w:rPr>
        <w:t>12.4.2 进度付款申请单的编制</w:t>
      </w:r>
    </w:p>
    <w:p w14:paraId="2E48997C">
      <w:pPr>
        <w:spacing w:line="360" w:lineRule="auto"/>
        <w:ind w:firstLine="480" w:firstLineChars="200"/>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按通用条款执行。</w:t>
      </w:r>
    </w:p>
    <w:p w14:paraId="5AF85B58">
      <w:pPr>
        <w:spacing w:line="360" w:lineRule="auto"/>
        <w:ind w:firstLine="480" w:firstLineChars="200"/>
        <w:rPr>
          <w:rFonts w:ascii="宋体" w:hAnsi="宋体" w:cs="宋体"/>
          <w:sz w:val="24"/>
        </w:rPr>
      </w:pPr>
      <w:r>
        <w:rPr>
          <w:rFonts w:hint="eastAsia" w:ascii="宋体" w:hAnsi="宋体" w:cs="宋体"/>
          <w:sz w:val="24"/>
        </w:rPr>
        <w:t>12.4.3 进度付款申请单的提交</w:t>
      </w:r>
    </w:p>
    <w:p w14:paraId="5D5BB033">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按通用条款执行。</w:t>
      </w:r>
    </w:p>
    <w:p w14:paraId="35262985">
      <w:pPr>
        <w:spacing w:line="360" w:lineRule="auto"/>
        <w:ind w:firstLine="480" w:firstLineChars="200"/>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w:t>
      </w:r>
      <w:r>
        <w:rPr>
          <w:rFonts w:hint="eastAsia" w:ascii="宋体" w:hAnsi="宋体" w:cs="宋体"/>
          <w:sz w:val="24"/>
        </w:rPr>
        <w:t>。</w:t>
      </w:r>
    </w:p>
    <w:p w14:paraId="5D43E2FA">
      <w:pPr>
        <w:spacing w:line="360" w:lineRule="auto"/>
        <w:ind w:firstLine="480" w:firstLineChars="200"/>
        <w:rPr>
          <w:rFonts w:ascii="宋体" w:hAnsi="宋体" w:cs="宋体"/>
          <w:sz w:val="24"/>
        </w:rPr>
      </w:pPr>
      <w:r>
        <w:rPr>
          <w:rFonts w:hint="eastAsia" w:ascii="宋体" w:hAnsi="宋体" w:cs="宋体"/>
          <w:sz w:val="24"/>
        </w:rPr>
        <w:t>（3）其他价格形式合同进度付款申请单提交的约定：</w:t>
      </w:r>
      <w:r>
        <w:rPr>
          <w:rFonts w:hint="eastAsia" w:ascii="宋体" w:hAnsi="宋体" w:cs="宋体"/>
          <w:sz w:val="24"/>
          <w:u w:val="single"/>
        </w:rPr>
        <w:t>/</w:t>
      </w:r>
      <w:r>
        <w:rPr>
          <w:rFonts w:hint="eastAsia" w:ascii="宋体" w:hAnsi="宋体" w:cs="宋体"/>
          <w:sz w:val="24"/>
        </w:rPr>
        <w:t>。</w:t>
      </w:r>
    </w:p>
    <w:p w14:paraId="14C0ADD6">
      <w:pPr>
        <w:spacing w:line="360" w:lineRule="auto"/>
        <w:ind w:firstLine="480" w:firstLineChars="200"/>
        <w:rPr>
          <w:rFonts w:ascii="宋体" w:hAnsi="宋体" w:cs="宋体"/>
          <w:sz w:val="24"/>
        </w:rPr>
      </w:pPr>
      <w:r>
        <w:rPr>
          <w:rFonts w:hint="eastAsia" w:ascii="宋体" w:hAnsi="宋体" w:cs="宋体"/>
          <w:sz w:val="24"/>
        </w:rPr>
        <w:t>12.4.4 进度款审核和支付</w:t>
      </w:r>
    </w:p>
    <w:p w14:paraId="13A5A91F">
      <w:pPr>
        <w:snapToGrid w:val="0"/>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w:t>
      </w:r>
      <w:r>
        <w:rPr>
          <w:rFonts w:hint="eastAsia" w:ascii="宋体" w:hAnsi="宋体" w:cs="宋体"/>
          <w:sz w:val="24"/>
        </w:rPr>
        <w:t>。</w:t>
      </w:r>
    </w:p>
    <w:p w14:paraId="3FA3C257">
      <w:pPr>
        <w:snapToGrid w:val="0"/>
        <w:spacing w:line="360" w:lineRule="auto"/>
        <w:ind w:firstLine="480" w:firstLineChars="200"/>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 xml:space="preserve">  按通用条款执行 </w:t>
      </w:r>
      <w:r>
        <w:rPr>
          <w:rFonts w:hint="eastAsia" w:ascii="宋体" w:hAnsi="宋体" w:cs="宋体"/>
          <w:sz w:val="24"/>
        </w:rPr>
        <w:t>。</w:t>
      </w:r>
    </w:p>
    <w:p w14:paraId="6E01147A">
      <w:pPr>
        <w:spacing w:line="360" w:lineRule="auto"/>
        <w:ind w:firstLine="480" w:firstLineChars="200"/>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 xml:space="preserve">  不执行通用条款，以发包人书面通知承包人开具收款发票后支付</w:t>
      </w:r>
      <w:r>
        <w:rPr>
          <w:rFonts w:hint="eastAsia" w:ascii="宋体" w:hAnsi="宋体" w:cs="宋体"/>
          <w:sz w:val="24"/>
        </w:rPr>
        <w:t>。</w:t>
      </w:r>
    </w:p>
    <w:p w14:paraId="5114240A">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w:t>
      </w:r>
      <w:r>
        <w:rPr>
          <w:rFonts w:hint="eastAsia" w:ascii="宋体" w:hAnsi="宋体" w:cs="宋体"/>
          <w:sz w:val="24"/>
        </w:rPr>
        <w:t>。</w:t>
      </w:r>
    </w:p>
    <w:p w14:paraId="4C7C63BF">
      <w:pPr>
        <w:spacing w:line="360" w:lineRule="auto"/>
        <w:ind w:firstLine="480" w:firstLineChars="200"/>
        <w:rPr>
          <w:rFonts w:ascii="宋体" w:hAnsi="宋体" w:cs="宋体"/>
          <w:sz w:val="24"/>
        </w:rPr>
      </w:pPr>
      <w:r>
        <w:rPr>
          <w:rFonts w:hint="eastAsia" w:ascii="宋体" w:hAnsi="宋体" w:cs="宋体"/>
          <w:sz w:val="24"/>
        </w:rPr>
        <w:t>12.4.6 支付分解表的编制</w:t>
      </w:r>
    </w:p>
    <w:p w14:paraId="05D865AA">
      <w:pPr>
        <w:spacing w:line="360" w:lineRule="auto"/>
        <w:ind w:left="4740" w:leftChars="200" w:hanging="4320" w:hangingChars="1800"/>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w:t>
      </w:r>
      <w:r>
        <w:rPr>
          <w:rFonts w:hint="eastAsia" w:ascii="宋体" w:hAnsi="宋体" w:cs="宋体"/>
          <w:sz w:val="24"/>
        </w:rPr>
        <w:t>。</w:t>
      </w:r>
    </w:p>
    <w:p w14:paraId="4295BADC">
      <w:pPr>
        <w:spacing w:line="360" w:lineRule="auto"/>
        <w:ind w:firstLine="480" w:firstLineChars="200"/>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sz w:val="24"/>
          <w:u w:val="single"/>
        </w:rPr>
        <w:t>按通用条款执行</w:t>
      </w:r>
      <w:r>
        <w:rPr>
          <w:rFonts w:hint="eastAsia" w:ascii="宋体" w:hAnsi="宋体" w:cs="宋体"/>
          <w:sz w:val="24"/>
        </w:rPr>
        <w:t>。</w:t>
      </w:r>
    </w:p>
    <w:p w14:paraId="57922CEE">
      <w:pPr>
        <w:topLinePunct/>
        <w:spacing w:line="360" w:lineRule="auto"/>
        <w:ind w:firstLine="420"/>
        <w:rPr>
          <w:rFonts w:ascii="宋体" w:hAnsi="宋体" w:cs="宋体"/>
          <w:b/>
          <w:sz w:val="24"/>
        </w:rPr>
      </w:pPr>
      <w:r>
        <w:rPr>
          <w:rFonts w:hint="eastAsia" w:ascii="宋体" w:hAnsi="宋体" w:cs="宋体"/>
          <w:b/>
          <w:sz w:val="24"/>
        </w:rPr>
        <w:t>13.验收和工程试车</w:t>
      </w:r>
    </w:p>
    <w:p w14:paraId="759497A9">
      <w:pPr>
        <w:spacing w:line="360" w:lineRule="auto"/>
        <w:ind w:firstLine="480" w:firstLineChars="200"/>
        <w:rPr>
          <w:rFonts w:ascii="宋体" w:hAnsi="宋体" w:cs="宋体"/>
          <w:sz w:val="24"/>
        </w:rPr>
      </w:pPr>
      <w:r>
        <w:rPr>
          <w:rFonts w:hint="eastAsia" w:ascii="宋体" w:hAnsi="宋体" w:cs="宋体"/>
          <w:sz w:val="24"/>
        </w:rPr>
        <w:t>13.1 分部分项工程验收</w:t>
      </w:r>
    </w:p>
    <w:p w14:paraId="736849AD">
      <w:pPr>
        <w:spacing w:line="360" w:lineRule="auto"/>
        <w:ind w:left="4740" w:leftChars="200" w:hanging="4320" w:hangingChars="18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692A8E46">
      <w:pPr>
        <w:spacing w:line="360" w:lineRule="auto"/>
        <w:ind w:left="4740" w:leftChars="200" w:hanging="4320" w:hangingChars="18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48</w:t>
      </w:r>
      <w:r>
        <w:rPr>
          <w:rFonts w:hint="eastAsia" w:ascii="宋体" w:hAnsi="宋体" w:cs="宋体"/>
          <w:sz w:val="24"/>
        </w:rPr>
        <w:t>小时。</w:t>
      </w:r>
    </w:p>
    <w:p w14:paraId="2A3FE9BD">
      <w:pPr>
        <w:spacing w:line="360" w:lineRule="auto"/>
        <w:ind w:firstLine="480" w:firstLineChars="200"/>
        <w:rPr>
          <w:rFonts w:ascii="宋体" w:hAnsi="宋体" w:cs="宋体"/>
          <w:sz w:val="24"/>
        </w:rPr>
      </w:pPr>
      <w:r>
        <w:rPr>
          <w:rFonts w:hint="eastAsia" w:ascii="宋体" w:hAnsi="宋体" w:cs="宋体"/>
          <w:sz w:val="24"/>
        </w:rPr>
        <w:t>13.2 竣工验收</w:t>
      </w:r>
    </w:p>
    <w:p w14:paraId="479035D6">
      <w:pPr>
        <w:spacing w:line="360" w:lineRule="auto"/>
        <w:ind w:left="4740" w:leftChars="200" w:hanging="4320" w:hangingChars="1800"/>
        <w:rPr>
          <w:rFonts w:ascii="宋体" w:hAnsi="宋体" w:cs="宋体"/>
          <w:sz w:val="24"/>
        </w:rPr>
      </w:pPr>
      <w:r>
        <w:rPr>
          <w:rFonts w:hint="eastAsia" w:ascii="宋体" w:hAnsi="宋体" w:cs="宋体"/>
          <w:sz w:val="24"/>
        </w:rPr>
        <w:t>13.2.2竣工验收程序</w:t>
      </w:r>
    </w:p>
    <w:p w14:paraId="214E722C">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关于竣工验收程序的约定：</w:t>
      </w:r>
      <w:r>
        <w:rPr>
          <w:rFonts w:hint="eastAsia" w:ascii="宋体" w:hAnsi="宋体" w:cs="宋体"/>
          <w:sz w:val="24"/>
          <w:u w:val="single"/>
        </w:rPr>
        <w:t>按通用条款执行。</w:t>
      </w:r>
    </w:p>
    <w:p w14:paraId="7F0D5442">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按通用条款执行</w:t>
      </w:r>
      <w:r>
        <w:rPr>
          <w:rFonts w:hint="eastAsia" w:ascii="宋体" w:hAnsi="宋体" w:cs="宋体"/>
          <w:sz w:val="24"/>
        </w:rPr>
        <w:t>。</w:t>
      </w:r>
    </w:p>
    <w:p w14:paraId="73827F40">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6F3BBD2E">
      <w:pPr>
        <w:spacing w:line="360" w:lineRule="auto"/>
        <w:ind w:firstLine="480" w:firstLineChars="200"/>
        <w:rPr>
          <w:rFonts w:ascii="宋体" w:hAnsi="宋体" w:cs="宋体"/>
          <w:kern w:val="0"/>
          <w:sz w:val="24"/>
        </w:rPr>
      </w:pPr>
      <w:r>
        <w:rPr>
          <w:rFonts w:hint="eastAsia" w:ascii="宋体" w:hAnsi="宋体" w:cs="宋体"/>
          <w:sz w:val="24"/>
        </w:rPr>
        <w:t>承包人向发包人移交工程的期限：</w:t>
      </w:r>
      <w:r>
        <w:rPr>
          <w:rFonts w:hint="eastAsia" w:ascii="宋体" w:hAnsi="宋体" w:cs="宋体"/>
          <w:sz w:val="24"/>
          <w:u w:val="single"/>
        </w:rPr>
        <w:t>按通用条款执行。</w:t>
      </w:r>
    </w:p>
    <w:p w14:paraId="530A2FF2">
      <w:pPr>
        <w:snapToGrid w:val="0"/>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7C111641">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所有</w:t>
      </w:r>
      <w:r>
        <w:rPr>
          <w:rFonts w:hint="eastAsia" w:ascii="宋体" w:hAnsi="宋体" w:cs="宋体"/>
          <w:kern w:val="0"/>
          <w:sz w:val="24"/>
          <w:u w:val="single"/>
        </w:rPr>
        <w:t>工程经发包人、监理（如有）等部门的检验验收合格后 3日内，承包人须向发包人移交全部工程，逾期移交的，每逾期一日，按人民币3000元/天向发包人支付违约金，因逾期交付工程给发包人造成经济损失的，赔偿损失。同时，承包人移交所有工程之前，发包人有权拒绝结算、支付工程款</w:t>
      </w:r>
      <w:r>
        <w:rPr>
          <w:rFonts w:hint="eastAsia" w:ascii="宋体" w:hAnsi="宋体" w:cs="宋体"/>
          <w:sz w:val="24"/>
        </w:rPr>
        <w:t>。</w:t>
      </w:r>
    </w:p>
    <w:p w14:paraId="2C10D113">
      <w:pPr>
        <w:spacing w:line="360" w:lineRule="auto"/>
        <w:ind w:firstLine="480" w:firstLineChars="200"/>
        <w:rPr>
          <w:rFonts w:ascii="宋体" w:hAnsi="宋体" w:cs="宋体"/>
          <w:sz w:val="24"/>
        </w:rPr>
      </w:pPr>
      <w:r>
        <w:rPr>
          <w:rFonts w:hint="eastAsia" w:ascii="宋体" w:hAnsi="宋体" w:cs="宋体"/>
          <w:sz w:val="24"/>
        </w:rPr>
        <w:t>13.3 工程试车</w:t>
      </w:r>
    </w:p>
    <w:p w14:paraId="3FB29969">
      <w:pPr>
        <w:spacing w:line="360" w:lineRule="auto"/>
        <w:ind w:firstLine="480" w:firstLineChars="200"/>
        <w:rPr>
          <w:rFonts w:ascii="宋体" w:hAnsi="宋体" w:cs="宋体"/>
          <w:sz w:val="24"/>
        </w:rPr>
      </w:pPr>
      <w:r>
        <w:rPr>
          <w:rFonts w:hint="eastAsia" w:ascii="宋体" w:hAnsi="宋体" w:cs="宋体"/>
          <w:sz w:val="24"/>
        </w:rPr>
        <w:t>13.3.1 试车程序</w:t>
      </w:r>
    </w:p>
    <w:p w14:paraId="6CA9C692">
      <w:pPr>
        <w:spacing w:line="360" w:lineRule="auto"/>
        <w:ind w:firstLine="600" w:firstLineChars="250"/>
        <w:rPr>
          <w:rFonts w:ascii="宋体" w:hAnsi="宋体" w:cs="宋体"/>
          <w:sz w:val="24"/>
          <w:u w:val="single"/>
        </w:rPr>
      </w:pPr>
      <w:r>
        <w:rPr>
          <w:rFonts w:hint="eastAsia" w:ascii="宋体" w:hAnsi="宋体" w:cs="宋体"/>
          <w:sz w:val="24"/>
        </w:rPr>
        <w:t>工程试车内容：</w:t>
      </w:r>
      <w:bookmarkStart w:id="496" w:name="_Hlk78552738"/>
      <w:r>
        <w:rPr>
          <w:rFonts w:hint="eastAsia" w:ascii="宋体" w:hAnsi="宋体" w:cs="宋体"/>
          <w:sz w:val="24"/>
          <w:u w:val="single"/>
        </w:rPr>
        <w:t>试车内容应于承包人承包范围相一致，试车费用由承包人承担。</w:t>
      </w:r>
      <w:bookmarkEnd w:id="496"/>
    </w:p>
    <w:p w14:paraId="2672066A">
      <w:pPr>
        <w:spacing w:line="360" w:lineRule="auto"/>
        <w:ind w:firstLine="480" w:firstLineChars="200"/>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承包人 </w:t>
      </w:r>
      <w:r>
        <w:rPr>
          <w:rFonts w:hint="eastAsia" w:ascii="宋体" w:hAnsi="宋体" w:cs="宋体"/>
          <w:sz w:val="24"/>
        </w:rPr>
        <w:t>承担；</w:t>
      </w:r>
    </w:p>
    <w:p w14:paraId="50BED03D">
      <w:pPr>
        <w:spacing w:line="360" w:lineRule="auto"/>
        <w:ind w:firstLine="480" w:firstLineChars="200"/>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承包人 </w:t>
      </w:r>
      <w:r>
        <w:rPr>
          <w:rFonts w:hint="eastAsia" w:ascii="宋体" w:hAnsi="宋体" w:cs="宋体"/>
          <w:sz w:val="24"/>
        </w:rPr>
        <w:t>承担。</w:t>
      </w:r>
    </w:p>
    <w:p w14:paraId="1B69725A">
      <w:pPr>
        <w:spacing w:line="360" w:lineRule="auto"/>
        <w:ind w:firstLine="600" w:firstLineChars="250"/>
        <w:rPr>
          <w:rFonts w:ascii="宋体" w:hAnsi="宋体" w:cs="宋体"/>
          <w:sz w:val="24"/>
        </w:rPr>
      </w:pPr>
      <w:r>
        <w:rPr>
          <w:rFonts w:hint="eastAsia" w:ascii="宋体" w:hAnsi="宋体" w:cs="宋体"/>
          <w:sz w:val="24"/>
        </w:rPr>
        <w:t>13.3.3 投料试车</w:t>
      </w:r>
    </w:p>
    <w:p w14:paraId="12FD2341">
      <w:pPr>
        <w:spacing w:line="360" w:lineRule="auto"/>
        <w:ind w:firstLine="480" w:firstLineChars="200"/>
        <w:rPr>
          <w:rFonts w:ascii="宋体" w:hAnsi="宋体" w:cs="宋体"/>
          <w:kern w:val="0"/>
          <w:sz w:val="24"/>
        </w:rPr>
      </w:pPr>
      <w:r>
        <w:rPr>
          <w:rFonts w:hint="eastAsia" w:ascii="宋体" w:hAnsi="宋体" w:cs="宋体"/>
          <w:sz w:val="24"/>
        </w:rPr>
        <w:t>关于投料试车相关事项的约定：</w:t>
      </w:r>
      <w:r>
        <w:rPr>
          <w:rFonts w:hint="eastAsia" w:ascii="宋体" w:hAnsi="宋体" w:cs="宋体"/>
          <w:sz w:val="24"/>
          <w:u w:val="single"/>
        </w:rPr>
        <w:t>按通用条款执行。</w:t>
      </w:r>
    </w:p>
    <w:p w14:paraId="61DC074A">
      <w:pPr>
        <w:spacing w:line="360" w:lineRule="auto"/>
        <w:ind w:firstLine="480" w:firstLineChars="200"/>
        <w:rPr>
          <w:rFonts w:ascii="宋体" w:hAnsi="宋体" w:cs="宋体"/>
          <w:sz w:val="24"/>
        </w:rPr>
      </w:pPr>
      <w:r>
        <w:rPr>
          <w:rFonts w:hint="eastAsia" w:ascii="宋体" w:hAnsi="宋体" w:cs="宋体"/>
          <w:sz w:val="24"/>
        </w:rPr>
        <w:t>13.6 竣工退场</w:t>
      </w:r>
    </w:p>
    <w:p w14:paraId="7785EB14">
      <w:pPr>
        <w:spacing w:line="360" w:lineRule="auto"/>
        <w:ind w:firstLine="480" w:firstLineChars="200"/>
        <w:rPr>
          <w:rFonts w:ascii="宋体" w:hAnsi="宋体" w:cs="宋体"/>
          <w:sz w:val="24"/>
        </w:rPr>
      </w:pPr>
      <w:r>
        <w:rPr>
          <w:rFonts w:hint="eastAsia" w:ascii="宋体" w:hAnsi="宋体" w:cs="宋体"/>
          <w:sz w:val="24"/>
        </w:rPr>
        <w:t>13.6.1 竣工退场</w:t>
      </w:r>
    </w:p>
    <w:p w14:paraId="6D210207">
      <w:pPr>
        <w:spacing w:line="360" w:lineRule="auto"/>
        <w:ind w:firstLine="480" w:firstLineChars="200"/>
        <w:rPr>
          <w:rFonts w:ascii="宋体" w:hAnsi="宋体" w:cs="宋体"/>
          <w:kern w:val="0"/>
          <w:sz w:val="24"/>
        </w:rPr>
      </w:pPr>
      <w:r>
        <w:rPr>
          <w:rFonts w:hint="eastAsia" w:ascii="宋体" w:hAnsi="宋体" w:cs="宋体"/>
          <w:sz w:val="24"/>
        </w:rPr>
        <w:t>承包人完成竣工退场的期限：</w:t>
      </w:r>
      <w:r>
        <w:rPr>
          <w:rFonts w:hint="eastAsia" w:ascii="宋体" w:hAnsi="宋体" w:cs="宋体"/>
          <w:sz w:val="24"/>
          <w:u w:val="single"/>
        </w:rPr>
        <w:t>颁发工程接收证书后7天</w:t>
      </w:r>
      <w:r>
        <w:rPr>
          <w:rFonts w:hint="eastAsia" w:ascii="宋体" w:hAnsi="宋体" w:cs="宋体"/>
          <w:kern w:val="0"/>
          <w:sz w:val="24"/>
        </w:rPr>
        <w:t>。</w:t>
      </w:r>
    </w:p>
    <w:p w14:paraId="3643499B">
      <w:pPr>
        <w:topLinePunct/>
        <w:spacing w:line="360" w:lineRule="auto"/>
        <w:ind w:firstLine="420"/>
        <w:rPr>
          <w:rFonts w:ascii="宋体" w:hAnsi="宋体" w:cs="宋体"/>
          <w:b/>
          <w:sz w:val="24"/>
        </w:rPr>
      </w:pPr>
      <w:r>
        <w:rPr>
          <w:rFonts w:hint="eastAsia" w:ascii="宋体" w:hAnsi="宋体" w:cs="宋体"/>
          <w:b/>
          <w:sz w:val="24"/>
        </w:rPr>
        <w:t>14.竣工结算</w:t>
      </w:r>
    </w:p>
    <w:p w14:paraId="382E511C">
      <w:pPr>
        <w:spacing w:line="360" w:lineRule="auto"/>
        <w:ind w:firstLine="480" w:firstLineChars="200"/>
        <w:rPr>
          <w:rFonts w:ascii="宋体" w:hAnsi="宋体" w:cs="宋体"/>
          <w:sz w:val="24"/>
        </w:rPr>
      </w:pPr>
      <w:r>
        <w:rPr>
          <w:rFonts w:hint="eastAsia" w:ascii="宋体" w:hAnsi="宋体" w:cs="宋体"/>
          <w:sz w:val="24"/>
        </w:rPr>
        <w:t>14.1 竣工付款申请</w:t>
      </w:r>
    </w:p>
    <w:p w14:paraId="78AA6A5B">
      <w:pPr>
        <w:autoSpaceDE w:val="0"/>
        <w:autoSpaceDN w:val="0"/>
        <w:spacing w:line="360" w:lineRule="auto"/>
        <w:ind w:firstLine="480" w:firstLineChars="200"/>
        <w:rPr>
          <w:rFonts w:ascii="宋体" w:hAnsi="宋体" w:cs="宋体"/>
          <w:sz w:val="24"/>
          <w:u w:val="single"/>
        </w:rPr>
      </w:pPr>
      <w:r>
        <w:rPr>
          <w:rFonts w:hint="eastAsia" w:ascii="宋体" w:hAnsi="宋体" w:cs="宋体"/>
          <w:sz w:val="24"/>
        </w:rPr>
        <w:t>承包人提交竣工付款申请单的期限：</w:t>
      </w:r>
      <w:r>
        <w:rPr>
          <w:rFonts w:hint="eastAsia" w:ascii="宋体" w:hAnsi="宋体" w:cs="宋体"/>
          <w:sz w:val="24"/>
          <w:u w:val="single"/>
        </w:rPr>
        <w:t>按通用条款执行。</w:t>
      </w:r>
    </w:p>
    <w:p w14:paraId="79726606">
      <w:pPr>
        <w:snapToGrid w:val="0"/>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sz w:val="24"/>
          <w:u w:val="single"/>
        </w:rPr>
        <w:t>（1）竣工结算合同价格；（2）发包人已支付承包人的款项；（3）已缴纳质量保证金的或提供其他工程质量担保方式的除外；（4）发包人应支付承包人的合同价款</w:t>
      </w:r>
      <w:r>
        <w:rPr>
          <w:rFonts w:hint="eastAsia" w:ascii="宋体" w:hAnsi="宋体" w:cs="宋体"/>
          <w:sz w:val="24"/>
        </w:rPr>
        <w:t>。</w:t>
      </w:r>
    </w:p>
    <w:p w14:paraId="70641476">
      <w:pPr>
        <w:spacing w:line="360" w:lineRule="auto"/>
        <w:ind w:firstLine="480" w:firstLineChars="200"/>
        <w:rPr>
          <w:rFonts w:ascii="宋体" w:hAnsi="宋体" w:cs="宋体"/>
          <w:sz w:val="24"/>
        </w:rPr>
      </w:pPr>
      <w:r>
        <w:rPr>
          <w:rFonts w:hint="eastAsia" w:ascii="宋体" w:hAnsi="宋体" w:cs="宋体"/>
          <w:sz w:val="24"/>
        </w:rPr>
        <w:t>14.2 竣工结算审核</w:t>
      </w:r>
    </w:p>
    <w:p w14:paraId="08524C50">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发包人对竣工结算审核（审计）期限：</w:t>
      </w:r>
      <w:r>
        <w:rPr>
          <w:rFonts w:hint="eastAsia" w:ascii="宋体" w:hAnsi="宋体" w:cs="宋体"/>
          <w:sz w:val="24"/>
          <w:u w:val="single"/>
        </w:rPr>
        <w:t>以发包人委托的第三方实际完成的审核（审计）时间为准，不执行通用条款的约定。承包人应积极配合、协助发包人委托的第三方的审核（审计）工作，否则由承包人承担相应责任。</w:t>
      </w:r>
    </w:p>
    <w:p w14:paraId="06C76833">
      <w:pPr>
        <w:snapToGrid w:val="0"/>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sz w:val="24"/>
          <w:u w:val="single"/>
        </w:rPr>
        <w:t>不执行通用条款，以发包人书面通知承包人开具收款发票后支付。</w:t>
      </w:r>
    </w:p>
    <w:p w14:paraId="29C152DF">
      <w:pPr>
        <w:snapToGrid w:val="0"/>
        <w:spacing w:line="360" w:lineRule="auto"/>
        <w:ind w:firstLine="480" w:firstLineChars="200"/>
        <w:rPr>
          <w:rFonts w:ascii="宋体" w:hAnsi="宋体" w:cs="宋体"/>
          <w:sz w:val="24"/>
        </w:rPr>
      </w:pPr>
      <w:r>
        <w:rPr>
          <w:rFonts w:hint="eastAsia" w:ascii="宋体" w:hAnsi="宋体" w:cs="宋体"/>
          <w:sz w:val="24"/>
          <w:u w:val="single"/>
        </w:rPr>
        <w:t>其中工程价款审计后核减额超过送审造价5%幅度以外的审查费用及核增部分审查费用由</w:t>
      </w:r>
      <w:bookmarkStart w:id="497" w:name="_Hlk62560116"/>
      <w:r>
        <w:rPr>
          <w:rFonts w:hint="eastAsia" w:ascii="宋体" w:hAnsi="宋体" w:cs="宋体"/>
          <w:sz w:val="24"/>
          <w:u w:val="single"/>
        </w:rPr>
        <w:t>承包人承担，承包人直接支付费用给项目结算审核单位，工程尾款支付时承包人必须同时提供结算审核费已付凭据</w:t>
      </w:r>
      <w:bookmarkEnd w:id="497"/>
      <w:r>
        <w:rPr>
          <w:rFonts w:hint="eastAsia" w:ascii="宋体" w:hAnsi="宋体" w:cs="宋体"/>
          <w:sz w:val="24"/>
          <w:u w:val="single"/>
        </w:rPr>
        <w:t>。</w:t>
      </w:r>
    </w:p>
    <w:p w14:paraId="07F081E1">
      <w:pPr>
        <w:spacing w:line="360" w:lineRule="auto"/>
        <w:ind w:firstLine="480" w:firstLineChars="200"/>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按通用条款执行。</w:t>
      </w:r>
    </w:p>
    <w:p w14:paraId="5B3C4974">
      <w:pPr>
        <w:spacing w:line="360" w:lineRule="auto"/>
        <w:ind w:firstLine="480" w:firstLineChars="200"/>
        <w:rPr>
          <w:rFonts w:ascii="宋体" w:hAnsi="宋体" w:cs="宋体"/>
          <w:sz w:val="24"/>
        </w:rPr>
      </w:pPr>
      <w:r>
        <w:rPr>
          <w:rFonts w:hint="eastAsia" w:ascii="宋体" w:hAnsi="宋体" w:cs="宋体"/>
          <w:sz w:val="24"/>
        </w:rPr>
        <w:t>14.4 最终结清</w:t>
      </w:r>
    </w:p>
    <w:p w14:paraId="753E492A">
      <w:pPr>
        <w:spacing w:line="360" w:lineRule="auto"/>
        <w:ind w:firstLine="480" w:firstLineChars="200"/>
        <w:rPr>
          <w:rFonts w:ascii="宋体" w:hAnsi="宋体" w:cs="宋体"/>
          <w:sz w:val="24"/>
        </w:rPr>
      </w:pPr>
      <w:r>
        <w:rPr>
          <w:rFonts w:hint="eastAsia" w:ascii="宋体" w:hAnsi="宋体" w:cs="宋体"/>
          <w:sz w:val="24"/>
        </w:rPr>
        <w:t>14.4.1 最终结清申请单</w:t>
      </w:r>
    </w:p>
    <w:p w14:paraId="119D514B">
      <w:pPr>
        <w:spacing w:line="360" w:lineRule="auto"/>
        <w:ind w:firstLine="480" w:firstLineChars="200"/>
        <w:rPr>
          <w:rFonts w:ascii="宋体" w:hAnsi="宋体" w:cs="宋体"/>
          <w:kern w:val="0"/>
          <w:sz w:val="24"/>
        </w:rPr>
      </w:pPr>
      <w:r>
        <w:rPr>
          <w:rFonts w:hint="eastAsia" w:ascii="宋体" w:hAnsi="宋体" w:cs="宋体"/>
          <w:sz w:val="24"/>
        </w:rPr>
        <w:t>承包人提交最终结清申请单的份数：</w:t>
      </w:r>
      <w:r>
        <w:rPr>
          <w:rFonts w:hint="eastAsia" w:ascii="宋体" w:hAnsi="宋体" w:cs="宋体"/>
          <w:sz w:val="24"/>
          <w:u w:val="single"/>
        </w:rPr>
        <w:t xml:space="preserve"> 6份。</w:t>
      </w:r>
    </w:p>
    <w:p w14:paraId="5F1E6269">
      <w:pPr>
        <w:spacing w:line="360" w:lineRule="auto"/>
        <w:ind w:firstLine="480" w:firstLineChars="200"/>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按通用条款执行</w:t>
      </w:r>
      <w:r>
        <w:rPr>
          <w:rFonts w:hint="eastAsia" w:ascii="宋体" w:hAnsi="宋体" w:cs="宋体"/>
          <w:sz w:val="24"/>
        </w:rPr>
        <w:t xml:space="preserve">。 </w:t>
      </w:r>
    </w:p>
    <w:p w14:paraId="410E5696">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080A344A">
      <w:pPr>
        <w:spacing w:line="360" w:lineRule="auto"/>
        <w:ind w:firstLine="480" w:firstLineChars="200"/>
        <w:rPr>
          <w:rFonts w:ascii="宋体" w:hAnsi="宋体" w:cs="宋体"/>
          <w:sz w:val="24"/>
          <w:u w:val="single"/>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不执行通用条款，以收到承包人完整的最终结算申请资料后，发包人完成内部审计及委托的第三方审计后。</w:t>
      </w:r>
    </w:p>
    <w:p w14:paraId="4F003C53">
      <w:pPr>
        <w:spacing w:line="360" w:lineRule="auto"/>
        <w:ind w:firstLine="480" w:firstLineChars="200"/>
        <w:rPr>
          <w:rFonts w:ascii="宋体" w:hAnsi="宋体" w:cs="宋体"/>
          <w:sz w:val="24"/>
          <w:u w:val="single"/>
        </w:rPr>
      </w:pPr>
      <w:r>
        <w:rPr>
          <w:rFonts w:hint="eastAsia" w:ascii="宋体" w:hAnsi="宋体" w:cs="宋体"/>
          <w:sz w:val="24"/>
        </w:rPr>
        <w:t>（2）发包人完成支付的期限：</w:t>
      </w:r>
      <w:r>
        <w:rPr>
          <w:rFonts w:hint="eastAsia" w:ascii="宋体" w:hAnsi="宋体" w:cs="宋体"/>
          <w:sz w:val="24"/>
          <w:u w:val="single"/>
        </w:rPr>
        <w:t xml:space="preserve"> 不执行通用条款，以发包人书面通知承包人开具并交付正规收款发票后25个工作日内支付。</w:t>
      </w:r>
    </w:p>
    <w:p w14:paraId="04308E82">
      <w:pPr>
        <w:topLinePunct/>
        <w:spacing w:line="360" w:lineRule="auto"/>
        <w:ind w:firstLine="420"/>
        <w:rPr>
          <w:rFonts w:ascii="宋体" w:hAnsi="宋体" w:cs="宋体"/>
          <w:b/>
          <w:sz w:val="24"/>
        </w:rPr>
      </w:pPr>
      <w:r>
        <w:rPr>
          <w:rFonts w:hint="eastAsia" w:ascii="宋体" w:hAnsi="宋体" w:cs="宋体"/>
          <w:b/>
          <w:sz w:val="24"/>
        </w:rPr>
        <w:t>15. 缺陷责任期与保修</w:t>
      </w:r>
    </w:p>
    <w:p w14:paraId="48884E28">
      <w:pPr>
        <w:spacing w:line="360" w:lineRule="auto"/>
        <w:ind w:firstLine="480" w:firstLineChars="200"/>
        <w:rPr>
          <w:rFonts w:ascii="宋体" w:hAnsi="宋体" w:cs="宋体"/>
          <w:sz w:val="24"/>
        </w:rPr>
      </w:pPr>
      <w:r>
        <w:rPr>
          <w:rFonts w:hint="eastAsia" w:ascii="宋体" w:hAnsi="宋体" w:cs="宋体"/>
          <w:sz w:val="24"/>
        </w:rPr>
        <w:t>15.2缺陷责任期</w:t>
      </w:r>
    </w:p>
    <w:p w14:paraId="1FD11FF4">
      <w:pPr>
        <w:spacing w:line="360" w:lineRule="auto"/>
        <w:ind w:firstLine="480" w:firstLineChars="200"/>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从工程通过发包人、监理（如有）等部门的验收并交付给发包人后的次日起计算，但该期限不低于   个月</w:t>
      </w:r>
      <w:r>
        <w:rPr>
          <w:rFonts w:hint="eastAsia" w:ascii="宋体" w:hAnsi="宋体" w:cs="宋体"/>
          <w:sz w:val="24"/>
        </w:rPr>
        <w:t>。</w:t>
      </w:r>
    </w:p>
    <w:p w14:paraId="24E8AD5F">
      <w:pPr>
        <w:snapToGrid w:val="0"/>
        <w:spacing w:line="360" w:lineRule="auto"/>
        <w:ind w:firstLine="480" w:firstLineChars="200"/>
        <w:rPr>
          <w:rFonts w:ascii="宋体" w:hAnsi="宋体" w:cs="宋体"/>
          <w:sz w:val="24"/>
          <w:u w:val="single"/>
        </w:rPr>
      </w:pPr>
      <w:r>
        <w:rPr>
          <w:rFonts w:hint="eastAsia" w:ascii="宋体" w:hAnsi="宋体" w:cs="宋体"/>
          <w:sz w:val="24"/>
        </w:rPr>
        <w:t>缺陷责任期内关于质量保证金的补充约定：</w:t>
      </w:r>
    </w:p>
    <w:p w14:paraId="0D015C2C">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（1）如在工程保修期内未发生按约定的须从质量保证金中代扣维修费及维修管理费情况的，则质量保证金在</w:t>
      </w:r>
      <w:r>
        <w:rPr>
          <w:rFonts w:hint="eastAsia" w:ascii="宋体" w:hAnsi="宋体" w:cs="宋体"/>
          <w:sz w:val="24"/>
          <w:u w:val="single"/>
        </w:rPr>
        <w:t>缺陷责任期满</w:t>
      </w:r>
      <w:r>
        <w:rPr>
          <w:rFonts w:hint="eastAsia" w:ascii="宋体" w:hAnsi="宋体" w:cs="宋体"/>
          <w:kern w:val="0"/>
          <w:sz w:val="24"/>
          <w:u w:val="single"/>
        </w:rPr>
        <w:t>且无质量问题后，30个工作日内退还质量保证金（无息）给承包人。</w:t>
      </w:r>
    </w:p>
    <w:p w14:paraId="78F77D0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工程移交后，如发包人发现存在质量问题的，有权要求承包人及时维修，并赔偿给发包人带来的各种直接、间接经济损失。承包人7天内未维修的，发包人有权委托第三方维修。所有费用及损失由承包人承担，且发包人有权没收质量保证金。</w:t>
      </w:r>
    </w:p>
    <w:p w14:paraId="545A3244">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（3）工程移交后，如发包人发现存在重大质量问题的，有权扣除承包人的全部质量保证金，要求承包人及时维修，并赔偿给发包人带来的各种直接、间接经济损失。</w:t>
      </w:r>
    </w:p>
    <w:p w14:paraId="44AAB454">
      <w:pPr>
        <w:snapToGrid w:val="0"/>
        <w:spacing w:line="360" w:lineRule="auto"/>
        <w:ind w:firstLine="480" w:firstLineChars="200"/>
        <w:rPr>
          <w:rFonts w:ascii="宋体" w:hAnsi="宋体" w:cs="宋体"/>
          <w:sz w:val="24"/>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rPr>
        <w:t>。</w:t>
      </w:r>
    </w:p>
    <w:p w14:paraId="59C31A3D">
      <w:pPr>
        <w:spacing w:line="360" w:lineRule="auto"/>
        <w:ind w:firstLine="480" w:firstLineChars="200"/>
        <w:rPr>
          <w:rFonts w:ascii="宋体" w:hAnsi="宋体" w:cs="宋体"/>
          <w:sz w:val="24"/>
        </w:rPr>
      </w:pPr>
      <w:r>
        <w:rPr>
          <w:rFonts w:hint="eastAsia" w:ascii="宋体" w:hAnsi="宋体" w:cs="宋体"/>
          <w:sz w:val="24"/>
        </w:rPr>
        <w:t>15.4保修</w:t>
      </w:r>
    </w:p>
    <w:p w14:paraId="2042995B">
      <w:pPr>
        <w:spacing w:line="360" w:lineRule="auto"/>
        <w:ind w:firstLine="480" w:firstLineChars="200"/>
        <w:rPr>
          <w:rFonts w:ascii="宋体" w:hAnsi="宋体" w:cs="宋体"/>
          <w:sz w:val="24"/>
        </w:rPr>
      </w:pPr>
      <w:r>
        <w:rPr>
          <w:rFonts w:hint="eastAsia" w:ascii="宋体" w:hAnsi="宋体" w:cs="宋体"/>
          <w:sz w:val="24"/>
        </w:rPr>
        <w:t>15.4.1 保修责任</w:t>
      </w:r>
    </w:p>
    <w:p w14:paraId="2F5EE40F">
      <w:pPr>
        <w:spacing w:line="360" w:lineRule="auto"/>
        <w:ind w:firstLine="480" w:firstLineChars="200"/>
        <w:rPr>
          <w:rFonts w:ascii="宋体" w:hAnsi="宋体" w:cs="宋体"/>
          <w:sz w:val="24"/>
        </w:rPr>
      </w:pPr>
      <w:r>
        <w:rPr>
          <w:rFonts w:hint="eastAsia" w:ascii="宋体" w:hAnsi="宋体" w:cs="宋体"/>
          <w:sz w:val="24"/>
        </w:rPr>
        <w:t>工程保修期为：</w:t>
      </w:r>
      <w:r>
        <w:rPr>
          <w:rFonts w:hint="eastAsia" w:ascii="宋体" w:hAnsi="宋体" w:cs="宋体"/>
          <w:sz w:val="24"/>
          <w:u w:val="single"/>
        </w:rPr>
        <w:t>详工程质量保修书约定。</w:t>
      </w:r>
    </w:p>
    <w:p w14:paraId="750DD5EC">
      <w:pPr>
        <w:spacing w:line="360" w:lineRule="auto"/>
        <w:ind w:firstLine="480" w:firstLineChars="200"/>
        <w:rPr>
          <w:rFonts w:ascii="宋体" w:hAnsi="宋体" w:cs="宋体"/>
          <w:sz w:val="24"/>
        </w:rPr>
      </w:pPr>
      <w:r>
        <w:rPr>
          <w:rFonts w:hint="eastAsia" w:ascii="宋体" w:hAnsi="宋体" w:cs="宋体"/>
          <w:sz w:val="24"/>
        </w:rPr>
        <w:t>15.4.3 修复通知</w:t>
      </w:r>
    </w:p>
    <w:p w14:paraId="76871BA3">
      <w:pPr>
        <w:spacing w:line="360" w:lineRule="auto"/>
        <w:ind w:firstLine="480" w:firstLineChars="200"/>
        <w:rPr>
          <w:rFonts w:ascii="宋体" w:hAnsi="宋体" w:cs="宋体"/>
          <w:kern w:val="0"/>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hint="eastAsia" w:ascii="宋体" w:hAnsi="宋体" w:cs="宋体"/>
          <w:kern w:val="0"/>
          <w:sz w:val="24"/>
        </w:rPr>
        <w:t>。</w:t>
      </w:r>
    </w:p>
    <w:p w14:paraId="6CE6C6F9">
      <w:pPr>
        <w:topLinePunct/>
        <w:spacing w:line="360" w:lineRule="auto"/>
        <w:ind w:firstLine="420"/>
        <w:rPr>
          <w:rFonts w:ascii="宋体" w:hAnsi="宋体" w:cs="宋体"/>
          <w:b/>
          <w:sz w:val="24"/>
        </w:rPr>
      </w:pPr>
      <w:r>
        <w:rPr>
          <w:rFonts w:hint="eastAsia" w:ascii="宋体" w:hAnsi="宋体" w:cs="宋体"/>
          <w:b/>
          <w:sz w:val="24"/>
        </w:rPr>
        <w:t>16. 违约</w:t>
      </w:r>
    </w:p>
    <w:p w14:paraId="514F6714">
      <w:pPr>
        <w:spacing w:line="360" w:lineRule="auto"/>
        <w:ind w:firstLine="480" w:firstLineChars="200"/>
        <w:rPr>
          <w:rFonts w:ascii="宋体" w:hAnsi="宋体" w:cs="宋体"/>
          <w:sz w:val="24"/>
        </w:rPr>
      </w:pPr>
      <w:r>
        <w:rPr>
          <w:rFonts w:hint="eastAsia" w:ascii="宋体" w:hAnsi="宋体" w:cs="宋体"/>
          <w:sz w:val="24"/>
        </w:rPr>
        <w:t>16.1 发包人违约</w:t>
      </w:r>
    </w:p>
    <w:p w14:paraId="7E4B7BB5">
      <w:pPr>
        <w:spacing w:line="360" w:lineRule="auto"/>
        <w:ind w:firstLine="480" w:firstLineChars="200"/>
        <w:rPr>
          <w:rFonts w:ascii="宋体" w:hAnsi="宋体" w:cs="宋体"/>
          <w:sz w:val="24"/>
        </w:rPr>
      </w:pPr>
      <w:r>
        <w:rPr>
          <w:rFonts w:hint="eastAsia" w:ascii="宋体" w:hAnsi="宋体" w:cs="宋体"/>
          <w:sz w:val="24"/>
        </w:rPr>
        <w:t>16.1.1发包人违约的情形</w:t>
      </w:r>
    </w:p>
    <w:p w14:paraId="7F9971CF">
      <w:pPr>
        <w:autoSpaceDE w:val="0"/>
        <w:autoSpaceDN w:val="0"/>
        <w:spacing w:line="360" w:lineRule="auto"/>
        <w:ind w:firstLine="480" w:firstLineChars="200"/>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按通用条款执行。</w:t>
      </w:r>
    </w:p>
    <w:p w14:paraId="6DDB7CBB">
      <w:pPr>
        <w:spacing w:line="360" w:lineRule="auto"/>
        <w:ind w:left="1140" w:leftChars="200" w:hanging="720" w:hangingChars="300"/>
        <w:rPr>
          <w:rFonts w:ascii="宋体" w:hAnsi="宋体" w:cs="宋体"/>
          <w:kern w:val="0"/>
          <w:sz w:val="24"/>
        </w:rPr>
      </w:pPr>
      <w:r>
        <w:rPr>
          <w:rFonts w:hint="eastAsia" w:ascii="宋体" w:hAnsi="宋体" w:cs="宋体"/>
          <w:sz w:val="24"/>
        </w:rPr>
        <w:t>16.1.2 发包人违约的责任</w:t>
      </w:r>
    </w:p>
    <w:p w14:paraId="0808643A">
      <w:pPr>
        <w:spacing w:line="360" w:lineRule="auto"/>
        <w:ind w:left="1140" w:leftChars="200" w:hanging="720" w:hangingChars="300"/>
        <w:rPr>
          <w:rFonts w:ascii="宋体" w:hAnsi="宋体" w:cs="宋体"/>
          <w:sz w:val="24"/>
        </w:rPr>
      </w:pPr>
      <w:r>
        <w:rPr>
          <w:rFonts w:hint="eastAsia" w:ascii="宋体" w:hAnsi="宋体" w:cs="宋体"/>
          <w:sz w:val="24"/>
        </w:rPr>
        <w:t>发包人违约责任的承担方式和计算方法：</w:t>
      </w:r>
    </w:p>
    <w:p w14:paraId="0418794E">
      <w:pPr>
        <w:spacing w:line="360" w:lineRule="auto"/>
        <w:ind w:firstLine="480" w:firstLineChars="200"/>
        <w:rPr>
          <w:rFonts w:ascii="宋体" w:hAnsi="宋体" w:cs="宋体"/>
          <w:sz w:val="24"/>
          <w:u w:val="single"/>
        </w:rPr>
      </w:pPr>
      <w:r>
        <w:rPr>
          <w:rFonts w:hint="eastAsia" w:ascii="宋体" w:hAnsi="宋体" w:cs="宋体"/>
          <w:sz w:val="24"/>
        </w:rPr>
        <w:t xml:space="preserve">（1）因发包人原因未能在计划开工日期前7天内下达开工通知的违约责任： </w:t>
      </w:r>
      <w:r>
        <w:rPr>
          <w:rFonts w:hint="eastAsia" w:ascii="宋体" w:hAnsi="宋体" w:cs="宋体"/>
          <w:sz w:val="24"/>
          <w:u w:val="single"/>
        </w:rPr>
        <w:t>/。</w:t>
      </w:r>
    </w:p>
    <w:p w14:paraId="114AA2BF">
      <w:pPr>
        <w:spacing w:line="360" w:lineRule="auto"/>
        <w:ind w:firstLine="480" w:firstLineChars="200"/>
        <w:rPr>
          <w:rFonts w:ascii="宋体" w:hAnsi="宋体" w:cs="宋体"/>
          <w:sz w:val="24"/>
        </w:rPr>
      </w:pPr>
      <w:r>
        <w:rPr>
          <w:rFonts w:hint="eastAsia" w:ascii="宋体" w:hAnsi="宋体" w:cs="宋体"/>
          <w:sz w:val="24"/>
        </w:rPr>
        <w:t>（2）因发包人原因未能按合同约定支付合同价款的的违约责任：</w:t>
      </w:r>
      <w:r>
        <w:rPr>
          <w:rFonts w:hint="eastAsia" w:ascii="宋体" w:hAnsi="宋体" w:cs="宋体"/>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。协议期间承包人不得以此为理由影响施工进度</w:t>
      </w:r>
      <w:r>
        <w:rPr>
          <w:rFonts w:hint="eastAsia" w:ascii="宋体" w:hAnsi="宋体" w:cs="宋体"/>
          <w:sz w:val="24"/>
        </w:rPr>
        <w:t>。</w:t>
      </w:r>
    </w:p>
    <w:p w14:paraId="7F5A1501">
      <w:pPr>
        <w:spacing w:line="360" w:lineRule="auto"/>
        <w:ind w:firstLine="480" w:firstLineChars="200"/>
        <w:rPr>
          <w:rFonts w:ascii="宋体" w:hAnsi="宋体" w:cs="宋体"/>
          <w:sz w:val="24"/>
          <w:u w:val="single"/>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w:t>
      </w:r>
    </w:p>
    <w:p w14:paraId="12353E04">
      <w:pPr>
        <w:spacing w:line="360" w:lineRule="auto"/>
        <w:ind w:firstLine="480" w:firstLineChars="200"/>
        <w:rPr>
          <w:rFonts w:ascii="宋体" w:hAnsi="宋体" w:cs="宋体"/>
          <w:kern w:val="0"/>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w:t>
      </w:r>
    </w:p>
    <w:p w14:paraId="6EEFF498">
      <w:pPr>
        <w:spacing w:line="360" w:lineRule="auto"/>
        <w:ind w:firstLine="480" w:firstLineChars="200"/>
        <w:rPr>
          <w:rFonts w:ascii="宋体" w:hAnsi="宋体" w:cs="宋体"/>
          <w:kern w:val="0"/>
          <w:sz w:val="24"/>
        </w:rPr>
      </w:pPr>
      <w:r>
        <w:rPr>
          <w:rFonts w:hint="eastAsia" w:ascii="宋体" w:hAnsi="宋体" w:cs="宋体"/>
          <w:sz w:val="24"/>
        </w:rPr>
        <w:t>（5）因发包人违反合同约定造成暂停施工的违约责任：</w:t>
      </w:r>
      <w:r>
        <w:rPr>
          <w:rFonts w:hint="eastAsia" w:ascii="宋体" w:hAnsi="宋体" w:cs="宋体"/>
          <w:sz w:val="24"/>
          <w:u w:val="single"/>
        </w:rPr>
        <w:t>/。</w:t>
      </w:r>
    </w:p>
    <w:p w14:paraId="3C8DE13B">
      <w:pPr>
        <w:spacing w:line="360" w:lineRule="auto"/>
        <w:ind w:firstLine="480" w:firstLineChars="200"/>
        <w:rPr>
          <w:rFonts w:ascii="宋体" w:hAnsi="宋体" w:cs="宋体"/>
          <w:sz w:val="24"/>
          <w:u w:val="single"/>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w:t>
      </w:r>
    </w:p>
    <w:p w14:paraId="054059A3">
      <w:pPr>
        <w:spacing w:line="360" w:lineRule="auto"/>
        <w:ind w:firstLine="480" w:firstLineChars="200"/>
        <w:rPr>
          <w:rFonts w:ascii="宋体" w:hAnsi="宋体" w:cs="宋体"/>
          <w:sz w:val="24"/>
          <w:u w:val="single"/>
        </w:rPr>
      </w:pPr>
      <w:r>
        <w:rPr>
          <w:rFonts w:hint="eastAsia" w:ascii="宋体" w:hAnsi="宋体" w:cs="宋体"/>
          <w:sz w:val="24"/>
        </w:rPr>
        <w:t>（7）其他：</w:t>
      </w:r>
      <w:r>
        <w:rPr>
          <w:rFonts w:hint="eastAsia" w:ascii="宋体" w:hAnsi="宋体" w:cs="宋体"/>
          <w:sz w:val="24"/>
          <w:u w:val="single"/>
        </w:rPr>
        <w:t xml:space="preserve"> / </w:t>
      </w:r>
    </w:p>
    <w:p w14:paraId="4100AF08">
      <w:pPr>
        <w:snapToGrid w:val="0"/>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66E6FDF0">
      <w:pPr>
        <w:autoSpaceDE w:val="0"/>
        <w:autoSpaceDN w:val="0"/>
        <w:snapToGrid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30 </w:t>
      </w:r>
      <w:r>
        <w:rPr>
          <w:rFonts w:hint="eastAsia" w:ascii="宋体" w:hAnsi="宋体" w:cs="宋体"/>
          <w:kern w:val="0"/>
          <w:sz w:val="24"/>
        </w:rPr>
        <w:t>天后发包人仍不纠正其违约行为并致使合同目的不能实现的，承包人有权解除合同。</w:t>
      </w:r>
    </w:p>
    <w:p w14:paraId="2C11B607">
      <w:pPr>
        <w:spacing w:line="360" w:lineRule="auto"/>
        <w:ind w:firstLine="480" w:firstLineChars="200"/>
        <w:rPr>
          <w:rFonts w:ascii="宋体" w:hAnsi="宋体" w:cs="宋体"/>
          <w:sz w:val="24"/>
        </w:rPr>
      </w:pPr>
      <w:r>
        <w:rPr>
          <w:rFonts w:hint="eastAsia" w:ascii="宋体" w:hAnsi="宋体" w:cs="宋体"/>
          <w:sz w:val="24"/>
        </w:rPr>
        <w:t>16.2 承包人违约</w:t>
      </w:r>
    </w:p>
    <w:p w14:paraId="05085DF6">
      <w:pPr>
        <w:autoSpaceDE w:val="0"/>
        <w:autoSpaceDN w:val="0"/>
        <w:spacing w:line="360" w:lineRule="auto"/>
        <w:ind w:firstLine="480" w:firstLineChars="200"/>
        <w:rPr>
          <w:rFonts w:ascii="宋体" w:hAnsi="宋体" w:cs="宋体"/>
          <w:sz w:val="24"/>
        </w:rPr>
      </w:pPr>
      <w:r>
        <w:rPr>
          <w:rFonts w:hint="eastAsia" w:ascii="宋体" w:hAnsi="宋体" w:cs="宋体"/>
          <w:sz w:val="24"/>
        </w:rPr>
        <w:t>16.2.1 承包人违约的情形</w:t>
      </w:r>
    </w:p>
    <w:p w14:paraId="2CF2F946">
      <w:pPr>
        <w:tabs>
          <w:tab w:val="left" w:pos="482"/>
          <w:tab w:val="left" w:pos="2183"/>
          <w:tab w:val="left" w:pos="3884"/>
          <w:tab w:val="left" w:pos="5585"/>
        </w:tabs>
        <w:spacing w:line="360" w:lineRule="auto"/>
        <w:ind w:firstLine="480" w:firstLineChars="200"/>
        <w:rPr>
          <w:rFonts w:ascii="宋体" w:hAnsi="宋体" w:cs="宋体"/>
          <w:kern w:val="0"/>
          <w:sz w:val="24"/>
        </w:rPr>
      </w:pPr>
      <w:r>
        <w:rPr>
          <w:rFonts w:hint="eastAsia" w:ascii="宋体" w:hAnsi="宋体" w:cs="宋体"/>
          <w:sz w:val="24"/>
        </w:rPr>
        <w:t>承包人违约的其他情形</w:t>
      </w:r>
      <w:r>
        <w:rPr>
          <w:rFonts w:hint="eastAsia" w:ascii="宋体" w:hAnsi="宋体" w:cs="宋体"/>
          <w:kern w:val="0"/>
          <w:sz w:val="24"/>
        </w:rPr>
        <w:t>：</w:t>
      </w:r>
    </w:p>
    <w:p w14:paraId="4E169BE8">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7CA734DB">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（2）承包人不按合同履行应承担的工作，对工程进展造成影响时，发包人有权自行或委托他人完成合同约定承包人该项工作，所产生的费用从承包人应得的款项中扣取，不足部分由承包人偿付。</w:t>
      </w:r>
    </w:p>
    <w:p w14:paraId="6A9104D3">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（3）承包人在竣工后7天内必须做到工完场清、料清、障清，如未在合同约定时间内做到工完场清，发包人有权指定其他单位清理，其费用在工程款中扣除，承包人还应承担由此给发包人带来的损失。</w:t>
      </w:r>
    </w:p>
    <w:p w14:paraId="46DC69E4">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（4）因承包人违反施工规范进行施工或建筑材料设备、施工工艺不合格等产生的工程质量问题而引起的返工、补救，其全部责任和费用以及赔偿均由承包人自行承担。</w:t>
      </w:r>
    </w:p>
    <w:p w14:paraId="5596DA75">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（5）承包人应及时支付民工工资，如因拖欠民工工资引起纠纷，发包人有权从工程款中扣除直接支付给该工程的民工工资。</w:t>
      </w:r>
    </w:p>
    <w:p w14:paraId="2895B513">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5E357185">
      <w:pPr>
        <w:autoSpaceDE w:val="0"/>
        <w:autoSpaceDN w:val="0"/>
        <w:spacing w:line="360" w:lineRule="auto"/>
        <w:ind w:firstLine="480" w:firstLineChars="200"/>
        <w:rPr>
          <w:rFonts w:ascii="宋体" w:hAnsi="宋体" w:cs="宋体"/>
          <w:sz w:val="24"/>
        </w:rPr>
      </w:pPr>
      <w:r>
        <w:rPr>
          <w:rFonts w:hint="eastAsia" w:ascii="宋体" w:hAnsi="宋体" w:cs="宋体"/>
          <w:sz w:val="24"/>
        </w:rPr>
        <w:t>16.2.2承包人违约的责任</w:t>
      </w:r>
    </w:p>
    <w:p w14:paraId="3AC52BD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kern w:val="0"/>
          <w:sz w:val="24"/>
        </w:rPr>
        <w:t>：</w:t>
      </w:r>
    </w:p>
    <w:p w14:paraId="16869D61">
      <w:pPr>
        <w:snapToGrid w:val="0"/>
        <w:spacing w:line="360" w:lineRule="auto"/>
        <w:ind w:firstLine="480" w:firstLineChars="200"/>
        <w:rPr>
          <w:rFonts w:ascii="宋体" w:hAnsi="宋体" w:cs="宋体"/>
          <w:kern w:val="0"/>
          <w:sz w:val="24"/>
        </w:rPr>
      </w:pPr>
      <w:r>
        <w:rPr>
          <w:rFonts w:hint="eastAsia" w:ascii="宋体" w:hAnsi="宋体" w:cs="宋体"/>
          <w:kern w:val="0"/>
          <w:sz w:val="24"/>
        </w:rPr>
        <w:t>（1）承包人违反合同约定进行转包或违法分包的违约责任：</w:t>
      </w:r>
      <w:r>
        <w:rPr>
          <w:rFonts w:hint="eastAsia" w:ascii="宋体" w:hAnsi="宋体" w:cs="宋体"/>
          <w:sz w:val="24"/>
          <w:u w:val="single"/>
        </w:rPr>
        <w:t>发包人有权解除合同、拒付（或要求承包人退还已收）合同价款、没收履约担保，并要求承包人按合同总价款的20%支付违约金，如给发包人造成的损失超过保证金数额的还应当对超过部份予以赔偿，并依法承担相应的法律责任；</w:t>
      </w:r>
    </w:p>
    <w:p w14:paraId="3AFBDD01">
      <w:pPr>
        <w:snapToGrid w:val="0"/>
        <w:spacing w:line="360" w:lineRule="auto"/>
        <w:ind w:firstLine="480" w:firstLineChars="200"/>
        <w:rPr>
          <w:rFonts w:ascii="宋体" w:hAnsi="宋体" w:cs="宋体"/>
          <w:kern w:val="0"/>
          <w:sz w:val="24"/>
        </w:rPr>
      </w:pPr>
      <w:r>
        <w:rPr>
          <w:rFonts w:hint="eastAsia" w:ascii="宋体" w:hAnsi="宋体" w:cs="宋体"/>
          <w:kern w:val="0"/>
          <w:sz w:val="24"/>
        </w:rPr>
        <w:t>（2）承包人违反合同约定采购和使用不合格的材料和工程设备的违约责任：</w:t>
      </w:r>
      <w:r>
        <w:rPr>
          <w:rFonts w:hint="eastAsia" w:ascii="宋体" w:hAnsi="宋体" w:cs="宋体"/>
          <w:sz w:val="24"/>
          <w:u w:val="single"/>
        </w:rPr>
        <w:t>发包人有权要求承包人重新采购合格的材料和工程设备，承包人必须及时改正并承担相应损失</w:t>
      </w:r>
      <w:r>
        <w:rPr>
          <w:rFonts w:hint="eastAsia" w:ascii="宋体" w:hAnsi="宋体" w:cs="宋体"/>
          <w:kern w:val="0"/>
          <w:sz w:val="24"/>
        </w:rPr>
        <w:t>；</w:t>
      </w:r>
    </w:p>
    <w:p w14:paraId="3C51A2B1">
      <w:pPr>
        <w:snapToGrid w:val="0"/>
        <w:spacing w:line="360" w:lineRule="auto"/>
        <w:ind w:firstLine="480" w:firstLineChars="200"/>
        <w:rPr>
          <w:rFonts w:ascii="宋体" w:hAnsi="宋体" w:cs="宋体"/>
          <w:sz w:val="24"/>
          <w:u w:val="single"/>
        </w:rPr>
      </w:pPr>
      <w:r>
        <w:rPr>
          <w:rFonts w:hint="eastAsia" w:ascii="宋体" w:hAnsi="宋体" w:cs="宋体"/>
          <w:kern w:val="0"/>
          <w:sz w:val="24"/>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20%的违约金，并承担由此造成发包人的全部经济损失</w:t>
      </w:r>
      <w:r>
        <w:rPr>
          <w:rFonts w:hint="eastAsia" w:ascii="宋体" w:hAnsi="宋体" w:cs="宋体"/>
          <w:sz w:val="24"/>
          <w:u w:val="single"/>
        </w:rPr>
        <w:t>。</w:t>
      </w:r>
    </w:p>
    <w:p w14:paraId="6C2D7254">
      <w:pPr>
        <w:snapToGrid w:val="0"/>
        <w:spacing w:line="360" w:lineRule="auto"/>
        <w:ind w:firstLine="480" w:firstLineChars="200"/>
        <w:rPr>
          <w:rFonts w:ascii="宋体" w:hAnsi="宋体" w:cs="宋体"/>
          <w:sz w:val="24"/>
          <w:u w:val="single"/>
        </w:rPr>
      </w:pPr>
      <w:r>
        <w:rPr>
          <w:rFonts w:hint="eastAsia" w:ascii="宋体" w:hAnsi="宋体" w:cs="宋体"/>
          <w:sz w:val="24"/>
          <w:u w:val="single"/>
        </w:rPr>
        <w:t>经发包人、监理单位（如有）等部门检查抽检，发现承包人不按设计要求或者工程质量验收规范标准施工，或有偷工减料现象，每发现一次，发包人有权视情节严重程度要求承包人支付人民币2000元/次-5000元/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20%的违约金。</w:t>
      </w:r>
    </w:p>
    <w:p w14:paraId="7CD7368C">
      <w:pPr>
        <w:snapToGrid w:val="0"/>
        <w:spacing w:line="360" w:lineRule="auto"/>
        <w:ind w:firstLine="480" w:firstLineChars="200"/>
        <w:rPr>
          <w:rFonts w:ascii="宋体" w:hAnsi="宋体" w:cs="宋体"/>
          <w:kern w:val="0"/>
          <w:sz w:val="24"/>
        </w:rPr>
      </w:pPr>
      <w:r>
        <w:rPr>
          <w:rFonts w:hint="eastAsia" w:ascii="宋体" w:hAnsi="宋体" w:cs="宋体"/>
          <w:kern w:val="0"/>
          <w:sz w:val="24"/>
        </w:rPr>
        <w:t>（3）承包人违反《合同通用条款》第8.9款〔材料与设备专用要求〕的约定，未经批准，私自将已按照合同约定进入施工现场的材料或设备撤离施工现场的违约责任：</w:t>
      </w:r>
      <w:r>
        <w:rPr>
          <w:rFonts w:hint="eastAsia" w:ascii="宋体" w:hAnsi="宋体" w:cs="宋体"/>
          <w:sz w:val="24"/>
          <w:u w:val="single"/>
        </w:rPr>
        <w:t>承包人应及时停止撤离，按每次2000元项发包人支付违约金并承担相应损失</w:t>
      </w:r>
      <w:r>
        <w:rPr>
          <w:rFonts w:hint="eastAsia" w:ascii="宋体" w:hAnsi="宋体" w:cs="宋体"/>
          <w:kern w:val="0"/>
          <w:sz w:val="24"/>
        </w:rPr>
        <w:t>；</w:t>
      </w:r>
    </w:p>
    <w:p w14:paraId="6506D5FE">
      <w:pPr>
        <w:snapToGrid w:val="0"/>
        <w:spacing w:line="360" w:lineRule="auto"/>
        <w:ind w:firstLine="480" w:firstLineChars="200"/>
        <w:rPr>
          <w:rFonts w:ascii="宋体" w:hAnsi="宋体" w:cs="宋体"/>
          <w:sz w:val="24"/>
          <w:u w:val="single"/>
        </w:rPr>
      </w:pPr>
      <w:r>
        <w:rPr>
          <w:rFonts w:hint="eastAsia" w:ascii="宋体" w:hAnsi="宋体" w:cs="宋体"/>
          <w:kern w:val="0"/>
          <w:sz w:val="24"/>
        </w:rPr>
        <w:t>（4）承包人未能按施工进度</w:t>
      </w:r>
      <w:r>
        <w:rPr>
          <w:rFonts w:hint="eastAsia" w:ascii="宋体" w:hAnsi="宋体" w:cs="宋体"/>
          <w:sz w:val="24"/>
          <w:u w:val="single"/>
        </w:rPr>
        <w:t>计划及时完成合同约定的工作，造成工期延误的违约责任：按合同工期每延误一天，按3000元/天向发包人支付违约金；总工期延误超过20天的（含20天）的，发包人有权解除合同、拒付工程款，也有权仍选择由承包人继续履行合同，如发包人选择由承包人继续履行合同的，竣工工期超过20天后每延误一天，承包人应按人民币6000元/天向发包人支付违约金。</w:t>
      </w:r>
    </w:p>
    <w:p w14:paraId="54CA9BFF">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（5）承包人在缺陷责任期及保修期内，未能在合理期限对工程缺陷进行修复，或拒绝按发包人要求进行修复的违约责任：</w:t>
      </w:r>
      <w:r>
        <w:rPr>
          <w:rFonts w:hint="eastAsia" w:ascii="宋体" w:hAnsi="宋体" w:cs="宋体"/>
          <w:kern w:val="0"/>
          <w:sz w:val="24"/>
          <w:u w:val="single"/>
        </w:rPr>
        <w:t>工程移交后，如发包人发现存在质量问题的，有权要求承包人及时维修，并赔偿给发包人带来的各种直接、间接经济损失。承包人不及时维修的，发包人有权代为扣除质量保证金用于维修以及支付发包人的维修管理费用（按维修费用的15%计算），并在事后要求承包人补足缺额。</w:t>
      </w:r>
    </w:p>
    <w:p w14:paraId="3A39FC25">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工程移交后，如发包人发现存在重大质量问题的，有权扣除承包人的全部质量保证金，要求承包人及时维修，并赔偿给发包人带来的各种直接、间接经济损失。</w:t>
      </w:r>
    </w:p>
    <w:p w14:paraId="5E53E15C">
      <w:pPr>
        <w:snapToGrid w:val="0"/>
        <w:spacing w:line="360" w:lineRule="auto"/>
        <w:ind w:firstLine="480" w:firstLineChars="200"/>
        <w:rPr>
          <w:rFonts w:ascii="宋体" w:hAnsi="宋体" w:cs="宋体"/>
          <w:sz w:val="24"/>
          <w:u w:val="single"/>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14:paraId="3C096646">
      <w:pPr>
        <w:snapToGrid w:val="0"/>
        <w:spacing w:line="360" w:lineRule="auto"/>
        <w:ind w:firstLine="480" w:firstLineChars="200"/>
        <w:rPr>
          <w:rFonts w:ascii="宋体" w:hAnsi="宋体" w:cs="宋体"/>
          <w:kern w:val="0"/>
          <w:sz w:val="24"/>
        </w:rPr>
      </w:pPr>
      <w:r>
        <w:rPr>
          <w:rFonts w:hint="eastAsia" w:ascii="宋体" w:hAnsi="宋体" w:cs="宋体"/>
          <w:kern w:val="0"/>
          <w:sz w:val="24"/>
        </w:rPr>
        <w:t>（6）承包人明确表示或者以其行为表明不履行合同主要义务的违约责任：</w:t>
      </w:r>
      <w:r>
        <w:rPr>
          <w:rFonts w:hint="eastAsia" w:ascii="宋体" w:hAnsi="宋体" w:cs="宋体"/>
          <w:kern w:val="0"/>
          <w:sz w:val="24"/>
          <w:u w:val="single"/>
        </w:rPr>
        <w:t>发包人有权解除合同、拒付或（要求承包人退还已收）工程款，承包人还应支付合同总价款20%的违约金，承包人还应承担发包人的一切损失；</w:t>
      </w:r>
    </w:p>
    <w:p w14:paraId="2BE96B69">
      <w:pPr>
        <w:snapToGrid w:val="0"/>
        <w:spacing w:line="360" w:lineRule="auto"/>
        <w:ind w:firstLine="480" w:firstLineChars="200"/>
        <w:rPr>
          <w:rFonts w:ascii="宋体" w:hAnsi="宋体" w:cs="宋体"/>
          <w:kern w:val="0"/>
          <w:sz w:val="24"/>
        </w:rPr>
      </w:pPr>
      <w:r>
        <w:rPr>
          <w:rFonts w:hint="eastAsia" w:ascii="宋体" w:hAnsi="宋体" w:cs="宋体"/>
          <w:kern w:val="0"/>
          <w:sz w:val="24"/>
        </w:rPr>
        <w:t>（7）承包人未能按照合同约定履行其他义务的违约责任：</w:t>
      </w:r>
    </w:p>
    <w:p w14:paraId="693A0811">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由发包人或监理单位（如有）召集的例会和其它重要会议，承包人必须按发包人指定人选准时参加，无故缺席或迟到的，发包人有权视情节严重程度要求承包人支付1000元每次的违约金，因此导致对会议内容不了解的，其后果由承包人自负，违约金由发包人在结算中直接扣除；因此导致对会议内容不了解的，其后果由承包人自负。</w:t>
      </w:r>
    </w:p>
    <w:p w14:paraId="7F8CE93B">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必须无条件服从发包人及监理单位（如有）对合理的现场管理，若项目班子主要人员由于工作态度等原因，使发包人及监理不满意的，发包人有权要求更换；发包人有权对承包人在施工中出现的恶意违规及不服从管理等行为要求按500-1000元/次的支付违约金，该笔违约金由发包人在结算中直接扣除；</w:t>
      </w:r>
    </w:p>
    <w:p w14:paraId="03AA5261">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在施工过程中不论遇到何种困难（除本合同约定明确的原因和不可抗力除外），均不得以任何理由（例如发包人未签证费用、合同争议等）擅自停工或变相停工，否则由此造成的一切后果和经济损失均由承包人承担，同时发包人有权处于3000元/天的处罚，该笔罚款由发包人在结算中直接扣除；</w:t>
      </w:r>
    </w:p>
    <w:p w14:paraId="2F9F88A5">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合同及本协议履行期间，承包人保证不拖欠民工工资，</w:t>
      </w:r>
      <w:r>
        <w:rPr>
          <w:rFonts w:hint="eastAsia" w:ascii="宋体" w:hAnsi="宋体" w:cs="宋体"/>
          <w:sz w:val="24"/>
          <w:u w:val="single"/>
        </w:rPr>
        <w:t>所得工程款应优先支付民工工资；</w:t>
      </w:r>
      <w:r>
        <w:rPr>
          <w:rFonts w:hint="eastAsia" w:ascii="宋体" w:hAnsi="宋体" w:cs="宋体"/>
          <w:kern w:val="0"/>
          <w:sz w:val="24"/>
          <w:u w:val="single"/>
        </w:rPr>
        <w:t>因拖欠民工工资造成的一切后果均由承包人承担。若发包人因此为承包人垫款支付的，承包人应按发包人垫付款项金额的30%向发包人偿付违约金，该笔违约金由发包人在结算中直接扣除；</w:t>
      </w:r>
    </w:p>
    <w:p w14:paraId="00D8AA7D">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 xml:space="preserve">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的违约金，由此引起的工期延误责任及损失由承包人负责承担； </w:t>
      </w:r>
    </w:p>
    <w:p w14:paraId="3D984EFD">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施工期间，承包人应严格实行隐蔽工程验收制度，如有未经发包人或监理单位（如有）验收自行隐蔽，发包人和监理单位（如有）有权要求复验，所有费用由承包人承担，发包人有权视情节轻重对承包人处以人民币伍万元/次的违约金，该笔违约金由发包人在结算中直接扣除；</w:t>
      </w:r>
    </w:p>
    <w:p w14:paraId="08B6E9E8">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7859112F">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本合同履行过程中，承包人被处以罚款的，以实际行为发生之日为罚款缴纳的时间；</w:t>
      </w:r>
    </w:p>
    <w:p w14:paraId="4F0071E4">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本合同中的罚款特指惩罚性违约金，本合同约定的违约金、罚款及损失赔偿款，发包人有权从履约担保或工程款中直接扣减。</w:t>
      </w:r>
    </w:p>
    <w:p w14:paraId="58056DA0">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⑩</w:t>
      </w:r>
      <w:r>
        <w:rPr>
          <w:rFonts w:hint="eastAsia" w:ascii="宋体" w:hAnsi="宋体" w:cs="宋体"/>
          <w:kern w:val="0"/>
          <w:sz w:val="24"/>
          <w:u w:val="single"/>
        </w:rPr>
        <w:t>合同生效后，承包人无正当理由，单方终止合同的，应向发包人承担违约责任，违约金按照合同总价的20%计取，并赔偿发包人因此造成的损失。</w:t>
      </w:r>
    </w:p>
    <w:p w14:paraId="48CDF85E">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4"/>
          <w:sz w:val="36"/>
        </w:rPr>
        <w:instrText xml:space="preserve">○</w:instrText>
      </w:r>
      <w:r>
        <w:rPr>
          <w:rFonts w:hint="eastAsia" w:ascii="宋体" w:hAnsi="宋体" w:cs="宋体"/>
          <w:kern w:val="0"/>
          <w:sz w:val="24"/>
        </w:rPr>
        <w:instrText xml:space="preserve">,11)</w:instrText>
      </w:r>
      <w:r>
        <w:rPr>
          <w:rFonts w:hint="eastAsia" w:ascii="宋体" w:hAnsi="宋体" w:cs="宋体"/>
          <w:kern w:val="0"/>
          <w:sz w:val="24"/>
        </w:rPr>
        <w:fldChar w:fldCharType="end"/>
      </w:r>
      <w:r>
        <w:rPr>
          <w:rFonts w:hint="eastAsia" w:ascii="宋体" w:hAnsi="宋体" w:cs="宋体"/>
          <w:kern w:val="0"/>
          <w:sz w:val="24"/>
          <w:u w:val="single"/>
        </w:rPr>
        <w:t>当承包人出现以下情况之一，发包人有权将承包人清退出场（并解除合同），承包人应按合同总价款的20%向发包人支付违约金：</w:t>
      </w:r>
    </w:p>
    <w:p w14:paraId="3537A5D4">
      <w:pPr>
        <w:spacing w:line="360" w:lineRule="auto"/>
        <w:ind w:firstLine="480" w:firstLineChars="200"/>
        <w:rPr>
          <w:rFonts w:ascii="宋体" w:hAnsi="宋体" w:cs="宋体"/>
          <w:sz w:val="24"/>
        </w:rPr>
      </w:pPr>
      <w:r>
        <w:rPr>
          <w:rFonts w:hint="eastAsia" w:ascii="宋体" w:hAnsi="宋体" w:cs="宋体"/>
          <w:sz w:val="24"/>
        </w:rPr>
        <w:t>（a） 中标后一个月内以任何理由拒签合同；</w:t>
      </w:r>
    </w:p>
    <w:p w14:paraId="2284C43F">
      <w:pPr>
        <w:spacing w:line="360" w:lineRule="auto"/>
        <w:ind w:firstLine="480" w:firstLineChars="200"/>
        <w:rPr>
          <w:rFonts w:ascii="宋体" w:hAnsi="宋体" w:cs="宋体"/>
          <w:sz w:val="24"/>
        </w:rPr>
      </w:pPr>
      <w:r>
        <w:rPr>
          <w:rFonts w:hint="eastAsia" w:ascii="宋体" w:hAnsi="宋体" w:cs="宋体"/>
          <w:sz w:val="24"/>
        </w:rPr>
        <w:t>（b） 出现质量问题拒不整改，经发包人或监理单位（如有）书面通知三次（含）以上仍不见效的；</w:t>
      </w:r>
    </w:p>
    <w:p w14:paraId="5309DC3C">
      <w:pPr>
        <w:spacing w:line="360" w:lineRule="auto"/>
        <w:ind w:firstLine="480" w:firstLineChars="200"/>
        <w:rPr>
          <w:rFonts w:ascii="宋体" w:hAnsi="宋体" w:cs="宋体"/>
          <w:sz w:val="24"/>
        </w:rPr>
      </w:pPr>
      <w:r>
        <w:rPr>
          <w:rFonts w:hint="eastAsia" w:ascii="宋体" w:hAnsi="宋体" w:cs="宋体"/>
          <w:sz w:val="24"/>
        </w:rPr>
        <w:t>（c） 出现安全事故，不接受监理人和有关职能部门指令采取相应措施的；</w:t>
      </w:r>
    </w:p>
    <w:p w14:paraId="7E03B6DA">
      <w:pPr>
        <w:spacing w:line="360" w:lineRule="auto"/>
        <w:ind w:firstLine="480" w:firstLineChars="200"/>
        <w:rPr>
          <w:rFonts w:ascii="宋体" w:hAnsi="宋体" w:cs="宋体"/>
          <w:sz w:val="24"/>
        </w:rPr>
      </w:pPr>
      <w:r>
        <w:rPr>
          <w:rFonts w:hint="eastAsia" w:ascii="宋体" w:hAnsi="宋体" w:cs="宋体"/>
          <w:sz w:val="24"/>
        </w:rPr>
        <w:t>（d） 拒不执行发包人或监理单位（如有）的指令三次（含）以上的。（相关指令违反质量和安全法规的不在此限）。</w:t>
      </w:r>
    </w:p>
    <w:p w14:paraId="1847C4B4">
      <w:pPr>
        <w:autoSpaceDE w:val="0"/>
        <w:autoSpaceDN w:val="0"/>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6B569D99">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关于承包人违约解除合同的特别约定：</w:t>
      </w:r>
      <w:r>
        <w:rPr>
          <w:rFonts w:hint="eastAsia" w:ascii="宋体" w:hAnsi="宋体" w:cs="宋体"/>
          <w:sz w:val="24"/>
          <w:u w:val="single"/>
        </w:rPr>
        <w:t>/。</w:t>
      </w:r>
    </w:p>
    <w:p w14:paraId="5524FA36">
      <w:pPr>
        <w:spacing w:line="360" w:lineRule="auto"/>
        <w:ind w:firstLine="480" w:firstLineChars="200"/>
        <w:rPr>
          <w:rFonts w:ascii="宋体" w:hAnsi="宋体" w:cs="宋体"/>
          <w:kern w:val="0"/>
          <w:sz w:val="24"/>
        </w:rPr>
      </w:pPr>
      <w:r>
        <w:rPr>
          <w:rFonts w:hint="eastAsia" w:ascii="宋体" w:hAnsi="宋体" w:cs="宋体"/>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费用另行约定，由发包人承担   。</w:t>
      </w:r>
    </w:p>
    <w:p w14:paraId="3DADB4B6">
      <w:pPr>
        <w:topLinePunct/>
        <w:spacing w:line="360" w:lineRule="auto"/>
        <w:ind w:firstLine="420"/>
        <w:rPr>
          <w:rFonts w:ascii="宋体" w:hAnsi="宋体" w:cs="宋体"/>
          <w:b/>
          <w:sz w:val="24"/>
        </w:rPr>
      </w:pPr>
      <w:r>
        <w:rPr>
          <w:rFonts w:hint="eastAsia" w:ascii="宋体" w:hAnsi="宋体" w:cs="宋体"/>
          <w:b/>
          <w:sz w:val="24"/>
        </w:rPr>
        <w:t xml:space="preserve">17. 不可抗力 </w:t>
      </w:r>
    </w:p>
    <w:p w14:paraId="1E2A1030">
      <w:pPr>
        <w:spacing w:line="360" w:lineRule="auto"/>
        <w:ind w:firstLine="480" w:firstLineChars="200"/>
        <w:rPr>
          <w:rFonts w:ascii="宋体" w:hAnsi="宋体" w:cs="宋体"/>
          <w:sz w:val="24"/>
        </w:rPr>
      </w:pPr>
      <w:r>
        <w:rPr>
          <w:rFonts w:hint="eastAsia" w:ascii="宋体" w:hAnsi="宋体" w:cs="宋体"/>
          <w:sz w:val="24"/>
        </w:rPr>
        <w:t>17.1 不可抗力的确认</w:t>
      </w:r>
    </w:p>
    <w:p w14:paraId="586DDA16">
      <w:pPr>
        <w:spacing w:line="360" w:lineRule="auto"/>
        <w:ind w:firstLine="480" w:firstLineChars="200"/>
        <w:rPr>
          <w:rFonts w:ascii="宋体" w:hAnsi="宋体" w:cs="宋体"/>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sz w:val="24"/>
          <w:u w:val="single"/>
        </w:rPr>
        <w:t>/。</w:t>
      </w:r>
    </w:p>
    <w:p w14:paraId="05A259AA">
      <w:pPr>
        <w:spacing w:line="360" w:lineRule="auto"/>
        <w:ind w:firstLine="480" w:firstLineChars="200"/>
        <w:rPr>
          <w:rFonts w:ascii="宋体" w:hAnsi="宋体" w:cs="宋体"/>
          <w:sz w:val="24"/>
        </w:rPr>
      </w:pPr>
      <w:r>
        <w:rPr>
          <w:rFonts w:hint="eastAsia" w:ascii="宋体" w:hAnsi="宋体" w:cs="宋体"/>
          <w:sz w:val="24"/>
        </w:rPr>
        <w:t>17.4 因不可抗力解除合同</w:t>
      </w:r>
    </w:p>
    <w:p w14:paraId="62C59605">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14:paraId="15E1BFA7">
      <w:pPr>
        <w:topLinePunct/>
        <w:spacing w:line="360" w:lineRule="auto"/>
        <w:ind w:firstLine="420"/>
        <w:rPr>
          <w:rFonts w:ascii="宋体" w:hAnsi="宋体" w:cs="宋体"/>
          <w:b/>
          <w:sz w:val="24"/>
        </w:rPr>
      </w:pPr>
      <w:r>
        <w:rPr>
          <w:rFonts w:hint="eastAsia" w:ascii="宋体" w:hAnsi="宋体" w:cs="宋体"/>
          <w:b/>
          <w:sz w:val="24"/>
        </w:rPr>
        <w:t>18. 保险</w:t>
      </w:r>
    </w:p>
    <w:p w14:paraId="5120AF1C">
      <w:pPr>
        <w:spacing w:line="360" w:lineRule="auto"/>
        <w:ind w:firstLine="480" w:firstLineChars="200"/>
        <w:rPr>
          <w:rFonts w:ascii="宋体" w:hAnsi="宋体" w:cs="宋体"/>
          <w:sz w:val="24"/>
        </w:rPr>
      </w:pPr>
      <w:r>
        <w:rPr>
          <w:rFonts w:hint="eastAsia" w:ascii="宋体" w:hAnsi="宋体" w:cs="宋体"/>
          <w:sz w:val="24"/>
        </w:rPr>
        <w:t>18.1 工程保险</w:t>
      </w:r>
    </w:p>
    <w:p w14:paraId="58940054">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p>
    <w:p w14:paraId="0CDFB8A4">
      <w:pPr>
        <w:spacing w:line="360" w:lineRule="auto"/>
        <w:ind w:firstLine="480" w:firstLineChars="200"/>
        <w:rPr>
          <w:rFonts w:ascii="宋体" w:hAnsi="宋体" w:cs="宋体"/>
          <w:sz w:val="24"/>
        </w:rPr>
      </w:pPr>
      <w:r>
        <w:rPr>
          <w:rFonts w:hint="eastAsia" w:ascii="宋体" w:hAnsi="宋体" w:cs="宋体"/>
          <w:sz w:val="24"/>
        </w:rPr>
        <w:t>18.3 其他保险</w:t>
      </w:r>
    </w:p>
    <w:p w14:paraId="3E649432">
      <w:pPr>
        <w:spacing w:line="360" w:lineRule="auto"/>
        <w:ind w:firstLine="480" w:firstLineChars="200"/>
        <w:rPr>
          <w:rFonts w:ascii="宋体" w:hAnsi="宋体" w:cs="宋体"/>
          <w:sz w:val="24"/>
          <w:u w:val="single"/>
        </w:rPr>
      </w:pPr>
      <w:r>
        <w:rPr>
          <w:rFonts w:hint="eastAsia" w:ascii="宋体" w:hAnsi="宋体" w:cs="宋体"/>
          <w:sz w:val="24"/>
        </w:rPr>
        <w:t>关于其他保险的约定</w:t>
      </w:r>
      <w:r>
        <w:rPr>
          <w:rFonts w:hint="eastAsia" w:ascii="宋体" w:hAnsi="宋体" w:cs="宋体"/>
          <w:sz w:val="24"/>
          <w:u w:val="single"/>
        </w:rPr>
        <w:t>：承包人应办理与本工程相关的保险，费用均包含在合同总价内</w:t>
      </w:r>
      <w:r>
        <w:rPr>
          <w:rFonts w:hint="eastAsia" w:ascii="宋体" w:hAnsi="宋体" w:cs="宋体"/>
          <w:kern w:val="0"/>
          <w:sz w:val="24"/>
          <w:u w:val="single"/>
        </w:rPr>
        <w:t xml:space="preserve"> </w:t>
      </w:r>
      <w:r>
        <w:rPr>
          <w:rFonts w:hint="eastAsia" w:ascii="宋体" w:hAnsi="宋体" w:cs="宋体"/>
          <w:kern w:val="0"/>
          <w:sz w:val="24"/>
        </w:rPr>
        <w:t>。</w:t>
      </w:r>
    </w:p>
    <w:p w14:paraId="4378B9D2">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p>
    <w:p w14:paraId="377F4EC1">
      <w:pPr>
        <w:spacing w:line="360" w:lineRule="auto"/>
        <w:ind w:firstLine="480" w:firstLineChars="200"/>
        <w:rPr>
          <w:rFonts w:ascii="宋体" w:hAnsi="宋体" w:cs="宋体"/>
          <w:sz w:val="24"/>
        </w:rPr>
      </w:pPr>
      <w:r>
        <w:rPr>
          <w:rFonts w:hint="eastAsia" w:ascii="宋体" w:hAnsi="宋体" w:cs="宋体"/>
          <w:sz w:val="24"/>
        </w:rPr>
        <w:t>18.7 通知义务</w:t>
      </w:r>
    </w:p>
    <w:p w14:paraId="10DEF1C5">
      <w:pPr>
        <w:spacing w:line="360" w:lineRule="auto"/>
        <w:ind w:firstLine="600" w:firstLineChars="250"/>
        <w:rPr>
          <w:rFonts w:ascii="宋体" w:hAnsi="宋体" w:cs="宋体"/>
          <w:sz w:val="24"/>
          <w:u w:val="single"/>
        </w:rPr>
      </w:pPr>
      <w:r>
        <w:rPr>
          <w:rFonts w:hint="eastAsia" w:ascii="宋体" w:hAnsi="宋体" w:cs="宋体"/>
          <w:sz w:val="24"/>
        </w:rPr>
        <w:t>关于变更保险合同时的通知义务的约定：</w:t>
      </w:r>
      <w:r>
        <w:rPr>
          <w:rFonts w:hint="eastAsia" w:ascii="宋体" w:hAnsi="宋体" w:cs="宋体"/>
          <w:sz w:val="24"/>
          <w:u w:val="single"/>
        </w:rPr>
        <w:t>按通用条款执行。</w:t>
      </w:r>
    </w:p>
    <w:p w14:paraId="7B0DC244">
      <w:pPr>
        <w:spacing w:line="360" w:lineRule="auto"/>
        <w:ind w:firstLine="482" w:firstLineChars="200"/>
        <w:rPr>
          <w:rFonts w:ascii="宋体" w:hAnsi="宋体" w:cs="宋体"/>
          <w:b/>
          <w:sz w:val="24"/>
        </w:rPr>
      </w:pPr>
      <w:r>
        <w:rPr>
          <w:rFonts w:hint="eastAsia" w:ascii="宋体" w:hAnsi="宋体" w:cs="宋体"/>
          <w:b/>
          <w:sz w:val="24"/>
        </w:rPr>
        <w:t>20. 争议解决</w:t>
      </w:r>
    </w:p>
    <w:p w14:paraId="3E668275">
      <w:pPr>
        <w:spacing w:line="360" w:lineRule="auto"/>
        <w:ind w:firstLine="480" w:firstLineChars="200"/>
        <w:rPr>
          <w:rFonts w:ascii="宋体" w:hAnsi="宋体" w:cs="宋体"/>
          <w:sz w:val="24"/>
        </w:rPr>
      </w:pPr>
      <w:r>
        <w:rPr>
          <w:rFonts w:hint="eastAsia" w:ascii="宋体" w:hAnsi="宋体" w:cs="宋体"/>
          <w:sz w:val="24"/>
        </w:rPr>
        <w:t>20.3 争议评审</w:t>
      </w:r>
    </w:p>
    <w:p w14:paraId="4797C5AD">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否   </w:t>
      </w:r>
      <w:r>
        <w:rPr>
          <w:rFonts w:hint="eastAsia" w:ascii="宋体" w:hAnsi="宋体" w:cs="宋体"/>
          <w:sz w:val="24"/>
        </w:rPr>
        <w:t xml:space="preserve">。  </w:t>
      </w:r>
    </w:p>
    <w:p w14:paraId="6B95332C">
      <w:pPr>
        <w:spacing w:line="360" w:lineRule="auto"/>
        <w:ind w:firstLine="480" w:firstLineChars="200"/>
        <w:rPr>
          <w:rFonts w:ascii="宋体" w:hAnsi="宋体" w:cs="宋体"/>
          <w:sz w:val="24"/>
        </w:rPr>
      </w:pPr>
      <w:r>
        <w:rPr>
          <w:rFonts w:hint="eastAsia" w:ascii="宋体" w:hAnsi="宋体" w:cs="宋体"/>
          <w:sz w:val="24"/>
        </w:rPr>
        <w:t>20.3.1 争议评审小组的确定</w:t>
      </w:r>
    </w:p>
    <w:p w14:paraId="29AD8057">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无            </w:t>
      </w:r>
      <w:r>
        <w:rPr>
          <w:rFonts w:hint="eastAsia" w:ascii="宋体" w:hAnsi="宋体" w:cs="宋体"/>
          <w:sz w:val="24"/>
        </w:rPr>
        <w:t>。</w:t>
      </w:r>
    </w:p>
    <w:p w14:paraId="13D4B4B1">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无               </w:t>
      </w:r>
      <w:r>
        <w:rPr>
          <w:rFonts w:hint="eastAsia" w:ascii="宋体" w:hAnsi="宋体" w:cs="宋体"/>
          <w:sz w:val="24"/>
        </w:rPr>
        <w:t>。</w:t>
      </w:r>
    </w:p>
    <w:p w14:paraId="00D085E0">
      <w:pPr>
        <w:autoSpaceDE w:val="0"/>
        <w:autoSpaceDN w:val="0"/>
        <w:spacing w:line="360" w:lineRule="auto"/>
        <w:ind w:firstLine="480" w:firstLineChars="200"/>
        <w:rPr>
          <w:rFonts w:ascii="宋体" w:hAnsi="宋体" w:cs="宋体"/>
          <w:sz w:val="24"/>
        </w:rPr>
      </w:pPr>
      <w:r>
        <w:rPr>
          <w:rFonts w:hint="eastAsia" w:ascii="宋体" w:hAnsi="宋体" w:cs="宋体"/>
          <w:sz w:val="24"/>
        </w:rPr>
        <w:t>20.3.2 争议评审小组的决定</w:t>
      </w:r>
    </w:p>
    <w:p w14:paraId="1EA30CB7">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无          </w:t>
      </w:r>
      <w:r>
        <w:rPr>
          <w:rFonts w:hint="eastAsia" w:ascii="宋体" w:hAnsi="宋体" w:cs="宋体"/>
          <w:sz w:val="24"/>
        </w:rPr>
        <w:t>。</w:t>
      </w:r>
    </w:p>
    <w:p w14:paraId="64AE22BE">
      <w:pPr>
        <w:spacing w:line="360" w:lineRule="auto"/>
        <w:ind w:firstLine="480" w:firstLineChars="200"/>
        <w:rPr>
          <w:rFonts w:ascii="宋体" w:hAnsi="宋体" w:cs="宋体"/>
          <w:sz w:val="24"/>
        </w:rPr>
      </w:pPr>
      <w:r>
        <w:rPr>
          <w:rFonts w:hint="eastAsia" w:ascii="宋体" w:hAnsi="宋体" w:cs="宋体"/>
          <w:sz w:val="24"/>
        </w:rPr>
        <w:t>20.4仲裁或诉讼</w:t>
      </w:r>
    </w:p>
    <w:p w14:paraId="7F280830">
      <w:pPr>
        <w:spacing w:line="360" w:lineRule="auto"/>
        <w:ind w:firstLine="480" w:firstLineChars="200"/>
        <w:rPr>
          <w:rFonts w:ascii="宋体" w:hAnsi="宋体" w:cs="宋体"/>
          <w:sz w:val="24"/>
          <w:u w:val="single"/>
        </w:rPr>
      </w:pPr>
      <w:r>
        <w:rPr>
          <w:rFonts w:hint="eastAsia" w:ascii="宋体" w:hAnsi="宋体" w:cs="宋体"/>
          <w:sz w:val="24"/>
        </w:rPr>
        <w:t xml:space="preserve">因合同及合同有关事项发生的争议，按下列第 </w:t>
      </w:r>
      <w:r>
        <w:rPr>
          <w:rFonts w:hint="eastAsia" w:ascii="宋体" w:hAnsi="宋体" w:cs="宋体"/>
          <w:sz w:val="24"/>
          <w:u w:val="single"/>
        </w:rPr>
        <w:t>（2）</w:t>
      </w:r>
      <w:r>
        <w:rPr>
          <w:rFonts w:hint="eastAsia" w:ascii="宋体" w:hAnsi="宋体" w:cs="宋体"/>
          <w:sz w:val="24"/>
        </w:rPr>
        <w:t xml:space="preserve">  种方式解决：</w:t>
      </w:r>
    </w:p>
    <w:p w14:paraId="49A87677">
      <w:pPr>
        <w:spacing w:line="360" w:lineRule="auto"/>
        <w:ind w:firstLine="480" w:firstLineChars="200"/>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14:paraId="0FBB3276">
      <w:pPr>
        <w:spacing w:line="360" w:lineRule="auto"/>
        <w:ind w:firstLine="480" w:firstLineChars="200"/>
        <w:rPr>
          <w:rFonts w:ascii="宋体" w:hAnsi="宋体" w:cs="宋体"/>
          <w:sz w:val="24"/>
        </w:rPr>
      </w:pPr>
      <w:r>
        <w:rPr>
          <w:rFonts w:hint="eastAsia" w:ascii="宋体" w:hAnsi="宋体" w:cs="宋体"/>
          <w:sz w:val="24"/>
        </w:rPr>
        <w:t xml:space="preserve">（2）向 </w:t>
      </w:r>
      <w:r>
        <w:rPr>
          <w:rFonts w:hint="eastAsia" w:ascii="宋体" w:hAnsi="宋体" w:cs="宋体"/>
          <w:sz w:val="24"/>
          <w:u w:val="single"/>
        </w:rPr>
        <w:t xml:space="preserve"> 工程所在地 </w:t>
      </w:r>
      <w:r>
        <w:rPr>
          <w:rFonts w:hint="eastAsia" w:ascii="宋体" w:hAnsi="宋体" w:cs="宋体"/>
          <w:sz w:val="24"/>
        </w:rPr>
        <w:t>人民法院起诉。</w:t>
      </w:r>
    </w:p>
    <w:p w14:paraId="5ADA9C15">
      <w:pPr>
        <w:spacing w:line="360" w:lineRule="auto"/>
        <w:ind w:firstLine="472" w:firstLineChars="196"/>
        <w:rPr>
          <w:rFonts w:ascii="宋体" w:hAnsi="宋体" w:cs="宋体"/>
          <w:b/>
          <w:sz w:val="24"/>
        </w:rPr>
      </w:pPr>
      <w:r>
        <w:rPr>
          <w:rFonts w:hint="eastAsia" w:ascii="宋体" w:hAnsi="宋体" w:cs="宋体"/>
          <w:b/>
          <w:sz w:val="24"/>
        </w:rPr>
        <w:t>21其他补充约定</w:t>
      </w:r>
    </w:p>
    <w:p w14:paraId="2A3275C8">
      <w:pPr>
        <w:snapToGrid w:val="0"/>
        <w:spacing w:line="360" w:lineRule="auto"/>
        <w:ind w:firstLine="480" w:firstLineChars="200"/>
        <w:rPr>
          <w:rFonts w:ascii="宋体" w:hAnsi="宋体" w:cs="宋体"/>
          <w:sz w:val="24"/>
          <w:u w:val="single"/>
        </w:rPr>
      </w:pPr>
      <w:r>
        <w:rPr>
          <w:rFonts w:hint="eastAsia" w:ascii="宋体" w:hAnsi="宋体" w:cs="宋体"/>
          <w:sz w:val="24"/>
          <w:u w:val="single"/>
        </w:rPr>
        <w:t>21.1承包人未按合同约定履行义务，造成工程质量低下、进度迟缓、延迟开工15天以上、管理混乱，发包人有权终止合同，没收全部履约担保，承包人应赔偿发包人因此造成的一切经济损失、依法承担相应的法律责任。</w:t>
      </w:r>
    </w:p>
    <w:p w14:paraId="3C74F5DD">
      <w:pPr>
        <w:snapToGrid w:val="0"/>
        <w:spacing w:line="360" w:lineRule="auto"/>
        <w:ind w:firstLine="480" w:firstLineChars="200"/>
        <w:rPr>
          <w:rFonts w:ascii="宋体" w:hAnsi="宋体" w:cs="宋体"/>
          <w:sz w:val="24"/>
          <w:u w:val="single"/>
        </w:rPr>
      </w:pPr>
      <w:r>
        <w:rPr>
          <w:rFonts w:hint="eastAsia" w:ascii="宋体" w:hAnsi="宋体" w:cs="宋体"/>
          <w:sz w:val="24"/>
          <w:u w:val="single"/>
        </w:rPr>
        <w:t>21.2工程的保管</w:t>
      </w:r>
    </w:p>
    <w:p w14:paraId="48BA6035">
      <w:pPr>
        <w:snapToGrid w:val="0"/>
        <w:spacing w:line="360" w:lineRule="auto"/>
        <w:ind w:firstLine="480" w:firstLineChars="200"/>
        <w:rPr>
          <w:rFonts w:ascii="宋体" w:hAnsi="宋体" w:cs="宋体"/>
          <w:sz w:val="24"/>
          <w:u w:val="single"/>
        </w:rPr>
      </w:pPr>
      <w:r>
        <w:rPr>
          <w:rFonts w:hint="eastAsia" w:ascii="宋体" w:hAnsi="宋体" w:cs="宋体"/>
          <w:sz w:val="24"/>
          <w:u w:val="single"/>
        </w:rPr>
        <w:t>21.2.1开工日后，施工场地由承包人负责保管并负担保管费用。</w:t>
      </w:r>
    </w:p>
    <w:p w14:paraId="725B6F4F">
      <w:pPr>
        <w:snapToGrid w:val="0"/>
        <w:spacing w:line="360" w:lineRule="auto"/>
        <w:ind w:firstLine="480" w:firstLineChars="200"/>
        <w:rPr>
          <w:rFonts w:ascii="宋体" w:hAnsi="宋体" w:cs="宋体"/>
          <w:sz w:val="24"/>
          <w:u w:val="single"/>
        </w:rPr>
      </w:pPr>
      <w:r>
        <w:rPr>
          <w:rFonts w:hint="eastAsia" w:ascii="宋体" w:hAnsi="宋体" w:cs="宋体"/>
          <w:sz w:val="24"/>
          <w:u w:val="single"/>
        </w:rPr>
        <w:t>21.2.2施工期间，承包人实施的在建工程，承包人采购的物资、使用的设备，以及发包人采购但已经交付给承包人的物资、设备，由承包人负责保管并负担保管费用。</w:t>
      </w:r>
    </w:p>
    <w:p w14:paraId="4055B544">
      <w:pPr>
        <w:snapToGrid w:val="0"/>
        <w:spacing w:line="360" w:lineRule="auto"/>
        <w:ind w:firstLine="480" w:firstLineChars="200"/>
        <w:rPr>
          <w:rFonts w:ascii="宋体" w:hAnsi="宋体" w:cs="宋体"/>
          <w:sz w:val="24"/>
          <w:u w:val="single"/>
        </w:rPr>
      </w:pPr>
      <w:r>
        <w:rPr>
          <w:rFonts w:hint="eastAsia" w:ascii="宋体" w:hAnsi="宋体" w:cs="宋体"/>
          <w:sz w:val="24"/>
          <w:u w:val="single"/>
        </w:rPr>
        <w:t>21.2.3竣工日后到依据专用条款确定的工程移交日前，竣工工程（包括附属设备、设施），由承包人负责保管并负担保管费用。</w:t>
      </w:r>
    </w:p>
    <w:p w14:paraId="2E8A823E">
      <w:pPr>
        <w:snapToGrid w:val="0"/>
        <w:spacing w:line="360" w:lineRule="auto"/>
        <w:ind w:firstLine="480" w:firstLineChars="200"/>
        <w:rPr>
          <w:rFonts w:ascii="宋体" w:hAnsi="宋体" w:cs="宋体"/>
          <w:sz w:val="24"/>
          <w:u w:val="single"/>
        </w:rPr>
      </w:pPr>
      <w:r>
        <w:rPr>
          <w:rFonts w:hint="eastAsia" w:ascii="宋体" w:hAnsi="宋体" w:cs="宋体"/>
          <w:sz w:val="24"/>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A165287">
      <w:pPr>
        <w:snapToGrid w:val="0"/>
        <w:spacing w:line="360" w:lineRule="auto"/>
        <w:ind w:firstLine="480" w:firstLineChars="200"/>
        <w:rPr>
          <w:rFonts w:ascii="宋体" w:hAnsi="宋体" w:cs="宋体"/>
          <w:sz w:val="24"/>
          <w:u w:val="single"/>
        </w:rPr>
      </w:pPr>
      <w:r>
        <w:rPr>
          <w:rFonts w:hint="eastAsia" w:ascii="宋体" w:hAnsi="宋体" w:cs="宋体"/>
          <w:sz w:val="24"/>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0B30FA8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21.3合格工程的移交</w:t>
      </w:r>
    </w:p>
    <w:p w14:paraId="399D1F3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20D55B5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21.3.2承包人应当向发包人实施工程移交的内容包括但不限于：</w:t>
      </w:r>
    </w:p>
    <w:p w14:paraId="7F37E423">
      <w:pPr>
        <w:snapToGrid w:val="0"/>
        <w:spacing w:line="360" w:lineRule="auto"/>
        <w:ind w:firstLine="480" w:firstLineChars="200"/>
        <w:rPr>
          <w:rFonts w:ascii="宋体" w:hAnsi="宋体" w:cs="宋体"/>
          <w:sz w:val="24"/>
          <w:u w:val="single"/>
        </w:rPr>
      </w:pPr>
      <w:r>
        <w:rPr>
          <w:rFonts w:hint="eastAsia" w:ascii="宋体" w:hAnsi="宋体" w:cs="宋体"/>
          <w:sz w:val="24"/>
          <w:u w:val="single"/>
        </w:rPr>
        <w:t>①承包人实施承包的全部工程；</w:t>
      </w:r>
    </w:p>
    <w:p w14:paraId="230DF303">
      <w:pPr>
        <w:snapToGrid w:val="0"/>
        <w:spacing w:line="360" w:lineRule="auto"/>
        <w:ind w:firstLine="480" w:firstLineChars="200"/>
        <w:rPr>
          <w:rFonts w:ascii="宋体" w:hAnsi="宋体" w:cs="宋体"/>
          <w:sz w:val="24"/>
          <w:u w:val="single"/>
        </w:rPr>
      </w:pPr>
      <w:r>
        <w:rPr>
          <w:rFonts w:hint="eastAsia" w:ascii="宋体" w:hAnsi="宋体" w:cs="宋体"/>
          <w:sz w:val="24"/>
          <w:u w:val="single"/>
        </w:rPr>
        <w:t>②工程的全部附属设施、设备；</w:t>
      </w:r>
    </w:p>
    <w:p w14:paraId="2D73010E">
      <w:pPr>
        <w:snapToGrid w:val="0"/>
        <w:spacing w:line="360" w:lineRule="auto"/>
        <w:ind w:firstLine="480" w:firstLineChars="200"/>
        <w:rPr>
          <w:rFonts w:ascii="宋体" w:hAnsi="宋体" w:cs="宋体"/>
          <w:sz w:val="24"/>
          <w:u w:val="single"/>
        </w:rPr>
      </w:pPr>
      <w:r>
        <w:rPr>
          <w:rFonts w:hint="eastAsia" w:ascii="宋体" w:hAnsi="宋体" w:cs="宋体"/>
          <w:sz w:val="24"/>
          <w:u w:val="single"/>
        </w:rPr>
        <w:t>③工程竣工资料原件（包括但不限于：工程施工资料，工程质量保证资料，工程检验评定资料，规定的其他应交资料、附属设施以及设备的使用说明书、质量保证书、维修卡等）；</w:t>
      </w:r>
    </w:p>
    <w:p w14:paraId="49CDB956">
      <w:pPr>
        <w:snapToGrid w:val="0"/>
        <w:spacing w:line="360" w:lineRule="auto"/>
        <w:ind w:firstLine="480" w:firstLineChars="200"/>
        <w:rPr>
          <w:rFonts w:ascii="宋体" w:hAnsi="宋体" w:cs="宋体"/>
          <w:sz w:val="24"/>
          <w:u w:val="single"/>
        </w:rPr>
      </w:pPr>
      <w:r>
        <w:rPr>
          <w:rFonts w:hint="eastAsia" w:ascii="宋体" w:hAnsi="宋体" w:cs="宋体"/>
          <w:sz w:val="24"/>
          <w:u w:val="single"/>
        </w:rPr>
        <w:t>④其他属于承包人移交义务的工程、设施、设备、文件资料。</w:t>
      </w:r>
    </w:p>
    <w:p w14:paraId="1022F30B">
      <w:pPr>
        <w:snapToGrid w:val="0"/>
        <w:spacing w:line="360" w:lineRule="auto"/>
        <w:ind w:firstLine="480" w:firstLineChars="200"/>
        <w:rPr>
          <w:rFonts w:ascii="宋体" w:hAnsi="宋体" w:cs="宋体"/>
          <w:sz w:val="24"/>
          <w:u w:val="single"/>
        </w:rPr>
      </w:pPr>
      <w:r>
        <w:rPr>
          <w:rFonts w:hint="eastAsia" w:ascii="宋体" w:hAnsi="宋体" w:cs="宋体"/>
          <w:sz w:val="24"/>
          <w:u w:val="single"/>
        </w:rPr>
        <w:t>21.4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39657456">
      <w:pPr>
        <w:snapToGrid w:val="0"/>
        <w:spacing w:line="360" w:lineRule="auto"/>
        <w:ind w:firstLine="480" w:firstLineChars="200"/>
        <w:rPr>
          <w:rFonts w:ascii="宋体" w:hAnsi="宋体" w:cs="宋体"/>
          <w:sz w:val="24"/>
          <w:u w:val="single"/>
        </w:rPr>
      </w:pPr>
      <w:r>
        <w:rPr>
          <w:rFonts w:hint="eastAsia" w:ascii="宋体" w:hAnsi="宋体" w:cs="宋体"/>
          <w:sz w:val="24"/>
          <w:u w:val="single"/>
        </w:rPr>
        <w:t>21.5发包人保留在签约后调整部分承包范围的权利，直至某些项目的取消，合同价做相应调整，承包人不得因此原因进行索赔。</w:t>
      </w:r>
    </w:p>
    <w:p w14:paraId="38258C05">
      <w:pPr>
        <w:snapToGrid w:val="0"/>
        <w:spacing w:line="360" w:lineRule="auto"/>
        <w:ind w:firstLine="480" w:firstLineChars="200"/>
        <w:rPr>
          <w:rFonts w:ascii="宋体" w:hAnsi="宋体" w:cs="宋体"/>
          <w:sz w:val="24"/>
          <w:u w:val="single"/>
        </w:rPr>
      </w:pPr>
      <w:r>
        <w:rPr>
          <w:rFonts w:hint="eastAsia" w:ascii="宋体" w:hAnsi="宋体" w:cs="宋体"/>
          <w:sz w:val="24"/>
          <w:u w:val="single"/>
        </w:rPr>
        <w:t>21.6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682E3CBD">
      <w:pPr>
        <w:snapToGrid w:val="0"/>
        <w:spacing w:line="360" w:lineRule="auto"/>
        <w:ind w:firstLine="480" w:firstLineChars="200"/>
        <w:rPr>
          <w:rFonts w:ascii="宋体" w:hAnsi="宋体" w:cs="宋体"/>
          <w:sz w:val="24"/>
          <w:u w:val="single"/>
        </w:rPr>
      </w:pPr>
      <w:r>
        <w:rPr>
          <w:rFonts w:hint="eastAsia" w:ascii="宋体" w:hAnsi="宋体" w:cs="宋体"/>
          <w:sz w:val="24"/>
          <w:u w:val="single"/>
        </w:rPr>
        <w:t>21.7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234AF958">
      <w:pPr>
        <w:spacing w:line="360" w:lineRule="auto"/>
        <w:ind w:firstLine="480" w:firstLineChars="200"/>
        <w:rPr>
          <w:rFonts w:ascii="宋体" w:hAnsi="宋体" w:cs="宋体"/>
          <w:sz w:val="24"/>
          <w:u w:val="single"/>
        </w:rPr>
      </w:pPr>
      <w:r>
        <w:rPr>
          <w:rFonts w:hint="eastAsia" w:ascii="宋体" w:hAnsi="宋体" w:cs="宋体"/>
          <w:sz w:val="24"/>
          <w:u w:val="single"/>
        </w:rPr>
        <w:t>21.8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7694E595">
      <w:pPr>
        <w:snapToGrid w:val="0"/>
        <w:spacing w:line="360" w:lineRule="auto"/>
        <w:ind w:firstLine="482" w:firstLineChars="200"/>
        <w:rPr>
          <w:rFonts w:ascii="宋体" w:hAnsi="宋体" w:cs="宋体"/>
          <w:sz w:val="24"/>
          <w:u w:val="single"/>
        </w:rPr>
      </w:pPr>
      <w:r>
        <w:rPr>
          <w:rFonts w:hint="eastAsia" w:ascii="宋体" w:hAnsi="宋体" w:cs="宋体"/>
          <w:b/>
          <w:bCs/>
          <w:kern w:val="44"/>
          <w:sz w:val="24"/>
          <w:u w:val="single"/>
        </w:rPr>
        <w:t>21.9承包人应无条件配合发包人甲供材料的现场施工，相关措施费计入报价中，不得因此增加合同费用，也不得再向甲供材料的供应商收取配合费。</w:t>
      </w:r>
    </w:p>
    <w:p w14:paraId="03136C75">
      <w:pPr>
        <w:snapToGrid w:val="0"/>
        <w:spacing w:line="360" w:lineRule="auto"/>
        <w:ind w:firstLine="480" w:firstLineChars="200"/>
        <w:rPr>
          <w:rFonts w:ascii="宋体" w:hAnsi="宋体" w:cs="宋体"/>
          <w:sz w:val="24"/>
        </w:rPr>
      </w:pPr>
      <w:bookmarkStart w:id="498" w:name="_Hlk74986491"/>
      <w:r>
        <w:rPr>
          <w:rFonts w:hint="eastAsia" w:ascii="宋体" w:hAnsi="宋体" w:cs="宋体"/>
          <w:sz w:val="24"/>
          <w:u w:val="single"/>
        </w:rPr>
        <w:t>21.10发包人签发</w:t>
      </w:r>
      <w:bookmarkEnd w:id="498"/>
      <w:r>
        <w:rPr>
          <w:rFonts w:hint="eastAsia" w:ascii="宋体" w:hAnsi="宋体" w:cs="宋体"/>
          <w:sz w:val="24"/>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6D8F19C4">
      <w:pPr>
        <w:spacing w:line="360" w:lineRule="auto"/>
        <w:rPr>
          <w:rFonts w:ascii="宋体" w:hAnsi="宋体" w:cs="宋体"/>
          <w:b/>
          <w:sz w:val="24"/>
        </w:rPr>
      </w:pPr>
      <w:r>
        <w:rPr>
          <w:rFonts w:hint="eastAsia" w:ascii="宋体" w:hAnsi="宋体" w:cs="宋体"/>
          <w:b/>
          <w:sz w:val="24"/>
        </w:rPr>
        <w:t>附件</w:t>
      </w:r>
    </w:p>
    <w:p w14:paraId="52B5E79D">
      <w:pPr>
        <w:spacing w:line="360" w:lineRule="auto"/>
        <w:rPr>
          <w:rFonts w:ascii="宋体" w:hAnsi="宋体" w:cs="宋体"/>
          <w:sz w:val="24"/>
        </w:rPr>
      </w:pPr>
      <w:r>
        <w:rPr>
          <w:rFonts w:hint="eastAsia" w:ascii="宋体" w:hAnsi="宋体" w:cs="宋体"/>
          <w:sz w:val="24"/>
        </w:rPr>
        <w:t>附件1：工程质量保修书</w:t>
      </w:r>
    </w:p>
    <w:p w14:paraId="524BDEE4">
      <w:pPr>
        <w:spacing w:line="360" w:lineRule="auto"/>
        <w:rPr>
          <w:rFonts w:ascii="宋体" w:hAnsi="宋体" w:cs="宋体"/>
          <w:sz w:val="24"/>
        </w:rPr>
      </w:pPr>
      <w:r>
        <w:rPr>
          <w:rFonts w:hint="eastAsia" w:ascii="宋体" w:hAnsi="宋体" w:cs="宋体"/>
          <w:sz w:val="24"/>
        </w:rPr>
        <w:t>附件2：廉政建设合同</w:t>
      </w:r>
    </w:p>
    <w:p w14:paraId="40C9EA0B">
      <w:pPr>
        <w:spacing w:line="360" w:lineRule="auto"/>
        <w:rPr>
          <w:rFonts w:ascii="宋体" w:hAnsi="宋体" w:cs="宋体"/>
          <w:sz w:val="24"/>
        </w:rPr>
      </w:pPr>
      <w:r>
        <w:rPr>
          <w:rFonts w:hint="eastAsia" w:ascii="宋体" w:hAnsi="宋体" w:cs="宋体"/>
          <w:sz w:val="24"/>
        </w:rPr>
        <w:t>附件3：安全生产合同</w:t>
      </w:r>
    </w:p>
    <w:p w14:paraId="62976B40">
      <w:pPr>
        <w:spacing w:line="360" w:lineRule="auto"/>
        <w:rPr>
          <w:rFonts w:ascii="宋体" w:hAnsi="宋体" w:cs="宋体"/>
          <w:sz w:val="24"/>
        </w:rPr>
      </w:pPr>
      <w:r>
        <w:rPr>
          <w:rFonts w:hint="eastAsia" w:ascii="宋体" w:hAnsi="宋体" w:cs="宋体"/>
          <w:sz w:val="24"/>
        </w:rPr>
        <w:t>附件4：主要材料（设备）清单</w:t>
      </w:r>
    </w:p>
    <w:p w14:paraId="4F96F0E8">
      <w:pPr>
        <w:spacing w:line="360" w:lineRule="auto"/>
        <w:rPr>
          <w:rFonts w:ascii="宋体" w:hAnsi="宋体" w:cs="宋体"/>
          <w:sz w:val="24"/>
        </w:rPr>
      </w:pPr>
      <w:r>
        <w:rPr>
          <w:rFonts w:hint="eastAsia" w:ascii="宋体" w:hAnsi="宋体" w:cs="宋体"/>
          <w:sz w:val="24"/>
        </w:rPr>
        <w:t>附件5：营业执照和相关资质</w:t>
      </w:r>
    </w:p>
    <w:p w14:paraId="0DEFAE3B">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附件1：</w:t>
      </w:r>
    </w:p>
    <w:p w14:paraId="24AF9665">
      <w:pPr>
        <w:spacing w:line="360" w:lineRule="auto"/>
        <w:jc w:val="center"/>
        <w:rPr>
          <w:rFonts w:ascii="宋体" w:hAnsi="宋体" w:cs="宋体"/>
          <w:sz w:val="24"/>
        </w:rPr>
      </w:pPr>
      <w:r>
        <w:rPr>
          <w:rFonts w:hint="eastAsia" w:ascii="宋体" w:hAnsi="宋体" w:cs="宋体"/>
          <w:sz w:val="24"/>
        </w:rPr>
        <w:t>工程质量保修书</w:t>
      </w:r>
    </w:p>
    <w:p w14:paraId="48C6F700">
      <w:pPr>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浙江中医药大学                    </w:t>
      </w:r>
    </w:p>
    <w:p w14:paraId="5DCD3DC9">
      <w:pPr>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p>
    <w:p w14:paraId="52D915A3">
      <w:pPr>
        <w:spacing w:line="360" w:lineRule="auto"/>
        <w:rPr>
          <w:rFonts w:ascii="宋体" w:hAnsi="宋体" w:cs="宋体"/>
          <w:sz w:val="24"/>
        </w:rPr>
      </w:pPr>
    </w:p>
    <w:p w14:paraId="1E1E4299">
      <w:pPr>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bCs/>
          <w:sz w:val="24"/>
          <w:u w:val="single"/>
          <w:lang w:eastAsia="zh-CN"/>
        </w:rPr>
        <w:t>浙江中医药大学滨文校区围墙周界及屋面监控增补项目</w:t>
      </w:r>
      <w:r>
        <w:rPr>
          <w:rFonts w:hint="eastAsia" w:ascii="宋体" w:hAnsi="宋体" w:cs="宋体"/>
          <w:sz w:val="24"/>
        </w:rPr>
        <w:t>（工程全称）</w:t>
      </w:r>
      <w:r>
        <w:rPr>
          <w:rFonts w:hint="eastAsia" w:ascii="宋体" w:hAnsi="宋体" w:cs="宋体"/>
          <w:sz w:val="24"/>
          <w:u w:val="single"/>
        </w:rPr>
        <w:t xml:space="preserve">           </w:t>
      </w:r>
      <w:r>
        <w:rPr>
          <w:rFonts w:hint="eastAsia" w:ascii="宋体" w:hAnsi="宋体" w:cs="宋体"/>
          <w:sz w:val="24"/>
        </w:rPr>
        <w:t>签订工程质量保修书。</w:t>
      </w:r>
    </w:p>
    <w:p w14:paraId="0A681B13">
      <w:pPr>
        <w:spacing w:line="360" w:lineRule="auto"/>
        <w:rPr>
          <w:rFonts w:ascii="宋体" w:hAnsi="宋体" w:cs="宋体"/>
          <w:sz w:val="24"/>
        </w:rPr>
      </w:pPr>
      <w:r>
        <w:rPr>
          <w:rFonts w:hint="eastAsia" w:ascii="宋体" w:hAnsi="宋体" w:cs="宋体"/>
          <w:sz w:val="24"/>
        </w:rPr>
        <w:t>　　一、工程质量保修范围和内容</w:t>
      </w:r>
    </w:p>
    <w:p w14:paraId="1C9B9FFD">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14:paraId="37B5BBD6">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合同范围内所有工作内容   </w:t>
      </w:r>
      <w:r>
        <w:rPr>
          <w:rFonts w:hint="eastAsia" w:ascii="宋体" w:hAnsi="宋体" w:cs="宋体"/>
          <w:sz w:val="24"/>
        </w:rPr>
        <w:t>。</w:t>
      </w:r>
    </w:p>
    <w:p w14:paraId="1281E57F">
      <w:pPr>
        <w:spacing w:line="360" w:lineRule="auto"/>
        <w:rPr>
          <w:rFonts w:ascii="宋体" w:hAnsi="宋体" w:cs="宋体"/>
          <w:sz w:val="24"/>
        </w:rPr>
      </w:pPr>
      <w:r>
        <w:rPr>
          <w:rFonts w:hint="eastAsia" w:ascii="宋体" w:hAnsi="宋体" w:cs="宋体"/>
          <w:b/>
          <w:sz w:val="24"/>
        </w:rPr>
        <w:t>　　</w:t>
      </w:r>
      <w:r>
        <w:rPr>
          <w:rFonts w:hint="eastAsia" w:ascii="宋体" w:hAnsi="宋体" w:cs="宋体"/>
          <w:sz w:val="24"/>
        </w:rPr>
        <w:t>二、质量保修期</w:t>
      </w:r>
    </w:p>
    <w:p w14:paraId="4782DA5F">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14:paraId="674B38D9">
      <w:pPr>
        <w:spacing w:line="36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14:paraId="38C78057">
      <w:pPr>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2．屋面防水工程、有防水要求的卫生间、房间和外墙面的防渗漏为</w:t>
      </w:r>
      <w:r>
        <w:rPr>
          <w:rFonts w:hint="eastAsia" w:ascii="宋体" w:hAnsi="宋体" w:cs="宋体"/>
          <w:sz w:val="24"/>
          <w:u w:val="single"/>
        </w:rPr>
        <w:t xml:space="preserve">  /  </w:t>
      </w:r>
      <w:r>
        <w:rPr>
          <w:rFonts w:hint="eastAsia" w:ascii="宋体" w:hAnsi="宋体" w:cs="宋体"/>
          <w:sz w:val="24"/>
        </w:rPr>
        <w:t>年；</w:t>
      </w:r>
    </w:p>
    <w:p w14:paraId="6C2D6E9F">
      <w:pPr>
        <w:spacing w:line="360" w:lineRule="auto"/>
        <w:ind w:firstLine="480" w:firstLineChars="20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   </w:t>
      </w:r>
      <w:r>
        <w:rPr>
          <w:rFonts w:hint="eastAsia" w:ascii="宋体" w:hAnsi="宋体" w:cs="宋体"/>
          <w:sz w:val="24"/>
        </w:rPr>
        <w:t>年；</w:t>
      </w:r>
    </w:p>
    <w:p w14:paraId="03D2D4A2">
      <w:pPr>
        <w:spacing w:line="360" w:lineRule="auto"/>
        <w:ind w:firstLine="480" w:firstLineChars="20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   </w:t>
      </w:r>
      <w:r>
        <w:rPr>
          <w:rFonts w:hint="eastAsia" w:ascii="宋体" w:hAnsi="宋体" w:cs="宋体"/>
          <w:sz w:val="24"/>
        </w:rPr>
        <w:t>年；</w:t>
      </w:r>
    </w:p>
    <w:p w14:paraId="09B05631">
      <w:pPr>
        <w:spacing w:line="360" w:lineRule="auto"/>
        <w:ind w:firstLine="480" w:firstLineChars="20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  </w:t>
      </w:r>
      <w:r>
        <w:rPr>
          <w:rFonts w:hint="eastAsia" w:ascii="宋体" w:hAnsi="宋体" w:cs="宋体"/>
          <w:sz w:val="24"/>
        </w:rPr>
        <w:t>个采暖期、供冷期；</w:t>
      </w:r>
    </w:p>
    <w:p w14:paraId="6D3C7728">
      <w:pPr>
        <w:spacing w:line="360" w:lineRule="auto"/>
        <w:ind w:firstLine="480" w:firstLineChars="20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   </w:t>
      </w:r>
      <w:r>
        <w:rPr>
          <w:rFonts w:hint="eastAsia" w:ascii="宋体" w:hAnsi="宋体" w:cs="宋体"/>
          <w:sz w:val="24"/>
        </w:rPr>
        <w:t>年；</w:t>
      </w:r>
    </w:p>
    <w:p w14:paraId="6806545F">
      <w:pPr>
        <w:spacing w:line="360" w:lineRule="auto"/>
        <w:ind w:firstLine="480" w:firstLineChars="200"/>
        <w:rPr>
          <w:rFonts w:ascii="宋体" w:hAnsi="宋体" w:cs="宋体"/>
          <w:sz w:val="24"/>
          <w:u w:val="single"/>
        </w:rPr>
      </w:pPr>
      <w:r>
        <w:rPr>
          <w:rFonts w:hint="eastAsia" w:ascii="宋体" w:hAnsi="宋体" w:cs="宋体"/>
          <w:sz w:val="24"/>
        </w:rPr>
        <w:t>7．</w:t>
      </w:r>
      <w:r>
        <w:rPr>
          <w:rFonts w:hint="eastAsia" w:ascii="宋体" w:hAnsi="宋体" w:cs="宋体"/>
          <w:sz w:val="24"/>
          <w:u w:val="single"/>
        </w:rPr>
        <w:t>本合同所有工程内容质保期   年，时间从本项目整体竣工验收合格并交付发包人使用之日起算</w:t>
      </w:r>
      <w:r>
        <w:rPr>
          <w:rFonts w:hint="eastAsia" w:ascii="宋体" w:hAnsi="宋体" w:cs="宋体"/>
          <w:sz w:val="24"/>
        </w:rPr>
        <w:t>；</w:t>
      </w:r>
    </w:p>
    <w:p w14:paraId="58847ABB">
      <w:pPr>
        <w:spacing w:line="360" w:lineRule="auto"/>
        <w:rPr>
          <w:rFonts w:ascii="宋体" w:hAnsi="宋体" w:cs="宋体"/>
          <w:sz w:val="24"/>
        </w:rPr>
      </w:pPr>
      <w:r>
        <w:rPr>
          <w:rFonts w:hint="eastAsia" w:ascii="宋体" w:hAnsi="宋体" w:cs="宋体"/>
          <w:sz w:val="24"/>
        </w:rPr>
        <w:t>　　质量保修期自工程竣工验收合格之日起计算。</w:t>
      </w:r>
    </w:p>
    <w:p w14:paraId="39A4EF5E">
      <w:pPr>
        <w:spacing w:line="360" w:lineRule="auto"/>
        <w:ind w:firstLine="480" w:firstLineChars="200"/>
        <w:rPr>
          <w:rFonts w:ascii="宋体" w:hAnsi="宋体" w:cs="宋体"/>
          <w:sz w:val="24"/>
        </w:rPr>
      </w:pPr>
      <w:r>
        <w:rPr>
          <w:rFonts w:hint="eastAsia" w:ascii="宋体" w:hAnsi="宋体" w:cs="宋体"/>
          <w:sz w:val="24"/>
        </w:rPr>
        <w:t>三、缺陷责任期</w:t>
      </w:r>
    </w:p>
    <w:p w14:paraId="73E2D707">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w:t>
      </w:r>
      <w:r>
        <w:rPr>
          <w:rFonts w:hint="eastAsia" w:ascii="宋体" w:hAnsi="宋体" w:cs="宋体"/>
          <w:sz w:val="24"/>
        </w:rPr>
        <w:t>个月，缺陷责任期自工程通过竣工验收之日起计算。单位工程先于全部工程进行验收，单位工程缺陷责任期自单位工程验收合格之日起算。</w:t>
      </w:r>
    </w:p>
    <w:p w14:paraId="69271CF1">
      <w:pPr>
        <w:snapToGrid w:val="0"/>
        <w:spacing w:line="360" w:lineRule="auto"/>
        <w:ind w:firstLine="480" w:firstLineChars="200"/>
        <w:rPr>
          <w:rFonts w:ascii="宋体" w:hAnsi="宋体" w:cs="宋体"/>
          <w:sz w:val="24"/>
        </w:rPr>
      </w:pPr>
      <w:r>
        <w:rPr>
          <w:rFonts w:hint="eastAsia" w:ascii="宋体" w:hAnsi="宋体" w:cs="宋体"/>
          <w:sz w:val="24"/>
        </w:rPr>
        <w:t>缺陷责任期终止后，发包人退还的质量保证金。</w:t>
      </w:r>
    </w:p>
    <w:p w14:paraId="6B884C08">
      <w:pPr>
        <w:spacing w:line="360" w:lineRule="auto"/>
        <w:rPr>
          <w:rFonts w:ascii="宋体" w:hAnsi="宋体" w:cs="宋体"/>
          <w:sz w:val="24"/>
        </w:rPr>
      </w:pPr>
      <w:r>
        <w:rPr>
          <w:rFonts w:hint="eastAsia" w:ascii="宋体" w:hAnsi="宋体" w:cs="宋体"/>
          <w:sz w:val="24"/>
        </w:rPr>
        <w:t xml:space="preserve">    四、质量保修责任</w:t>
      </w:r>
    </w:p>
    <w:p w14:paraId="0E5C8A29">
      <w:pPr>
        <w:spacing w:line="360" w:lineRule="auto"/>
        <w:ind w:left="105" w:leftChars="50" w:firstLine="489" w:firstLineChars="204"/>
        <w:rPr>
          <w:rFonts w:ascii="宋体" w:hAnsi="宋体" w:cs="宋体"/>
          <w:sz w:val="24"/>
        </w:rPr>
      </w:pPr>
      <w:r>
        <w:rPr>
          <w:rFonts w:hint="eastAsia" w:ascii="宋体" w:hAnsi="宋体" w:cs="宋体"/>
          <w:sz w:val="24"/>
        </w:rPr>
        <w:t>1．质保期内属于保修范围、内容的项目，承包人应当在接到保修通知之日起24小时内派人维修，紧急情况下2小时内派人维修。承包人不在约定期限内派人保修的，发包人可以委托他人修理。</w:t>
      </w:r>
    </w:p>
    <w:p w14:paraId="6510D314">
      <w:pPr>
        <w:spacing w:line="360" w:lineRule="auto"/>
        <w:ind w:left="105" w:leftChars="50" w:firstLine="489" w:firstLineChars="204"/>
        <w:rPr>
          <w:rFonts w:ascii="宋体" w:hAnsi="宋体" w:cs="宋体"/>
          <w:sz w:val="24"/>
        </w:rPr>
      </w:pPr>
      <w:r>
        <w:rPr>
          <w:rFonts w:hint="eastAsia" w:ascii="宋体" w:hAnsi="宋体" w:cs="宋体"/>
          <w:sz w:val="24"/>
        </w:rPr>
        <w:t>2．发生紧急事故需抢修的，承包人在接到事故通知后，应当立即到达事故现场抢修。</w:t>
      </w:r>
    </w:p>
    <w:p w14:paraId="59BB1D6F">
      <w:pPr>
        <w:spacing w:line="360" w:lineRule="auto"/>
        <w:ind w:left="105" w:leftChars="50" w:firstLine="489" w:firstLineChars="204"/>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3B4D2A98">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14:paraId="238299C7">
      <w:pPr>
        <w:spacing w:line="360" w:lineRule="auto"/>
        <w:rPr>
          <w:rFonts w:ascii="宋体" w:hAnsi="宋体" w:cs="宋体"/>
          <w:sz w:val="24"/>
        </w:rPr>
      </w:pPr>
      <w:r>
        <w:rPr>
          <w:rFonts w:hint="eastAsia" w:ascii="宋体" w:hAnsi="宋体" w:cs="宋体"/>
          <w:sz w:val="24"/>
        </w:rPr>
        <w:t>　　 五、保修费用</w:t>
      </w:r>
    </w:p>
    <w:p w14:paraId="4D6FB0EE">
      <w:pPr>
        <w:spacing w:line="360" w:lineRule="auto"/>
        <w:rPr>
          <w:rFonts w:ascii="宋体" w:hAnsi="宋体" w:cs="宋体"/>
          <w:sz w:val="24"/>
        </w:rPr>
      </w:pPr>
      <w:r>
        <w:rPr>
          <w:rFonts w:hint="eastAsia" w:ascii="宋体" w:hAnsi="宋体" w:cs="宋体"/>
          <w:sz w:val="24"/>
        </w:rPr>
        <w:t>　　 保修费用由造成质量缺陷的责任方承担。</w:t>
      </w:r>
    </w:p>
    <w:p w14:paraId="498D9F15">
      <w:pPr>
        <w:spacing w:line="360" w:lineRule="auto"/>
        <w:rPr>
          <w:rFonts w:ascii="宋体" w:hAnsi="宋体" w:cs="宋体"/>
          <w:sz w:val="24"/>
          <w:u w:val="single"/>
        </w:rPr>
      </w:pPr>
      <w:r>
        <w:rPr>
          <w:rFonts w:hint="eastAsia" w:ascii="宋体" w:hAnsi="宋体" w:cs="宋体"/>
          <w:b/>
          <w:sz w:val="24"/>
        </w:rPr>
        <w:t xml:space="preserve">   </w:t>
      </w:r>
      <w:r>
        <w:rPr>
          <w:rFonts w:hint="eastAsia" w:ascii="宋体" w:hAnsi="宋体" w:cs="宋体"/>
          <w:sz w:val="24"/>
        </w:rPr>
        <w:t xml:space="preserve">  六、双方约定的其他工程质量保修事项：</w:t>
      </w:r>
    </w:p>
    <w:p w14:paraId="2E82073D">
      <w:pPr>
        <w:spacing w:line="360" w:lineRule="auto"/>
        <w:ind w:firstLine="576" w:firstLineChars="24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14:paraId="61313311">
      <w:pPr>
        <w:spacing w:line="360" w:lineRule="auto"/>
        <w:ind w:firstLine="420"/>
        <w:rPr>
          <w:rFonts w:ascii="宋体" w:hAnsi="宋体" w:cs="宋体"/>
          <w:sz w:val="24"/>
        </w:rPr>
      </w:pPr>
      <w:r>
        <w:rPr>
          <w:rFonts w:hint="eastAsia" w:ascii="宋体" w:hAnsi="宋体" w:cs="宋体"/>
          <w:sz w:val="24"/>
        </w:rPr>
        <w:t xml:space="preserve"> </w:t>
      </w:r>
    </w:p>
    <w:p w14:paraId="0D62A241">
      <w:pPr>
        <w:spacing w:line="360" w:lineRule="auto"/>
        <w:ind w:firstLine="480" w:firstLineChars="200"/>
        <w:rPr>
          <w:rFonts w:ascii="宋体" w:hAnsi="宋体" w:cs="宋体"/>
          <w:sz w:val="24"/>
          <w:u w:val="single"/>
        </w:rPr>
      </w:pPr>
      <w:r>
        <w:rPr>
          <w:rFonts w:hint="eastAsia" w:ascii="宋体" w:hAnsi="宋体" w:cs="宋体"/>
          <w:sz w:val="24"/>
        </w:rPr>
        <w:t>发包人(公章)：</w:t>
      </w:r>
      <w:r>
        <w:rPr>
          <w:rFonts w:hint="eastAsia" w:ascii="宋体" w:hAnsi="宋体" w:cs="宋体"/>
          <w:sz w:val="24"/>
          <w:u w:val="single"/>
        </w:rPr>
        <w:t xml:space="preserve"> 浙江中医药大学    </w:t>
      </w:r>
      <w:r>
        <w:rPr>
          <w:rFonts w:hint="eastAsia" w:ascii="宋体" w:hAnsi="宋体" w:cs="宋体"/>
          <w:sz w:val="24"/>
        </w:rPr>
        <w:t xml:space="preserve">     承包人(公章)：</w:t>
      </w:r>
      <w:r>
        <w:rPr>
          <w:rFonts w:hint="eastAsia" w:ascii="宋体" w:hAnsi="宋体" w:cs="宋体"/>
          <w:sz w:val="24"/>
          <w:u w:val="single"/>
        </w:rPr>
        <w:t xml:space="preserve">                     </w:t>
      </w:r>
    </w:p>
    <w:p w14:paraId="73186E15">
      <w:pPr>
        <w:spacing w:line="360" w:lineRule="auto"/>
        <w:ind w:left="6420" w:leftChars="200" w:right="-624" w:rightChars="-297" w:hanging="6000" w:hangingChars="2500"/>
        <w:rPr>
          <w:rFonts w:ascii="宋体" w:hAnsi="宋体" w:cs="宋体"/>
          <w:sz w:val="24"/>
        </w:rPr>
      </w:pPr>
      <w:r>
        <w:rPr>
          <w:rFonts w:hint="eastAsia" w:ascii="宋体" w:hAnsi="宋体" w:cs="宋体"/>
          <w:sz w:val="24"/>
        </w:rPr>
        <w:t>地  址：</w:t>
      </w:r>
      <w:r>
        <w:rPr>
          <w:rFonts w:hint="eastAsia" w:ascii="宋体" w:hAnsi="宋体" w:cs="宋体"/>
          <w:sz w:val="24"/>
          <w:u w:val="single"/>
        </w:rPr>
        <w:t>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p w14:paraId="774D7744">
      <w:pPr>
        <w:spacing w:line="360" w:lineRule="auto"/>
        <w:ind w:firstLine="480" w:firstLineChars="200"/>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14:paraId="112F28CB">
      <w:pPr>
        <w:spacing w:line="360" w:lineRule="auto"/>
        <w:ind w:firstLine="480" w:firstLineChars="200"/>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14:paraId="6A7B575B">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14:paraId="4E70CA80">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14:paraId="2E536DD3">
      <w:pPr>
        <w:spacing w:line="360" w:lineRule="auto"/>
        <w:ind w:left="6660" w:leftChars="200" w:right="-624" w:rightChars="-297" w:hanging="6240" w:hangingChars="2600"/>
        <w:rPr>
          <w:rFonts w:ascii="宋体" w:hAnsi="宋体" w:cs="宋体"/>
          <w:sz w:val="24"/>
        </w:rPr>
      </w:pPr>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w:t>
      </w:r>
    </w:p>
    <w:p w14:paraId="11FFA52A">
      <w:pPr>
        <w:spacing w:line="360" w:lineRule="auto"/>
        <w:ind w:right="-624" w:rightChars="-297" w:firstLine="480" w:firstLineChars="2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 xml:space="preserve">                </w:t>
      </w:r>
      <w:r>
        <w:rPr>
          <w:rFonts w:hint="eastAsia" w:ascii="宋体" w:hAnsi="宋体" w:cs="宋体"/>
          <w:kern w:val="0"/>
          <w:sz w:val="24"/>
          <w:u w:val="single"/>
        </w:rPr>
        <w:t xml:space="preserve">    </w:t>
      </w:r>
    </w:p>
    <w:p w14:paraId="57A92B9F">
      <w:pPr>
        <w:spacing w:line="360" w:lineRule="auto"/>
        <w:ind w:firstLine="480"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sz w:val="24"/>
          <w:u w:val="single"/>
        </w:rPr>
        <w:t xml:space="preserve">                         </w:t>
      </w:r>
    </w:p>
    <w:p w14:paraId="70BD9F2A">
      <w:pPr>
        <w:spacing w:line="360" w:lineRule="auto"/>
        <w:rPr>
          <w:rFonts w:ascii="宋体" w:hAnsi="宋体" w:cs="宋体"/>
          <w:sz w:val="24"/>
        </w:rPr>
      </w:pPr>
      <w:r>
        <w:rPr>
          <w:rFonts w:hint="eastAsia" w:ascii="宋体" w:hAnsi="宋体" w:cs="宋体"/>
          <w:sz w:val="24"/>
        </w:rPr>
        <w:br w:type="page"/>
      </w:r>
      <w:bookmarkEnd w:id="458"/>
      <w:r>
        <w:rPr>
          <w:rFonts w:hint="eastAsia" w:ascii="宋体" w:hAnsi="宋体" w:cs="宋体"/>
          <w:sz w:val="24"/>
        </w:rPr>
        <w:t>附件2：</w:t>
      </w:r>
    </w:p>
    <w:p w14:paraId="3CD04D50">
      <w:pPr>
        <w:spacing w:line="360" w:lineRule="auto"/>
        <w:jc w:val="center"/>
        <w:rPr>
          <w:rFonts w:ascii="宋体" w:hAnsi="宋体" w:cs="宋体"/>
          <w:sz w:val="24"/>
        </w:rPr>
      </w:pPr>
      <w:r>
        <w:rPr>
          <w:rFonts w:hint="eastAsia" w:ascii="宋体" w:hAnsi="宋体" w:cs="宋体"/>
          <w:sz w:val="24"/>
        </w:rPr>
        <w:t>廉政建设合同</w:t>
      </w:r>
    </w:p>
    <w:p w14:paraId="3A78410C">
      <w:pPr>
        <w:spacing w:line="360" w:lineRule="auto"/>
        <w:jc w:val="center"/>
        <w:rPr>
          <w:rFonts w:ascii="宋体" w:hAnsi="宋体" w:cs="宋体"/>
          <w:sz w:val="24"/>
        </w:rPr>
      </w:pPr>
    </w:p>
    <w:p w14:paraId="2EC5E053">
      <w:pPr>
        <w:spacing w:line="360" w:lineRule="auto"/>
        <w:ind w:firstLine="480" w:firstLineChars="200"/>
        <w:rPr>
          <w:rFonts w:ascii="宋体" w:hAnsi="宋体" w:cs="宋体"/>
          <w:sz w:val="24"/>
        </w:rPr>
      </w:pPr>
      <w:r>
        <w:rPr>
          <w:rFonts w:hint="eastAsia" w:ascii="宋体" w:hAnsi="宋体" w:cs="宋体"/>
          <w:sz w:val="24"/>
        </w:rPr>
        <w:t>根据有关工程建设、廉政建设的规定，为做好工程建设中的党风廉政建设，保证工程建设高效优质，保证建设资金的安全和有效使用以及投资效益，</w:t>
      </w:r>
      <w:r>
        <w:rPr>
          <w:rFonts w:hint="eastAsia" w:ascii="宋体" w:hAnsi="宋体" w:cs="宋体"/>
          <w:sz w:val="24"/>
          <w:u w:val="single"/>
          <w:lang w:eastAsia="zh-CN"/>
        </w:rPr>
        <w:t>浙江中医药大学滨文校区围墙周界及屋面监控增补项目</w:t>
      </w:r>
      <w:r>
        <w:rPr>
          <w:rFonts w:hint="eastAsia" w:ascii="宋体" w:hAnsi="宋体" w:cs="宋体"/>
          <w:sz w:val="24"/>
        </w:rPr>
        <w:t>的项目法人</w:t>
      </w:r>
      <w:r>
        <w:rPr>
          <w:rFonts w:hint="eastAsia" w:ascii="宋体" w:hAnsi="宋体" w:cs="宋体"/>
          <w:kern w:val="0"/>
          <w:sz w:val="24"/>
          <w:u w:val="single"/>
        </w:rPr>
        <w:t xml:space="preserve">  </w:t>
      </w:r>
      <w:r>
        <w:rPr>
          <w:rFonts w:hint="eastAsia" w:ascii="宋体" w:hAnsi="宋体" w:cs="宋体"/>
          <w:sz w:val="24"/>
          <w:u w:val="single"/>
        </w:rPr>
        <w:t xml:space="preserve">浙江中医药大学  </w:t>
      </w:r>
      <w:r>
        <w:rPr>
          <w:rFonts w:hint="eastAsia" w:ascii="宋体" w:hAnsi="宋体" w:cs="宋体"/>
          <w:kern w:val="0"/>
          <w:sz w:val="24"/>
          <w:u w:val="single"/>
        </w:rPr>
        <w:t xml:space="preserve"> </w:t>
      </w:r>
      <w:r>
        <w:rPr>
          <w:rFonts w:hint="eastAsia" w:ascii="宋体" w:hAnsi="宋体" w:cs="宋体"/>
          <w:sz w:val="24"/>
        </w:rPr>
        <w:t>（以下简称发包人）与施工单位</w:t>
      </w:r>
      <w:r>
        <w:rPr>
          <w:rFonts w:hint="eastAsia" w:ascii="宋体" w:hAnsi="宋体" w:cs="宋体"/>
          <w:sz w:val="24"/>
          <w:u w:val="single"/>
        </w:rPr>
        <w:t xml:space="preserve">            </w:t>
      </w:r>
      <w:r>
        <w:rPr>
          <w:rFonts w:hint="eastAsia" w:ascii="宋体" w:hAnsi="宋体" w:cs="宋体"/>
          <w:sz w:val="24"/>
        </w:rPr>
        <w:t>（以下简称承包人），特订立如下合同。</w:t>
      </w:r>
    </w:p>
    <w:p w14:paraId="7BD980DF">
      <w:pPr>
        <w:tabs>
          <w:tab w:val="left" w:pos="360"/>
        </w:tabs>
        <w:spacing w:line="360" w:lineRule="auto"/>
        <w:ind w:firstLine="482" w:firstLineChars="200"/>
        <w:rPr>
          <w:rFonts w:ascii="宋体" w:hAnsi="宋体" w:cs="宋体"/>
          <w:b/>
          <w:sz w:val="24"/>
        </w:rPr>
      </w:pPr>
      <w:r>
        <w:rPr>
          <w:rFonts w:hint="eastAsia" w:ascii="宋体" w:hAnsi="宋体" w:cs="宋体"/>
          <w:b/>
          <w:sz w:val="24"/>
        </w:rPr>
        <w:t>第一条 双方的权利和义务</w:t>
      </w:r>
    </w:p>
    <w:p w14:paraId="411C00BF">
      <w:pPr>
        <w:widowControl/>
        <w:numPr>
          <w:ilvl w:val="0"/>
          <w:numId w:val="2"/>
        </w:numPr>
        <w:tabs>
          <w:tab w:val="left" w:pos="360"/>
        </w:tabs>
        <w:spacing w:line="360" w:lineRule="auto"/>
        <w:ind w:firstLine="480" w:firstLineChars="200"/>
        <w:jc w:val="left"/>
        <w:rPr>
          <w:rFonts w:ascii="宋体" w:hAnsi="宋体" w:cs="宋体"/>
          <w:sz w:val="24"/>
        </w:rPr>
      </w:pPr>
      <w:r>
        <w:rPr>
          <w:rFonts w:hint="eastAsia" w:ascii="宋体" w:hAnsi="宋体" w:cs="宋体"/>
          <w:sz w:val="24"/>
        </w:rPr>
        <w:t xml:space="preserve">严格遵守党和国家有关法律法规的有关规定。 </w:t>
      </w:r>
    </w:p>
    <w:p w14:paraId="611DA9D7">
      <w:pPr>
        <w:tabs>
          <w:tab w:val="left" w:pos="360"/>
        </w:tabs>
        <w:spacing w:line="360" w:lineRule="auto"/>
        <w:ind w:firstLine="480" w:firstLineChars="200"/>
        <w:rPr>
          <w:rFonts w:ascii="宋体" w:hAnsi="宋体" w:cs="宋体"/>
          <w:sz w:val="24"/>
        </w:rPr>
      </w:pPr>
      <w:r>
        <w:rPr>
          <w:rFonts w:hint="eastAsia" w:ascii="宋体" w:hAnsi="宋体" w:cs="宋体"/>
          <w:sz w:val="24"/>
        </w:rPr>
        <w:t>（二）严格执行</w:t>
      </w:r>
      <w:r>
        <w:rPr>
          <w:rFonts w:hint="eastAsia" w:ascii="宋体" w:hAnsi="宋体" w:cs="宋体"/>
          <w:sz w:val="24"/>
          <w:u w:val="single"/>
          <w:lang w:eastAsia="zh-CN"/>
        </w:rPr>
        <w:t>浙江中医药大学滨文校区围墙周界及屋面监控增补项目</w:t>
      </w:r>
      <w:r>
        <w:rPr>
          <w:rFonts w:hint="eastAsia" w:ascii="宋体" w:hAnsi="宋体" w:cs="宋体"/>
          <w:sz w:val="24"/>
        </w:rPr>
        <w:t>的合同文件，自觉按合同办事。</w:t>
      </w:r>
    </w:p>
    <w:p w14:paraId="6C720363">
      <w:pPr>
        <w:spacing w:line="360" w:lineRule="auto"/>
        <w:ind w:firstLine="480" w:firstLineChars="200"/>
        <w:rPr>
          <w:rFonts w:ascii="宋体" w:hAnsi="宋体" w:cs="宋体"/>
          <w:sz w:val="24"/>
        </w:rPr>
      </w:pPr>
      <w:r>
        <w:rPr>
          <w:rFonts w:hint="eastAsia" w:ascii="宋体" w:hAnsi="宋体" w:cs="宋体"/>
          <w:sz w:val="24"/>
        </w:rPr>
        <w:t>（三）双方的业务活动坚持公开、公正、诚信、透明的原则（除法律认定的商业机密和合同文件另有规定之外），不得损害国家和集体利益，违反工程建设管理规章制度。</w:t>
      </w:r>
    </w:p>
    <w:p w14:paraId="38EA672C">
      <w:pPr>
        <w:spacing w:line="360" w:lineRule="auto"/>
        <w:ind w:firstLine="480" w:firstLineChars="200"/>
        <w:rPr>
          <w:rFonts w:ascii="宋体" w:hAnsi="宋体" w:cs="宋体"/>
          <w:sz w:val="24"/>
        </w:rPr>
      </w:pPr>
      <w:r>
        <w:rPr>
          <w:rFonts w:hint="eastAsia" w:ascii="宋体" w:hAnsi="宋体" w:cs="宋体"/>
          <w:sz w:val="24"/>
        </w:rPr>
        <w:t>（四）建立健全廉政制度，开展廉政教育，设立廉政告示牌，公布举报电话，监督并认真查处违法违纪行为。</w:t>
      </w:r>
    </w:p>
    <w:p w14:paraId="2F8C6120">
      <w:pPr>
        <w:spacing w:line="360" w:lineRule="auto"/>
        <w:ind w:firstLine="480" w:firstLineChars="200"/>
        <w:rPr>
          <w:rFonts w:ascii="宋体" w:hAnsi="宋体" w:cs="宋体"/>
          <w:sz w:val="24"/>
        </w:rPr>
      </w:pPr>
      <w:r>
        <w:rPr>
          <w:rFonts w:hint="eastAsia" w:ascii="宋体" w:hAnsi="宋体" w:cs="宋体"/>
          <w:sz w:val="24"/>
        </w:rPr>
        <w:t>（五）发现对方在业务活动中有违反廉政规定的行为，有及时提醒对方纠正的权利和义务。</w:t>
      </w:r>
    </w:p>
    <w:p w14:paraId="74FEC923">
      <w:pPr>
        <w:spacing w:line="360" w:lineRule="auto"/>
        <w:ind w:firstLine="480" w:firstLineChars="200"/>
        <w:rPr>
          <w:rFonts w:ascii="宋体" w:hAnsi="宋体" w:cs="宋体"/>
          <w:sz w:val="24"/>
        </w:rPr>
      </w:pPr>
      <w:r>
        <w:rPr>
          <w:rFonts w:hint="eastAsia" w:ascii="宋体" w:hAnsi="宋体" w:cs="宋体"/>
          <w:sz w:val="24"/>
        </w:rPr>
        <w:t>（六）发现对方严重违反本合同义务条款的行为，有向其上级有关部门举报、建议给予处分并要求告知处理结果的权利。</w:t>
      </w:r>
    </w:p>
    <w:p w14:paraId="6054CF8C">
      <w:pPr>
        <w:spacing w:line="360" w:lineRule="auto"/>
        <w:ind w:firstLine="482" w:firstLineChars="200"/>
        <w:rPr>
          <w:rFonts w:ascii="宋体" w:hAnsi="宋体" w:cs="宋体"/>
          <w:b/>
          <w:sz w:val="24"/>
        </w:rPr>
      </w:pPr>
      <w:r>
        <w:rPr>
          <w:rFonts w:hint="eastAsia" w:ascii="宋体" w:hAnsi="宋体" w:cs="宋体"/>
          <w:b/>
          <w:sz w:val="24"/>
        </w:rPr>
        <w:t>第二条 发包人的义务</w:t>
      </w:r>
    </w:p>
    <w:p w14:paraId="646E98D9">
      <w:pPr>
        <w:spacing w:line="360" w:lineRule="auto"/>
        <w:ind w:firstLine="480" w:firstLineChars="200"/>
        <w:rPr>
          <w:rFonts w:ascii="宋体" w:hAnsi="宋体" w:cs="宋体"/>
          <w:sz w:val="24"/>
        </w:rPr>
      </w:pPr>
      <w:r>
        <w:rPr>
          <w:rFonts w:hint="eastAsia" w:ascii="宋体" w:hAnsi="宋体" w:cs="宋体"/>
          <w:sz w:val="24"/>
        </w:rPr>
        <w:t>（一）发包人及其工作人员不得索要和接受承包人的礼金、有价证券和贵重物品，不得在承包人报销任何由发包人或个人支付的费用等。</w:t>
      </w:r>
    </w:p>
    <w:p w14:paraId="25F8FDEF">
      <w:pPr>
        <w:spacing w:line="360" w:lineRule="auto"/>
        <w:ind w:firstLine="480" w:firstLineChars="200"/>
        <w:rPr>
          <w:rFonts w:ascii="宋体" w:hAnsi="宋体" w:cs="宋体"/>
          <w:sz w:val="24"/>
        </w:rPr>
      </w:pPr>
      <w:r>
        <w:rPr>
          <w:rFonts w:hint="eastAsia" w:ascii="宋体" w:hAnsi="宋体" w:cs="宋体"/>
          <w:sz w:val="24"/>
        </w:rPr>
        <w:t>（二）发包人工作人员不得参加承包人安排的超标准宴请和娱乐活动；不得接受承包人提供的通讯工具、交通工具和高档办公用品等。</w:t>
      </w:r>
    </w:p>
    <w:p w14:paraId="5A0D1A61">
      <w:pPr>
        <w:spacing w:line="360" w:lineRule="auto"/>
        <w:ind w:firstLine="480" w:firstLineChars="200"/>
        <w:rPr>
          <w:rFonts w:ascii="宋体" w:hAnsi="宋体" w:cs="宋体"/>
          <w:sz w:val="24"/>
        </w:rPr>
      </w:pPr>
      <w:r>
        <w:rPr>
          <w:rFonts w:hint="eastAsia" w:ascii="宋体" w:hAnsi="宋体" w:cs="宋体"/>
          <w:sz w:val="24"/>
        </w:rPr>
        <w:t>（三）发包人及其工作人员不得要求或者接受承包人为其住房装修、婚丧嫁娶活动、配偶子女的工作安排以及出国出境、旅游等提供方便等。</w:t>
      </w:r>
    </w:p>
    <w:p w14:paraId="44E032C6">
      <w:pPr>
        <w:spacing w:line="360" w:lineRule="auto"/>
        <w:ind w:firstLine="480" w:firstLineChars="200"/>
        <w:rPr>
          <w:rFonts w:ascii="宋体" w:hAnsi="宋体" w:cs="宋体"/>
          <w:sz w:val="24"/>
        </w:rPr>
      </w:pPr>
      <w:r>
        <w:rPr>
          <w:rFonts w:hint="eastAsia" w:ascii="宋体" w:hAnsi="宋体" w:cs="宋体"/>
          <w:sz w:val="24"/>
        </w:rPr>
        <w:t>（四）发包人工作人员的配偶、子女不得从事与发包人工程有关的材料设备供应、工程分包、劳务等经济活动。</w:t>
      </w:r>
    </w:p>
    <w:p w14:paraId="43A0450F">
      <w:pPr>
        <w:spacing w:line="360" w:lineRule="auto"/>
        <w:ind w:firstLine="480" w:firstLineChars="200"/>
        <w:rPr>
          <w:rFonts w:ascii="宋体" w:hAnsi="宋体" w:cs="宋体"/>
          <w:sz w:val="24"/>
        </w:rPr>
      </w:pPr>
      <w:r>
        <w:rPr>
          <w:rFonts w:hint="eastAsia" w:ascii="宋体" w:hAnsi="宋体" w:cs="宋体"/>
          <w:sz w:val="24"/>
        </w:rPr>
        <w:t>（五）发包人及其工作人员不得以任何理由向承包人推荐分包单位，不得要求承包人购买合同规定外的材料和设备。</w:t>
      </w:r>
    </w:p>
    <w:p w14:paraId="2FCF1852">
      <w:pPr>
        <w:tabs>
          <w:tab w:val="left" w:pos="720"/>
          <w:tab w:val="left" w:pos="900"/>
          <w:tab w:val="left" w:pos="2880"/>
        </w:tabs>
        <w:spacing w:line="360" w:lineRule="auto"/>
        <w:ind w:firstLine="482" w:firstLineChars="200"/>
        <w:rPr>
          <w:rFonts w:ascii="宋体" w:hAnsi="宋体" w:cs="宋体"/>
          <w:b/>
          <w:sz w:val="24"/>
        </w:rPr>
      </w:pPr>
      <w:r>
        <w:rPr>
          <w:rFonts w:hint="eastAsia" w:ascii="宋体" w:hAnsi="宋体" w:cs="宋体"/>
          <w:b/>
          <w:sz w:val="24"/>
        </w:rPr>
        <w:t>第三条 承包人义务</w:t>
      </w:r>
    </w:p>
    <w:p w14:paraId="1F20F015">
      <w:pPr>
        <w:tabs>
          <w:tab w:val="left" w:pos="720"/>
          <w:tab w:val="left" w:pos="900"/>
          <w:tab w:val="left" w:pos="2880"/>
        </w:tabs>
        <w:spacing w:line="360" w:lineRule="auto"/>
        <w:ind w:firstLine="480" w:firstLineChars="200"/>
        <w:rPr>
          <w:rFonts w:ascii="宋体" w:hAnsi="宋体" w:cs="宋体"/>
          <w:sz w:val="24"/>
        </w:rPr>
      </w:pPr>
      <w:r>
        <w:rPr>
          <w:rFonts w:hint="eastAsia" w:ascii="宋体" w:hAnsi="宋体" w:cs="宋体"/>
          <w:sz w:val="24"/>
        </w:rPr>
        <w:t>（一）承包人不得以任何理由向发包人及其工作人员行贿或馈赠礼金、有价证券、贵重礼品。</w:t>
      </w:r>
    </w:p>
    <w:p w14:paraId="329AF700">
      <w:pPr>
        <w:spacing w:line="360" w:lineRule="auto"/>
        <w:ind w:firstLine="480" w:firstLineChars="200"/>
        <w:rPr>
          <w:rFonts w:ascii="宋体" w:hAnsi="宋体" w:cs="宋体"/>
          <w:sz w:val="24"/>
        </w:rPr>
      </w:pPr>
      <w:r>
        <w:rPr>
          <w:rFonts w:hint="eastAsia" w:ascii="宋体" w:hAnsi="宋体" w:cs="宋体"/>
          <w:sz w:val="24"/>
        </w:rPr>
        <w:t>（二）承包人不得以任何名义向发包人及其工作人员报销应由发包人或个人支付的任何费用。</w:t>
      </w:r>
    </w:p>
    <w:p w14:paraId="38A2EB11">
      <w:pPr>
        <w:spacing w:line="360" w:lineRule="auto"/>
        <w:ind w:firstLine="480" w:firstLineChars="200"/>
        <w:rPr>
          <w:rFonts w:ascii="宋体" w:hAnsi="宋体" w:cs="宋体"/>
          <w:sz w:val="24"/>
        </w:rPr>
      </w:pPr>
      <w:r>
        <w:rPr>
          <w:rFonts w:hint="eastAsia" w:ascii="宋体" w:hAnsi="宋体" w:cs="宋体"/>
          <w:sz w:val="24"/>
        </w:rPr>
        <w:t>（三）承包人不得以任何理由安排发包人及其工作人员参加超标准宴请及娱乐活动。承包人不得为发包人或个人购置或提供通讯工具、交通工具和高档办公用品等。</w:t>
      </w:r>
    </w:p>
    <w:p w14:paraId="608F59D3">
      <w:pPr>
        <w:tabs>
          <w:tab w:val="left" w:pos="1800"/>
          <w:tab w:val="left" w:pos="2160"/>
        </w:tabs>
        <w:spacing w:line="360" w:lineRule="auto"/>
        <w:ind w:firstLine="482" w:firstLineChars="200"/>
        <w:rPr>
          <w:rFonts w:ascii="宋体" w:hAnsi="宋体" w:cs="宋体"/>
          <w:b/>
          <w:sz w:val="24"/>
        </w:rPr>
      </w:pPr>
      <w:r>
        <w:rPr>
          <w:rFonts w:hint="eastAsia" w:ascii="宋体" w:hAnsi="宋体" w:cs="宋体"/>
          <w:b/>
          <w:sz w:val="24"/>
        </w:rPr>
        <w:t>第四条 违约责任</w:t>
      </w:r>
    </w:p>
    <w:p w14:paraId="33413AD5">
      <w:pPr>
        <w:spacing w:line="360" w:lineRule="auto"/>
        <w:ind w:firstLine="480" w:firstLineChars="200"/>
        <w:rPr>
          <w:rFonts w:ascii="宋体" w:hAnsi="宋体" w:cs="宋体"/>
          <w:sz w:val="24"/>
        </w:rPr>
      </w:pPr>
      <w:r>
        <w:rPr>
          <w:rFonts w:hint="eastAsia" w:ascii="宋体" w:hAnsi="宋体" w:cs="宋体"/>
          <w:sz w:val="24"/>
        </w:rPr>
        <w:t>（一）发包人及其工作人员违反本合同第一、二条，按管理权限，根据有关规定，给予党纪、政纪或组织处理；涉嫌犯罪的移交司法机关追究刑事责任；给承包人造成经济损失的，应予以赔偿。</w:t>
      </w:r>
    </w:p>
    <w:p w14:paraId="1A8C7F71">
      <w:pPr>
        <w:spacing w:line="360" w:lineRule="auto"/>
        <w:ind w:firstLine="480" w:firstLineChars="200"/>
        <w:rPr>
          <w:rFonts w:ascii="宋体" w:hAnsi="宋体" w:cs="宋体"/>
          <w:sz w:val="24"/>
        </w:rPr>
      </w:pPr>
      <w:r>
        <w:rPr>
          <w:rFonts w:hint="eastAsia" w:ascii="宋体" w:hAnsi="宋体" w:cs="宋体"/>
          <w:sz w:val="24"/>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029B2DE5">
      <w:pPr>
        <w:spacing w:line="360" w:lineRule="auto"/>
        <w:ind w:firstLine="482" w:firstLineChars="200"/>
        <w:rPr>
          <w:rFonts w:ascii="宋体" w:hAnsi="宋体" w:cs="宋体"/>
          <w:b/>
          <w:sz w:val="24"/>
        </w:rPr>
      </w:pPr>
      <w:r>
        <w:rPr>
          <w:rFonts w:hint="eastAsia" w:ascii="宋体" w:hAnsi="宋体" w:cs="宋体"/>
          <w:b/>
          <w:sz w:val="24"/>
        </w:rPr>
        <w:t>第五条 双方约定：</w:t>
      </w:r>
    </w:p>
    <w:p w14:paraId="06A69F84">
      <w:pPr>
        <w:spacing w:line="360" w:lineRule="auto"/>
        <w:ind w:firstLine="480"/>
        <w:rPr>
          <w:rFonts w:ascii="宋体" w:hAnsi="宋体" w:cs="宋体"/>
          <w:sz w:val="24"/>
        </w:rPr>
      </w:pPr>
      <w:r>
        <w:rPr>
          <w:rFonts w:hint="eastAsia" w:ascii="宋体" w:hAnsi="宋体" w:cs="宋体"/>
          <w:sz w:val="24"/>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3EC875BE">
      <w:pPr>
        <w:spacing w:line="360" w:lineRule="auto"/>
        <w:ind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本合同有效期为发包人与承包人双方签署之日起至该工程项目竣工验收后止。</w:t>
      </w:r>
    </w:p>
    <w:p w14:paraId="617F5DD7">
      <w:pPr>
        <w:spacing w:line="360" w:lineRule="auto"/>
        <w:ind w:firstLine="482" w:firstLineChars="200"/>
        <w:rPr>
          <w:rFonts w:ascii="宋体" w:hAnsi="宋体" w:cs="宋体"/>
          <w:sz w:val="24"/>
        </w:rPr>
      </w:pPr>
      <w:r>
        <w:rPr>
          <w:rFonts w:hint="eastAsia" w:ascii="宋体" w:hAnsi="宋体" w:cs="宋体"/>
          <w:b/>
          <w:sz w:val="24"/>
        </w:rPr>
        <w:t xml:space="preserve">第七条 </w:t>
      </w:r>
      <w:r>
        <w:rPr>
          <w:rFonts w:hint="eastAsia" w:ascii="宋体" w:hAnsi="宋体" w:cs="宋体"/>
          <w:sz w:val="24"/>
        </w:rPr>
        <w:t>本合同作为</w:t>
      </w:r>
      <w:r>
        <w:rPr>
          <w:rFonts w:hint="eastAsia" w:ascii="宋体" w:hAnsi="宋体" w:cs="宋体"/>
          <w:sz w:val="24"/>
          <w:u w:val="single"/>
          <w:lang w:eastAsia="zh-CN"/>
        </w:rPr>
        <w:t>浙江中医药大学滨文校区围墙周界及屋面监控增补项目</w:t>
      </w:r>
      <w:r>
        <w:rPr>
          <w:rFonts w:hint="eastAsia" w:ascii="宋体" w:hAnsi="宋体" w:cs="宋体"/>
          <w:sz w:val="24"/>
        </w:rPr>
        <w:t>施工合同的附件，与施工合同具有同等的法律效力，经合同双方签署立即生效。</w:t>
      </w:r>
    </w:p>
    <w:p w14:paraId="12410248">
      <w:pPr>
        <w:spacing w:line="360" w:lineRule="auto"/>
        <w:ind w:firstLine="482" w:firstLineChars="200"/>
        <w:rPr>
          <w:rFonts w:ascii="宋体" w:hAnsi="宋体" w:cs="宋体"/>
          <w:sz w:val="24"/>
        </w:rPr>
      </w:pPr>
      <w:r>
        <w:rPr>
          <w:rFonts w:hint="eastAsia" w:ascii="宋体" w:hAnsi="宋体" w:cs="宋体"/>
          <w:b/>
          <w:sz w:val="24"/>
        </w:rPr>
        <w:t xml:space="preserve">第八条 </w:t>
      </w:r>
      <w:r>
        <w:rPr>
          <w:rFonts w:hint="eastAsia" w:ascii="宋体" w:hAnsi="宋体" w:cs="宋体"/>
          <w:sz w:val="24"/>
        </w:rPr>
        <w:t>本合同发包人与承包人双方各执三份，送交双方监督单位各一份。</w:t>
      </w:r>
    </w:p>
    <w:p w14:paraId="19128CEF">
      <w:pPr>
        <w:spacing w:line="360" w:lineRule="auto"/>
        <w:rPr>
          <w:rFonts w:ascii="宋体" w:hAnsi="宋体" w:cs="宋体"/>
          <w:sz w:val="24"/>
          <w:u w:val="single"/>
        </w:rPr>
      </w:pPr>
      <w:bookmarkStart w:id="499" w:name="_Hlk74481593"/>
      <w:r>
        <w:rPr>
          <w:rFonts w:hint="eastAsia" w:ascii="宋体" w:hAnsi="宋体" w:cs="宋体"/>
          <w:sz w:val="24"/>
        </w:rPr>
        <w:t>发包人：浙江中医药大学</w:t>
      </w:r>
      <w:r>
        <w:rPr>
          <w:rFonts w:hint="eastAsia" w:ascii="宋体" w:hAnsi="宋体" w:cs="宋体"/>
          <w:sz w:val="24"/>
          <w:u w:val="single"/>
        </w:rPr>
        <w:t xml:space="preserve">（公章）    </w:t>
      </w:r>
      <w:r>
        <w:rPr>
          <w:rFonts w:hint="eastAsia" w:ascii="宋体" w:hAnsi="宋体" w:cs="宋体"/>
          <w:sz w:val="24"/>
        </w:rPr>
        <w:t xml:space="preserve">     承包人：</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（公章） </w:t>
      </w:r>
    </w:p>
    <w:p w14:paraId="7EE149D1">
      <w:pPr>
        <w:spacing w:line="360" w:lineRule="auto"/>
        <w:rPr>
          <w:rFonts w:ascii="宋体" w:hAnsi="宋体" w:cs="宋体"/>
          <w:sz w:val="24"/>
        </w:rPr>
      </w:pPr>
      <w:r>
        <w:rPr>
          <w:rFonts w:hint="eastAsia" w:ascii="宋体" w:hAnsi="宋体" w:cs="宋体"/>
          <w:sz w:val="24"/>
        </w:rPr>
        <w:t>法定代表人或委托代理人：                法定代表人或委托代理人：</w:t>
      </w:r>
    </w:p>
    <w:p w14:paraId="0E582642">
      <w:pPr>
        <w:spacing w:line="360" w:lineRule="auto"/>
        <w:rPr>
          <w:rFonts w:ascii="宋体" w:hAnsi="宋体" w:cs="宋体"/>
          <w:sz w:val="24"/>
        </w:rPr>
      </w:pPr>
      <w:bookmarkStart w:id="500" w:name="_Hlk74481629"/>
      <w:r>
        <w:rPr>
          <w:rFonts w:hint="eastAsia" w:ascii="宋体" w:hAnsi="宋体" w:cs="宋体"/>
          <w:sz w:val="24"/>
        </w:rPr>
        <w:t>地    址：杭州市滨江区滨文路548号      地    址：</w:t>
      </w:r>
    </w:p>
    <w:p w14:paraId="4E5AB8CC">
      <w:pPr>
        <w:spacing w:line="360" w:lineRule="auto"/>
        <w:rPr>
          <w:rFonts w:ascii="宋体" w:hAnsi="宋体" w:cs="宋体"/>
          <w:sz w:val="24"/>
        </w:rPr>
      </w:pPr>
      <w:r>
        <w:rPr>
          <w:rFonts w:hint="eastAsia" w:ascii="宋体" w:hAnsi="宋体" w:cs="宋体"/>
          <w:sz w:val="24"/>
        </w:rPr>
        <w:t>邮政编码：310053                        邮政编码：</w:t>
      </w:r>
    </w:p>
    <w:p w14:paraId="6D9A2086">
      <w:pPr>
        <w:spacing w:line="360" w:lineRule="auto"/>
        <w:rPr>
          <w:rFonts w:ascii="宋体" w:hAnsi="宋体" w:cs="宋体"/>
          <w:sz w:val="24"/>
        </w:rPr>
      </w:pPr>
      <w:r>
        <w:rPr>
          <w:rFonts w:hint="eastAsia" w:ascii="宋体" w:hAnsi="宋体" w:cs="宋体"/>
          <w:sz w:val="24"/>
        </w:rPr>
        <w:t>电    话：                              电    话：</w:t>
      </w:r>
      <w:bookmarkEnd w:id="499"/>
      <w:bookmarkEnd w:id="500"/>
      <w:r>
        <w:rPr>
          <w:rFonts w:hint="eastAsia" w:ascii="宋体" w:hAnsi="宋体" w:cs="宋体"/>
          <w:sz w:val="24"/>
        </w:rPr>
        <w:t xml:space="preserve"> </w:t>
      </w:r>
      <w:bookmarkStart w:id="501" w:name="_Toc276907132"/>
      <w:bookmarkStart w:id="502" w:name="_Toc237256590"/>
      <w:bookmarkStart w:id="503" w:name="_Toc237979988"/>
    </w:p>
    <w:p w14:paraId="0C67EEB9">
      <w:pPr>
        <w:spacing w:line="360" w:lineRule="auto"/>
        <w:rPr>
          <w:rFonts w:ascii="宋体" w:hAnsi="宋体" w:cs="宋体"/>
          <w:sz w:val="24"/>
        </w:rPr>
      </w:pPr>
      <w:r>
        <w:rPr>
          <w:rFonts w:hint="eastAsia" w:ascii="宋体" w:hAnsi="宋体" w:cs="宋体"/>
          <w:sz w:val="24"/>
        </w:rPr>
        <w:br w:type="page"/>
      </w:r>
      <w:bookmarkEnd w:id="501"/>
      <w:bookmarkEnd w:id="502"/>
      <w:bookmarkEnd w:id="503"/>
      <w:r>
        <w:rPr>
          <w:rFonts w:hint="eastAsia" w:ascii="宋体" w:hAnsi="宋体" w:cs="宋体"/>
          <w:sz w:val="24"/>
        </w:rPr>
        <w:t>附件3：</w:t>
      </w:r>
    </w:p>
    <w:p w14:paraId="5A88F5B2">
      <w:pPr>
        <w:spacing w:line="360" w:lineRule="auto"/>
        <w:jc w:val="center"/>
        <w:rPr>
          <w:rFonts w:ascii="宋体" w:hAnsi="宋体" w:cs="宋体"/>
          <w:sz w:val="24"/>
        </w:rPr>
      </w:pPr>
      <w:r>
        <w:rPr>
          <w:rFonts w:hint="eastAsia" w:ascii="宋体" w:hAnsi="宋体" w:cs="宋体"/>
          <w:sz w:val="24"/>
        </w:rPr>
        <w:t>安全生产合同</w:t>
      </w:r>
    </w:p>
    <w:p w14:paraId="6F961F91">
      <w:pPr>
        <w:spacing w:line="360" w:lineRule="auto"/>
        <w:jc w:val="center"/>
        <w:rPr>
          <w:rFonts w:ascii="宋体" w:hAnsi="宋体" w:cs="宋体"/>
          <w:sz w:val="24"/>
        </w:rPr>
      </w:pPr>
    </w:p>
    <w:p w14:paraId="651CD7E3">
      <w:pPr>
        <w:spacing w:line="360" w:lineRule="auto"/>
        <w:ind w:firstLine="480" w:firstLineChars="200"/>
        <w:rPr>
          <w:rFonts w:ascii="宋体" w:hAnsi="宋体" w:cs="宋体"/>
          <w:sz w:val="24"/>
        </w:rPr>
      </w:pPr>
      <w:r>
        <w:rPr>
          <w:rFonts w:hint="eastAsia" w:ascii="宋体" w:hAnsi="宋体" w:cs="宋体"/>
          <w:sz w:val="24"/>
        </w:rPr>
        <w:t>为在</w:t>
      </w:r>
      <w:r>
        <w:rPr>
          <w:rFonts w:hint="eastAsia" w:ascii="宋体" w:hAnsi="宋体" w:cs="宋体"/>
          <w:bCs/>
          <w:sz w:val="24"/>
          <w:u w:val="single"/>
          <w:lang w:eastAsia="zh-CN"/>
        </w:rPr>
        <w:t>浙江中医药大学滨文校区围墙周界及屋面监控增补项目</w:t>
      </w:r>
      <w:r>
        <w:rPr>
          <w:rFonts w:hint="eastAsia" w:ascii="宋体" w:hAnsi="宋体" w:cs="宋体"/>
          <w:sz w:val="24"/>
        </w:rPr>
        <w:t>合同的实施过程中创造安全、高效的施工环境，搞好本项目的安全管理工作，本项目发包人</w:t>
      </w:r>
      <w:r>
        <w:rPr>
          <w:rFonts w:hint="eastAsia" w:ascii="宋体" w:hAnsi="宋体" w:cs="宋体"/>
          <w:kern w:val="0"/>
          <w:sz w:val="24"/>
          <w:u w:val="single"/>
        </w:rPr>
        <w:t xml:space="preserve"> </w:t>
      </w:r>
      <w:r>
        <w:rPr>
          <w:rFonts w:hint="eastAsia" w:ascii="宋体" w:hAnsi="宋体" w:cs="宋体"/>
          <w:sz w:val="24"/>
          <w:u w:val="single"/>
        </w:rPr>
        <w:t>浙江中医药大学</w:t>
      </w:r>
      <w:r>
        <w:rPr>
          <w:rFonts w:hint="eastAsia" w:ascii="宋体" w:hAnsi="宋体" w:cs="宋体"/>
          <w:kern w:val="0"/>
          <w:sz w:val="24"/>
          <w:u w:val="single"/>
        </w:rPr>
        <w:t xml:space="preserve"> </w:t>
      </w:r>
      <w:r>
        <w:rPr>
          <w:rFonts w:hint="eastAsia" w:ascii="宋体" w:hAnsi="宋体" w:cs="宋体"/>
          <w:sz w:val="24"/>
        </w:rPr>
        <w:t>与承包人</w:t>
      </w:r>
      <w:r>
        <w:rPr>
          <w:rFonts w:hint="eastAsia" w:ascii="宋体" w:hAnsi="宋体" w:cs="宋体"/>
          <w:sz w:val="24"/>
          <w:u w:val="single"/>
        </w:rPr>
        <w:t xml:space="preserve">              </w:t>
      </w:r>
      <w:r>
        <w:rPr>
          <w:rFonts w:hint="eastAsia" w:ascii="宋体" w:hAnsi="宋体" w:cs="宋体"/>
          <w:sz w:val="24"/>
        </w:rPr>
        <w:t>特此签订安全生产合同：</w:t>
      </w:r>
    </w:p>
    <w:p w14:paraId="00B2DD84">
      <w:pPr>
        <w:numPr>
          <w:ilvl w:val="1"/>
          <w:numId w:val="3"/>
        </w:numPr>
        <w:tabs>
          <w:tab w:val="left" w:pos="540"/>
          <w:tab w:val="left" w:pos="720"/>
          <w:tab w:val="left" w:pos="900"/>
        </w:tabs>
        <w:spacing w:line="360" w:lineRule="auto"/>
        <w:ind w:hanging="1140"/>
        <w:rPr>
          <w:rFonts w:ascii="宋体" w:hAnsi="宋体" w:cs="宋体"/>
          <w:b/>
          <w:sz w:val="24"/>
        </w:rPr>
      </w:pPr>
      <w:r>
        <w:rPr>
          <w:rFonts w:hint="eastAsia" w:ascii="宋体" w:hAnsi="宋体" w:cs="宋体"/>
          <w:b/>
          <w:sz w:val="24"/>
        </w:rPr>
        <w:t>发包人职责</w:t>
      </w:r>
    </w:p>
    <w:p w14:paraId="46D5928B">
      <w:pPr>
        <w:tabs>
          <w:tab w:val="left" w:pos="900"/>
        </w:tabs>
        <w:spacing w:line="360" w:lineRule="auto"/>
        <w:ind w:firstLine="480" w:firstLineChars="200"/>
        <w:rPr>
          <w:rFonts w:ascii="宋体" w:hAnsi="宋体" w:cs="宋体"/>
          <w:sz w:val="24"/>
        </w:rPr>
      </w:pPr>
      <w:r>
        <w:rPr>
          <w:rFonts w:hint="eastAsia" w:ascii="宋体" w:hAnsi="宋体" w:cs="宋体"/>
          <w:sz w:val="24"/>
        </w:rPr>
        <w:t>1．严格遵守国家有关安全生产的法律法规，认真执行工程承包合同中的有关安全要求。</w:t>
      </w:r>
    </w:p>
    <w:p w14:paraId="3AFA1F0F">
      <w:pPr>
        <w:tabs>
          <w:tab w:val="left" w:pos="720"/>
        </w:tabs>
        <w:spacing w:line="360" w:lineRule="auto"/>
        <w:ind w:firstLine="480" w:firstLineChars="200"/>
        <w:rPr>
          <w:rFonts w:ascii="宋体" w:hAnsi="宋体" w:cs="宋体"/>
          <w:sz w:val="24"/>
        </w:rPr>
      </w:pPr>
      <w:r>
        <w:rPr>
          <w:rFonts w:hint="eastAsia" w:ascii="宋体" w:hAnsi="宋体" w:cs="宋体"/>
          <w:sz w:val="24"/>
        </w:rPr>
        <w:t>2.按照“安全第一、预防为主”和坚持“管生产必须管安全”的原则进行安全生产管理，做到生产与安全工作同时计划、布置、检查、总结和评比。</w:t>
      </w:r>
    </w:p>
    <w:p w14:paraId="746A9111">
      <w:pPr>
        <w:spacing w:line="360" w:lineRule="auto"/>
        <w:ind w:left="271" w:leftChars="129" w:firstLine="120" w:firstLineChars="50"/>
        <w:rPr>
          <w:rFonts w:ascii="宋体" w:hAnsi="宋体" w:cs="宋体"/>
          <w:sz w:val="24"/>
        </w:rPr>
      </w:pPr>
      <w:r>
        <w:rPr>
          <w:rFonts w:hint="eastAsia" w:ascii="宋体" w:hAnsi="宋体" w:cs="宋体"/>
          <w:sz w:val="24"/>
        </w:rPr>
        <w:t>3.重要的安全设施必须坚持与主体工程“三同时”的原则，即：同时设计、审批，</w:t>
      </w:r>
    </w:p>
    <w:p w14:paraId="7AE6A40E">
      <w:pPr>
        <w:spacing w:line="360" w:lineRule="auto"/>
        <w:rPr>
          <w:rFonts w:ascii="宋体" w:hAnsi="宋体" w:cs="宋体"/>
          <w:sz w:val="24"/>
        </w:rPr>
      </w:pPr>
      <w:r>
        <w:rPr>
          <w:rFonts w:hint="eastAsia" w:ascii="宋体" w:hAnsi="宋体" w:cs="宋体"/>
          <w:sz w:val="24"/>
        </w:rPr>
        <w:t>同时施工，同时验收，投入使用。</w:t>
      </w:r>
    </w:p>
    <w:p w14:paraId="647E5731">
      <w:pPr>
        <w:tabs>
          <w:tab w:val="left" w:pos="720"/>
        </w:tabs>
        <w:spacing w:line="360" w:lineRule="auto"/>
        <w:ind w:firstLine="480" w:firstLineChars="200"/>
        <w:rPr>
          <w:rFonts w:ascii="宋体" w:hAnsi="宋体" w:cs="宋体"/>
          <w:sz w:val="24"/>
        </w:rPr>
      </w:pPr>
      <w:r>
        <w:rPr>
          <w:rFonts w:hint="eastAsia" w:ascii="宋体" w:hAnsi="宋体" w:cs="宋体"/>
          <w:sz w:val="24"/>
        </w:rPr>
        <w:t>4.组织对承包人施工现场安全生产检查，监督承包人及时处理发现的各种安全隐患。</w:t>
      </w:r>
    </w:p>
    <w:p w14:paraId="23F0D067">
      <w:pPr>
        <w:spacing w:line="360" w:lineRule="auto"/>
        <w:rPr>
          <w:rFonts w:ascii="宋体" w:hAnsi="宋体" w:cs="宋体"/>
          <w:b/>
          <w:sz w:val="24"/>
        </w:rPr>
      </w:pPr>
      <w:r>
        <w:rPr>
          <w:rFonts w:hint="eastAsia" w:ascii="宋体" w:hAnsi="宋体" w:cs="宋体"/>
          <w:b/>
          <w:sz w:val="24"/>
        </w:rPr>
        <w:t>二、承包人职责</w:t>
      </w:r>
    </w:p>
    <w:p w14:paraId="009C8A14">
      <w:pPr>
        <w:spacing w:line="360" w:lineRule="auto"/>
        <w:ind w:firstLine="480" w:firstLineChars="200"/>
        <w:rPr>
          <w:rFonts w:ascii="宋体" w:hAnsi="宋体" w:cs="宋体"/>
          <w:sz w:val="24"/>
        </w:rPr>
      </w:pPr>
      <w:r>
        <w:rPr>
          <w:rFonts w:hint="eastAsia" w:ascii="宋体" w:hAnsi="宋体" w:cs="宋体"/>
          <w:sz w:val="24"/>
        </w:rPr>
        <w:t>1.严格遵守国家有关安全生产的法律法规和有关安全生产的规定，认真执行工程承包合同中的有关安全要求。</w:t>
      </w:r>
    </w:p>
    <w:p w14:paraId="29FF1E6C">
      <w:pPr>
        <w:spacing w:line="360" w:lineRule="auto"/>
        <w:ind w:firstLine="480" w:firstLineChars="200"/>
        <w:rPr>
          <w:rFonts w:ascii="宋体" w:hAnsi="宋体" w:cs="宋体"/>
          <w:sz w:val="24"/>
        </w:rPr>
      </w:pPr>
      <w:r>
        <w:rPr>
          <w:rFonts w:hint="eastAsia" w:ascii="宋体" w:hAnsi="宋体" w:cs="宋体"/>
          <w:sz w:val="24"/>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279261E0">
      <w:pPr>
        <w:spacing w:line="360" w:lineRule="auto"/>
        <w:ind w:firstLine="600" w:firstLineChars="250"/>
        <w:rPr>
          <w:rFonts w:ascii="宋体" w:hAnsi="宋体" w:cs="宋体"/>
          <w:sz w:val="24"/>
        </w:rPr>
      </w:pPr>
      <w:r>
        <w:rPr>
          <w:rFonts w:hint="eastAsia" w:ascii="宋体" w:hAnsi="宋体" w:cs="宋体"/>
          <w:sz w:val="24"/>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752006F8">
      <w:pPr>
        <w:spacing w:line="360" w:lineRule="auto"/>
        <w:ind w:firstLine="480" w:firstLineChars="200"/>
        <w:rPr>
          <w:rFonts w:ascii="宋体" w:hAnsi="宋体" w:cs="宋体"/>
          <w:sz w:val="24"/>
        </w:rPr>
      </w:pPr>
      <w:r>
        <w:rPr>
          <w:rFonts w:hint="eastAsia" w:ascii="宋体" w:hAnsi="宋体" w:cs="宋体"/>
          <w:sz w:val="24"/>
        </w:rPr>
        <w:t>4.施工期间，承包人应落实预防措施，防止其员工发生任何违法、违禁、暴力或妨碍治安的行为。</w:t>
      </w:r>
    </w:p>
    <w:p w14:paraId="1F157DA3">
      <w:pPr>
        <w:spacing w:line="360" w:lineRule="auto"/>
        <w:ind w:firstLine="480" w:firstLineChars="200"/>
        <w:rPr>
          <w:rFonts w:ascii="宋体" w:hAnsi="宋体" w:cs="宋体"/>
          <w:sz w:val="24"/>
        </w:rPr>
      </w:pPr>
      <w:r>
        <w:rPr>
          <w:rFonts w:hint="eastAsia" w:ascii="宋体" w:hAnsi="宋体" w:cs="宋体"/>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D1518E8">
      <w:pPr>
        <w:spacing w:line="360" w:lineRule="auto"/>
        <w:ind w:firstLine="480" w:firstLineChars="200"/>
        <w:rPr>
          <w:rFonts w:ascii="宋体" w:hAnsi="宋体" w:cs="宋体"/>
          <w:sz w:val="24"/>
        </w:rPr>
      </w:pPr>
      <w:r>
        <w:rPr>
          <w:rFonts w:hint="eastAsia" w:ascii="宋体" w:hAnsi="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3A4C7A0">
      <w:pPr>
        <w:spacing w:line="360" w:lineRule="auto"/>
        <w:ind w:firstLine="480" w:firstLineChars="200"/>
        <w:rPr>
          <w:rFonts w:ascii="宋体" w:hAnsi="宋体" w:cs="宋体"/>
          <w:sz w:val="24"/>
        </w:rPr>
      </w:pPr>
      <w:r>
        <w:rPr>
          <w:rFonts w:hint="eastAsia" w:ascii="宋体" w:hAnsi="宋体" w:cs="宋体"/>
          <w:sz w:val="24"/>
        </w:rPr>
        <w:t>7.操作人员上岗，必须按规定穿戴防护用品。各专业施工负责人和安全检查员应随时检查劳动防护用品的穿戴情况，不按规定穿戴防护用品的人员不得上岗。</w:t>
      </w:r>
    </w:p>
    <w:p w14:paraId="05620F9F">
      <w:pPr>
        <w:spacing w:line="360" w:lineRule="auto"/>
        <w:ind w:firstLine="480" w:firstLineChars="200"/>
        <w:rPr>
          <w:rFonts w:ascii="宋体" w:hAnsi="宋体" w:cs="宋体"/>
          <w:sz w:val="24"/>
        </w:rPr>
      </w:pPr>
      <w:r>
        <w:rPr>
          <w:rFonts w:hint="eastAsia" w:ascii="宋体" w:hAnsi="宋体" w:cs="宋体"/>
          <w:sz w:val="24"/>
        </w:rPr>
        <w:t>8.所有施工机具设备和高空作业的设备均应定期检查，并有安全员的签字记录，保证其经常处于完发状态；不合格的机具、设备和劳动保护用品严禁使用。</w:t>
      </w:r>
    </w:p>
    <w:p w14:paraId="386A0F96">
      <w:pPr>
        <w:spacing w:line="360" w:lineRule="auto"/>
        <w:ind w:firstLine="480" w:firstLineChars="200"/>
        <w:rPr>
          <w:rFonts w:ascii="宋体" w:hAnsi="宋体" w:cs="宋体"/>
          <w:sz w:val="24"/>
        </w:rPr>
      </w:pPr>
      <w:r>
        <w:rPr>
          <w:rFonts w:hint="eastAsia" w:ascii="宋体" w:hAnsi="宋体" w:cs="宋体"/>
          <w:sz w:val="24"/>
        </w:rPr>
        <w:t>9.施工中采用新技术、新工艺、新设备、新材料时，必须制定相应的安全技术措施，施工现场必须具有相关的安全标志牌。</w:t>
      </w:r>
    </w:p>
    <w:p w14:paraId="598DBA63">
      <w:pPr>
        <w:tabs>
          <w:tab w:val="left" w:pos="360"/>
          <w:tab w:val="left" w:pos="540"/>
          <w:tab w:val="left" w:pos="900"/>
          <w:tab w:val="left" w:pos="1080"/>
        </w:tabs>
        <w:spacing w:line="360" w:lineRule="auto"/>
        <w:ind w:firstLine="480" w:firstLineChars="200"/>
        <w:rPr>
          <w:rFonts w:ascii="宋体" w:hAnsi="宋体" w:cs="宋体"/>
          <w:sz w:val="24"/>
        </w:rPr>
      </w:pPr>
      <w:r>
        <w:rPr>
          <w:rFonts w:hint="eastAsia" w:ascii="宋体" w:hAnsi="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5BF1E5D3">
      <w:pPr>
        <w:tabs>
          <w:tab w:val="left" w:pos="360"/>
          <w:tab w:val="left" w:pos="540"/>
          <w:tab w:val="left" w:pos="900"/>
          <w:tab w:val="left" w:pos="1080"/>
        </w:tabs>
        <w:spacing w:line="360" w:lineRule="auto"/>
        <w:ind w:firstLine="480" w:firstLineChars="200"/>
        <w:rPr>
          <w:rFonts w:ascii="宋体" w:hAnsi="宋体" w:cs="宋体"/>
          <w:sz w:val="24"/>
        </w:rPr>
      </w:pPr>
    </w:p>
    <w:p w14:paraId="0ADC610C">
      <w:pPr>
        <w:tabs>
          <w:tab w:val="left" w:pos="360"/>
          <w:tab w:val="left" w:pos="540"/>
          <w:tab w:val="left" w:pos="900"/>
          <w:tab w:val="left" w:pos="1080"/>
        </w:tabs>
        <w:spacing w:line="360" w:lineRule="auto"/>
        <w:rPr>
          <w:rFonts w:ascii="宋体" w:hAnsi="宋体" w:cs="宋体"/>
          <w:b/>
          <w:sz w:val="24"/>
        </w:rPr>
      </w:pPr>
      <w:r>
        <w:rPr>
          <w:rFonts w:hint="eastAsia" w:ascii="宋体" w:hAnsi="宋体" w:cs="宋体"/>
          <w:b/>
          <w:sz w:val="24"/>
        </w:rPr>
        <w:t>三、违约责任</w:t>
      </w:r>
    </w:p>
    <w:p w14:paraId="2DAEB977">
      <w:pPr>
        <w:tabs>
          <w:tab w:val="left" w:pos="36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如因发包人或承包人违约造成安全事故，将依法追究责任。</w:t>
      </w:r>
    </w:p>
    <w:p w14:paraId="7C55A4C0">
      <w:pPr>
        <w:tabs>
          <w:tab w:val="left" w:pos="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 xml:space="preserve">本合同一式八份，双方各执四份。由双方法定代表人或授权代理人签字并加盖单位印章后生效。 </w:t>
      </w:r>
    </w:p>
    <w:p w14:paraId="554056C0">
      <w:pPr>
        <w:tabs>
          <w:tab w:val="left" w:pos="0"/>
          <w:tab w:val="left" w:pos="540"/>
          <w:tab w:val="left" w:pos="720"/>
          <w:tab w:val="left" w:pos="900"/>
          <w:tab w:val="left" w:pos="1080"/>
        </w:tabs>
        <w:spacing w:line="360" w:lineRule="auto"/>
        <w:ind w:firstLine="480" w:firstLineChars="200"/>
        <w:rPr>
          <w:rFonts w:ascii="宋体" w:hAnsi="宋体" w:cs="宋体"/>
          <w:sz w:val="24"/>
        </w:rPr>
      </w:pPr>
    </w:p>
    <w:p w14:paraId="34AF7522">
      <w:pPr>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浙江中医药大学 （盖章）</w:t>
      </w:r>
      <w:r>
        <w:rPr>
          <w:rFonts w:hint="eastAsia" w:ascii="宋体" w:hAnsi="宋体" w:cs="宋体"/>
          <w:sz w:val="24"/>
        </w:rPr>
        <w:t xml:space="preserve">     承包人：</w:t>
      </w:r>
      <w:r>
        <w:rPr>
          <w:rFonts w:hint="eastAsia" w:ascii="宋体" w:hAnsi="宋体" w:cs="宋体"/>
          <w:sz w:val="24"/>
          <w:u w:val="single"/>
        </w:rPr>
        <w:t xml:space="preserve">             （盖章）   </w:t>
      </w:r>
      <w:r>
        <w:rPr>
          <w:rFonts w:hint="eastAsia" w:ascii="宋体" w:hAnsi="宋体" w:cs="宋体"/>
          <w:sz w:val="24"/>
        </w:rPr>
        <w:t xml:space="preserve"> </w:t>
      </w:r>
    </w:p>
    <w:p w14:paraId="3B6D4795">
      <w:pPr>
        <w:spacing w:line="360" w:lineRule="auto"/>
        <w:rPr>
          <w:rFonts w:ascii="宋体" w:hAnsi="宋体" w:cs="宋体"/>
          <w:sz w:val="24"/>
        </w:rPr>
      </w:pPr>
      <w:r>
        <w:rPr>
          <w:rFonts w:hint="eastAsia" w:ascii="宋体" w:hAnsi="宋体" w:cs="宋体"/>
          <w:sz w:val="24"/>
        </w:rPr>
        <w:t>法定代表人或授权代表人：                法定代表人或授权代表人：</w:t>
      </w:r>
    </w:p>
    <w:p w14:paraId="2C218A33">
      <w:pPr>
        <w:spacing w:line="360" w:lineRule="auto"/>
        <w:ind w:left="6240" w:hanging="6240" w:hangingChars="2600"/>
        <w:rPr>
          <w:rFonts w:ascii="宋体" w:hAnsi="宋体" w:cs="宋体"/>
          <w:sz w:val="24"/>
        </w:rPr>
      </w:pPr>
      <w:r>
        <w:rPr>
          <w:rFonts w:hint="eastAsia" w:ascii="宋体" w:hAnsi="宋体" w:cs="宋体"/>
          <w:sz w:val="24"/>
        </w:rPr>
        <w:t>地    址：杭州市滨江区滨文路548号      地    址：</w:t>
      </w:r>
      <w:r>
        <w:rPr>
          <w:rFonts w:hint="eastAsia" w:ascii="宋体" w:hAnsi="宋体" w:cs="宋体"/>
          <w:b/>
          <w:bCs/>
          <w:sz w:val="24"/>
          <w:u w:val="single"/>
        </w:rPr>
        <w:t xml:space="preserve"> </w:t>
      </w:r>
    </w:p>
    <w:p w14:paraId="32D2B8BB">
      <w:pPr>
        <w:spacing w:line="360" w:lineRule="auto"/>
        <w:rPr>
          <w:rFonts w:ascii="宋体" w:hAnsi="宋体" w:cs="宋体"/>
          <w:sz w:val="24"/>
        </w:rPr>
      </w:pPr>
      <w:r>
        <w:rPr>
          <w:rFonts w:hint="eastAsia" w:ascii="宋体" w:hAnsi="宋体" w:cs="宋体"/>
          <w:sz w:val="24"/>
        </w:rPr>
        <w:t>电    话：                              电    话：</w:t>
      </w:r>
    </w:p>
    <w:p w14:paraId="07C4F902">
      <w:pPr>
        <w:spacing w:line="360" w:lineRule="auto"/>
        <w:jc w:val="center"/>
        <w:rPr>
          <w:rFonts w:ascii="宋体" w:hAnsi="宋体" w:cs="宋体"/>
          <w:sz w:val="24"/>
        </w:rPr>
      </w:pPr>
      <w:r>
        <w:rPr>
          <w:rFonts w:hint="eastAsia" w:ascii="宋体" w:hAnsi="宋体" w:cs="宋体"/>
          <w:sz w:val="24"/>
        </w:rPr>
        <w:t>年   月   日                            年    月    日</w:t>
      </w:r>
    </w:p>
    <w:p w14:paraId="46637D89">
      <w:pPr>
        <w:widowControl/>
        <w:jc w:val="left"/>
        <w:rPr>
          <w:rFonts w:ascii="宋体" w:hAnsi="宋体" w:cs="宋体"/>
          <w:sz w:val="24"/>
        </w:rPr>
      </w:pPr>
      <w:r>
        <w:rPr>
          <w:rFonts w:hint="eastAsia" w:ascii="宋体" w:hAnsi="宋体" w:cs="宋体"/>
          <w:sz w:val="24"/>
        </w:rPr>
        <w:br w:type="page"/>
      </w:r>
    </w:p>
    <w:p w14:paraId="0A01FB06">
      <w:pPr>
        <w:spacing w:line="360" w:lineRule="auto"/>
        <w:rPr>
          <w:rFonts w:ascii="宋体" w:hAnsi="宋体" w:cs="宋体"/>
          <w:sz w:val="24"/>
        </w:rPr>
      </w:pPr>
      <w:r>
        <w:rPr>
          <w:rFonts w:hint="eastAsia" w:ascii="宋体" w:hAnsi="宋体" w:cs="宋体"/>
          <w:sz w:val="24"/>
        </w:rPr>
        <w:t>附件4：</w:t>
      </w:r>
    </w:p>
    <w:p w14:paraId="59A6248F">
      <w:pPr>
        <w:spacing w:line="360" w:lineRule="auto"/>
        <w:jc w:val="center"/>
        <w:rPr>
          <w:rFonts w:ascii="宋体" w:hAnsi="宋体" w:cs="宋体"/>
          <w:sz w:val="24"/>
        </w:rPr>
      </w:pPr>
      <w:bookmarkStart w:id="504" w:name="_Toc12000"/>
      <w:bookmarkStart w:id="505" w:name="_Toc5449"/>
      <w:bookmarkStart w:id="506" w:name="_Toc22601"/>
      <w:r>
        <w:rPr>
          <w:rFonts w:hint="eastAsia" w:ascii="宋体" w:hAnsi="宋体" w:cs="宋体"/>
          <w:sz w:val="24"/>
        </w:rPr>
        <w:t>主要材料（设备）清单</w:t>
      </w:r>
      <w:bookmarkEnd w:id="504"/>
      <w:bookmarkEnd w:id="505"/>
      <w:bookmarkEnd w:id="506"/>
    </w:p>
    <w:p w14:paraId="4FDD26FA">
      <w:pPr>
        <w:spacing w:line="360" w:lineRule="auto"/>
        <w:jc w:val="left"/>
        <w:rPr>
          <w:rFonts w:ascii="宋体" w:hAnsi="宋体" w:cs="宋体"/>
          <w:sz w:val="24"/>
        </w:rPr>
      </w:pPr>
      <w:r>
        <w:rPr>
          <w:rFonts w:hint="eastAsia" w:ascii="宋体" w:hAnsi="宋体" w:cs="宋体"/>
          <w:sz w:val="24"/>
        </w:rPr>
        <w:t>项目名称：</w:t>
      </w:r>
    </w:p>
    <w:tbl>
      <w:tblPr>
        <w:tblStyle w:val="6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1EEF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140FA3F6">
            <w:pPr>
              <w:jc w:val="center"/>
              <w:rPr>
                <w:rFonts w:ascii="宋体" w:hAnsi="宋体" w:cs="宋体"/>
                <w:b/>
                <w:kern w:val="0"/>
                <w:sz w:val="24"/>
              </w:rPr>
            </w:pPr>
            <w:r>
              <w:rPr>
                <w:rFonts w:hint="eastAsia" w:ascii="宋体" w:hAnsi="宋体" w:cs="宋体"/>
                <w:b/>
                <w:kern w:val="0"/>
                <w:sz w:val="24"/>
              </w:rPr>
              <w:t>序号</w:t>
            </w:r>
          </w:p>
        </w:tc>
        <w:tc>
          <w:tcPr>
            <w:tcW w:w="2218" w:type="dxa"/>
          </w:tcPr>
          <w:p w14:paraId="51B8A7B1">
            <w:pPr>
              <w:jc w:val="center"/>
              <w:rPr>
                <w:rFonts w:ascii="宋体" w:hAnsi="宋体" w:cs="宋体"/>
                <w:b/>
                <w:kern w:val="0"/>
                <w:sz w:val="24"/>
              </w:rPr>
            </w:pPr>
            <w:r>
              <w:rPr>
                <w:rFonts w:hint="eastAsia" w:ascii="宋体" w:hAnsi="宋体" w:cs="宋体"/>
                <w:b/>
                <w:kern w:val="0"/>
                <w:sz w:val="24"/>
              </w:rPr>
              <w:t>材料（设备</w:t>
            </w:r>
            <w:r>
              <w:rPr>
                <w:rFonts w:hint="eastAsia" w:ascii="宋体" w:hAnsi="宋体" w:cs="宋体"/>
                <w:b/>
                <w:bCs/>
                <w:kern w:val="0"/>
                <w:sz w:val="24"/>
              </w:rPr>
              <w:t>）名称</w:t>
            </w:r>
          </w:p>
        </w:tc>
        <w:tc>
          <w:tcPr>
            <w:tcW w:w="1357" w:type="dxa"/>
          </w:tcPr>
          <w:p w14:paraId="67D72BAB">
            <w:pPr>
              <w:jc w:val="center"/>
              <w:rPr>
                <w:rFonts w:ascii="宋体" w:hAnsi="宋体" w:cs="宋体"/>
                <w:b/>
                <w:kern w:val="0"/>
                <w:sz w:val="24"/>
              </w:rPr>
            </w:pPr>
            <w:r>
              <w:rPr>
                <w:rFonts w:hint="eastAsia" w:ascii="宋体" w:hAnsi="宋体" w:cs="宋体"/>
                <w:b/>
                <w:kern w:val="0"/>
                <w:sz w:val="24"/>
              </w:rPr>
              <w:t>品牌</w:t>
            </w:r>
          </w:p>
        </w:tc>
        <w:tc>
          <w:tcPr>
            <w:tcW w:w="1536" w:type="dxa"/>
          </w:tcPr>
          <w:p w14:paraId="67F0B780">
            <w:pPr>
              <w:jc w:val="center"/>
              <w:rPr>
                <w:rFonts w:ascii="宋体" w:hAnsi="宋体" w:cs="宋体"/>
                <w:b/>
                <w:kern w:val="0"/>
                <w:sz w:val="24"/>
              </w:rPr>
            </w:pPr>
            <w:r>
              <w:rPr>
                <w:rFonts w:hint="eastAsia" w:ascii="宋体" w:hAnsi="宋体" w:cs="宋体"/>
                <w:b/>
                <w:kern w:val="0"/>
                <w:sz w:val="24"/>
              </w:rPr>
              <w:t>规格型号</w:t>
            </w:r>
          </w:p>
        </w:tc>
        <w:tc>
          <w:tcPr>
            <w:tcW w:w="2000" w:type="dxa"/>
          </w:tcPr>
          <w:p w14:paraId="3E35928A">
            <w:pPr>
              <w:jc w:val="center"/>
              <w:rPr>
                <w:rFonts w:ascii="宋体" w:hAnsi="宋体" w:cs="宋体"/>
                <w:b/>
                <w:kern w:val="0"/>
                <w:sz w:val="24"/>
              </w:rPr>
            </w:pPr>
            <w:r>
              <w:rPr>
                <w:rFonts w:hint="eastAsia" w:ascii="宋体" w:hAnsi="宋体" w:cs="宋体"/>
                <w:b/>
                <w:kern w:val="0"/>
                <w:sz w:val="24"/>
              </w:rPr>
              <w:t>厂家</w:t>
            </w:r>
          </w:p>
        </w:tc>
        <w:tc>
          <w:tcPr>
            <w:tcW w:w="973" w:type="dxa"/>
          </w:tcPr>
          <w:p w14:paraId="6DCBB4BD">
            <w:pPr>
              <w:jc w:val="center"/>
              <w:rPr>
                <w:rFonts w:ascii="宋体" w:hAnsi="宋体" w:cs="宋体"/>
                <w:b/>
                <w:kern w:val="0"/>
                <w:sz w:val="24"/>
              </w:rPr>
            </w:pPr>
            <w:r>
              <w:rPr>
                <w:rFonts w:hint="eastAsia" w:ascii="宋体" w:hAnsi="宋体" w:cs="宋体"/>
                <w:b/>
                <w:kern w:val="0"/>
                <w:sz w:val="24"/>
              </w:rPr>
              <w:t>产地</w:t>
            </w:r>
          </w:p>
        </w:tc>
      </w:tr>
      <w:tr w14:paraId="5570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tcPr>
          <w:p w14:paraId="626A28DD">
            <w:pPr>
              <w:jc w:val="center"/>
              <w:rPr>
                <w:rFonts w:ascii="宋体" w:hAnsi="宋体" w:cs="宋体"/>
                <w:kern w:val="0"/>
                <w:sz w:val="24"/>
              </w:rPr>
            </w:pPr>
            <w:r>
              <w:rPr>
                <w:rFonts w:hint="eastAsia" w:ascii="宋体" w:hAnsi="宋体" w:cs="宋体"/>
                <w:kern w:val="0"/>
                <w:sz w:val="24"/>
              </w:rPr>
              <w:t>1</w:t>
            </w:r>
          </w:p>
        </w:tc>
        <w:tc>
          <w:tcPr>
            <w:tcW w:w="2218" w:type="dxa"/>
          </w:tcPr>
          <w:p w14:paraId="1FA16F3C">
            <w:pPr>
              <w:jc w:val="center"/>
              <w:rPr>
                <w:rFonts w:ascii="宋体" w:hAnsi="宋体" w:cs="宋体"/>
                <w:kern w:val="0"/>
                <w:sz w:val="24"/>
              </w:rPr>
            </w:pPr>
          </w:p>
        </w:tc>
        <w:tc>
          <w:tcPr>
            <w:tcW w:w="1357" w:type="dxa"/>
          </w:tcPr>
          <w:p w14:paraId="2088D44E">
            <w:pPr>
              <w:jc w:val="center"/>
              <w:rPr>
                <w:rFonts w:ascii="宋体" w:hAnsi="宋体" w:cs="宋体"/>
                <w:kern w:val="0"/>
                <w:sz w:val="24"/>
              </w:rPr>
            </w:pPr>
          </w:p>
        </w:tc>
        <w:tc>
          <w:tcPr>
            <w:tcW w:w="1536" w:type="dxa"/>
          </w:tcPr>
          <w:p w14:paraId="50BE6C17">
            <w:pPr>
              <w:jc w:val="center"/>
              <w:rPr>
                <w:rFonts w:ascii="宋体" w:hAnsi="宋体" w:cs="宋体"/>
                <w:kern w:val="0"/>
                <w:sz w:val="24"/>
              </w:rPr>
            </w:pPr>
          </w:p>
        </w:tc>
        <w:tc>
          <w:tcPr>
            <w:tcW w:w="2000" w:type="dxa"/>
          </w:tcPr>
          <w:p w14:paraId="09C21AC4">
            <w:pPr>
              <w:jc w:val="center"/>
              <w:rPr>
                <w:rFonts w:ascii="宋体" w:hAnsi="宋体" w:cs="宋体"/>
                <w:kern w:val="0"/>
                <w:sz w:val="24"/>
              </w:rPr>
            </w:pPr>
          </w:p>
        </w:tc>
        <w:tc>
          <w:tcPr>
            <w:tcW w:w="973" w:type="dxa"/>
          </w:tcPr>
          <w:p w14:paraId="596263EE">
            <w:pPr>
              <w:jc w:val="center"/>
              <w:rPr>
                <w:rFonts w:ascii="宋体" w:hAnsi="宋体" w:cs="宋体"/>
                <w:kern w:val="0"/>
                <w:sz w:val="24"/>
              </w:rPr>
            </w:pPr>
          </w:p>
        </w:tc>
      </w:tr>
      <w:tr w14:paraId="2B3B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tcPr>
          <w:p w14:paraId="1C2B3C98">
            <w:pPr>
              <w:jc w:val="center"/>
              <w:rPr>
                <w:rFonts w:ascii="宋体" w:hAnsi="宋体" w:cs="宋体"/>
                <w:kern w:val="0"/>
                <w:sz w:val="24"/>
              </w:rPr>
            </w:pPr>
            <w:r>
              <w:rPr>
                <w:rFonts w:hint="eastAsia" w:ascii="宋体" w:hAnsi="宋体" w:cs="宋体"/>
                <w:kern w:val="0"/>
                <w:sz w:val="24"/>
              </w:rPr>
              <w:t>2</w:t>
            </w:r>
          </w:p>
        </w:tc>
        <w:tc>
          <w:tcPr>
            <w:tcW w:w="2218" w:type="dxa"/>
          </w:tcPr>
          <w:p w14:paraId="0617C6A1">
            <w:pPr>
              <w:jc w:val="center"/>
              <w:rPr>
                <w:rFonts w:ascii="宋体" w:hAnsi="宋体" w:cs="宋体"/>
                <w:kern w:val="0"/>
                <w:sz w:val="24"/>
              </w:rPr>
            </w:pPr>
          </w:p>
        </w:tc>
        <w:tc>
          <w:tcPr>
            <w:tcW w:w="1357" w:type="dxa"/>
          </w:tcPr>
          <w:p w14:paraId="27241225">
            <w:pPr>
              <w:jc w:val="center"/>
              <w:rPr>
                <w:rFonts w:ascii="宋体" w:hAnsi="宋体" w:cs="宋体"/>
                <w:kern w:val="0"/>
                <w:sz w:val="24"/>
              </w:rPr>
            </w:pPr>
          </w:p>
        </w:tc>
        <w:tc>
          <w:tcPr>
            <w:tcW w:w="1536" w:type="dxa"/>
          </w:tcPr>
          <w:p w14:paraId="543FCF30">
            <w:pPr>
              <w:jc w:val="center"/>
              <w:rPr>
                <w:rFonts w:ascii="宋体" w:hAnsi="宋体" w:cs="宋体"/>
                <w:kern w:val="0"/>
                <w:sz w:val="24"/>
              </w:rPr>
            </w:pPr>
          </w:p>
        </w:tc>
        <w:tc>
          <w:tcPr>
            <w:tcW w:w="2000" w:type="dxa"/>
          </w:tcPr>
          <w:p w14:paraId="47FAF665">
            <w:pPr>
              <w:jc w:val="center"/>
              <w:rPr>
                <w:rFonts w:ascii="宋体" w:hAnsi="宋体" w:cs="宋体"/>
                <w:kern w:val="0"/>
                <w:sz w:val="24"/>
              </w:rPr>
            </w:pPr>
          </w:p>
        </w:tc>
        <w:tc>
          <w:tcPr>
            <w:tcW w:w="973" w:type="dxa"/>
          </w:tcPr>
          <w:p w14:paraId="5A985C42">
            <w:pPr>
              <w:jc w:val="center"/>
              <w:rPr>
                <w:rFonts w:ascii="宋体" w:hAnsi="宋体" w:cs="宋体"/>
                <w:kern w:val="0"/>
                <w:sz w:val="24"/>
              </w:rPr>
            </w:pPr>
          </w:p>
        </w:tc>
      </w:tr>
      <w:tr w14:paraId="11AE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tcPr>
          <w:p w14:paraId="0C27CD2B">
            <w:pPr>
              <w:jc w:val="center"/>
              <w:rPr>
                <w:rFonts w:ascii="宋体" w:hAnsi="宋体" w:cs="宋体"/>
                <w:kern w:val="0"/>
                <w:sz w:val="24"/>
              </w:rPr>
            </w:pPr>
            <w:r>
              <w:rPr>
                <w:rFonts w:hint="eastAsia" w:ascii="宋体" w:hAnsi="宋体" w:cs="宋体"/>
                <w:kern w:val="0"/>
                <w:sz w:val="24"/>
              </w:rPr>
              <w:t>3</w:t>
            </w:r>
          </w:p>
        </w:tc>
        <w:tc>
          <w:tcPr>
            <w:tcW w:w="2218" w:type="dxa"/>
          </w:tcPr>
          <w:p w14:paraId="1C59BEC5">
            <w:pPr>
              <w:jc w:val="center"/>
              <w:rPr>
                <w:rFonts w:ascii="宋体" w:hAnsi="宋体" w:cs="宋体"/>
                <w:kern w:val="0"/>
                <w:sz w:val="24"/>
              </w:rPr>
            </w:pPr>
          </w:p>
        </w:tc>
        <w:tc>
          <w:tcPr>
            <w:tcW w:w="1357" w:type="dxa"/>
          </w:tcPr>
          <w:p w14:paraId="1583048F">
            <w:pPr>
              <w:jc w:val="center"/>
              <w:rPr>
                <w:rFonts w:ascii="宋体" w:hAnsi="宋体" w:cs="宋体"/>
                <w:kern w:val="0"/>
                <w:sz w:val="24"/>
              </w:rPr>
            </w:pPr>
          </w:p>
        </w:tc>
        <w:tc>
          <w:tcPr>
            <w:tcW w:w="1536" w:type="dxa"/>
          </w:tcPr>
          <w:p w14:paraId="0EA9798E">
            <w:pPr>
              <w:jc w:val="center"/>
              <w:rPr>
                <w:rFonts w:ascii="宋体" w:hAnsi="宋体" w:cs="宋体"/>
                <w:kern w:val="0"/>
                <w:sz w:val="24"/>
              </w:rPr>
            </w:pPr>
          </w:p>
        </w:tc>
        <w:tc>
          <w:tcPr>
            <w:tcW w:w="2000" w:type="dxa"/>
          </w:tcPr>
          <w:p w14:paraId="76B1EA32">
            <w:pPr>
              <w:jc w:val="center"/>
              <w:rPr>
                <w:rFonts w:ascii="宋体" w:hAnsi="宋体" w:cs="宋体"/>
                <w:kern w:val="0"/>
                <w:sz w:val="24"/>
              </w:rPr>
            </w:pPr>
          </w:p>
        </w:tc>
        <w:tc>
          <w:tcPr>
            <w:tcW w:w="973" w:type="dxa"/>
          </w:tcPr>
          <w:p w14:paraId="22402C8D">
            <w:pPr>
              <w:jc w:val="center"/>
              <w:rPr>
                <w:rFonts w:ascii="宋体" w:hAnsi="宋体" w:cs="宋体"/>
                <w:kern w:val="0"/>
                <w:sz w:val="24"/>
              </w:rPr>
            </w:pPr>
          </w:p>
        </w:tc>
      </w:tr>
      <w:tr w14:paraId="29AA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tcPr>
          <w:p w14:paraId="04D8AD62">
            <w:pPr>
              <w:jc w:val="center"/>
              <w:rPr>
                <w:rFonts w:ascii="宋体" w:hAnsi="宋体" w:cs="宋体"/>
                <w:kern w:val="0"/>
                <w:sz w:val="24"/>
              </w:rPr>
            </w:pPr>
            <w:r>
              <w:rPr>
                <w:rFonts w:hint="eastAsia" w:ascii="宋体" w:hAnsi="宋体" w:cs="宋体"/>
                <w:kern w:val="0"/>
                <w:sz w:val="24"/>
              </w:rPr>
              <w:t>4</w:t>
            </w:r>
          </w:p>
        </w:tc>
        <w:tc>
          <w:tcPr>
            <w:tcW w:w="2218" w:type="dxa"/>
          </w:tcPr>
          <w:p w14:paraId="60590D1F">
            <w:pPr>
              <w:jc w:val="center"/>
              <w:rPr>
                <w:rFonts w:ascii="宋体" w:hAnsi="宋体" w:cs="宋体"/>
                <w:kern w:val="0"/>
                <w:sz w:val="24"/>
              </w:rPr>
            </w:pPr>
          </w:p>
        </w:tc>
        <w:tc>
          <w:tcPr>
            <w:tcW w:w="1357" w:type="dxa"/>
          </w:tcPr>
          <w:p w14:paraId="60CCFEE7">
            <w:pPr>
              <w:jc w:val="center"/>
              <w:rPr>
                <w:rFonts w:ascii="宋体" w:hAnsi="宋体" w:cs="宋体"/>
                <w:kern w:val="0"/>
                <w:sz w:val="24"/>
              </w:rPr>
            </w:pPr>
          </w:p>
        </w:tc>
        <w:tc>
          <w:tcPr>
            <w:tcW w:w="1536" w:type="dxa"/>
          </w:tcPr>
          <w:p w14:paraId="491ABD0A">
            <w:pPr>
              <w:jc w:val="center"/>
              <w:rPr>
                <w:rFonts w:ascii="宋体" w:hAnsi="宋体" w:cs="宋体"/>
                <w:kern w:val="0"/>
                <w:sz w:val="24"/>
              </w:rPr>
            </w:pPr>
          </w:p>
        </w:tc>
        <w:tc>
          <w:tcPr>
            <w:tcW w:w="2000" w:type="dxa"/>
          </w:tcPr>
          <w:p w14:paraId="74D17052">
            <w:pPr>
              <w:jc w:val="center"/>
              <w:rPr>
                <w:rFonts w:ascii="宋体" w:hAnsi="宋体" w:cs="宋体"/>
                <w:kern w:val="0"/>
                <w:sz w:val="24"/>
              </w:rPr>
            </w:pPr>
          </w:p>
        </w:tc>
        <w:tc>
          <w:tcPr>
            <w:tcW w:w="973" w:type="dxa"/>
          </w:tcPr>
          <w:p w14:paraId="0C5491E5">
            <w:pPr>
              <w:jc w:val="center"/>
              <w:rPr>
                <w:rFonts w:ascii="宋体" w:hAnsi="宋体" w:cs="宋体"/>
                <w:kern w:val="0"/>
                <w:sz w:val="24"/>
              </w:rPr>
            </w:pPr>
          </w:p>
        </w:tc>
      </w:tr>
      <w:tr w14:paraId="2972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tcPr>
          <w:p w14:paraId="3BC5123F">
            <w:pPr>
              <w:jc w:val="center"/>
              <w:rPr>
                <w:rFonts w:ascii="宋体" w:hAnsi="宋体" w:cs="宋体"/>
                <w:kern w:val="0"/>
                <w:sz w:val="24"/>
              </w:rPr>
            </w:pPr>
            <w:r>
              <w:rPr>
                <w:rFonts w:hint="eastAsia" w:ascii="宋体" w:hAnsi="宋体" w:cs="宋体"/>
                <w:kern w:val="0"/>
                <w:sz w:val="24"/>
              </w:rPr>
              <w:t>5</w:t>
            </w:r>
          </w:p>
        </w:tc>
        <w:tc>
          <w:tcPr>
            <w:tcW w:w="2218" w:type="dxa"/>
          </w:tcPr>
          <w:p w14:paraId="2336BCF6">
            <w:pPr>
              <w:jc w:val="center"/>
              <w:rPr>
                <w:rFonts w:ascii="宋体" w:hAnsi="宋体" w:cs="宋体"/>
                <w:kern w:val="0"/>
                <w:sz w:val="24"/>
              </w:rPr>
            </w:pPr>
          </w:p>
        </w:tc>
        <w:tc>
          <w:tcPr>
            <w:tcW w:w="1357" w:type="dxa"/>
          </w:tcPr>
          <w:p w14:paraId="72C95D99">
            <w:pPr>
              <w:ind w:firstLine="240" w:firstLineChars="100"/>
              <w:rPr>
                <w:rFonts w:ascii="宋体" w:hAnsi="宋体" w:cs="宋体"/>
                <w:kern w:val="0"/>
                <w:sz w:val="24"/>
              </w:rPr>
            </w:pPr>
          </w:p>
        </w:tc>
        <w:tc>
          <w:tcPr>
            <w:tcW w:w="1536" w:type="dxa"/>
          </w:tcPr>
          <w:p w14:paraId="5ECE70AC">
            <w:pPr>
              <w:jc w:val="center"/>
              <w:rPr>
                <w:rFonts w:ascii="宋体" w:hAnsi="宋体" w:cs="宋体"/>
                <w:kern w:val="0"/>
                <w:sz w:val="24"/>
              </w:rPr>
            </w:pPr>
          </w:p>
        </w:tc>
        <w:tc>
          <w:tcPr>
            <w:tcW w:w="2000" w:type="dxa"/>
          </w:tcPr>
          <w:p w14:paraId="266F4C80">
            <w:pPr>
              <w:jc w:val="center"/>
              <w:rPr>
                <w:rFonts w:ascii="宋体" w:hAnsi="宋体" w:cs="宋体"/>
                <w:kern w:val="0"/>
                <w:sz w:val="24"/>
              </w:rPr>
            </w:pPr>
          </w:p>
        </w:tc>
        <w:tc>
          <w:tcPr>
            <w:tcW w:w="973" w:type="dxa"/>
          </w:tcPr>
          <w:p w14:paraId="18B10CF1">
            <w:pPr>
              <w:jc w:val="center"/>
              <w:rPr>
                <w:rFonts w:ascii="宋体" w:hAnsi="宋体" w:cs="宋体"/>
                <w:kern w:val="0"/>
                <w:sz w:val="24"/>
              </w:rPr>
            </w:pPr>
          </w:p>
        </w:tc>
      </w:tr>
      <w:tr w14:paraId="693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tcPr>
          <w:p w14:paraId="76AD23FD">
            <w:pPr>
              <w:jc w:val="center"/>
              <w:rPr>
                <w:rFonts w:ascii="宋体" w:hAnsi="宋体" w:cs="宋体"/>
                <w:kern w:val="0"/>
                <w:sz w:val="24"/>
              </w:rPr>
            </w:pPr>
            <w:r>
              <w:rPr>
                <w:rFonts w:hint="eastAsia" w:ascii="宋体" w:hAnsi="宋体" w:cs="宋体"/>
                <w:kern w:val="0"/>
                <w:sz w:val="24"/>
              </w:rPr>
              <w:t>6</w:t>
            </w:r>
          </w:p>
        </w:tc>
        <w:tc>
          <w:tcPr>
            <w:tcW w:w="2218" w:type="dxa"/>
          </w:tcPr>
          <w:p w14:paraId="3F57C5E1">
            <w:pPr>
              <w:jc w:val="center"/>
              <w:rPr>
                <w:rFonts w:ascii="宋体" w:hAnsi="宋体" w:cs="宋体"/>
                <w:kern w:val="0"/>
                <w:sz w:val="24"/>
              </w:rPr>
            </w:pPr>
          </w:p>
        </w:tc>
        <w:tc>
          <w:tcPr>
            <w:tcW w:w="1357" w:type="dxa"/>
          </w:tcPr>
          <w:p w14:paraId="2FE91706">
            <w:pPr>
              <w:jc w:val="center"/>
              <w:rPr>
                <w:rFonts w:ascii="宋体" w:hAnsi="宋体" w:cs="宋体"/>
                <w:kern w:val="0"/>
                <w:sz w:val="24"/>
              </w:rPr>
            </w:pPr>
          </w:p>
        </w:tc>
        <w:tc>
          <w:tcPr>
            <w:tcW w:w="1536" w:type="dxa"/>
          </w:tcPr>
          <w:p w14:paraId="24A0BCBB">
            <w:pPr>
              <w:jc w:val="center"/>
              <w:rPr>
                <w:rFonts w:ascii="宋体" w:hAnsi="宋体" w:cs="宋体"/>
                <w:kern w:val="0"/>
                <w:sz w:val="24"/>
              </w:rPr>
            </w:pPr>
          </w:p>
        </w:tc>
        <w:tc>
          <w:tcPr>
            <w:tcW w:w="2000" w:type="dxa"/>
          </w:tcPr>
          <w:p w14:paraId="41E21835">
            <w:pPr>
              <w:jc w:val="center"/>
              <w:rPr>
                <w:rFonts w:ascii="宋体" w:hAnsi="宋体" w:cs="宋体"/>
                <w:kern w:val="0"/>
                <w:sz w:val="24"/>
              </w:rPr>
            </w:pPr>
          </w:p>
        </w:tc>
        <w:tc>
          <w:tcPr>
            <w:tcW w:w="973" w:type="dxa"/>
          </w:tcPr>
          <w:p w14:paraId="32CA6BE4">
            <w:pPr>
              <w:jc w:val="center"/>
              <w:rPr>
                <w:rFonts w:ascii="宋体" w:hAnsi="宋体" w:cs="宋体"/>
                <w:kern w:val="0"/>
                <w:sz w:val="24"/>
              </w:rPr>
            </w:pPr>
          </w:p>
        </w:tc>
      </w:tr>
      <w:tr w14:paraId="207A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tcPr>
          <w:p w14:paraId="17702B3F">
            <w:pPr>
              <w:jc w:val="center"/>
              <w:rPr>
                <w:rFonts w:ascii="宋体" w:hAnsi="宋体" w:cs="宋体"/>
                <w:kern w:val="0"/>
                <w:sz w:val="24"/>
              </w:rPr>
            </w:pPr>
            <w:r>
              <w:rPr>
                <w:rFonts w:hint="eastAsia" w:ascii="宋体" w:hAnsi="宋体" w:cs="宋体"/>
                <w:kern w:val="0"/>
                <w:sz w:val="24"/>
              </w:rPr>
              <w:t>7</w:t>
            </w:r>
          </w:p>
        </w:tc>
        <w:tc>
          <w:tcPr>
            <w:tcW w:w="2218" w:type="dxa"/>
          </w:tcPr>
          <w:p w14:paraId="3AA6ABC1">
            <w:pPr>
              <w:jc w:val="center"/>
              <w:rPr>
                <w:rFonts w:ascii="宋体" w:hAnsi="宋体" w:cs="宋体"/>
                <w:kern w:val="0"/>
                <w:sz w:val="24"/>
              </w:rPr>
            </w:pPr>
          </w:p>
        </w:tc>
        <w:tc>
          <w:tcPr>
            <w:tcW w:w="1357" w:type="dxa"/>
          </w:tcPr>
          <w:p w14:paraId="033A0909">
            <w:pPr>
              <w:jc w:val="center"/>
              <w:rPr>
                <w:rFonts w:ascii="宋体" w:hAnsi="宋体" w:cs="宋体"/>
                <w:kern w:val="0"/>
                <w:sz w:val="24"/>
              </w:rPr>
            </w:pPr>
          </w:p>
        </w:tc>
        <w:tc>
          <w:tcPr>
            <w:tcW w:w="1536" w:type="dxa"/>
          </w:tcPr>
          <w:p w14:paraId="7CD0C93B">
            <w:pPr>
              <w:jc w:val="center"/>
              <w:rPr>
                <w:rFonts w:ascii="宋体" w:hAnsi="宋体" w:cs="宋体"/>
                <w:kern w:val="0"/>
                <w:sz w:val="24"/>
              </w:rPr>
            </w:pPr>
          </w:p>
        </w:tc>
        <w:tc>
          <w:tcPr>
            <w:tcW w:w="2000" w:type="dxa"/>
          </w:tcPr>
          <w:p w14:paraId="78995BC0">
            <w:pPr>
              <w:jc w:val="center"/>
              <w:rPr>
                <w:rFonts w:ascii="宋体" w:hAnsi="宋体" w:cs="宋体"/>
                <w:kern w:val="0"/>
                <w:sz w:val="24"/>
              </w:rPr>
            </w:pPr>
          </w:p>
        </w:tc>
        <w:tc>
          <w:tcPr>
            <w:tcW w:w="973" w:type="dxa"/>
          </w:tcPr>
          <w:p w14:paraId="7FD805C9">
            <w:pPr>
              <w:jc w:val="center"/>
              <w:rPr>
                <w:rFonts w:ascii="宋体" w:hAnsi="宋体" w:cs="宋体"/>
                <w:kern w:val="0"/>
                <w:sz w:val="24"/>
              </w:rPr>
            </w:pPr>
          </w:p>
        </w:tc>
      </w:tr>
    </w:tbl>
    <w:p w14:paraId="7DA50C3A">
      <w:pPr>
        <w:pStyle w:val="24"/>
        <w:spacing w:line="600" w:lineRule="auto"/>
        <w:rPr>
          <w:rFonts w:cs="宋体"/>
        </w:rPr>
      </w:pPr>
    </w:p>
    <w:p w14:paraId="7B8FE6CA">
      <w:pPr>
        <w:rPr>
          <w:rFonts w:ascii="宋体" w:hAnsi="宋体" w:cs="宋体"/>
          <w:sz w:val="24"/>
        </w:rPr>
      </w:pPr>
    </w:p>
    <w:p w14:paraId="46B57573">
      <w:pPr>
        <w:rPr>
          <w:rFonts w:ascii="宋体" w:hAnsi="宋体" w:cs="宋体"/>
          <w:sz w:val="24"/>
        </w:rPr>
      </w:pPr>
    </w:p>
    <w:p w14:paraId="43C96B43">
      <w:pPr>
        <w:rPr>
          <w:rFonts w:ascii="宋体" w:hAnsi="宋体" w:cs="宋体"/>
          <w:sz w:val="24"/>
        </w:rPr>
      </w:pPr>
    </w:p>
    <w:p w14:paraId="1ADAD866">
      <w:pPr>
        <w:spacing w:line="360" w:lineRule="auto"/>
        <w:rPr>
          <w:rFonts w:ascii="宋体" w:hAnsi="宋体" w:cs="宋体"/>
          <w:sz w:val="24"/>
        </w:rPr>
      </w:pPr>
      <w:r>
        <w:rPr>
          <w:rFonts w:hint="eastAsia" w:ascii="宋体" w:hAnsi="宋体" w:cs="宋体"/>
          <w:sz w:val="24"/>
        </w:rPr>
        <w:t>附件5：</w:t>
      </w:r>
    </w:p>
    <w:p w14:paraId="2FAB1A76">
      <w:pPr>
        <w:spacing w:line="360" w:lineRule="auto"/>
        <w:ind w:right="-420" w:rightChars="-200"/>
        <w:rPr>
          <w:rFonts w:ascii="宋体" w:hAnsi="宋体" w:cs="宋体"/>
          <w:sz w:val="24"/>
        </w:rPr>
      </w:pPr>
      <w:r>
        <w:rPr>
          <w:rFonts w:hint="eastAsia" w:ascii="宋体" w:hAnsi="宋体" w:cs="宋体"/>
          <w:sz w:val="24"/>
        </w:rPr>
        <w:t>营业执照和相关资质</w:t>
      </w:r>
    </w:p>
    <w:p w14:paraId="4CBD4B93">
      <w:pPr>
        <w:pStyle w:val="24"/>
        <w:sectPr>
          <w:headerReference r:id="rId6" w:type="first"/>
          <w:footerReference r:id="rId8" w:type="first"/>
          <w:footerReference r:id="rId7" w:type="default"/>
          <w:pgSz w:w="11906" w:h="16838"/>
          <w:pgMar w:top="1440" w:right="1080" w:bottom="1440" w:left="1080" w:header="851" w:footer="992" w:gutter="0"/>
          <w:cols w:space="720" w:num="1"/>
          <w:titlePg/>
          <w:docGrid w:linePitch="312" w:charSpace="0"/>
        </w:sectPr>
      </w:pPr>
    </w:p>
    <w:p w14:paraId="5BC3095B">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507" w:name="_Toc8123"/>
      <w:r>
        <w:rPr>
          <w:rFonts w:hint="eastAsia" w:ascii="宋体" w:hAnsi="宋体" w:cs="宋体"/>
          <w:b/>
          <w:color w:val="000000" w:themeColor="text1"/>
          <w:sz w:val="36"/>
          <w:szCs w:val="20"/>
          <w14:textFill>
            <w14:solidFill>
              <w14:schemeClr w14:val="tx1"/>
            </w14:solidFill>
          </w14:textFill>
        </w:rPr>
        <w:t>第六部分</w:t>
      </w:r>
      <w:bookmarkEnd w:id="438"/>
      <w:r>
        <w:rPr>
          <w:rFonts w:hint="eastAsia" w:ascii="宋体" w:hAnsi="宋体" w:cs="宋体"/>
          <w:b/>
          <w:color w:val="000000" w:themeColor="text1"/>
          <w:sz w:val="36"/>
          <w:szCs w:val="20"/>
          <w14:textFill>
            <w14:solidFill>
              <w14:schemeClr w14:val="tx1"/>
            </w14:solidFill>
          </w14:textFill>
        </w:rPr>
        <w:t xml:space="preserve"> </w:t>
      </w:r>
      <w:bookmarkEnd w:id="439"/>
      <w:r>
        <w:rPr>
          <w:rFonts w:hint="eastAsia" w:ascii="宋体" w:hAnsi="宋体" w:cs="宋体"/>
          <w:b/>
          <w:color w:val="000000" w:themeColor="text1"/>
          <w:sz w:val="36"/>
          <w:szCs w:val="20"/>
          <w14:textFill>
            <w14:solidFill>
              <w14:schemeClr w14:val="tx1"/>
            </w14:solidFill>
          </w14:textFill>
        </w:rPr>
        <w:t>应提交的有关格式范例</w:t>
      </w:r>
      <w:bookmarkEnd w:id="507"/>
    </w:p>
    <w:p w14:paraId="5C31C1B5">
      <w:pPr>
        <w:spacing w:line="360" w:lineRule="auto"/>
        <w:jc w:val="center"/>
        <w:rPr>
          <w:rFonts w:ascii="宋体" w:hAnsi="宋体" w:cs="宋体"/>
          <w:b/>
          <w:color w:val="000000" w:themeColor="text1"/>
          <w:kern w:val="0"/>
          <w:sz w:val="36"/>
          <w:szCs w:val="36"/>
          <w14:textFill>
            <w14:solidFill>
              <w14:schemeClr w14:val="tx1"/>
            </w14:solidFill>
          </w14:textFill>
        </w:rPr>
      </w:pPr>
    </w:p>
    <w:p w14:paraId="3383C238">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08" w:name="_Toc27521"/>
      <w:r>
        <w:rPr>
          <w:rFonts w:hint="eastAsia" w:ascii="宋体" w:hAnsi="宋体" w:cs="宋体"/>
          <w:b/>
          <w:color w:val="000000" w:themeColor="text1"/>
          <w:kern w:val="0"/>
          <w:sz w:val="36"/>
          <w:szCs w:val="36"/>
          <w14:textFill>
            <w14:solidFill>
              <w14:schemeClr w14:val="tx1"/>
            </w14:solidFill>
          </w14:textFill>
        </w:rPr>
        <w:t>资格文件部分</w:t>
      </w:r>
      <w:bookmarkEnd w:id="508"/>
    </w:p>
    <w:p w14:paraId="3993EC85">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03F4721C">
      <w:pPr>
        <w:spacing w:line="360" w:lineRule="auto"/>
        <w:jc w:val="center"/>
        <w:rPr>
          <w:rFonts w:ascii="宋体" w:hAnsi="宋体" w:cs="宋体"/>
          <w:b/>
          <w:color w:val="000000" w:themeColor="text1"/>
          <w:kern w:val="0"/>
          <w:sz w:val="36"/>
          <w:szCs w:val="36"/>
          <w14:textFill>
            <w14:solidFill>
              <w14:schemeClr w14:val="tx1"/>
            </w14:solidFill>
          </w14:textFill>
        </w:rPr>
      </w:pPr>
    </w:p>
    <w:p w14:paraId="56A494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0427903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34970DB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0719327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7FD03E8D">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618453A3">
      <w:pPr>
        <w:spacing w:line="360" w:lineRule="auto"/>
        <w:ind w:firstLine="480" w:firstLineChars="200"/>
        <w:rPr>
          <w:rFonts w:ascii="宋体" w:hAnsi="宋体" w:cs="宋体"/>
          <w:color w:val="000000" w:themeColor="text1"/>
          <w:sz w:val="24"/>
          <w14:textFill>
            <w14:solidFill>
              <w14:schemeClr w14:val="tx1"/>
            </w14:solidFill>
          </w14:textFill>
        </w:rPr>
      </w:pPr>
    </w:p>
    <w:p w14:paraId="7B193F48">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bookmarkStart w:id="509" w:name="_Toc6722"/>
      <w:bookmarkStart w:id="510" w:name="_Toc10049"/>
      <w:r>
        <w:rPr>
          <w:rFonts w:hint="eastAsia" w:ascii="宋体" w:hAnsi="宋体" w:cs="宋体"/>
          <w:b/>
          <w:color w:val="000000" w:themeColor="text1"/>
          <w:kern w:val="0"/>
          <w:sz w:val="32"/>
          <w:szCs w:val="32"/>
          <w14:textFill>
            <w14:solidFill>
              <w14:schemeClr w14:val="tx1"/>
            </w14:solidFill>
          </w14:textFill>
        </w:rPr>
        <w:t>一、符合参加政府采购活动应当具备的一般条件的承诺函</w:t>
      </w:r>
      <w:bookmarkEnd w:id="509"/>
      <w:bookmarkEnd w:id="510"/>
    </w:p>
    <w:p w14:paraId="2B99F78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42A95D6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】政府采购活动，郑重承诺：</w:t>
      </w:r>
    </w:p>
    <w:p w14:paraId="58D6CE7F">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48FB2DB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5521397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C090C5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4B851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BD8B0E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70824BA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4884557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2CC88F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665C267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5463E85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F474E7A">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315973A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82508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6E73D74">
      <w:pPr>
        <w:widowControl/>
        <w:spacing w:line="360" w:lineRule="auto"/>
        <w:ind w:firstLine="643" w:firstLineChars="200"/>
        <w:jc w:val="center"/>
        <w:outlineLvl w:val="2"/>
        <w:rPr>
          <w:rFonts w:ascii="宋体" w:hAnsi="宋体" w:cs="宋体"/>
          <w:b/>
          <w:color w:val="000000" w:themeColor="text1"/>
          <w:kern w:val="0"/>
          <w:sz w:val="32"/>
          <w:szCs w:val="32"/>
          <w14:textFill>
            <w14:solidFill>
              <w14:schemeClr w14:val="tx1"/>
            </w14:solidFill>
          </w14:textFill>
        </w:rPr>
      </w:pPr>
      <w:bookmarkStart w:id="511" w:name="_Toc24919"/>
      <w:bookmarkStart w:id="512" w:name="_Toc5560"/>
      <w:r>
        <w:rPr>
          <w:rFonts w:hint="eastAsia" w:ascii="宋体" w:hAnsi="宋体" w:cs="宋体"/>
          <w:b/>
          <w:color w:val="000000" w:themeColor="text1"/>
          <w:kern w:val="0"/>
          <w:sz w:val="32"/>
          <w:szCs w:val="32"/>
          <w14:textFill>
            <w14:solidFill>
              <w14:schemeClr w14:val="tx1"/>
            </w14:solidFill>
          </w14:textFill>
        </w:rPr>
        <w:t>二、联合协议（如果有）</w:t>
      </w:r>
      <w:bookmarkEnd w:id="511"/>
      <w:bookmarkEnd w:id="512"/>
    </w:p>
    <w:p w14:paraId="7D7C24EF">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14:paraId="597C391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044A2137">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bookmarkStart w:id="513" w:name="_Toc10334"/>
      <w:bookmarkStart w:id="514" w:name="_Toc12414"/>
      <w:r>
        <w:rPr>
          <w:rFonts w:hint="eastAsia" w:ascii="宋体" w:hAnsi="宋体" w:cs="宋体"/>
          <w:b/>
          <w:color w:val="000000" w:themeColor="text1"/>
          <w:kern w:val="0"/>
          <w:sz w:val="32"/>
          <w:szCs w:val="32"/>
          <w14:textFill>
            <w14:solidFill>
              <w14:schemeClr w14:val="tx1"/>
            </w14:solidFill>
          </w14:textFill>
        </w:rPr>
        <w:t>三、落实政府采购政策需满足的资格要求</w:t>
      </w:r>
      <w:bookmarkEnd w:id="513"/>
      <w:bookmarkEnd w:id="514"/>
    </w:p>
    <w:p w14:paraId="028F819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（根据竞争性磋商公告落实政府采购政策需满足的资格要求选择提供相应的材料；未要求的，无需提供）</w:t>
      </w:r>
    </w:p>
    <w:p w14:paraId="0E94A113">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0D4A9D89">
      <w:pPr>
        <w:widowControl/>
        <w:spacing w:line="360" w:lineRule="auto"/>
        <w:ind w:firstLine="480"/>
        <w:jc w:val="left"/>
        <w:rPr>
          <w:rFonts w:ascii="宋体" w:hAnsi="宋体" w:cs="宋体"/>
          <w:color w:val="000000" w:themeColor="text1"/>
          <w:sz w:val="24"/>
          <w14:textFill>
            <w14:solidFill>
              <w14:schemeClr w14:val="tx1"/>
            </w14:solidFill>
          </w14:textFill>
        </w:rPr>
      </w:pPr>
    </w:p>
    <w:p w14:paraId="17459AB2">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51EEB8E9">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94D3CC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5E30F973">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4960E938">
      <w:pPr>
        <w:widowControl/>
        <w:spacing w:line="360" w:lineRule="auto"/>
        <w:ind w:left="150"/>
        <w:jc w:val="center"/>
        <w:outlineLvl w:val="2"/>
        <w:rPr>
          <w:rFonts w:ascii="宋体" w:hAnsi="宋体" w:cs="宋体"/>
          <w:b/>
          <w:color w:val="000000" w:themeColor="text1"/>
          <w:kern w:val="0"/>
          <w:sz w:val="32"/>
          <w:szCs w:val="32"/>
          <w14:textFill>
            <w14:solidFill>
              <w14:schemeClr w14:val="tx1"/>
            </w14:solidFill>
          </w14:textFill>
        </w:rPr>
      </w:pPr>
      <w:bookmarkStart w:id="515" w:name="_Toc26817"/>
      <w:bookmarkStart w:id="516" w:name="_Toc19643"/>
      <w:r>
        <w:rPr>
          <w:rFonts w:hint="eastAsia" w:ascii="宋体" w:hAnsi="宋体" w:cs="宋体"/>
          <w:b/>
          <w:color w:val="000000" w:themeColor="text1"/>
          <w:kern w:val="0"/>
          <w:sz w:val="32"/>
          <w:szCs w:val="32"/>
          <w14:textFill>
            <w14:solidFill>
              <w14:schemeClr w14:val="tx1"/>
            </w14:solidFill>
          </w14:textFill>
        </w:rPr>
        <w:t>四、本项目的特定资格要求</w:t>
      </w:r>
      <w:bookmarkEnd w:id="515"/>
      <w:bookmarkEnd w:id="516"/>
    </w:p>
    <w:p w14:paraId="7697297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（根据竞争性磋商公告本项目的特定资格要求提供相应的材料；未要求的，无需提供）</w:t>
      </w:r>
    </w:p>
    <w:p w14:paraId="1ED8B81F">
      <w:pPr>
        <w:rPr>
          <w:rFonts w:ascii="宋体" w:hAnsi="宋体" w:cs="宋体"/>
          <w:color w:val="000000" w:themeColor="text1"/>
          <w14:textFill>
            <w14:solidFill>
              <w14:schemeClr w14:val="tx1"/>
            </w14:solidFill>
          </w14:textFill>
        </w:rPr>
      </w:pPr>
    </w:p>
    <w:p w14:paraId="72FA09D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6499860">
      <w:pPr>
        <w:tabs>
          <w:tab w:val="left" w:pos="432"/>
        </w:tabs>
        <w:rPr>
          <w:rFonts w:ascii="宋体" w:hAnsi="宋体" w:cs="宋体"/>
          <w:color w:val="000000" w:themeColor="text1"/>
          <w:kern w:val="0"/>
          <w:sz w:val="36"/>
          <w:szCs w:val="36"/>
          <w14:textFill>
            <w14:solidFill>
              <w14:schemeClr w14:val="tx1"/>
            </w14:solidFill>
          </w14:textFill>
        </w:rPr>
      </w:pPr>
    </w:p>
    <w:p w14:paraId="27C92900">
      <w:pPr>
        <w:spacing w:line="360" w:lineRule="auto"/>
        <w:ind w:right="420" w:firstLine="3614" w:firstLineChars="1000"/>
        <w:outlineLvl w:val="1"/>
        <w:rPr>
          <w:rFonts w:ascii="宋体" w:hAnsi="宋体" w:cs="宋体"/>
          <w:b/>
          <w:color w:val="000000" w:themeColor="text1"/>
          <w:kern w:val="0"/>
          <w:sz w:val="36"/>
          <w:szCs w:val="36"/>
          <w14:textFill>
            <w14:solidFill>
              <w14:schemeClr w14:val="tx1"/>
            </w14:solidFill>
          </w14:textFill>
        </w:rPr>
      </w:pPr>
      <w:bookmarkStart w:id="517" w:name="_Toc10085"/>
      <w:r>
        <w:rPr>
          <w:rFonts w:hint="eastAsia" w:ascii="宋体" w:hAnsi="宋体" w:cs="宋体"/>
          <w:b/>
          <w:color w:val="000000" w:themeColor="text1"/>
          <w:kern w:val="0"/>
          <w:sz w:val="36"/>
          <w:szCs w:val="36"/>
          <w14:textFill>
            <w14:solidFill>
              <w14:schemeClr w14:val="tx1"/>
            </w14:solidFill>
          </w14:textFill>
        </w:rPr>
        <w:t>商务技术文件部分</w:t>
      </w:r>
      <w:bookmarkEnd w:id="517"/>
    </w:p>
    <w:p w14:paraId="1A311009">
      <w:pPr>
        <w:spacing w:line="360" w:lineRule="auto"/>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54C018F9">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响应函……………………………………………………………………………（页码）</w:t>
      </w:r>
    </w:p>
    <w:p w14:paraId="7A366ADA">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sz w:val="24"/>
          <w14:textFill>
            <w14:solidFill>
              <w14:schemeClr w14:val="tx1"/>
            </w14:solidFill>
          </w14:textFill>
        </w:rPr>
        <w:t>……………（页码）</w:t>
      </w:r>
    </w:p>
    <w:p w14:paraId="0DF7FDAB">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）分包意向协议………………………………………………………………………（页码）</w:t>
      </w:r>
    </w:p>
    <w:p w14:paraId="5291C6B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60EBD21C">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）评审标准相应的商务技术资料……………………………………………………（页码）（</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）商务技术偏离表……………………………………………………………………（页码）</w:t>
      </w:r>
    </w:p>
    <w:p w14:paraId="6CDA2532">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14:paraId="48F6125B">
      <w:pPr>
        <w:snapToGrid w:val="0"/>
        <w:spacing w:line="360" w:lineRule="auto"/>
        <w:jc w:val="center"/>
        <w:rPr>
          <w:rFonts w:ascii="宋体" w:hAnsi="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2D0BD098">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18" w:name="_Toc27154"/>
      <w:bookmarkStart w:id="519" w:name="_Toc30362"/>
      <w:r>
        <w:rPr>
          <w:rFonts w:hint="eastAsia" w:ascii="宋体" w:hAnsi="宋体" w:cs="宋体"/>
          <w:b/>
          <w:bCs/>
          <w:color w:val="000000" w:themeColor="text1"/>
          <w:sz w:val="32"/>
          <w:szCs w:val="32"/>
          <w:lang w:val="zh-CN"/>
          <w14:textFill>
            <w14:solidFill>
              <w14:schemeClr w14:val="tx1"/>
            </w14:solidFill>
          </w14:textFill>
        </w:rPr>
        <w:t>一、响应函</w:t>
      </w:r>
      <w:bookmarkEnd w:id="518"/>
      <w:bookmarkEnd w:id="519"/>
    </w:p>
    <w:p w14:paraId="1B4BD34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7AB20F9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】采购的有关活动，并对此项目提交响应文件及报价。为此：</w:t>
      </w:r>
    </w:p>
    <w:p w14:paraId="3B76BFF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1、我方承诺响应文件有效期从提交响应文件的截止之日起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本响应文件在响应文件有效期满之前均具有约束力。</w:t>
      </w:r>
    </w:p>
    <w:p w14:paraId="4D860A4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6E94A5A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6C7E241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035B999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23E99EB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0C9A174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243FAA91">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1F91A2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r>
        <w:rPr>
          <w:rFonts w:hint="eastAsia" w:ascii="宋体" w:hAnsi="宋体" w:cs="宋体"/>
          <w:color w:val="000000" w:themeColor="text1"/>
          <w:sz w:val="24"/>
          <w:lang w:val="zh-CN"/>
          <w14:textFill>
            <w14:solidFill>
              <w14:schemeClr w14:val="tx1"/>
            </w14:solidFill>
          </w14:textFill>
        </w:rPr>
        <w:t xml:space="preserve"> </w:t>
      </w:r>
    </w:p>
    <w:p w14:paraId="4FBACFC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460EC1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5BBFBFA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2680C89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w:t>
      </w:r>
    </w:p>
    <w:p w14:paraId="2C03FEC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51B9CAE3">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15975DA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A4B9C2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2.3.1报价单；</w:t>
      </w:r>
    </w:p>
    <w:p w14:paraId="78C67AB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2.3.2已标价工程量清单；</w:t>
      </w:r>
    </w:p>
    <w:p w14:paraId="30A797A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3EFDDAAF">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3、我方承诺除商务技术偏离表列出的偏离外，我方响应采购文件的全部要求。对响应文件中材料的真实性、合法性负责，积极配合采购人、采购代理机构复核响应文件中的资料。</w:t>
      </w:r>
    </w:p>
    <w:p w14:paraId="190EBDC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332F8665">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6CF8B93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45F327A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46DC22E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2556880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E511E2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6、其他补充说明: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1A8272E">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440C2C6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CC39583">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0C38C1E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D83EDE">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1CC3AE02">
      <w:pPr>
        <w:snapToGrid w:val="0"/>
        <w:spacing w:line="360" w:lineRule="auto"/>
        <w:rPr>
          <w:rFonts w:ascii="宋体" w:hAnsi="宋体" w:cs="宋体"/>
          <w:color w:val="000000" w:themeColor="text1"/>
          <w:sz w:val="24"/>
          <w14:textFill>
            <w14:solidFill>
              <w14:schemeClr w14:val="tx1"/>
            </w14:solidFill>
          </w14:textFill>
        </w:rPr>
      </w:pPr>
    </w:p>
    <w:p w14:paraId="1796CAF5">
      <w:pPr>
        <w:jc w:val="center"/>
        <w:rPr>
          <w:rFonts w:ascii="宋体" w:hAnsi="宋体" w:cs="宋体"/>
          <w:b/>
          <w:color w:val="000000" w:themeColor="text1"/>
          <w:kern w:val="0"/>
          <w:sz w:val="32"/>
          <w:szCs w:val="32"/>
          <w14:textFill>
            <w14:solidFill>
              <w14:schemeClr w14:val="tx1"/>
            </w14:solidFill>
          </w14:textFill>
        </w:rPr>
      </w:pPr>
    </w:p>
    <w:p w14:paraId="49595445">
      <w:pPr>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AACBF9D">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20" w:name="_Toc27709"/>
      <w:bookmarkStart w:id="521" w:name="_Toc7284"/>
      <w:r>
        <w:rPr>
          <w:rFonts w:hint="eastAsia" w:ascii="宋体" w:hAnsi="宋体" w:cs="宋体"/>
          <w:b/>
          <w:bCs/>
          <w:color w:val="000000" w:themeColor="text1"/>
          <w:sz w:val="32"/>
          <w:szCs w:val="32"/>
          <w:lang w:val="zh-CN"/>
          <w14:textFill>
            <w14:solidFill>
              <w14:schemeClr w14:val="tx1"/>
            </w14:solidFill>
          </w14:textFill>
        </w:rPr>
        <w:t>二、授权委托书或法定代表人（单位负责人、自然人本人）身份证明</w:t>
      </w:r>
      <w:bookmarkEnd w:id="520"/>
      <w:bookmarkEnd w:id="521"/>
    </w:p>
    <w:p w14:paraId="69BFD7B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87A54D3">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授权委托书（适用于非联合体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25C048D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0E82FDA1">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55A8B5E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D1DD3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09A9530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4D945206">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1A1EF401">
      <w:pPr>
        <w:snapToGrid w:val="0"/>
        <w:spacing w:line="360" w:lineRule="auto"/>
        <w:rPr>
          <w:rFonts w:ascii="宋体" w:hAnsi="宋体" w:cs="宋体"/>
          <w:color w:val="000000" w:themeColor="text1"/>
          <w:sz w:val="24"/>
          <w14:textFill>
            <w14:solidFill>
              <w14:schemeClr w14:val="tx1"/>
            </w14:solidFill>
          </w14:textFill>
        </w:rPr>
      </w:pPr>
    </w:p>
    <w:p w14:paraId="64CB191B">
      <w:pPr>
        <w:snapToGrid w:val="0"/>
        <w:spacing w:line="360" w:lineRule="auto"/>
        <w:rPr>
          <w:rFonts w:ascii="宋体" w:hAnsi="宋体" w:cs="宋体"/>
          <w:color w:val="000000" w:themeColor="text1"/>
          <w:sz w:val="24"/>
          <w14:textFill>
            <w14:solidFill>
              <w14:schemeClr w14:val="tx1"/>
            </w14:solidFill>
          </w14:textFill>
        </w:rPr>
      </w:pPr>
    </w:p>
    <w:p w14:paraId="52E1BD70">
      <w:pPr>
        <w:snapToGrid w:val="0"/>
        <w:spacing w:line="360" w:lineRule="auto"/>
        <w:rPr>
          <w:rFonts w:ascii="宋体" w:hAnsi="宋体" w:cs="宋体"/>
          <w:color w:val="000000" w:themeColor="text1"/>
          <w:sz w:val="24"/>
          <w14:textFill>
            <w14:solidFill>
              <w14:schemeClr w14:val="tx1"/>
            </w14:solidFill>
          </w14:textFill>
        </w:rPr>
      </w:pPr>
    </w:p>
    <w:p w14:paraId="1F90B57B">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4F298D4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5453F6A5">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3BD7A7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4783F4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F84CAA1">
      <w:pPr>
        <w:jc w:val="center"/>
        <w:rPr>
          <w:rFonts w:ascii="宋体" w:hAnsi="宋体" w:cs="宋体"/>
          <w:b/>
          <w:color w:val="000000" w:themeColor="text1"/>
          <w:kern w:val="0"/>
          <w:sz w:val="32"/>
          <w:szCs w:val="32"/>
          <w14:textFill>
            <w14:solidFill>
              <w14:schemeClr w14:val="tx1"/>
            </w14:solidFill>
          </w14:textFill>
        </w:rPr>
      </w:pPr>
    </w:p>
    <w:p w14:paraId="0A2E1B59">
      <w:pPr>
        <w:jc w:val="center"/>
        <w:rPr>
          <w:rFonts w:ascii="宋体" w:hAnsi="宋体" w:cs="宋体"/>
          <w:b/>
          <w:color w:val="000000" w:themeColor="text1"/>
          <w:kern w:val="0"/>
          <w:sz w:val="32"/>
          <w:szCs w:val="32"/>
          <w14:textFill>
            <w14:solidFill>
              <w14:schemeClr w14:val="tx1"/>
            </w14:solidFill>
          </w14:textFill>
        </w:rPr>
      </w:pPr>
    </w:p>
    <w:p w14:paraId="733DD454">
      <w:pPr>
        <w:jc w:val="center"/>
        <w:rPr>
          <w:rFonts w:ascii="宋体" w:hAnsi="宋体" w:cs="宋体"/>
          <w:b/>
          <w:color w:val="000000" w:themeColor="text1"/>
          <w:kern w:val="0"/>
          <w:sz w:val="32"/>
          <w:szCs w:val="32"/>
          <w14:textFill>
            <w14:solidFill>
              <w14:schemeClr w14:val="tx1"/>
            </w14:solidFill>
          </w14:textFill>
        </w:rPr>
      </w:pPr>
    </w:p>
    <w:p w14:paraId="1FA3BD64">
      <w:pPr>
        <w:rPr>
          <w:rFonts w:ascii="宋体" w:hAnsi="宋体" w:cs="宋体"/>
          <w:color w:val="000000" w:themeColor="text1"/>
          <w14:textFill>
            <w14:solidFill>
              <w14:schemeClr w14:val="tx1"/>
            </w14:solidFill>
          </w14:textFill>
        </w:rPr>
      </w:pPr>
    </w:p>
    <w:p w14:paraId="01CC62A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2CD340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EE2F45E">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D265B7E">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AA40176">
      <w:pPr>
        <w:snapToGrid w:val="0"/>
        <w:jc w:val="center"/>
        <w:rPr>
          <w:rFonts w:ascii="宋体" w:hAnsi="宋体" w:cs="宋体"/>
          <w:b/>
          <w:bCs/>
          <w:color w:val="000000" w:themeColor="text1"/>
          <w:sz w:val="32"/>
          <w:szCs w:val="32"/>
          <w:lang w:val="zh-CN"/>
          <w14:textFill>
            <w14:solidFill>
              <w14:schemeClr w14:val="tx1"/>
            </w14:solidFill>
          </w14:textFill>
        </w:rPr>
      </w:pPr>
    </w:p>
    <w:p w14:paraId="141807BA">
      <w:pPr>
        <w:snapToGrid w:val="0"/>
        <w:jc w:val="center"/>
        <w:rPr>
          <w:rFonts w:ascii="宋体" w:hAnsi="宋体" w:cs="宋体"/>
          <w:b/>
          <w:bCs/>
          <w:color w:val="000000" w:themeColor="text1"/>
          <w:sz w:val="32"/>
          <w:szCs w:val="32"/>
          <w:lang w:val="zh-CN"/>
          <w14:textFill>
            <w14:solidFill>
              <w14:schemeClr w14:val="tx1"/>
            </w14:solidFill>
          </w14:textFill>
        </w:rPr>
      </w:pPr>
    </w:p>
    <w:p w14:paraId="3C56803D">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14:textFill>
            <w14:solidFill>
              <w14:schemeClr w14:val="tx1"/>
            </w14:solidFill>
          </w14:textFill>
        </w:rPr>
        <w:t>的身份证明（适用于法定代表人、单位负责人或者自然人本人代表供应商参加响应）</w:t>
      </w:r>
    </w:p>
    <w:p w14:paraId="04EB1478">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1C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A73FFB">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6F0238E">
            <w:pPr>
              <w:pStyle w:val="149"/>
              <w:adjustRightInd w:val="0"/>
              <w:spacing w:line="360" w:lineRule="auto"/>
              <w:rPr>
                <w:rFonts w:hAnsi="宋体" w:cs="宋体"/>
                <w:bCs/>
                <w:color w:val="000000" w:themeColor="text1"/>
                <w:sz w:val="24"/>
                <w14:textFill>
                  <w14:solidFill>
                    <w14:schemeClr w14:val="tx1"/>
                  </w14:solidFill>
                </w14:textFill>
              </w:rPr>
            </w:pPr>
          </w:p>
        </w:tc>
      </w:tr>
    </w:tbl>
    <w:p w14:paraId="346FAED2">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7365096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79110716">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B0885C2">
      <w:pPr>
        <w:jc w:val="center"/>
        <w:rPr>
          <w:rFonts w:ascii="宋体" w:hAnsi="宋体" w:cs="宋体"/>
          <w:b/>
          <w:color w:val="000000" w:themeColor="text1"/>
          <w:kern w:val="0"/>
          <w:sz w:val="32"/>
          <w:szCs w:val="32"/>
          <w14:textFill>
            <w14:solidFill>
              <w14:schemeClr w14:val="tx1"/>
            </w14:solidFill>
          </w14:textFill>
        </w:rPr>
      </w:pPr>
    </w:p>
    <w:p w14:paraId="0ACEDD28">
      <w:pPr>
        <w:jc w:val="center"/>
        <w:rPr>
          <w:rFonts w:ascii="宋体" w:hAnsi="宋体" w:cs="宋体"/>
          <w:b/>
          <w:color w:val="000000" w:themeColor="text1"/>
          <w:kern w:val="0"/>
          <w:sz w:val="32"/>
          <w:szCs w:val="32"/>
          <w14:textFill>
            <w14:solidFill>
              <w14:schemeClr w14:val="tx1"/>
            </w14:solidFill>
          </w14:textFill>
        </w:rPr>
      </w:pPr>
    </w:p>
    <w:p w14:paraId="0543AEBB">
      <w:pPr>
        <w:jc w:val="center"/>
        <w:rPr>
          <w:rFonts w:ascii="宋体" w:hAnsi="宋体" w:cs="宋体"/>
          <w:b/>
          <w:color w:val="000000" w:themeColor="text1"/>
          <w:kern w:val="0"/>
          <w:sz w:val="32"/>
          <w:szCs w:val="32"/>
          <w14:textFill>
            <w14:solidFill>
              <w14:schemeClr w14:val="tx1"/>
            </w14:solidFill>
          </w14:textFill>
        </w:rPr>
      </w:pPr>
    </w:p>
    <w:p w14:paraId="35762C54">
      <w:pPr>
        <w:jc w:val="center"/>
        <w:rPr>
          <w:rFonts w:ascii="宋体" w:hAnsi="宋体" w:cs="宋体"/>
          <w:b/>
          <w:color w:val="000000" w:themeColor="text1"/>
          <w:kern w:val="0"/>
          <w:sz w:val="32"/>
          <w:szCs w:val="32"/>
          <w14:textFill>
            <w14:solidFill>
              <w14:schemeClr w14:val="tx1"/>
            </w14:solidFill>
          </w14:textFill>
        </w:rPr>
      </w:pPr>
    </w:p>
    <w:p w14:paraId="0614B713">
      <w:pPr>
        <w:jc w:val="center"/>
        <w:rPr>
          <w:rFonts w:ascii="宋体" w:hAnsi="宋体" w:cs="宋体"/>
          <w:b/>
          <w:color w:val="000000" w:themeColor="text1"/>
          <w:kern w:val="0"/>
          <w:sz w:val="32"/>
          <w:szCs w:val="32"/>
          <w14:textFill>
            <w14:solidFill>
              <w14:schemeClr w14:val="tx1"/>
            </w14:solidFill>
          </w14:textFill>
        </w:rPr>
      </w:pPr>
    </w:p>
    <w:p w14:paraId="39D69CC1">
      <w:pPr>
        <w:jc w:val="center"/>
        <w:rPr>
          <w:rFonts w:ascii="宋体" w:hAnsi="宋体" w:cs="宋体"/>
          <w:b/>
          <w:color w:val="000000" w:themeColor="text1"/>
          <w:kern w:val="0"/>
          <w:sz w:val="32"/>
          <w:szCs w:val="32"/>
          <w14:textFill>
            <w14:solidFill>
              <w14:schemeClr w14:val="tx1"/>
            </w14:solidFill>
          </w14:textFill>
        </w:rPr>
      </w:pPr>
    </w:p>
    <w:p w14:paraId="5EE78DAF">
      <w:pPr>
        <w:jc w:val="center"/>
        <w:rPr>
          <w:rFonts w:ascii="宋体" w:hAnsi="宋体" w:cs="宋体"/>
          <w:b/>
          <w:color w:val="000000" w:themeColor="text1"/>
          <w:kern w:val="0"/>
          <w:sz w:val="32"/>
          <w:szCs w:val="32"/>
          <w14:textFill>
            <w14:solidFill>
              <w14:schemeClr w14:val="tx1"/>
            </w14:solidFill>
          </w14:textFill>
        </w:rPr>
      </w:pPr>
    </w:p>
    <w:p w14:paraId="09E91679">
      <w:pPr>
        <w:jc w:val="center"/>
        <w:rPr>
          <w:rFonts w:ascii="宋体" w:hAnsi="宋体" w:cs="宋体"/>
          <w:b/>
          <w:color w:val="000000" w:themeColor="text1"/>
          <w:kern w:val="0"/>
          <w:sz w:val="32"/>
          <w:szCs w:val="32"/>
          <w14:textFill>
            <w14:solidFill>
              <w14:schemeClr w14:val="tx1"/>
            </w14:solidFill>
          </w14:textFill>
        </w:rPr>
      </w:pPr>
    </w:p>
    <w:p w14:paraId="2A3F8E01">
      <w:pPr>
        <w:jc w:val="center"/>
        <w:rPr>
          <w:rFonts w:ascii="宋体" w:hAnsi="宋体" w:cs="宋体"/>
          <w:b/>
          <w:color w:val="000000" w:themeColor="text1"/>
          <w:kern w:val="0"/>
          <w:sz w:val="32"/>
          <w:szCs w:val="32"/>
          <w14:textFill>
            <w14:solidFill>
              <w14:schemeClr w14:val="tx1"/>
            </w14:solidFill>
          </w14:textFill>
        </w:rPr>
      </w:pPr>
    </w:p>
    <w:p w14:paraId="44090C77">
      <w:pPr>
        <w:jc w:val="center"/>
        <w:rPr>
          <w:rFonts w:ascii="宋体" w:hAnsi="宋体" w:cs="宋体"/>
          <w:b/>
          <w:color w:val="000000" w:themeColor="text1"/>
          <w:kern w:val="0"/>
          <w:sz w:val="32"/>
          <w:szCs w:val="32"/>
          <w14:textFill>
            <w14:solidFill>
              <w14:schemeClr w14:val="tx1"/>
            </w14:solidFill>
          </w14:textFill>
        </w:rPr>
      </w:pPr>
    </w:p>
    <w:p w14:paraId="11C3062B">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E2235E8">
      <w:pPr>
        <w:snapToGrid w:val="0"/>
        <w:jc w:val="center"/>
        <w:outlineLvl w:val="2"/>
        <w:rPr>
          <w:rFonts w:ascii="宋体" w:hAnsi="宋体" w:cs="宋体"/>
          <w:b/>
          <w:bCs/>
          <w:color w:val="000000" w:themeColor="text1"/>
          <w:sz w:val="32"/>
          <w:szCs w:val="32"/>
          <w14:textFill>
            <w14:solidFill>
              <w14:schemeClr w14:val="tx1"/>
            </w14:solidFill>
          </w14:textFill>
        </w:rPr>
      </w:pPr>
      <w:bookmarkStart w:id="522" w:name="_Toc157"/>
      <w:bookmarkStart w:id="523" w:name="_Toc4580"/>
      <w:r>
        <w:rPr>
          <w:rFonts w:hint="eastAsia" w:ascii="宋体" w:hAnsi="宋体" w:cs="宋体"/>
          <w:b/>
          <w:bCs/>
          <w:color w:val="000000" w:themeColor="text1"/>
          <w:sz w:val="32"/>
          <w:szCs w:val="32"/>
          <w14:textFill>
            <w14:solidFill>
              <w14:schemeClr w14:val="tx1"/>
            </w14:solidFill>
          </w14:textFill>
        </w:rPr>
        <w:t>三、分包意向协议</w:t>
      </w:r>
      <w:bookmarkEnd w:id="522"/>
      <w:bookmarkEnd w:id="523"/>
    </w:p>
    <w:p w14:paraId="619F1B72">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24"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bookmarkEnd w:id="524"/>
    <w:p w14:paraId="7CE492BC">
      <w:pPr>
        <w:snapToGrid w:val="0"/>
        <w:spacing w:line="360" w:lineRule="auto"/>
        <w:rPr>
          <w:rFonts w:ascii="宋体" w:hAnsi="宋体" w:cs="宋体"/>
          <w:color w:val="000000" w:themeColor="text1"/>
          <w:kern w:val="0"/>
          <w:sz w:val="24"/>
          <w14:textFill>
            <w14:solidFill>
              <w14:schemeClr w14:val="tx1"/>
            </w14:solidFill>
          </w14:textFill>
        </w:rPr>
      </w:pPr>
    </w:p>
    <w:p w14:paraId="7FE824E8">
      <w:pPr>
        <w:snapToGrid w:val="0"/>
        <w:jc w:val="center"/>
        <w:outlineLvl w:val="2"/>
        <w:rPr>
          <w:rFonts w:ascii="宋体" w:hAnsi="宋体" w:cs="宋体"/>
          <w:b/>
          <w:bCs/>
          <w:color w:val="000000" w:themeColor="text1"/>
          <w:sz w:val="32"/>
          <w:szCs w:val="32"/>
          <w14:textFill>
            <w14:solidFill>
              <w14:schemeClr w14:val="tx1"/>
            </w14:solidFill>
          </w14:textFill>
        </w:rPr>
      </w:pPr>
      <w:bookmarkStart w:id="525" w:name="_Toc18057"/>
      <w:bookmarkStart w:id="526" w:name="_Toc17103"/>
      <w:r>
        <w:rPr>
          <w:rFonts w:hint="eastAsia" w:ascii="宋体" w:hAnsi="宋体" w:cs="宋体"/>
          <w:b/>
          <w:bCs/>
          <w:color w:val="000000" w:themeColor="text1"/>
          <w:sz w:val="32"/>
          <w:szCs w:val="32"/>
          <w14:textFill>
            <w14:solidFill>
              <w14:schemeClr w14:val="tx1"/>
            </w14:solidFill>
          </w14:textFill>
        </w:rPr>
        <w:t>四、符合性审查资料</w:t>
      </w:r>
      <w:bookmarkEnd w:id="525"/>
      <w:bookmarkEnd w:id="526"/>
    </w:p>
    <w:p w14:paraId="0225CE29">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31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6A6D9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6804B65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1DDE8E1F">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5E8E854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45A9826A">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4782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E8671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60F9A11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14:paraId="21E42E6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5CE8ADC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3E41E473">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0A3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281B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191027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1B286D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6AC89C1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51C40F24">
            <w:pPr>
              <w:pStyle w:val="3"/>
              <w:jc w:val="both"/>
              <w:rPr>
                <w:rFonts w:ascii="宋体" w:hAnsi="宋体" w:eastAsia="宋体" w:cs="宋体"/>
                <w:color w:val="000000" w:themeColor="text1"/>
                <w:lang w:val="en-US"/>
                <w14:textFill>
                  <w14:solidFill>
                    <w14:schemeClr w14:val="tx1"/>
                  </w14:solidFill>
                </w14:textFill>
              </w:rPr>
            </w:pPr>
            <w:bookmarkStart w:id="527" w:name="_Toc12430"/>
            <w:bookmarkStart w:id="528" w:name="_Toc27080"/>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bookmarkEnd w:id="527"/>
            <w:bookmarkEnd w:id="528"/>
          </w:p>
        </w:tc>
      </w:tr>
      <w:tr w14:paraId="3E0F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029F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069464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14:paraId="3F9905A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14:paraId="5D674826">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0A3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DE2B8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6DDC1A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7B61475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49C19FF7">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D97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44C4C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991" w:type="dxa"/>
          </w:tcPr>
          <w:p w14:paraId="6BC70A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77F876F5">
            <w:pPr>
              <w:rPr>
                <w:rFonts w:ascii="宋体" w:hAnsi="宋体" w:cs="宋体"/>
                <w:color w:val="000000" w:themeColor="text1"/>
                <w:kern w:val="0"/>
                <w:sz w:val="24"/>
                <w14:textFill>
                  <w14:solidFill>
                    <w14:schemeClr w14:val="tx1"/>
                  </w14:solidFill>
                </w14:textFill>
              </w:rPr>
            </w:pPr>
          </w:p>
        </w:tc>
        <w:tc>
          <w:tcPr>
            <w:tcW w:w="1418" w:type="dxa"/>
            <w:vAlign w:val="center"/>
          </w:tcPr>
          <w:p w14:paraId="54A5AF4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877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C4B668">
            <w:pPr>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4D4EE6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355FCE24">
            <w:pPr>
              <w:rPr>
                <w:rFonts w:ascii="宋体" w:hAnsi="宋体" w:cs="宋体"/>
                <w:color w:val="000000" w:themeColor="text1"/>
                <w:kern w:val="0"/>
                <w:sz w:val="24"/>
                <w14:textFill>
                  <w14:solidFill>
                    <w14:schemeClr w14:val="tx1"/>
                  </w14:solidFill>
                </w14:textFill>
              </w:rPr>
            </w:pPr>
          </w:p>
        </w:tc>
        <w:tc>
          <w:tcPr>
            <w:tcW w:w="1418" w:type="dxa"/>
            <w:vAlign w:val="center"/>
          </w:tcPr>
          <w:p w14:paraId="1C9E354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566218C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00220F1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2、采购文件中实质性要求必须明确响应。</w:t>
      </w:r>
    </w:p>
    <w:p w14:paraId="4A923BE9">
      <w:pPr>
        <w:pStyle w:val="79"/>
        <w:rPr>
          <w:color w:val="000000" w:themeColor="text1"/>
          <w14:textFill>
            <w14:solidFill>
              <w14:schemeClr w14:val="tx1"/>
            </w14:solidFill>
          </w14:textFill>
        </w:rPr>
      </w:pPr>
    </w:p>
    <w:p w14:paraId="5323FD72">
      <w:pPr>
        <w:jc w:val="center"/>
        <w:rPr>
          <w:rFonts w:ascii="宋体" w:hAnsi="宋体" w:cs="宋体"/>
          <w:b/>
          <w:color w:val="000000" w:themeColor="text1"/>
          <w:kern w:val="0"/>
          <w:sz w:val="32"/>
          <w:szCs w:val="32"/>
          <w14:textFill>
            <w14:solidFill>
              <w14:schemeClr w14:val="tx1"/>
            </w14:solidFill>
          </w14:textFill>
        </w:rPr>
      </w:pPr>
    </w:p>
    <w:p w14:paraId="58ACAB1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1C3E76B0">
      <w:pPr>
        <w:jc w:val="center"/>
        <w:rPr>
          <w:rFonts w:ascii="宋体" w:hAnsi="宋体" w:cs="宋体"/>
          <w:b/>
          <w:color w:val="000000" w:themeColor="text1"/>
          <w:kern w:val="0"/>
          <w:sz w:val="32"/>
          <w:szCs w:val="32"/>
          <w14:textFill>
            <w14:solidFill>
              <w14:schemeClr w14:val="tx1"/>
            </w14:solidFill>
          </w14:textFill>
        </w:rPr>
      </w:pPr>
    </w:p>
    <w:p w14:paraId="07EA0C32">
      <w:pPr>
        <w:jc w:val="center"/>
        <w:rPr>
          <w:rFonts w:ascii="宋体" w:hAnsi="宋体" w:cs="宋体"/>
          <w:b/>
          <w:color w:val="000000" w:themeColor="text1"/>
          <w:kern w:val="0"/>
          <w:sz w:val="32"/>
          <w:szCs w:val="32"/>
          <w14:textFill>
            <w14:solidFill>
              <w14:schemeClr w14:val="tx1"/>
            </w14:solidFill>
          </w14:textFill>
        </w:rPr>
      </w:pPr>
    </w:p>
    <w:p w14:paraId="67C6D316">
      <w:pPr>
        <w:jc w:val="center"/>
        <w:rPr>
          <w:rFonts w:ascii="宋体" w:hAnsi="宋体" w:cs="宋体"/>
          <w:b/>
          <w:color w:val="000000" w:themeColor="text1"/>
          <w:kern w:val="0"/>
          <w:sz w:val="32"/>
          <w:szCs w:val="32"/>
          <w14:textFill>
            <w14:solidFill>
              <w14:schemeClr w14:val="tx1"/>
            </w14:solidFill>
          </w14:textFill>
        </w:rPr>
      </w:pPr>
    </w:p>
    <w:p w14:paraId="1DF294AE">
      <w:pPr>
        <w:jc w:val="center"/>
        <w:rPr>
          <w:rFonts w:ascii="宋体" w:hAnsi="宋体" w:cs="宋体"/>
          <w:b/>
          <w:color w:val="000000" w:themeColor="text1"/>
          <w:kern w:val="0"/>
          <w:sz w:val="32"/>
          <w:szCs w:val="32"/>
          <w14:textFill>
            <w14:solidFill>
              <w14:schemeClr w14:val="tx1"/>
            </w14:solidFill>
          </w14:textFill>
        </w:rPr>
      </w:pPr>
    </w:p>
    <w:p w14:paraId="61803D31">
      <w:pPr>
        <w:snapToGrid w:val="0"/>
        <w:jc w:val="center"/>
        <w:outlineLvl w:val="2"/>
        <w:rPr>
          <w:rFonts w:ascii="宋体" w:hAnsi="宋体" w:cs="宋体"/>
          <w:b/>
          <w:bCs/>
          <w:color w:val="000000" w:themeColor="text1"/>
          <w:sz w:val="32"/>
          <w:szCs w:val="32"/>
          <w14:textFill>
            <w14:solidFill>
              <w14:schemeClr w14:val="tx1"/>
            </w14:solidFill>
          </w14:textFill>
        </w:rPr>
      </w:pPr>
      <w:bookmarkStart w:id="529" w:name="_Toc12367"/>
      <w:bookmarkStart w:id="530" w:name="_Toc16222"/>
      <w:r>
        <w:rPr>
          <w:rFonts w:hint="eastAsia" w:ascii="宋体" w:hAnsi="宋体" w:cs="宋体"/>
          <w:b/>
          <w:bCs/>
          <w:color w:val="000000" w:themeColor="text1"/>
          <w:sz w:val="32"/>
          <w:szCs w:val="32"/>
          <w14:textFill>
            <w14:solidFill>
              <w14:schemeClr w14:val="tx1"/>
            </w14:solidFill>
          </w14:textFill>
        </w:rPr>
        <w:t>五、评审标准相应的商务技术资料</w:t>
      </w:r>
      <w:bookmarkEnd w:id="529"/>
      <w:bookmarkEnd w:id="530"/>
    </w:p>
    <w:p w14:paraId="715D8591">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136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C2748F">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5446091B">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2FC8FCD9">
            <w:pPr>
              <w:snapToGrid w:val="0"/>
              <w:spacing w:line="240" w:lineRule="atLeas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739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1D1E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6023B759">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5D800606">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AF4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DA8F16">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500A4640">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389ADA64">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F9A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242F3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43F807F6">
            <w:pPr>
              <w:snapToGrid w:val="0"/>
              <w:spacing w:line="360" w:lineRule="auto"/>
              <w:jc w:val="center"/>
              <w:rPr>
                <w:rFonts w:ascii="宋体" w:hAnsi="宋体" w:cs="宋体"/>
                <w:bCs/>
                <w:color w:val="000000" w:themeColor="text1"/>
                <w:sz w:val="24"/>
                <w14:textFill>
                  <w14:solidFill>
                    <w14:schemeClr w14:val="tx1"/>
                  </w14:solidFill>
                </w14:textFill>
              </w:rPr>
            </w:pPr>
          </w:p>
        </w:tc>
        <w:tc>
          <w:tcPr>
            <w:tcW w:w="3046" w:type="dxa"/>
          </w:tcPr>
          <w:p w14:paraId="4C0D368E">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296EB7FE">
      <w:pPr>
        <w:jc w:val="center"/>
        <w:rPr>
          <w:rFonts w:ascii="宋体" w:hAnsi="宋体" w:cs="宋体"/>
          <w:b/>
          <w:color w:val="000000" w:themeColor="text1"/>
          <w:kern w:val="0"/>
          <w:sz w:val="32"/>
          <w:szCs w:val="32"/>
          <w14:textFill>
            <w14:solidFill>
              <w14:schemeClr w14:val="tx1"/>
            </w14:solidFill>
          </w14:textFill>
        </w:rPr>
      </w:pPr>
    </w:p>
    <w:p w14:paraId="0BCA1B97">
      <w:pPr>
        <w:jc w:val="center"/>
        <w:rPr>
          <w:rFonts w:ascii="宋体" w:hAnsi="宋体" w:cs="宋体"/>
          <w:b/>
          <w:color w:val="000000" w:themeColor="text1"/>
          <w:kern w:val="0"/>
          <w:sz w:val="32"/>
          <w:szCs w:val="32"/>
          <w14:textFill>
            <w14:solidFill>
              <w14:schemeClr w14:val="tx1"/>
            </w14:solidFill>
          </w14:textFill>
        </w:rPr>
      </w:pPr>
    </w:p>
    <w:p w14:paraId="34445C94">
      <w:pPr>
        <w:jc w:val="center"/>
        <w:rPr>
          <w:rFonts w:ascii="宋体" w:hAnsi="宋体" w:cs="宋体"/>
          <w:b/>
          <w:color w:val="000000" w:themeColor="text1"/>
          <w:kern w:val="0"/>
          <w:sz w:val="32"/>
          <w:szCs w:val="32"/>
          <w14:textFill>
            <w14:solidFill>
              <w14:schemeClr w14:val="tx1"/>
            </w14:solidFill>
          </w14:textFill>
        </w:rPr>
      </w:pPr>
    </w:p>
    <w:p w14:paraId="36A10D93">
      <w:pPr>
        <w:jc w:val="center"/>
        <w:rPr>
          <w:rFonts w:ascii="宋体" w:hAnsi="宋体" w:cs="宋体"/>
          <w:b/>
          <w:color w:val="000000" w:themeColor="text1"/>
          <w:kern w:val="0"/>
          <w:sz w:val="32"/>
          <w:szCs w:val="32"/>
          <w14:textFill>
            <w14:solidFill>
              <w14:schemeClr w14:val="tx1"/>
            </w14:solidFill>
          </w14:textFill>
        </w:rPr>
      </w:pPr>
    </w:p>
    <w:p w14:paraId="3E0267EB">
      <w:pPr>
        <w:jc w:val="center"/>
        <w:rPr>
          <w:rFonts w:ascii="宋体" w:hAnsi="宋体" w:cs="宋体"/>
          <w:b/>
          <w:color w:val="000000" w:themeColor="text1"/>
          <w:kern w:val="0"/>
          <w:sz w:val="32"/>
          <w:szCs w:val="32"/>
          <w14:textFill>
            <w14:solidFill>
              <w14:schemeClr w14:val="tx1"/>
            </w14:solidFill>
          </w14:textFill>
        </w:rPr>
      </w:pPr>
    </w:p>
    <w:p w14:paraId="6CFF1B83">
      <w:pPr>
        <w:snapToGrid w:val="0"/>
        <w:jc w:val="center"/>
        <w:outlineLvl w:val="2"/>
        <w:rPr>
          <w:rFonts w:ascii="宋体" w:hAnsi="宋体" w:cs="宋体"/>
          <w:b/>
          <w:bCs/>
          <w:color w:val="000000" w:themeColor="text1"/>
          <w:sz w:val="32"/>
          <w:szCs w:val="32"/>
          <w14:textFill>
            <w14:solidFill>
              <w14:schemeClr w14:val="tx1"/>
            </w14:solidFill>
          </w14:textFill>
        </w:rPr>
      </w:pPr>
      <w:bookmarkStart w:id="531" w:name="_Toc14345"/>
      <w:bookmarkStart w:id="532" w:name="_Toc25611"/>
      <w:r>
        <w:rPr>
          <w:rFonts w:hint="eastAsia" w:ascii="宋体" w:hAnsi="宋体" w:cs="宋体"/>
          <w:b/>
          <w:bCs/>
          <w:color w:val="000000" w:themeColor="text1"/>
          <w:sz w:val="32"/>
          <w:szCs w:val="32"/>
          <w14:textFill>
            <w14:solidFill>
              <w14:schemeClr w14:val="tx1"/>
            </w14:solidFill>
          </w14:textFill>
        </w:rPr>
        <w:t>六、商务技术偏离表</w:t>
      </w:r>
      <w:bookmarkEnd w:id="531"/>
      <w:bookmarkEnd w:id="532"/>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A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C523C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0F6D635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采购文件章节及具体内容</w:t>
            </w:r>
          </w:p>
        </w:tc>
        <w:tc>
          <w:tcPr>
            <w:tcW w:w="3546" w:type="dxa"/>
          </w:tcPr>
          <w:p w14:paraId="676C3B9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7A80418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4DE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0E3EFE">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06244D25">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D3CF7D2">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87DDE77">
            <w:pPr>
              <w:jc w:val="center"/>
              <w:rPr>
                <w:rFonts w:ascii="宋体" w:hAnsi="宋体" w:cs="宋体"/>
                <w:b/>
                <w:color w:val="000000" w:themeColor="text1"/>
                <w:kern w:val="0"/>
                <w:sz w:val="32"/>
                <w:szCs w:val="32"/>
                <w14:textFill>
                  <w14:solidFill>
                    <w14:schemeClr w14:val="tx1"/>
                  </w14:solidFill>
                </w14:textFill>
              </w:rPr>
            </w:pPr>
          </w:p>
        </w:tc>
      </w:tr>
      <w:tr w14:paraId="757D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7F7FF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5DA9FA8A">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DBE09C1">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CCA4A1E">
            <w:pPr>
              <w:jc w:val="center"/>
              <w:rPr>
                <w:rFonts w:ascii="宋体" w:hAnsi="宋体" w:cs="宋体"/>
                <w:b/>
                <w:color w:val="000000" w:themeColor="text1"/>
                <w:kern w:val="0"/>
                <w:sz w:val="32"/>
                <w:szCs w:val="32"/>
                <w14:textFill>
                  <w14:solidFill>
                    <w14:schemeClr w14:val="tx1"/>
                  </w14:solidFill>
                </w14:textFill>
              </w:rPr>
            </w:pPr>
          </w:p>
        </w:tc>
      </w:tr>
      <w:tr w14:paraId="76F6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CD167F">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5CE7EC6C">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14A63FE">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2BE59E4">
            <w:pPr>
              <w:jc w:val="center"/>
              <w:rPr>
                <w:rFonts w:ascii="宋体" w:hAnsi="宋体" w:cs="宋体"/>
                <w:b/>
                <w:color w:val="000000" w:themeColor="text1"/>
                <w:kern w:val="0"/>
                <w:sz w:val="32"/>
                <w:szCs w:val="32"/>
                <w14:textFill>
                  <w14:solidFill>
                    <w14:schemeClr w14:val="tx1"/>
                  </w14:solidFill>
                </w14:textFill>
              </w:rPr>
            </w:pPr>
          </w:p>
        </w:tc>
      </w:tr>
    </w:tbl>
    <w:p w14:paraId="73CE092E">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供应商保证：除商务技术偏离表列出的偏离外，供应商响应采购文件的全部要求</w:t>
      </w:r>
    </w:p>
    <w:p w14:paraId="3764DA54">
      <w:pPr>
        <w:jc w:val="center"/>
        <w:rPr>
          <w:rFonts w:ascii="宋体" w:hAnsi="宋体" w:cs="宋体"/>
          <w:b/>
          <w:color w:val="000000" w:themeColor="text1"/>
          <w:kern w:val="0"/>
          <w:sz w:val="32"/>
          <w:szCs w:val="32"/>
          <w14:textFill>
            <w14:solidFill>
              <w14:schemeClr w14:val="tx1"/>
            </w14:solidFill>
          </w14:textFill>
        </w:rPr>
      </w:pPr>
    </w:p>
    <w:p w14:paraId="0CEE2E2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02AE3833">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1670E4AE">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3.投标人须保证：除商务技术偏离表列出的偏离外，投标人响应招标文件的全部非实质性要求。</w:t>
      </w:r>
    </w:p>
    <w:p w14:paraId="4B3E1D7E">
      <w:pPr>
        <w:spacing w:line="360" w:lineRule="auto"/>
        <w:ind w:right="420"/>
        <w:rPr>
          <w:rFonts w:ascii="宋体" w:hAnsi="宋体" w:cs="宋体"/>
          <w:color w:val="000000" w:themeColor="text1"/>
          <w:sz w:val="24"/>
          <w14:textFill>
            <w14:solidFill>
              <w14:schemeClr w14:val="tx1"/>
            </w14:solidFill>
          </w14:textFill>
        </w:rPr>
      </w:pPr>
    </w:p>
    <w:p w14:paraId="124ECB52">
      <w:pPr>
        <w:ind w:firstLine="1911" w:firstLineChars="595"/>
        <w:rPr>
          <w:rFonts w:ascii="宋体" w:hAnsi="宋体" w:cs="宋体"/>
          <w:b/>
          <w:bCs/>
          <w:color w:val="000000" w:themeColor="text1"/>
          <w:sz w:val="32"/>
          <w:szCs w:val="32"/>
          <w14:textFill>
            <w14:solidFill>
              <w14:schemeClr w14:val="tx1"/>
            </w14:solidFill>
          </w14:textFill>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5234E1C9">
      <w:pPr>
        <w:snapToGrid w:val="0"/>
        <w:jc w:val="center"/>
        <w:outlineLvl w:val="2"/>
        <w:rPr>
          <w:rFonts w:ascii="宋体" w:hAnsi="宋体" w:cs="宋体"/>
          <w:b/>
          <w:color w:val="000000" w:themeColor="text1"/>
          <w:kern w:val="0"/>
          <w:sz w:val="32"/>
          <w:szCs w:val="32"/>
          <w14:textFill>
            <w14:solidFill>
              <w14:schemeClr w14:val="tx1"/>
            </w14:solidFill>
          </w14:textFill>
        </w:rPr>
      </w:pPr>
      <w:bookmarkStart w:id="533" w:name="_Toc10891"/>
      <w:bookmarkStart w:id="534" w:name="_Toc5877"/>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bookmarkEnd w:id="533"/>
      <w:bookmarkEnd w:id="534"/>
    </w:p>
    <w:p w14:paraId="3D5EC57C">
      <w:pPr>
        <w:snapToGrid w:val="0"/>
        <w:spacing w:line="360" w:lineRule="auto"/>
        <w:rPr>
          <w:rFonts w:ascii="宋体" w:hAnsi="宋体" w:cs="宋体"/>
          <w:color w:val="000000" w:themeColor="text1"/>
          <w:sz w:val="24"/>
          <w14:textFill>
            <w14:solidFill>
              <w14:schemeClr w14:val="tx1"/>
            </w14:solidFill>
          </w14:textFill>
        </w:rPr>
      </w:pPr>
    </w:p>
    <w:p w14:paraId="6F97E70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6E130D7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FE6BA9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0B5C0E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4F192B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8C4E1E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784F077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1EA47B7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A5AFAC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986C92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EEAE9D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D9E3EF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4E4AD07">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ACA39CD">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57325B9B">
      <w:pPr>
        <w:spacing w:line="360" w:lineRule="auto"/>
        <w:jc w:val="center"/>
        <w:rPr>
          <w:rFonts w:ascii="宋体" w:hAnsi="宋体" w:cs="宋体"/>
          <w:b/>
          <w:bCs/>
          <w:color w:val="000000" w:themeColor="text1"/>
          <w:sz w:val="24"/>
          <w14:textFill>
            <w14:solidFill>
              <w14:schemeClr w14:val="tx1"/>
            </w14:solidFill>
          </w14:textFill>
        </w:rPr>
      </w:pPr>
    </w:p>
    <w:p w14:paraId="2A7F9C5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CEA4657">
      <w:pPr>
        <w:spacing w:line="360" w:lineRule="auto"/>
        <w:jc w:val="center"/>
        <w:rPr>
          <w:rFonts w:ascii="宋体" w:hAnsi="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E276437">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35" w:name="_Toc483"/>
      <w:r>
        <w:rPr>
          <w:rFonts w:hint="eastAsia" w:ascii="宋体" w:hAnsi="宋体" w:cs="宋体"/>
          <w:b/>
          <w:color w:val="000000" w:themeColor="text1"/>
          <w:kern w:val="0"/>
          <w:sz w:val="36"/>
          <w:szCs w:val="36"/>
          <w14:textFill>
            <w14:solidFill>
              <w14:schemeClr w14:val="tx1"/>
            </w14:solidFill>
          </w14:textFill>
        </w:rPr>
        <w:t>报价文件部分</w:t>
      </w:r>
      <w:bookmarkEnd w:id="535"/>
    </w:p>
    <w:p w14:paraId="72A1B386">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5FF083F0">
      <w:pPr>
        <w:spacing w:line="360" w:lineRule="auto"/>
        <w:jc w:val="center"/>
        <w:rPr>
          <w:rFonts w:ascii="宋体" w:hAnsi="宋体" w:cs="宋体"/>
          <w:b/>
          <w:color w:val="000000" w:themeColor="text1"/>
          <w:kern w:val="0"/>
          <w:sz w:val="36"/>
          <w:szCs w:val="36"/>
          <w14:textFill>
            <w14:solidFill>
              <w14:schemeClr w14:val="tx1"/>
            </w14:solidFill>
          </w14:textFill>
        </w:rPr>
      </w:pPr>
    </w:p>
    <w:p w14:paraId="36B13904">
      <w:pPr>
        <w:numPr>
          <w:ilvl w:val="0"/>
          <w:numId w:val="4"/>
        </w:numPr>
        <w:snapToGrid w:val="0"/>
        <w:spacing w:line="360" w:lineRule="auto"/>
        <w:rPr>
          <w:rFonts w:ascii="宋体" w:hAnsi="宋体" w:cs="宋体"/>
          <w:sz w:val="24"/>
        </w:rPr>
      </w:pPr>
      <w:r>
        <w:rPr>
          <w:rFonts w:hint="eastAsia" w:ascii="宋体" w:hAnsi="宋体" w:cs="宋体"/>
          <w:sz w:val="24"/>
        </w:rPr>
        <w:t>报价单…………………………………………………………………………（页码）</w:t>
      </w:r>
    </w:p>
    <w:p w14:paraId="73992D0A">
      <w:pPr>
        <w:snapToGrid w:val="0"/>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（2）初次报价明细表</w:t>
      </w:r>
      <w:r>
        <w:rPr>
          <w:rFonts w:hint="eastAsia" w:ascii="宋体" w:hAnsi="宋体" w:cs="宋体"/>
          <w:sz w:val="24"/>
        </w:rPr>
        <w:t>……………………………………………………………（页码）</w:t>
      </w:r>
    </w:p>
    <w:p w14:paraId="53834147">
      <w:pPr>
        <w:pStyle w:val="80"/>
        <w:rPr>
          <w:color w:val="000000" w:themeColor="text1"/>
          <w14:textFill>
            <w14:solidFill>
              <w14:schemeClr w14:val="tx1"/>
            </w14:solidFill>
          </w14:textFill>
        </w:rPr>
      </w:pPr>
    </w:p>
    <w:p w14:paraId="2E0C52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CB4DB4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12CC2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23F59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EA1B40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8F8CB1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C51B16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41358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135EB2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0AA14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F92D9E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A892B4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C82F7F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43F74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911FB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A0FC15F">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72439773">
      <w:pPr>
        <w:pStyle w:val="695"/>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14:paraId="37DF3D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6EEDF6FC">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kern w:val="0"/>
          <w:sz w:val="24"/>
          <w:lang w:val="zh-CN"/>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033ED5E7">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w:t>
      </w:r>
      <w:r>
        <w:rPr>
          <w:rFonts w:hint="eastAsia" w:ascii="宋体" w:hAnsi="宋体" w:cs="宋体"/>
          <w:b/>
          <w:color w:val="000000" w:themeColor="text1"/>
          <w:kern w:val="0"/>
          <w:sz w:val="24"/>
          <w14:textFill>
            <w14:solidFill>
              <w14:schemeClr w14:val="tx1"/>
            </w14:solidFill>
          </w14:textFill>
        </w:rPr>
        <w:t>单</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50"/>
        <w:gridCol w:w="1841"/>
        <w:gridCol w:w="1744"/>
        <w:gridCol w:w="1742"/>
        <w:gridCol w:w="1744"/>
      </w:tblGrid>
      <w:tr w14:paraId="6E92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8" w:type="pct"/>
            <w:vAlign w:val="center"/>
          </w:tcPr>
          <w:p w14:paraId="07229B45">
            <w:pPr>
              <w:jc w:val="center"/>
              <w:rPr>
                <w:rFonts w:ascii="宋体" w:hAnsi="宋体" w:cs="宋体"/>
                <w:b/>
                <w:sz w:val="24"/>
              </w:rPr>
            </w:pPr>
            <w:r>
              <w:rPr>
                <w:rFonts w:hint="eastAsia" w:ascii="宋体" w:hAnsi="宋体" w:cs="宋体"/>
                <w:b/>
                <w:sz w:val="24"/>
              </w:rPr>
              <w:t>项目名称</w:t>
            </w:r>
          </w:p>
        </w:tc>
        <w:tc>
          <w:tcPr>
            <w:tcW w:w="779" w:type="pct"/>
            <w:vAlign w:val="center"/>
          </w:tcPr>
          <w:p w14:paraId="342F4989">
            <w:pPr>
              <w:jc w:val="center"/>
              <w:rPr>
                <w:rFonts w:ascii="宋体" w:hAnsi="宋体" w:cs="宋体"/>
                <w:b/>
                <w:sz w:val="24"/>
              </w:rPr>
            </w:pPr>
            <w:r>
              <w:rPr>
                <w:rFonts w:hint="eastAsia" w:ascii="宋体" w:hAnsi="宋体" w:cs="宋体"/>
                <w:b/>
                <w:sz w:val="24"/>
              </w:rPr>
              <w:t>施工范围</w:t>
            </w:r>
          </w:p>
        </w:tc>
        <w:tc>
          <w:tcPr>
            <w:tcW w:w="924" w:type="pct"/>
            <w:vAlign w:val="center"/>
          </w:tcPr>
          <w:p w14:paraId="55FD46C9">
            <w:pPr>
              <w:jc w:val="center"/>
              <w:rPr>
                <w:rFonts w:ascii="宋体" w:hAnsi="宋体" w:cs="宋体"/>
                <w:b/>
                <w:sz w:val="24"/>
              </w:rPr>
            </w:pPr>
            <w:r>
              <w:rPr>
                <w:rFonts w:hint="eastAsia" w:ascii="宋体" w:hAnsi="宋体" w:cs="宋体"/>
                <w:b/>
                <w:sz w:val="24"/>
              </w:rPr>
              <w:t>施工工期</w:t>
            </w:r>
          </w:p>
        </w:tc>
        <w:tc>
          <w:tcPr>
            <w:tcW w:w="876" w:type="pct"/>
            <w:vAlign w:val="center"/>
          </w:tcPr>
          <w:p w14:paraId="7D0FCFC5">
            <w:pPr>
              <w:jc w:val="center"/>
              <w:rPr>
                <w:rFonts w:ascii="宋体" w:hAnsi="宋体" w:cs="宋体"/>
                <w:b/>
                <w:sz w:val="24"/>
              </w:rPr>
            </w:pPr>
            <w:r>
              <w:rPr>
                <w:rFonts w:hint="eastAsia" w:ascii="宋体" w:hAnsi="宋体" w:cs="宋体"/>
                <w:b/>
                <w:sz w:val="24"/>
              </w:rPr>
              <w:t>项目经理</w:t>
            </w:r>
          </w:p>
        </w:tc>
        <w:tc>
          <w:tcPr>
            <w:tcW w:w="875" w:type="pct"/>
            <w:vAlign w:val="center"/>
          </w:tcPr>
          <w:p w14:paraId="5B8F264F">
            <w:pPr>
              <w:jc w:val="center"/>
              <w:rPr>
                <w:rFonts w:ascii="宋体" w:hAnsi="宋体" w:cs="宋体"/>
                <w:b/>
                <w:sz w:val="24"/>
              </w:rPr>
            </w:pPr>
            <w:r>
              <w:rPr>
                <w:rFonts w:hint="eastAsia" w:ascii="宋体" w:hAnsi="宋体" w:cs="宋体"/>
                <w:b/>
                <w:sz w:val="24"/>
              </w:rPr>
              <w:t>执业证书信息</w:t>
            </w:r>
          </w:p>
        </w:tc>
        <w:tc>
          <w:tcPr>
            <w:tcW w:w="876" w:type="pct"/>
            <w:vAlign w:val="center"/>
          </w:tcPr>
          <w:p w14:paraId="76AED3C4">
            <w:pPr>
              <w:jc w:val="center"/>
              <w:rPr>
                <w:rFonts w:ascii="宋体" w:hAnsi="宋体" w:cs="宋体"/>
                <w:b/>
                <w:sz w:val="24"/>
              </w:rPr>
            </w:pPr>
          </w:p>
          <w:p w14:paraId="0293BD70">
            <w:pPr>
              <w:jc w:val="center"/>
              <w:rPr>
                <w:rFonts w:ascii="宋体" w:hAnsi="宋体" w:cs="宋体"/>
                <w:b/>
                <w:sz w:val="24"/>
              </w:rPr>
            </w:pPr>
            <w:r>
              <w:rPr>
                <w:rFonts w:hint="eastAsia" w:ascii="宋体" w:hAnsi="宋体" w:cs="宋体"/>
                <w:b/>
                <w:sz w:val="24"/>
              </w:rPr>
              <w:t>备注（如果有）</w:t>
            </w:r>
          </w:p>
          <w:p w14:paraId="1E6C70F2">
            <w:pPr>
              <w:jc w:val="center"/>
              <w:rPr>
                <w:rFonts w:ascii="宋体" w:hAnsi="宋体" w:cs="宋体"/>
                <w:b/>
                <w:sz w:val="24"/>
              </w:rPr>
            </w:pPr>
          </w:p>
        </w:tc>
      </w:tr>
      <w:tr w14:paraId="4F4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8" w:type="pct"/>
            <w:vAlign w:val="center"/>
          </w:tcPr>
          <w:p w14:paraId="2BEDF32F">
            <w:pPr>
              <w:snapToGrid w:val="0"/>
              <w:jc w:val="center"/>
              <w:rPr>
                <w:rFonts w:ascii="宋体" w:hAnsi="宋体" w:cs="宋体"/>
                <w:sz w:val="24"/>
              </w:rPr>
            </w:pPr>
          </w:p>
        </w:tc>
        <w:tc>
          <w:tcPr>
            <w:tcW w:w="779" w:type="pct"/>
            <w:vAlign w:val="center"/>
          </w:tcPr>
          <w:p w14:paraId="2FF52B28">
            <w:pPr>
              <w:snapToGrid w:val="0"/>
              <w:jc w:val="center"/>
              <w:rPr>
                <w:rFonts w:ascii="宋体" w:hAnsi="宋体" w:cs="宋体"/>
                <w:sz w:val="24"/>
              </w:rPr>
            </w:pPr>
          </w:p>
        </w:tc>
        <w:tc>
          <w:tcPr>
            <w:tcW w:w="924" w:type="pct"/>
            <w:vAlign w:val="center"/>
          </w:tcPr>
          <w:p w14:paraId="486FEB6D">
            <w:pPr>
              <w:snapToGrid w:val="0"/>
              <w:jc w:val="center"/>
              <w:rPr>
                <w:rFonts w:ascii="宋体" w:hAnsi="宋体" w:cs="宋体"/>
                <w:sz w:val="24"/>
              </w:rPr>
            </w:pPr>
          </w:p>
        </w:tc>
        <w:tc>
          <w:tcPr>
            <w:tcW w:w="876" w:type="pct"/>
            <w:vAlign w:val="center"/>
          </w:tcPr>
          <w:p w14:paraId="17A5C314">
            <w:pPr>
              <w:jc w:val="center"/>
              <w:rPr>
                <w:rFonts w:ascii="宋体" w:hAnsi="宋体" w:cs="宋体"/>
                <w:sz w:val="24"/>
              </w:rPr>
            </w:pPr>
          </w:p>
        </w:tc>
        <w:tc>
          <w:tcPr>
            <w:tcW w:w="875" w:type="pct"/>
            <w:vAlign w:val="center"/>
          </w:tcPr>
          <w:p w14:paraId="19BA1187">
            <w:pPr>
              <w:jc w:val="center"/>
              <w:rPr>
                <w:rFonts w:ascii="宋体" w:hAnsi="宋体" w:cs="宋体"/>
                <w:sz w:val="24"/>
              </w:rPr>
            </w:pPr>
          </w:p>
        </w:tc>
        <w:tc>
          <w:tcPr>
            <w:tcW w:w="876" w:type="pct"/>
            <w:vAlign w:val="center"/>
          </w:tcPr>
          <w:p w14:paraId="2E414C39">
            <w:pPr>
              <w:jc w:val="center"/>
              <w:rPr>
                <w:rFonts w:ascii="宋体" w:hAnsi="宋体" w:cs="宋体"/>
                <w:sz w:val="24"/>
              </w:rPr>
            </w:pPr>
          </w:p>
        </w:tc>
      </w:tr>
      <w:tr w14:paraId="6E01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3"/>
            <w:vAlign w:val="center"/>
          </w:tcPr>
          <w:p w14:paraId="3BF84454">
            <w:pPr>
              <w:jc w:val="center"/>
              <w:rPr>
                <w:rFonts w:ascii="宋体" w:hAnsi="宋体" w:cs="宋体"/>
                <w:b/>
                <w:sz w:val="24"/>
              </w:rPr>
            </w:pPr>
            <w:r>
              <w:rPr>
                <w:rFonts w:hint="eastAsia" w:ascii="宋体" w:hAnsi="宋体" w:cs="宋体"/>
                <w:b/>
                <w:sz w:val="24"/>
              </w:rPr>
              <w:t>磋商报价（小写）</w:t>
            </w:r>
          </w:p>
        </w:tc>
        <w:tc>
          <w:tcPr>
            <w:tcW w:w="2627" w:type="pct"/>
            <w:gridSpan w:val="3"/>
            <w:vAlign w:val="center"/>
          </w:tcPr>
          <w:p w14:paraId="24D9155C">
            <w:pPr>
              <w:jc w:val="center"/>
              <w:rPr>
                <w:rFonts w:ascii="宋体" w:hAnsi="宋体" w:cs="宋体"/>
                <w:sz w:val="24"/>
              </w:rPr>
            </w:pPr>
          </w:p>
        </w:tc>
      </w:tr>
      <w:tr w14:paraId="1CEE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3"/>
            <w:vAlign w:val="center"/>
          </w:tcPr>
          <w:p w14:paraId="05294FED">
            <w:pPr>
              <w:jc w:val="center"/>
              <w:rPr>
                <w:rFonts w:ascii="宋体" w:hAnsi="宋体" w:cs="宋体"/>
                <w:b/>
                <w:sz w:val="24"/>
              </w:rPr>
            </w:pPr>
            <w:r>
              <w:rPr>
                <w:rFonts w:hint="eastAsia" w:ascii="宋体" w:hAnsi="宋体" w:cs="宋体"/>
                <w:b/>
                <w:sz w:val="24"/>
              </w:rPr>
              <w:t>磋商报价（大写）</w:t>
            </w:r>
          </w:p>
        </w:tc>
        <w:tc>
          <w:tcPr>
            <w:tcW w:w="2627" w:type="pct"/>
            <w:gridSpan w:val="3"/>
            <w:vAlign w:val="center"/>
          </w:tcPr>
          <w:p w14:paraId="25557CF5">
            <w:pPr>
              <w:jc w:val="center"/>
              <w:rPr>
                <w:rFonts w:ascii="宋体" w:hAnsi="宋体" w:cs="宋体"/>
                <w:sz w:val="24"/>
              </w:rPr>
            </w:pPr>
          </w:p>
        </w:tc>
      </w:tr>
    </w:tbl>
    <w:p w14:paraId="34091E3F">
      <w:pPr>
        <w:snapToGrid w:val="0"/>
        <w:spacing w:line="360" w:lineRule="auto"/>
        <w:ind w:left="480"/>
        <w:rPr>
          <w:rFonts w:ascii="宋体" w:hAnsi="宋体" w:cs="宋体"/>
          <w:b/>
          <w:color w:val="000000" w:themeColor="text1"/>
          <w:kern w:val="0"/>
          <w:sz w:val="24"/>
          <w:lang w:val="zh-CN"/>
          <w14:textFill>
            <w14:solidFill>
              <w14:schemeClr w14:val="tx1"/>
            </w14:solidFill>
          </w14:textFill>
        </w:rPr>
      </w:pPr>
    </w:p>
    <w:p w14:paraId="73518210">
      <w:pPr>
        <w:spacing w:line="360" w:lineRule="auto"/>
        <w:ind w:left="-2" w:leftChars="-1"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w:t>
      </w:r>
    </w:p>
    <w:p w14:paraId="64C5BA4C">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1、供应商需按本表格式填写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3268475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73E3E3C3">
      <w:pPr>
        <w:snapToGrid w:val="0"/>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r>
        <w:rPr>
          <w:rFonts w:hint="eastAsia" w:ascii="宋体" w:hAnsi="宋体" w:cs="宋体"/>
          <w:color w:val="000000" w:themeColor="text1"/>
          <w:sz w:val="32"/>
          <w:szCs w:val="32"/>
          <w14:textFill>
            <w14:solidFill>
              <w14:schemeClr w14:val="tx1"/>
            </w14:solidFill>
          </w14:textFill>
        </w:rPr>
        <w:br w:type="page"/>
      </w:r>
    </w:p>
    <w:p w14:paraId="40870E04">
      <w:pPr>
        <w:pStyle w:val="695"/>
        <w:keepNext w:val="0"/>
        <w:pageBreakBefore w:val="0"/>
        <w:tabs>
          <w:tab w:val="clear" w:pos="720"/>
        </w:tabs>
        <w:snapToGrid w:val="0"/>
        <w:spacing w:before="120" w:after="120"/>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kern w:val="2"/>
          <w:sz w:val="32"/>
          <w:szCs w:val="32"/>
        </w:rPr>
        <w:t>初次报价明细表</w:t>
      </w:r>
    </w:p>
    <w:p w14:paraId="131F6FCB">
      <w:pPr>
        <w:snapToGrid w:val="0"/>
        <w:spacing w:line="360" w:lineRule="auto"/>
        <w:rPr>
          <w:rFonts w:ascii="宋体" w:hAnsi="宋体" w:cs="宋体"/>
          <w:sz w:val="24"/>
        </w:rPr>
      </w:pPr>
      <w:r>
        <w:rPr>
          <w:rFonts w:ascii="宋体" w:hAnsi="宋体" w:cs="宋体"/>
          <w:sz w:val="24"/>
        </w:rPr>
        <w:t xml:space="preserve">项目名称：                                 项目编号：     </w:t>
      </w:r>
    </w:p>
    <w:tbl>
      <w:tblPr>
        <w:tblStyle w:val="62"/>
        <w:tblW w:w="499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6"/>
        <w:gridCol w:w="1830"/>
        <w:gridCol w:w="1609"/>
        <w:gridCol w:w="1058"/>
        <w:gridCol w:w="1058"/>
        <w:gridCol w:w="1058"/>
        <w:gridCol w:w="1237"/>
        <w:gridCol w:w="1290"/>
      </w:tblGrid>
      <w:tr w14:paraId="06A96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25A6586D">
            <w:pPr>
              <w:tabs>
                <w:tab w:val="left" w:pos="1418"/>
              </w:tabs>
              <w:jc w:val="center"/>
              <w:rPr>
                <w:rFonts w:ascii="宋体" w:hAnsi="宋体" w:cs="宋体"/>
                <w:spacing w:val="-6"/>
                <w:sz w:val="24"/>
              </w:rPr>
            </w:pPr>
            <w:r>
              <w:rPr>
                <w:rFonts w:ascii="宋体" w:hAnsi="宋体" w:cs="宋体"/>
                <w:spacing w:val="-6"/>
                <w:sz w:val="24"/>
              </w:rPr>
              <w:t>序号</w:t>
            </w:r>
          </w:p>
        </w:tc>
        <w:tc>
          <w:tcPr>
            <w:tcW w:w="920" w:type="pct"/>
            <w:tcBorders>
              <w:top w:val="single" w:color="auto" w:sz="4" w:space="0"/>
              <w:left w:val="single" w:color="auto" w:sz="4" w:space="0"/>
              <w:bottom w:val="single" w:color="auto" w:sz="4" w:space="0"/>
              <w:right w:val="single" w:color="auto" w:sz="4" w:space="0"/>
            </w:tcBorders>
            <w:vAlign w:val="center"/>
          </w:tcPr>
          <w:p w14:paraId="384F5B78">
            <w:pPr>
              <w:tabs>
                <w:tab w:val="left" w:pos="1418"/>
              </w:tabs>
              <w:jc w:val="center"/>
              <w:rPr>
                <w:rFonts w:ascii="宋体" w:hAnsi="宋体" w:cs="宋体"/>
                <w:spacing w:val="-6"/>
                <w:sz w:val="24"/>
              </w:rPr>
            </w:pPr>
            <w:r>
              <w:rPr>
                <w:rFonts w:ascii="宋体" w:hAnsi="宋体" w:cs="宋体"/>
                <w:spacing w:val="-6"/>
                <w:sz w:val="24"/>
              </w:rPr>
              <w:t>名称</w:t>
            </w:r>
          </w:p>
        </w:tc>
        <w:tc>
          <w:tcPr>
            <w:tcW w:w="809" w:type="pct"/>
            <w:tcBorders>
              <w:top w:val="single" w:color="auto" w:sz="4" w:space="0"/>
              <w:left w:val="single" w:color="auto" w:sz="4" w:space="0"/>
              <w:bottom w:val="single" w:color="auto" w:sz="4" w:space="0"/>
              <w:right w:val="single" w:color="auto" w:sz="4" w:space="0"/>
            </w:tcBorders>
            <w:vAlign w:val="center"/>
          </w:tcPr>
          <w:p w14:paraId="1844D069">
            <w:pPr>
              <w:tabs>
                <w:tab w:val="left" w:pos="1418"/>
              </w:tabs>
              <w:jc w:val="center"/>
              <w:rPr>
                <w:rFonts w:ascii="宋体" w:hAnsi="宋体" w:cs="宋体"/>
                <w:spacing w:val="-6"/>
                <w:sz w:val="24"/>
              </w:rPr>
            </w:pPr>
            <w:r>
              <w:rPr>
                <w:rFonts w:hint="eastAsia" w:ascii="宋体" w:hAnsi="宋体" w:cs="宋体"/>
                <w:spacing w:val="-6"/>
                <w:sz w:val="24"/>
              </w:rPr>
              <w:t>功能参数</w:t>
            </w:r>
          </w:p>
        </w:tc>
        <w:tc>
          <w:tcPr>
            <w:tcW w:w="532" w:type="pct"/>
            <w:tcBorders>
              <w:top w:val="single" w:color="auto" w:sz="4" w:space="0"/>
              <w:left w:val="single" w:color="auto" w:sz="4" w:space="0"/>
              <w:bottom w:val="single" w:color="auto" w:sz="4" w:space="0"/>
              <w:right w:val="single" w:color="auto" w:sz="4" w:space="0"/>
            </w:tcBorders>
            <w:vAlign w:val="center"/>
          </w:tcPr>
          <w:p w14:paraId="4CC14B17">
            <w:pPr>
              <w:tabs>
                <w:tab w:val="left" w:pos="1418"/>
              </w:tabs>
              <w:jc w:val="center"/>
              <w:rPr>
                <w:rFonts w:ascii="宋体" w:hAnsi="宋体" w:cs="宋体"/>
                <w:spacing w:val="-6"/>
                <w:sz w:val="24"/>
              </w:rPr>
            </w:pPr>
            <w:r>
              <w:rPr>
                <w:rFonts w:ascii="宋体" w:hAnsi="宋体" w:cs="宋体"/>
                <w:spacing w:val="-6"/>
                <w:sz w:val="24"/>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0BBBA87D">
            <w:pPr>
              <w:tabs>
                <w:tab w:val="left" w:pos="1418"/>
              </w:tabs>
              <w:jc w:val="center"/>
              <w:rPr>
                <w:rFonts w:ascii="宋体" w:hAnsi="宋体" w:cs="宋体"/>
                <w:spacing w:val="-6"/>
                <w:sz w:val="24"/>
              </w:rPr>
            </w:pPr>
            <w:r>
              <w:rPr>
                <w:rFonts w:ascii="宋体" w:hAnsi="宋体" w:cs="宋体"/>
                <w:spacing w:val="-6"/>
                <w:sz w:val="24"/>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522D36F0">
            <w:pPr>
              <w:tabs>
                <w:tab w:val="left" w:pos="1418"/>
              </w:tabs>
              <w:jc w:val="center"/>
              <w:rPr>
                <w:rFonts w:ascii="宋体" w:hAnsi="宋体" w:cs="宋体"/>
                <w:spacing w:val="-6"/>
                <w:sz w:val="24"/>
              </w:rPr>
            </w:pPr>
            <w:r>
              <w:rPr>
                <w:rFonts w:ascii="宋体" w:hAnsi="宋体" w:cs="宋体"/>
                <w:spacing w:val="-6"/>
                <w:sz w:val="24"/>
              </w:rPr>
              <w:t>单价</w:t>
            </w:r>
          </w:p>
        </w:tc>
        <w:tc>
          <w:tcPr>
            <w:tcW w:w="622" w:type="pct"/>
            <w:tcBorders>
              <w:top w:val="single" w:color="auto" w:sz="4" w:space="0"/>
              <w:left w:val="single" w:color="auto" w:sz="4" w:space="0"/>
              <w:bottom w:val="single" w:color="auto" w:sz="4" w:space="0"/>
              <w:right w:val="single" w:color="auto" w:sz="4" w:space="0"/>
            </w:tcBorders>
            <w:vAlign w:val="center"/>
          </w:tcPr>
          <w:p w14:paraId="61732DCF">
            <w:pPr>
              <w:tabs>
                <w:tab w:val="left" w:pos="1418"/>
              </w:tabs>
              <w:jc w:val="center"/>
              <w:rPr>
                <w:rFonts w:ascii="宋体" w:hAnsi="宋体" w:cs="宋体"/>
                <w:spacing w:val="-6"/>
                <w:sz w:val="24"/>
              </w:rPr>
            </w:pPr>
            <w:r>
              <w:rPr>
                <w:rFonts w:ascii="宋体" w:hAnsi="宋体" w:cs="宋体"/>
                <w:spacing w:val="-6"/>
                <w:sz w:val="24"/>
              </w:rPr>
              <w:t>总价</w:t>
            </w:r>
          </w:p>
        </w:tc>
        <w:tc>
          <w:tcPr>
            <w:tcW w:w="644" w:type="pct"/>
            <w:tcBorders>
              <w:top w:val="single" w:color="auto" w:sz="4" w:space="0"/>
              <w:left w:val="single" w:color="auto" w:sz="4" w:space="0"/>
              <w:bottom w:val="single" w:color="auto" w:sz="4" w:space="0"/>
              <w:right w:val="single" w:color="auto" w:sz="4" w:space="0"/>
            </w:tcBorders>
            <w:vAlign w:val="center"/>
          </w:tcPr>
          <w:p w14:paraId="4B09AB40">
            <w:pPr>
              <w:tabs>
                <w:tab w:val="left" w:pos="1418"/>
              </w:tabs>
              <w:jc w:val="center"/>
              <w:rPr>
                <w:rFonts w:ascii="宋体" w:hAnsi="宋体" w:cs="宋体"/>
                <w:spacing w:val="-6"/>
                <w:sz w:val="24"/>
              </w:rPr>
            </w:pPr>
            <w:r>
              <w:rPr>
                <w:rFonts w:hint="eastAsia" w:ascii="宋体" w:hAnsi="宋体" w:cs="宋体"/>
                <w:spacing w:val="-6"/>
                <w:sz w:val="24"/>
              </w:rPr>
              <w:t>品牌、</w:t>
            </w:r>
            <w:r>
              <w:rPr>
                <w:rFonts w:ascii="宋体" w:hAnsi="宋体" w:cs="宋体"/>
                <w:spacing w:val="-6"/>
                <w:sz w:val="24"/>
              </w:rPr>
              <w:t>型号</w:t>
            </w:r>
          </w:p>
        </w:tc>
      </w:tr>
      <w:tr w14:paraId="6D868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8DA042B">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10CF61D0">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39521084">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69A380F">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15B412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05804EC">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21FA623">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8E43C13">
            <w:pPr>
              <w:tabs>
                <w:tab w:val="left" w:pos="1418"/>
              </w:tabs>
              <w:jc w:val="center"/>
              <w:rPr>
                <w:rFonts w:ascii="宋体" w:hAnsi="宋体" w:cs="宋体"/>
                <w:spacing w:val="-6"/>
                <w:sz w:val="24"/>
              </w:rPr>
            </w:pPr>
          </w:p>
        </w:tc>
      </w:tr>
      <w:tr w14:paraId="29D12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53BA9F3D">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B71BCD4">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793ABE6B">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C354877">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A4049EA">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0DDDA75">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71A1FDC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78046951">
            <w:pPr>
              <w:tabs>
                <w:tab w:val="left" w:pos="1418"/>
              </w:tabs>
              <w:jc w:val="center"/>
              <w:rPr>
                <w:rFonts w:ascii="宋体" w:hAnsi="宋体" w:cs="宋体"/>
                <w:spacing w:val="-6"/>
                <w:sz w:val="24"/>
              </w:rPr>
            </w:pPr>
          </w:p>
        </w:tc>
      </w:tr>
      <w:tr w14:paraId="22F1C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18D2F318">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46320B31">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00F1EAB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B5892C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E9F960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6BB12E4">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26F5B8E">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5FC9A1B">
            <w:pPr>
              <w:tabs>
                <w:tab w:val="left" w:pos="1418"/>
              </w:tabs>
              <w:jc w:val="center"/>
              <w:rPr>
                <w:rFonts w:ascii="宋体" w:hAnsi="宋体" w:cs="宋体"/>
                <w:spacing w:val="-6"/>
                <w:sz w:val="24"/>
              </w:rPr>
            </w:pPr>
          </w:p>
        </w:tc>
      </w:tr>
      <w:tr w14:paraId="098DD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3313CED2">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6DC0689">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5492E6B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779EBA8">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819241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D1242D5">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A8A60EF">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4312D25C">
            <w:pPr>
              <w:tabs>
                <w:tab w:val="left" w:pos="1418"/>
              </w:tabs>
              <w:jc w:val="center"/>
              <w:rPr>
                <w:rFonts w:ascii="宋体" w:hAnsi="宋体" w:cs="宋体"/>
                <w:spacing w:val="-6"/>
                <w:sz w:val="24"/>
              </w:rPr>
            </w:pPr>
          </w:p>
        </w:tc>
      </w:tr>
      <w:tr w14:paraId="0761A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D8D3C6E">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30D2D97">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A6B09A7">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0311B1E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AACFFA3">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38CAE97">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2EA5635">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4465C470">
            <w:pPr>
              <w:tabs>
                <w:tab w:val="left" w:pos="1418"/>
              </w:tabs>
              <w:jc w:val="center"/>
              <w:rPr>
                <w:rFonts w:ascii="宋体" w:hAnsi="宋体" w:cs="宋体"/>
                <w:spacing w:val="-6"/>
                <w:sz w:val="24"/>
              </w:rPr>
            </w:pPr>
          </w:p>
        </w:tc>
      </w:tr>
      <w:tr w14:paraId="15A47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AC6B632">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5A5AEF0F">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3C6591F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CA7AC1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A7B0F0E">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33610D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23F6BA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6785B153">
            <w:pPr>
              <w:tabs>
                <w:tab w:val="left" w:pos="1418"/>
              </w:tabs>
              <w:jc w:val="center"/>
              <w:rPr>
                <w:rFonts w:ascii="宋体" w:hAnsi="宋体" w:cs="宋体"/>
                <w:spacing w:val="-6"/>
                <w:sz w:val="24"/>
              </w:rPr>
            </w:pPr>
          </w:p>
        </w:tc>
      </w:tr>
      <w:tr w14:paraId="66EE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48E3F51C">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7F05060">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0AFDDA5B">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2CF45C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30E029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012D3C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73D9AC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6AD4AC89">
            <w:pPr>
              <w:tabs>
                <w:tab w:val="left" w:pos="1418"/>
              </w:tabs>
              <w:jc w:val="center"/>
              <w:rPr>
                <w:rFonts w:ascii="宋体" w:hAnsi="宋体" w:cs="宋体"/>
                <w:spacing w:val="-6"/>
                <w:sz w:val="24"/>
              </w:rPr>
            </w:pPr>
          </w:p>
        </w:tc>
      </w:tr>
      <w:tr w14:paraId="6D0E5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07C0D9DC">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119269A">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E66C1B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D843E19">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F64B5D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33659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AA4D406">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1EBC6796">
            <w:pPr>
              <w:tabs>
                <w:tab w:val="left" w:pos="1418"/>
              </w:tabs>
              <w:jc w:val="center"/>
              <w:rPr>
                <w:rFonts w:ascii="宋体" w:hAnsi="宋体" w:cs="宋体"/>
                <w:spacing w:val="-6"/>
                <w:sz w:val="24"/>
              </w:rPr>
            </w:pPr>
          </w:p>
        </w:tc>
      </w:tr>
      <w:tr w14:paraId="736AB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249AAAE5">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05B64F4">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696C5F28">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5F0342F">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BCD2B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B9176B7">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49FD4989">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E5F2A72">
            <w:pPr>
              <w:tabs>
                <w:tab w:val="left" w:pos="1418"/>
              </w:tabs>
              <w:jc w:val="center"/>
              <w:rPr>
                <w:rFonts w:ascii="宋体" w:hAnsi="宋体" w:cs="宋体"/>
                <w:spacing w:val="-6"/>
                <w:sz w:val="24"/>
              </w:rPr>
            </w:pPr>
          </w:p>
        </w:tc>
      </w:tr>
      <w:tr w14:paraId="65D5F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5374E6B4">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A861211">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93857F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0C4D21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7F9DC9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3101B8">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143295FA">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5E08E5A2">
            <w:pPr>
              <w:tabs>
                <w:tab w:val="left" w:pos="1418"/>
              </w:tabs>
              <w:jc w:val="center"/>
              <w:rPr>
                <w:rFonts w:ascii="宋体" w:hAnsi="宋体" w:cs="宋体"/>
                <w:spacing w:val="-6"/>
                <w:sz w:val="24"/>
              </w:rPr>
            </w:pPr>
          </w:p>
        </w:tc>
      </w:tr>
      <w:tr w14:paraId="3B031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DD44A35">
            <w:pPr>
              <w:tabs>
                <w:tab w:val="left" w:pos="1418"/>
              </w:tabs>
              <w:jc w:val="left"/>
              <w:rPr>
                <w:rFonts w:ascii="宋体" w:hAnsi="宋体" w:cs="宋体"/>
                <w:spacing w:val="-6"/>
                <w:sz w:val="24"/>
              </w:rPr>
            </w:pPr>
            <w:r>
              <w:rPr>
                <w:rFonts w:hint="eastAsia" w:ascii="宋体" w:hAnsi="宋体" w:cs="宋体"/>
                <w:spacing w:val="-6"/>
                <w:sz w:val="24"/>
              </w:rPr>
              <w:t>合价:</w:t>
            </w:r>
          </w:p>
        </w:tc>
      </w:tr>
    </w:tbl>
    <w:p w14:paraId="20FDB6FB">
      <w:pPr>
        <w:tabs>
          <w:tab w:val="left" w:pos="1418"/>
        </w:tabs>
        <w:spacing w:line="360" w:lineRule="auto"/>
        <w:rPr>
          <w:rFonts w:ascii="宋体" w:hAnsi="宋体" w:cs="宋体"/>
          <w:spacing w:val="-6"/>
          <w:sz w:val="24"/>
          <w:u w:val="single"/>
        </w:rPr>
      </w:pPr>
    </w:p>
    <w:p w14:paraId="12B9DFDE">
      <w:pPr>
        <w:spacing w:after="120"/>
        <w:rPr>
          <w:rFonts w:ascii="宋体" w:hAnsi="宋体" w:cs="宋体"/>
          <w:sz w:val="24"/>
        </w:rPr>
      </w:pPr>
      <w:r>
        <w:rPr>
          <w:rFonts w:hint="eastAsia" w:ascii="宋体" w:hAnsi="宋体" w:cs="宋体"/>
          <w:sz w:val="24"/>
        </w:rPr>
        <w:t>格式可以自行调整。</w:t>
      </w:r>
    </w:p>
    <w:p w14:paraId="74FF0469">
      <w:pPr>
        <w:spacing w:line="360" w:lineRule="auto"/>
        <w:ind w:right="-874" w:rightChars="-416" w:firstLine="5280" w:firstLineChars="2200"/>
        <w:rPr>
          <w:rFonts w:ascii="宋体" w:hAnsi="宋体" w:cs="宋体"/>
          <w:sz w:val="24"/>
        </w:rPr>
      </w:pPr>
      <w:r>
        <w:rPr>
          <w:rFonts w:hint="eastAsia" w:ascii="宋体" w:hAnsi="宋体" w:cs="宋体"/>
          <w:sz w:val="24"/>
          <w:lang w:val="zh-CN"/>
        </w:rPr>
        <w:t>供应商名称（盖章）：</w:t>
      </w:r>
    </w:p>
    <w:p w14:paraId="44158878">
      <w:pPr>
        <w:ind w:right="420"/>
        <w:rPr>
          <w:rFonts w:ascii="宋体" w:hAnsi="宋体" w:cs="宋体"/>
          <w:sz w:val="24"/>
        </w:rPr>
      </w:pPr>
      <w:r>
        <w:rPr>
          <w:rFonts w:hint="eastAsia" w:ascii="宋体" w:hAnsi="宋体" w:cs="宋体"/>
          <w:sz w:val="24"/>
          <w:lang w:val="zh-CN"/>
        </w:rPr>
        <w:t xml:space="preserve">                                            日期：    年  月   日</w:t>
      </w:r>
      <w:r>
        <w:rPr>
          <w:rFonts w:hint="eastAsia" w:ascii="宋体" w:hAnsi="宋体" w:cs="宋体"/>
          <w:sz w:val="24"/>
        </w:rPr>
        <w:t xml:space="preserve"> </w:t>
      </w:r>
    </w:p>
    <w:p w14:paraId="0D351350">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p>
    <w:p w14:paraId="11A92B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536" w:name="_Toc19335"/>
      <w:bookmarkStart w:id="537" w:name="_Toc465665161"/>
      <w:r>
        <w:rPr>
          <w:rFonts w:hint="eastAsia" w:ascii="宋体" w:hAnsi="宋体" w:cs="宋体"/>
          <w:color w:val="000000" w:themeColor="text1"/>
          <w14:textFill>
            <w14:solidFill>
              <w14:schemeClr w14:val="tx1"/>
            </w14:solidFill>
          </w14:textFill>
        </w:rPr>
        <w:t>附件</w:t>
      </w:r>
      <w:bookmarkEnd w:id="536"/>
      <w:bookmarkEnd w:id="537"/>
    </w:p>
    <w:p w14:paraId="1BC58E7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9F7F6A8">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38" w:name="OLE_LINK13"/>
      <w:bookmarkStart w:id="539"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38"/>
    <w:bookmarkEnd w:id="539"/>
    <w:p w14:paraId="39ACAE79">
      <w:pPr>
        <w:spacing w:line="360" w:lineRule="auto"/>
        <w:rPr>
          <w:rFonts w:ascii="宋体" w:hAnsi="宋体" w:cs="宋体"/>
          <w:b/>
          <w:color w:val="000000" w:themeColor="text1"/>
          <w:spacing w:val="6"/>
          <w:sz w:val="30"/>
          <w:szCs w:val="30"/>
          <w14:textFill>
            <w14:solidFill>
              <w14:schemeClr w14:val="tx1"/>
            </w14:solidFill>
          </w14:textFill>
        </w:rPr>
      </w:pPr>
    </w:p>
    <w:p w14:paraId="07B492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5163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FEEE4C7">
      <w:pPr>
        <w:spacing w:line="360" w:lineRule="auto"/>
        <w:ind w:firstLine="480" w:firstLineChars="200"/>
        <w:rPr>
          <w:rFonts w:ascii="宋体" w:hAnsi="宋体" w:cs="宋体"/>
          <w:color w:val="000000" w:themeColor="text1"/>
          <w:sz w:val="24"/>
          <w14:textFill>
            <w14:solidFill>
              <w14:schemeClr w14:val="tx1"/>
            </w14:solidFill>
          </w14:textFill>
        </w:rPr>
      </w:pPr>
    </w:p>
    <w:p w14:paraId="514497E9">
      <w:pPr>
        <w:spacing w:line="360" w:lineRule="auto"/>
        <w:ind w:firstLine="480" w:firstLineChars="200"/>
        <w:rPr>
          <w:rFonts w:ascii="宋体" w:hAnsi="宋体" w:cs="宋体"/>
          <w:color w:val="000000" w:themeColor="text1"/>
          <w:sz w:val="24"/>
          <w14:textFill>
            <w14:solidFill>
              <w14:schemeClr w14:val="tx1"/>
            </w14:solidFill>
          </w14:textFill>
        </w:rPr>
      </w:pPr>
    </w:p>
    <w:p w14:paraId="0803B48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供应商名称（电子签名）</w:t>
      </w:r>
      <w:r>
        <w:rPr>
          <w:rFonts w:hint="eastAsia" w:ascii="宋体" w:hAnsi="宋体" w:cs="宋体"/>
          <w:color w:val="000000" w:themeColor="text1"/>
          <w:sz w:val="24"/>
          <w14:textFill>
            <w14:solidFill>
              <w14:schemeClr w14:val="tx1"/>
            </w14:solidFill>
          </w14:textFill>
        </w:rPr>
        <w:t>：</w:t>
      </w:r>
    </w:p>
    <w:p w14:paraId="70402C48">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0FDD3968">
      <w:pPr>
        <w:spacing w:line="360" w:lineRule="auto"/>
        <w:ind w:firstLine="480" w:firstLineChars="200"/>
        <w:rPr>
          <w:rFonts w:ascii="宋体" w:hAnsi="宋体" w:cs="宋体"/>
          <w:color w:val="000000" w:themeColor="text1"/>
          <w:sz w:val="24"/>
          <w14:textFill>
            <w14:solidFill>
              <w14:schemeClr w14:val="tx1"/>
            </w14:solidFill>
          </w14:textFill>
        </w:rPr>
      </w:pPr>
    </w:p>
    <w:p w14:paraId="3724B2C5">
      <w:pPr>
        <w:spacing w:line="360" w:lineRule="auto"/>
        <w:ind w:firstLine="420" w:firstLineChars="200"/>
        <w:rPr>
          <w:rFonts w:ascii="宋体" w:hAnsi="宋体" w:cs="宋体"/>
          <w:color w:val="000000" w:themeColor="text1"/>
          <w14:textFill>
            <w14:solidFill>
              <w14:schemeClr w14:val="tx1"/>
            </w14:solidFill>
          </w14:textFill>
        </w:rPr>
      </w:pPr>
    </w:p>
    <w:p w14:paraId="7BD0769D">
      <w:pPr>
        <w:spacing w:line="360" w:lineRule="auto"/>
        <w:ind w:firstLine="420" w:firstLineChars="200"/>
        <w:rPr>
          <w:rFonts w:ascii="宋体" w:hAnsi="宋体" w:cs="宋体"/>
          <w:color w:val="000000" w:themeColor="text1"/>
          <w14:textFill>
            <w14:solidFill>
              <w14:schemeClr w14:val="tx1"/>
            </w14:solidFill>
          </w14:textFill>
        </w:rPr>
      </w:pPr>
    </w:p>
    <w:p w14:paraId="08886BC2">
      <w:pPr>
        <w:spacing w:line="360" w:lineRule="auto"/>
        <w:ind w:firstLine="420" w:firstLineChars="200"/>
        <w:rPr>
          <w:rFonts w:ascii="宋体" w:hAnsi="宋体" w:cs="宋体"/>
          <w:color w:val="000000" w:themeColor="text1"/>
          <w14:textFill>
            <w14:solidFill>
              <w14:schemeClr w14:val="tx1"/>
            </w14:solidFill>
          </w14:textFill>
        </w:rPr>
      </w:pPr>
    </w:p>
    <w:p w14:paraId="29C9648D">
      <w:pPr>
        <w:spacing w:line="360" w:lineRule="auto"/>
        <w:ind w:firstLine="420" w:firstLineChars="200"/>
        <w:rPr>
          <w:rFonts w:ascii="宋体" w:hAnsi="宋体" w:cs="宋体"/>
          <w:color w:val="000000" w:themeColor="text1"/>
          <w14:textFill>
            <w14:solidFill>
              <w14:schemeClr w14:val="tx1"/>
            </w14:solidFill>
          </w14:textFill>
        </w:rPr>
      </w:pPr>
    </w:p>
    <w:p w14:paraId="2108A05A">
      <w:pPr>
        <w:spacing w:line="360" w:lineRule="auto"/>
        <w:rPr>
          <w:rFonts w:ascii="宋体" w:hAnsi="宋体" w:cs="宋体"/>
          <w:b/>
          <w:color w:val="000000" w:themeColor="text1"/>
          <w:sz w:val="24"/>
          <w14:textFill>
            <w14:solidFill>
              <w14:schemeClr w14:val="tx1"/>
            </w14:solidFill>
          </w14:textFill>
        </w:rPr>
      </w:pPr>
    </w:p>
    <w:p w14:paraId="6833EE32">
      <w:pPr>
        <w:spacing w:line="360" w:lineRule="auto"/>
        <w:rPr>
          <w:rFonts w:ascii="宋体" w:hAnsi="宋体" w:cs="宋体"/>
          <w:b/>
          <w:color w:val="000000" w:themeColor="text1"/>
          <w:sz w:val="24"/>
          <w14:textFill>
            <w14:solidFill>
              <w14:schemeClr w14:val="tx1"/>
            </w14:solidFill>
          </w14:textFill>
        </w:rPr>
      </w:pPr>
    </w:p>
    <w:p w14:paraId="20698FF3">
      <w:pPr>
        <w:spacing w:line="360" w:lineRule="auto"/>
        <w:rPr>
          <w:rFonts w:ascii="宋体" w:hAnsi="宋体" w:cs="宋体"/>
          <w:b/>
          <w:color w:val="000000" w:themeColor="text1"/>
          <w:sz w:val="24"/>
          <w14:textFill>
            <w14:solidFill>
              <w14:schemeClr w14:val="tx1"/>
            </w14:solidFill>
          </w14:textFill>
        </w:rPr>
      </w:pPr>
    </w:p>
    <w:p w14:paraId="7E7FD7AC">
      <w:pPr>
        <w:spacing w:line="360" w:lineRule="auto"/>
        <w:rPr>
          <w:rFonts w:ascii="宋体" w:hAnsi="宋体" w:cs="宋体"/>
          <w:b/>
          <w:color w:val="000000" w:themeColor="text1"/>
          <w:sz w:val="24"/>
          <w14:textFill>
            <w14:solidFill>
              <w14:schemeClr w14:val="tx1"/>
            </w14:solidFill>
          </w14:textFill>
        </w:rPr>
      </w:pPr>
    </w:p>
    <w:p w14:paraId="0CCB9D11">
      <w:pPr>
        <w:spacing w:line="360" w:lineRule="auto"/>
        <w:rPr>
          <w:rFonts w:ascii="宋体" w:hAnsi="宋体" w:cs="宋体"/>
          <w:b/>
          <w:color w:val="000000" w:themeColor="text1"/>
          <w:sz w:val="24"/>
          <w14:textFill>
            <w14:solidFill>
              <w14:schemeClr w14:val="tx1"/>
            </w14:solidFill>
          </w14:textFill>
        </w:rPr>
      </w:pPr>
    </w:p>
    <w:p w14:paraId="0A2243A8">
      <w:pPr>
        <w:spacing w:line="360" w:lineRule="auto"/>
        <w:rPr>
          <w:rFonts w:ascii="宋体" w:hAnsi="宋体" w:cs="宋体"/>
          <w:b/>
          <w:color w:val="000000" w:themeColor="text1"/>
          <w:sz w:val="24"/>
          <w14:textFill>
            <w14:solidFill>
              <w14:schemeClr w14:val="tx1"/>
            </w14:solidFill>
          </w14:textFill>
        </w:rPr>
      </w:pPr>
    </w:p>
    <w:p w14:paraId="7D3502F3">
      <w:pPr>
        <w:spacing w:line="360" w:lineRule="auto"/>
        <w:rPr>
          <w:rFonts w:ascii="宋体" w:hAnsi="宋体" w:cs="宋体"/>
          <w:b/>
          <w:color w:val="000000" w:themeColor="text1"/>
          <w:sz w:val="24"/>
          <w14:textFill>
            <w14:solidFill>
              <w14:schemeClr w14:val="tx1"/>
            </w14:solidFill>
          </w14:textFill>
        </w:rPr>
      </w:pPr>
    </w:p>
    <w:p w14:paraId="69D82F79">
      <w:pPr>
        <w:spacing w:line="360" w:lineRule="auto"/>
        <w:rPr>
          <w:rFonts w:ascii="宋体" w:hAnsi="宋体" w:cs="宋体"/>
          <w:b/>
          <w:color w:val="000000" w:themeColor="text1"/>
          <w:sz w:val="24"/>
          <w14:textFill>
            <w14:solidFill>
              <w14:schemeClr w14:val="tx1"/>
            </w14:solidFill>
          </w14:textFill>
        </w:rPr>
      </w:pPr>
    </w:p>
    <w:p w14:paraId="7ED7B47F">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39B618AD">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0A859955">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2C75216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4E98197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3A4E0E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15B59B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1F8F802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632B3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ED100D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6D8EE68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583EEE0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675DE0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5B2653F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82912D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12548A0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2D2D4AC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DDC72D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E76932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3AC247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F352FA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700395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6188E6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D28BC3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75FDA58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3B8FE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80784B7">
      <w:pPr>
        <w:spacing w:line="360" w:lineRule="auto"/>
        <w:jc w:val="center"/>
        <w:rPr>
          <w:rFonts w:ascii="宋体" w:hAnsi="宋体" w:cs="宋体"/>
          <w:b/>
          <w:bCs/>
          <w:color w:val="000000" w:themeColor="text1"/>
          <w:sz w:val="24"/>
          <w14:textFill>
            <w14:solidFill>
              <w14:schemeClr w14:val="tx1"/>
            </w14:solidFill>
          </w14:textFill>
        </w:rPr>
      </w:pPr>
    </w:p>
    <w:p w14:paraId="07270EF2">
      <w:pPr>
        <w:spacing w:line="360" w:lineRule="auto"/>
        <w:rPr>
          <w:rFonts w:ascii="宋体" w:hAnsi="宋体" w:cs="宋体"/>
          <w:b/>
          <w:color w:val="000000" w:themeColor="text1"/>
          <w:sz w:val="24"/>
          <w14:textFill>
            <w14:solidFill>
              <w14:schemeClr w14:val="tx1"/>
            </w14:solidFill>
          </w14:textFill>
        </w:rPr>
      </w:pPr>
    </w:p>
    <w:p w14:paraId="2ACD1135">
      <w:pPr>
        <w:spacing w:line="360" w:lineRule="auto"/>
        <w:rPr>
          <w:rFonts w:ascii="宋体" w:hAnsi="宋体" w:cs="宋体"/>
          <w:b/>
          <w:color w:val="000000" w:themeColor="text1"/>
          <w:sz w:val="24"/>
          <w14:textFill>
            <w14:solidFill>
              <w14:schemeClr w14:val="tx1"/>
            </w14:solidFill>
          </w14:textFill>
        </w:rPr>
      </w:pPr>
    </w:p>
    <w:p w14:paraId="79D3C0C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5FADB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CC4B3C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166E6A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33FAD93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64DFD3A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0C997ED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B81C51A">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0A5B28D7">
      <w:pPr>
        <w:spacing w:line="360" w:lineRule="auto"/>
        <w:jc w:val="center"/>
        <w:rPr>
          <w:rFonts w:ascii="宋体" w:hAnsi="宋体" w:cs="宋体"/>
          <w:b/>
          <w:color w:val="000000" w:themeColor="text1"/>
          <w:spacing w:val="6"/>
          <w:sz w:val="32"/>
          <w:szCs w:val="32"/>
          <w14:textFill>
            <w14:solidFill>
              <w14:schemeClr w14:val="tx1"/>
            </w14:solidFill>
          </w14:textFill>
        </w:rPr>
      </w:pPr>
    </w:p>
    <w:p w14:paraId="4480F1C8">
      <w:pPr>
        <w:spacing w:line="360" w:lineRule="auto"/>
        <w:jc w:val="center"/>
        <w:rPr>
          <w:rFonts w:ascii="宋体" w:hAnsi="宋体" w:cs="宋体"/>
          <w:b/>
          <w:color w:val="000000" w:themeColor="text1"/>
          <w:spacing w:val="6"/>
          <w:sz w:val="32"/>
          <w:szCs w:val="32"/>
          <w14:textFill>
            <w14:solidFill>
              <w14:schemeClr w14:val="tx1"/>
            </w14:solidFill>
          </w14:textFill>
        </w:rPr>
      </w:pPr>
    </w:p>
    <w:p w14:paraId="233B89FF">
      <w:pPr>
        <w:spacing w:line="360" w:lineRule="auto"/>
        <w:jc w:val="center"/>
        <w:rPr>
          <w:rFonts w:ascii="宋体" w:hAnsi="宋体" w:cs="宋体"/>
          <w:b/>
          <w:color w:val="000000" w:themeColor="text1"/>
          <w:spacing w:val="6"/>
          <w:sz w:val="32"/>
          <w:szCs w:val="32"/>
          <w14:textFill>
            <w14:solidFill>
              <w14:schemeClr w14:val="tx1"/>
            </w14:solidFill>
          </w14:textFill>
        </w:rPr>
      </w:pPr>
    </w:p>
    <w:p w14:paraId="3C50F0FF">
      <w:pPr>
        <w:spacing w:line="360" w:lineRule="auto"/>
        <w:jc w:val="center"/>
        <w:rPr>
          <w:rFonts w:ascii="宋体" w:hAnsi="宋体" w:cs="宋体"/>
          <w:b/>
          <w:color w:val="000000" w:themeColor="text1"/>
          <w:spacing w:val="6"/>
          <w:sz w:val="32"/>
          <w:szCs w:val="32"/>
          <w14:textFill>
            <w14:solidFill>
              <w14:schemeClr w14:val="tx1"/>
            </w14:solidFill>
          </w14:textFill>
        </w:rPr>
      </w:pPr>
    </w:p>
    <w:p w14:paraId="4EEB2EF5">
      <w:pPr>
        <w:spacing w:line="360" w:lineRule="auto"/>
        <w:jc w:val="center"/>
        <w:rPr>
          <w:rFonts w:ascii="宋体" w:hAnsi="宋体" w:cs="宋体"/>
          <w:b/>
          <w:color w:val="000000" w:themeColor="text1"/>
          <w:spacing w:val="6"/>
          <w:sz w:val="32"/>
          <w:szCs w:val="32"/>
          <w14:textFill>
            <w14:solidFill>
              <w14:schemeClr w14:val="tx1"/>
            </w14:solidFill>
          </w14:textFill>
        </w:rPr>
      </w:pPr>
    </w:p>
    <w:p w14:paraId="789EACBE">
      <w:pPr>
        <w:spacing w:line="360" w:lineRule="auto"/>
        <w:jc w:val="center"/>
        <w:rPr>
          <w:rFonts w:ascii="宋体" w:hAnsi="宋体" w:cs="宋体"/>
          <w:b/>
          <w:color w:val="000000" w:themeColor="text1"/>
          <w:spacing w:val="6"/>
          <w:sz w:val="32"/>
          <w:szCs w:val="32"/>
          <w14:textFill>
            <w14:solidFill>
              <w14:schemeClr w14:val="tx1"/>
            </w14:solidFill>
          </w14:textFill>
        </w:rPr>
      </w:pPr>
    </w:p>
    <w:p w14:paraId="5E5A1BD8">
      <w:pPr>
        <w:spacing w:line="360" w:lineRule="auto"/>
        <w:jc w:val="center"/>
        <w:rPr>
          <w:rFonts w:ascii="宋体" w:hAnsi="宋体" w:cs="宋体"/>
          <w:b/>
          <w:color w:val="000000" w:themeColor="text1"/>
          <w:spacing w:val="6"/>
          <w:sz w:val="32"/>
          <w:szCs w:val="32"/>
          <w14:textFill>
            <w14:solidFill>
              <w14:schemeClr w14:val="tx1"/>
            </w14:solidFill>
          </w14:textFill>
        </w:rPr>
      </w:pPr>
    </w:p>
    <w:p w14:paraId="6F809C66">
      <w:pPr>
        <w:spacing w:line="360" w:lineRule="auto"/>
        <w:jc w:val="center"/>
        <w:rPr>
          <w:rFonts w:ascii="宋体" w:hAnsi="宋体" w:cs="宋体"/>
          <w:b/>
          <w:color w:val="000000" w:themeColor="text1"/>
          <w:spacing w:val="6"/>
          <w:sz w:val="32"/>
          <w:szCs w:val="32"/>
          <w14:textFill>
            <w14:solidFill>
              <w14:schemeClr w14:val="tx1"/>
            </w14:solidFill>
          </w14:textFill>
        </w:rPr>
      </w:pPr>
    </w:p>
    <w:p w14:paraId="1E52158E">
      <w:pPr>
        <w:spacing w:line="360" w:lineRule="auto"/>
        <w:jc w:val="center"/>
        <w:rPr>
          <w:rFonts w:ascii="宋体" w:hAnsi="宋体" w:cs="宋体"/>
          <w:b/>
          <w:color w:val="000000" w:themeColor="text1"/>
          <w:spacing w:val="6"/>
          <w:sz w:val="32"/>
          <w:szCs w:val="32"/>
          <w14:textFill>
            <w14:solidFill>
              <w14:schemeClr w14:val="tx1"/>
            </w14:solidFill>
          </w14:textFill>
        </w:rPr>
      </w:pPr>
    </w:p>
    <w:p w14:paraId="73A13C46">
      <w:pPr>
        <w:spacing w:line="360" w:lineRule="auto"/>
        <w:jc w:val="center"/>
        <w:rPr>
          <w:rFonts w:ascii="宋体" w:hAnsi="宋体" w:cs="宋体"/>
          <w:b/>
          <w:color w:val="000000" w:themeColor="text1"/>
          <w:spacing w:val="6"/>
          <w:sz w:val="32"/>
          <w:szCs w:val="32"/>
          <w14:textFill>
            <w14:solidFill>
              <w14:schemeClr w14:val="tx1"/>
            </w14:solidFill>
          </w14:textFill>
        </w:rPr>
      </w:pPr>
    </w:p>
    <w:p w14:paraId="3276C25A">
      <w:pPr>
        <w:spacing w:line="360" w:lineRule="auto"/>
        <w:jc w:val="center"/>
        <w:rPr>
          <w:rFonts w:ascii="宋体" w:hAnsi="宋体" w:cs="宋体"/>
          <w:b/>
          <w:color w:val="000000" w:themeColor="text1"/>
          <w:spacing w:val="6"/>
          <w:sz w:val="32"/>
          <w:szCs w:val="32"/>
          <w14:textFill>
            <w14:solidFill>
              <w14:schemeClr w14:val="tx1"/>
            </w14:solidFill>
          </w14:textFill>
        </w:rPr>
      </w:pPr>
    </w:p>
    <w:p w14:paraId="46DB8647">
      <w:pPr>
        <w:spacing w:line="360" w:lineRule="auto"/>
        <w:jc w:val="center"/>
        <w:rPr>
          <w:rFonts w:ascii="宋体" w:hAnsi="宋体" w:cs="宋体"/>
          <w:b/>
          <w:color w:val="000000" w:themeColor="text1"/>
          <w:spacing w:val="6"/>
          <w:sz w:val="32"/>
          <w:szCs w:val="32"/>
          <w14:textFill>
            <w14:solidFill>
              <w14:schemeClr w14:val="tx1"/>
            </w14:solidFill>
          </w14:textFill>
        </w:rPr>
      </w:pPr>
    </w:p>
    <w:p w14:paraId="38874455">
      <w:pPr>
        <w:spacing w:line="360" w:lineRule="auto"/>
        <w:jc w:val="left"/>
        <w:rPr>
          <w:rFonts w:ascii="宋体" w:hAnsi="宋体" w:cs="宋体"/>
          <w:b/>
          <w:color w:val="000000" w:themeColor="text1"/>
          <w:spacing w:val="6"/>
          <w:sz w:val="32"/>
          <w:szCs w:val="32"/>
          <w14:textFill>
            <w14:solidFill>
              <w14:schemeClr w14:val="tx1"/>
            </w14:solidFill>
          </w14:textFill>
        </w:rPr>
      </w:pPr>
    </w:p>
    <w:p w14:paraId="7CB4A95B">
      <w:pPr>
        <w:spacing w:line="360" w:lineRule="auto"/>
        <w:jc w:val="left"/>
        <w:rPr>
          <w:rFonts w:ascii="宋体" w:hAnsi="宋体" w:cs="宋体"/>
          <w:b/>
          <w:color w:val="000000" w:themeColor="text1"/>
          <w:spacing w:val="6"/>
          <w:sz w:val="32"/>
          <w:szCs w:val="32"/>
          <w14:textFill>
            <w14:solidFill>
              <w14:schemeClr w14:val="tx1"/>
            </w14:solidFill>
          </w14:textFill>
        </w:rPr>
      </w:pPr>
    </w:p>
    <w:p w14:paraId="5C4D42B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48DA1EEC">
      <w:pPr>
        <w:spacing w:line="360" w:lineRule="auto"/>
        <w:jc w:val="center"/>
        <w:rPr>
          <w:rFonts w:ascii="宋体" w:hAnsi="宋体" w:cs="宋体"/>
          <w:b/>
          <w:color w:val="000000" w:themeColor="text1"/>
          <w:sz w:val="24"/>
          <w14:textFill>
            <w14:solidFill>
              <w14:schemeClr w14:val="tx1"/>
            </w14:solidFill>
          </w14:textFill>
        </w:rPr>
      </w:pPr>
    </w:p>
    <w:p w14:paraId="39D785B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17BA5A2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7E03309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60EAC31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700046F">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38C91A1">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A9CDE7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718D6A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94A566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55BF4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EB4095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8578A8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7782E01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D25A90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4207AA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94B7AA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6D34C9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4D327B0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6BE3ABB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17474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1B833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194C0C2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D553D8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29BF37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5C5EB45D">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4FB6072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E135E46">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43D58C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1091D20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6E510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7F1794F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1EDFF0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CB843C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FC29E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1076C55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144119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62D8508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E6D1FE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B842BD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00BC88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DCDE71E">
      <w:pPr>
        <w:spacing w:line="360" w:lineRule="auto"/>
        <w:rPr>
          <w:rFonts w:ascii="宋体" w:hAnsi="宋体" w:cs="宋体"/>
          <w:b/>
          <w:color w:val="000000" w:themeColor="text1"/>
          <w:sz w:val="24"/>
          <w14:textFill>
            <w14:solidFill>
              <w14:schemeClr w14:val="tx1"/>
            </w14:solidFill>
          </w14:textFill>
        </w:rPr>
      </w:pPr>
    </w:p>
    <w:p w14:paraId="50BA187F">
      <w:pPr>
        <w:spacing w:line="360" w:lineRule="auto"/>
        <w:rPr>
          <w:rFonts w:ascii="宋体" w:hAnsi="宋体" w:cs="宋体"/>
          <w:b/>
          <w:color w:val="000000" w:themeColor="text1"/>
          <w:sz w:val="24"/>
          <w14:textFill>
            <w14:solidFill>
              <w14:schemeClr w14:val="tx1"/>
            </w14:solidFill>
          </w14:textFill>
        </w:rPr>
      </w:pPr>
    </w:p>
    <w:p w14:paraId="39681C01">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29B38AD1">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6CBD4F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17D571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65F6112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71999AD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07CC6AF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3524862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258DB1B">
      <w:pPr>
        <w:spacing w:line="360" w:lineRule="auto"/>
        <w:rPr>
          <w:rFonts w:ascii="宋体" w:hAnsi="宋体" w:cs="宋体"/>
          <w:b/>
          <w:color w:val="000000" w:themeColor="text1"/>
          <w:sz w:val="24"/>
          <w14:textFill>
            <w14:solidFill>
              <w14:schemeClr w14:val="tx1"/>
            </w14:solidFill>
          </w14:textFill>
        </w:rPr>
      </w:pPr>
    </w:p>
    <w:p w14:paraId="20AD0D3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0AC2E9">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290F103B">
      <w:pPr>
        <w:spacing w:line="360" w:lineRule="auto"/>
        <w:rPr>
          <w:rFonts w:ascii="宋体" w:hAnsi="宋体" w:cs="宋体"/>
          <w:color w:val="000000" w:themeColor="text1"/>
          <w:sz w:val="24"/>
          <w:u w:val="single"/>
          <w14:textFill>
            <w14:solidFill>
              <w14:schemeClr w14:val="tx1"/>
            </w14:solidFill>
          </w14:textFill>
        </w:rPr>
      </w:pPr>
    </w:p>
    <w:p w14:paraId="2CD035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浙江中医药大学、浙江豪圣建设项目管理有限公司</w:t>
      </w:r>
    </w:p>
    <w:p w14:paraId="425EC2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项目【项目编号：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3C06C1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2BE0FB0B">
      <w:pPr>
        <w:spacing w:line="360" w:lineRule="auto"/>
        <w:ind w:firstLine="494"/>
        <w:rPr>
          <w:rFonts w:ascii="宋体" w:hAnsi="宋体" w:cs="宋体"/>
          <w:color w:val="000000" w:themeColor="text1"/>
          <w:sz w:val="24"/>
          <w14:textFill>
            <w14:solidFill>
              <w14:schemeClr w14:val="tx1"/>
            </w14:solidFill>
          </w14:textFill>
        </w:rPr>
      </w:pPr>
    </w:p>
    <w:p w14:paraId="351DA470">
      <w:pPr>
        <w:spacing w:line="360" w:lineRule="auto"/>
        <w:ind w:firstLine="494"/>
        <w:rPr>
          <w:rFonts w:ascii="宋体" w:hAnsi="宋体" w:cs="宋体"/>
          <w:color w:val="000000" w:themeColor="text1"/>
          <w:sz w:val="24"/>
          <w14:textFill>
            <w14:solidFill>
              <w14:schemeClr w14:val="tx1"/>
            </w14:solidFill>
          </w14:textFill>
        </w:rPr>
      </w:pPr>
    </w:p>
    <w:p w14:paraId="4AAA17E9">
      <w:pPr>
        <w:spacing w:line="360" w:lineRule="auto"/>
        <w:ind w:firstLine="494"/>
        <w:rPr>
          <w:rFonts w:ascii="宋体" w:hAnsi="宋体" w:cs="宋体"/>
          <w:color w:val="000000" w:themeColor="text1"/>
          <w:sz w:val="24"/>
          <w14:textFill>
            <w14:solidFill>
              <w14:schemeClr w14:val="tx1"/>
            </w14:solidFill>
          </w14:textFill>
        </w:rPr>
      </w:pPr>
    </w:p>
    <w:p w14:paraId="7CBE0F06">
      <w:pPr>
        <w:spacing w:line="360" w:lineRule="auto"/>
        <w:ind w:firstLine="494"/>
        <w:rPr>
          <w:rFonts w:ascii="宋体" w:hAnsi="宋体" w:cs="宋体"/>
          <w:color w:val="000000" w:themeColor="text1"/>
          <w:sz w:val="24"/>
          <w14:textFill>
            <w14:solidFill>
              <w14:schemeClr w14:val="tx1"/>
            </w14:solidFill>
          </w14:textFill>
        </w:rPr>
      </w:pPr>
    </w:p>
    <w:p w14:paraId="0209F682">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供应商（法定名称章）：</w:t>
      </w:r>
    </w:p>
    <w:p w14:paraId="41C25213">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D2E20D7">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3FE61754">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法定名称章（印模）                供应商“XX专用章”（印模）</w:t>
      </w:r>
    </w:p>
    <w:p w14:paraId="002EB9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013F0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E846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D6F1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2091F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219F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40D30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C962F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4CAE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90A4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624E6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BF5C5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80F47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7C93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401D2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00445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8307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711F56">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6F61A879">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14:paraId="3B3ECAA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 xml:space="preserve">。 </w:t>
      </w:r>
    </w:p>
    <w:p w14:paraId="3F6448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1E476EA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w:t>
      </w:r>
      <w:r>
        <w:rPr>
          <w:rFonts w:hint="eastAsia" w:ascii="宋体" w:hAnsi="宋体" w:cs="宋体"/>
          <w:color w:val="000000" w:themeColor="text1"/>
          <w:kern w:val="0"/>
          <w:sz w:val="24"/>
          <w14:textFill>
            <w14:solidFill>
              <w14:schemeClr w14:val="tx1"/>
            </w14:solidFill>
          </w14:textFill>
        </w:rPr>
        <w:t>响应内容</w:t>
      </w:r>
      <w:r>
        <w:rPr>
          <w:rFonts w:hint="eastAsia" w:ascii="宋体" w:hAnsi="宋体" w:cs="宋体"/>
          <w:color w:val="000000" w:themeColor="text1"/>
          <w:kern w:val="0"/>
          <w:sz w:val="24"/>
          <w:lang w:val="zh-CN"/>
          <w14:textFill>
            <w14:solidFill>
              <w14:schemeClr w14:val="tx1"/>
            </w14:solidFill>
          </w14:textFill>
        </w:rPr>
        <w:t>而对采购人、采购代理机构所作的任何合法承诺，包括书面澄清及相应等均对联合投标各方产生约束力。</w:t>
      </w:r>
    </w:p>
    <w:p w14:paraId="0780E4C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中，分工如下：</w:t>
      </w:r>
    </w:p>
    <w:p w14:paraId="376EECC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40"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4E1685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328A97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40"/>
    <w:p w14:paraId="4593056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871732F">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14:textFill>
            <w14:solidFill>
              <w14:schemeClr w14:val="tx1"/>
            </w14:solidFill>
          </w14:textFill>
        </w:rPr>
        <w:t>磋商</w:t>
      </w:r>
      <w:r>
        <w:rPr>
          <w:rFonts w:hint="eastAsia" w:ascii="宋体" w:hAnsi="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916717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3863304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五、如果成交，</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57DC7D3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的其他事宜：</w:t>
      </w:r>
    </w:p>
    <w:p w14:paraId="54E2CF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6857F36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552E667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42E607F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2D640CC">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8CCB94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601AF7E">
      <w:pPr>
        <w:autoSpaceDE w:val="0"/>
        <w:autoSpaceDN w:val="0"/>
        <w:jc w:val="center"/>
        <w:rPr>
          <w:rFonts w:ascii="宋体" w:hAnsi="宋体" w:cs="宋体"/>
          <w:b/>
          <w:color w:val="000000" w:themeColor="text1"/>
          <w:spacing w:val="6"/>
          <w:sz w:val="32"/>
          <w:szCs w:val="32"/>
          <w14:textFill>
            <w14:solidFill>
              <w14:schemeClr w14:val="tx1"/>
            </w14:solidFill>
          </w14:textFill>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149EAB21">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02C595BA">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p w14:paraId="1BE141C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HSZB-2025-860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43878C8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C9F376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C75A9B4">
      <w:pPr>
        <w:tabs>
          <w:tab w:val="left" w:pos="432"/>
        </w:tabs>
        <w:ind w:left="664" w:leftChars="316" w:firstLine="228" w:firstLineChars="9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342F74A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63FF4BE1">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……）提供的工程全部由小微企业承建，</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E316984">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41"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41"/>
    </w:p>
    <w:p w14:paraId="52BE17E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2C7B83C1">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EDB11A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2C1D2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8AAFDE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6E88ECD">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2BF15BC">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89440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BDF76A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5F2C27F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D003CE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6CDE1171">
      <w:pPr>
        <w:snapToGrid w:val="0"/>
        <w:spacing w:line="360" w:lineRule="auto"/>
        <w:ind w:firstLine="5640" w:firstLineChars="2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p>
    <w:p w14:paraId="77608A65">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A050503">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B44718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56DACB">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371912A">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7</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中小企业声明函</w:t>
      </w:r>
    </w:p>
    <w:p w14:paraId="376E3D55">
      <w:pPr>
        <w:spacing w:line="360" w:lineRule="auto"/>
        <w:jc w:val="center"/>
        <w:rPr>
          <w:rFonts w:ascii="宋体" w:hAnsi="宋体" w:cs="宋体"/>
          <w:color w:val="000000" w:themeColor="text1"/>
          <w:sz w:val="24"/>
          <w:u w:val="single"/>
          <w14:textFill>
            <w14:solidFill>
              <w14:schemeClr w14:val="tx1"/>
            </w14:solidFill>
          </w14:textFill>
        </w:rPr>
      </w:pPr>
    </w:p>
    <w:p w14:paraId="21C410F0">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w:t>
      </w:r>
    </w:p>
    <w:p w14:paraId="388C8F5E">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浙江中医药大学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8D1C4E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u w:val="single"/>
          <w:lang w:eastAsia="zh-CN"/>
          <w14:textFill>
            <w14:solidFill>
              <w14:schemeClr w14:val="tx1"/>
            </w14:solidFill>
          </w14:textFill>
        </w:rPr>
        <w:t>浙江中医药大学滨文校区围墙周界及屋面监控增补项目</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（建筑业）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1B2CF1FF">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2476FE2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9970519">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C086BC3">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40F75501">
      <w:pPr>
        <w:spacing w:line="360" w:lineRule="auto"/>
        <w:ind w:firstLine="480" w:firstLineChars="200"/>
        <w:rPr>
          <w:rFonts w:ascii="宋体" w:hAnsi="宋体" w:cs="宋体"/>
          <w:color w:val="000000" w:themeColor="text1"/>
          <w:sz w:val="24"/>
          <w14:textFill>
            <w14:solidFill>
              <w14:schemeClr w14:val="tx1"/>
            </w14:solidFill>
          </w14:textFill>
        </w:rPr>
      </w:pPr>
    </w:p>
    <w:p w14:paraId="2155AE32">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18CC48B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4DA59A1C">
      <w:pPr>
        <w:spacing w:line="360" w:lineRule="auto"/>
        <w:jc w:val="lef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从业人员、营业收入、资产总额填报上一年度数据，无上一年度数据的新成立企业可不填报。</w:t>
      </w:r>
    </w:p>
    <w:p w14:paraId="172DE12D">
      <w:pPr>
        <w:spacing w:line="360" w:lineRule="auto"/>
        <w:ind w:right="420"/>
        <w:rPr>
          <w:rFonts w:ascii="宋体" w:hAnsi="宋体" w:cs="宋体"/>
          <w:color w:val="000000" w:themeColor="text1"/>
          <w:sz w:val="24"/>
          <w14:textFill>
            <w14:solidFill>
              <w14:schemeClr w14:val="tx1"/>
            </w14:solidFill>
          </w14:textFill>
        </w:rPr>
      </w:pPr>
    </w:p>
    <w:p w14:paraId="67D09542">
      <w:pPr>
        <w:spacing w:line="360" w:lineRule="auto"/>
        <w:ind w:right="42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lang w:bidi="ar"/>
          <w14:textFill>
            <w14:solidFill>
              <w14:schemeClr w14:val="tx1"/>
            </w14:solidFill>
          </w14:textFill>
        </w:rPr>
        <w:t>①从业人员、营业收入、资产总额填报上一年度数据，无上一年度数据的新成立企业可不填报。</w:t>
      </w:r>
      <w:r>
        <w:rPr>
          <w:rFonts w:hint="eastAsia" w:ascii="宋体" w:hAnsi="宋体" w:cs="宋体"/>
          <w:color w:val="000000" w:themeColor="text1"/>
          <w:sz w:val="24"/>
          <w:shd w:val="clear" w:color="auto" w:fill="C9E7FF"/>
          <w:lang w:bidi="ar"/>
          <w14:textFill>
            <w14:solidFill>
              <w14:schemeClr w14:val="tx1"/>
            </w14:solidFill>
          </w14:textFill>
        </w:rPr>
        <w:t>②《中小企业声明函》中“标的名称”、“采购文件中明确的所属行业”依据招标文件第二部分投标人须知前附表中“采购标的及其对应的中小企业划分标准所属行业”的指引，逐一填写，不得缺漏。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Sans Serif">
    <w:altName w:val="Segoe Print"/>
    <w:panose1 w:val="00000000000000000000"/>
    <w:charset w:val="4D"/>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auto"/>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00000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20B04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9F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C3F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989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bookmarkStart w:id="542" w:name="_Toc131845147"/>
    <w:bookmarkStart w:id="543" w:name="_Toc164085800"/>
    <w:bookmarkStart w:id="544" w:name="_Toc36110187"/>
    <w:bookmarkStart w:id="545" w:name="_Toc91899912"/>
    <w:r>
      <w:rPr>
        <w:rFonts w:hint="eastAsia" w:ascii="仿宋_GB2312" w:eastAsia="仿宋_GB2312"/>
        <w:kern w:val="0"/>
        <w:szCs w:val="21"/>
      </w:rPr>
      <w:t xml:space="preserve"> 页</w:t>
    </w:r>
    <w:bookmarkEnd w:id="542"/>
    <w:bookmarkEnd w:id="543"/>
    <w:bookmarkEnd w:id="544"/>
    <w:bookmarkEnd w:id="54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3CF6">
    <w:pPr>
      <w:pStyle w:val="39"/>
      <w:framePr w:wrap="around" w:vAnchor="text" w:hAnchor="margin" w:xAlign="right" w:y="1"/>
      <w:rPr>
        <w:rStyle w:val="72"/>
      </w:rPr>
    </w:pPr>
    <w:r>
      <w:fldChar w:fldCharType="begin"/>
    </w:r>
    <w:r>
      <w:rPr>
        <w:rStyle w:val="72"/>
      </w:rPr>
      <w:instrText xml:space="preserve">PAGE  </w:instrText>
    </w:r>
    <w:r>
      <w:fldChar w:fldCharType="end"/>
    </w:r>
  </w:p>
  <w:p w14:paraId="24BBABF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F8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8B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07BD9A6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D2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174F6CA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78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3AB432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E4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45F6A39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03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70642C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0A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23ED4E9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68F5">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EB7C">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FEC1">
    <w:pPr>
      <w:pStyle w:val="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B6C0D47"/>
    <w:multiLevelType w:val="singleLevel"/>
    <w:tmpl w:val="5B6C0D47"/>
    <w:lvl w:ilvl="0" w:tentative="0">
      <w:start w:val="1"/>
      <w:numFmt w:val="chineseCounting"/>
      <w:suff w:val="nothing"/>
      <w:lvlText w:val="（%1）"/>
      <w:lvlJc w:val="left"/>
    </w:lvl>
  </w:abstractNum>
  <w:abstractNum w:abstractNumId="3">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DY2NGM0ZmJmN2M3ZDE3NjEzZDg0NmU1ZmFkN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6F"/>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6A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2FBE"/>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63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9E1"/>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395"/>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90"/>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C5"/>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09"/>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10"/>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6AB"/>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D4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72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45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107"/>
    <w:rsid w:val="00C148B2"/>
    <w:rsid w:val="00C14ABD"/>
    <w:rsid w:val="00C151E0"/>
    <w:rsid w:val="00C155A8"/>
    <w:rsid w:val="00C159FD"/>
    <w:rsid w:val="00C15B31"/>
    <w:rsid w:val="00C15F66"/>
    <w:rsid w:val="00C1604F"/>
    <w:rsid w:val="00C166D4"/>
    <w:rsid w:val="00C168E5"/>
    <w:rsid w:val="00C1696D"/>
    <w:rsid w:val="00C16C90"/>
    <w:rsid w:val="00C170C2"/>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6B9"/>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345"/>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38E"/>
    <w:rsid w:val="00D22B13"/>
    <w:rsid w:val="00D2371E"/>
    <w:rsid w:val="00D237E0"/>
    <w:rsid w:val="00D23A17"/>
    <w:rsid w:val="00D25676"/>
    <w:rsid w:val="00D2579F"/>
    <w:rsid w:val="00D2580E"/>
    <w:rsid w:val="00D25C9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2FE"/>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F0"/>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73B"/>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34"/>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E9"/>
    <w:rsid w:val="016A347B"/>
    <w:rsid w:val="019B53E2"/>
    <w:rsid w:val="019F7441"/>
    <w:rsid w:val="01B37585"/>
    <w:rsid w:val="01B82438"/>
    <w:rsid w:val="01BF5575"/>
    <w:rsid w:val="01C65DA5"/>
    <w:rsid w:val="01D55165"/>
    <w:rsid w:val="01DB7ED5"/>
    <w:rsid w:val="01DF6BF8"/>
    <w:rsid w:val="01E70DB5"/>
    <w:rsid w:val="01EC2C57"/>
    <w:rsid w:val="02145195"/>
    <w:rsid w:val="0233386D"/>
    <w:rsid w:val="024912E2"/>
    <w:rsid w:val="025C7268"/>
    <w:rsid w:val="025F0711"/>
    <w:rsid w:val="026B2E25"/>
    <w:rsid w:val="026C6D7F"/>
    <w:rsid w:val="02824D4D"/>
    <w:rsid w:val="029702A0"/>
    <w:rsid w:val="02D0730E"/>
    <w:rsid w:val="02D52B76"/>
    <w:rsid w:val="02DC4B10"/>
    <w:rsid w:val="02DD76CE"/>
    <w:rsid w:val="02F36323"/>
    <w:rsid w:val="02F5619C"/>
    <w:rsid w:val="02FA438B"/>
    <w:rsid w:val="031C69F7"/>
    <w:rsid w:val="032633D2"/>
    <w:rsid w:val="0326446A"/>
    <w:rsid w:val="03280EF8"/>
    <w:rsid w:val="032A4C70"/>
    <w:rsid w:val="032D5555"/>
    <w:rsid w:val="034A70C0"/>
    <w:rsid w:val="036363D4"/>
    <w:rsid w:val="036634D2"/>
    <w:rsid w:val="03685798"/>
    <w:rsid w:val="036F6B27"/>
    <w:rsid w:val="03773C2D"/>
    <w:rsid w:val="03DD35E4"/>
    <w:rsid w:val="03F040A4"/>
    <w:rsid w:val="04074FB1"/>
    <w:rsid w:val="04076900"/>
    <w:rsid w:val="041A5A3B"/>
    <w:rsid w:val="041A7841"/>
    <w:rsid w:val="042311BA"/>
    <w:rsid w:val="042B157A"/>
    <w:rsid w:val="042E7F90"/>
    <w:rsid w:val="04390EE3"/>
    <w:rsid w:val="043F0BEF"/>
    <w:rsid w:val="04730898"/>
    <w:rsid w:val="04781A0B"/>
    <w:rsid w:val="048F763B"/>
    <w:rsid w:val="04932CE9"/>
    <w:rsid w:val="049F330E"/>
    <w:rsid w:val="04AA775C"/>
    <w:rsid w:val="04AF1889"/>
    <w:rsid w:val="04B54A0D"/>
    <w:rsid w:val="04C64E6C"/>
    <w:rsid w:val="04F66F48"/>
    <w:rsid w:val="050E236F"/>
    <w:rsid w:val="051756C8"/>
    <w:rsid w:val="05251E14"/>
    <w:rsid w:val="0531798F"/>
    <w:rsid w:val="05A16594"/>
    <w:rsid w:val="05A7762D"/>
    <w:rsid w:val="05BE3D95"/>
    <w:rsid w:val="05DE7F94"/>
    <w:rsid w:val="05E355AA"/>
    <w:rsid w:val="060E5941"/>
    <w:rsid w:val="06110FAF"/>
    <w:rsid w:val="061E21DC"/>
    <w:rsid w:val="06332B7B"/>
    <w:rsid w:val="063D4CBA"/>
    <w:rsid w:val="06493CA7"/>
    <w:rsid w:val="06497B03"/>
    <w:rsid w:val="064C314F"/>
    <w:rsid w:val="065344DE"/>
    <w:rsid w:val="065A6178"/>
    <w:rsid w:val="06606BFB"/>
    <w:rsid w:val="066466EB"/>
    <w:rsid w:val="066F1CF3"/>
    <w:rsid w:val="068E5516"/>
    <w:rsid w:val="06915006"/>
    <w:rsid w:val="06930BB8"/>
    <w:rsid w:val="069E6B2E"/>
    <w:rsid w:val="06D118A6"/>
    <w:rsid w:val="06F347DF"/>
    <w:rsid w:val="07245D42"/>
    <w:rsid w:val="07264C62"/>
    <w:rsid w:val="072D2F81"/>
    <w:rsid w:val="075A3B1D"/>
    <w:rsid w:val="0768431A"/>
    <w:rsid w:val="0779354C"/>
    <w:rsid w:val="077C1812"/>
    <w:rsid w:val="07962669"/>
    <w:rsid w:val="07967637"/>
    <w:rsid w:val="07A46B95"/>
    <w:rsid w:val="07C1191B"/>
    <w:rsid w:val="07CC279A"/>
    <w:rsid w:val="07EA2C20"/>
    <w:rsid w:val="07F12200"/>
    <w:rsid w:val="08061376"/>
    <w:rsid w:val="080822E1"/>
    <w:rsid w:val="080B2B96"/>
    <w:rsid w:val="081E0B1B"/>
    <w:rsid w:val="082425D6"/>
    <w:rsid w:val="08452D77"/>
    <w:rsid w:val="084560A8"/>
    <w:rsid w:val="086401F8"/>
    <w:rsid w:val="08640C24"/>
    <w:rsid w:val="0865674A"/>
    <w:rsid w:val="08661343"/>
    <w:rsid w:val="08751CAA"/>
    <w:rsid w:val="087E4C40"/>
    <w:rsid w:val="08923AEE"/>
    <w:rsid w:val="08A871D0"/>
    <w:rsid w:val="08C63CD9"/>
    <w:rsid w:val="08D35DAA"/>
    <w:rsid w:val="08D66AD6"/>
    <w:rsid w:val="08D8516E"/>
    <w:rsid w:val="08DA33A3"/>
    <w:rsid w:val="08E80F13"/>
    <w:rsid w:val="08EB280C"/>
    <w:rsid w:val="091E5277"/>
    <w:rsid w:val="09335624"/>
    <w:rsid w:val="0944690F"/>
    <w:rsid w:val="094E71DE"/>
    <w:rsid w:val="09535675"/>
    <w:rsid w:val="095F057D"/>
    <w:rsid w:val="09642282"/>
    <w:rsid w:val="09694443"/>
    <w:rsid w:val="09733572"/>
    <w:rsid w:val="09772C16"/>
    <w:rsid w:val="0978425B"/>
    <w:rsid w:val="097C1F9D"/>
    <w:rsid w:val="098353B5"/>
    <w:rsid w:val="098F1CD1"/>
    <w:rsid w:val="0995305F"/>
    <w:rsid w:val="09A92330"/>
    <w:rsid w:val="09AD65FB"/>
    <w:rsid w:val="09B06B87"/>
    <w:rsid w:val="09BA4874"/>
    <w:rsid w:val="09C13146"/>
    <w:rsid w:val="09C3140C"/>
    <w:rsid w:val="09D6654D"/>
    <w:rsid w:val="09E04166"/>
    <w:rsid w:val="0A1C0718"/>
    <w:rsid w:val="0A3E7710"/>
    <w:rsid w:val="0A515D78"/>
    <w:rsid w:val="0A5B7E63"/>
    <w:rsid w:val="0A703465"/>
    <w:rsid w:val="0A805ABD"/>
    <w:rsid w:val="0AA374A5"/>
    <w:rsid w:val="0AAB7649"/>
    <w:rsid w:val="0AAC240E"/>
    <w:rsid w:val="0ABC5606"/>
    <w:rsid w:val="0AD96F7B"/>
    <w:rsid w:val="0ADB0F46"/>
    <w:rsid w:val="0AE147AE"/>
    <w:rsid w:val="0B30404E"/>
    <w:rsid w:val="0B4C6C14"/>
    <w:rsid w:val="0B547599"/>
    <w:rsid w:val="0B554854"/>
    <w:rsid w:val="0B631A88"/>
    <w:rsid w:val="0B683D45"/>
    <w:rsid w:val="0B7F3F11"/>
    <w:rsid w:val="0B7F7B23"/>
    <w:rsid w:val="0B884417"/>
    <w:rsid w:val="0B8E5FB8"/>
    <w:rsid w:val="0B980BE5"/>
    <w:rsid w:val="0BCD088E"/>
    <w:rsid w:val="0BDF6813"/>
    <w:rsid w:val="0BF6188C"/>
    <w:rsid w:val="0BF73C91"/>
    <w:rsid w:val="0C112E71"/>
    <w:rsid w:val="0C170175"/>
    <w:rsid w:val="0C4D233B"/>
    <w:rsid w:val="0C571A41"/>
    <w:rsid w:val="0C5C1171"/>
    <w:rsid w:val="0C5E1CBC"/>
    <w:rsid w:val="0C615B50"/>
    <w:rsid w:val="0C7C4062"/>
    <w:rsid w:val="0C8445DA"/>
    <w:rsid w:val="0C87121B"/>
    <w:rsid w:val="0C931AD8"/>
    <w:rsid w:val="0CC007F7"/>
    <w:rsid w:val="0CC04897"/>
    <w:rsid w:val="0CC617AC"/>
    <w:rsid w:val="0CE4552E"/>
    <w:rsid w:val="0CE618DF"/>
    <w:rsid w:val="0CF12CA2"/>
    <w:rsid w:val="0CFE707A"/>
    <w:rsid w:val="0D063BDA"/>
    <w:rsid w:val="0D08375F"/>
    <w:rsid w:val="0D184CFB"/>
    <w:rsid w:val="0D1C7D1F"/>
    <w:rsid w:val="0D4A7419"/>
    <w:rsid w:val="0D71793F"/>
    <w:rsid w:val="0D827401"/>
    <w:rsid w:val="0D84094E"/>
    <w:rsid w:val="0D8A00E9"/>
    <w:rsid w:val="0D8D589E"/>
    <w:rsid w:val="0DA01C73"/>
    <w:rsid w:val="0DCB52A1"/>
    <w:rsid w:val="0DD63300"/>
    <w:rsid w:val="0DD8176C"/>
    <w:rsid w:val="0DF50604"/>
    <w:rsid w:val="0DF702FE"/>
    <w:rsid w:val="0E060E51"/>
    <w:rsid w:val="0E2008DB"/>
    <w:rsid w:val="0E4017EB"/>
    <w:rsid w:val="0E5604B2"/>
    <w:rsid w:val="0E666D78"/>
    <w:rsid w:val="0E6D5D79"/>
    <w:rsid w:val="0E9D0089"/>
    <w:rsid w:val="0EB803EE"/>
    <w:rsid w:val="0EDC703A"/>
    <w:rsid w:val="0EF34AB0"/>
    <w:rsid w:val="0EF94D4B"/>
    <w:rsid w:val="0EF95E3E"/>
    <w:rsid w:val="0F152C78"/>
    <w:rsid w:val="0F1669F0"/>
    <w:rsid w:val="0F4958DC"/>
    <w:rsid w:val="0F515DF7"/>
    <w:rsid w:val="0F596BA8"/>
    <w:rsid w:val="0F6248D2"/>
    <w:rsid w:val="0F64775C"/>
    <w:rsid w:val="0F692FC4"/>
    <w:rsid w:val="0F693536"/>
    <w:rsid w:val="0F71086A"/>
    <w:rsid w:val="0F73799F"/>
    <w:rsid w:val="0F7B0511"/>
    <w:rsid w:val="0F7B76D9"/>
    <w:rsid w:val="0F816ACD"/>
    <w:rsid w:val="0F847DFE"/>
    <w:rsid w:val="0F8971C2"/>
    <w:rsid w:val="0F9832DB"/>
    <w:rsid w:val="0FBF3FD2"/>
    <w:rsid w:val="0FBF4992"/>
    <w:rsid w:val="0FBF7FF3"/>
    <w:rsid w:val="0FD83CA6"/>
    <w:rsid w:val="0FE8038D"/>
    <w:rsid w:val="0FE97C61"/>
    <w:rsid w:val="0FFE7520"/>
    <w:rsid w:val="104F21BA"/>
    <w:rsid w:val="10646583"/>
    <w:rsid w:val="107D4B15"/>
    <w:rsid w:val="108A3C80"/>
    <w:rsid w:val="10993435"/>
    <w:rsid w:val="10AB4F16"/>
    <w:rsid w:val="10C26171"/>
    <w:rsid w:val="10E87F18"/>
    <w:rsid w:val="10F33360"/>
    <w:rsid w:val="10FC16EA"/>
    <w:rsid w:val="10FD39C4"/>
    <w:rsid w:val="110F1D40"/>
    <w:rsid w:val="111B209C"/>
    <w:rsid w:val="11266F33"/>
    <w:rsid w:val="11380EA0"/>
    <w:rsid w:val="118963A1"/>
    <w:rsid w:val="11C6522A"/>
    <w:rsid w:val="11D63897"/>
    <w:rsid w:val="11E104CC"/>
    <w:rsid w:val="11E20309"/>
    <w:rsid w:val="12255233"/>
    <w:rsid w:val="12266F4A"/>
    <w:rsid w:val="12437C74"/>
    <w:rsid w:val="12530213"/>
    <w:rsid w:val="127723A9"/>
    <w:rsid w:val="12862074"/>
    <w:rsid w:val="12883966"/>
    <w:rsid w:val="129E45B4"/>
    <w:rsid w:val="12C10A21"/>
    <w:rsid w:val="12D81596"/>
    <w:rsid w:val="12E60488"/>
    <w:rsid w:val="12F62DC0"/>
    <w:rsid w:val="13036D42"/>
    <w:rsid w:val="13072A44"/>
    <w:rsid w:val="13096776"/>
    <w:rsid w:val="13280AA0"/>
    <w:rsid w:val="132F1E2E"/>
    <w:rsid w:val="134E49AB"/>
    <w:rsid w:val="135950FD"/>
    <w:rsid w:val="135F4BE2"/>
    <w:rsid w:val="139B1A0A"/>
    <w:rsid w:val="139B1FAF"/>
    <w:rsid w:val="139D25C7"/>
    <w:rsid w:val="13AA7707"/>
    <w:rsid w:val="13B3480E"/>
    <w:rsid w:val="13BF1404"/>
    <w:rsid w:val="13BF3CE4"/>
    <w:rsid w:val="13EB3FA7"/>
    <w:rsid w:val="13F310AE"/>
    <w:rsid w:val="140B63F8"/>
    <w:rsid w:val="141008D8"/>
    <w:rsid w:val="14125FE6"/>
    <w:rsid w:val="1437559E"/>
    <w:rsid w:val="146D271E"/>
    <w:rsid w:val="14982588"/>
    <w:rsid w:val="149A5AD9"/>
    <w:rsid w:val="14A7619D"/>
    <w:rsid w:val="14F615A9"/>
    <w:rsid w:val="15001CD4"/>
    <w:rsid w:val="150536C3"/>
    <w:rsid w:val="150A66AF"/>
    <w:rsid w:val="150C1963"/>
    <w:rsid w:val="150C68CB"/>
    <w:rsid w:val="151447A0"/>
    <w:rsid w:val="152B4878"/>
    <w:rsid w:val="152C2AC9"/>
    <w:rsid w:val="15451DDD"/>
    <w:rsid w:val="154A6454"/>
    <w:rsid w:val="15657D89"/>
    <w:rsid w:val="15762120"/>
    <w:rsid w:val="158F4E06"/>
    <w:rsid w:val="15AE1730"/>
    <w:rsid w:val="15F86924"/>
    <w:rsid w:val="15FF01DE"/>
    <w:rsid w:val="162E2871"/>
    <w:rsid w:val="166242C9"/>
    <w:rsid w:val="16691AFB"/>
    <w:rsid w:val="16907088"/>
    <w:rsid w:val="16A8729C"/>
    <w:rsid w:val="16B33777"/>
    <w:rsid w:val="16BC70A7"/>
    <w:rsid w:val="16BC7E7D"/>
    <w:rsid w:val="16C6339E"/>
    <w:rsid w:val="16ED6288"/>
    <w:rsid w:val="16F969DB"/>
    <w:rsid w:val="1701318F"/>
    <w:rsid w:val="17084E70"/>
    <w:rsid w:val="17237EFC"/>
    <w:rsid w:val="172F2D79"/>
    <w:rsid w:val="174329DC"/>
    <w:rsid w:val="17557BEF"/>
    <w:rsid w:val="176A78D9"/>
    <w:rsid w:val="17824C23"/>
    <w:rsid w:val="178766DD"/>
    <w:rsid w:val="178C5AA1"/>
    <w:rsid w:val="17A0154D"/>
    <w:rsid w:val="17B46DA6"/>
    <w:rsid w:val="17BE7C25"/>
    <w:rsid w:val="17BF5E77"/>
    <w:rsid w:val="17C074F9"/>
    <w:rsid w:val="17D349C1"/>
    <w:rsid w:val="17E70F2A"/>
    <w:rsid w:val="17FD074D"/>
    <w:rsid w:val="17FE0021"/>
    <w:rsid w:val="1807337A"/>
    <w:rsid w:val="181D2CB6"/>
    <w:rsid w:val="182E0907"/>
    <w:rsid w:val="1830729E"/>
    <w:rsid w:val="184A3267"/>
    <w:rsid w:val="18506ACF"/>
    <w:rsid w:val="1870062C"/>
    <w:rsid w:val="187A7FF0"/>
    <w:rsid w:val="18817102"/>
    <w:rsid w:val="18830A15"/>
    <w:rsid w:val="18852B28"/>
    <w:rsid w:val="188B5321"/>
    <w:rsid w:val="1890336F"/>
    <w:rsid w:val="18F51424"/>
    <w:rsid w:val="19001F04"/>
    <w:rsid w:val="195C76F5"/>
    <w:rsid w:val="197C1B46"/>
    <w:rsid w:val="19856C4C"/>
    <w:rsid w:val="19932372"/>
    <w:rsid w:val="199E7D0E"/>
    <w:rsid w:val="19A20DD5"/>
    <w:rsid w:val="19A846E9"/>
    <w:rsid w:val="19AE03F1"/>
    <w:rsid w:val="19B47531"/>
    <w:rsid w:val="19BE1321"/>
    <w:rsid w:val="19F33BB6"/>
    <w:rsid w:val="19FB2A6A"/>
    <w:rsid w:val="1A071A03"/>
    <w:rsid w:val="1A1F16AE"/>
    <w:rsid w:val="1A271AB1"/>
    <w:rsid w:val="1A3B5C77"/>
    <w:rsid w:val="1A4E34E2"/>
    <w:rsid w:val="1A6C1BBA"/>
    <w:rsid w:val="1A725422"/>
    <w:rsid w:val="1A984BAD"/>
    <w:rsid w:val="1AB8220E"/>
    <w:rsid w:val="1AD21E95"/>
    <w:rsid w:val="1AE4166C"/>
    <w:rsid w:val="1AF06CFB"/>
    <w:rsid w:val="1AF11B8D"/>
    <w:rsid w:val="1B11359C"/>
    <w:rsid w:val="1B2A271F"/>
    <w:rsid w:val="1B3E70B3"/>
    <w:rsid w:val="1B440441"/>
    <w:rsid w:val="1B530544"/>
    <w:rsid w:val="1B713184"/>
    <w:rsid w:val="1B7725C5"/>
    <w:rsid w:val="1BA209CF"/>
    <w:rsid w:val="1BB47375"/>
    <w:rsid w:val="1BB4777D"/>
    <w:rsid w:val="1BB83309"/>
    <w:rsid w:val="1BB90E2F"/>
    <w:rsid w:val="1BB92BDD"/>
    <w:rsid w:val="1BCC0B62"/>
    <w:rsid w:val="1BD75AB8"/>
    <w:rsid w:val="1BD9327F"/>
    <w:rsid w:val="1C0459C2"/>
    <w:rsid w:val="1C183DA8"/>
    <w:rsid w:val="1C1B3B4A"/>
    <w:rsid w:val="1C1D316C"/>
    <w:rsid w:val="1C694603"/>
    <w:rsid w:val="1C6A3ED7"/>
    <w:rsid w:val="1C766D20"/>
    <w:rsid w:val="1C7725CD"/>
    <w:rsid w:val="1C7B7E93"/>
    <w:rsid w:val="1C812CD0"/>
    <w:rsid w:val="1C88086E"/>
    <w:rsid w:val="1D0600A4"/>
    <w:rsid w:val="1D1327C1"/>
    <w:rsid w:val="1D266CE1"/>
    <w:rsid w:val="1D3963AF"/>
    <w:rsid w:val="1D3D0FE5"/>
    <w:rsid w:val="1D556936"/>
    <w:rsid w:val="1D6A673C"/>
    <w:rsid w:val="1D6D0123"/>
    <w:rsid w:val="1D7768AC"/>
    <w:rsid w:val="1D9247AE"/>
    <w:rsid w:val="1DB567EC"/>
    <w:rsid w:val="1DCA7323"/>
    <w:rsid w:val="1DE55F0B"/>
    <w:rsid w:val="1DF51A98"/>
    <w:rsid w:val="1E0068A1"/>
    <w:rsid w:val="1E205195"/>
    <w:rsid w:val="1E3D060F"/>
    <w:rsid w:val="1E3F7D2E"/>
    <w:rsid w:val="1E4134E4"/>
    <w:rsid w:val="1E5062B3"/>
    <w:rsid w:val="1E523514"/>
    <w:rsid w:val="1E5D3CF4"/>
    <w:rsid w:val="1E671B83"/>
    <w:rsid w:val="1E682698"/>
    <w:rsid w:val="1E714A66"/>
    <w:rsid w:val="1E7605F3"/>
    <w:rsid w:val="1E802593"/>
    <w:rsid w:val="1E8B6156"/>
    <w:rsid w:val="1E990AA4"/>
    <w:rsid w:val="1EA703CC"/>
    <w:rsid w:val="1EAC4C7B"/>
    <w:rsid w:val="1EB61656"/>
    <w:rsid w:val="1EB7330C"/>
    <w:rsid w:val="1EC55E72"/>
    <w:rsid w:val="1ED61CF8"/>
    <w:rsid w:val="1EE937D9"/>
    <w:rsid w:val="1EF04B68"/>
    <w:rsid w:val="1F0A0FF3"/>
    <w:rsid w:val="1F274302"/>
    <w:rsid w:val="1F2948B5"/>
    <w:rsid w:val="1F460C2C"/>
    <w:rsid w:val="1F5771FF"/>
    <w:rsid w:val="1F646BF6"/>
    <w:rsid w:val="1F6B0692"/>
    <w:rsid w:val="1F904124"/>
    <w:rsid w:val="1F9E2816"/>
    <w:rsid w:val="1F9F033C"/>
    <w:rsid w:val="1FB77434"/>
    <w:rsid w:val="1FCB7383"/>
    <w:rsid w:val="1FCD30FB"/>
    <w:rsid w:val="1FE868A9"/>
    <w:rsid w:val="1FEA5A5B"/>
    <w:rsid w:val="20034907"/>
    <w:rsid w:val="20081AD8"/>
    <w:rsid w:val="20173E4B"/>
    <w:rsid w:val="20390790"/>
    <w:rsid w:val="204E48BC"/>
    <w:rsid w:val="20564E9E"/>
    <w:rsid w:val="2076109D"/>
    <w:rsid w:val="20880DD0"/>
    <w:rsid w:val="208921B3"/>
    <w:rsid w:val="209239FD"/>
    <w:rsid w:val="20973DEB"/>
    <w:rsid w:val="209B6D55"/>
    <w:rsid w:val="20A21E92"/>
    <w:rsid w:val="20B26522"/>
    <w:rsid w:val="20B44310"/>
    <w:rsid w:val="20F14BC7"/>
    <w:rsid w:val="211116EB"/>
    <w:rsid w:val="21415B4F"/>
    <w:rsid w:val="21523D75"/>
    <w:rsid w:val="216133FC"/>
    <w:rsid w:val="21C67E02"/>
    <w:rsid w:val="21C97D6C"/>
    <w:rsid w:val="21D56769"/>
    <w:rsid w:val="21E07116"/>
    <w:rsid w:val="21E52EF3"/>
    <w:rsid w:val="21FB5D7B"/>
    <w:rsid w:val="22015E94"/>
    <w:rsid w:val="220426D8"/>
    <w:rsid w:val="22056B7C"/>
    <w:rsid w:val="22066531"/>
    <w:rsid w:val="220B1C3D"/>
    <w:rsid w:val="22140B6D"/>
    <w:rsid w:val="221D1D20"/>
    <w:rsid w:val="22284619"/>
    <w:rsid w:val="223034CD"/>
    <w:rsid w:val="22334A87"/>
    <w:rsid w:val="2250591D"/>
    <w:rsid w:val="226D64CF"/>
    <w:rsid w:val="228026A7"/>
    <w:rsid w:val="22883309"/>
    <w:rsid w:val="22BE6801"/>
    <w:rsid w:val="22E70B72"/>
    <w:rsid w:val="22E9024C"/>
    <w:rsid w:val="22F62969"/>
    <w:rsid w:val="2309264B"/>
    <w:rsid w:val="233500BF"/>
    <w:rsid w:val="23377FF7"/>
    <w:rsid w:val="236B425F"/>
    <w:rsid w:val="236D2C2B"/>
    <w:rsid w:val="23836192"/>
    <w:rsid w:val="238B30B1"/>
    <w:rsid w:val="23901F29"/>
    <w:rsid w:val="239C0061"/>
    <w:rsid w:val="23B908A4"/>
    <w:rsid w:val="23C2284B"/>
    <w:rsid w:val="23C95987"/>
    <w:rsid w:val="23DF51AB"/>
    <w:rsid w:val="23E629DD"/>
    <w:rsid w:val="23E95BEF"/>
    <w:rsid w:val="23FD0064"/>
    <w:rsid w:val="242F7EE0"/>
    <w:rsid w:val="243E45C7"/>
    <w:rsid w:val="24480FA2"/>
    <w:rsid w:val="245375B0"/>
    <w:rsid w:val="24642C0A"/>
    <w:rsid w:val="246A716A"/>
    <w:rsid w:val="24A43C83"/>
    <w:rsid w:val="24B22173"/>
    <w:rsid w:val="24B95AD9"/>
    <w:rsid w:val="24BE24DA"/>
    <w:rsid w:val="24C22B02"/>
    <w:rsid w:val="24CF5825"/>
    <w:rsid w:val="24D663E6"/>
    <w:rsid w:val="24D77F2B"/>
    <w:rsid w:val="24E34428"/>
    <w:rsid w:val="24F1163A"/>
    <w:rsid w:val="24F44C86"/>
    <w:rsid w:val="24F66C50"/>
    <w:rsid w:val="251610A0"/>
    <w:rsid w:val="25253091"/>
    <w:rsid w:val="253F05F7"/>
    <w:rsid w:val="258129BE"/>
    <w:rsid w:val="258B00E2"/>
    <w:rsid w:val="258C3110"/>
    <w:rsid w:val="25A917A6"/>
    <w:rsid w:val="25BE27CC"/>
    <w:rsid w:val="25F2430C"/>
    <w:rsid w:val="25F74A5C"/>
    <w:rsid w:val="26094761"/>
    <w:rsid w:val="2628662C"/>
    <w:rsid w:val="262D45DE"/>
    <w:rsid w:val="265605A8"/>
    <w:rsid w:val="266D2F42"/>
    <w:rsid w:val="2674607E"/>
    <w:rsid w:val="26746610"/>
    <w:rsid w:val="26871DC8"/>
    <w:rsid w:val="268F4C66"/>
    <w:rsid w:val="26A53EF9"/>
    <w:rsid w:val="26A616E9"/>
    <w:rsid w:val="26A94201"/>
    <w:rsid w:val="26AC274F"/>
    <w:rsid w:val="26CD578F"/>
    <w:rsid w:val="26DB0948"/>
    <w:rsid w:val="26DC3C24"/>
    <w:rsid w:val="27044A29"/>
    <w:rsid w:val="271D34C8"/>
    <w:rsid w:val="273B6B9C"/>
    <w:rsid w:val="275639D6"/>
    <w:rsid w:val="276142BF"/>
    <w:rsid w:val="276460F3"/>
    <w:rsid w:val="27783712"/>
    <w:rsid w:val="27840543"/>
    <w:rsid w:val="27907362"/>
    <w:rsid w:val="27962024"/>
    <w:rsid w:val="27A77FE3"/>
    <w:rsid w:val="27D72D69"/>
    <w:rsid w:val="280671AA"/>
    <w:rsid w:val="28333E1D"/>
    <w:rsid w:val="28454BD6"/>
    <w:rsid w:val="28455253"/>
    <w:rsid w:val="28551971"/>
    <w:rsid w:val="285B1C53"/>
    <w:rsid w:val="287E1436"/>
    <w:rsid w:val="289F7086"/>
    <w:rsid w:val="28BA1D43"/>
    <w:rsid w:val="28BC5ABB"/>
    <w:rsid w:val="28C11323"/>
    <w:rsid w:val="28C32028"/>
    <w:rsid w:val="28CC490F"/>
    <w:rsid w:val="28DE40AA"/>
    <w:rsid w:val="28E82D54"/>
    <w:rsid w:val="28F811E9"/>
    <w:rsid w:val="29345E77"/>
    <w:rsid w:val="29385A89"/>
    <w:rsid w:val="294C65AD"/>
    <w:rsid w:val="295757E3"/>
    <w:rsid w:val="2973086F"/>
    <w:rsid w:val="29785E86"/>
    <w:rsid w:val="29806583"/>
    <w:rsid w:val="298B3C4C"/>
    <w:rsid w:val="29A0362E"/>
    <w:rsid w:val="29A21154"/>
    <w:rsid w:val="29D07B74"/>
    <w:rsid w:val="29D357B2"/>
    <w:rsid w:val="29D37560"/>
    <w:rsid w:val="29F26D24"/>
    <w:rsid w:val="2A0D0CC4"/>
    <w:rsid w:val="2A15033F"/>
    <w:rsid w:val="2A1662C1"/>
    <w:rsid w:val="2A1C7367"/>
    <w:rsid w:val="2A2815FA"/>
    <w:rsid w:val="2A4144C9"/>
    <w:rsid w:val="2A6D6092"/>
    <w:rsid w:val="2A703001"/>
    <w:rsid w:val="2A7D76B4"/>
    <w:rsid w:val="2A866380"/>
    <w:rsid w:val="2ABE6D75"/>
    <w:rsid w:val="2ABF7AE4"/>
    <w:rsid w:val="2AD417E1"/>
    <w:rsid w:val="2AD96DF8"/>
    <w:rsid w:val="2ADC2444"/>
    <w:rsid w:val="2AE61515"/>
    <w:rsid w:val="2AEA4B61"/>
    <w:rsid w:val="2B28065B"/>
    <w:rsid w:val="2B3F207C"/>
    <w:rsid w:val="2B437463"/>
    <w:rsid w:val="2B4F2C16"/>
    <w:rsid w:val="2B7807EE"/>
    <w:rsid w:val="2B8F74B6"/>
    <w:rsid w:val="2BA50BF7"/>
    <w:rsid w:val="2BBF00EC"/>
    <w:rsid w:val="2BC37CFD"/>
    <w:rsid w:val="2BC445B9"/>
    <w:rsid w:val="2BD5237F"/>
    <w:rsid w:val="2BE536CE"/>
    <w:rsid w:val="2BE758D9"/>
    <w:rsid w:val="2BF33EE9"/>
    <w:rsid w:val="2BF37A45"/>
    <w:rsid w:val="2C0902CA"/>
    <w:rsid w:val="2C09049E"/>
    <w:rsid w:val="2C097269"/>
    <w:rsid w:val="2C0A653C"/>
    <w:rsid w:val="2C1856FE"/>
    <w:rsid w:val="2C191F85"/>
    <w:rsid w:val="2C6D5A4A"/>
    <w:rsid w:val="2CB90C8F"/>
    <w:rsid w:val="2CBB4EED"/>
    <w:rsid w:val="2CC82C80"/>
    <w:rsid w:val="2CC84EBC"/>
    <w:rsid w:val="2CD51841"/>
    <w:rsid w:val="2CE57EA0"/>
    <w:rsid w:val="2CE82D6F"/>
    <w:rsid w:val="2CF9108B"/>
    <w:rsid w:val="2D0068BE"/>
    <w:rsid w:val="2D2B1461"/>
    <w:rsid w:val="2D343236"/>
    <w:rsid w:val="2D346567"/>
    <w:rsid w:val="2D4D587B"/>
    <w:rsid w:val="2D5A06D6"/>
    <w:rsid w:val="2D790198"/>
    <w:rsid w:val="2DAF2092"/>
    <w:rsid w:val="2DC01BA9"/>
    <w:rsid w:val="2DD15014"/>
    <w:rsid w:val="2DD65871"/>
    <w:rsid w:val="2DF27D55"/>
    <w:rsid w:val="2DF72DE4"/>
    <w:rsid w:val="2E0220AF"/>
    <w:rsid w:val="2E057F04"/>
    <w:rsid w:val="2E3B3926"/>
    <w:rsid w:val="2E3D58F0"/>
    <w:rsid w:val="2E4B082A"/>
    <w:rsid w:val="2E560BBA"/>
    <w:rsid w:val="2E5642BC"/>
    <w:rsid w:val="2E5A1FFE"/>
    <w:rsid w:val="2E5D4E86"/>
    <w:rsid w:val="2E5D564A"/>
    <w:rsid w:val="2E5D790B"/>
    <w:rsid w:val="2E6B420B"/>
    <w:rsid w:val="2E953036"/>
    <w:rsid w:val="2E9A3C18"/>
    <w:rsid w:val="2EBB0FEE"/>
    <w:rsid w:val="2EC63002"/>
    <w:rsid w:val="2ECD6C74"/>
    <w:rsid w:val="2EF81CDA"/>
    <w:rsid w:val="2F0A6B38"/>
    <w:rsid w:val="2F176141"/>
    <w:rsid w:val="2F307202"/>
    <w:rsid w:val="2F946CCB"/>
    <w:rsid w:val="2FA554FB"/>
    <w:rsid w:val="2FAD0853"/>
    <w:rsid w:val="2FB971F8"/>
    <w:rsid w:val="2FC31E25"/>
    <w:rsid w:val="2FD25781"/>
    <w:rsid w:val="2FDC745C"/>
    <w:rsid w:val="2FE778C1"/>
    <w:rsid w:val="2FFD7934"/>
    <w:rsid w:val="303568D9"/>
    <w:rsid w:val="304545E8"/>
    <w:rsid w:val="304F5466"/>
    <w:rsid w:val="307153DD"/>
    <w:rsid w:val="30733ACD"/>
    <w:rsid w:val="308C3862"/>
    <w:rsid w:val="309379D8"/>
    <w:rsid w:val="3095731D"/>
    <w:rsid w:val="30A270F7"/>
    <w:rsid w:val="30AA14F8"/>
    <w:rsid w:val="30DF1478"/>
    <w:rsid w:val="30EC586F"/>
    <w:rsid w:val="30FF50DE"/>
    <w:rsid w:val="3112096E"/>
    <w:rsid w:val="315F6F32"/>
    <w:rsid w:val="31615451"/>
    <w:rsid w:val="317E4255"/>
    <w:rsid w:val="317F3B29"/>
    <w:rsid w:val="319C6071"/>
    <w:rsid w:val="31A11ECE"/>
    <w:rsid w:val="31AC537E"/>
    <w:rsid w:val="31BB1005"/>
    <w:rsid w:val="31E3679B"/>
    <w:rsid w:val="31E732FD"/>
    <w:rsid w:val="31EE30DC"/>
    <w:rsid w:val="31EF6F01"/>
    <w:rsid w:val="32075721"/>
    <w:rsid w:val="3225238E"/>
    <w:rsid w:val="32517576"/>
    <w:rsid w:val="326E42CA"/>
    <w:rsid w:val="32803FFD"/>
    <w:rsid w:val="328C4750"/>
    <w:rsid w:val="32933D30"/>
    <w:rsid w:val="32BE5C2C"/>
    <w:rsid w:val="32CA4507"/>
    <w:rsid w:val="32D63C1D"/>
    <w:rsid w:val="32E225C2"/>
    <w:rsid w:val="32FB6478"/>
    <w:rsid w:val="332410BB"/>
    <w:rsid w:val="33263B3F"/>
    <w:rsid w:val="3361798A"/>
    <w:rsid w:val="336963EB"/>
    <w:rsid w:val="33816EEB"/>
    <w:rsid w:val="33A361F5"/>
    <w:rsid w:val="33C06DA7"/>
    <w:rsid w:val="33C323F3"/>
    <w:rsid w:val="33C541E3"/>
    <w:rsid w:val="33E800AC"/>
    <w:rsid w:val="33EB55CD"/>
    <w:rsid w:val="33EC4C02"/>
    <w:rsid w:val="33EF143A"/>
    <w:rsid w:val="33FE342B"/>
    <w:rsid w:val="340D2360"/>
    <w:rsid w:val="3410665D"/>
    <w:rsid w:val="34125129"/>
    <w:rsid w:val="34136B81"/>
    <w:rsid w:val="34211214"/>
    <w:rsid w:val="342310E4"/>
    <w:rsid w:val="342E63AB"/>
    <w:rsid w:val="34321327"/>
    <w:rsid w:val="34390907"/>
    <w:rsid w:val="344A041F"/>
    <w:rsid w:val="34605E94"/>
    <w:rsid w:val="34897199"/>
    <w:rsid w:val="34950E68"/>
    <w:rsid w:val="34986E94"/>
    <w:rsid w:val="34AF62C9"/>
    <w:rsid w:val="34B47F8E"/>
    <w:rsid w:val="34C957E7"/>
    <w:rsid w:val="34CB4388"/>
    <w:rsid w:val="34CF6B76"/>
    <w:rsid w:val="34F0546A"/>
    <w:rsid w:val="34FA3BF3"/>
    <w:rsid w:val="34FA6E12"/>
    <w:rsid w:val="3518051D"/>
    <w:rsid w:val="35386E11"/>
    <w:rsid w:val="354D7158"/>
    <w:rsid w:val="35611EC4"/>
    <w:rsid w:val="358D5588"/>
    <w:rsid w:val="35A95619"/>
    <w:rsid w:val="35DB6951"/>
    <w:rsid w:val="35E14DB3"/>
    <w:rsid w:val="362D1DA6"/>
    <w:rsid w:val="363A3B40"/>
    <w:rsid w:val="363C023B"/>
    <w:rsid w:val="364721D8"/>
    <w:rsid w:val="365302AE"/>
    <w:rsid w:val="36607A0A"/>
    <w:rsid w:val="366E227C"/>
    <w:rsid w:val="366F2E0D"/>
    <w:rsid w:val="3679148F"/>
    <w:rsid w:val="367B6A5C"/>
    <w:rsid w:val="36A74ADA"/>
    <w:rsid w:val="36A77DAA"/>
    <w:rsid w:val="36A91D74"/>
    <w:rsid w:val="36AD60D5"/>
    <w:rsid w:val="36AE738B"/>
    <w:rsid w:val="36B224F9"/>
    <w:rsid w:val="36C97D20"/>
    <w:rsid w:val="36D6068F"/>
    <w:rsid w:val="36E0506A"/>
    <w:rsid w:val="36EC0CC9"/>
    <w:rsid w:val="371F2036"/>
    <w:rsid w:val="3733163E"/>
    <w:rsid w:val="373F410B"/>
    <w:rsid w:val="373F4487"/>
    <w:rsid w:val="375D66BB"/>
    <w:rsid w:val="376340F9"/>
    <w:rsid w:val="37A711A3"/>
    <w:rsid w:val="37BF2ED1"/>
    <w:rsid w:val="37D050DF"/>
    <w:rsid w:val="37EE7094"/>
    <w:rsid w:val="38286CC9"/>
    <w:rsid w:val="38296C89"/>
    <w:rsid w:val="383002EB"/>
    <w:rsid w:val="383B4C4E"/>
    <w:rsid w:val="3845787B"/>
    <w:rsid w:val="384F4255"/>
    <w:rsid w:val="38586797"/>
    <w:rsid w:val="386D5023"/>
    <w:rsid w:val="388008B3"/>
    <w:rsid w:val="38AC16A8"/>
    <w:rsid w:val="38B60778"/>
    <w:rsid w:val="38BC0149"/>
    <w:rsid w:val="38D87D1C"/>
    <w:rsid w:val="38EA21D0"/>
    <w:rsid w:val="38F66DC7"/>
    <w:rsid w:val="39291FD6"/>
    <w:rsid w:val="394418E0"/>
    <w:rsid w:val="39486471"/>
    <w:rsid w:val="39565AB7"/>
    <w:rsid w:val="39636459"/>
    <w:rsid w:val="396B7F6C"/>
    <w:rsid w:val="39700927"/>
    <w:rsid w:val="39A27B01"/>
    <w:rsid w:val="39AE1450"/>
    <w:rsid w:val="39B417A9"/>
    <w:rsid w:val="39E44E71"/>
    <w:rsid w:val="39FC5695"/>
    <w:rsid w:val="3A006D8E"/>
    <w:rsid w:val="3A077E58"/>
    <w:rsid w:val="3A085004"/>
    <w:rsid w:val="3A204F94"/>
    <w:rsid w:val="3A2D4A6A"/>
    <w:rsid w:val="3A3651E5"/>
    <w:rsid w:val="3A532FBB"/>
    <w:rsid w:val="3A577884"/>
    <w:rsid w:val="3A683CF4"/>
    <w:rsid w:val="3A685AA2"/>
    <w:rsid w:val="3A726921"/>
    <w:rsid w:val="3A744481"/>
    <w:rsid w:val="3A886145"/>
    <w:rsid w:val="3A8C7BEF"/>
    <w:rsid w:val="3A906246"/>
    <w:rsid w:val="3A9E536B"/>
    <w:rsid w:val="3ACA22B9"/>
    <w:rsid w:val="3AF235BE"/>
    <w:rsid w:val="3B2349B7"/>
    <w:rsid w:val="3B3D2A8B"/>
    <w:rsid w:val="3B457B92"/>
    <w:rsid w:val="3B4756B8"/>
    <w:rsid w:val="3B4C7172"/>
    <w:rsid w:val="3B584C08"/>
    <w:rsid w:val="3B616CFF"/>
    <w:rsid w:val="3B6259F6"/>
    <w:rsid w:val="3B70073D"/>
    <w:rsid w:val="3B934DA1"/>
    <w:rsid w:val="3B976654"/>
    <w:rsid w:val="3BA951BE"/>
    <w:rsid w:val="3BBB37A0"/>
    <w:rsid w:val="3BC01EFC"/>
    <w:rsid w:val="3BCA786A"/>
    <w:rsid w:val="3BD11425"/>
    <w:rsid w:val="3BD31E2F"/>
    <w:rsid w:val="3BDA652C"/>
    <w:rsid w:val="3BDF7FE6"/>
    <w:rsid w:val="3BF15831"/>
    <w:rsid w:val="3BF21AC7"/>
    <w:rsid w:val="3C017F5D"/>
    <w:rsid w:val="3C105946"/>
    <w:rsid w:val="3C1934F8"/>
    <w:rsid w:val="3C471448"/>
    <w:rsid w:val="3C5F759A"/>
    <w:rsid w:val="3C667DC0"/>
    <w:rsid w:val="3C6C525A"/>
    <w:rsid w:val="3C7626F9"/>
    <w:rsid w:val="3CCE23CB"/>
    <w:rsid w:val="3CD17D17"/>
    <w:rsid w:val="3D2008B6"/>
    <w:rsid w:val="3D2A5291"/>
    <w:rsid w:val="3D37175C"/>
    <w:rsid w:val="3D3C7F39"/>
    <w:rsid w:val="3D440F09"/>
    <w:rsid w:val="3D4504A0"/>
    <w:rsid w:val="3D474095"/>
    <w:rsid w:val="3D4E0F7F"/>
    <w:rsid w:val="3D6F7148"/>
    <w:rsid w:val="3D8734BB"/>
    <w:rsid w:val="3D960B78"/>
    <w:rsid w:val="3D9A11D4"/>
    <w:rsid w:val="3DA16D89"/>
    <w:rsid w:val="3DA364BE"/>
    <w:rsid w:val="3DB334D8"/>
    <w:rsid w:val="3DDA0A65"/>
    <w:rsid w:val="3DE041CB"/>
    <w:rsid w:val="3DF53AF1"/>
    <w:rsid w:val="3E067AAC"/>
    <w:rsid w:val="3E0702B8"/>
    <w:rsid w:val="3E0D48F6"/>
    <w:rsid w:val="3E155F41"/>
    <w:rsid w:val="3E1868B4"/>
    <w:rsid w:val="3E377251"/>
    <w:rsid w:val="3E3A59A8"/>
    <w:rsid w:val="3E42664B"/>
    <w:rsid w:val="3E5A7334"/>
    <w:rsid w:val="3E5E1696"/>
    <w:rsid w:val="3E7B5D6B"/>
    <w:rsid w:val="3E843E66"/>
    <w:rsid w:val="3E8F51FE"/>
    <w:rsid w:val="3E926F87"/>
    <w:rsid w:val="3E990920"/>
    <w:rsid w:val="3E9A59DE"/>
    <w:rsid w:val="3EAF4836"/>
    <w:rsid w:val="3EC33DFA"/>
    <w:rsid w:val="3EE23E73"/>
    <w:rsid w:val="3EE6168C"/>
    <w:rsid w:val="3EEF22EE"/>
    <w:rsid w:val="3EF20030"/>
    <w:rsid w:val="3EFD0EAF"/>
    <w:rsid w:val="3F0062A9"/>
    <w:rsid w:val="3F060E16"/>
    <w:rsid w:val="3F1D1096"/>
    <w:rsid w:val="3F2F0234"/>
    <w:rsid w:val="3F2F3423"/>
    <w:rsid w:val="3F3423F7"/>
    <w:rsid w:val="3F6363FE"/>
    <w:rsid w:val="3F756B8F"/>
    <w:rsid w:val="3F836EDA"/>
    <w:rsid w:val="3F95482B"/>
    <w:rsid w:val="3FBA6DA0"/>
    <w:rsid w:val="3FDF6807"/>
    <w:rsid w:val="4019356B"/>
    <w:rsid w:val="404B5C4A"/>
    <w:rsid w:val="40532D51"/>
    <w:rsid w:val="40592157"/>
    <w:rsid w:val="406E1CAE"/>
    <w:rsid w:val="4084115C"/>
    <w:rsid w:val="4090365D"/>
    <w:rsid w:val="4093314D"/>
    <w:rsid w:val="40A0133A"/>
    <w:rsid w:val="40AF61D9"/>
    <w:rsid w:val="40B27A77"/>
    <w:rsid w:val="40BA4B7E"/>
    <w:rsid w:val="40C31A53"/>
    <w:rsid w:val="40C652D1"/>
    <w:rsid w:val="40D43E92"/>
    <w:rsid w:val="40FF545D"/>
    <w:rsid w:val="410067C8"/>
    <w:rsid w:val="41036525"/>
    <w:rsid w:val="412546ED"/>
    <w:rsid w:val="413B7A6D"/>
    <w:rsid w:val="41483F38"/>
    <w:rsid w:val="41524DB6"/>
    <w:rsid w:val="416176D3"/>
    <w:rsid w:val="4182569C"/>
    <w:rsid w:val="418F0D2A"/>
    <w:rsid w:val="418F7DB9"/>
    <w:rsid w:val="419E7FFC"/>
    <w:rsid w:val="41C37A62"/>
    <w:rsid w:val="41CC6917"/>
    <w:rsid w:val="41D01505"/>
    <w:rsid w:val="42134546"/>
    <w:rsid w:val="421B789E"/>
    <w:rsid w:val="423B584A"/>
    <w:rsid w:val="42402E61"/>
    <w:rsid w:val="42474939"/>
    <w:rsid w:val="424C3C57"/>
    <w:rsid w:val="425D7EB7"/>
    <w:rsid w:val="42613FF3"/>
    <w:rsid w:val="42660D96"/>
    <w:rsid w:val="4269685C"/>
    <w:rsid w:val="428667D2"/>
    <w:rsid w:val="428B67D2"/>
    <w:rsid w:val="42975177"/>
    <w:rsid w:val="42B057A6"/>
    <w:rsid w:val="42CB59A5"/>
    <w:rsid w:val="42CD1CE0"/>
    <w:rsid w:val="42D02437"/>
    <w:rsid w:val="42DC527F"/>
    <w:rsid w:val="42E1381E"/>
    <w:rsid w:val="42ED6459"/>
    <w:rsid w:val="42FE58DD"/>
    <w:rsid w:val="43174B3D"/>
    <w:rsid w:val="433F136A"/>
    <w:rsid w:val="434B790E"/>
    <w:rsid w:val="434C41B3"/>
    <w:rsid w:val="4360274F"/>
    <w:rsid w:val="438374A9"/>
    <w:rsid w:val="438C2802"/>
    <w:rsid w:val="43977AB6"/>
    <w:rsid w:val="43A3342B"/>
    <w:rsid w:val="43A80F3F"/>
    <w:rsid w:val="43AE09CA"/>
    <w:rsid w:val="43C04259"/>
    <w:rsid w:val="43C77C27"/>
    <w:rsid w:val="43D30430"/>
    <w:rsid w:val="43DE09EE"/>
    <w:rsid w:val="43EB60D2"/>
    <w:rsid w:val="44002FAD"/>
    <w:rsid w:val="441C37AA"/>
    <w:rsid w:val="44330ECF"/>
    <w:rsid w:val="444924A1"/>
    <w:rsid w:val="44496945"/>
    <w:rsid w:val="44615A3C"/>
    <w:rsid w:val="446948F1"/>
    <w:rsid w:val="446B0669"/>
    <w:rsid w:val="449101DD"/>
    <w:rsid w:val="44AB6CB7"/>
    <w:rsid w:val="44B10046"/>
    <w:rsid w:val="44B55D88"/>
    <w:rsid w:val="44DE1391"/>
    <w:rsid w:val="450D34CE"/>
    <w:rsid w:val="451B225C"/>
    <w:rsid w:val="451F3201"/>
    <w:rsid w:val="45232CF2"/>
    <w:rsid w:val="452410C9"/>
    <w:rsid w:val="45317DFB"/>
    <w:rsid w:val="45605CF4"/>
    <w:rsid w:val="456D3CE4"/>
    <w:rsid w:val="4579042C"/>
    <w:rsid w:val="457E3359"/>
    <w:rsid w:val="457F0571"/>
    <w:rsid w:val="45851176"/>
    <w:rsid w:val="45B61F7E"/>
    <w:rsid w:val="45C55BC2"/>
    <w:rsid w:val="45C63B94"/>
    <w:rsid w:val="45C73FC5"/>
    <w:rsid w:val="45CA5863"/>
    <w:rsid w:val="460E7DA5"/>
    <w:rsid w:val="46276812"/>
    <w:rsid w:val="46422483"/>
    <w:rsid w:val="46517D32"/>
    <w:rsid w:val="465670F7"/>
    <w:rsid w:val="46582E6F"/>
    <w:rsid w:val="4659254A"/>
    <w:rsid w:val="465B0637"/>
    <w:rsid w:val="465E3F0D"/>
    <w:rsid w:val="466A16E6"/>
    <w:rsid w:val="46753A21"/>
    <w:rsid w:val="46893F2B"/>
    <w:rsid w:val="469D4D26"/>
    <w:rsid w:val="46A63BDA"/>
    <w:rsid w:val="46C444E6"/>
    <w:rsid w:val="46C4686E"/>
    <w:rsid w:val="46DD5122"/>
    <w:rsid w:val="46FF32EA"/>
    <w:rsid w:val="470703F1"/>
    <w:rsid w:val="471825FE"/>
    <w:rsid w:val="474D674C"/>
    <w:rsid w:val="475A49C5"/>
    <w:rsid w:val="476B783C"/>
    <w:rsid w:val="477517FF"/>
    <w:rsid w:val="477B778F"/>
    <w:rsid w:val="478203EC"/>
    <w:rsid w:val="47941C85"/>
    <w:rsid w:val="47975C19"/>
    <w:rsid w:val="479E6FA7"/>
    <w:rsid w:val="47B025FA"/>
    <w:rsid w:val="47B24801"/>
    <w:rsid w:val="47C63E08"/>
    <w:rsid w:val="47CD33E9"/>
    <w:rsid w:val="47DE732A"/>
    <w:rsid w:val="4809698F"/>
    <w:rsid w:val="480F755D"/>
    <w:rsid w:val="4811697D"/>
    <w:rsid w:val="487A3E25"/>
    <w:rsid w:val="488B5503"/>
    <w:rsid w:val="48937E21"/>
    <w:rsid w:val="489A0361"/>
    <w:rsid w:val="48A8102D"/>
    <w:rsid w:val="48B94FF3"/>
    <w:rsid w:val="48BF0F83"/>
    <w:rsid w:val="48E00EFA"/>
    <w:rsid w:val="48E37AAB"/>
    <w:rsid w:val="48FD4B4C"/>
    <w:rsid w:val="49044BE8"/>
    <w:rsid w:val="490A68E0"/>
    <w:rsid w:val="491055FE"/>
    <w:rsid w:val="49127986"/>
    <w:rsid w:val="491446BA"/>
    <w:rsid w:val="4921579A"/>
    <w:rsid w:val="492B56F2"/>
    <w:rsid w:val="495F5B3E"/>
    <w:rsid w:val="496F77D7"/>
    <w:rsid w:val="497654FD"/>
    <w:rsid w:val="49A81A17"/>
    <w:rsid w:val="49B64211"/>
    <w:rsid w:val="49D41AAC"/>
    <w:rsid w:val="49E50EBD"/>
    <w:rsid w:val="49F6167F"/>
    <w:rsid w:val="4A064FA0"/>
    <w:rsid w:val="4A070E34"/>
    <w:rsid w:val="4A16615C"/>
    <w:rsid w:val="4A372D9B"/>
    <w:rsid w:val="4A394D65"/>
    <w:rsid w:val="4A3B1B3B"/>
    <w:rsid w:val="4A4424D7"/>
    <w:rsid w:val="4A653DAC"/>
    <w:rsid w:val="4A9F72BE"/>
    <w:rsid w:val="4AB82D0F"/>
    <w:rsid w:val="4AEB7664"/>
    <w:rsid w:val="4AFD7C19"/>
    <w:rsid w:val="4B0567D1"/>
    <w:rsid w:val="4B217CD3"/>
    <w:rsid w:val="4B236AAE"/>
    <w:rsid w:val="4B2F799D"/>
    <w:rsid w:val="4B427C4A"/>
    <w:rsid w:val="4B6B0F4E"/>
    <w:rsid w:val="4B6E0A3F"/>
    <w:rsid w:val="4B707271"/>
    <w:rsid w:val="4B7324F9"/>
    <w:rsid w:val="4B83098E"/>
    <w:rsid w:val="4B9739F7"/>
    <w:rsid w:val="4BB40B47"/>
    <w:rsid w:val="4BC32B39"/>
    <w:rsid w:val="4BEE2503"/>
    <w:rsid w:val="4BF727EA"/>
    <w:rsid w:val="4C013661"/>
    <w:rsid w:val="4C245A30"/>
    <w:rsid w:val="4C2F01CE"/>
    <w:rsid w:val="4C5440D8"/>
    <w:rsid w:val="4CA50490"/>
    <w:rsid w:val="4CAF130F"/>
    <w:rsid w:val="4CB6685F"/>
    <w:rsid w:val="4CC27294"/>
    <w:rsid w:val="4CC367FE"/>
    <w:rsid w:val="4D077F3C"/>
    <w:rsid w:val="4D123355"/>
    <w:rsid w:val="4D2A3B31"/>
    <w:rsid w:val="4D312C52"/>
    <w:rsid w:val="4D695962"/>
    <w:rsid w:val="4D8602C2"/>
    <w:rsid w:val="4D905305"/>
    <w:rsid w:val="4D964A72"/>
    <w:rsid w:val="4D993968"/>
    <w:rsid w:val="4D9C1254"/>
    <w:rsid w:val="4D9E5B15"/>
    <w:rsid w:val="4D9F3131"/>
    <w:rsid w:val="4D9F75D5"/>
    <w:rsid w:val="4DA370C6"/>
    <w:rsid w:val="4DAE5A6A"/>
    <w:rsid w:val="4DB43081"/>
    <w:rsid w:val="4DD03C33"/>
    <w:rsid w:val="4DD0778F"/>
    <w:rsid w:val="4E0B07C7"/>
    <w:rsid w:val="4E28581D"/>
    <w:rsid w:val="4E2F2707"/>
    <w:rsid w:val="4E612ADD"/>
    <w:rsid w:val="4E712D20"/>
    <w:rsid w:val="4E793892"/>
    <w:rsid w:val="4E800872"/>
    <w:rsid w:val="4E8862BB"/>
    <w:rsid w:val="4E962786"/>
    <w:rsid w:val="4EC569ED"/>
    <w:rsid w:val="4ED50EA1"/>
    <w:rsid w:val="4EEC050C"/>
    <w:rsid w:val="4F104EC3"/>
    <w:rsid w:val="4F1C3E96"/>
    <w:rsid w:val="4F247D92"/>
    <w:rsid w:val="4F47354A"/>
    <w:rsid w:val="4F895E47"/>
    <w:rsid w:val="4F911C54"/>
    <w:rsid w:val="4FBD3D43"/>
    <w:rsid w:val="4FC6709B"/>
    <w:rsid w:val="4FD23C92"/>
    <w:rsid w:val="4FD73056"/>
    <w:rsid w:val="4FDF63AF"/>
    <w:rsid w:val="4FE625E0"/>
    <w:rsid w:val="500D6A78"/>
    <w:rsid w:val="501716A5"/>
    <w:rsid w:val="5021480F"/>
    <w:rsid w:val="50526B81"/>
    <w:rsid w:val="505C301C"/>
    <w:rsid w:val="505E5526"/>
    <w:rsid w:val="506B19F1"/>
    <w:rsid w:val="506B379F"/>
    <w:rsid w:val="50904750"/>
    <w:rsid w:val="50962ECB"/>
    <w:rsid w:val="509C1BAA"/>
    <w:rsid w:val="50A42E38"/>
    <w:rsid w:val="50A4577F"/>
    <w:rsid w:val="50B73D1F"/>
    <w:rsid w:val="50BD5BC9"/>
    <w:rsid w:val="50C11EEE"/>
    <w:rsid w:val="50E97CFC"/>
    <w:rsid w:val="50F1639A"/>
    <w:rsid w:val="50FA4028"/>
    <w:rsid w:val="50FE2865"/>
    <w:rsid w:val="510D65B7"/>
    <w:rsid w:val="511157AB"/>
    <w:rsid w:val="513B13C3"/>
    <w:rsid w:val="5142540C"/>
    <w:rsid w:val="518832C8"/>
    <w:rsid w:val="519D3C50"/>
    <w:rsid w:val="51A0432A"/>
    <w:rsid w:val="51A86090"/>
    <w:rsid w:val="51B7396D"/>
    <w:rsid w:val="520D3263"/>
    <w:rsid w:val="52195BA8"/>
    <w:rsid w:val="52293911"/>
    <w:rsid w:val="522E4CC3"/>
    <w:rsid w:val="523C53F3"/>
    <w:rsid w:val="5244713B"/>
    <w:rsid w:val="52615633"/>
    <w:rsid w:val="52693347"/>
    <w:rsid w:val="526F4DE4"/>
    <w:rsid w:val="52756B57"/>
    <w:rsid w:val="528A2602"/>
    <w:rsid w:val="52977FD4"/>
    <w:rsid w:val="52A25790"/>
    <w:rsid w:val="52A631B4"/>
    <w:rsid w:val="52A96B6F"/>
    <w:rsid w:val="52B45975"/>
    <w:rsid w:val="52C33D66"/>
    <w:rsid w:val="52C35B14"/>
    <w:rsid w:val="52D7511B"/>
    <w:rsid w:val="52D94AA4"/>
    <w:rsid w:val="52EA3A62"/>
    <w:rsid w:val="52F50BB8"/>
    <w:rsid w:val="53097272"/>
    <w:rsid w:val="5340617D"/>
    <w:rsid w:val="534C1537"/>
    <w:rsid w:val="53544462"/>
    <w:rsid w:val="536B6D64"/>
    <w:rsid w:val="5397158E"/>
    <w:rsid w:val="53E325D5"/>
    <w:rsid w:val="54013861"/>
    <w:rsid w:val="544669FD"/>
    <w:rsid w:val="54487265"/>
    <w:rsid w:val="544D6070"/>
    <w:rsid w:val="54556C40"/>
    <w:rsid w:val="545A24A8"/>
    <w:rsid w:val="545A4256"/>
    <w:rsid w:val="54605E1E"/>
    <w:rsid w:val="546450D5"/>
    <w:rsid w:val="54A84FC1"/>
    <w:rsid w:val="54B3506A"/>
    <w:rsid w:val="54CA0D16"/>
    <w:rsid w:val="54D9161F"/>
    <w:rsid w:val="54DD4057"/>
    <w:rsid w:val="54E7490F"/>
    <w:rsid w:val="54E76163"/>
    <w:rsid w:val="550764A4"/>
    <w:rsid w:val="550B2BF6"/>
    <w:rsid w:val="55214EB5"/>
    <w:rsid w:val="55364EFD"/>
    <w:rsid w:val="553920BD"/>
    <w:rsid w:val="55497041"/>
    <w:rsid w:val="555923AB"/>
    <w:rsid w:val="555D4828"/>
    <w:rsid w:val="556F1F83"/>
    <w:rsid w:val="55782BE6"/>
    <w:rsid w:val="557A4C8B"/>
    <w:rsid w:val="558931E1"/>
    <w:rsid w:val="558E065B"/>
    <w:rsid w:val="559002B6"/>
    <w:rsid w:val="55923347"/>
    <w:rsid w:val="55925180"/>
    <w:rsid w:val="55983B1B"/>
    <w:rsid w:val="55A8376B"/>
    <w:rsid w:val="55BD684B"/>
    <w:rsid w:val="55C93441"/>
    <w:rsid w:val="55DC29B6"/>
    <w:rsid w:val="55DD4241"/>
    <w:rsid w:val="55E069DD"/>
    <w:rsid w:val="55E95892"/>
    <w:rsid w:val="55EE3803"/>
    <w:rsid w:val="55FC3817"/>
    <w:rsid w:val="560A5808"/>
    <w:rsid w:val="5621327D"/>
    <w:rsid w:val="563D798B"/>
    <w:rsid w:val="566B6D1E"/>
    <w:rsid w:val="56725887"/>
    <w:rsid w:val="56777341"/>
    <w:rsid w:val="56815ACA"/>
    <w:rsid w:val="56A37E10"/>
    <w:rsid w:val="57032A2C"/>
    <w:rsid w:val="570F5219"/>
    <w:rsid w:val="572E78E5"/>
    <w:rsid w:val="573C7C43"/>
    <w:rsid w:val="575C2093"/>
    <w:rsid w:val="575D12B5"/>
    <w:rsid w:val="57610A87"/>
    <w:rsid w:val="577B1140"/>
    <w:rsid w:val="577B7F21"/>
    <w:rsid w:val="577F181B"/>
    <w:rsid w:val="578A4E52"/>
    <w:rsid w:val="57917F8F"/>
    <w:rsid w:val="57921984"/>
    <w:rsid w:val="579737F0"/>
    <w:rsid w:val="57995095"/>
    <w:rsid w:val="57AB7B30"/>
    <w:rsid w:val="57AF5251"/>
    <w:rsid w:val="57B26373"/>
    <w:rsid w:val="57B63F04"/>
    <w:rsid w:val="57B65C47"/>
    <w:rsid w:val="57CD20C2"/>
    <w:rsid w:val="57D675AB"/>
    <w:rsid w:val="57D95FDD"/>
    <w:rsid w:val="580F5357"/>
    <w:rsid w:val="58256929"/>
    <w:rsid w:val="58353010"/>
    <w:rsid w:val="583F5C3D"/>
    <w:rsid w:val="58737A58"/>
    <w:rsid w:val="58773629"/>
    <w:rsid w:val="588E44CE"/>
    <w:rsid w:val="588F7EBD"/>
    <w:rsid w:val="58917D2F"/>
    <w:rsid w:val="5894085C"/>
    <w:rsid w:val="58A261CC"/>
    <w:rsid w:val="58AE4F0C"/>
    <w:rsid w:val="58B85899"/>
    <w:rsid w:val="58E363A9"/>
    <w:rsid w:val="58E93DFA"/>
    <w:rsid w:val="59036C6A"/>
    <w:rsid w:val="591E264C"/>
    <w:rsid w:val="592A2449"/>
    <w:rsid w:val="595E1678"/>
    <w:rsid w:val="596516D3"/>
    <w:rsid w:val="59693603"/>
    <w:rsid w:val="596D5BD4"/>
    <w:rsid w:val="597E3DD8"/>
    <w:rsid w:val="597F77E2"/>
    <w:rsid w:val="598558D1"/>
    <w:rsid w:val="598D0C2A"/>
    <w:rsid w:val="59967ADE"/>
    <w:rsid w:val="59B241EC"/>
    <w:rsid w:val="59B44408"/>
    <w:rsid w:val="59B63CDD"/>
    <w:rsid w:val="59E7033A"/>
    <w:rsid w:val="59F64A21"/>
    <w:rsid w:val="59F80043"/>
    <w:rsid w:val="5A09252F"/>
    <w:rsid w:val="5A0B2778"/>
    <w:rsid w:val="5A2A7C7B"/>
    <w:rsid w:val="5A3E2560"/>
    <w:rsid w:val="5A5D3B6E"/>
    <w:rsid w:val="5A637A76"/>
    <w:rsid w:val="5A6D33BA"/>
    <w:rsid w:val="5A792B1F"/>
    <w:rsid w:val="5A874767"/>
    <w:rsid w:val="5AA85BE2"/>
    <w:rsid w:val="5AAD6F28"/>
    <w:rsid w:val="5AAE6397"/>
    <w:rsid w:val="5ABE2749"/>
    <w:rsid w:val="5AC16DDD"/>
    <w:rsid w:val="5AD63A24"/>
    <w:rsid w:val="5AE26D53"/>
    <w:rsid w:val="5AE51A4D"/>
    <w:rsid w:val="5B215ACE"/>
    <w:rsid w:val="5B231846"/>
    <w:rsid w:val="5B2E1A1D"/>
    <w:rsid w:val="5B4B66A7"/>
    <w:rsid w:val="5B615ECA"/>
    <w:rsid w:val="5B7F45A2"/>
    <w:rsid w:val="5B843A1C"/>
    <w:rsid w:val="5B873E3F"/>
    <w:rsid w:val="5BAA4E32"/>
    <w:rsid w:val="5BB41F11"/>
    <w:rsid w:val="5BCF72D8"/>
    <w:rsid w:val="5C02690E"/>
    <w:rsid w:val="5C196DA7"/>
    <w:rsid w:val="5C277114"/>
    <w:rsid w:val="5C2A048C"/>
    <w:rsid w:val="5C4D2220"/>
    <w:rsid w:val="5C5F68AD"/>
    <w:rsid w:val="5C71038F"/>
    <w:rsid w:val="5C7B745F"/>
    <w:rsid w:val="5C80234E"/>
    <w:rsid w:val="5C8A680C"/>
    <w:rsid w:val="5C9A78E6"/>
    <w:rsid w:val="5CC11316"/>
    <w:rsid w:val="5CD5091E"/>
    <w:rsid w:val="5D0C4701"/>
    <w:rsid w:val="5D0E5BDE"/>
    <w:rsid w:val="5D0F0395"/>
    <w:rsid w:val="5D101956"/>
    <w:rsid w:val="5D1A4582"/>
    <w:rsid w:val="5D221076"/>
    <w:rsid w:val="5D2E44D2"/>
    <w:rsid w:val="5D397964"/>
    <w:rsid w:val="5D537A94"/>
    <w:rsid w:val="5D5A391C"/>
    <w:rsid w:val="5D5F10C0"/>
    <w:rsid w:val="5D790E2F"/>
    <w:rsid w:val="5D891B7B"/>
    <w:rsid w:val="5D8D2FA6"/>
    <w:rsid w:val="5DAA1DAA"/>
    <w:rsid w:val="5DAD38EE"/>
    <w:rsid w:val="5DDC4B42"/>
    <w:rsid w:val="5DEC23C3"/>
    <w:rsid w:val="5E006862"/>
    <w:rsid w:val="5E0207B9"/>
    <w:rsid w:val="5E1834A1"/>
    <w:rsid w:val="5E1B4A56"/>
    <w:rsid w:val="5E23390B"/>
    <w:rsid w:val="5E261785"/>
    <w:rsid w:val="5E326D6C"/>
    <w:rsid w:val="5E4A7017"/>
    <w:rsid w:val="5E552BBA"/>
    <w:rsid w:val="5E59557E"/>
    <w:rsid w:val="5E611C10"/>
    <w:rsid w:val="5E7A0F3F"/>
    <w:rsid w:val="5E820631"/>
    <w:rsid w:val="5E8365F6"/>
    <w:rsid w:val="5E912F6A"/>
    <w:rsid w:val="5E9F4AA7"/>
    <w:rsid w:val="5EAA35A6"/>
    <w:rsid w:val="5ED30E8D"/>
    <w:rsid w:val="5EEC63F2"/>
    <w:rsid w:val="5EF27585"/>
    <w:rsid w:val="5EFA28BD"/>
    <w:rsid w:val="5EFC7377"/>
    <w:rsid w:val="5EFF1C82"/>
    <w:rsid w:val="5F06174D"/>
    <w:rsid w:val="5F3A3602"/>
    <w:rsid w:val="5F45733B"/>
    <w:rsid w:val="5F6277C6"/>
    <w:rsid w:val="5F6D0B1D"/>
    <w:rsid w:val="5F8405CE"/>
    <w:rsid w:val="5F84662B"/>
    <w:rsid w:val="5F8D0B82"/>
    <w:rsid w:val="5F990328"/>
    <w:rsid w:val="5FAB1E0A"/>
    <w:rsid w:val="5FCC5339"/>
    <w:rsid w:val="5FD56E87"/>
    <w:rsid w:val="5FE34A5B"/>
    <w:rsid w:val="5FFC654F"/>
    <w:rsid w:val="5FFE1E36"/>
    <w:rsid w:val="60017C7C"/>
    <w:rsid w:val="60232584"/>
    <w:rsid w:val="6025396A"/>
    <w:rsid w:val="6042451C"/>
    <w:rsid w:val="6046746B"/>
    <w:rsid w:val="606F2E37"/>
    <w:rsid w:val="607330CE"/>
    <w:rsid w:val="60765F74"/>
    <w:rsid w:val="60825176"/>
    <w:rsid w:val="609F2AC4"/>
    <w:rsid w:val="60FA2EE8"/>
    <w:rsid w:val="61054A27"/>
    <w:rsid w:val="610A52BC"/>
    <w:rsid w:val="610D059B"/>
    <w:rsid w:val="611D2366"/>
    <w:rsid w:val="61330309"/>
    <w:rsid w:val="61421856"/>
    <w:rsid w:val="615227C4"/>
    <w:rsid w:val="61654E3F"/>
    <w:rsid w:val="6170330B"/>
    <w:rsid w:val="617F354E"/>
    <w:rsid w:val="61812E22"/>
    <w:rsid w:val="6182292A"/>
    <w:rsid w:val="619F7F92"/>
    <w:rsid w:val="61BC02FE"/>
    <w:rsid w:val="61C84EF5"/>
    <w:rsid w:val="61E33F36"/>
    <w:rsid w:val="61E84C4F"/>
    <w:rsid w:val="61F94C26"/>
    <w:rsid w:val="62000E56"/>
    <w:rsid w:val="620852F1"/>
    <w:rsid w:val="62265778"/>
    <w:rsid w:val="62375BD7"/>
    <w:rsid w:val="624502F4"/>
    <w:rsid w:val="624C47EB"/>
    <w:rsid w:val="624F3E49"/>
    <w:rsid w:val="62632286"/>
    <w:rsid w:val="62864468"/>
    <w:rsid w:val="62885958"/>
    <w:rsid w:val="628D57F7"/>
    <w:rsid w:val="629152E7"/>
    <w:rsid w:val="62A274F4"/>
    <w:rsid w:val="62AC0373"/>
    <w:rsid w:val="62B611F1"/>
    <w:rsid w:val="62F13FD7"/>
    <w:rsid w:val="62F40B65"/>
    <w:rsid w:val="62FC2CFE"/>
    <w:rsid w:val="63024505"/>
    <w:rsid w:val="63330B83"/>
    <w:rsid w:val="63343EC4"/>
    <w:rsid w:val="635600A5"/>
    <w:rsid w:val="635B1DB5"/>
    <w:rsid w:val="63711FED"/>
    <w:rsid w:val="63880DDC"/>
    <w:rsid w:val="638D750D"/>
    <w:rsid w:val="639A466F"/>
    <w:rsid w:val="63AC6CC0"/>
    <w:rsid w:val="63CB4828"/>
    <w:rsid w:val="63E91153"/>
    <w:rsid w:val="63F23480"/>
    <w:rsid w:val="63F41FD1"/>
    <w:rsid w:val="64055776"/>
    <w:rsid w:val="64085A7D"/>
    <w:rsid w:val="641F5B67"/>
    <w:rsid w:val="64240056"/>
    <w:rsid w:val="642B52C7"/>
    <w:rsid w:val="643E143A"/>
    <w:rsid w:val="64491666"/>
    <w:rsid w:val="64552344"/>
    <w:rsid w:val="645A795A"/>
    <w:rsid w:val="647C3D75"/>
    <w:rsid w:val="648B6EEF"/>
    <w:rsid w:val="64917820"/>
    <w:rsid w:val="64AA6B34"/>
    <w:rsid w:val="64C158BF"/>
    <w:rsid w:val="64CE2EAA"/>
    <w:rsid w:val="64EC0EFA"/>
    <w:rsid w:val="64FD3107"/>
    <w:rsid w:val="650A2FD0"/>
    <w:rsid w:val="65143FAD"/>
    <w:rsid w:val="65363F24"/>
    <w:rsid w:val="653C3090"/>
    <w:rsid w:val="6545060B"/>
    <w:rsid w:val="65854376"/>
    <w:rsid w:val="658767BE"/>
    <w:rsid w:val="65892531"/>
    <w:rsid w:val="658A7C58"/>
    <w:rsid w:val="65A32EA1"/>
    <w:rsid w:val="65AB2B63"/>
    <w:rsid w:val="65D06126"/>
    <w:rsid w:val="65DF280D"/>
    <w:rsid w:val="66195831"/>
    <w:rsid w:val="66195D1F"/>
    <w:rsid w:val="662E75B1"/>
    <w:rsid w:val="66342C2E"/>
    <w:rsid w:val="66344907"/>
    <w:rsid w:val="663E784C"/>
    <w:rsid w:val="66756CCD"/>
    <w:rsid w:val="668B6A45"/>
    <w:rsid w:val="66B772E6"/>
    <w:rsid w:val="66ED0F5A"/>
    <w:rsid w:val="67112C4A"/>
    <w:rsid w:val="6716225F"/>
    <w:rsid w:val="67184229"/>
    <w:rsid w:val="672F3F24"/>
    <w:rsid w:val="673E055F"/>
    <w:rsid w:val="67551CE3"/>
    <w:rsid w:val="678371C8"/>
    <w:rsid w:val="67876CB8"/>
    <w:rsid w:val="678B6272"/>
    <w:rsid w:val="67A22552"/>
    <w:rsid w:val="67B22DCC"/>
    <w:rsid w:val="67BE71AA"/>
    <w:rsid w:val="67CD5013"/>
    <w:rsid w:val="67CF7323"/>
    <w:rsid w:val="67D90273"/>
    <w:rsid w:val="67DE5875"/>
    <w:rsid w:val="67E55852"/>
    <w:rsid w:val="67EB1AB4"/>
    <w:rsid w:val="67FA1285"/>
    <w:rsid w:val="68077DF9"/>
    <w:rsid w:val="684F3C7A"/>
    <w:rsid w:val="68534DEC"/>
    <w:rsid w:val="68551F4F"/>
    <w:rsid w:val="685A261F"/>
    <w:rsid w:val="687A3533"/>
    <w:rsid w:val="687C10C9"/>
    <w:rsid w:val="68840C16"/>
    <w:rsid w:val="68876EFB"/>
    <w:rsid w:val="68884654"/>
    <w:rsid w:val="689F444F"/>
    <w:rsid w:val="68AF4719"/>
    <w:rsid w:val="68B96DBB"/>
    <w:rsid w:val="68C47C0A"/>
    <w:rsid w:val="68CA2805"/>
    <w:rsid w:val="68DE6DAC"/>
    <w:rsid w:val="68E937A3"/>
    <w:rsid w:val="68FB149A"/>
    <w:rsid w:val="693E15D3"/>
    <w:rsid w:val="695B03FD"/>
    <w:rsid w:val="69627681"/>
    <w:rsid w:val="6977531D"/>
    <w:rsid w:val="69A00505"/>
    <w:rsid w:val="69AA3132"/>
    <w:rsid w:val="69BB0E9B"/>
    <w:rsid w:val="69C266CE"/>
    <w:rsid w:val="69CC2BFF"/>
    <w:rsid w:val="69D81A4D"/>
    <w:rsid w:val="69FD55B8"/>
    <w:rsid w:val="6A042842"/>
    <w:rsid w:val="6A0665BA"/>
    <w:rsid w:val="6A0B1C62"/>
    <w:rsid w:val="6A1C5DDE"/>
    <w:rsid w:val="6A2406C8"/>
    <w:rsid w:val="6A3B7666"/>
    <w:rsid w:val="6A6B28C1"/>
    <w:rsid w:val="6A815C41"/>
    <w:rsid w:val="6A9A1ADF"/>
    <w:rsid w:val="6AA302AD"/>
    <w:rsid w:val="6ACF2E50"/>
    <w:rsid w:val="6ADE0BD1"/>
    <w:rsid w:val="6AE81378"/>
    <w:rsid w:val="6AE96859"/>
    <w:rsid w:val="6B0625EA"/>
    <w:rsid w:val="6B147746"/>
    <w:rsid w:val="6B24787C"/>
    <w:rsid w:val="6B573233"/>
    <w:rsid w:val="6B5B6274"/>
    <w:rsid w:val="6B6B4740"/>
    <w:rsid w:val="6B935D53"/>
    <w:rsid w:val="6B945E48"/>
    <w:rsid w:val="6BAE0CB8"/>
    <w:rsid w:val="6BD44496"/>
    <w:rsid w:val="6C1316F7"/>
    <w:rsid w:val="6C196F71"/>
    <w:rsid w:val="6C226FCB"/>
    <w:rsid w:val="6C266DB6"/>
    <w:rsid w:val="6C31226F"/>
    <w:rsid w:val="6C333690"/>
    <w:rsid w:val="6C421739"/>
    <w:rsid w:val="6C517EC7"/>
    <w:rsid w:val="6C552F0B"/>
    <w:rsid w:val="6C8C67B7"/>
    <w:rsid w:val="6C9D744C"/>
    <w:rsid w:val="6CA36342"/>
    <w:rsid w:val="6CEC0DA4"/>
    <w:rsid w:val="6D064B23"/>
    <w:rsid w:val="6D0B213A"/>
    <w:rsid w:val="6D167928"/>
    <w:rsid w:val="6D254FA9"/>
    <w:rsid w:val="6D26299B"/>
    <w:rsid w:val="6D4772EC"/>
    <w:rsid w:val="6D82064E"/>
    <w:rsid w:val="6D8A7502"/>
    <w:rsid w:val="6D9078AF"/>
    <w:rsid w:val="6DA73C10"/>
    <w:rsid w:val="6DAA3FEF"/>
    <w:rsid w:val="6DBB3B60"/>
    <w:rsid w:val="6DC0172B"/>
    <w:rsid w:val="6DCB690C"/>
    <w:rsid w:val="6DD41A5B"/>
    <w:rsid w:val="6DE54739"/>
    <w:rsid w:val="6DF43C2E"/>
    <w:rsid w:val="6DF51CA3"/>
    <w:rsid w:val="6E0C6169"/>
    <w:rsid w:val="6E526272"/>
    <w:rsid w:val="6E62222D"/>
    <w:rsid w:val="6E712470"/>
    <w:rsid w:val="6E8335BD"/>
    <w:rsid w:val="6E8E12EF"/>
    <w:rsid w:val="6E972936"/>
    <w:rsid w:val="6E983DCC"/>
    <w:rsid w:val="6EAB14DE"/>
    <w:rsid w:val="6EB178F7"/>
    <w:rsid w:val="6EC407F2"/>
    <w:rsid w:val="6ED446C5"/>
    <w:rsid w:val="6F2A7D94"/>
    <w:rsid w:val="6F40431D"/>
    <w:rsid w:val="6F410095"/>
    <w:rsid w:val="6F72024E"/>
    <w:rsid w:val="6F8331F1"/>
    <w:rsid w:val="6F9208F0"/>
    <w:rsid w:val="6FAE1A09"/>
    <w:rsid w:val="6FBD3BBF"/>
    <w:rsid w:val="6FD607DD"/>
    <w:rsid w:val="6FD75BF8"/>
    <w:rsid w:val="6FE32D16"/>
    <w:rsid w:val="6FE80510"/>
    <w:rsid w:val="6FF62C2D"/>
    <w:rsid w:val="70027824"/>
    <w:rsid w:val="701B08E6"/>
    <w:rsid w:val="7040034C"/>
    <w:rsid w:val="70685902"/>
    <w:rsid w:val="707149AA"/>
    <w:rsid w:val="70763D6E"/>
    <w:rsid w:val="707723D0"/>
    <w:rsid w:val="707F70C6"/>
    <w:rsid w:val="70AE175A"/>
    <w:rsid w:val="70D311C0"/>
    <w:rsid w:val="70E76A1A"/>
    <w:rsid w:val="70F5661B"/>
    <w:rsid w:val="70F96E79"/>
    <w:rsid w:val="71267542"/>
    <w:rsid w:val="71357785"/>
    <w:rsid w:val="71360107"/>
    <w:rsid w:val="713A4D9B"/>
    <w:rsid w:val="713B688E"/>
    <w:rsid w:val="7148279F"/>
    <w:rsid w:val="71D43752"/>
    <w:rsid w:val="71F1796A"/>
    <w:rsid w:val="71FB63D5"/>
    <w:rsid w:val="720E0702"/>
    <w:rsid w:val="72154626"/>
    <w:rsid w:val="721E53FB"/>
    <w:rsid w:val="72262B5D"/>
    <w:rsid w:val="72283FF7"/>
    <w:rsid w:val="722E7212"/>
    <w:rsid w:val="72345C8F"/>
    <w:rsid w:val="723A0474"/>
    <w:rsid w:val="725923E4"/>
    <w:rsid w:val="72691DDC"/>
    <w:rsid w:val="726D4D03"/>
    <w:rsid w:val="727907ED"/>
    <w:rsid w:val="72833651"/>
    <w:rsid w:val="72864BF7"/>
    <w:rsid w:val="729023FC"/>
    <w:rsid w:val="72987FCC"/>
    <w:rsid w:val="72EE22E1"/>
    <w:rsid w:val="72F1592E"/>
    <w:rsid w:val="72F35B4A"/>
    <w:rsid w:val="732775A1"/>
    <w:rsid w:val="732857F3"/>
    <w:rsid w:val="734B3290"/>
    <w:rsid w:val="739F35DC"/>
    <w:rsid w:val="73C0646E"/>
    <w:rsid w:val="73C13552"/>
    <w:rsid w:val="742222F5"/>
    <w:rsid w:val="743E30A2"/>
    <w:rsid w:val="74476126"/>
    <w:rsid w:val="744E128A"/>
    <w:rsid w:val="745D1B3E"/>
    <w:rsid w:val="74706664"/>
    <w:rsid w:val="747F3682"/>
    <w:rsid w:val="748E5B2A"/>
    <w:rsid w:val="749C4185"/>
    <w:rsid w:val="74A569D0"/>
    <w:rsid w:val="74EC45FF"/>
    <w:rsid w:val="75067759"/>
    <w:rsid w:val="7513602F"/>
    <w:rsid w:val="75291143"/>
    <w:rsid w:val="752E6DCD"/>
    <w:rsid w:val="75461F61"/>
    <w:rsid w:val="7551380D"/>
    <w:rsid w:val="755D394A"/>
    <w:rsid w:val="75600BE5"/>
    <w:rsid w:val="7564475C"/>
    <w:rsid w:val="756D1BE3"/>
    <w:rsid w:val="756E34B6"/>
    <w:rsid w:val="7583797F"/>
    <w:rsid w:val="75AA6994"/>
    <w:rsid w:val="75D20F1D"/>
    <w:rsid w:val="75DA2C18"/>
    <w:rsid w:val="75E023B5"/>
    <w:rsid w:val="75F54412"/>
    <w:rsid w:val="761D08E0"/>
    <w:rsid w:val="7641097A"/>
    <w:rsid w:val="765863F0"/>
    <w:rsid w:val="765D347C"/>
    <w:rsid w:val="767825EE"/>
    <w:rsid w:val="76826699"/>
    <w:rsid w:val="76A333E3"/>
    <w:rsid w:val="76BB24DB"/>
    <w:rsid w:val="76C87133"/>
    <w:rsid w:val="76CC0B8C"/>
    <w:rsid w:val="76CD08D5"/>
    <w:rsid w:val="76DB4B92"/>
    <w:rsid w:val="76E732D0"/>
    <w:rsid w:val="77052AA4"/>
    <w:rsid w:val="77136511"/>
    <w:rsid w:val="77161E07"/>
    <w:rsid w:val="771816DB"/>
    <w:rsid w:val="7725204A"/>
    <w:rsid w:val="77340A39"/>
    <w:rsid w:val="77351FD0"/>
    <w:rsid w:val="773A5AF5"/>
    <w:rsid w:val="77472422"/>
    <w:rsid w:val="775546DD"/>
    <w:rsid w:val="777F31F2"/>
    <w:rsid w:val="77972F48"/>
    <w:rsid w:val="77D1700D"/>
    <w:rsid w:val="77E85551"/>
    <w:rsid w:val="77EC04CC"/>
    <w:rsid w:val="780F6F82"/>
    <w:rsid w:val="78153E6C"/>
    <w:rsid w:val="784B788E"/>
    <w:rsid w:val="78770683"/>
    <w:rsid w:val="78775729"/>
    <w:rsid w:val="78A42DB0"/>
    <w:rsid w:val="78A656AB"/>
    <w:rsid w:val="78B2245C"/>
    <w:rsid w:val="78B95140"/>
    <w:rsid w:val="78D87374"/>
    <w:rsid w:val="78E172CC"/>
    <w:rsid w:val="78EA1D1F"/>
    <w:rsid w:val="78FD502C"/>
    <w:rsid w:val="79036DC3"/>
    <w:rsid w:val="7904172F"/>
    <w:rsid w:val="790C6793"/>
    <w:rsid w:val="790F7E27"/>
    <w:rsid w:val="792702FB"/>
    <w:rsid w:val="792A231A"/>
    <w:rsid w:val="79316829"/>
    <w:rsid w:val="793B3DA7"/>
    <w:rsid w:val="79490272"/>
    <w:rsid w:val="797E66A9"/>
    <w:rsid w:val="798518A4"/>
    <w:rsid w:val="79863274"/>
    <w:rsid w:val="79A97383"/>
    <w:rsid w:val="79BF0534"/>
    <w:rsid w:val="79E27E8B"/>
    <w:rsid w:val="79F850CE"/>
    <w:rsid w:val="79FD443C"/>
    <w:rsid w:val="79FEE5E2"/>
    <w:rsid w:val="7A1D1975"/>
    <w:rsid w:val="7A2F7467"/>
    <w:rsid w:val="7A3E5150"/>
    <w:rsid w:val="7A410F49"/>
    <w:rsid w:val="7A413B47"/>
    <w:rsid w:val="7A4670D6"/>
    <w:rsid w:val="7A4D3D91"/>
    <w:rsid w:val="7A534B63"/>
    <w:rsid w:val="7A615382"/>
    <w:rsid w:val="7A67303B"/>
    <w:rsid w:val="7AAB1D04"/>
    <w:rsid w:val="7ABA4368"/>
    <w:rsid w:val="7ABE4C8F"/>
    <w:rsid w:val="7AD05746"/>
    <w:rsid w:val="7ADB75EF"/>
    <w:rsid w:val="7AEA5A84"/>
    <w:rsid w:val="7B117554"/>
    <w:rsid w:val="7B14665D"/>
    <w:rsid w:val="7B257FFD"/>
    <w:rsid w:val="7B310FBD"/>
    <w:rsid w:val="7B343476"/>
    <w:rsid w:val="7B362A78"/>
    <w:rsid w:val="7B466080"/>
    <w:rsid w:val="7B5A2978"/>
    <w:rsid w:val="7B5A7E4C"/>
    <w:rsid w:val="7B667AF9"/>
    <w:rsid w:val="7B6E0463"/>
    <w:rsid w:val="7B7468F8"/>
    <w:rsid w:val="7B762E74"/>
    <w:rsid w:val="7B7D06A6"/>
    <w:rsid w:val="7B8657AD"/>
    <w:rsid w:val="7BBB4D2B"/>
    <w:rsid w:val="7BEE0103"/>
    <w:rsid w:val="7C0A0FE4"/>
    <w:rsid w:val="7C254906"/>
    <w:rsid w:val="7C5533D1"/>
    <w:rsid w:val="7C590818"/>
    <w:rsid w:val="7C75312C"/>
    <w:rsid w:val="7C7C10F6"/>
    <w:rsid w:val="7C853BEA"/>
    <w:rsid w:val="7C8810B1"/>
    <w:rsid w:val="7C881368"/>
    <w:rsid w:val="7C8B294F"/>
    <w:rsid w:val="7CB63E70"/>
    <w:rsid w:val="7CCB71F0"/>
    <w:rsid w:val="7CD564F7"/>
    <w:rsid w:val="7CE27788"/>
    <w:rsid w:val="7CEC1640"/>
    <w:rsid w:val="7D0C32F1"/>
    <w:rsid w:val="7D0F408D"/>
    <w:rsid w:val="7D126BCC"/>
    <w:rsid w:val="7D130147"/>
    <w:rsid w:val="7D2C5EE0"/>
    <w:rsid w:val="7D470F6C"/>
    <w:rsid w:val="7D491C6C"/>
    <w:rsid w:val="7D5429C0"/>
    <w:rsid w:val="7D6E6D43"/>
    <w:rsid w:val="7D917C65"/>
    <w:rsid w:val="7DB06B11"/>
    <w:rsid w:val="7DB57A34"/>
    <w:rsid w:val="7DB859C6"/>
    <w:rsid w:val="7DBD2FDC"/>
    <w:rsid w:val="7DCA74A7"/>
    <w:rsid w:val="7DE1316F"/>
    <w:rsid w:val="7DE22A43"/>
    <w:rsid w:val="7DE60973"/>
    <w:rsid w:val="7DEF0916"/>
    <w:rsid w:val="7E1E5218"/>
    <w:rsid w:val="7E292420"/>
    <w:rsid w:val="7E33329E"/>
    <w:rsid w:val="7E6C679B"/>
    <w:rsid w:val="7E9A4E1F"/>
    <w:rsid w:val="7EA146AC"/>
    <w:rsid w:val="7EA1645A"/>
    <w:rsid w:val="7EA7723A"/>
    <w:rsid w:val="7EA83C8C"/>
    <w:rsid w:val="7EB048EF"/>
    <w:rsid w:val="7EF56FBB"/>
    <w:rsid w:val="7F0768EB"/>
    <w:rsid w:val="7F143BEC"/>
    <w:rsid w:val="7F3217A8"/>
    <w:rsid w:val="7F362021"/>
    <w:rsid w:val="7F4514DB"/>
    <w:rsid w:val="7F5160D2"/>
    <w:rsid w:val="7F6851CA"/>
    <w:rsid w:val="7F715AF2"/>
    <w:rsid w:val="7F7B47F9"/>
    <w:rsid w:val="7F886E69"/>
    <w:rsid w:val="7F9B10FB"/>
    <w:rsid w:val="7FDB599C"/>
    <w:rsid w:val="7FF058EB"/>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3"/>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字符"/>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字符"/>
    <w:link w:val="35"/>
    <w:qFormat/>
    <w:uiPriority w:val="0"/>
    <w:rPr>
      <w:rFonts w:ascii="宋体"/>
      <w:kern w:val="2"/>
      <w:sz w:val="24"/>
      <w:szCs w:val="21"/>
      <w:lang w:val="zh-CN"/>
    </w:rPr>
  </w:style>
  <w:style w:type="character" w:customStyle="1" w:styleId="182">
    <w:name w:val="标题 9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字符"/>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字符"/>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7">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字符"/>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0"/>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字符"/>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字符"/>
    <w:link w:val="58"/>
    <w:qFormat/>
    <w:uiPriority w:val="10"/>
    <w:rPr>
      <w:b/>
      <w:sz w:val="24"/>
      <w:lang w:val="en-GB"/>
    </w:rPr>
  </w:style>
  <w:style w:type="character" w:customStyle="1" w:styleId="289">
    <w:name w:val="font81"/>
    <w:basedOn w:val="69"/>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字符"/>
    <w:link w:val="56"/>
    <w:qFormat/>
    <w:uiPriority w:val="0"/>
    <w:rPr>
      <w:rFonts w:ascii="黑体" w:hAnsi="Courier New" w:eastAsia="黑体"/>
    </w:rPr>
  </w:style>
  <w:style w:type="character" w:customStyle="1" w:styleId="304">
    <w:name w:val="正文文本 2字符"/>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字符"/>
    <w:link w:val="9"/>
    <w:qFormat/>
    <w:uiPriority w:val="0"/>
    <w:rPr>
      <w:b/>
      <w:bCs/>
      <w:kern w:val="2"/>
      <w:sz w:val="24"/>
      <w:szCs w:val="24"/>
    </w:rPr>
  </w:style>
  <w:style w:type="character" w:customStyle="1" w:styleId="310">
    <w:name w:val="正文文本缩进 2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字符"/>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字符"/>
    <w:link w:val="19"/>
    <w:qFormat/>
    <w:uiPriority w:val="99"/>
    <w:rPr>
      <w:kern w:val="2"/>
      <w:sz w:val="21"/>
      <w:szCs w:val="24"/>
    </w:rPr>
  </w:style>
  <w:style w:type="character" w:customStyle="1" w:styleId="347">
    <w:name w:val="签名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9"/>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字符"/>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字符"/>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1"/>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字符"/>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basedOn w:val="69"/>
    <w:qFormat/>
    <w:uiPriority w:val="0"/>
    <w:rPr>
      <w:rFonts w:hint="eastAsia" w:ascii="宋体" w:hAnsi="宋体" w:eastAsia="宋体" w:cs="宋体"/>
      <w:color w:val="000000"/>
      <w:sz w:val="22"/>
      <w:szCs w:val="22"/>
      <w:u w:val="none"/>
    </w:rPr>
  </w:style>
  <w:style w:type="character" w:customStyle="1" w:styleId="965">
    <w:name w:val="font91"/>
    <w:basedOn w:val="69"/>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styleId="969">
    <w:name w:val="List Paragraph"/>
    <w:basedOn w:val="1"/>
    <w:qFormat/>
    <w:uiPriority w:val="0"/>
    <w:pPr>
      <w:ind w:firstLine="420" w:firstLineChars="200"/>
    </w:pPr>
  </w:style>
  <w:style w:type="character" w:customStyle="1" w:styleId="970">
    <w:name w:val="font101"/>
    <w:basedOn w:val="69"/>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102</Pages>
  <Words>15801</Words>
  <Characters>16939</Characters>
  <Lines>549</Lines>
  <Paragraphs>154</Paragraphs>
  <TotalTime>5</TotalTime>
  <ScaleCrop>false</ScaleCrop>
  <LinksUpToDate>false</LinksUpToDate>
  <CharactersWithSpaces>17400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2025-06-16T14:38:00Z</dcterms:created>
  <dc:creator>玥</dc:creator>
  <cp:lastModifiedBy>K_Mamba</cp:lastModifiedBy>
  <cp:lastPrinted>2021-12-28T03:06:00Z</cp:lastPrinted>
  <dcterms:modified xsi:type="dcterms:W3CDTF">2025-07-01T07:41:25Z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6B06B141524B40A5B3C0A8A806C304BC</vt:lpwstr>
  </property>
  <property fmtid="{D5CDD505-2E9C-101B-9397-08002B2CF9AE}" pid="5" name="commondata">
    <vt:lpwstr>eyJoZGlkIjoiNGNlMmFkMDQ1NDY0ZmRiM2Q0NjY4NTFjN2IwMTllYjMifQ==</vt:lpwstr>
  </property>
  <property fmtid="{D5CDD505-2E9C-101B-9397-08002B2CF9AE}" pid="6" name="KSOTemplateDocerSaveRecord">
    <vt:lpwstr>eyJoZGlkIjoiY2JhOGJhMWNmMjNmMDkxNzVjNzhiNDIxNTk3YTA2MTciLCJ1c2VySWQiOiI2NDQ5NzkyNzYifQ==</vt:lpwstr>
  </property>
</Properties>
</file>